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4CF6DC">
      <w:pPr>
        <w:ind w:firstLine="420" w:firstLineChars="0"/>
        <w:jc w:val="center"/>
        <w:rPr>
          <w:rFonts w:hint="eastAsia" w:ascii="黑体" w:hAnsi="黑体" w:eastAsia="黑体"/>
          <w:sz w:val="48"/>
          <w:szCs w:val="48"/>
          <w:highlight w:val="none"/>
        </w:rPr>
      </w:pPr>
    </w:p>
    <w:p w14:paraId="1BA74CB0">
      <w:pPr>
        <w:ind w:firstLine="0" w:firstLineChars="0"/>
        <w:jc w:val="center"/>
        <w:rPr>
          <w:rFonts w:hint="eastAsia" w:ascii="黑体" w:hAnsi="黑体" w:eastAsia="黑体"/>
          <w:sz w:val="48"/>
          <w:szCs w:val="48"/>
          <w:highlight w:val="none"/>
        </w:rPr>
      </w:pPr>
    </w:p>
    <w:p w14:paraId="7C35AB97">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全国市场监管数字化试验区</w:t>
      </w:r>
    </w:p>
    <w:p w14:paraId="3204ADC7">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（上海）项目（三期）项目</w:t>
      </w:r>
    </w:p>
    <w:p w14:paraId="788B70C0">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采购需求</w:t>
      </w:r>
    </w:p>
    <w:p w14:paraId="18715E34">
      <w:pPr>
        <w:ind w:firstLine="0" w:firstLineChars="0"/>
        <w:jc w:val="center"/>
        <w:rPr>
          <w:rFonts w:hint="eastAsia" w:ascii="黑体" w:hAnsi="黑体" w:eastAsia="黑体"/>
          <w:sz w:val="72"/>
          <w:szCs w:val="72"/>
          <w:highlight w:val="none"/>
        </w:rPr>
      </w:pPr>
    </w:p>
    <w:p w14:paraId="5037AC75">
      <w:pPr>
        <w:ind w:firstLine="0" w:firstLineChars="0"/>
        <w:jc w:val="center"/>
        <w:rPr>
          <w:rFonts w:hint="eastAsia" w:ascii="黑体" w:hAnsi="黑体" w:eastAsia="黑体"/>
          <w:sz w:val="48"/>
          <w:szCs w:val="48"/>
          <w:highlight w:val="none"/>
        </w:rPr>
      </w:pPr>
    </w:p>
    <w:p w14:paraId="02DFEDDB">
      <w:pPr>
        <w:ind w:firstLine="0" w:firstLineChars="0"/>
        <w:jc w:val="center"/>
        <w:rPr>
          <w:rFonts w:hint="eastAsia" w:ascii="黑体" w:hAnsi="黑体" w:eastAsia="黑体"/>
          <w:sz w:val="52"/>
          <w:szCs w:val="52"/>
          <w:highlight w:val="none"/>
        </w:rPr>
      </w:pPr>
    </w:p>
    <w:p w14:paraId="63B4ACDE">
      <w:pPr>
        <w:ind w:firstLine="1040"/>
        <w:rPr>
          <w:rFonts w:hint="eastAsia" w:ascii="黑体" w:hAnsi="黑体" w:eastAsia="黑体"/>
          <w:sz w:val="52"/>
          <w:szCs w:val="52"/>
          <w:highlight w:val="none"/>
        </w:rPr>
      </w:pPr>
    </w:p>
    <w:p w14:paraId="2558B757">
      <w:pPr>
        <w:rPr>
          <w:rFonts w:hint="eastAsia"/>
          <w:highlight w:val="none"/>
        </w:rPr>
      </w:pPr>
    </w:p>
    <w:p w14:paraId="577E444B">
      <w:pPr>
        <w:rPr>
          <w:rFonts w:hint="eastAsia"/>
          <w:highlight w:val="none"/>
        </w:rPr>
      </w:pPr>
    </w:p>
    <w:p w14:paraId="220EDA39">
      <w:pPr>
        <w:rPr>
          <w:rFonts w:hint="eastAsia"/>
          <w:highlight w:val="none"/>
        </w:rPr>
      </w:pPr>
    </w:p>
    <w:p w14:paraId="2ED6828B">
      <w:pPr>
        <w:rPr>
          <w:rFonts w:hint="eastAsia"/>
          <w:highlight w:val="none"/>
        </w:rPr>
      </w:pPr>
    </w:p>
    <w:p w14:paraId="765ACD0F">
      <w:pPr>
        <w:rPr>
          <w:rFonts w:hint="eastAsia"/>
          <w:highlight w:val="none"/>
        </w:rPr>
      </w:pPr>
    </w:p>
    <w:p w14:paraId="1479ABFE">
      <w:pPr>
        <w:ind w:firstLine="1040"/>
        <w:rPr>
          <w:rFonts w:hint="eastAsia" w:ascii="黑体" w:hAnsi="黑体" w:eastAsia="黑体"/>
          <w:sz w:val="52"/>
          <w:szCs w:val="52"/>
          <w:highlight w:val="none"/>
        </w:rPr>
      </w:pPr>
    </w:p>
    <w:p w14:paraId="2BA02248">
      <w:pPr>
        <w:jc w:val="center"/>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01DCAB38">
      <w:pPr>
        <w:pStyle w:val="2"/>
        <w:rPr>
          <w:rFonts w:hint="eastAsia"/>
          <w:highlight w:val="none"/>
        </w:rPr>
      </w:pPr>
      <w:bookmarkStart w:id="0" w:name="_Toc63785461"/>
      <w:r>
        <w:rPr>
          <w:rFonts w:hint="eastAsia"/>
          <w:highlight w:val="none"/>
        </w:rPr>
        <w:t>项目概况</w:t>
      </w:r>
      <w:bookmarkEnd w:id="0"/>
    </w:p>
    <w:p w14:paraId="09A13061">
      <w:pPr>
        <w:pStyle w:val="3"/>
        <w:rPr>
          <w:rFonts w:hint="eastAsia"/>
          <w:highlight w:val="none"/>
        </w:rPr>
      </w:pPr>
      <w:r>
        <w:rPr>
          <w:rFonts w:hint="eastAsia"/>
          <w:highlight w:val="none"/>
        </w:rPr>
        <w:t>项目背景</w:t>
      </w:r>
    </w:p>
    <w:p w14:paraId="07C9B317">
      <w:pPr>
        <w:spacing w:line="560" w:lineRule="exact"/>
        <w:rPr>
          <w:rFonts w:hint="eastAsia"/>
          <w:highlight w:val="none"/>
        </w:rPr>
      </w:pPr>
      <w:r>
        <w:rPr>
          <w:rFonts w:hint="eastAsia"/>
          <w:highlight w:val="none"/>
        </w:rPr>
        <w:t>全国市场监管数字化试验区（上海）是国家市场监管总局与上海市政府部市共建、加强合作的重大工程，是贯彻落实党中央、国务院关于加强数字政府建设决策部署和国家市场监管总局关于深入推进智慧监管工作要求，全面推进上海市场监管部门履职和政务运行数字化转型的重要举措。</w:t>
      </w:r>
    </w:p>
    <w:p w14:paraId="5FE82627">
      <w:pPr>
        <w:spacing w:line="560" w:lineRule="exact"/>
        <w:rPr>
          <w:rFonts w:hint="eastAsia"/>
          <w:highlight w:val="none"/>
        </w:rPr>
      </w:pPr>
      <w:r>
        <w:rPr>
          <w:rFonts w:hint="eastAsia"/>
          <w:highlight w:val="none"/>
        </w:rPr>
        <w:t>为落实《全国市场监管数字化试验区（上海）建设方案（2023-2024年）》要求，全面推进上海市场监管部门履职和政务运行数字化转型，上海市市场监督管理局拟分阶段实施全国市场监管数字化试验区（上海）建设项目。本期项目为全国市场监管数字化试验区（上海）建设项目的三期项目，重点针对企业登记、公共服务、综合监管、行政处罚与执法监督等方面内容进行建设。</w:t>
      </w:r>
    </w:p>
    <w:p w14:paraId="680C8893">
      <w:pPr>
        <w:pStyle w:val="3"/>
        <w:rPr>
          <w:rFonts w:hint="eastAsia"/>
          <w:highlight w:val="none"/>
        </w:rPr>
      </w:pPr>
      <w:r>
        <w:rPr>
          <w:rFonts w:hint="eastAsia"/>
          <w:highlight w:val="none"/>
        </w:rPr>
        <w:t>系统现状</w:t>
      </w:r>
    </w:p>
    <w:p w14:paraId="43E0639E">
      <w:pPr>
        <w:spacing w:line="560" w:lineRule="exact"/>
        <w:rPr>
          <w:rFonts w:hint="eastAsia"/>
          <w:highlight w:val="none"/>
        </w:rPr>
      </w:pPr>
      <w:r>
        <w:rPr>
          <w:rFonts w:hint="eastAsia"/>
          <w:highlight w:val="none"/>
        </w:rPr>
        <w:t>（一）企业登记：为适应新公司法、企业登记改革、优化营商环境、推进一网通办等方面要求，需要积极应用智能化、移动化、微服务等新技术，进一步提升用户使用体验。目前的系统在2008年上线，采用J2EE单体和微服务的混合架构，随历年业务改革，功能持续迭代至今，无法满足便利化、智能化、协同化要求的改造要求，需要进行系统重构。</w:t>
      </w:r>
    </w:p>
    <w:p w14:paraId="125A73AD">
      <w:pPr>
        <w:spacing w:line="560" w:lineRule="exact"/>
        <w:rPr>
          <w:rFonts w:hint="eastAsia"/>
          <w:highlight w:val="none"/>
        </w:rPr>
      </w:pPr>
      <w:r>
        <w:rPr>
          <w:rFonts w:hint="eastAsia"/>
          <w:highlight w:val="none"/>
        </w:rPr>
        <w:t>（二）公共服务：目前外部审查、企业主体责任监督等主要采用线下模式开展，需要整合市场监管领域面向企业、公众、外部专业审查机构的公共服务功能，打造一站式服务平台，支撑市场监管领域的社会共治、企业共治、社区共治等服务职能，全面落实企业主体责任和属地监管责任。</w:t>
      </w:r>
    </w:p>
    <w:p w14:paraId="33146E11">
      <w:pPr>
        <w:spacing w:line="560" w:lineRule="exact"/>
        <w:rPr>
          <w:rFonts w:hint="eastAsia"/>
          <w:highlight w:val="none"/>
        </w:rPr>
      </w:pPr>
      <w:r>
        <w:rPr>
          <w:rFonts w:hint="eastAsia"/>
          <w:highlight w:val="none"/>
        </w:rPr>
        <w:t>（三）综合监管：综合监管涉及业务情形多，复杂性高，目前的任务管理、要素管理、督办评估等功能散落在各条线业务系统中，为推进综合监管移动应用，强化对综合监管“一件事”的支撑能力，进一步提升综合监管工作效能，需要整合市场监管领域内各专业领域共性监管工作，统筹建设覆盖市、区、所三级监管任务的综合监管一体化平台，在保证统一性基础上要尽量实现便利性及适配多种业务要求。</w:t>
      </w:r>
    </w:p>
    <w:p w14:paraId="31CF6130">
      <w:pPr>
        <w:spacing w:line="560" w:lineRule="exact"/>
        <w:rPr>
          <w:rFonts w:hint="eastAsia"/>
          <w:highlight w:val="none"/>
        </w:rPr>
      </w:pPr>
      <w:r>
        <w:rPr>
          <w:rFonts w:hint="eastAsia"/>
          <w:highlight w:val="none"/>
        </w:rPr>
        <w:t>（四）行政处罚与执法监督：目前行政处罚与执法监督系统存在业务、数据和流程等方面的问题，无法满足《试验区建设方案》提出的“实现行政处罚全流程电子化，非密案件线上处置达到100%”的要求，缺乏智能化的辅助能力，需要通过建立微服务架构、低代码能力和业务流程配置等技术，基于试验区已构建的数据慧治平台，实现行政处罚案件管理全流程电子化，加强智能化辅助能力，全面提升行政执法支撑能力。</w:t>
      </w:r>
    </w:p>
    <w:p w14:paraId="7BD02E33">
      <w:pPr>
        <w:pStyle w:val="3"/>
        <w:rPr>
          <w:rFonts w:hint="eastAsia"/>
          <w:highlight w:val="none"/>
        </w:rPr>
      </w:pPr>
      <w:r>
        <w:rPr>
          <w:rFonts w:hint="eastAsia"/>
          <w:highlight w:val="none"/>
        </w:rPr>
        <w:t>建设期限</w:t>
      </w:r>
    </w:p>
    <w:p w14:paraId="7C894A78">
      <w:pPr>
        <w:spacing w:line="560" w:lineRule="exact"/>
        <w:rPr>
          <w:rFonts w:hint="eastAsia"/>
          <w:highlight w:val="none"/>
        </w:rPr>
      </w:pPr>
      <w:r>
        <w:rPr>
          <w:rFonts w:hint="eastAsia"/>
          <w:highlight w:val="none"/>
        </w:rPr>
        <w:t>建设期限：自合同签订之日18个月</w:t>
      </w:r>
    </w:p>
    <w:p w14:paraId="39FAC5D2">
      <w:pPr>
        <w:pStyle w:val="3"/>
        <w:rPr>
          <w:rFonts w:hint="eastAsia"/>
          <w:highlight w:val="none"/>
        </w:rPr>
      </w:pPr>
      <w:r>
        <w:rPr>
          <w:rFonts w:hint="eastAsia"/>
          <w:highlight w:val="none"/>
        </w:rPr>
        <w:t>建设地点</w:t>
      </w:r>
    </w:p>
    <w:p w14:paraId="6483D63D">
      <w:pPr>
        <w:spacing w:line="560" w:lineRule="exact"/>
        <w:rPr>
          <w:rFonts w:hint="eastAsia"/>
          <w:highlight w:val="none"/>
        </w:rPr>
      </w:pPr>
      <w:r>
        <w:rPr>
          <w:rFonts w:hint="eastAsia"/>
          <w:highlight w:val="none"/>
        </w:rPr>
        <w:t>建设地点：上海市市场监督管理局</w:t>
      </w:r>
    </w:p>
    <w:p w14:paraId="30BED0E8">
      <w:pPr>
        <w:pStyle w:val="3"/>
        <w:rPr>
          <w:rFonts w:hint="eastAsia"/>
          <w:highlight w:val="none"/>
        </w:rPr>
      </w:pPr>
      <w:r>
        <w:rPr>
          <w:rFonts w:hint="eastAsia"/>
          <w:highlight w:val="none"/>
        </w:rPr>
        <w:t>预算金额</w:t>
      </w:r>
    </w:p>
    <w:p w14:paraId="23611998">
      <w:pPr>
        <w:spacing w:line="560" w:lineRule="exact"/>
        <w:rPr>
          <w:rFonts w:hint="eastAsia"/>
          <w:highlight w:val="none"/>
        </w:rPr>
      </w:pPr>
      <w:r>
        <w:rPr>
          <w:rFonts w:hint="eastAsia"/>
          <w:highlight w:val="none"/>
        </w:rPr>
        <w:t>预算金额：30,062,500元</w:t>
      </w:r>
    </w:p>
    <w:p w14:paraId="5F1F905E">
      <w:pPr>
        <w:pStyle w:val="3"/>
        <w:rPr>
          <w:rFonts w:hint="eastAsia"/>
          <w:highlight w:val="none"/>
        </w:rPr>
      </w:pPr>
      <w:r>
        <w:rPr>
          <w:rFonts w:hint="eastAsia"/>
          <w:highlight w:val="none"/>
        </w:rPr>
        <w:t>采购金额（最高限价）</w:t>
      </w:r>
    </w:p>
    <w:p w14:paraId="58F2502C">
      <w:pPr>
        <w:spacing w:line="560" w:lineRule="exact"/>
        <w:rPr>
          <w:rFonts w:hint="eastAsia"/>
          <w:highlight w:val="none"/>
        </w:rPr>
      </w:pPr>
      <w:r>
        <w:rPr>
          <w:rFonts w:hint="eastAsia"/>
          <w:highlight w:val="none"/>
        </w:rPr>
        <w:t>采购金额：30,062,500元</w:t>
      </w:r>
    </w:p>
    <w:p w14:paraId="62FA82A5">
      <w:pPr>
        <w:pStyle w:val="3"/>
        <w:rPr>
          <w:rFonts w:hint="eastAsia"/>
          <w:highlight w:val="none"/>
        </w:rPr>
      </w:pPr>
      <w:r>
        <w:rPr>
          <w:rFonts w:hint="eastAsia"/>
          <w:highlight w:val="none"/>
        </w:rPr>
        <w:t>组织形式</w:t>
      </w:r>
    </w:p>
    <w:p w14:paraId="3F72EBE7">
      <w:pPr>
        <w:rPr>
          <w:rFonts w:hint="eastAsia"/>
          <w:highlight w:val="none"/>
        </w:rPr>
      </w:pPr>
      <w:r>
        <w:rPr>
          <w:rFonts w:hint="eastAsia"/>
          <w:highlight w:val="none"/>
        </w:rPr>
        <w:t>组织形式：集中采购</w:t>
      </w:r>
    </w:p>
    <w:p w14:paraId="36D0CF57">
      <w:pPr>
        <w:pStyle w:val="3"/>
        <w:rPr>
          <w:rFonts w:hint="eastAsia"/>
          <w:highlight w:val="none"/>
        </w:rPr>
      </w:pPr>
      <w:r>
        <w:rPr>
          <w:rFonts w:hint="eastAsia"/>
          <w:highlight w:val="none"/>
        </w:rPr>
        <w:t>采购方式</w:t>
      </w:r>
    </w:p>
    <w:p w14:paraId="03AF0EF5">
      <w:pPr>
        <w:rPr>
          <w:rFonts w:hint="eastAsia"/>
          <w:highlight w:val="none"/>
        </w:rPr>
      </w:pPr>
      <w:r>
        <w:rPr>
          <w:rFonts w:hint="eastAsia"/>
          <w:highlight w:val="none"/>
        </w:rPr>
        <w:t>采购方式：公开招标</w:t>
      </w:r>
    </w:p>
    <w:p w14:paraId="6DDD7204">
      <w:pPr>
        <w:pStyle w:val="3"/>
        <w:rPr>
          <w:rFonts w:hint="eastAsia"/>
          <w:highlight w:val="none"/>
        </w:rPr>
      </w:pPr>
      <w:r>
        <w:rPr>
          <w:rFonts w:hint="eastAsia"/>
          <w:highlight w:val="none"/>
        </w:rPr>
        <w:t>是否接受联合体投标</w:t>
      </w:r>
    </w:p>
    <w:p w14:paraId="636BF950">
      <w:pPr>
        <w:rPr>
          <w:rFonts w:hint="eastAsia"/>
          <w:highlight w:val="none"/>
        </w:rPr>
      </w:pPr>
      <w:r>
        <w:rPr>
          <w:rFonts w:hint="eastAsia"/>
          <w:highlight w:val="none"/>
        </w:rPr>
        <w:t>是否接受联合体投标：否</w:t>
      </w:r>
    </w:p>
    <w:p w14:paraId="404867A0">
      <w:pPr>
        <w:pStyle w:val="3"/>
        <w:rPr>
          <w:rFonts w:hint="eastAsia"/>
          <w:highlight w:val="none"/>
        </w:rPr>
      </w:pPr>
      <w:r>
        <w:rPr>
          <w:highlight w:val="none"/>
        </w:rPr>
        <w:t>是否按信创要求建设</w:t>
      </w:r>
    </w:p>
    <w:p w14:paraId="34BC3EBE">
      <w:pPr>
        <w:rPr>
          <w:rFonts w:hint="eastAsia"/>
          <w:highlight w:val="none"/>
        </w:rPr>
      </w:pPr>
      <w:r>
        <w:rPr>
          <w:rFonts w:hint="eastAsia"/>
          <w:highlight w:val="none"/>
        </w:rPr>
        <w:t>是否按信创要求建设：</w:t>
      </w:r>
      <w:r>
        <w:rPr>
          <w:highlight w:val="none"/>
        </w:rPr>
        <w:t>是</w:t>
      </w:r>
    </w:p>
    <w:p w14:paraId="34BFBBCB">
      <w:pPr>
        <w:pStyle w:val="3"/>
        <w:rPr>
          <w:rFonts w:hint="eastAsia"/>
          <w:highlight w:val="none"/>
        </w:rPr>
      </w:pPr>
      <w:r>
        <w:rPr>
          <w:rFonts w:hint="eastAsia"/>
          <w:highlight w:val="none"/>
        </w:rPr>
        <w:t>运维后所属大系统</w:t>
      </w:r>
    </w:p>
    <w:p w14:paraId="3A941A23">
      <w:pPr>
        <w:rPr>
          <w:rFonts w:hint="eastAsia"/>
          <w:highlight w:val="none"/>
        </w:rPr>
      </w:pPr>
      <w:r>
        <w:rPr>
          <w:rFonts w:hint="eastAsia"/>
          <w:highlight w:val="none"/>
        </w:rPr>
        <w:t>运维后所属大系统：市场监管数字化大系统</w:t>
      </w:r>
    </w:p>
    <w:p w14:paraId="5EBB7DD1">
      <w:pPr>
        <w:pStyle w:val="2"/>
        <w:rPr>
          <w:rFonts w:hint="eastAsia"/>
          <w:highlight w:val="none"/>
        </w:rPr>
      </w:pPr>
      <w:bookmarkStart w:id="1" w:name="_Toc47532255"/>
      <w:bookmarkEnd w:id="1"/>
      <w:bookmarkStart w:id="2" w:name="_Toc47536272"/>
      <w:bookmarkEnd w:id="2"/>
      <w:bookmarkStart w:id="3" w:name="_Toc47537134"/>
      <w:bookmarkEnd w:id="3"/>
      <w:bookmarkStart w:id="4" w:name="_Toc47536644"/>
      <w:bookmarkEnd w:id="4"/>
      <w:bookmarkStart w:id="5" w:name="_Toc47531634"/>
      <w:bookmarkEnd w:id="5"/>
      <w:bookmarkStart w:id="6" w:name="_Toc47533256"/>
      <w:bookmarkEnd w:id="6"/>
      <w:bookmarkStart w:id="7" w:name="_Toc47532891"/>
      <w:bookmarkEnd w:id="7"/>
      <w:bookmarkStart w:id="8" w:name="_Toc47539070"/>
      <w:bookmarkEnd w:id="8"/>
      <w:bookmarkStart w:id="9" w:name="_Toc48223882"/>
      <w:bookmarkStart w:id="10" w:name="_Toc63785463"/>
      <w:r>
        <w:rPr>
          <w:rFonts w:hint="eastAsia"/>
          <w:highlight w:val="none"/>
        </w:rPr>
        <w:t>建设目标</w:t>
      </w:r>
      <w:bookmarkEnd w:id="9"/>
      <w:bookmarkEnd w:id="10"/>
    </w:p>
    <w:p w14:paraId="59D6913E">
      <w:pPr>
        <w:pStyle w:val="3"/>
        <w:rPr>
          <w:rFonts w:hint="eastAsia"/>
          <w:highlight w:val="none"/>
        </w:rPr>
      </w:pPr>
      <w:r>
        <w:rPr>
          <w:rFonts w:hint="eastAsia"/>
          <w:highlight w:val="none"/>
        </w:rPr>
        <w:t>建设目标</w:t>
      </w:r>
    </w:p>
    <w:p w14:paraId="178EDAF5">
      <w:pPr>
        <w:rPr>
          <w:rFonts w:hint="eastAsia"/>
          <w:highlight w:val="none"/>
        </w:rPr>
      </w:pPr>
      <w:r>
        <w:rPr>
          <w:rFonts w:hint="eastAsia"/>
          <w:highlight w:val="none"/>
        </w:rPr>
        <w:t>全国市场监管数字化试验区（上海）建设项目围绕总局“七个一”智慧监管目标，建设市场监管数字底座、数据慧治、数智场景和数字服务体系，以排头兵的姿态和先行者的担当，加快把市场监管数字化试验区建设蓝图转化为“施工图”“实景画”，奋力开创上海市场监管现代化建设新局面。</w:t>
      </w:r>
    </w:p>
    <w:p w14:paraId="5E729DE7">
      <w:pPr>
        <w:rPr>
          <w:rFonts w:hint="eastAsia"/>
          <w:highlight w:val="none"/>
        </w:rPr>
      </w:pPr>
      <w:r>
        <w:rPr>
          <w:rFonts w:hint="eastAsia"/>
          <w:highlight w:val="none"/>
        </w:rPr>
        <w:t>全国市场监管数字化试验区（上海）建设项目以三个全数字化理念引领，构建一个底座、一个平台和五大主题域。统筹推进“业务流程全数字化、监管要素全数字化、治理能力全数字化”，建设以决策分析和指挥调度为统领的市场监管智能驾驶舱，以数据产品和智能服务为核心的数据慧治支撑平台、提供公共资源支撑能力的市场监管数字底座、以五大市场监管数智化域为牵引的主题应用，助力上海市“一网通办”“一网统管”“一网协同”整体建设和能级提升，推动长三角市场监管一体化发展，实现与市场监管“全国一张网”整体协同。</w:t>
      </w:r>
    </w:p>
    <w:p w14:paraId="6E2089E5">
      <w:pPr>
        <w:rPr>
          <w:rFonts w:hint="eastAsia"/>
          <w:highlight w:val="none"/>
        </w:rPr>
      </w:pPr>
      <w:r>
        <w:rPr>
          <w:rFonts w:hint="eastAsia"/>
          <w:highlight w:val="none"/>
        </w:rPr>
        <w:t>本期项目为全国市场监管数字化试验区（上海）建设项目的三期项目，重点针对企业登记、公共服务、综合监管、行政处罚与执法监督、质量基础管理服务、数字档案等方面内容进行建设，主要建设目标如下：</w:t>
      </w:r>
    </w:p>
    <w:p w14:paraId="7157145E">
      <w:pPr>
        <w:rPr>
          <w:rFonts w:hint="eastAsia"/>
          <w:highlight w:val="none"/>
        </w:rPr>
      </w:pPr>
      <w:r>
        <w:rPr>
          <w:rFonts w:hint="eastAsia"/>
          <w:highlight w:val="none"/>
        </w:rPr>
        <w:t>（一）升级和优化企业登记在线服务，适应新公司法、企业登记改革、优化营商环境、推进一网通办等方面要求，积极应用智能化、移动化、微服务等新技术，进一步提升用户使用体验。</w:t>
      </w:r>
    </w:p>
    <w:p w14:paraId="34B555DB">
      <w:pPr>
        <w:rPr>
          <w:rFonts w:hint="eastAsia"/>
          <w:highlight w:val="none"/>
        </w:rPr>
      </w:pPr>
      <w:r>
        <w:rPr>
          <w:rFonts w:hint="eastAsia"/>
          <w:highlight w:val="none"/>
        </w:rPr>
        <w:t>（二）整合形成面向社会公众、企业、从业人员、专业机构及专家的统一公共服务入口，支撑市场监管领域的社会共治、企业共治、社区共治等服务职能，更好地支撑市场监管领域的公共服务，全面落实企业主体责任和属地监管责任。</w:t>
      </w:r>
    </w:p>
    <w:p w14:paraId="2BAB8834">
      <w:pPr>
        <w:rPr>
          <w:rFonts w:hint="eastAsia"/>
          <w:highlight w:val="none"/>
        </w:rPr>
      </w:pPr>
      <w:r>
        <w:rPr>
          <w:rFonts w:hint="eastAsia"/>
          <w:highlight w:val="none"/>
        </w:rPr>
        <w:t>（三）整合市场监管领域内各专业领域共性监管工作，统筹建设覆盖市、区、所三级监管任务的综合监管一体化平台，推进综合监管移动应用，强化对综合监管“一件事”的支撑能力，进一步提升综合监管工作效能。</w:t>
      </w:r>
    </w:p>
    <w:p w14:paraId="6E94FDF7">
      <w:pPr>
        <w:rPr>
          <w:rFonts w:hint="eastAsia"/>
          <w:highlight w:val="none"/>
        </w:rPr>
      </w:pPr>
      <w:r>
        <w:rPr>
          <w:rFonts w:hint="eastAsia"/>
          <w:highlight w:val="none"/>
        </w:rPr>
        <w:t>（四）实现行政处罚案件管理全流程电子化，全面推进电子签章应用和电子卷宗统一管理，逐步推进行政处罚移动应用、处罚决定电子送达及罚款在线缴纳，完善案件质量考评和督办管理机制，加强智能化辅助能力，全面提升行政执法支撑能力。</w:t>
      </w:r>
    </w:p>
    <w:p w14:paraId="64DFED15">
      <w:pPr>
        <w:pStyle w:val="3"/>
        <w:rPr>
          <w:rFonts w:hint="eastAsia"/>
          <w:highlight w:val="none"/>
        </w:rPr>
      </w:pPr>
      <w:r>
        <w:rPr>
          <w:rFonts w:hint="eastAsia"/>
          <w:highlight w:val="none"/>
        </w:rPr>
        <w:t>应用指标</w:t>
      </w:r>
    </w:p>
    <w:p w14:paraId="7D971E4F">
      <w:pPr>
        <w:rPr>
          <w:rFonts w:hint="eastAsia"/>
          <w:highlight w:val="none"/>
        </w:rPr>
      </w:pPr>
      <w:r>
        <w:rPr>
          <w:rFonts w:hint="eastAsia"/>
          <w:highlight w:val="none"/>
        </w:rPr>
        <w:t>本项目服务的用户群体和数量如下表：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3067"/>
        <w:gridCol w:w="2076"/>
        <w:gridCol w:w="2076"/>
      </w:tblGrid>
      <w:tr w14:paraId="40EE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2972BB2E">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序号</w:t>
            </w:r>
          </w:p>
        </w:tc>
        <w:tc>
          <w:tcPr>
            <w:tcW w:w="3067" w:type="dxa"/>
            <w:vAlign w:val="center"/>
          </w:tcPr>
          <w:p w14:paraId="31839E91">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主要建设内容</w:t>
            </w:r>
          </w:p>
        </w:tc>
        <w:tc>
          <w:tcPr>
            <w:tcW w:w="2076" w:type="dxa"/>
            <w:vAlign w:val="center"/>
          </w:tcPr>
          <w:p w14:paraId="2166E5C3">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服务对象</w:t>
            </w:r>
          </w:p>
        </w:tc>
        <w:tc>
          <w:tcPr>
            <w:tcW w:w="2076" w:type="dxa"/>
            <w:vAlign w:val="center"/>
          </w:tcPr>
          <w:p w14:paraId="03892F74">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用户量</w:t>
            </w:r>
          </w:p>
        </w:tc>
      </w:tr>
      <w:tr w14:paraId="0CBB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A207804">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w:t>
            </w:r>
          </w:p>
        </w:tc>
        <w:tc>
          <w:tcPr>
            <w:tcW w:w="3067" w:type="dxa"/>
            <w:vMerge w:val="restart"/>
            <w:vAlign w:val="center"/>
          </w:tcPr>
          <w:p w14:paraId="1AA8E741">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企业登记在线</w:t>
            </w:r>
          </w:p>
        </w:tc>
        <w:tc>
          <w:tcPr>
            <w:tcW w:w="2076" w:type="dxa"/>
            <w:vAlign w:val="center"/>
          </w:tcPr>
          <w:p w14:paraId="5CBC6C1F">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市局、区局、市场所用户</w:t>
            </w:r>
          </w:p>
        </w:tc>
        <w:tc>
          <w:tcPr>
            <w:tcW w:w="2076" w:type="dxa"/>
            <w:vAlign w:val="center"/>
          </w:tcPr>
          <w:p w14:paraId="438CD45A">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970</w:t>
            </w:r>
          </w:p>
        </w:tc>
      </w:tr>
      <w:tr w14:paraId="0F69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A8D0B72">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2</w:t>
            </w:r>
          </w:p>
        </w:tc>
        <w:tc>
          <w:tcPr>
            <w:tcW w:w="3067" w:type="dxa"/>
            <w:vMerge w:val="continue"/>
            <w:vAlign w:val="center"/>
          </w:tcPr>
          <w:p w14:paraId="5FFCC770">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7F7C0846">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企业</w:t>
            </w:r>
          </w:p>
        </w:tc>
        <w:tc>
          <w:tcPr>
            <w:tcW w:w="2076" w:type="dxa"/>
            <w:vAlign w:val="center"/>
          </w:tcPr>
          <w:p w14:paraId="5456578B">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300万</w:t>
            </w:r>
          </w:p>
        </w:tc>
      </w:tr>
      <w:tr w14:paraId="6529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vAlign w:val="center"/>
          </w:tcPr>
          <w:p w14:paraId="58DE0F7E">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3</w:t>
            </w:r>
          </w:p>
        </w:tc>
        <w:tc>
          <w:tcPr>
            <w:tcW w:w="3067" w:type="dxa"/>
            <w:vMerge w:val="continue"/>
            <w:vAlign w:val="center"/>
          </w:tcPr>
          <w:p w14:paraId="5A054B89">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182F9CCA">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公众</w:t>
            </w:r>
          </w:p>
        </w:tc>
        <w:tc>
          <w:tcPr>
            <w:tcW w:w="2076" w:type="dxa"/>
            <w:vAlign w:val="center"/>
          </w:tcPr>
          <w:p w14:paraId="759EB8F0">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250万</w:t>
            </w:r>
          </w:p>
        </w:tc>
      </w:tr>
      <w:tr w14:paraId="6B8A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CF54476">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4</w:t>
            </w:r>
          </w:p>
        </w:tc>
        <w:tc>
          <w:tcPr>
            <w:tcW w:w="3067" w:type="dxa"/>
            <w:vMerge w:val="restart"/>
            <w:vAlign w:val="center"/>
          </w:tcPr>
          <w:p w14:paraId="385009FB">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公共服务</w:t>
            </w:r>
          </w:p>
        </w:tc>
        <w:tc>
          <w:tcPr>
            <w:tcW w:w="2076" w:type="dxa"/>
            <w:vAlign w:val="center"/>
          </w:tcPr>
          <w:p w14:paraId="719BB4FA">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企业</w:t>
            </w:r>
          </w:p>
        </w:tc>
        <w:tc>
          <w:tcPr>
            <w:tcW w:w="2076" w:type="dxa"/>
            <w:vAlign w:val="center"/>
          </w:tcPr>
          <w:p w14:paraId="7D7AD001">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50万</w:t>
            </w:r>
          </w:p>
        </w:tc>
      </w:tr>
      <w:tr w14:paraId="2DE8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440924BB">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5</w:t>
            </w:r>
          </w:p>
        </w:tc>
        <w:tc>
          <w:tcPr>
            <w:tcW w:w="3067" w:type="dxa"/>
            <w:vMerge w:val="continue"/>
            <w:vAlign w:val="center"/>
          </w:tcPr>
          <w:p w14:paraId="2DD304DC">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136E271E">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公众</w:t>
            </w:r>
          </w:p>
        </w:tc>
        <w:tc>
          <w:tcPr>
            <w:tcW w:w="2076" w:type="dxa"/>
            <w:vAlign w:val="center"/>
          </w:tcPr>
          <w:p w14:paraId="03DF7069">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50万</w:t>
            </w:r>
          </w:p>
        </w:tc>
      </w:tr>
      <w:tr w14:paraId="29F7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3CA1CD7A">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6</w:t>
            </w:r>
          </w:p>
        </w:tc>
        <w:tc>
          <w:tcPr>
            <w:tcW w:w="3067" w:type="dxa"/>
            <w:vMerge w:val="continue"/>
            <w:vAlign w:val="center"/>
          </w:tcPr>
          <w:p w14:paraId="2654A1FB">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17D6D9CD">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街镇</w:t>
            </w:r>
          </w:p>
        </w:tc>
        <w:tc>
          <w:tcPr>
            <w:tcW w:w="2076" w:type="dxa"/>
            <w:vAlign w:val="center"/>
          </w:tcPr>
          <w:p w14:paraId="286E491E">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300</w:t>
            </w:r>
          </w:p>
        </w:tc>
      </w:tr>
      <w:tr w14:paraId="7D71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77" w:type="dxa"/>
            <w:vAlign w:val="center"/>
          </w:tcPr>
          <w:p w14:paraId="22A108C0">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7</w:t>
            </w:r>
          </w:p>
        </w:tc>
        <w:tc>
          <w:tcPr>
            <w:tcW w:w="3067" w:type="dxa"/>
            <w:vMerge w:val="continue"/>
            <w:vAlign w:val="center"/>
          </w:tcPr>
          <w:p w14:paraId="16D97E73">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30D4CD4E">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其他</w:t>
            </w:r>
          </w:p>
        </w:tc>
        <w:tc>
          <w:tcPr>
            <w:tcW w:w="2076" w:type="dxa"/>
            <w:vAlign w:val="center"/>
          </w:tcPr>
          <w:p w14:paraId="6ED506C5">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5000</w:t>
            </w:r>
          </w:p>
        </w:tc>
      </w:tr>
      <w:tr w14:paraId="380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0B331F1C">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8</w:t>
            </w:r>
          </w:p>
        </w:tc>
        <w:tc>
          <w:tcPr>
            <w:tcW w:w="3067" w:type="dxa"/>
            <w:vAlign w:val="center"/>
          </w:tcPr>
          <w:p w14:paraId="433D3D07">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综合监管</w:t>
            </w:r>
          </w:p>
        </w:tc>
        <w:tc>
          <w:tcPr>
            <w:tcW w:w="2076" w:type="dxa"/>
            <w:vAlign w:val="center"/>
          </w:tcPr>
          <w:p w14:paraId="1F5B16CD">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市局、区局、市场所用户</w:t>
            </w:r>
          </w:p>
        </w:tc>
        <w:tc>
          <w:tcPr>
            <w:tcW w:w="2076" w:type="dxa"/>
            <w:vAlign w:val="center"/>
          </w:tcPr>
          <w:p w14:paraId="04868779">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5000</w:t>
            </w:r>
          </w:p>
        </w:tc>
      </w:tr>
      <w:tr w14:paraId="7037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23421C97">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9</w:t>
            </w:r>
          </w:p>
        </w:tc>
        <w:tc>
          <w:tcPr>
            <w:tcW w:w="3067" w:type="dxa"/>
            <w:vMerge w:val="restart"/>
            <w:vAlign w:val="center"/>
          </w:tcPr>
          <w:p w14:paraId="3A4F953D">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行政处罚与执法监督</w:t>
            </w:r>
          </w:p>
        </w:tc>
        <w:tc>
          <w:tcPr>
            <w:tcW w:w="2076" w:type="dxa"/>
            <w:vAlign w:val="center"/>
          </w:tcPr>
          <w:p w14:paraId="1A1D0A79">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市局、区局、市场所用户</w:t>
            </w:r>
          </w:p>
        </w:tc>
        <w:tc>
          <w:tcPr>
            <w:tcW w:w="2076" w:type="dxa"/>
            <w:vAlign w:val="center"/>
          </w:tcPr>
          <w:p w14:paraId="6727781B">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1350</w:t>
            </w:r>
          </w:p>
        </w:tc>
      </w:tr>
      <w:tr w14:paraId="2ABC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vAlign w:val="center"/>
          </w:tcPr>
          <w:p w14:paraId="1E48FF0B">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10</w:t>
            </w:r>
          </w:p>
        </w:tc>
        <w:tc>
          <w:tcPr>
            <w:tcW w:w="3067" w:type="dxa"/>
            <w:vMerge w:val="continue"/>
            <w:vAlign w:val="center"/>
          </w:tcPr>
          <w:p w14:paraId="716D1ABD">
            <w:pPr>
              <w:pStyle w:val="137"/>
              <w:widowControl w:val="0"/>
              <w:jc w:val="center"/>
              <w:rPr>
                <w:rFonts w:hint="eastAsia" w:asciiTheme="minorEastAsia" w:hAnsiTheme="minorEastAsia" w:eastAsiaTheme="minorEastAsia"/>
                <w:szCs w:val="21"/>
                <w:highlight w:val="none"/>
              </w:rPr>
            </w:pPr>
          </w:p>
        </w:tc>
        <w:tc>
          <w:tcPr>
            <w:tcW w:w="2076" w:type="dxa"/>
            <w:vAlign w:val="center"/>
          </w:tcPr>
          <w:p w14:paraId="01A7CB63">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企业/公众</w:t>
            </w:r>
          </w:p>
        </w:tc>
        <w:tc>
          <w:tcPr>
            <w:tcW w:w="2076" w:type="dxa"/>
            <w:vAlign w:val="center"/>
          </w:tcPr>
          <w:p w14:paraId="1D3238DC">
            <w:pPr>
              <w:pStyle w:val="137"/>
              <w:widowControl w:val="0"/>
              <w:jc w:val="center"/>
              <w:rPr>
                <w:rFonts w:hint="eastAsia" w:asciiTheme="minorEastAsia" w:hAnsiTheme="minorEastAsia" w:eastAsiaTheme="minorEastAsia"/>
                <w:szCs w:val="21"/>
                <w:highlight w:val="none"/>
              </w:rPr>
            </w:pPr>
            <w:r>
              <w:rPr>
                <w:rFonts w:hint="eastAsia" w:asciiTheme="minorEastAsia" w:hAnsiTheme="minorEastAsia" w:eastAsiaTheme="minorEastAsia"/>
                <w:szCs w:val="21"/>
                <w:highlight w:val="none"/>
              </w:rPr>
              <w:t>15万</w:t>
            </w:r>
          </w:p>
        </w:tc>
      </w:tr>
    </w:tbl>
    <w:p w14:paraId="09E3DCD8">
      <w:pPr>
        <w:rPr>
          <w:rFonts w:hint="eastAsia"/>
          <w:highlight w:val="none"/>
        </w:rPr>
      </w:pPr>
    </w:p>
    <w:p w14:paraId="059BFFC9">
      <w:pPr>
        <w:pStyle w:val="3"/>
        <w:rPr>
          <w:rFonts w:hint="eastAsia"/>
          <w:highlight w:val="none"/>
        </w:rPr>
      </w:pPr>
      <w:r>
        <w:rPr>
          <w:rFonts w:hint="eastAsia"/>
          <w:highlight w:val="none"/>
        </w:rPr>
        <w:t>业务绩效目标</w:t>
      </w:r>
    </w:p>
    <w:tbl>
      <w:tblPr>
        <w:tblStyle w:val="35"/>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834"/>
        <w:gridCol w:w="851"/>
        <w:gridCol w:w="1275"/>
        <w:gridCol w:w="1276"/>
        <w:gridCol w:w="992"/>
        <w:gridCol w:w="3119"/>
      </w:tblGrid>
      <w:tr w14:paraId="5CF4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37" w:type="dxa"/>
            <w:shd w:val="clear" w:color="auto" w:fill="auto"/>
            <w:vAlign w:val="center"/>
          </w:tcPr>
          <w:p w14:paraId="4CB06B6B">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序号</w:t>
            </w:r>
          </w:p>
        </w:tc>
        <w:tc>
          <w:tcPr>
            <w:tcW w:w="834" w:type="dxa"/>
            <w:shd w:val="clear" w:color="auto" w:fill="auto"/>
            <w:vAlign w:val="center"/>
          </w:tcPr>
          <w:p w14:paraId="2715BC34">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一级指标</w:t>
            </w:r>
          </w:p>
        </w:tc>
        <w:tc>
          <w:tcPr>
            <w:tcW w:w="851" w:type="dxa"/>
            <w:shd w:val="clear" w:color="auto" w:fill="auto"/>
            <w:vAlign w:val="center"/>
          </w:tcPr>
          <w:p w14:paraId="07E1EE43">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二级指标</w:t>
            </w:r>
          </w:p>
        </w:tc>
        <w:tc>
          <w:tcPr>
            <w:tcW w:w="1275" w:type="dxa"/>
            <w:shd w:val="clear" w:color="auto" w:fill="auto"/>
            <w:vAlign w:val="center"/>
          </w:tcPr>
          <w:p w14:paraId="017E2BE1">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三级指标</w:t>
            </w:r>
          </w:p>
        </w:tc>
        <w:tc>
          <w:tcPr>
            <w:tcW w:w="1276" w:type="dxa"/>
            <w:shd w:val="clear" w:color="auto" w:fill="auto"/>
            <w:vAlign w:val="center"/>
          </w:tcPr>
          <w:p w14:paraId="6065F84E">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四级指标</w:t>
            </w:r>
          </w:p>
        </w:tc>
        <w:tc>
          <w:tcPr>
            <w:tcW w:w="992" w:type="dxa"/>
            <w:shd w:val="clear" w:color="auto" w:fill="auto"/>
            <w:vAlign w:val="center"/>
          </w:tcPr>
          <w:p w14:paraId="42F3B090">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指标值</w:t>
            </w:r>
          </w:p>
        </w:tc>
        <w:tc>
          <w:tcPr>
            <w:tcW w:w="3119" w:type="dxa"/>
            <w:shd w:val="clear" w:color="auto" w:fill="auto"/>
            <w:vAlign w:val="center"/>
          </w:tcPr>
          <w:p w14:paraId="19C95CA8">
            <w:pPr>
              <w:spacing w:line="240" w:lineRule="auto"/>
              <w:ind w:firstLine="0" w:firstLineChars="0"/>
              <w:jc w:val="center"/>
              <w:rPr>
                <w:rFonts w:hint="eastAsia" w:cs="Arial"/>
                <w:color w:val="000000"/>
                <w:sz w:val="21"/>
                <w:szCs w:val="21"/>
                <w:highlight w:val="none"/>
              </w:rPr>
            </w:pPr>
            <w:r>
              <w:rPr>
                <w:rFonts w:hint="eastAsia" w:cs="Arial"/>
                <w:b/>
                <w:bCs/>
                <w:sz w:val="21"/>
                <w:szCs w:val="21"/>
                <w:highlight w:val="none"/>
              </w:rPr>
              <w:t>指标解释</w:t>
            </w:r>
          </w:p>
        </w:tc>
      </w:tr>
      <w:tr w14:paraId="6019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437" w:type="dxa"/>
            <w:shd w:val="clear" w:color="auto" w:fill="auto"/>
            <w:vAlign w:val="center"/>
          </w:tcPr>
          <w:p w14:paraId="240AFEA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w:t>
            </w:r>
          </w:p>
        </w:tc>
        <w:tc>
          <w:tcPr>
            <w:tcW w:w="834" w:type="dxa"/>
            <w:vMerge w:val="restart"/>
            <w:shd w:val="clear" w:color="auto" w:fill="auto"/>
            <w:vAlign w:val="center"/>
          </w:tcPr>
          <w:p w14:paraId="54D9464E">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通用指标</w:t>
            </w:r>
          </w:p>
        </w:tc>
        <w:tc>
          <w:tcPr>
            <w:tcW w:w="851" w:type="dxa"/>
            <w:shd w:val="clear" w:color="auto" w:fill="auto"/>
            <w:vAlign w:val="center"/>
          </w:tcPr>
          <w:p w14:paraId="2E6B0A29">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产出指标</w:t>
            </w:r>
          </w:p>
        </w:tc>
        <w:tc>
          <w:tcPr>
            <w:tcW w:w="1275" w:type="dxa"/>
            <w:shd w:val="clear" w:color="auto" w:fill="auto"/>
            <w:vAlign w:val="center"/>
          </w:tcPr>
          <w:p w14:paraId="5B7188FB">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产出质量</w:t>
            </w:r>
          </w:p>
        </w:tc>
        <w:tc>
          <w:tcPr>
            <w:tcW w:w="1276" w:type="dxa"/>
            <w:shd w:val="clear" w:color="auto" w:fill="auto"/>
            <w:vAlign w:val="center"/>
          </w:tcPr>
          <w:p w14:paraId="2DA0E6F7">
            <w:pPr>
              <w:spacing w:line="240" w:lineRule="auto"/>
              <w:ind w:firstLine="0" w:firstLineChars="0"/>
              <w:rPr>
                <w:rFonts w:hint="eastAsia" w:cs="Arial"/>
                <w:color w:val="000000"/>
                <w:sz w:val="21"/>
                <w:szCs w:val="21"/>
                <w:highlight w:val="none"/>
              </w:rPr>
            </w:pPr>
            <w:r>
              <w:rPr>
                <w:rFonts w:hint="eastAsia" w:cs="Arial"/>
                <w:sz w:val="21"/>
                <w:szCs w:val="21"/>
                <w:highlight w:val="none"/>
              </w:rPr>
              <w:t>一次性验收合格率</w:t>
            </w:r>
          </w:p>
        </w:tc>
        <w:tc>
          <w:tcPr>
            <w:tcW w:w="992" w:type="dxa"/>
            <w:shd w:val="clear" w:color="auto" w:fill="auto"/>
            <w:vAlign w:val="center"/>
          </w:tcPr>
          <w:p w14:paraId="10C96D25">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1A6CEEFF">
            <w:pPr>
              <w:spacing w:line="240" w:lineRule="auto"/>
              <w:ind w:firstLine="0" w:firstLineChars="0"/>
              <w:rPr>
                <w:rFonts w:hint="eastAsia" w:cs="Arial"/>
                <w:color w:val="000000"/>
                <w:sz w:val="21"/>
                <w:szCs w:val="21"/>
                <w:highlight w:val="none"/>
              </w:rPr>
            </w:pPr>
            <w:r>
              <w:rPr>
                <w:rFonts w:hint="eastAsia" w:cs="Arial"/>
                <w:sz w:val="21"/>
                <w:szCs w:val="21"/>
                <w:highlight w:val="none"/>
              </w:rPr>
              <w:t>考察项目一次性验收质量情况。一次性通过即为合格率 100%，整改后通过记为60%，不通过记为 0。</w:t>
            </w:r>
          </w:p>
        </w:tc>
      </w:tr>
      <w:tr w14:paraId="6ADAE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4CBEF9B6">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2</w:t>
            </w:r>
          </w:p>
        </w:tc>
        <w:tc>
          <w:tcPr>
            <w:tcW w:w="834" w:type="dxa"/>
            <w:vMerge w:val="continue"/>
            <w:vAlign w:val="center"/>
          </w:tcPr>
          <w:p w14:paraId="557E89A4">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72734034">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产出指标</w:t>
            </w:r>
          </w:p>
        </w:tc>
        <w:tc>
          <w:tcPr>
            <w:tcW w:w="1275" w:type="dxa"/>
            <w:shd w:val="clear" w:color="auto" w:fill="auto"/>
            <w:vAlign w:val="center"/>
          </w:tcPr>
          <w:p w14:paraId="4A72ECBF">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产出质量</w:t>
            </w:r>
          </w:p>
        </w:tc>
        <w:tc>
          <w:tcPr>
            <w:tcW w:w="1276" w:type="dxa"/>
            <w:shd w:val="clear" w:color="auto" w:fill="auto"/>
            <w:vAlign w:val="center"/>
          </w:tcPr>
          <w:p w14:paraId="35F13DEB">
            <w:pPr>
              <w:spacing w:line="240" w:lineRule="auto"/>
              <w:ind w:firstLine="0" w:firstLineChars="0"/>
              <w:rPr>
                <w:rFonts w:hint="eastAsia" w:cs="Arial"/>
                <w:color w:val="000000"/>
                <w:sz w:val="21"/>
                <w:szCs w:val="21"/>
                <w:highlight w:val="none"/>
              </w:rPr>
            </w:pPr>
            <w:r>
              <w:rPr>
                <w:rFonts w:hint="eastAsia" w:cs="Arial"/>
                <w:sz w:val="21"/>
                <w:szCs w:val="21"/>
                <w:highlight w:val="none"/>
              </w:rPr>
              <w:t>数据安全事件发生次数</w:t>
            </w:r>
          </w:p>
        </w:tc>
        <w:tc>
          <w:tcPr>
            <w:tcW w:w="992" w:type="dxa"/>
            <w:shd w:val="clear" w:color="auto" w:fill="auto"/>
            <w:vAlign w:val="center"/>
          </w:tcPr>
          <w:p w14:paraId="02E134B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0次</w:t>
            </w:r>
          </w:p>
        </w:tc>
        <w:tc>
          <w:tcPr>
            <w:tcW w:w="3119" w:type="dxa"/>
            <w:shd w:val="clear" w:color="auto" w:fill="auto"/>
            <w:vAlign w:val="center"/>
          </w:tcPr>
          <w:p w14:paraId="14B124BC">
            <w:pPr>
              <w:spacing w:line="240" w:lineRule="auto"/>
              <w:ind w:firstLine="0" w:firstLineChars="0"/>
              <w:rPr>
                <w:rFonts w:hint="eastAsia" w:cs="Arial"/>
                <w:color w:val="000000"/>
                <w:sz w:val="21"/>
                <w:szCs w:val="21"/>
                <w:highlight w:val="none"/>
              </w:rPr>
            </w:pPr>
            <w:r>
              <w:rPr>
                <w:rFonts w:hint="eastAsia" w:cs="Arial"/>
                <w:sz w:val="21"/>
                <w:szCs w:val="21"/>
                <w:highlight w:val="none"/>
              </w:rPr>
              <w:t>反映数据安全保障结果情况。指标值=数据安全事件发生次数。</w:t>
            </w:r>
          </w:p>
        </w:tc>
      </w:tr>
      <w:tr w14:paraId="0253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6BCCC6DB">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3</w:t>
            </w:r>
          </w:p>
        </w:tc>
        <w:tc>
          <w:tcPr>
            <w:tcW w:w="834" w:type="dxa"/>
            <w:vMerge w:val="continue"/>
            <w:vAlign w:val="center"/>
          </w:tcPr>
          <w:p w14:paraId="29F59D4C">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4EA02913">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产出指标</w:t>
            </w:r>
          </w:p>
        </w:tc>
        <w:tc>
          <w:tcPr>
            <w:tcW w:w="1275" w:type="dxa"/>
            <w:shd w:val="clear" w:color="auto" w:fill="auto"/>
            <w:vAlign w:val="center"/>
          </w:tcPr>
          <w:p w14:paraId="7154AE24">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产出时效</w:t>
            </w:r>
          </w:p>
        </w:tc>
        <w:tc>
          <w:tcPr>
            <w:tcW w:w="1276" w:type="dxa"/>
            <w:shd w:val="clear" w:color="auto" w:fill="auto"/>
            <w:vAlign w:val="center"/>
          </w:tcPr>
          <w:p w14:paraId="58A99F07">
            <w:pPr>
              <w:spacing w:line="240" w:lineRule="auto"/>
              <w:ind w:firstLine="0" w:firstLineChars="0"/>
              <w:rPr>
                <w:rFonts w:hint="eastAsia" w:cs="Arial"/>
                <w:color w:val="000000"/>
                <w:sz w:val="21"/>
                <w:szCs w:val="21"/>
                <w:highlight w:val="none"/>
              </w:rPr>
            </w:pPr>
            <w:r>
              <w:rPr>
                <w:rFonts w:hint="eastAsia" w:cs="Arial"/>
                <w:sz w:val="21"/>
                <w:szCs w:val="21"/>
                <w:highlight w:val="none"/>
              </w:rPr>
              <w:t>项目建设周期</w:t>
            </w:r>
          </w:p>
        </w:tc>
        <w:tc>
          <w:tcPr>
            <w:tcW w:w="992" w:type="dxa"/>
            <w:shd w:val="clear" w:color="auto" w:fill="auto"/>
            <w:vAlign w:val="center"/>
          </w:tcPr>
          <w:p w14:paraId="7E46A46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18个月</w:t>
            </w:r>
          </w:p>
        </w:tc>
        <w:tc>
          <w:tcPr>
            <w:tcW w:w="3119" w:type="dxa"/>
            <w:shd w:val="clear" w:color="auto" w:fill="auto"/>
            <w:vAlign w:val="center"/>
          </w:tcPr>
          <w:p w14:paraId="771F2ECE">
            <w:pPr>
              <w:spacing w:line="240" w:lineRule="auto"/>
              <w:ind w:firstLine="0" w:firstLineChars="0"/>
              <w:rPr>
                <w:rFonts w:hint="eastAsia" w:cs="Arial"/>
                <w:color w:val="000000"/>
                <w:sz w:val="21"/>
                <w:szCs w:val="21"/>
                <w:highlight w:val="none"/>
              </w:rPr>
            </w:pPr>
            <w:r>
              <w:rPr>
                <w:rFonts w:hint="eastAsia" w:cs="Arial"/>
                <w:sz w:val="21"/>
                <w:szCs w:val="21"/>
                <w:highlight w:val="none"/>
              </w:rPr>
              <w:t>反映项目建设时间周期。指标值=建设周期</w:t>
            </w:r>
          </w:p>
        </w:tc>
      </w:tr>
      <w:tr w14:paraId="6058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5BFC6D35">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4</w:t>
            </w:r>
          </w:p>
        </w:tc>
        <w:tc>
          <w:tcPr>
            <w:tcW w:w="834" w:type="dxa"/>
            <w:vMerge w:val="continue"/>
            <w:vAlign w:val="center"/>
          </w:tcPr>
          <w:p w14:paraId="7DF65F39">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6FAFFDCC">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共性平台</w:t>
            </w:r>
          </w:p>
        </w:tc>
        <w:tc>
          <w:tcPr>
            <w:tcW w:w="1275" w:type="dxa"/>
            <w:shd w:val="clear" w:color="auto" w:fill="auto"/>
            <w:vAlign w:val="center"/>
          </w:tcPr>
          <w:p w14:paraId="4DA8711F">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平台整合能力</w:t>
            </w:r>
          </w:p>
        </w:tc>
        <w:tc>
          <w:tcPr>
            <w:tcW w:w="1276" w:type="dxa"/>
            <w:shd w:val="clear" w:color="auto" w:fill="auto"/>
            <w:vAlign w:val="center"/>
          </w:tcPr>
          <w:p w14:paraId="52088F66">
            <w:pPr>
              <w:spacing w:line="240" w:lineRule="auto"/>
              <w:ind w:firstLine="0" w:firstLineChars="0"/>
              <w:rPr>
                <w:rFonts w:hint="eastAsia" w:cs="Arial"/>
                <w:color w:val="000000"/>
                <w:sz w:val="21"/>
                <w:szCs w:val="21"/>
                <w:highlight w:val="none"/>
              </w:rPr>
            </w:pPr>
            <w:r>
              <w:rPr>
                <w:rFonts w:hint="eastAsia" w:cs="Arial"/>
                <w:sz w:val="21"/>
                <w:szCs w:val="21"/>
                <w:highlight w:val="none"/>
              </w:rPr>
              <w:t>部门使用率</w:t>
            </w:r>
          </w:p>
        </w:tc>
        <w:tc>
          <w:tcPr>
            <w:tcW w:w="992" w:type="dxa"/>
            <w:shd w:val="clear" w:color="auto" w:fill="auto"/>
            <w:vAlign w:val="center"/>
          </w:tcPr>
          <w:p w14:paraId="2D720D6E">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0B79F27B">
            <w:pPr>
              <w:spacing w:line="240" w:lineRule="auto"/>
              <w:ind w:firstLine="0" w:firstLineChars="0"/>
              <w:rPr>
                <w:rFonts w:hint="eastAsia" w:cs="Arial"/>
                <w:color w:val="000000"/>
                <w:sz w:val="21"/>
                <w:szCs w:val="21"/>
                <w:highlight w:val="none"/>
              </w:rPr>
            </w:pPr>
            <w:r>
              <w:rPr>
                <w:rFonts w:hint="eastAsia" w:cs="Arial"/>
                <w:sz w:val="21"/>
                <w:szCs w:val="21"/>
                <w:highlight w:val="none"/>
              </w:rPr>
              <w:t>反映系统服务各部门情况。指标值=使用系统的部门数量/计划服务的部门总数。</w:t>
            </w:r>
          </w:p>
        </w:tc>
      </w:tr>
      <w:tr w14:paraId="30845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2D922A29">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5</w:t>
            </w:r>
          </w:p>
        </w:tc>
        <w:tc>
          <w:tcPr>
            <w:tcW w:w="834" w:type="dxa"/>
            <w:vMerge w:val="continue"/>
            <w:vAlign w:val="center"/>
          </w:tcPr>
          <w:p w14:paraId="5B6840F5">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4990DD95">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55916A27">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基础数据共性系统水平</w:t>
            </w:r>
          </w:p>
        </w:tc>
        <w:tc>
          <w:tcPr>
            <w:tcW w:w="1276" w:type="dxa"/>
            <w:shd w:val="clear" w:color="auto" w:fill="auto"/>
            <w:vAlign w:val="center"/>
          </w:tcPr>
          <w:p w14:paraId="46A24FE1">
            <w:pPr>
              <w:spacing w:line="240" w:lineRule="auto"/>
              <w:ind w:firstLine="0" w:firstLineChars="0"/>
              <w:rPr>
                <w:rFonts w:hint="eastAsia" w:cs="Arial"/>
                <w:color w:val="000000"/>
                <w:sz w:val="21"/>
                <w:szCs w:val="21"/>
                <w:highlight w:val="none"/>
              </w:rPr>
            </w:pPr>
            <w:r>
              <w:rPr>
                <w:rFonts w:hint="eastAsia" w:cs="Arial"/>
                <w:sz w:val="21"/>
                <w:szCs w:val="21"/>
                <w:highlight w:val="none"/>
              </w:rPr>
              <w:t>基础数据采集覆盖率</w:t>
            </w:r>
          </w:p>
        </w:tc>
        <w:tc>
          <w:tcPr>
            <w:tcW w:w="992" w:type="dxa"/>
            <w:shd w:val="clear" w:color="auto" w:fill="auto"/>
            <w:vAlign w:val="center"/>
          </w:tcPr>
          <w:p w14:paraId="5BDF524A">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2164BBC6">
            <w:pPr>
              <w:spacing w:line="240" w:lineRule="auto"/>
              <w:ind w:firstLine="0" w:firstLineChars="0"/>
              <w:rPr>
                <w:rFonts w:hint="eastAsia" w:cs="Arial"/>
                <w:color w:val="000000"/>
                <w:sz w:val="21"/>
                <w:szCs w:val="21"/>
                <w:highlight w:val="none"/>
              </w:rPr>
            </w:pPr>
            <w:r>
              <w:rPr>
                <w:rFonts w:hint="eastAsia" w:cs="Arial"/>
                <w:sz w:val="21"/>
                <w:szCs w:val="21"/>
                <w:highlight w:val="none"/>
              </w:rPr>
              <w:t>反映基础数据覆盖情况。指标值=已采集的基础数据量/计划采集的基础数据量*100%。</w:t>
            </w:r>
          </w:p>
        </w:tc>
      </w:tr>
      <w:tr w14:paraId="0987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60A68798">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6</w:t>
            </w:r>
          </w:p>
        </w:tc>
        <w:tc>
          <w:tcPr>
            <w:tcW w:w="834" w:type="dxa"/>
            <w:vMerge w:val="continue"/>
            <w:vAlign w:val="center"/>
          </w:tcPr>
          <w:p w14:paraId="6FACCC0D">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531CF5E6">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1912570B">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基础数据共性系统水平</w:t>
            </w:r>
          </w:p>
        </w:tc>
        <w:tc>
          <w:tcPr>
            <w:tcW w:w="1276" w:type="dxa"/>
            <w:shd w:val="clear" w:color="auto" w:fill="auto"/>
            <w:vAlign w:val="center"/>
          </w:tcPr>
          <w:p w14:paraId="6FA1F658">
            <w:pPr>
              <w:spacing w:line="240" w:lineRule="auto"/>
              <w:ind w:firstLine="0" w:firstLineChars="0"/>
              <w:rPr>
                <w:rFonts w:hint="eastAsia" w:cs="Arial"/>
                <w:color w:val="000000"/>
                <w:sz w:val="21"/>
                <w:szCs w:val="21"/>
                <w:highlight w:val="none"/>
              </w:rPr>
            </w:pPr>
            <w:r>
              <w:rPr>
                <w:rFonts w:hint="eastAsia" w:cs="Arial"/>
                <w:sz w:val="21"/>
                <w:szCs w:val="21"/>
                <w:highlight w:val="none"/>
              </w:rPr>
              <w:t>数字证书发放率</w:t>
            </w:r>
          </w:p>
        </w:tc>
        <w:tc>
          <w:tcPr>
            <w:tcW w:w="992" w:type="dxa"/>
            <w:shd w:val="clear" w:color="auto" w:fill="auto"/>
            <w:vAlign w:val="center"/>
          </w:tcPr>
          <w:p w14:paraId="33747466">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15A22C39">
            <w:pPr>
              <w:spacing w:line="240" w:lineRule="auto"/>
              <w:ind w:firstLine="0" w:firstLineChars="0"/>
              <w:rPr>
                <w:rFonts w:hint="eastAsia" w:cs="Arial"/>
                <w:color w:val="000000"/>
                <w:sz w:val="21"/>
                <w:szCs w:val="21"/>
                <w:highlight w:val="none"/>
              </w:rPr>
            </w:pPr>
            <w:r>
              <w:rPr>
                <w:rFonts w:hint="eastAsia" w:cs="Arial"/>
                <w:sz w:val="21"/>
                <w:szCs w:val="21"/>
                <w:highlight w:val="none"/>
              </w:rPr>
              <w:t>反映数字证书发放覆盖情况。指标值=已发放的数字证书数量/计划发放的数字证书数量*100%.</w:t>
            </w:r>
          </w:p>
        </w:tc>
      </w:tr>
      <w:tr w14:paraId="6F619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2485069A">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7</w:t>
            </w:r>
          </w:p>
        </w:tc>
        <w:tc>
          <w:tcPr>
            <w:tcW w:w="834" w:type="dxa"/>
            <w:vMerge w:val="continue"/>
            <w:vAlign w:val="center"/>
          </w:tcPr>
          <w:p w14:paraId="1E5AFDE4">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23CAD34B">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3718B851">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基础数据共性系统水平</w:t>
            </w:r>
          </w:p>
        </w:tc>
        <w:tc>
          <w:tcPr>
            <w:tcW w:w="1276" w:type="dxa"/>
            <w:shd w:val="clear" w:color="auto" w:fill="auto"/>
            <w:vAlign w:val="center"/>
          </w:tcPr>
          <w:p w14:paraId="4A63CD9F">
            <w:pPr>
              <w:spacing w:line="240" w:lineRule="auto"/>
              <w:ind w:firstLine="0" w:firstLineChars="0"/>
              <w:rPr>
                <w:rFonts w:hint="eastAsia" w:cs="Arial"/>
                <w:color w:val="000000"/>
                <w:sz w:val="21"/>
                <w:szCs w:val="21"/>
                <w:highlight w:val="none"/>
              </w:rPr>
            </w:pPr>
            <w:r>
              <w:rPr>
                <w:rFonts w:hint="eastAsia" w:cs="Arial"/>
                <w:sz w:val="21"/>
                <w:szCs w:val="21"/>
                <w:highlight w:val="none"/>
              </w:rPr>
              <w:t>电子证照数据采集完成率</w:t>
            </w:r>
          </w:p>
        </w:tc>
        <w:tc>
          <w:tcPr>
            <w:tcW w:w="992" w:type="dxa"/>
            <w:shd w:val="clear" w:color="auto" w:fill="auto"/>
            <w:vAlign w:val="center"/>
          </w:tcPr>
          <w:p w14:paraId="71D43090">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7458026A">
            <w:pPr>
              <w:spacing w:line="240" w:lineRule="auto"/>
              <w:ind w:firstLine="0" w:firstLineChars="0"/>
              <w:rPr>
                <w:rFonts w:hint="eastAsia" w:cs="Arial"/>
                <w:color w:val="000000"/>
                <w:sz w:val="21"/>
                <w:szCs w:val="21"/>
                <w:highlight w:val="none"/>
              </w:rPr>
            </w:pPr>
            <w:r>
              <w:rPr>
                <w:rFonts w:hint="eastAsia" w:cs="Arial"/>
                <w:sz w:val="21"/>
                <w:szCs w:val="21"/>
                <w:highlight w:val="none"/>
              </w:rPr>
              <w:t>反映电子证照数据采集完成情况。指标值=已采集的电子证照数据量/计划采集的电子证照数量*100%。</w:t>
            </w:r>
          </w:p>
        </w:tc>
      </w:tr>
      <w:tr w14:paraId="2E362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0D10D786">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8</w:t>
            </w:r>
          </w:p>
        </w:tc>
        <w:tc>
          <w:tcPr>
            <w:tcW w:w="834" w:type="dxa"/>
            <w:vMerge w:val="continue"/>
            <w:vAlign w:val="center"/>
          </w:tcPr>
          <w:p w14:paraId="5A28F656">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707F2618">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58E5534A">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基础数据共性系统水平</w:t>
            </w:r>
          </w:p>
        </w:tc>
        <w:tc>
          <w:tcPr>
            <w:tcW w:w="1276" w:type="dxa"/>
            <w:shd w:val="clear" w:color="auto" w:fill="auto"/>
            <w:vAlign w:val="center"/>
          </w:tcPr>
          <w:p w14:paraId="70B91F5D">
            <w:pPr>
              <w:spacing w:line="240" w:lineRule="auto"/>
              <w:ind w:firstLine="0" w:firstLineChars="0"/>
              <w:rPr>
                <w:rFonts w:hint="eastAsia" w:cs="Arial"/>
                <w:color w:val="000000"/>
                <w:sz w:val="21"/>
                <w:szCs w:val="21"/>
                <w:highlight w:val="none"/>
              </w:rPr>
            </w:pPr>
            <w:r>
              <w:rPr>
                <w:rFonts w:hint="eastAsia" w:cs="Arial"/>
                <w:sz w:val="21"/>
                <w:szCs w:val="21"/>
                <w:highlight w:val="none"/>
              </w:rPr>
              <w:t>数字证书介质合格率</w:t>
            </w:r>
          </w:p>
        </w:tc>
        <w:tc>
          <w:tcPr>
            <w:tcW w:w="992" w:type="dxa"/>
            <w:shd w:val="clear" w:color="auto" w:fill="auto"/>
            <w:vAlign w:val="center"/>
          </w:tcPr>
          <w:p w14:paraId="08F518B1">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3DC0F2FA">
            <w:pPr>
              <w:spacing w:line="240" w:lineRule="auto"/>
              <w:ind w:firstLine="0" w:firstLineChars="0"/>
              <w:rPr>
                <w:rFonts w:hint="eastAsia" w:cs="Arial"/>
                <w:color w:val="000000"/>
                <w:sz w:val="21"/>
                <w:szCs w:val="21"/>
                <w:highlight w:val="none"/>
              </w:rPr>
            </w:pPr>
            <w:r>
              <w:rPr>
                <w:rFonts w:hint="eastAsia" w:cs="Arial"/>
                <w:sz w:val="21"/>
                <w:szCs w:val="21"/>
                <w:highlight w:val="none"/>
              </w:rPr>
              <w:t>反映数字证书介质质量情况。指标值=合格的数字证书介质数量/所有发放的数字证书介质数量*100%。</w:t>
            </w:r>
          </w:p>
        </w:tc>
      </w:tr>
      <w:tr w14:paraId="2A6C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6FB1EB5E">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9</w:t>
            </w:r>
          </w:p>
        </w:tc>
        <w:tc>
          <w:tcPr>
            <w:tcW w:w="834" w:type="dxa"/>
            <w:vMerge w:val="continue"/>
            <w:vAlign w:val="center"/>
          </w:tcPr>
          <w:p w14:paraId="179F6FBC">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5A8E3911">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1D301CBE">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基础数据共性系统水平</w:t>
            </w:r>
          </w:p>
        </w:tc>
        <w:tc>
          <w:tcPr>
            <w:tcW w:w="1276" w:type="dxa"/>
            <w:shd w:val="clear" w:color="auto" w:fill="auto"/>
            <w:vAlign w:val="center"/>
          </w:tcPr>
          <w:p w14:paraId="59CB5726">
            <w:pPr>
              <w:spacing w:line="240" w:lineRule="auto"/>
              <w:ind w:firstLine="0" w:firstLineChars="0"/>
              <w:rPr>
                <w:rFonts w:hint="eastAsia" w:cs="Arial"/>
                <w:color w:val="000000"/>
                <w:sz w:val="21"/>
                <w:szCs w:val="21"/>
                <w:highlight w:val="none"/>
              </w:rPr>
            </w:pPr>
            <w:r>
              <w:rPr>
                <w:rFonts w:hint="eastAsia" w:cs="Arial"/>
                <w:sz w:val="21"/>
                <w:szCs w:val="21"/>
                <w:highlight w:val="none"/>
              </w:rPr>
              <w:t>模型精细度达标率</w:t>
            </w:r>
          </w:p>
        </w:tc>
        <w:tc>
          <w:tcPr>
            <w:tcW w:w="992" w:type="dxa"/>
            <w:shd w:val="clear" w:color="auto" w:fill="auto"/>
            <w:vAlign w:val="center"/>
          </w:tcPr>
          <w:p w14:paraId="68DB3A7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3D601758">
            <w:pPr>
              <w:spacing w:line="240" w:lineRule="auto"/>
              <w:ind w:firstLine="0" w:firstLineChars="0"/>
              <w:rPr>
                <w:rFonts w:hint="eastAsia" w:cs="Arial"/>
                <w:color w:val="000000"/>
                <w:sz w:val="21"/>
                <w:szCs w:val="21"/>
                <w:highlight w:val="none"/>
              </w:rPr>
            </w:pPr>
            <w:r>
              <w:rPr>
                <w:rFonts w:hint="eastAsia" w:cs="Arial"/>
                <w:sz w:val="21"/>
                <w:szCs w:val="21"/>
                <w:highlight w:val="none"/>
              </w:rPr>
              <w:t>反映数字建模达标情况。指标值=达标的模型数量/模型总量*100%。</w:t>
            </w:r>
          </w:p>
        </w:tc>
      </w:tr>
      <w:tr w14:paraId="5232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18A3EA8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w:t>
            </w:r>
          </w:p>
        </w:tc>
        <w:tc>
          <w:tcPr>
            <w:tcW w:w="834" w:type="dxa"/>
            <w:vMerge w:val="continue"/>
            <w:vAlign w:val="center"/>
          </w:tcPr>
          <w:p w14:paraId="636A2F30">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7BA129F6">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应用系统</w:t>
            </w:r>
          </w:p>
        </w:tc>
        <w:tc>
          <w:tcPr>
            <w:tcW w:w="1275" w:type="dxa"/>
            <w:shd w:val="clear" w:color="auto" w:fill="auto"/>
            <w:vAlign w:val="center"/>
          </w:tcPr>
          <w:p w14:paraId="70D3C74A">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数据服务与数据治理水平</w:t>
            </w:r>
          </w:p>
        </w:tc>
        <w:tc>
          <w:tcPr>
            <w:tcW w:w="1276" w:type="dxa"/>
            <w:shd w:val="clear" w:color="auto" w:fill="auto"/>
            <w:vAlign w:val="center"/>
          </w:tcPr>
          <w:p w14:paraId="079144B8">
            <w:pPr>
              <w:spacing w:line="240" w:lineRule="auto"/>
              <w:ind w:firstLine="0" w:firstLineChars="0"/>
              <w:rPr>
                <w:rFonts w:hint="eastAsia" w:cs="Arial"/>
                <w:color w:val="000000"/>
                <w:sz w:val="21"/>
                <w:szCs w:val="21"/>
                <w:highlight w:val="none"/>
              </w:rPr>
            </w:pPr>
            <w:r>
              <w:rPr>
                <w:rFonts w:hint="eastAsia" w:cs="Arial"/>
                <w:sz w:val="21"/>
                <w:szCs w:val="21"/>
                <w:highlight w:val="none"/>
              </w:rPr>
              <w:t>数据源覆盖度</w:t>
            </w:r>
          </w:p>
        </w:tc>
        <w:tc>
          <w:tcPr>
            <w:tcW w:w="992" w:type="dxa"/>
            <w:shd w:val="clear" w:color="auto" w:fill="auto"/>
            <w:vAlign w:val="center"/>
          </w:tcPr>
          <w:p w14:paraId="6B05EA6F">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100%</w:t>
            </w:r>
          </w:p>
        </w:tc>
        <w:tc>
          <w:tcPr>
            <w:tcW w:w="3119" w:type="dxa"/>
            <w:shd w:val="clear" w:color="auto" w:fill="auto"/>
            <w:vAlign w:val="center"/>
          </w:tcPr>
          <w:p w14:paraId="5CFF88E0">
            <w:pPr>
              <w:spacing w:line="240" w:lineRule="auto"/>
              <w:ind w:firstLine="0" w:firstLineChars="0"/>
              <w:rPr>
                <w:rFonts w:hint="eastAsia" w:cs="Arial"/>
                <w:color w:val="000000"/>
                <w:sz w:val="21"/>
                <w:szCs w:val="21"/>
                <w:highlight w:val="none"/>
              </w:rPr>
            </w:pPr>
            <w:r>
              <w:rPr>
                <w:rFonts w:hint="eastAsia" w:cs="Arial"/>
                <w:sz w:val="21"/>
                <w:szCs w:val="21"/>
                <w:highlight w:val="none"/>
              </w:rPr>
              <w:t>评估系统采集的数据源的覆盖情况。指标值=实际采集的数据量/计划采集的数据量*100%。</w:t>
            </w:r>
          </w:p>
        </w:tc>
      </w:tr>
      <w:tr w14:paraId="4423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074483F6">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11</w:t>
            </w:r>
          </w:p>
        </w:tc>
        <w:tc>
          <w:tcPr>
            <w:tcW w:w="834" w:type="dxa"/>
            <w:vMerge w:val="continue"/>
            <w:vAlign w:val="center"/>
          </w:tcPr>
          <w:p w14:paraId="6A872332">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5D5E2328">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安全体系</w:t>
            </w:r>
          </w:p>
        </w:tc>
        <w:tc>
          <w:tcPr>
            <w:tcW w:w="1275" w:type="dxa"/>
            <w:shd w:val="clear" w:color="auto" w:fill="auto"/>
            <w:vAlign w:val="center"/>
          </w:tcPr>
          <w:p w14:paraId="7F77A83E">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2C7E5640">
            <w:pPr>
              <w:spacing w:line="240" w:lineRule="auto"/>
              <w:ind w:firstLine="0" w:firstLineChars="0"/>
              <w:rPr>
                <w:rFonts w:hint="eastAsia" w:cs="Arial"/>
                <w:color w:val="000000"/>
                <w:sz w:val="21"/>
                <w:szCs w:val="21"/>
                <w:highlight w:val="none"/>
              </w:rPr>
            </w:pPr>
            <w:r>
              <w:rPr>
                <w:rFonts w:hint="eastAsia" w:cs="Arial"/>
                <w:sz w:val="21"/>
                <w:szCs w:val="21"/>
                <w:highlight w:val="none"/>
              </w:rPr>
              <w:t>数据安全措施</w:t>
            </w:r>
          </w:p>
        </w:tc>
        <w:tc>
          <w:tcPr>
            <w:tcW w:w="992" w:type="dxa"/>
            <w:shd w:val="clear" w:color="auto" w:fill="auto"/>
            <w:vAlign w:val="center"/>
          </w:tcPr>
          <w:p w14:paraId="05BF9551">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有</w:t>
            </w:r>
          </w:p>
        </w:tc>
        <w:tc>
          <w:tcPr>
            <w:tcW w:w="3119" w:type="dxa"/>
            <w:shd w:val="clear" w:color="auto" w:fill="auto"/>
            <w:vAlign w:val="center"/>
          </w:tcPr>
          <w:p w14:paraId="21D00384">
            <w:pPr>
              <w:spacing w:line="240" w:lineRule="auto"/>
              <w:ind w:firstLine="0" w:firstLineChars="0"/>
              <w:rPr>
                <w:rFonts w:hint="eastAsia" w:cs="Arial"/>
                <w:color w:val="000000"/>
                <w:sz w:val="21"/>
                <w:szCs w:val="21"/>
                <w:highlight w:val="none"/>
              </w:rPr>
            </w:pPr>
            <w:r>
              <w:rPr>
                <w:rFonts w:hint="eastAsia" w:cs="Arial"/>
                <w:sz w:val="21"/>
                <w:szCs w:val="21"/>
                <w:highlight w:val="none"/>
              </w:rPr>
              <w:t>反映数据安全措施是否到位情况。指标值=是否有数据安全措施</w:t>
            </w:r>
          </w:p>
        </w:tc>
      </w:tr>
      <w:tr w14:paraId="651D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291ED94D">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12</w:t>
            </w:r>
          </w:p>
        </w:tc>
        <w:tc>
          <w:tcPr>
            <w:tcW w:w="834" w:type="dxa"/>
            <w:vMerge w:val="continue"/>
            <w:vAlign w:val="center"/>
          </w:tcPr>
          <w:p w14:paraId="1F831A8B">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039E097C">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安全体系</w:t>
            </w:r>
          </w:p>
        </w:tc>
        <w:tc>
          <w:tcPr>
            <w:tcW w:w="1275" w:type="dxa"/>
            <w:shd w:val="clear" w:color="auto" w:fill="auto"/>
            <w:vAlign w:val="center"/>
          </w:tcPr>
          <w:p w14:paraId="60DE9C5B">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572145BE">
            <w:pPr>
              <w:spacing w:line="240" w:lineRule="auto"/>
              <w:ind w:firstLine="0" w:firstLineChars="0"/>
              <w:rPr>
                <w:rFonts w:hint="eastAsia" w:cs="Arial"/>
                <w:color w:val="000000"/>
                <w:sz w:val="21"/>
                <w:szCs w:val="21"/>
                <w:highlight w:val="none"/>
              </w:rPr>
            </w:pPr>
            <w:r>
              <w:rPr>
                <w:rFonts w:hint="eastAsia" w:cs="Arial"/>
                <w:sz w:val="21"/>
                <w:szCs w:val="21"/>
                <w:highlight w:val="none"/>
              </w:rPr>
              <w:t>网络安全措施</w:t>
            </w:r>
          </w:p>
        </w:tc>
        <w:tc>
          <w:tcPr>
            <w:tcW w:w="992" w:type="dxa"/>
            <w:shd w:val="clear" w:color="auto" w:fill="auto"/>
            <w:vAlign w:val="center"/>
          </w:tcPr>
          <w:p w14:paraId="327D7F70">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有</w:t>
            </w:r>
          </w:p>
        </w:tc>
        <w:tc>
          <w:tcPr>
            <w:tcW w:w="3119" w:type="dxa"/>
            <w:shd w:val="clear" w:color="auto" w:fill="auto"/>
            <w:vAlign w:val="center"/>
          </w:tcPr>
          <w:p w14:paraId="138EB75E">
            <w:pPr>
              <w:spacing w:line="240" w:lineRule="auto"/>
              <w:ind w:firstLine="0" w:firstLineChars="0"/>
              <w:rPr>
                <w:rFonts w:hint="eastAsia" w:cs="Arial"/>
                <w:color w:val="000000"/>
                <w:sz w:val="21"/>
                <w:szCs w:val="21"/>
                <w:highlight w:val="none"/>
              </w:rPr>
            </w:pPr>
            <w:r>
              <w:rPr>
                <w:rFonts w:hint="eastAsia" w:cs="Arial"/>
                <w:sz w:val="21"/>
                <w:szCs w:val="21"/>
                <w:highlight w:val="none"/>
              </w:rPr>
              <w:t>反映网络安全措施是否到位情况。指标值=是否有网络安全措施</w:t>
            </w:r>
          </w:p>
        </w:tc>
      </w:tr>
      <w:tr w14:paraId="4525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317F2189">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13</w:t>
            </w:r>
          </w:p>
        </w:tc>
        <w:tc>
          <w:tcPr>
            <w:tcW w:w="834" w:type="dxa"/>
            <w:vMerge w:val="continue"/>
            <w:vAlign w:val="center"/>
          </w:tcPr>
          <w:p w14:paraId="753658E9">
            <w:pPr>
              <w:spacing w:line="240" w:lineRule="auto"/>
              <w:ind w:firstLine="0" w:firstLineChars="0"/>
              <w:rPr>
                <w:rFonts w:hint="eastAsia" w:cs="Arial"/>
                <w:color w:val="000000"/>
                <w:sz w:val="21"/>
                <w:szCs w:val="21"/>
                <w:highlight w:val="none"/>
              </w:rPr>
            </w:pPr>
          </w:p>
        </w:tc>
        <w:tc>
          <w:tcPr>
            <w:tcW w:w="851" w:type="dxa"/>
            <w:shd w:val="clear" w:color="auto" w:fill="auto"/>
            <w:vAlign w:val="center"/>
          </w:tcPr>
          <w:p w14:paraId="40FDE22C">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安全体系</w:t>
            </w:r>
          </w:p>
        </w:tc>
        <w:tc>
          <w:tcPr>
            <w:tcW w:w="1275" w:type="dxa"/>
            <w:shd w:val="clear" w:color="auto" w:fill="auto"/>
            <w:vAlign w:val="center"/>
          </w:tcPr>
          <w:p w14:paraId="66DA91D1">
            <w:pPr>
              <w:spacing w:line="240" w:lineRule="auto"/>
              <w:ind w:firstLine="0" w:firstLineChars="0"/>
              <w:jc w:val="center"/>
              <w:rPr>
                <w:rFonts w:hint="eastAsia" w:cs="Arial"/>
                <w:color w:val="000000"/>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6A18E4FA">
            <w:pPr>
              <w:spacing w:line="240" w:lineRule="auto"/>
              <w:ind w:firstLine="0" w:firstLineChars="0"/>
              <w:rPr>
                <w:rFonts w:hint="eastAsia" w:cs="Arial"/>
                <w:color w:val="000000"/>
                <w:sz w:val="21"/>
                <w:szCs w:val="21"/>
                <w:highlight w:val="none"/>
              </w:rPr>
            </w:pPr>
            <w:r>
              <w:rPr>
                <w:rFonts w:hint="eastAsia" w:cs="Arial"/>
                <w:sz w:val="21"/>
                <w:szCs w:val="21"/>
                <w:highlight w:val="none"/>
              </w:rPr>
              <w:t>系统安全措施</w:t>
            </w:r>
          </w:p>
        </w:tc>
        <w:tc>
          <w:tcPr>
            <w:tcW w:w="992" w:type="dxa"/>
            <w:shd w:val="clear" w:color="auto" w:fill="auto"/>
            <w:vAlign w:val="center"/>
          </w:tcPr>
          <w:p w14:paraId="581533CB">
            <w:pPr>
              <w:spacing w:line="240" w:lineRule="auto"/>
              <w:ind w:firstLine="0" w:firstLineChars="0"/>
              <w:jc w:val="center"/>
              <w:rPr>
                <w:rFonts w:hint="eastAsia" w:cs="Arial"/>
                <w:color w:val="000000"/>
                <w:sz w:val="21"/>
                <w:szCs w:val="21"/>
                <w:highlight w:val="none"/>
              </w:rPr>
            </w:pPr>
            <w:r>
              <w:rPr>
                <w:rFonts w:hint="eastAsia" w:cs="Arial"/>
                <w:color w:val="000000"/>
                <w:sz w:val="21"/>
                <w:szCs w:val="21"/>
                <w:highlight w:val="none"/>
              </w:rPr>
              <w:t>有</w:t>
            </w:r>
          </w:p>
        </w:tc>
        <w:tc>
          <w:tcPr>
            <w:tcW w:w="3119" w:type="dxa"/>
            <w:shd w:val="clear" w:color="auto" w:fill="auto"/>
            <w:vAlign w:val="center"/>
          </w:tcPr>
          <w:p w14:paraId="4070DEF1">
            <w:pPr>
              <w:spacing w:line="240" w:lineRule="auto"/>
              <w:ind w:firstLine="0" w:firstLineChars="0"/>
              <w:rPr>
                <w:rFonts w:hint="eastAsia" w:cs="Arial"/>
                <w:color w:val="000000"/>
                <w:sz w:val="21"/>
                <w:szCs w:val="21"/>
                <w:highlight w:val="none"/>
              </w:rPr>
            </w:pPr>
            <w:r>
              <w:rPr>
                <w:rFonts w:hint="eastAsia" w:cs="Arial"/>
                <w:sz w:val="21"/>
                <w:szCs w:val="21"/>
                <w:highlight w:val="none"/>
              </w:rPr>
              <w:t>反映系统安全措施是否到位情况。指标值=是否有系统安全措施</w:t>
            </w:r>
          </w:p>
        </w:tc>
      </w:tr>
    </w:tbl>
    <w:p w14:paraId="50BD43DC">
      <w:pPr>
        <w:ind w:firstLine="482"/>
        <w:rPr>
          <w:rFonts w:hint="eastAsia"/>
          <w:b/>
          <w:highlight w:val="none"/>
        </w:rPr>
      </w:pPr>
    </w:p>
    <w:p w14:paraId="07E12C36">
      <w:pPr>
        <w:pStyle w:val="3"/>
        <w:rPr>
          <w:rFonts w:hint="eastAsia"/>
          <w:highlight w:val="none"/>
        </w:rPr>
      </w:pPr>
      <w:r>
        <w:rPr>
          <w:rFonts w:hint="eastAsia"/>
          <w:highlight w:val="none"/>
        </w:rPr>
        <w:t>技术绩效目标</w:t>
      </w:r>
    </w:p>
    <w:tbl>
      <w:tblPr>
        <w:tblStyle w:val="35"/>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834"/>
        <w:gridCol w:w="851"/>
        <w:gridCol w:w="992"/>
        <w:gridCol w:w="1276"/>
        <w:gridCol w:w="992"/>
        <w:gridCol w:w="3260"/>
      </w:tblGrid>
      <w:tr w14:paraId="0686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37" w:type="dxa"/>
            <w:shd w:val="clear" w:color="auto" w:fill="auto"/>
            <w:vAlign w:val="center"/>
          </w:tcPr>
          <w:p w14:paraId="6469CC90">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序号</w:t>
            </w:r>
          </w:p>
        </w:tc>
        <w:tc>
          <w:tcPr>
            <w:tcW w:w="834" w:type="dxa"/>
            <w:shd w:val="clear" w:color="auto" w:fill="auto"/>
            <w:vAlign w:val="center"/>
          </w:tcPr>
          <w:p w14:paraId="49D98BF3">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一级指标</w:t>
            </w:r>
          </w:p>
        </w:tc>
        <w:tc>
          <w:tcPr>
            <w:tcW w:w="851" w:type="dxa"/>
            <w:shd w:val="clear" w:color="auto" w:fill="auto"/>
            <w:vAlign w:val="center"/>
          </w:tcPr>
          <w:p w14:paraId="39DAC8BD">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二级指标</w:t>
            </w:r>
          </w:p>
        </w:tc>
        <w:tc>
          <w:tcPr>
            <w:tcW w:w="992" w:type="dxa"/>
            <w:shd w:val="clear" w:color="auto" w:fill="auto"/>
            <w:vAlign w:val="center"/>
          </w:tcPr>
          <w:p w14:paraId="1953BDE0">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三级指标</w:t>
            </w:r>
          </w:p>
        </w:tc>
        <w:tc>
          <w:tcPr>
            <w:tcW w:w="1276" w:type="dxa"/>
            <w:shd w:val="clear" w:color="auto" w:fill="auto"/>
            <w:vAlign w:val="center"/>
          </w:tcPr>
          <w:p w14:paraId="3CA7EB3B">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四级指标</w:t>
            </w:r>
          </w:p>
        </w:tc>
        <w:tc>
          <w:tcPr>
            <w:tcW w:w="992" w:type="dxa"/>
            <w:shd w:val="clear" w:color="auto" w:fill="auto"/>
            <w:vAlign w:val="center"/>
          </w:tcPr>
          <w:p w14:paraId="10F7FA66">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指标值</w:t>
            </w:r>
          </w:p>
        </w:tc>
        <w:tc>
          <w:tcPr>
            <w:tcW w:w="3260" w:type="dxa"/>
            <w:shd w:val="clear" w:color="auto" w:fill="auto"/>
            <w:vAlign w:val="center"/>
          </w:tcPr>
          <w:p w14:paraId="144DC4DE">
            <w:pPr>
              <w:spacing w:line="240" w:lineRule="auto"/>
              <w:ind w:firstLine="0" w:firstLineChars="0"/>
              <w:jc w:val="center"/>
              <w:rPr>
                <w:rFonts w:hint="eastAsia" w:cs="Arial"/>
                <w:b/>
                <w:bCs/>
                <w:sz w:val="21"/>
                <w:szCs w:val="21"/>
                <w:highlight w:val="none"/>
              </w:rPr>
            </w:pPr>
            <w:r>
              <w:rPr>
                <w:rFonts w:hint="eastAsia" w:cs="Arial"/>
                <w:b/>
                <w:bCs/>
                <w:sz w:val="21"/>
                <w:szCs w:val="21"/>
                <w:highlight w:val="none"/>
              </w:rPr>
              <w:t>指标解释</w:t>
            </w:r>
          </w:p>
        </w:tc>
      </w:tr>
      <w:tr w14:paraId="5760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6662C1C2">
            <w:pPr>
              <w:spacing w:line="240" w:lineRule="auto"/>
              <w:ind w:firstLine="0" w:firstLineChars="0"/>
              <w:jc w:val="center"/>
              <w:rPr>
                <w:rFonts w:hint="eastAsia" w:cs="Arial"/>
                <w:sz w:val="21"/>
                <w:szCs w:val="21"/>
                <w:highlight w:val="none"/>
              </w:rPr>
            </w:pPr>
            <w:r>
              <w:rPr>
                <w:rFonts w:hint="eastAsia" w:cs="Arial"/>
                <w:sz w:val="21"/>
                <w:szCs w:val="21"/>
                <w:highlight w:val="none"/>
              </w:rPr>
              <w:t>1</w:t>
            </w:r>
          </w:p>
        </w:tc>
        <w:tc>
          <w:tcPr>
            <w:tcW w:w="834" w:type="dxa"/>
            <w:vMerge w:val="restart"/>
            <w:shd w:val="clear" w:color="auto" w:fill="auto"/>
            <w:vAlign w:val="center"/>
          </w:tcPr>
          <w:p w14:paraId="75B01A19">
            <w:pPr>
              <w:spacing w:line="240" w:lineRule="auto"/>
              <w:ind w:firstLine="0" w:firstLineChars="0"/>
              <w:jc w:val="center"/>
              <w:rPr>
                <w:rFonts w:hint="eastAsia" w:cs="Arial"/>
                <w:sz w:val="21"/>
                <w:szCs w:val="21"/>
                <w:highlight w:val="none"/>
              </w:rPr>
            </w:pPr>
            <w:r>
              <w:rPr>
                <w:rFonts w:hint="eastAsia" w:cs="Arial"/>
                <w:sz w:val="21"/>
                <w:szCs w:val="21"/>
                <w:highlight w:val="none"/>
              </w:rPr>
              <w:t>通用指标</w:t>
            </w:r>
          </w:p>
        </w:tc>
        <w:tc>
          <w:tcPr>
            <w:tcW w:w="851" w:type="dxa"/>
            <w:shd w:val="clear" w:color="auto" w:fill="auto"/>
            <w:vAlign w:val="center"/>
          </w:tcPr>
          <w:p w14:paraId="7FE61D20">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39F85221">
            <w:pPr>
              <w:spacing w:line="240" w:lineRule="auto"/>
              <w:ind w:firstLine="0" w:firstLineChars="0"/>
              <w:jc w:val="center"/>
              <w:rPr>
                <w:rFonts w:hint="eastAsia" w:cs="Arial"/>
                <w:sz w:val="21"/>
                <w:szCs w:val="21"/>
                <w:highlight w:val="none"/>
              </w:rPr>
            </w:pPr>
            <w:r>
              <w:rPr>
                <w:rFonts w:hint="eastAsia" w:cs="Arial"/>
                <w:sz w:val="21"/>
                <w:szCs w:val="21"/>
                <w:highlight w:val="none"/>
              </w:rPr>
              <w:t>产出数量</w:t>
            </w:r>
          </w:p>
        </w:tc>
        <w:tc>
          <w:tcPr>
            <w:tcW w:w="1276" w:type="dxa"/>
            <w:shd w:val="clear" w:color="auto" w:fill="auto"/>
            <w:vAlign w:val="center"/>
          </w:tcPr>
          <w:p w14:paraId="06739F6C">
            <w:pPr>
              <w:spacing w:line="240" w:lineRule="auto"/>
              <w:ind w:firstLine="0" w:firstLineChars="0"/>
              <w:rPr>
                <w:rFonts w:hint="eastAsia" w:cs="Arial"/>
                <w:sz w:val="21"/>
                <w:szCs w:val="21"/>
                <w:highlight w:val="none"/>
              </w:rPr>
            </w:pPr>
            <w:r>
              <w:rPr>
                <w:rFonts w:hint="eastAsia" w:cs="Arial"/>
                <w:sz w:val="21"/>
                <w:szCs w:val="21"/>
                <w:highlight w:val="none"/>
              </w:rPr>
              <w:t>软件开发完成率</w:t>
            </w:r>
          </w:p>
        </w:tc>
        <w:tc>
          <w:tcPr>
            <w:tcW w:w="992" w:type="dxa"/>
            <w:shd w:val="clear" w:color="auto" w:fill="auto"/>
            <w:vAlign w:val="center"/>
          </w:tcPr>
          <w:p w14:paraId="1CB7A723">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4C93A655">
            <w:pPr>
              <w:spacing w:line="240" w:lineRule="auto"/>
              <w:ind w:firstLine="0" w:firstLineChars="0"/>
              <w:rPr>
                <w:rFonts w:hint="eastAsia" w:cs="Arial"/>
                <w:sz w:val="21"/>
                <w:szCs w:val="21"/>
                <w:highlight w:val="none"/>
              </w:rPr>
            </w:pPr>
            <w:r>
              <w:rPr>
                <w:rFonts w:hint="eastAsia" w:cs="Arial"/>
                <w:sz w:val="21"/>
                <w:szCs w:val="21"/>
                <w:highlight w:val="none"/>
              </w:rPr>
              <w:t>反映按照项目方案设计，完成软件开发情况。指标值=完成开发的功能模块数量/计划开发的功能模块数量*100%</w:t>
            </w:r>
          </w:p>
        </w:tc>
      </w:tr>
      <w:tr w14:paraId="4B6A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3AE59C02">
            <w:pPr>
              <w:spacing w:line="240" w:lineRule="auto"/>
              <w:ind w:firstLine="0" w:firstLineChars="0"/>
              <w:jc w:val="center"/>
              <w:rPr>
                <w:rFonts w:hint="eastAsia" w:cs="Arial"/>
                <w:sz w:val="21"/>
                <w:szCs w:val="21"/>
                <w:highlight w:val="none"/>
              </w:rPr>
            </w:pPr>
            <w:r>
              <w:rPr>
                <w:rFonts w:hint="eastAsia" w:cs="Arial"/>
                <w:sz w:val="21"/>
                <w:szCs w:val="21"/>
                <w:highlight w:val="none"/>
              </w:rPr>
              <w:t>2</w:t>
            </w:r>
          </w:p>
        </w:tc>
        <w:tc>
          <w:tcPr>
            <w:tcW w:w="834" w:type="dxa"/>
            <w:vMerge w:val="continue"/>
            <w:vAlign w:val="center"/>
          </w:tcPr>
          <w:p w14:paraId="159ECE4C">
            <w:pPr>
              <w:spacing w:line="240" w:lineRule="auto"/>
              <w:ind w:firstLine="0" w:firstLineChars="0"/>
              <w:rPr>
                <w:rFonts w:hint="eastAsia" w:cs="Arial"/>
                <w:sz w:val="21"/>
                <w:szCs w:val="21"/>
                <w:highlight w:val="none"/>
              </w:rPr>
            </w:pPr>
          </w:p>
        </w:tc>
        <w:tc>
          <w:tcPr>
            <w:tcW w:w="851" w:type="dxa"/>
            <w:shd w:val="clear" w:color="auto" w:fill="auto"/>
            <w:vAlign w:val="center"/>
          </w:tcPr>
          <w:p w14:paraId="085CFDB9">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727E59F3">
            <w:pPr>
              <w:spacing w:line="240" w:lineRule="auto"/>
              <w:ind w:firstLine="0" w:firstLineChars="0"/>
              <w:jc w:val="center"/>
              <w:rPr>
                <w:rFonts w:hint="eastAsia" w:cs="Arial"/>
                <w:sz w:val="21"/>
                <w:szCs w:val="21"/>
                <w:highlight w:val="none"/>
              </w:rPr>
            </w:pPr>
            <w:r>
              <w:rPr>
                <w:rFonts w:hint="eastAsia" w:cs="Arial"/>
                <w:sz w:val="21"/>
                <w:szCs w:val="21"/>
                <w:highlight w:val="none"/>
              </w:rPr>
              <w:t>产出数量</w:t>
            </w:r>
          </w:p>
        </w:tc>
        <w:tc>
          <w:tcPr>
            <w:tcW w:w="1276" w:type="dxa"/>
            <w:shd w:val="clear" w:color="auto" w:fill="auto"/>
            <w:vAlign w:val="center"/>
          </w:tcPr>
          <w:p w14:paraId="744DC4DF">
            <w:pPr>
              <w:spacing w:line="240" w:lineRule="auto"/>
              <w:ind w:firstLine="0" w:firstLineChars="0"/>
              <w:rPr>
                <w:rFonts w:hint="eastAsia" w:cs="Arial"/>
                <w:sz w:val="21"/>
                <w:szCs w:val="21"/>
                <w:highlight w:val="none"/>
              </w:rPr>
            </w:pPr>
            <w:r>
              <w:rPr>
                <w:rFonts w:hint="eastAsia" w:cs="Arial"/>
                <w:sz w:val="21"/>
                <w:szCs w:val="21"/>
                <w:highlight w:val="none"/>
              </w:rPr>
              <w:t>硬件设备购置完成率</w:t>
            </w:r>
          </w:p>
        </w:tc>
        <w:tc>
          <w:tcPr>
            <w:tcW w:w="992" w:type="dxa"/>
            <w:shd w:val="clear" w:color="auto" w:fill="auto"/>
            <w:vAlign w:val="center"/>
          </w:tcPr>
          <w:p w14:paraId="66869A1E">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54D35B85">
            <w:pPr>
              <w:spacing w:line="240" w:lineRule="auto"/>
              <w:ind w:firstLine="0" w:firstLineChars="0"/>
              <w:rPr>
                <w:rFonts w:hint="eastAsia" w:cs="Arial"/>
                <w:sz w:val="21"/>
                <w:szCs w:val="21"/>
                <w:highlight w:val="none"/>
              </w:rPr>
            </w:pPr>
            <w:r>
              <w:rPr>
                <w:rFonts w:hint="eastAsia" w:cs="Arial"/>
                <w:sz w:val="21"/>
                <w:szCs w:val="21"/>
                <w:highlight w:val="none"/>
              </w:rPr>
              <w:t>反映按照项目方案设计，完成硬件设备购置情况。指标值=完成购置的硬件设备数量/计划购置的硬件设备数量*100%</w:t>
            </w:r>
          </w:p>
        </w:tc>
      </w:tr>
      <w:tr w14:paraId="46DB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5F876BC6">
            <w:pPr>
              <w:spacing w:line="240" w:lineRule="auto"/>
              <w:ind w:firstLine="0" w:firstLineChars="0"/>
              <w:jc w:val="center"/>
              <w:rPr>
                <w:rFonts w:hint="eastAsia" w:cs="Arial"/>
                <w:sz w:val="21"/>
                <w:szCs w:val="21"/>
                <w:highlight w:val="none"/>
              </w:rPr>
            </w:pPr>
            <w:r>
              <w:rPr>
                <w:rFonts w:hint="eastAsia" w:cs="Arial"/>
                <w:sz w:val="21"/>
                <w:szCs w:val="21"/>
                <w:highlight w:val="none"/>
              </w:rPr>
              <w:t>3</w:t>
            </w:r>
          </w:p>
        </w:tc>
        <w:tc>
          <w:tcPr>
            <w:tcW w:w="834" w:type="dxa"/>
            <w:vMerge w:val="continue"/>
            <w:vAlign w:val="center"/>
          </w:tcPr>
          <w:p w14:paraId="693E86B6">
            <w:pPr>
              <w:spacing w:line="240" w:lineRule="auto"/>
              <w:ind w:firstLine="0" w:firstLineChars="0"/>
              <w:rPr>
                <w:rFonts w:hint="eastAsia" w:cs="Arial"/>
                <w:sz w:val="21"/>
                <w:szCs w:val="21"/>
                <w:highlight w:val="none"/>
              </w:rPr>
            </w:pPr>
          </w:p>
        </w:tc>
        <w:tc>
          <w:tcPr>
            <w:tcW w:w="851" w:type="dxa"/>
            <w:shd w:val="clear" w:color="auto" w:fill="auto"/>
            <w:vAlign w:val="center"/>
          </w:tcPr>
          <w:p w14:paraId="1EC2D0A8">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32CB7D05">
            <w:pPr>
              <w:spacing w:line="240" w:lineRule="auto"/>
              <w:ind w:firstLine="0" w:firstLineChars="0"/>
              <w:jc w:val="center"/>
              <w:rPr>
                <w:rFonts w:hint="eastAsia" w:cs="Arial"/>
                <w:sz w:val="21"/>
                <w:szCs w:val="21"/>
                <w:highlight w:val="none"/>
              </w:rPr>
            </w:pPr>
            <w:r>
              <w:rPr>
                <w:rFonts w:hint="eastAsia" w:cs="Arial"/>
                <w:sz w:val="21"/>
                <w:szCs w:val="21"/>
                <w:highlight w:val="none"/>
              </w:rPr>
              <w:t>产出质量</w:t>
            </w:r>
          </w:p>
        </w:tc>
        <w:tc>
          <w:tcPr>
            <w:tcW w:w="1276" w:type="dxa"/>
            <w:shd w:val="clear" w:color="auto" w:fill="auto"/>
            <w:vAlign w:val="center"/>
          </w:tcPr>
          <w:p w14:paraId="4388074D">
            <w:pPr>
              <w:spacing w:line="240" w:lineRule="auto"/>
              <w:ind w:firstLine="0" w:firstLineChars="0"/>
              <w:rPr>
                <w:rFonts w:hint="eastAsia" w:cs="Arial"/>
                <w:sz w:val="21"/>
                <w:szCs w:val="21"/>
                <w:highlight w:val="none"/>
              </w:rPr>
            </w:pPr>
            <w:r>
              <w:rPr>
                <w:rFonts w:hint="eastAsia" w:cs="Arial"/>
                <w:sz w:val="21"/>
                <w:szCs w:val="21"/>
                <w:highlight w:val="none"/>
              </w:rPr>
              <w:t>系统可靠性</w:t>
            </w:r>
          </w:p>
        </w:tc>
        <w:tc>
          <w:tcPr>
            <w:tcW w:w="992" w:type="dxa"/>
            <w:shd w:val="clear" w:color="auto" w:fill="auto"/>
            <w:vAlign w:val="center"/>
          </w:tcPr>
          <w:p w14:paraId="548CF0AF">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3DFA5000">
            <w:pPr>
              <w:spacing w:line="240" w:lineRule="auto"/>
              <w:ind w:firstLine="0" w:firstLineChars="0"/>
              <w:rPr>
                <w:rFonts w:hint="eastAsia" w:cs="Arial"/>
                <w:sz w:val="21"/>
                <w:szCs w:val="21"/>
                <w:highlight w:val="none"/>
              </w:rPr>
            </w:pPr>
            <w:r>
              <w:rPr>
                <w:rFonts w:hint="eastAsia" w:cs="Arial"/>
                <w:sz w:val="21"/>
                <w:szCs w:val="21"/>
                <w:highlight w:val="none"/>
              </w:rPr>
              <w:t>考察设备系统不间断运行情况。指标值=测试期设备系统连续运行时间/测试期时间*100%</w:t>
            </w:r>
          </w:p>
        </w:tc>
      </w:tr>
      <w:tr w14:paraId="20A4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7F643ABA">
            <w:pPr>
              <w:spacing w:line="240" w:lineRule="auto"/>
              <w:ind w:firstLine="0" w:firstLineChars="0"/>
              <w:jc w:val="center"/>
              <w:rPr>
                <w:rFonts w:hint="eastAsia" w:cs="Arial"/>
                <w:sz w:val="21"/>
                <w:szCs w:val="21"/>
                <w:highlight w:val="none"/>
              </w:rPr>
            </w:pPr>
            <w:r>
              <w:rPr>
                <w:rFonts w:hint="eastAsia" w:cs="Arial"/>
                <w:sz w:val="21"/>
                <w:szCs w:val="21"/>
                <w:highlight w:val="none"/>
              </w:rPr>
              <w:t>4</w:t>
            </w:r>
          </w:p>
        </w:tc>
        <w:tc>
          <w:tcPr>
            <w:tcW w:w="834" w:type="dxa"/>
            <w:vMerge w:val="continue"/>
            <w:vAlign w:val="center"/>
          </w:tcPr>
          <w:p w14:paraId="432DFEBC">
            <w:pPr>
              <w:spacing w:line="240" w:lineRule="auto"/>
              <w:ind w:firstLine="0" w:firstLineChars="0"/>
              <w:rPr>
                <w:rFonts w:hint="eastAsia" w:cs="Arial"/>
                <w:sz w:val="21"/>
                <w:szCs w:val="21"/>
                <w:highlight w:val="none"/>
              </w:rPr>
            </w:pPr>
          </w:p>
        </w:tc>
        <w:tc>
          <w:tcPr>
            <w:tcW w:w="851" w:type="dxa"/>
            <w:shd w:val="clear" w:color="auto" w:fill="auto"/>
            <w:vAlign w:val="center"/>
          </w:tcPr>
          <w:p w14:paraId="5692543A">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46B61E6B">
            <w:pPr>
              <w:spacing w:line="240" w:lineRule="auto"/>
              <w:ind w:firstLine="0" w:firstLineChars="0"/>
              <w:jc w:val="center"/>
              <w:rPr>
                <w:rFonts w:hint="eastAsia" w:cs="Arial"/>
                <w:sz w:val="21"/>
                <w:szCs w:val="21"/>
                <w:highlight w:val="none"/>
              </w:rPr>
            </w:pPr>
            <w:r>
              <w:rPr>
                <w:rFonts w:hint="eastAsia" w:cs="Arial"/>
                <w:sz w:val="21"/>
                <w:szCs w:val="21"/>
                <w:highlight w:val="none"/>
              </w:rPr>
              <w:t>产出质量</w:t>
            </w:r>
          </w:p>
        </w:tc>
        <w:tc>
          <w:tcPr>
            <w:tcW w:w="1276" w:type="dxa"/>
            <w:shd w:val="clear" w:color="auto" w:fill="auto"/>
            <w:vAlign w:val="center"/>
          </w:tcPr>
          <w:p w14:paraId="53B9D78C">
            <w:pPr>
              <w:spacing w:line="240" w:lineRule="auto"/>
              <w:ind w:firstLine="0" w:firstLineChars="0"/>
              <w:rPr>
                <w:rFonts w:hint="eastAsia" w:cs="Arial"/>
                <w:sz w:val="21"/>
                <w:szCs w:val="21"/>
                <w:highlight w:val="none"/>
              </w:rPr>
            </w:pPr>
            <w:r>
              <w:rPr>
                <w:rFonts w:hint="eastAsia" w:cs="Arial"/>
                <w:sz w:val="21"/>
                <w:szCs w:val="21"/>
                <w:highlight w:val="none"/>
              </w:rPr>
              <w:t>软件测试达标</w:t>
            </w:r>
          </w:p>
        </w:tc>
        <w:tc>
          <w:tcPr>
            <w:tcW w:w="992" w:type="dxa"/>
            <w:shd w:val="clear" w:color="auto" w:fill="auto"/>
            <w:vAlign w:val="center"/>
          </w:tcPr>
          <w:p w14:paraId="1B8EE62F">
            <w:pPr>
              <w:spacing w:line="240" w:lineRule="auto"/>
              <w:ind w:firstLine="0" w:firstLineChars="0"/>
              <w:jc w:val="center"/>
              <w:rPr>
                <w:rFonts w:hint="eastAsia" w:cs="Arial"/>
                <w:sz w:val="21"/>
                <w:szCs w:val="21"/>
                <w:highlight w:val="none"/>
              </w:rPr>
            </w:pPr>
            <w:r>
              <w:rPr>
                <w:rFonts w:hint="eastAsia" w:cs="Arial"/>
                <w:sz w:val="21"/>
                <w:szCs w:val="21"/>
                <w:highlight w:val="none"/>
              </w:rPr>
              <w:t>达标</w:t>
            </w:r>
          </w:p>
        </w:tc>
        <w:tc>
          <w:tcPr>
            <w:tcW w:w="3260" w:type="dxa"/>
            <w:shd w:val="clear" w:color="auto" w:fill="auto"/>
            <w:vAlign w:val="center"/>
          </w:tcPr>
          <w:p w14:paraId="5421681F">
            <w:pPr>
              <w:spacing w:line="240" w:lineRule="auto"/>
              <w:ind w:firstLine="0" w:firstLineChars="0"/>
              <w:rPr>
                <w:rFonts w:hint="eastAsia" w:cs="Arial"/>
                <w:sz w:val="21"/>
                <w:szCs w:val="21"/>
                <w:highlight w:val="none"/>
              </w:rPr>
            </w:pPr>
            <w:r>
              <w:rPr>
                <w:rFonts w:hint="eastAsia" w:cs="Arial"/>
                <w:sz w:val="21"/>
                <w:szCs w:val="21"/>
                <w:highlight w:val="none"/>
              </w:rPr>
              <w:t>反映软件测试达标情况。指标值=测试结果</w:t>
            </w:r>
          </w:p>
        </w:tc>
      </w:tr>
      <w:tr w14:paraId="333A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5CE8F858">
            <w:pPr>
              <w:spacing w:line="240" w:lineRule="auto"/>
              <w:ind w:firstLine="0" w:firstLineChars="0"/>
              <w:jc w:val="center"/>
              <w:rPr>
                <w:rFonts w:hint="eastAsia" w:cs="Arial"/>
                <w:sz w:val="21"/>
                <w:szCs w:val="21"/>
                <w:highlight w:val="none"/>
              </w:rPr>
            </w:pPr>
            <w:r>
              <w:rPr>
                <w:rFonts w:hint="eastAsia" w:cs="Arial"/>
                <w:sz w:val="21"/>
                <w:szCs w:val="21"/>
                <w:highlight w:val="none"/>
              </w:rPr>
              <w:t>5</w:t>
            </w:r>
          </w:p>
        </w:tc>
        <w:tc>
          <w:tcPr>
            <w:tcW w:w="834" w:type="dxa"/>
            <w:vMerge w:val="continue"/>
            <w:vAlign w:val="center"/>
          </w:tcPr>
          <w:p w14:paraId="708C2CF8">
            <w:pPr>
              <w:spacing w:line="240" w:lineRule="auto"/>
              <w:ind w:firstLine="0" w:firstLineChars="0"/>
              <w:rPr>
                <w:rFonts w:hint="eastAsia" w:cs="Arial"/>
                <w:sz w:val="21"/>
                <w:szCs w:val="21"/>
                <w:highlight w:val="none"/>
              </w:rPr>
            </w:pPr>
          </w:p>
        </w:tc>
        <w:tc>
          <w:tcPr>
            <w:tcW w:w="851" w:type="dxa"/>
            <w:shd w:val="clear" w:color="auto" w:fill="auto"/>
            <w:vAlign w:val="center"/>
          </w:tcPr>
          <w:p w14:paraId="4CA6209A">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1C3D8D30">
            <w:pPr>
              <w:spacing w:line="240" w:lineRule="auto"/>
              <w:ind w:firstLine="0" w:firstLineChars="0"/>
              <w:jc w:val="center"/>
              <w:rPr>
                <w:rFonts w:hint="eastAsia" w:cs="Arial"/>
                <w:sz w:val="21"/>
                <w:szCs w:val="21"/>
                <w:highlight w:val="none"/>
              </w:rPr>
            </w:pPr>
            <w:r>
              <w:rPr>
                <w:rFonts w:hint="eastAsia" w:cs="Arial"/>
                <w:sz w:val="21"/>
                <w:szCs w:val="21"/>
                <w:highlight w:val="none"/>
              </w:rPr>
              <w:t>产出质量</w:t>
            </w:r>
          </w:p>
        </w:tc>
        <w:tc>
          <w:tcPr>
            <w:tcW w:w="1276" w:type="dxa"/>
            <w:shd w:val="clear" w:color="auto" w:fill="auto"/>
            <w:vAlign w:val="center"/>
          </w:tcPr>
          <w:p w14:paraId="005E2ABB">
            <w:pPr>
              <w:spacing w:line="240" w:lineRule="auto"/>
              <w:ind w:firstLine="0" w:firstLineChars="0"/>
              <w:rPr>
                <w:rFonts w:hint="eastAsia" w:cs="Arial"/>
                <w:sz w:val="21"/>
                <w:szCs w:val="21"/>
                <w:highlight w:val="none"/>
              </w:rPr>
            </w:pPr>
            <w:r>
              <w:rPr>
                <w:rFonts w:hint="eastAsia" w:cs="Arial"/>
                <w:sz w:val="21"/>
                <w:szCs w:val="21"/>
                <w:highlight w:val="none"/>
              </w:rPr>
              <w:t>密码测试达标</w:t>
            </w:r>
          </w:p>
        </w:tc>
        <w:tc>
          <w:tcPr>
            <w:tcW w:w="992" w:type="dxa"/>
            <w:shd w:val="clear" w:color="auto" w:fill="auto"/>
            <w:vAlign w:val="center"/>
          </w:tcPr>
          <w:p w14:paraId="3799F591">
            <w:pPr>
              <w:spacing w:line="240" w:lineRule="auto"/>
              <w:ind w:firstLine="0" w:firstLineChars="0"/>
              <w:jc w:val="center"/>
              <w:rPr>
                <w:rFonts w:hint="eastAsia" w:cs="Arial"/>
                <w:sz w:val="21"/>
                <w:szCs w:val="21"/>
                <w:highlight w:val="none"/>
              </w:rPr>
            </w:pPr>
            <w:r>
              <w:rPr>
                <w:rFonts w:hint="eastAsia" w:cs="Arial"/>
                <w:sz w:val="21"/>
                <w:szCs w:val="21"/>
                <w:highlight w:val="none"/>
              </w:rPr>
              <w:t>达标</w:t>
            </w:r>
          </w:p>
        </w:tc>
        <w:tc>
          <w:tcPr>
            <w:tcW w:w="3260" w:type="dxa"/>
            <w:shd w:val="clear" w:color="auto" w:fill="auto"/>
            <w:vAlign w:val="center"/>
          </w:tcPr>
          <w:p w14:paraId="286E86E8">
            <w:pPr>
              <w:spacing w:line="240" w:lineRule="auto"/>
              <w:ind w:firstLine="0" w:firstLineChars="0"/>
              <w:rPr>
                <w:rFonts w:hint="eastAsia" w:cs="Arial"/>
                <w:sz w:val="21"/>
                <w:szCs w:val="21"/>
                <w:highlight w:val="none"/>
              </w:rPr>
            </w:pPr>
            <w:r>
              <w:rPr>
                <w:rFonts w:hint="eastAsia" w:cs="Arial"/>
                <w:sz w:val="21"/>
                <w:szCs w:val="21"/>
                <w:highlight w:val="none"/>
              </w:rPr>
              <w:t>反映密码测试达标情况。指标值=测试结果</w:t>
            </w:r>
          </w:p>
        </w:tc>
      </w:tr>
      <w:tr w14:paraId="5A5C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5D0BA401">
            <w:pPr>
              <w:spacing w:line="240" w:lineRule="auto"/>
              <w:ind w:firstLine="0" w:firstLineChars="0"/>
              <w:jc w:val="center"/>
              <w:rPr>
                <w:rFonts w:hint="eastAsia" w:cs="Arial"/>
                <w:sz w:val="21"/>
                <w:szCs w:val="21"/>
                <w:highlight w:val="none"/>
              </w:rPr>
            </w:pPr>
            <w:r>
              <w:rPr>
                <w:rFonts w:hint="eastAsia" w:cs="Arial"/>
                <w:sz w:val="21"/>
                <w:szCs w:val="21"/>
                <w:highlight w:val="none"/>
              </w:rPr>
              <w:t>6</w:t>
            </w:r>
          </w:p>
        </w:tc>
        <w:tc>
          <w:tcPr>
            <w:tcW w:w="834" w:type="dxa"/>
            <w:vMerge w:val="continue"/>
            <w:vAlign w:val="center"/>
          </w:tcPr>
          <w:p w14:paraId="229F9AA6">
            <w:pPr>
              <w:spacing w:line="240" w:lineRule="auto"/>
              <w:ind w:firstLine="0" w:firstLineChars="0"/>
              <w:rPr>
                <w:rFonts w:hint="eastAsia" w:cs="Arial"/>
                <w:sz w:val="21"/>
                <w:szCs w:val="21"/>
                <w:highlight w:val="none"/>
              </w:rPr>
            </w:pPr>
          </w:p>
        </w:tc>
        <w:tc>
          <w:tcPr>
            <w:tcW w:w="851" w:type="dxa"/>
            <w:shd w:val="clear" w:color="auto" w:fill="auto"/>
            <w:vAlign w:val="center"/>
          </w:tcPr>
          <w:p w14:paraId="5FFC9570">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77FDE04C">
            <w:pPr>
              <w:spacing w:line="240" w:lineRule="auto"/>
              <w:ind w:firstLine="0" w:firstLineChars="0"/>
              <w:jc w:val="center"/>
              <w:rPr>
                <w:rFonts w:hint="eastAsia" w:cs="Arial"/>
                <w:sz w:val="21"/>
                <w:szCs w:val="21"/>
                <w:highlight w:val="none"/>
              </w:rPr>
            </w:pPr>
            <w:r>
              <w:rPr>
                <w:rFonts w:hint="eastAsia" w:cs="Arial"/>
                <w:sz w:val="21"/>
                <w:szCs w:val="21"/>
                <w:highlight w:val="none"/>
              </w:rPr>
              <w:t>产出质量</w:t>
            </w:r>
          </w:p>
        </w:tc>
        <w:tc>
          <w:tcPr>
            <w:tcW w:w="1276" w:type="dxa"/>
            <w:shd w:val="clear" w:color="auto" w:fill="auto"/>
            <w:vAlign w:val="center"/>
          </w:tcPr>
          <w:p w14:paraId="6192B20D">
            <w:pPr>
              <w:spacing w:line="240" w:lineRule="auto"/>
              <w:ind w:firstLine="0" w:firstLineChars="0"/>
              <w:rPr>
                <w:rFonts w:hint="eastAsia" w:cs="Arial"/>
                <w:sz w:val="21"/>
                <w:szCs w:val="21"/>
                <w:highlight w:val="none"/>
              </w:rPr>
            </w:pPr>
            <w:r>
              <w:rPr>
                <w:rFonts w:hint="eastAsia" w:cs="Arial"/>
                <w:sz w:val="21"/>
                <w:szCs w:val="21"/>
                <w:highlight w:val="none"/>
              </w:rPr>
              <w:t>网络安全等级达标</w:t>
            </w:r>
          </w:p>
        </w:tc>
        <w:tc>
          <w:tcPr>
            <w:tcW w:w="992" w:type="dxa"/>
            <w:shd w:val="clear" w:color="auto" w:fill="auto"/>
            <w:vAlign w:val="center"/>
          </w:tcPr>
          <w:p w14:paraId="53C59309">
            <w:pPr>
              <w:spacing w:line="240" w:lineRule="auto"/>
              <w:ind w:firstLine="0" w:firstLineChars="0"/>
              <w:jc w:val="center"/>
              <w:rPr>
                <w:rFonts w:hint="eastAsia" w:cs="Arial"/>
                <w:sz w:val="21"/>
                <w:szCs w:val="21"/>
                <w:highlight w:val="none"/>
              </w:rPr>
            </w:pPr>
            <w:r>
              <w:rPr>
                <w:rFonts w:hint="eastAsia" w:cs="Arial"/>
                <w:sz w:val="21"/>
                <w:szCs w:val="21"/>
                <w:highlight w:val="none"/>
              </w:rPr>
              <w:t>三级</w:t>
            </w:r>
          </w:p>
        </w:tc>
        <w:tc>
          <w:tcPr>
            <w:tcW w:w="3260" w:type="dxa"/>
            <w:shd w:val="clear" w:color="auto" w:fill="auto"/>
            <w:vAlign w:val="center"/>
          </w:tcPr>
          <w:p w14:paraId="5DA692D7">
            <w:pPr>
              <w:spacing w:line="240" w:lineRule="auto"/>
              <w:ind w:firstLine="0" w:firstLineChars="0"/>
              <w:rPr>
                <w:rFonts w:hint="eastAsia" w:cs="Arial"/>
                <w:sz w:val="21"/>
                <w:szCs w:val="21"/>
                <w:highlight w:val="none"/>
              </w:rPr>
            </w:pPr>
            <w:r>
              <w:rPr>
                <w:rFonts w:hint="eastAsia" w:cs="Arial"/>
                <w:sz w:val="21"/>
                <w:szCs w:val="21"/>
                <w:highlight w:val="none"/>
              </w:rPr>
              <w:t>反映网络安全等级保护达标情况。指标值=网络安全等级保护测评结果</w:t>
            </w:r>
          </w:p>
        </w:tc>
      </w:tr>
      <w:tr w14:paraId="2DE6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37" w:type="dxa"/>
            <w:shd w:val="clear" w:color="auto" w:fill="auto"/>
            <w:vAlign w:val="center"/>
          </w:tcPr>
          <w:p w14:paraId="1BA01977">
            <w:pPr>
              <w:spacing w:line="240" w:lineRule="auto"/>
              <w:ind w:firstLine="0" w:firstLineChars="0"/>
              <w:jc w:val="center"/>
              <w:rPr>
                <w:rFonts w:hint="eastAsia" w:cs="Arial"/>
                <w:sz w:val="21"/>
                <w:szCs w:val="21"/>
                <w:highlight w:val="none"/>
              </w:rPr>
            </w:pPr>
            <w:r>
              <w:rPr>
                <w:rFonts w:hint="eastAsia" w:cs="Arial"/>
                <w:sz w:val="21"/>
                <w:szCs w:val="21"/>
                <w:highlight w:val="none"/>
              </w:rPr>
              <w:t>7</w:t>
            </w:r>
          </w:p>
        </w:tc>
        <w:tc>
          <w:tcPr>
            <w:tcW w:w="834" w:type="dxa"/>
            <w:vMerge w:val="continue"/>
            <w:vAlign w:val="center"/>
          </w:tcPr>
          <w:p w14:paraId="67FDBA7A">
            <w:pPr>
              <w:spacing w:line="240" w:lineRule="auto"/>
              <w:ind w:firstLine="0" w:firstLineChars="0"/>
              <w:rPr>
                <w:rFonts w:hint="eastAsia" w:cs="Arial"/>
                <w:sz w:val="21"/>
                <w:szCs w:val="21"/>
                <w:highlight w:val="none"/>
              </w:rPr>
            </w:pPr>
          </w:p>
        </w:tc>
        <w:tc>
          <w:tcPr>
            <w:tcW w:w="851" w:type="dxa"/>
            <w:shd w:val="clear" w:color="auto" w:fill="auto"/>
            <w:vAlign w:val="center"/>
          </w:tcPr>
          <w:p w14:paraId="0BE7C8C5">
            <w:pPr>
              <w:spacing w:line="240" w:lineRule="auto"/>
              <w:ind w:firstLine="0" w:firstLineChars="0"/>
              <w:jc w:val="center"/>
              <w:rPr>
                <w:rFonts w:hint="eastAsia" w:cs="Arial"/>
                <w:sz w:val="21"/>
                <w:szCs w:val="21"/>
                <w:highlight w:val="none"/>
              </w:rPr>
            </w:pPr>
            <w:r>
              <w:rPr>
                <w:rFonts w:hint="eastAsia" w:cs="Arial"/>
                <w:sz w:val="21"/>
                <w:szCs w:val="21"/>
                <w:highlight w:val="none"/>
              </w:rPr>
              <w:t>产出指标</w:t>
            </w:r>
          </w:p>
        </w:tc>
        <w:tc>
          <w:tcPr>
            <w:tcW w:w="992" w:type="dxa"/>
            <w:shd w:val="clear" w:color="auto" w:fill="auto"/>
            <w:vAlign w:val="center"/>
          </w:tcPr>
          <w:p w14:paraId="560DD700">
            <w:pPr>
              <w:spacing w:line="240" w:lineRule="auto"/>
              <w:ind w:firstLine="0" w:firstLineChars="0"/>
              <w:jc w:val="center"/>
              <w:rPr>
                <w:rFonts w:hint="eastAsia" w:cs="Arial"/>
                <w:sz w:val="21"/>
                <w:szCs w:val="21"/>
                <w:highlight w:val="none"/>
              </w:rPr>
            </w:pPr>
            <w:r>
              <w:rPr>
                <w:rFonts w:hint="eastAsia" w:cs="Arial"/>
                <w:sz w:val="21"/>
                <w:szCs w:val="21"/>
                <w:highlight w:val="none"/>
              </w:rPr>
              <w:t>产出质量</w:t>
            </w:r>
          </w:p>
        </w:tc>
        <w:tc>
          <w:tcPr>
            <w:tcW w:w="1276" w:type="dxa"/>
            <w:shd w:val="clear" w:color="auto" w:fill="auto"/>
            <w:vAlign w:val="center"/>
          </w:tcPr>
          <w:p w14:paraId="6BFE05FF">
            <w:pPr>
              <w:spacing w:line="240" w:lineRule="auto"/>
              <w:ind w:firstLine="0" w:firstLineChars="0"/>
              <w:rPr>
                <w:rFonts w:hint="eastAsia" w:cs="Arial"/>
                <w:sz w:val="21"/>
                <w:szCs w:val="21"/>
                <w:highlight w:val="none"/>
              </w:rPr>
            </w:pPr>
            <w:r>
              <w:rPr>
                <w:rFonts w:hint="eastAsia" w:cs="Arial"/>
                <w:sz w:val="21"/>
                <w:szCs w:val="21"/>
                <w:highlight w:val="none"/>
              </w:rPr>
              <w:t>安全测试达标</w:t>
            </w:r>
          </w:p>
        </w:tc>
        <w:tc>
          <w:tcPr>
            <w:tcW w:w="992" w:type="dxa"/>
            <w:shd w:val="clear" w:color="auto" w:fill="auto"/>
            <w:vAlign w:val="center"/>
          </w:tcPr>
          <w:p w14:paraId="0B38F02A">
            <w:pPr>
              <w:spacing w:line="240" w:lineRule="auto"/>
              <w:ind w:firstLine="0" w:firstLineChars="0"/>
              <w:jc w:val="center"/>
              <w:rPr>
                <w:rFonts w:hint="eastAsia" w:cs="Arial"/>
                <w:sz w:val="21"/>
                <w:szCs w:val="21"/>
                <w:highlight w:val="none"/>
              </w:rPr>
            </w:pPr>
            <w:r>
              <w:rPr>
                <w:rFonts w:hint="eastAsia" w:cs="Arial"/>
                <w:sz w:val="21"/>
                <w:szCs w:val="21"/>
                <w:highlight w:val="none"/>
              </w:rPr>
              <w:t>达标</w:t>
            </w:r>
          </w:p>
        </w:tc>
        <w:tc>
          <w:tcPr>
            <w:tcW w:w="3260" w:type="dxa"/>
            <w:shd w:val="clear" w:color="auto" w:fill="auto"/>
            <w:vAlign w:val="center"/>
          </w:tcPr>
          <w:p w14:paraId="22623DB9">
            <w:pPr>
              <w:spacing w:line="240" w:lineRule="auto"/>
              <w:ind w:firstLine="0" w:firstLineChars="0"/>
              <w:rPr>
                <w:rFonts w:hint="eastAsia" w:cs="Arial"/>
                <w:sz w:val="21"/>
                <w:szCs w:val="21"/>
                <w:highlight w:val="none"/>
              </w:rPr>
            </w:pPr>
            <w:r>
              <w:rPr>
                <w:rFonts w:hint="eastAsia" w:cs="Arial"/>
                <w:sz w:val="21"/>
                <w:szCs w:val="21"/>
                <w:highlight w:val="none"/>
              </w:rPr>
              <w:t>反映安全测试达标情况。指标值=测试结果</w:t>
            </w:r>
          </w:p>
        </w:tc>
      </w:tr>
      <w:tr w14:paraId="257C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02B2C49F">
            <w:pPr>
              <w:spacing w:line="240" w:lineRule="auto"/>
              <w:ind w:firstLine="0" w:firstLineChars="0"/>
              <w:jc w:val="center"/>
              <w:rPr>
                <w:rFonts w:hint="eastAsia" w:cs="Arial"/>
                <w:sz w:val="21"/>
                <w:szCs w:val="21"/>
                <w:highlight w:val="none"/>
              </w:rPr>
            </w:pPr>
            <w:r>
              <w:rPr>
                <w:rFonts w:hint="eastAsia" w:cs="Arial"/>
                <w:sz w:val="21"/>
                <w:szCs w:val="21"/>
                <w:highlight w:val="none"/>
              </w:rPr>
              <w:t>8</w:t>
            </w:r>
          </w:p>
        </w:tc>
        <w:tc>
          <w:tcPr>
            <w:tcW w:w="834" w:type="dxa"/>
            <w:vMerge w:val="continue"/>
            <w:vAlign w:val="center"/>
          </w:tcPr>
          <w:p w14:paraId="1F2DADD4">
            <w:pPr>
              <w:spacing w:line="240" w:lineRule="auto"/>
              <w:ind w:firstLine="0" w:firstLineChars="0"/>
              <w:rPr>
                <w:rFonts w:hint="eastAsia" w:cs="Arial"/>
                <w:sz w:val="21"/>
                <w:szCs w:val="21"/>
                <w:highlight w:val="none"/>
              </w:rPr>
            </w:pPr>
          </w:p>
        </w:tc>
        <w:tc>
          <w:tcPr>
            <w:tcW w:w="851" w:type="dxa"/>
            <w:shd w:val="clear" w:color="auto" w:fill="auto"/>
            <w:vAlign w:val="center"/>
          </w:tcPr>
          <w:p w14:paraId="36725BFC">
            <w:pPr>
              <w:spacing w:line="240" w:lineRule="auto"/>
              <w:ind w:firstLine="0" w:firstLineChars="0"/>
              <w:jc w:val="center"/>
              <w:rPr>
                <w:rFonts w:hint="eastAsia" w:cs="Arial"/>
                <w:sz w:val="21"/>
                <w:szCs w:val="21"/>
                <w:highlight w:val="none"/>
              </w:rPr>
            </w:pPr>
            <w:r>
              <w:rPr>
                <w:rFonts w:hint="eastAsia" w:cs="Arial"/>
                <w:sz w:val="21"/>
                <w:szCs w:val="21"/>
                <w:highlight w:val="none"/>
              </w:rPr>
              <w:t>安全体系</w:t>
            </w:r>
          </w:p>
        </w:tc>
        <w:tc>
          <w:tcPr>
            <w:tcW w:w="992" w:type="dxa"/>
            <w:shd w:val="clear" w:color="auto" w:fill="auto"/>
            <w:vAlign w:val="center"/>
          </w:tcPr>
          <w:p w14:paraId="5C3FA557">
            <w:pPr>
              <w:spacing w:line="240" w:lineRule="auto"/>
              <w:ind w:firstLine="0" w:firstLineChars="0"/>
              <w:jc w:val="center"/>
              <w:rPr>
                <w:rFonts w:hint="eastAsia" w:cs="Arial"/>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10B6EFCC">
            <w:pPr>
              <w:spacing w:line="240" w:lineRule="auto"/>
              <w:ind w:firstLine="0" w:firstLineChars="0"/>
              <w:rPr>
                <w:rFonts w:hint="eastAsia" w:cs="Arial"/>
                <w:sz w:val="21"/>
                <w:szCs w:val="21"/>
                <w:highlight w:val="none"/>
              </w:rPr>
            </w:pPr>
            <w:r>
              <w:rPr>
                <w:rFonts w:hint="eastAsia" w:cs="Arial"/>
                <w:sz w:val="21"/>
                <w:szCs w:val="21"/>
                <w:highlight w:val="none"/>
              </w:rPr>
              <w:t>信息系统安全监管覆盖率</w:t>
            </w:r>
          </w:p>
        </w:tc>
        <w:tc>
          <w:tcPr>
            <w:tcW w:w="992" w:type="dxa"/>
            <w:shd w:val="clear" w:color="auto" w:fill="auto"/>
            <w:vAlign w:val="center"/>
          </w:tcPr>
          <w:p w14:paraId="551A1BE2">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65AC7E79">
            <w:pPr>
              <w:spacing w:line="240" w:lineRule="auto"/>
              <w:ind w:firstLine="0" w:firstLineChars="0"/>
              <w:rPr>
                <w:rFonts w:hint="eastAsia" w:cs="Arial"/>
                <w:sz w:val="21"/>
                <w:szCs w:val="21"/>
                <w:highlight w:val="none"/>
              </w:rPr>
            </w:pPr>
            <w:r>
              <w:rPr>
                <w:rFonts w:hint="eastAsia" w:cs="Arial"/>
                <w:sz w:val="21"/>
                <w:szCs w:val="21"/>
                <w:highlight w:val="none"/>
              </w:rPr>
              <w:t>反映信息系统安全监管覆盖率情况。指标值=进行安全监控的信息系统数量/需要进行安全监控的信息系统数量*100%</w:t>
            </w:r>
          </w:p>
        </w:tc>
      </w:tr>
      <w:tr w14:paraId="1991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3FA4AF74">
            <w:pPr>
              <w:spacing w:line="240" w:lineRule="auto"/>
              <w:ind w:firstLine="0" w:firstLineChars="0"/>
              <w:jc w:val="center"/>
              <w:rPr>
                <w:rFonts w:hint="eastAsia" w:cs="Arial"/>
                <w:sz w:val="21"/>
                <w:szCs w:val="21"/>
                <w:highlight w:val="none"/>
              </w:rPr>
            </w:pPr>
            <w:r>
              <w:rPr>
                <w:rFonts w:hint="eastAsia" w:cs="Arial"/>
                <w:sz w:val="21"/>
                <w:szCs w:val="21"/>
                <w:highlight w:val="none"/>
              </w:rPr>
              <w:t>9</w:t>
            </w:r>
          </w:p>
        </w:tc>
        <w:tc>
          <w:tcPr>
            <w:tcW w:w="834" w:type="dxa"/>
            <w:vMerge w:val="continue"/>
            <w:vAlign w:val="center"/>
          </w:tcPr>
          <w:p w14:paraId="2BEBBF65">
            <w:pPr>
              <w:spacing w:line="240" w:lineRule="auto"/>
              <w:ind w:firstLine="0" w:firstLineChars="0"/>
              <w:rPr>
                <w:rFonts w:hint="eastAsia" w:cs="Arial"/>
                <w:sz w:val="21"/>
                <w:szCs w:val="21"/>
                <w:highlight w:val="none"/>
              </w:rPr>
            </w:pPr>
          </w:p>
        </w:tc>
        <w:tc>
          <w:tcPr>
            <w:tcW w:w="851" w:type="dxa"/>
            <w:shd w:val="clear" w:color="auto" w:fill="auto"/>
            <w:vAlign w:val="center"/>
          </w:tcPr>
          <w:p w14:paraId="0E1A5FC2">
            <w:pPr>
              <w:spacing w:line="240" w:lineRule="auto"/>
              <w:ind w:firstLine="0" w:firstLineChars="0"/>
              <w:jc w:val="center"/>
              <w:rPr>
                <w:rFonts w:hint="eastAsia" w:cs="Arial"/>
                <w:sz w:val="21"/>
                <w:szCs w:val="21"/>
                <w:highlight w:val="none"/>
              </w:rPr>
            </w:pPr>
            <w:r>
              <w:rPr>
                <w:rFonts w:hint="eastAsia" w:cs="Arial"/>
                <w:sz w:val="21"/>
                <w:szCs w:val="21"/>
                <w:highlight w:val="none"/>
              </w:rPr>
              <w:t>安全体系</w:t>
            </w:r>
          </w:p>
        </w:tc>
        <w:tc>
          <w:tcPr>
            <w:tcW w:w="992" w:type="dxa"/>
            <w:shd w:val="clear" w:color="auto" w:fill="auto"/>
            <w:vAlign w:val="center"/>
          </w:tcPr>
          <w:p w14:paraId="24D855B1">
            <w:pPr>
              <w:spacing w:line="240" w:lineRule="auto"/>
              <w:ind w:firstLine="0" w:firstLineChars="0"/>
              <w:jc w:val="center"/>
              <w:rPr>
                <w:rFonts w:hint="eastAsia" w:cs="Arial"/>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1A5C3454">
            <w:pPr>
              <w:spacing w:line="240" w:lineRule="auto"/>
              <w:ind w:firstLine="0" w:firstLineChars="0"/>
              <w:rPr>
                <w:rFonts w:hint="eastAsia" w:cs="Arial"/>
                <w:sz w:val="21"/>
                <w:szCs w:val="21"/>
                <w:highlight w:val="none"/>
              </w:rPr>
            </w:pPr>
            <w:r>
              <w:rPr>
                <w:rFonts w:hint="eastAsia" w:cs="Arial"/>
                <w:sz w:val="21"/>
                <w:szCs w:val="21"/>
                <w:highlight w:val="none"/>
              </w:rPr>
              <w:t>数据风险监测覆盖率</w:t>
            </w:r>
          </w:p>
        </w:tc>
        <w:tc>
          <w:tcPr>
            <w:tcW w:w="992" w:type="dxa"/>
            <w:shd w:val="clear" w:color="auto" w:fill="auto"/>
            <w:vAlign w:val="center"/>
          </w:tcPr>
          <w:p w14:paraId="5E5049DD">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492E8AD6">
            <w:pPr>
              <w:spacing w:line="240" w:lineRule="auto"/>
              <w:ind w:firstLine="0" w:firstLineChars="0"/>
              <w:rPr>
                <w:rFonts w:hint="eastAsia" w:cs="Arial"/>
                <w:sz w:val="21"/>
                <w:szCs w:val="21"/>
                <w:highlight w:val="none"/>
              </w:rPr>
            </w:pPr>
            <w:r>
              <w:rPr>
                <w:rFonts w:hint="eastAsia" w:cs="Arial"/>
                <w:sz w:val="21"/>
                <w:szCs w:val="21"/>
                <w:highlight w:val="none"/>
              </w:rPr>
              <w:t>反映系统对所涉及到的数据进行风险监测情况。指标值=进行风险监测的数据目录数/涉及到的数据目录总数*100%</w:t>
            </w:r>
          </w:p>
        </w:tc>
      </w:tr>
      <w:tr w14:paraId="4701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7" w:type="dxa"/>
            <w:shd w:val="clear" w:color="auto" w:fill="auto"/>
            <w:vAlign w:val="center"/>
          </w:tcPr>
          <w:p w14:paraId="6CEB1CFD">
            <w:pPr>
              <w:spacing w:line="240" w:lineRule="auto"/>
              <w:ind w:firstLine="0" w:firstLineChars="0"/>
              <w:jc w:val="center"/>
              <w:rPr>
                <w:rFonts w:hint="eastAsia" w:cs="Arial"/>
                <w:sz w:val="21"/>
                <w:szCs w:val="21"/>
                <w:highlight w:val="none"/>
              </w:rPr>
            </w:pPr>
            <w:r>
              <w:rPr>
                <w:rFonts w:hint="eastAsia" w:cs="Arial"/>
                <w:sz w:val="21"/>
                <w:szCs w:val="21"/>
                <w:highlight w:val="none"/>
              </w:rPr>
              <w:t>10</w:t>
            </w:r>
          </w:p>
        </w:tc>
        <w:tc>
          <w:tcPr>
            <w:tcW w:w="834" w:type="dxa"/>
            <w:vMerge w:val="continue"/>
            <w:vAlign w:val="center"/>
          </w:tcPr>
          <w:p w14:paraId="12C40256">
            <w:pPr>
              <w:spacing w:line="240" w:lineRule="auto"/>
              <w:ind w:firstLine="0" w:firstLineChars="0"/>
              <w:rPr>
                <w:rFonts w:hint="eastAsia" w:cs="Arial"/>
                <w:sz w:val="21"/>
                <w:szCs w:val="21"/>
                <w:highlight w:val="none"/>
              </w:rPr>
            </w:pPr>
          </w:p>
        </w:tc>
        <w:tc>
          <w:tcPr>
            <w:tcW w:w="851" w:type="dxa"/>
            <w:shd w:val="clear" w:color="auto" w:fill="auto"/>
            <w:vAlign w:val="center"/>
          </w:tcPr>
          <w:p w14:paraId="049A4A6E">
            <w:pPr>
              <w:spacing w:line="240" w:lineRule="auto"/>
              <w:ind w:firstLine="0" w:firstLineChars="0"/>
              <w:jc w:val="center"/>
              <w:rPr>
                <w:rFonts w:hint="eastAsia" w:cs="Arial"/>
                <w:sz w:val="21"/>
                <w:szCs w:val="21"/>
                <w:highlight w:val="none"/>
              </w:rPr>
            </w:pPr>
            <w:r>
              <w:rPr>
                <w:rFonts w:hint="eastAsia" w:cs="Arial"/>
                <w:sz w:val="21"/>
                <w:szCs w:val="21"/>
                <w:highlight w:val="none"/>
              </w:rPr>
              <w:t>安全体系</w:t>
            </w:r>
          </w:p>
        </w:tc>
        <w:tc>
          <w:tcPr>
            <w:tcW w:w="992" w:type="dxa"/>
            <w:shd w:val="clear" w:color="auto" w:fill="auto"/>
            <w:vAlign w:val="center"/>
          </w:tcPr>
          <w:p w14:paraId="2E25FF61">
            <w:pPr>
              <w:spacing w:line="240" w:lineRule="auto"/>
              <w:ind w:firstLine="0" w:firstLineChars="0"/>
              <w:jc w:val="center"/>
              <w:rPr>
                <w:rFonts w:hint="eastAsia" w:cs="Arial"/>
                <w:sz w:val="21"/>
                <w:szCs w:val="21"/>
                <w:highlight w:val="none"/>
              </w:rPr>
            </w:pPr>
            <w:r>
              <w:rPr>
                <w:rFonts w:hint="eastAsia" w:cs="Arial"/>
                <w:sz w:val="21"/>
                <w:szCs w:val="21"/>
                <w:highlight w:val="none"/>
              </w:rPr>
              <w:t>安全建设水平</w:t>
            </w:r>
          </w:p>
        </w:tc>
        <w:tc>
          <w:tcPr>
            <w:tcW w:w="1276" w:type="dxa"/>
            <w:shd w:val="clear" w:color="auto" w:fill="auto"/>
            <w:vAlign w:val="center"/>
          </w:tcPr>
          <w:p w14:paraId="02C30688">
            <w:pPr>
              <w:spacing w:line="240" w:lineRule="auto"/>
              <w:ind w:firstLine="0" w:firstLineChars="0"/>
              <w:rPr>
                <w:rFonts w:hint="eastAsia" w:cs="Arial"/>
                <w:sz w:val="21"/>
                <w:szCs w:val="21"/>
                <w:highlight w:val="none"/>
              </w:rPr>
            </w:pPr>
            <w:r>
              <w:rPr>
                <w:rFonts w:hint="eastAsia" w:cs="Arial"/>
                <w:sz w:val="21"/>
                <w:szCs w:val="21"/>
                <w:highlight w:val="none"/>
              </w:rPr>
              <w:t>终端设备安全管理覆盖率</w:t>
            </w:r>
          </w:p>
        </w:tc>
        <w:tc>
          <w:tcPr>
            <w:tcW w:w="992" w:type="dxa"/>
            <w:shd w:val="clear" w:color="auto" w:fill="auto"/>
            <w:vAlign w:val="center"/>
          </w:tcPr>
          <w:p w14:paraId="0EDE3E2A">
            <w:pPr>
              <w:spacing w:line="240" w:lineRule="auto"/>
              <w:ind w:firstLine="0" w:firstLineChars="0"/>
              <w:jc w:val="center"/>
              <w:rPr>
                <w:rFonts w:hint="eastAsia" w:cs="Arial"/>
                <w:sz w:val="21"/>
                <w:szCs w:val="21"/>
                <w:highlight w:val="none"/>
              </w:rPr>
            </w:pPr>
            <w:r>
              <w:rPr>
                <w:rFonts w:hint="eastAsia" w:cs="Arial"/>
                <w:sz w:val="21"/>
                <w:szCs w:val="21"/>
                <w:highlight w:val="none"/>
              </w:rPr>
              <w:t>100%</w:t>
            </w:r>
          </w:p>
        </w:tc>
        <w:tc>
          <w:tcPr>
            <w:tcW w:w="3260" w:type="dxa"/>
            <w:shd w:val="clear" w:color="auto" w:fill="auto"/>
            <w:vAlign w:val="center"/>
          </w:tcPr>
          <w:p w14:paraId="7F0391EB">
            <w:pPr>
              <w:spacing w:line="240" w:lineRule="auto"/>
              <w:ind w:firstLine="0" w:firstLineChars="0"/>
              <w:rPr>
                <w:rFonts w:hint="eastAsia" w:cs="Arial"/>
                <w:sz w:val="21"/>
                <w:szCs w:val="21"/>
                <w:highlight w:val="none"/>
              </w:rPr>
            </w:pPr>
            <w:r>
              <w:rPr>
                <w:rFonts w:hint="eastAsia" w:cs="Arial"/>
                <w:sz w:val="21"/>
                <w:szCs w:val="21"/>
                <w:highlight w:val="none"/>
              </w:rPr>
              <w:t>反映对终端设备进行安全管理情况。指标值=完成安全管理的终端设备数量/计划进行安全管理的终端设备总数*100%</w:t>
            </w:r>
          </w:p>
        </w:tc>
      </w:tr>
    </w:tbl>
    <w:p w14:paraId="30B5D59D">
      <w:pPr>
        <w:ind w:firstLine="482"/>
        <w:rPr>
          <w:rFonts w:hint="eastAsia"/>
          <w:b/>
          <w:highlight w:val="none"/>
        </w:rPr>
      </w:pPr>
    </w:p>
    <w:p w14:paraId="4AD0B343">
      <w:pPr>
        <w:pStyle w:val="2"/>
        <w:rPr>
          <w:rFonts w:hint="eastAsia"/>
          <w:highlight w:val="none"/>
        </w:rPr>
      </w:pPr>
      <w:bookmarkStart w:id="11" w:name="_Toc47536676"/>
      <w:bookmarkEnd w:id="11"/>
      <w:bookmarkStart w:id="12" w:name="_Toc47536304"/>
      <w:bookmarkEnd w:id="12"/>
      <w:bookmarkStart w:id="13" w:name="_Toc47537166"/>
      <w:bookmarkEnd w:id="13"/>
      <w:bookmarkStart w:id="14" w:name="_Toc47539102"/>
      <w:bookmarkEnd w:id="14"/>
      <w:bookmarkStart w:id="15" w:name="_Toc47533288"/>
      <w:bookmarkEnd w:id="15"/>
      <w:bookmarkStart w:id="16" w:name="_Toc47532923"/>
      <w:bookmarkEnd w:id="16"/>
      <w:r>
        <w:rPr>
          <w:rFonts w:hint="eastAsia"/>
          <w:highlight w:val="none"/>
        </w:rPr>
        <w:t>项目建设内容</w:t>
      </w:r>
    </w:p>
    <w:p w14:paraId="4379F944">
      <w:pPr>
        <w:pStyle w:val="3"/>
        <w:rPr>
          <w:rFonts w:hint="eastAsia"/>
          <w:highlight w:val="none"/>
        </w:rPr>
      </w:pPr>
      <w:r>
        <w:rPr>
          <w:rFonts w:hint="eastAsia"/>
          <w:highlight w:val="none"/>
        </w:rPr>
        <w:t>项目建设内容</w:t>
      </w:r>
    </w:p>
    <w:p w14:paraId="395C7D12">
      <w:pPr>
        <w:pStyle w:val="4"/>
        <w:rPr>
          <w:rFonts w:hint="eastAsia"/>
          <w:highlight w:val="none"/>
        </w:rPr>
      </w:pPr>
      <w:r>
        <w:rPr>
          <w:rFonts w:hint="eastAsia"/>
          <w:highlight w:val="none"/>
        </w:rPr>
        <w:t>企业登记</w:t>
      </w:r>
    </w:p>
    <w:p w14:paraId="2C36ED70">
      <w:pPr>
        <w:rPr>
          <w:rFonts w:hint="eastAsia"/>
          <w:highlight w:val="none"/>
        </w:rPr>
      </w:pPr>
      <w:r>
        <w:rPr>
          <w:rFonts w:hint="eastAsia"/>
          <w:highlight w:val="none"/>
        </w:rPr>
        <w:t>基于现有“一窗通”子系统，根据新公司法、国务院进一步优化政务服务、本市优化营商环境等相关要求，从12个方面升级经营主体登记功能，优化升级14个方面登记业务支撑功能，并重构应用系统技术架构，充分利用大数据、人工智能、微服务、移动应用、自助终端等新思路、新技术、新渠道对业务功能、业务流程、数据服务进行全面优化与加强，确保系统满足经营主体登记相关改革要求，提升用户使用体验，为系统长期运行维护奠定良好的架构基础。</w:t>
      </w:r>
    </w:p>
    <w:p w14:paraId="523FA99E">
      <w:pPr>
        <w:pStyle w:val="4"/>
        <w:rPr>
          <w:rFonts w:hint="eastAsia"/>
          <w:highlight w:val="none"/>
        </w:rPr>
      </w:pPr>
      <w:r>
        <w:rPr>
          <w:rFonts w:hint="eastAsia"/>
          <w:highlight w:val="none"/>
        </w:rPr>
        <w:t>公共服务</w:t>
      </w:r>
    </w:p>
    <w:p w14:paraId="6F5AFA9F">
      <w:pPr>
        <w:rPr>
          <w:rFonts w:hint="eastAsia"/>
          <w:highlight w:val="none"/>
        </w:rPr>
      </w:pPr>
      <w:r>
        <w:rPr>
          <w:rFonts w:hint="eastAsia"/>
          <w:highlight w:val="none"/>
        </w:rPr>
        <w:t>整合市场监管领域内面向社会公众、企业、从业人员、专业机构及专家的相关服务功能，支撑市场监管领域的社会共治、企业共治、社区共治等服务职能，形成统一的公共服务入口。本期主要建设内容包括社会共治（基于随申办的公众监督应用）、企业共治（食品、特种设备、工业产品等领域落实企业主体责任及相关专项工作）、社区共治（落实食品安全包保督导属地责任）、外部审查（统一审查工作台及7项外部审查事项）、云端课堂（食品安全、特种设备、工业产品等培训宣传服务）、云体检（提供企业合规自我体检报告）。</w:t>
      </w:r>
    </w:p>
    <w:p w14:paraId="104D9901">
      <w:pPr>
        <w:pStyle w:val="4"/>
        <w:rPr>
          <w:rFonts w:hint="eastAsia"/>
          <w:highlight w:val="none"/>
        </w:rPr>
      </w:pPr>
      <w:r>
        <w:rPr>
          <w:rFonts w:hint="eastAsia"/>
          <w:highlight w:val="none"/>
        </w:rPr>
        <w:t>综合监管</w:t>
      </w:r>
    </w:p>
    <w:p w14:paraId="0BF37CEE">
      <w:pPr>
        <w:rPr>
          <w:rFonts w:hint="eastAsia"/>
          <w:highlight w:val="none"/>
        </w:rPr>
      </w:pPr>
      <w:r>
        <w:rPr>
          <w:rFonts w:hint="eastAsia"/>
          <w:highlight w:val="none"/>
        </w:rPr>
        <w:t>在整合市场监管领域内各专业领域共性监管工作的基础上，统筹建设覆盖市、区、所三级监管任务的综合监管一体化平台，实现统一的监管任务管理、统一的监管要素管理、统一的预警监控管理、统一的监管督办管理；整合各专业领域监管功能，建设食品安全风险动态排查、民生价格监测等7项监管发现监测功能及食品安全举报奖励、经营者集中审查等5项监管促进管理功能；对接全市统一“检查码”探索机动车检验机构综合监管等跨部门综合监管“一件事”协同功能；重构综合监管移动应用，实现综合监管移动应用接入“随申办政务云”。</w:t>
      </w:r>
    </w:p>
    <w:p w14:paraId="170C6778">
      <w:pPr>
        <w:pStyle w:val="4"/>
        <w:rPr>
          <w:rFonts w:hint="eastAsia"/>
          <w:highlight w:val="none"/>
        </w:rPr>
      </w:pPr>
      <w:r>
        <w:rPr>
          <w:rFonts w:hint="eastAsia"/>
          <w:highlight w:val="none"/>
        </w:rPr>
        <w:t>行政处罚和执法监督</w:t>
      </w:r>
    </w:p>
    <w:p w14:paraId="51EA1220">
      <w:pPr>
        <w:rPr>
          <w:rFonts w:hint="eastAsia"/>
          <w:highlight w:val="none"/>
        </w:rPr>
      </w:pPr>
      <w:r>
        <w:rPr>
          <w:rFonts w:hint="eastAsia"/>
          <w:highlight w:val="none"/>
        </w:rPr>
        <w:t>在现有行政处罚与执法监督系统基础上，实现行政处罚案件管理全流程电子化，全面推进电子签章应用和电子卷宗统一管理，拓展行政处罚移动应用、处罚决定电子送达及罚款在线缴纳、案件质量考评和督办管理等功能，强化案件办理过程的智能化辅助能力，全面提升行政执法支撑能力。</w:t>
      </w:r>
    </w:p>
    <w:p w14:paraId="1BC643EC">
      <w:pPr>
        <w:pStyle w:val="3"/>
        <w:rPr>
          <w:rFonts w:hint="eastAsia"/>
          <w:highlight w:val="none"/>
        </w:rPr>
      </w:pPr>
      <w:r>
        <w:rPr>
          <w:rFonts w:hint="eastAsia"/>
          <w:highlight w:val="none"/>
        </w:rPr>
        <w:t>系统架构图</w:t>
      </w:r>
    </w:p>
    <w:p w14:paraId="20287699">
      <w:pPr>
        <w:ind w:firstLine="0" w:firstLineChars="0"/>
        <w:rPr>
          <w:rFonts w:hint="eastAsia"/>
          <w:highlight w:val="none"/>
        </w:rPr>
      </w:pPr>
      <w:r>
        <w:rPr>
          <w:highlight w:val="none"/>
        </w:rPr>
        <w:drawing>
          <wp:inline distT="0" distB="0" distL="0" distR="0">
            <wp:extent cx="5278120" cy="2780665"/>
            <wp:effectExtent l="0" t="0" r="0" b="635"/>
            <wp:docPr id="1174581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81636" name="图片 3"/>
                    <pic:cNvPicPr>
                      <a:picLocks noChangeAspect="1" noChangeArrowheads="1"/>
                    </pic:cNvPicPr>
                  </pic:nvPicPr>
                  <pic:blipFill>
                    <a:blip r:embed="rId13">
                      <a:extLst>
                        <a:ext uri="{28A0092B-C50C-407E-A947-70E740481C1C}">
                          <a14:useLocalDpi xmlns:a14="http://schemas.microsoft.com/office/drawing/2010/main" val="0"/>
                        </a:ext>
                      </a:extLst>
                    </a:blip>
                    <a:srcRect t="2182" b="4204"/>
                    <a:stretch>
                      <a:fillRect/>
                    </a:stretch>
                  </pic:blipFill>
                  <pic:spPr>
                    <a:xfrm>
                      <a:off x="0" y="0"/>
                      <a:ext cx="5278120" cy="2781106"/>
                    </a:xfrm>
                    <a:prstGeom prst="rect">
                      <a:avLst/>
                    </a:prstGeom>
                    <a:noFill/>
                    <a:ln>
                      <a:noFill/>
                    </a:ln>
                  </pic:spPr>
                </pic:pic>
              </a:graphicData>
            </a:graphic>
          </wp:inline>
        </w:drawing>
      </w:r>
    </w:p>
    <w:p w14:paraId="4B5A9875">
      <w:pPr>
        <w:rPr>
          <w:rFonts w:hint="eastAsia"/>
          <w:highlight w:val="none"/>
        </w:rPr>
      </w:pPr>
      <w:r>
        <w:rPr>
          <w:rFonts w:hint="eastAsia"/>
          <w:highlight w:val="none"/>
        </w:rPr>
        <w:t>全国市场监管数字化试验区（上海）建设项目的总体系统架构按照数字底座、应用支撑、数据慧治、数智场景、数字服务等板块构成。</w:t>
      </w:r>
    </w:p>
    <w:p w14:paraId="6D97A847">
      <w:pPr>
        <w:rPr>
          <w:rFonts w:hint="eastAsia"/>
          <w:highlight w:val="none"/>
        </w:rPr>
      </w:pPr>
      <w:r>
        <w:rPr>
          <w:rFonts w:hint="eastAsia"/>
          <w:highlight w:val="none"/>
        </w:rPr>
        <w:t>数字底座：依托市大数据中心统一建设运营的“云”“网”“数”“链”“图”“智”“端”“安”等底座资源，根据业务需求进行选择、扩展和补充。</w:t>
      </w:r>
    </w:p>
    <w:p w14:paraId="6E1F9B95">
      <w:pPr>
        <w:rPr>
          <w:rFonts w:hint="eastAsia"/>
          <w:highlight w:val="none"/>
        </w:rPr>
      </w:pPr>
      <w:r>
        <w:rPr>
          <w:rFonts w:hint="eastAsia"/>
          <w:highlight w:val="none"/>
        </w:rPr>
        <w:t>应用支撑：为上层业务应用提供统一的应用支撑组件。</w:t>
      </w:r>
    </w:p>
    <w:p w14:paraId="4DA0A3A1">
      <w:pPr>
        <w:rPr>
          <w:rFonts w:hint="eastAsia"/>
          <w:highlight w:val="none"/>
        </w:rPr>
      </w:pPr>
      <w:r>
        <w:rPr>
          <w:rFonts w:hint="eastAsia"/>
          <w:highlight w:val="none"/>
        </w:rPr>
        <w:t>数据慧治：提供数据管理、数据利用和决策辅助等数据综合分析功能，并为上层应用提供数据服务和智能服务。</w:t>
      </w:r>
    </w:p>
    <w:p w14:paraId="26B2451C">
      <w:pPr>
        <w:rPr>
          <w:rFonts w:hint="eastAsia"/>
          <w:highlight w:val="none"/>
        </w:rPr>
      </w:pPr>
      <w:r>
        <w:rPr>
          <w:rFonts w:hint="eastAsia"/>
          <w:highlight w:val="none"/>
        </w:rPr>
        <w:t>数智场景：提供准入准营、综合监管、执法维权、质量基础、综合管理等五个领域的业务应用系统。</w:t>
      </w:r>
    </w:p>
    <w:p w14:paraId="2012130C">
      <w:pPr>
        <w:rPr>
          <w:rFonts w:hint="eastAsia"/>
          <w:highlight w:val="none"/>
        </w:rPr>
      </w:pPr>
      <w:r>
        <w:rPr>
          <w:rFonts w:hint="eastAsia"/>
          <w:highlight w:val="none"/>
        </w:rPr>
        <w:t>数字服务：通过集成工作台、智能驾驶舱以及便捷服务窗提供数字化服务。</w:t>
      </w:r>
    </w:p>
    <w:p w14:paraId="70717EF6">
      <w:pPr>
        <w:pStyle w:val="3"/>
        <w:rPr>
          <w:rFonts w:hint="eastAsia"/>
          <w:highlight w:val="none"/>
        </w:rPr>
      </w:pPr>
      <w:r>
        <w:rPr>
          <w:rFonts w:hint="eastAsia"/>
          <w:highlight w:val="none"/>
        </w:rPr>
        <w:t>部署环境和网络拓扑</w:t>
      </w:r>
    </w:p>
    <w:p w14:paraId="4D2087C5">
      <w:pPr>
        <w:rPr>
          <w:rFonts w:hint="eastAsia"/>
          <w:highlight w:val="none"/>
        </w:rPr>
      </w:pPr>
      <w:r>
        <w:rPr>
          <w:rFonts w:hint="eastAsia"/>
          <w:highlight w:val="none"/>
        </w:rPr>
        <w:t>本项目依托上海市电子政务云平台部署，主体部署在政务外网，并通过政务外网和互联网分别面向政府部门和企业公众提供访问。</w:t>
      </w:r>
    </w:p>
    <w:p w14:paraId="740579B0">
      <w:pPr>
        <w:pStyle w:val="3"/>
        <w:rPr>
          <w:rFonts w:hint="eastAsia"/>
          <w:highlight w:val="none"/>
        </w:rPr>
      </w:pPr>
      <w:r>
        <w:rPr>
          <w:rFonts w:hint="eastAsia"/>
          <w:highlight w:val="none"/>
        </w:rPr>
        <w:t>技术指标</w:t>
      </w:r>
    </w:p>
    <w:p w14:paraId="111A4F13">
      <w:pPr>
        <w:pStyle w:val="61"/>
        <w:numPr>
          <w:ilvl w:val="0"/>
          <w:numId w:val="3"/>
        </w:numPr>
        <w:ind w:firstLineChars="0"/>
        <w:rPr>
          <w:highlight w:val="none"/>
        </w:rPr>
      </w:pPr>
      <w:r>
        <w:rPr>
          <w:highlight w:val="none"/>
        </w:rPr>
        <w:t>并发用户数≥300；</w:t>
      </w:r>
    </w:p>
    <w:p w14:paraId="39584260">
      <w:pPr>
        <w:pStyle w:val="61"/>
        <w:numPr>
          <w:ilvl w:val="0"/>
          <w:numId w:val="3"/>
        </w:numPr>
        <w:ind w:firstLineChars="0"/>
        <w:rPr>
          <w:highlight w:val="none"/>
        </w:rPr>
      </w:pPr>
      <w:r>
        <w:rPr>
          <w:highlight w:val="none"/>
        </w:rPr>
        <w:t>并发用户数100时，系统登陆时间≤3秒；</w:t>
      </w:r>
    </w:p>
    <w:p w14:paraId="09F738BE">
      <w:pPr>
        <w:pStyle w:val="61"/>
        <w:numPr>
          <w:ilvl w:val="0"/>
          <w:numId w:val="3"/>
        </w:numPr>
        <w:ind w:firstLineChars="0"/>
        <w:rPr>
          <w:highlight w:val="none"/>
        </w:rPr>
      </w:pPr>
      <w:r>
        <w:rPr>
          <w:highlight w:val="none"/>
        </w:rPr>
        <w:t>一般查询和写入操作响应时间（90%的操作页面）≤5秒；</w:t>
      </w:r>
    </w:p>
    <w:p w14:paraId="6C4878A8">
      <w:pPr>
        <w:pStyle w:val="61"/>
        <w:numPr>
          <w:ilvl w:val="0"/>
          <w:numId w:val="3"/>
        </w:numPr>
        <w:ind w:firstLineChars="0"/>
        <w:rPr>
          <w:highlight w:val="none"/>
        </w:rPr>
      </w:pPr>
      <w:r>
        <w:rPr>
          <w:highlight w:val="none"/>
        </w:rPr>
        <w:t>搜索类操作响应时间≤10秒；</w:t>
      </w:r>
    </w:p>
    <w:p w14:paraId="3349C89B">
      <w:pPr>
        <w:pStyle w:val="61"/>
        <w:numPr>
          <w:ilvl w:val="0"/>
          <w:numId w:val="3"/>
        </w:numPr>
        <w:ind w:firstLineChars="0"/>
        <w:rPr>
          <w:highlight w:val="none"/>
        </w:rPr>
      </w:pPr>
      <w:r>
        <w:rPr>
          <w:highlight w:val="none"/>
        </w:rPr>
        <w:t>报表统计类操作响应时间≤15秒；</w:t>
      </w:r>
    </w:p>
    <w:p w14:paraId="30A1BAA6">
      <w:pPr>
        <w:pStyle w:val="61"/>
        <w:numPr>
          <w:ilvl w:val="0"/>
          <w:numId w:val="3"/>
        </w:numPr>
        <w:ind w:firstLineChars="0"/>
        <w:rPr>
          <w:highlight w:val="none"/>
        </w:rPr>
      </w:pPr>
      <w:r>
        <w:rPr>
          <w:highlight w:val="none"/>
        </w:rPr>
        <w:t>响应时间较长的操作页面应显示进度条。</w:t>
      </w:r>
    </w:p>
    <w:p w14:paraId="47825210">
      <w:pPr>
        <w:pStyle w:val="3"/>
        <w:rPr>
          <w:rFonts w:hint="eastAsia"/>
          <w:highlight w:val="none"/>
        </w:rPr>
      </w:pPr>
      <w:r>
        <w:rPr>
          <w:rFonts w:hint="eastAsia"/>
          <w:highlight w:val="none"/>
        </w:rPr>
        <w:t>软件开发清单</w:t>
      </w:r>
    </w:p>
    <w:p w14:paraId="6916DE8B">
      <w:pPr>
        <w:rPr>
          <w:rFonts w:hint="eastAsia"/>
          <w:highlight w:val="none"/>
        </w:rPr>
      </w:pPr>
    </w:p>
    <w:tbl>
      <w:tblPr>
        <w:tblStyle w:val="35"/>
        <w:tblW w:w="5000" w:type="pct"/>
        <w:tblInd w:w="0" w:type="dxa"/>
        <w:tblLayout w:type="autofit"/>
        <w:tblCellMar>
          <w:top w:w="0" w:type="dxa"/>
          <w:left w:w="108" w:type="dxa"/>
          <w:bottom w:w="0" w:type="dxa"/>
          <w:right w:w="108" w:type="dxa"/>
        </w:tblCellMar>
      </w:tblPr>
      <w:tblGrid>
        <w:gridCol w:w="837"/>
        <w:gridCol w:w="837"/>
        <w:gridCol w:w="2671"/>
        <w:gridCol w:w="4183"/>
      </w:tblGrid>
      <w:tr w14:paraId="527EC51B">
        <w:tblPrEx>
          <w:tblCellMar>
            <w:top w:w="0" w:type="dxa"/>
            <w:left w:w="108" w:type="dxa"/>
            <w:bottom w:w="0" w:type="dxa"/>
            <w:right w:w="108" w:type="dxa"/>
          </w:tblCellMar>
        </w:tblPrEx>
        <w:trPr>
          <w:trHeight w:val="560" w:hRule="atLeast"/>
        </w:trPr>
        <w:tc>
          <w:tcPr>
            <w:tcW w:w="49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2A7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序号</w:t>
            </w:r>
          </w:p>
        </w:tc>
        <w:tc>
          <w:tcPr>
            <w:tcW w:w="491" w:type="pct"/>
            <w:tcBorders>
              <w:top w:val="single" w:color="000000" w:sz="4" w:space="0"/>
              <w:left w:val="nil"/>
              <w:bottom w:val="single" w:color="000000" w:sz="4" w:space="0"/>
              <w:right w:val="single" w:color="000000" w:sz="4" w:space="0"/>
            </w:tcBorders>
            <w:shd w:val="clear" w:color="auto" w:fill="auto"/>
            <w:vAlign w:val="center"/>
          </w:tcPr>
          <w:p w14:paraId="1FA29F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应用系统名称</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D652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模块名称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3161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模块描述</w:t>
            </w:r>
          </w:p>
        </w:tc>
      </w:tr>
      <w:tr w14:paraId="076137C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5C80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w:t>
            </w:r>
          </w:p>
        </w:tc>
        <w:tc>
          <w:tcPr>
            <w:tcW w:w="491" w:type="pct"/>
            <w:tcBorders>
              <w:top w:val="nil"/>
              <w:left w:val="nil"/>
              <w:bottom w:val="single" w:color="000000" w:sz="4" w:space="0"/>
              <w:right w:val="single" w:color="000000" w:sz="4" w:space="0"/>
            </w:tcBorders>
            <w:shd w:val="clear" w:color="auto" w:fill="auto"/>
            <w:vAlign w:val="center"/>
          </w:tcPr>
          <w:p w14:paraId="4BCA5E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8EEE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落实新《公司法》-法定代表人职务和产生方式调整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5628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法定代表人信息采集：法定代表人职务和产生方式调整涉及的业务功能，包括：ü设立、变更全程网办系统（内资、外资）；ü移动端（内资设立）；ü内网审核系统（内资、外资）。2、法定代表人信息采集：1）修改法定代表人职务、法定代表人产生方式的字典选项。2）设立网办系统，调整逻辑规则，产生方式和法定代表人的职务、公司类型做关联逻辑，不适用的产生方式不再显示。3、存量企业容错处理：对于调整前的存量企业，没有办理相关变更的，企业数据不做修改。在内网查询功能中显示的职务、产生方式应显示为原来的内容。4、上报国家局：数据上报国家局时，将职务、产生方式，和国家局新的字典值做对应关系。</w:t>
            </w:r>
          </w:p>
        </w:tc>
      </w:tr>
      <w:tr w14:paraId="51F940D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A582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w:t>
            </w:r>
          </w:p>
        </w:tc>
        <w:tc>
          <w:tcPr>
            <w:tcW w:w="491" w:type="pct"/>
            <w:tcBorders>
              <w:top w:val="nil"/>
              <w:left w:val="nil"/>
              <w:bottom w:val="single" w:color="000000" w:sz="4" w:space="0"/>
              <w:right w:val="single" w:color="000000" w:sz="4" w:space="0"/>
            </w:tcBorders>
            <w:shd w:val="clear" w:color="auto" w:fill="auto"/>
            <w:vAlign w:val="center"/>
          </w:tcPr>
          <w:p w14:paraId="639A53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86AD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落实新《公司法》-主要成员（董事、监事、经理）调整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BA6D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职务字典调整：主要成员（董事、监事、经理）调整涉及的业务功能，包括：设立、变更全程网办系统（内资、外资）；移动端（内资设立）；内网登记审核系统（内资、外资）。按国家级技术方案，调整主要成员信息中的董事、监事、经理的职务字典选项。数据上报国家局时，将职务按照国家局新的字典值上报。2、董事成员校验：取消原董事人数的校验规则。新增校验规则，根据是否设董事会校验董事人数。校验时兼容本次新增的董事职务和存量企业老的职务。选择设董事会的，校验主要成员界面应当有董事长。3、董事信息采集：变更全程网办系统，对于上市股份有限公司，录入董事信息时，增加几个职务勾选框，勾选的职务带入自动生成的申请表中。4、监事成员校验：取消原监事人数的校验规则。新增校验规则，根据是否设监事会校验监事人数。</w:t>
            </w:r>
          </w:p>
        </w:tc>
      </w:tr>
      <w:tr w14:paraId="0A48416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3A28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w:t>
            </w:r>
          </w:p>
        </w:tc>
        <w:tc>
          <w:tcPr>
            <w:tcW w:w="491" w:type="pct"/>
            <w:tcBorders>
              <w:top w:val="nil"/>
              <w:left w:val="nil"/>
              <w:bottom w:val="single" w:color="000000" w:sz="4" w:space="0"/>
              <w:right w:val="single" w:color="000000" w:sz="4" w:space="0"/>
            </w:tcBorders>
            <w:shd w:val="clear" w:color="auto" w:fill="auto"/>
            <w:vAlign w:val="center"/>
          </w:tcPr>
          <w:p w14:paraId="6C3D8F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BDDC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落实新《公司法》-股东/发起人出资情况调整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B96A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东/发起人信息采集：股东/发起人出资情况调整涉及的业务功能，包括：设立、变更全程网办系统（内资、外资）；移动端（内资设立）；内网登记审核系统（内资、外资）。股东/发起人信息采集包括：出资时间采集项调整。增加分期录入出资信息功能，可以逐条添加每期出资额、出资时间。校验股东/发起人的分期出资合计应当等于该股东出资额。设立、变更全程网办系统，出资方式字典选项调整。数据上报国家局时，将出资方式按照国家局新的字典值上报。2、信息校验：删除股份有限公司发起人数量必须大于等于2人的限制。在内网审核系统（内资、外资）中增加出资信息和变更（备案）事项关联逻辑的校验。</w:t>
            </w:r>
          </w:p>
        </w:tc>
      </w:tr>
      <w:tr w14:paraId="3F2C8B7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0283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w:t>
            </w:r>
          </w:p>
        </w:tc>
        <w:tc>
          <w:tcPr>
            <w:tcW w:w="491" w:type="pct"/>
            <w:tcBorders>
              <w:top w:val="nil"/>
              <w:left w:val="nil"/>
              <w:bottom w:val="single" w:color="000000" w:sz="4" w:space="0"/>
              <w:right w:val="single" w:color="000000" w:sz="4" w:space="0"/>
            </w:tcBorders>
            <w:shd w:val="clear" w:color="auto" w:fill="auto"/>
            <w:vAlign w:val="center"/>
          </w:tcPr>
          <w:p w14:paraId="287FB4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2BB3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落实新《公司法》-企业类型相关调整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8234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去掉一人公司检查：企业类型相关调整涉及的业务功能，包括：设立、变更全程网办系统（内资、外资）；移动端（内资设立）；内网登记审核系统（内资、外资）；内网名称审核系统。去掉一人有限公司的几种相关校验，包括调用国家局微服务，查询落地数据的校验。2、增加校验：所有公司类型都增加一个校验：股东或发起人不能是个体工商户。</w:t>
            </w:r>
          </w:p>
        </w:tc>
      </w:tr>
      <w:tr w14:paraId="0C22494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EF6F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w:t>
            </w:r>
          </w:p>
        </w:tc>
        <w:tc>
          <w:tcPr>
            <w:tcW w:w="491" w:type="pct"/>
            <w:tcBorders>
              <w:top w:val="nil"/>
              <w:left w:val="nil"/>
              <w:bottom w:val="single" w:color="000000" w:sz="4" w:space="0"/>
              <w:right w:val="single" w:color="000000" w:sz="4" w:space="0"/>
            </w:tcBorders>
            <w:shd w:val="clear" w:color="auto" w:fill="auto"/>
            <w:vAlign w:val="center"/>
          </w:tcPr>
          <w:p w14:paraId="3E9A69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BCF1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落实新《公司法》-信息复用功能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8353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信息复用功能调整涉及的业务功能，包括：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ü内网登记审核系统（内资、外资）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增加信息复用功能，在各类企业登记的设立、变更业务录入主要成员时可以通过选择姓名，复用已经录入的股东、主要成员、法定代表人信息。</w:t>
            </w:r>
          </w:p>
        </w:tc>
      </w:tr>
      <w:tr w14:paraId="42CC677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6182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w:t>
            </w:r>
          </w:p>
        </w:tc>
        <w:tc>
          <w:tcPr>
            <w:tcW w:w="491" w:type="pct"/>
            <w:tcBorders>
              <w:top w:val="nil"/>
              <w:left w:val="nil"/>
              <w:bottom w:val="single" w:color="000000" w:sz="4" w:space="0"/>
              <w:right w:val="single" w:color="000000" w:sz="4" w:space="0"/>
            </w:tcBorders>
            <w:shd w:val="clear" w:color="auto" w:fill="auto"/>
            <w:vAlign w:val="center"/>
          </w:tcPr>
          <w:p w14:paraId="29E3EF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5A8E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落实新《公司法》-人员上传证件、文书生成逻辑调整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1D5E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人员上传证件、文书生成逻辑调整涉及业务功能，包括：ü变更全程网办系统（内资、外资）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董事、监事、经理备案中，系统需要识别，只有修改了成员信息（修改该成员的任一项或几项信息）时，该成员才需要上传证件并黏贴在申请表中、完成电子签名（现为全体成员无论是否修改信息，都要上传证件和电子签名）。</w:t>
            </w:r>
          </w:p>
        </w:tc>
      </w:tr>
      <w:tr w14:paraId="733F2AB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A97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w:t>
            </w:r>
          </w:p>
        </w:tc>
        <w:tc>
          <w:tcPr>
            <w:tcW w:w="491" w:type="pct"/>
            <w:tcBorders>
              <w:top w:val="nil"/>
              <w:left w:val="nil"/>
              <w:bottom w:val="single" w:color="000000" w:sz="4" w:space="0"/>
              <w:right w:val="single" w:color="000000" w:sz="4" w:space="0"/>
            </w:tcBorders>
            <w:shd w:val="clear" w:color="auto" w:fill="auto"/>
            <w:vAlign w:val="center"/>
          </w:tcPr>
          <w:p w14:paraId="1F6A62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540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落实新《公司法》-股权转让信息调整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25B9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股权转让信息调整涉及业务功能，包括：ü变更全程网办系统（外资）；ü内网登记审核系统（外资）.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外资企业股东变更时，股权转让的采集信息中，增加出让方信息，出让方名称可以从股东中选择。</w:t>
            </w:r>
          </w:p>
        </w:tc>
      </w:tr>
      <w:tr w14:paraId="69AD70E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5700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w:t>
            </w:r>
          </w:p>
        </w:tc>
        <w:tc>
          <w:tcPr>
            <w:tcW w:w="491" w:type="pct"/>
            <w:tcBorders>
              <w:top w:val="nil"/>
              <w:left w:val="nil"/>
              <w:bottom w:val="single" w:color="000000" w:sz="4" w:space="0"/>
              <w:right w:val="single" w:color="000000" w:sz="4" w:space="0"/>
            </w:tcBorders>
            <w:shd w:val="clear" w:color="auto" w:fill="auto"/>
            <w:vAlign w:val="center"/>
          </w:tcPr>
          <w:p w14:paraId="79C6B3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E41F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落实新《公司法》-新的申请书相关调整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9225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申请书调整涉及的业务功能，包括：设立、变更、注销全程网办系统（内资、外资）；移动端（内资设立）；内网登记审核系统（内资、外资）。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1、在填报环节，新增或调整若干采集项，满足申请书的要求。数据上报国家局时，和国家局新的字典值做对应关系。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2、系统自动生成的申请书版式，在原来文书上新增内容。将相应采集项带入显示在申请书上。</w:t>
            </w:r>
          </w:p>
        </w:tc>
      </w:tr>
      <w:tr w14:paraId="5478574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D24D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w:t>
            </w:r>
          </w:p>
        </w:tc>
        <w:tc>
          <w:tcPr>
            <w:tcW w:w="491" w:type="pct"/>
            <w:tcBorders>
              <w:top w:val="nil"/>
              <w:left w:val="nil"/>
              <w:bottom w:val="single" w:color="000000" w:sz="4" w:space="0"/>
              <w:right w:val="single" w:color="000000" w:sz="4" w:space="0"/>
            </w:tcBorders>
            <w:shd w:val="clear" w:color="auto" w:fill="auto"/>
            <w:vAlign w:val="center"/>
          </w:tcPr>
          <w:p w14:paraId="47F8D3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E745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落实新《公司法》-材料清单调整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5D4D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材料清单调整涉及的业务功能，包括：ü设立、变更、注销全程网办系统（内资、外资）；ü移动端（内资设立）；ü内网登记审核系统（内资、外资）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1、公司设立变更、分公司变更材料清单字典调整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2、因材料清单发生变化，归档目录也需相应调整，将材料字典提供给档案系统，联调测试。</w:t>
            </w:r>
          </w:p>
        </w:tc>
      </w:tr>
      <w:tr w14:paraId="23128EF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B942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w:t>
            </w:r>
          </w:p>
        </w:tc>
        <w:tc>
          <w:tcPr>
            <w:tcW w:w="491" w:type="pct"/>
            <w:tcBorders>
              <w:top w:val="nil"/>
              <w:left w:val="nil"/>
              <w:bottom w:val="single" w:color="000000" w:sz="4" w:space="0"/>
              <w:right w:val="single" w:color="000000" w:sz="4" w:space="0"/>
            </w:tcBorders>
            <w:shd w:val="clear" w:color="auto" w:fill="auto"/>
            <w:vAlign w:val="center"/>
          </w:tcPr>
          <w:p w14:paraId="093F67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848A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落实新《公司法》-智慧导办问答、指南等调整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CB08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变更全程网办系统（内资、外资）：在变更全程网办系统（内资、外资）中，根据公司法新增和调整有限公司和股份有限公司的若干问题的字典。2、“上海企业登记在线”首页：“上海企业登记在线”首页登记文书栏目，更换开办、变更、注销的材料规范和材料范本。3、注销全程网办系统：注销全程网办系统的办事指南、联系方式页面调整。</w:t>
            </w:r>
          </w:p>
        </w:tc>
      </w:tr>
      <w:tr w14:paraId="2940A27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0359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w:t>
            </w:r>
          </w:p>
        </w:tc>
        <w:tc>
          <w:tcPr>
            <w:tcW w:w="491" w:type="pct"/>
            <w:tcBorders>
              <w:top w:val="nil"/>
              <w:left w:val="nil"/>
              <w:bottom w:val="single" w:color="000000" w:sz="4" w:space="0"/>
              <w:right w:val="single" w:color="000000" w:sz="4" w:space="0"/>
            </w:tcBorders>
            <w:shd w:val="clear" w:color="auto" w:fill="auto"/>
            <w:vAlign w:val="center"/>
          </w:tcPr>
          <w:p w14:paraId="0D8D26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1322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落实新《公司法》-与公示系统公告功能对接-终止公告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2186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与公示系统公告功能对接涉及的业务功能，包括：ü内网登记审核系统（内资、外资）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终止公告对接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各环节弹出的市场主体公告情况、监控检查情况页面中，原来显示的公司合并、公司分立、公司减少注册资本、营业执照作废声明（企业自行发布）公告，对于公告已终止的，增加显示公告状态“已终止”、终止公告日期。</w:t>
            </w:r>
          </w:p>
        </w:tc>
      </w:tr>
      <w:tr w14:paraId="56687D8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A637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w:t>
            </w:r>
          </w:p>
        </w:tc>
        <w:tc>
          <w:tcPr>
            <w:tcW w:w="491" w:type="pct"/>
            <w:tcBorders>
              <w:top w:val="nil"/>
              <w:left w:val="nil"/>
              <w:bottom w:val="single" w:color="000000" w:sz="4" w:space="0"/>
              <w:right w:val="single" w:color="000000" w:sz="4" w:space="0"/>
            </w:tcBorders>
            <w:shd w:val="clear" w:color="auto" w:fill="auto"/>
            <w:vAlign w:val="center"/>
          </w:tcPr>
          <w:p w14:paraId="16B4BB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93A5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落实新《公司法》-与公示系统公告功能对接-减少注册资本公告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3341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公示系统可在公告期结束后或公告期内终止公告后再次发布公告。登记系统监控检查情况页面中，需要识别最新一次有效的公告，或者显示历次的公告。</w:t>
            </w:r>
          </w:p>
        </w:tc>
      </w:tr>
      <w:tr w14:paraId="7FF4B58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A449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w:t>
            </w:r>
          </w:p>
        </w:tc>
        <w:tc>
          <w:tcPr>
            <w:tcW w:w="491" w:type="pct"/>
            <w:tcBorders>
              <w:top w:val="nil"/>
              <w:left w:val="nil"/>
              <w:bottom w:val="single" w:color="000000" w:sz="4" w:space="0"/>
              <w:right w:val="single" w:color="000000" w:sz="4" w:space="0"/>
            </w:tcBorders>
            <w:shd w:val="clear" w:color="auto" w:fill="auto"/>
            <w:vAlign w:val="center"/>
          </w:tcPr>
          <w:p w14:paraId="16AD72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1959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落实新《公司法》-与公示系统公告功能对接-股东信息查询接口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883F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新增股东信息查询接口，供公示系统获取企业股东出资信息。</w:t>
            </w:r>
          </w:p>
        </w:tc>
      </w:tr>
      <w:tr w14:paraId="1D11B48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E50E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w:t>
            </w:r>
          </w:p>
        </w:tc>
        <w:tc>
          <w:tcPr>
            <w:tcW w:w="491" w:type="pct"/>
            <w:tcBorders>
              <w:top w:val="nil"/>
              <w:left w:val="nil"/>
              <w:bottom w:val="single" w:color="000000" w:sz="4" w:space="0"/>
              <w:right w:val="single" w:color="000000" w:sz="4" w:space="0"/>
            </w:tcBorders>
            <w:shd w:val="clear" w:color="auto" w:fill="auto"/>
            <w:vAlign w:val="center"/>
          </w:tcPr>
          <w:p w14:paraId="136E0E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3D74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落实新《公司法》-依人民法院判决申请撤销登记-新增依人民法院判决申请撤销登记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AD22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依人民法院判决申请撤销登记涉及的业务功能，包括：ü内网审核系统（内资、外资）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在现有撤销虚假登记功能基础上，新增依人民法院判决申请撤销登记的内容，可能涉及增加采集项，新增《公司撤销登记申请书》打印功能。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2、登记完成后，将数据上报国家局。</w:t>
            </w:r>
          </w:p>
        </w:tc>
      </w:tr>
      <w:tr w14:paraId="2FA41EC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47D5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w:t>
            </w:r>
          </w:p>
        </w:tc>
        <w:tc>
          <w:tcPr>
            <w:tcW w:w="491" w:type="pct"/>
            <w:tcBorders>
              <w:top w:val="nil"/>
              <w:left w:val="nil"/>
              <w:bottom w:val="single" w:color="000000" w:sz="4" w:space="0"/>
              <w:right w:val="single" w:color="000000" w:sz="4" w:space="0"/>
            </w:tcBorders>
            <w:shd w:val="clear" w:color="auto" w:fill="auto"/>
            <w:vAlign w:val="center"/>
          </w:tcPr>
          <w:p w14:paraId="1DE1A7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E038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落实新《公司法》-依人民法院判决申请撤销登记-依人民法院判决申请撤销登记信息公示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EDA3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依人民法院判决申请撤销登记相关信息，依据总局《适应新公司法国家企业信用信息公示系统升级改造技术方案》推送公示系统进行公示。</w:t>
            </w:r>
          </w:p>
        </w:tc>
      </w:tr>
      <w:tr w14:paraId="3DA6F88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3CEA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w:t>
            </w:r>
          </w:p>
        </w:tc>
        <w:tc>
          <w:tcPr>
            <w:tcW w:w="491" w:type="pct"/>
            <w:tcBorders>
              <w:top w:val="nil"/>
              <w:left w:val="nil"/>
              <w:bottom w:val="single" w:color="000000" w:sz="4" w:space="0"/>
              <w:right w:val="single" w:color="000000" w:sz="4" w:space="0"/>
            </w:tcBorders>
            <w:shd w:val="clear" w:color="auto" w:fill="auto"/>
            <w:vAlign w:val="center"/>
          </w:tcPr>
          <w:p w14:paraId="29F235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086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落实新《公司法》-协助涤除-新增协助涤除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878F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协助涤除涉及的业务功能，包括：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ü内网审核系统（内资、外资）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现有协助执行变更功能基础上，新增协助涤除的内容。完成涤除后，将公司被涤除的人员（法定代表人、股东、高管等）姓名替换为“依人民法院协助执行通知书**（文书号）涤除”，身份证号码替换为“XXXXXXXXXXXXXXXX00”。</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登记完成后，将数据上报国家局。</w:t>
            </w:r>
          </w:p>
        </w:tc>
      </w:tr>
      <w:tr w14:paraId="2211989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9985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w:t>
            </w:r>
          </w:p>
        </w:tc>
        <w:tc>
          <w:tcPr>
            <w:tcW w:w="491" w:type="pct"/>
            <w:tcBorders>
              <w:top w:val="nil"/>
              <w:left w:val="nil"/>
              <w:bottom w:val="single" w:color="000000" w:sz="4" w:space="0"/>
              <w:right w:val="single" w:color="000000" w:sz="4" w:space="0"/>
            </w:tcBorders>
            <w:shd w:val="clear" w:color="auto" w:fill="auto"/>
            <w:vAlign w:val="center"/>
          </w:tcPr>
          <w:p w14:paraId="219B93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69BB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落实新《公司法》-协助涤除-涤除信息公示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435B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协助执行涤除相关信息，依据总局《适应新公司法国家企业信用信息公示系统升级改造技术方案》推送公示系统进行公示。</w:t>
            </w:r>
          </w:p>
        </w:tc>
      </w:tr>
      <w:tr w14:paraId="42E7F00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18DF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w:t>
            </w:r>
          </w:p>
        </w:tc>
        <w:tc>
          <w:tcPr>
            <w:tcW w:w="491" w:type="pct"/>
            <w:tcBorders>
              <w:top w:val="nil"/>
              <w:left w:val="nil"/>
              <w:bottom w:val="single" w:color="000000" w:sz="4" w:space="0"/>
              <w:right w:val="single" w:color="000000" w:sz="4" w:space="0"/>
            </w:tcBorders>
            <w:shd w:val="clear" w:color="auto" w:fill="auto"/>
            <w:vAlign w:val="center"/>
          </w:tcPr>
          <w:p w14:paraId="0D4FC0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9BAB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落实新《公司法》-外资特别需求</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03E7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外资特别需求涉及的业务功能，包括：ü设立、变更全程网办系统（外资）；ü内网登记审核系统（外资）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1、因为外商投资法的5年过渡期（到今年年底），企业类型带合资合作字样的公司及其分公司，在主要成员备案时，必须控制同时要求变更企业类型，调整最高权力机构。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2、系统中按照新公司法要求进行信息采集。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3、材料清单中，新公司法中已免除的决议材料需能在过渡期保留。</w:t>
            </w:r>
          </w:p>
        </w:tc>
      </w:tr>
      <w:tr w14:paraId="4C9B60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EF7C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w:t>
            </w:r>
          </w:p>
        </w:tc>
        <w:tc>
          <w:tcPr>
            <w:tcW w:w="491" w:type="pct"/>
            <w:tcBorders>
              <w:top w:val="nil"/>
              <w:left w:val="nil"/>
              <w:bottom w:val="single" w:color="000000" w:sz="4" w:space="0"/>
              <w:right w:val="single" w:color="000000" w:sz="4" w:space="0"/>
            </w:tcBorders>
            <w:shd w:val="clear" w:color="auto" w:fill="auto"/>
            <w:vAlign w:val="center"/>
          </w:tcPr>
          <w:p w14:paraId="3C92C8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1E85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落实新《公司法》-清算组公告和债权人公告发布功能及页面调整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05FB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清算组公告和债权人公告涉及公示系统的改造内容，依据总局《适应新公司法国家企业信用信息公示系统升级改造技术方案》进行改造。</w:t>
            </w:r>
          </w:p>
        </w:tc>
      </w:tr>
      <w:tr w14:paraId="088475D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C8DF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w:t>
            </w:r>
          </w:p>
        </w:tc>
        <w:tc>
          <w:tcPr>
            <w:tcW w:w="491" w:type="pct"/>
            <w:tcBorders>
              <w:top w:val="nil"/>
              <w:left w:val="nil"/>
              <w:bottom w:val="single" w:color="000000" w:sz="4" w:space="0"/>
              <w:right w:val="single" w:color="000000" w:sz="4" w:space="0"/>
            </w:tcBorders>
            <w:shd w:val="clear" w:color="auto" w:fill="auto"/>
            <w:vAlign w:val="center"/>
          </w:tcPr>
          <w:p w14:paraId="58341B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0385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落实新《公司法》-简易注销公告页面调整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183A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简易注销公告页面依据总局《适应新公司法国家企业信用信息公示系统升级改造技术方案》进行调整。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公示系统信息公告中简易注销公告详情页面，增加“异议信息”公示模块和“我要异议”链接，可在“异议信息”公示模块查看异议信息，点击“我要异议”链接，可提交异议信息。</w:t>
            </w:r>
          </w:p>
        </w:tc>
      </w:tr>
      <w:tr w14:paraId="018DA59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A910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w:t>
            </w:r>
          </w:p>
        </w:tc>
        <w:tc>
          <w:tcPr>
            <w:tcW w:w="491" w:type="pct"/>
            <w:tcBorders>
              <w:top w:val="nil"/>
              <w:left w:val="nil"/>
              <w:bottom w:val="single" w:color="000000" w:sz="4" w:space="0"/>
              <w:right w:val="single" w:color="000000" w:sz="4" w:space="0"/>
            </w:tcBorders>
            <w:shd w:val="clear" w:color="auto" w:fill="auto"/>
            <w:vAlign w:val="center"/>
          </w:tcPr>
          <w:p w14:paraId="5CF060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CB247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落实新《公司法》-注销时对外投资校验;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5B59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外投资校验依据总局《适应新公司法国家企业信用信息公示系统升级改造技术方案》进行改造。基于全国统一登记业务支撑微服务，增加“企业（含农民专业合作社）对外投资情况查询服务”，实现地方登记机关在办理企业注销登记业务时，查询当前办理注销登记业务的企业名下是否还有未清理完毕的对外投资企业、分支机构等。经营主体在办理注销登记时内网登记系统对其对外投资企业、分支机构的情况以及是否注销的状态等信息进行监控弹窗提示。</w:t>
            </w:r>
          </w:p>
        </w:tc>
      </w:tr>
      <w:tr w14:paraId="0D33445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1638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w:t>
            </w:r>
          </w:p>
        </w:tc>
        <w:tc>
          <w:tcPr>
            <w:tcW w:w="491" w:type="pct"/>
            <w:tcBorders>
              <w:top w:val="nil"/>
              <w:left w:val="nil"/>
              <w:bottom w:val="single" w:color="000000" w:sz="4" w:space="0"/>
              <w:right w:val="single" w:color="000000" w:sz="4" w:space="0"/>
            </w:tcBorders>
            <w:shd w:val="clear" w:color="auto" w:fill="auto"/>
            <w:vAlign w:val="center"/>
          </w:tcPr>
          <w:p w14:paraId="198BB5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B64B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落实新《公司法》-增加吊销企业法定代表人数据库同步撤销功能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7A98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吊销企业法定代表人数据库同步撤销功能依据总局《适应新公司法国家企业信用信息公示系统升级改造技术方案》进行改造。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登记系统已完成含有法定代表人的撤销登记后，相关撤销登记数据与“国家局黑名单”、“上海局黑名单”库进行关联，将被撤销的法定代表人同步移出前述“国家局黑名单”、“上海局黑名单”两个吊销企业法定代表人黑名单库。</w:t>
            </w:r>
          </w:p>
        </w:tc>
      </w:tr>
      <w:tr w14:paraId="00AA1F4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D0BF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w:t>
            </w:r>
          </w:p>
        </w:tc>
        <w:tc>
          <w:tcPr>
            <w:tcW w:w="491" w:type="pct"/>
            <w:tcBorders>
              <w:top w:val="nil"/>
              <w:left w:val="nil"/>
              <w:bottom w:val="single" w:color="000000" w:sz="4" w:space="0"/>
              <w:right w:val="single" w:color="000000" w:sz="4" w:space="0"/>
            </w:tcBorders>
            <w:shd w:val="clear" w:color="auto" w:fill="auto"/>
            <w:vAlign w:val="center"/>
          </w:tcPr>
          <w:p w14:paraId="1D50E6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B0BB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落实新《公司法》-公示系统修改-解散信息公示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1397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公司解散需要通过公示系统发布公告，增加解散信息公示的功能。发布的解散公告可以撤销，撤销解散公告需要上传承诺声明。</w:t>
            </w:r>
          </w:p>
        </w:tc>
      </w:tr>
      <w:tr w14:paraId="3028B79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7E57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w:t>
            </w:r>
          </w:p>
        </w:tc>
        <w:tc>
          <w:tcPr>
            <w:tcW w:w="491" w:type="pct"/>
            <w:tcBorders>
              <w:top w:val="nil"/>
              <w:left w:val="nil"/>
              <w:bottom w:val="single" w:color="000000" w:sz="4" w:space="0"/>
              <w:right w:val="single" w:color="000000" w:sz="4" w:space="0"/>
            </w:tcBorders>
            <w:shd w:val="clear" w:color="auto" w:fill="auto"/>
            <w:vAlign w:val="center"/>
          </w:tcPr>
          <w:p w14:paraId="1EE18E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290B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落实新《公司法》-公示系统修改-企业公示即时信息调整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7ABAD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按新《公司法》调整企业即时信息公示功能。</w:t>
            </w:r>
          </w:p>
        </w:tc>
      </w:tr>
      <w:tr w14:paraId="1AA704A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17ED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w:t>
            </w:r>
          </w:p>
        </w:tc>
        <w:tc>
          <w:tcPr>
            <w:tcW w:w="491" w:type="pct"/>
            <w:tcBorders>
              <w:top w:val="nil"/>
              <w:left w:val="nil"/>
              <w:bottom w:val="single" w:color="000000" w:sz="4" w:space="0"/>
              <w:right w:val="single" w:color="000000" w:sz="4" w:space="0"/>
            </w:tcBorders>
            <w:shd w:val="clear" w:color="auto" w:fill="auto"/>
            <w:vAlign w:val="center"/>
          </w:tcPr>
          <w:p w14:paraId="220E8C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3BDB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落实新《公司法》-公示系统修改-减少注册资本公告填报调整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4D82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公司减少注册资本，应在公示系统中进行公示，并在公示期满后进行变更。调整减少注册资本公告的填报功能。</w:t>
            </w:r>
          </w:p>
        </w:tc>
      </w:tr>
      <w:tr w14:paraId="698DEB2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69F4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w:t>
            </w:r>
          </w:p>
        </w:tc>
        <w:tc>
          <w:tcPr>
            <w:tcW w:w="491" w:type="pct"/>
            <w:tcBorders>
              <w:top w:val="nil"/>
              <w:left w:val="nil"/>
              <w:bottom w:val="single" w:color="000000" w:sz="4" w:space="0"/>
              <w:right w:val="single" w:color="000000" w:sz="4" w:space="0"/>
            </w:tcBorders>
            <w:shd w:val="clear" w:color="auto" w:fill="auto"/>
            <w:vAlign w:val="center"/>
          </w:tcPr>
          <w:p w14:paraId="3FD696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5B03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落实新《公司法》-公示系统修改-注销公告填报调整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8F1E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按新《公司法》调整企业注销公告填报功能。</w:t>
            </w:r>
          </w:p>
        </w:tc>
      </w:tr>
      <w:tr w14:paraId="4E729B2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82DE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w:t>
            </w:r>
          </w:p>
        </w:tc>
        <w:tc>
          <w:tcPr>
            <w:tcW w:w="491" w:type="pct"/>
            <w:tcBorders>
              <w:top w:val="nil"/>
              <w:left w:val="nil"/>
              <w:bottom w:val="single" w:color="000000" w:sz="4" w:space="0"/>
              <w:right w:val="single" w:color="000000" w:sz="4" w:space="0"/>
            </w:tcBorders>
            <w:shd w:val="clear" w:color="auto" w:fill="auto"/>
            <w:vAlign w:val="center"/>
          </w:tcPr>
          <w:p w14:paraId="2B9363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4CEF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落实新《公司法》-公示系统修改-增加填报终止公告功能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8FB7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增加填报合并、分立公告的终止公告功能。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终止公告一并公示，再次发布公告时，公告期重新计算。</w:t>
            </w:r>
          </w:p>
        </w:tc>
      </w:tr>
      <w:tr w14:paraId="2AAD485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B6F9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w:t>
            </w:r>
          </w:p>
        </w:tc>
        <w:tc>
          <w:tcPr>
            <w:tcW w:w="491" w:type="pct"/>
            <w:tcBorders>
              <w:top w:val="nil"/>
              <w:left w:val="nil"/>
              <w:bottom w:val="single" w:color="000000" w:sz="4" w:space="0"/>
              <w:right w:val="single" w:color="000000" w:sz="4" w:space="0"/>
            </w:tcBorders>
            <w:shd w:val="clear" w:color="auto" w:fill="auto"/>
            <w:vAlign w:val="center"/>
          </w:tcPr>
          <w:p w14:paraId="0F8668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6C36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企业信息变更“一件事”-政务服务事项（公安、税务、人社、公积金）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7B8B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变更“一件事”适用各类经营主体。在“上海企业登记在线”的企业变更登记流程中增加提示，告知申请人自动变更事宜。公安、税务、公积金部门：自行确认市场监管部门变更信息与本部门变更信息之间的对应关系，并从法人库获取市场监管部门变更登记信息覆盖本部门业务系统原有信息（由各部门自行对接法人库开发）。</w:t>
            </w:r>
          </w:p>
        </w:tc>
      </w:tr>
      <w:tr w14:paraId="2A39BDB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BC70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w:t>
            </w:r>
          </w:p>
        </w:tc>
        <w:tc>
          <w:tcPr>
            <w:tcW w:w="491" w:type="pct"/>
            <w:tcBorders>
              <w:top w:val="nil"/>
              <w:left w:val="nil"/>
              <w:bottom w:val="single" w:color="000000" w:sz="4" w:space="0"/>
              <w:right w:val="single" w:color="000000" w:sz="4" w:space="0"/>
            </w:tcBorders>
            <w:shd w:val="clear" w:color="auto" w:fill="auto"/>
            <w:vAlign w:val="center"/>
          </w:tcPr>
          <w:p w14:paraId="5C3471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F44D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企业信息变更“一件事”-商务服务事项（银行账户）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DA1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银行账户变更告知：申请人使用电子营业执照登录系统，并选定变更事项后，系统根据人民银行提供的变更事项与银行账户联动关系，确定本次变更是否涉及银行账户同步变更，如涉及的，弹出提示，由申请人选择是否联动更新银行账户信息。2、银行账户信息采集：弹出银行账户信息采集页面，采集规则由人民银行上海总部提供。3、银行账户信息推送：企业登记信息核准后，除按照常规，向市法人库推送变更登记信息外，还需调用人行接口向人行推送本次变更委托代理人姓名、手机以及额外采集的统一社会信用代码、基本账户开户行、户名、银行账号信息信息。开户行收到信息后，通知委托代理人线下另行办理。</w:t>
            </w:r>
          </w:p>
        </w:tc>
      </w:tr>
      <w:tr w14:paraId="170ED43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2ECB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w:t>
            </w:r>
          </w:p>
        </w:tc>
        <w:tc>
          <w:tcPr>
            <w:tcW w:w="491" w:type="pct"/>
            <w:tcBorders>
              <w:top w:val="nil"/>
              <w:left w:val="nil"/>
              <w:bottom w:val="single" w:color="000000" w:sz="4" w:space="0"/>
              <w:right w:val="single" w:color="000000" w:sz="4" w:space="0"/>
            </w:tcBorders>
            <w:shd w:val="clear" w:color="auto" w:fill="auto"/>
            <w:vAlign w:val="center"/>
          </w:tcPr>
          <w:p w14:paraId="122F86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5966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企业注销登记“一件事”-优化企业注销网上服务平台功能-1、扩大通过协同办理注销业务的部门范围；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C8D1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依托“上海企业登记在线”注销网办平台功能优势，将更多与企业注销密切相关部门的注销业务纳入注销网上办理流程。</w:t>
            </w:r>
          </w:p>
        </w:tc>
      </w:tr>
      <w:tr w14:paraId="4B4A054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EF31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w:t>
            </w:r>
          </w:p>
        </w:tc>
        <w:tc>
          <w:tcPr>
            <w:tcW w:w="491" w:type="pct"/>
            <w:tcBorders>
              <w:top w:val="nil"/>
              <w:left w:val="nil"/>
              <w:bottom w:val="single" w:color="000000" w:sz="4" w:space="0"/>
              <w:right w:val="single" w:color="000000" w:sz="4" w:space="0"/>
            </w:tcBorders>
            <w:shd w:val="clear" w:color="auto" w:fill="auto"/>
            <w:vAlign w:val="center"/>
          </w:tcPr>
          <w:p w14:paraId="2959EC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DB10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企业注销登记“一件事”-优化企业注销网上服务平台功能-2、实现营业执照注销和税务注销同步办理；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05BD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对企业注销网上办理流程按照“一件事”要求进行优化调整，对已完成税务清税且公告期满的企业，无需另行取得并提交清税证明，实现营业执照注销与税务注销同步办理。</w:t>
            </w:r>
          </w:p>
        </w:tc>
      </w:tr>
      <w:tr w14:paraId="2BF8C5A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B9BC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w:t>
            </w:r>
          </w:p>
        </w:tc>
        <w:tc>
          <w:tcPr>
            <w:tcW w:w="491" w:type="pct"/>
            <w:tcBorders>
              <w:top w:val="nil"/>
              <w:left w:val="nil"/>
              <w:bottom w:val="single" w:color="000000" w:sz="4" w:space="0"/>
              <w:right w:val="single" w:color="000000" w:sz="4" w:space="0"/>
            </w:tcBorders>
            <w:shd w:val="clear" w:color="auto" w:fill="auto"/>
            <w:vAlign w:val="center"/>
          </w:tcPr>
          <w:p w14:paraId="7D77D1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A60A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企业注销登记“一件事”-优化企业注销网上服务平台功能-3、增加注销预检、分支机构及对外投资情况提醒等服务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4E18D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增设注销预检、分支机构及对外投资情况提醒、办结凭证下载、企业意见反馈等功能，着力推进涉企注销关联事项集成办理，全面推动涉企注销政务服务扩面增效。</w:t>
            </w:r>
          </w:p>
        </w:tc>
      </w:tr>
      <w:tr w14:paraId="27DA9D9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C2AF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w:t>
            </w:r>
          </w:p>
        </w:tc>
        <w:tc>
          <w:tcPr>
            <w:tcW w:w="491" w:type="pct"/>
            <w:tcBorders>
              <w:top w:val="nil"/>
              <w:left w:val="nil"/>
              <w:bottom w:val="single" w:color="000000" w:sz="4" w:space="0"/>
              <w:right w:val="single" w:color="000000" w:sz="4" w:space="0"/>
            </w:tcBorders>
            <w:shd w:val="clear" w:color="auto" w:fill="auto"/>
            <w:vAlign w:val="center"/>
          </w:tcPr>
          <w:p w14:paraId="24C309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5043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企业注销登记“一件事”-建立“照税联办”注销机制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411B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在“上海企业登记在线”网上服务平台企业注销流程中开通税务注销预检功能，方便纳税人了解尚未办结的涉税事宜并及时办理。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加强数据共享，经税务部门预检未匹配到企业税务登记信息的，企业在办理注销登记时免于提交清税证明；经税务部门预检同意注销税务登记的，与市场监管部门共享电子清税信息，企业在办理注销登记时免于提交清税证明。</w:t>
            </w:r>
          </w:p>
        </w:tc>
      </w:tr>
      <w:tr w14:paraId="26E0AA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DC48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w:t>
            </w:r>
          </w:p>
        </w:tc>
        <w:tc>
          <w:tcPr>
            <w:tcW w:w="491" w:type="pct"/>
            <w:tcBorders>
              <w:top w:val="nil"/>
              <w:left w:val="nil"/>
              <w:bottom w:val="single" w:color="000000" w:sz="4" w:space="0"/>
              <w:right w:val="single" w:color="000000" w:sz="4" w:space="0"/>
            </w:tcBorders>
            <w:shd w:val="clear" w:color="auto" w:fill="auto"/>
            <w:vAlign w:val="center"/>
          </w:tcPr>
          <w:p w14:paraId="05D91B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FC01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企业注销登记“一件事”-完善“照险联办”注销机制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E1AE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人力资源和社会保障部门、医疗保障部门根据“上海企业登记在线”网上服务平台推送的企业注销信息，对不存在欠薪和未结清的社会保险费及医疗、伤残补助、抚恤费用，滞纳金，罚款等债权债务情形，办理注销社会保险、医疗保险登记，并通过线上反馈办结凭证供企业下载留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在“上海企业登记在线”网上服务平台企业注销流程中增加社保和工资预检功能，靠前提醒企业及时清缴社会保险、医疗保险费用，支付拖欠的工资。</w:t>
            </w:r>
          </w:p>
        </w:tc>
      </w:tr>
      <w:tr w14:paraId="389F90A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0B43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w:t>
            </w:r>
          </w:p>
        </w:tc>
        <w:tc>
          <w:tcPr>
            <w:tcW w:w="491" w:type="pct"/>
            <w:tcBorders>
              <w:top w:val="nil"/>
              <w:left w:val="nil"/>
              <w:bottom w:val="single" w:color="000000" w:sz="4" w:space="0"/>
              <w:right w:val="single" w:color="000000" w:sz="4" w:space="0"/>
            </w:tcBorders>
            <w:shd w:val="clear" w:color="auto" w:fill="auto"/>
            <w:vAlign w:val="center"/>
          </w:tcPr>
          <w:p w14:paraId="0F28CB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19BD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企业注销登记“一件事”-完善“照关联办”注销机制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7B5C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在“上海企业登记在线”网上服务平台企业注销流程中增加海关预检功能，自动检测并显示企业是否存在海关报关单位备案，及时提醒企业注销海关报关单位备案。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海关部门根据“上海企业登记在线”网上服务平台推送的企业注销信息，对已办结海关手续的报关单位，同步注销海关报关单位备案，无需企业再次申请。</w:t>
            </w:r>
          </w:p>
        </w:tc>
      </w:tr>
      <w:tr w14:paraId="7A82DEB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7CF9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w:t>
            </w:r>
          </w:p>
        </w:tc>
        <w:tc>
          <w:tcPr>
            <w:tcW w:w="491" w:type="pct"/>
            <w:tcBorders>
              <w:top w:val="nil"/>
              <w:left w:val="nil"/>
              <w:bottom w:val="single" w:color="000000" w:sz="4" w:space="0"/>
              <w:right w:val="single" w:color="000000" w:sz="4" w:space="0"/>
            </w:tcBorders>
            <w:shd w:val="clear" w:color="auto" w:fill="auto"/>
            <w:vAlign w:val="center"/>
          </w:tcPr>
          <w:p w14:paraId="4179FB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C397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企业注销登记“一件事”-建立“照金联办”注销机制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9079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公积金管理部门根据“上海企业登记在线”网上服务平台推送的企业注销信息，对不存在公积金欠费情形的，办理公积金账户注销登记，并通过线上反馈办结凭证供企业下载留存。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在“上海企业登记在线”网上服务平台企业注销流程中增加公积金预检功能，靠前提醒企业及时清缴公积金并办理职工转出手续。</w:t>
            </w:r>
          </w:p>
        </w:tc>
      </w:tr>
      <w:tr w14:paraId="697865A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A61C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w:t>
            </w:r>
          </w:p>
        </w:tc>
        <w:tc>
          <w:tcPr>
            <w:tcW w:w="491" w:type="pct"/>
            <w:tcBorders>
              <w:top w:val="nil"/>
              <w:left w:val="nil"/>
              <w:bottom w:val="single" w:color="000000" w:sz="4" w:space="0"/>
              <w:right w:val="single" w:color="000000" w:sz="4" w:space="0"/>
            </w:tcBorders>
            <w:shd w:val="clear" w:color="auto" w:fill="auto"/>
            <w:vAlign w:val="center"/>
          </w:tcPr>
          <w:p w14:paraId="44B31D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781B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企业注销登记“一件事”-优化银行账户预约销户服务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CF08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加强与人民银行的系统对接，将可供企业选择的商业银行账户注销预约网点细分到支行一级，并细化银行账户注销预约结果反馈内容，增加预约不成功原因等反馈内容。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企业通过“上海企业登记在线”网上服务平台办理注销登记并预约银行账户销户的，由相关商业银行引导企业办理银行结算账户注销手续，进一步压减银行账户销户纸质申请材料，最大限度便利企业办事。</w:t>
            </w:r>
          </w:p>
        </w:tc>
      </w:tr>
      <w:tr w14:paraId="133F514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DFCA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w:t>
            </w:r>
          </w:p>
        </w:tc>
        <w:tc>
          <w:tcPr>
            <w:tcW w:w="491" w:type="pct"/>
            <w:tcBorders>
              <w:top w:val="nil"/>
              <w:left w:val="nil"/>
              <w:bottom w:val="single" w:color="000000" w:sz="4" w:space="0"/>
              <w:right w:val="single" w:color="000000" w:sz="4" w:space="0"/>
            </w:tcBorders>
            <w:shd w:val="clear" w:color="auto" w:fill="auto"/>
            <w:vAlign w:val="center"/>
          </w:tcPr>
          <w:p w14:paraId="0673D0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20CF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企业注销登记“一件事”-实行公章刻制备案信息同步注销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D4C9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加强与公安部门的信息共享，企业完成注销登记后，公安部门根据“上海企业登记在线”网上服务平台推送的企业注销结果，同步注销公章刻制备案信息，实现“一次申请、同步注销”。</w:t>
            </w:r>
          </w:p>
        </w:tc>
      </w:tr>
      <w:tr w14:paraId="5D8CBE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1D06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w:t>
            </w:r>
          </w:p>
        </w:tc>
        <w:tc>
          <w:tcPr>
            <w:tcW w:w="491" w:type="pct"/>
            <w:tcBorders>
              <w:top w:val="nil"/>
              <w:left w:val="nil"/>
              <w:bottom w:val="single" w:color="000000" w:sz="4" w:space="0"/>
              <w:right w:val="single" w:color="000000" w:sz="4" w:space="0"/>
            </w:tcBorders>
            <w:shd w:val="clear" w:color="auto" w:fill="auto"/>
            <w:vAlign w:val="center"/>
          </w:tcPr>
          <w:p w14:paraId="178E44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DFDB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企业注销登记“一件事”-拓展简易注销参与部门范围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E447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现有税务、人社部门的基础上，将参与简易注销流程（包括简易注销公告及异议反馈信息交互等）部门范围拓展至海关、公安、公积金、医保等部门（具体范围以与各相关部门商定情况而定）。参照税务、人社部门在简易注销流程中的信息交互模式，向前述部门推送经营主体的简易注销公告信息并在规定限期内接收其反馈的简易注销异议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同时，鉴于现有简易注销流程允许经营主体多次公示简易注销，故在范围拓展后需允许新增的相关部门多次（包括经营主体自行撤销、被登记机关驳回简易注销后再次公示简易注销，以及简易注销超期未办理再次公示简易注销的情形）接收反馈简易注销公告和异议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此外，需将海关、公安、公积金、医保等部门纳入简易注销异议预检参与部门的范围，允许前述部门按现有简易注销预检流程，办理简易注销异议预检，并向经营主体反馈简易注销异议预检结果。</w:t>
            </w:r>
          </w:p>
        </w:tc>
      </w:tr>
      <w:tr w14:paraId="4C592A1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6BA3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w:t>
            </w:r>
          </w:p>
        </w:tc>
        <w:tc>
          <w:tcPr>
            <w:tcW w:w="491" w:type="pct"/>
            <w:tcBorders>
              <w:top w:val="nil"/>
              <w:left w:val="nil"/>
              <w:bottom w:val="single" w:color="000000" w:sz="4" w:space="0"/>
              <w:right w:val="single" w:color="000000" w:sz="4" w:space="0"/>
            </w:tcBorders>
            <w:shd w:val="clear" w:color="auto" w:fill="auto"/>
            <w:vAlign w:val="center"/>
          </w:tcPr>
          <w:p w14:paraId="6B5EB2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0540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歇业备案一口办理-歇业备案线上功能-歇业备案业务专区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937E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加强市场监管、税务、社保、公积金等部门间信息共享，推行歇业备案‘一口办理’。“上海企业登记在线”中新增“歇业备案”菜单，点击“歇业备案”菜单后，系统显示“办理须知”内容，并设置“办理歇业备案”、“办理延长歇业期限”、“终止歇业”、“歇业备案进度查询”四个子功能，其中“歇业备案进度查询”处理查询进度之外，还支持对各类歇业备案的后续办理与跟踪。</w:t>
            </w:r>
          </w:p>
        </w:tc>
      </w:tr>
      <w:tr w14:paraId="3C97EFE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B0D0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w:t>
            </w:r>
          </w:p>
        </w:tc>
        <w:tc>
          <w:tcPr>
            <w:tcW w:w="491" w:type="pct"/>
            <w:tcBorders>
              <w:top w:val="nil"/>
              <w:left w:val="nil"/>
              <w:bottom w:val="single" w:color="000000" w:sz="4" w:space="0"/>
              <w:right w:val="single" w:color="000000" w:sz="4" w:space="0"/>
            </w:tcBorders>
            <w:shd w:val="clear" w:color="auto" w:fill="auto"/>
            <w:vAlign w:val="center"/>
          </w:tcPr>
          <w:p w14:paraId="013EB3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6F97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歇业备案一口办理-歇业备案线上功能-办理歇业备案-歇业备案条件判断</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0AA6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市场主体点击“歇业备案”功能后，系统校验市场主体身份与状态，身份校验成功，状态满足业务条件的（如是否已吊销、是否已处于歇业期限内、是否连续歇业满一定期限等），进入后续流程。</w:t>
            </w:r>
          </w:p>
        </w:tc>
      </w:tr>
      <w:tr w14:paraId="633B1CF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DBAC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w:t>
            </w:r>
          </w:p>
        </w:tc>
        <w:tc>
          <w:tcPr>
            <w:tcW w:w="491" w:type="pct"/>
            <w:tcBorders>
              <w:top w:val="nil"/>
              <w:left w:val="nil"/>
              <w:bottom w:val="single" w:color="000000" w:sz="4" w:space="0"/>
              <w:right w:val="single" w:color="000000" w:sz="4" w:space="0"/>
            </w:tcBorders>
            <w:shd w:val="clear" w:color="auto" w:fill="auto"/>
            <w:vAlign w:val="center"/>
          </w:tcPr>
          <w:p w14:paraId="2579DD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29AE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歇业备案一口办理-歇业备案线上功能-办理歇业备案-歇业备案息填报（市场监管）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146A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歇业备案信息填报功能，市场监管部门需要的歇业备案信息主要包含：委托代理人姓名、委托代理人身份证件类型、委托代理人身份证件号码、委托代理人固定电话、委托代理人手机、歇业备案原因等。市场主体完成歇业信息填报完成后，申请人可以根据需要，选择是否一口填报其他部门要求的歇业备案信息，及填报哪些部门的歇业备案信息。</w:t>
            </w:r>
          </w:p>
        </w:tc>
      </w:tr>
      <w:tr w14:paraId="2405742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D3F6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w:t>
            </w:r>
          </w:p>
        </w:tc>
        <w:tc>
          <w:tcPr>
            <w:tcW w:w="491" w:type="pct"/>
            <w:tcBorders>
              <w:top w:val="nil"/>
              <w:left w:val="nil"/>
              <w:bottom w:val="single" w:color="000000" w:sz="4" w:space="0"/>
              <w:right w:val="single" w:color="000000" w:sz="4" w:space="0"/>
            </w:tcBorders>
            <w:shd w:val="clear" w:color="auto" w:fill="auto"/>
            <w:vAlign w:val="center"/>
          </w:tcPr>
          <w:p w14:paraId="77A13E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F75A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歇业备案一口办理-歇业备案线上功能-办理歇业备案-歇业备案信息填报（税务）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69AC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根据税务部门要求，单设歇业备案税务信息填报界面，并支持相关书面表单、证明的下载、上传功能。</w:t>
            </w:r>
          </w:p>
        </w:tc>
      </w:tr>
      <w:tr w14:paraId="0A5112E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44C6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w:t>
            </w:r>
          </w:p>
        </w:tc>
        <w:tc>
          <w:tcPr>
            <w:tcW w:w="491" w:type="pct"/>
            <w:tcBorders>
              <w:top w:val="nil"/>
              <w:left w:val="nil"/>
              <w:bottom w:val="single" w:color="000000" w:sz="4" w:space="0"/>
              <w:right w:val="single" w:color="000000" w:sz="4" w:space="0"/>
            </w:tcBorders>
            <w:shd w:val="clear" w:color="auto" w:fill="auto"/>
            <w:vAlign w:val="center"/>
          </w:tcPr>
          <w:p w14:paraId="697BD1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15A0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歇业备案一口办理-歇业备案线上功能-办理歇业备案-歇业备案信息填报（人社）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C659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根据人力资源与社会保障部门要求，单设歇业备案人社信息填报界面，并支持相关书面表单、证明的下载、上传功能。</w:t>
            </w:r>
          </w:p>
        </w:tc>
      </w:tr>
      <w:tr w14:paraId="790CB9F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4E90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w:t>
            </w:r>
          </w:p>
        </w:tc>
        <w:tc>
          <w:tcPr>
            <w:tcW w:w="491" w:type="pct"/>
            <w:tcBorders>
              <w:top w:val="nil"/>
              <w:left w:val="nil"/>
              <w:bottom w:val="single" w:color="000000" w:sz="4" w:space="0"/>
              <w:right w:val="single" w:color="000000" w:sz="4" w:space="0"/>
            </w:tcBorders>
            <w:shd w:val="clear" w:color="auto" w:fill="auto"/>
            <w:vAlign w:val="center"/>
          </w:tcPr>
          <w:p w14:paraId="57F7C5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5F42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歇业备案一口办理-歇业备案线上功能-办理歇业备案-歇业备案信息填报（公积金）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7A40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根据公积金部门要求，单设歇业备案公积金信息填报界面，并支持相关书面表单、证明的下载、上传功能。</w:t>
            </w:r>
          </w:p>
        </w:tc>
      </w:tr>
      <w:tr w14:paraId="0270783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4651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w:t>
            </w:r>
          </w:p>
        </w:tc>
        <w:tc>
          <w:tcPr>
            <w:tcW w:w="491" w:type="pct"/>
            <w:tcBorders>
              <w:top w:val="nil"/>
              <w:left w:val="nil"/>
              <w:bottom w:val="single" w:color="000000" w:sz="4" w:space="0"/>
              <w:right w:val="single" w:color="000000" w:sz="4" w:space="0"/>
            </w:tcBorders>
            <w:shd w:val="clear" w:color="auto" w:fill="auto"/>
            <w:vAlign w:val="center"/>
          </w:tcPr>
          <w:p w14:paraId="3CB949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4C18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歇业备案一口办理-歇业备案线上功能-办理歇业备案-歇业备案信息填报（医保）</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6388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根据医保部门要求，单设歇业备案医保信息填报界面，并支持相关书面表单、证明的下载、上传功能。</w:t>
            </w:r>
          </w:p>
        </w:tc>
      </w:tr>
      <w:tr w14:paraId="6D7D954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BFC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w:t>
            </w:r>
          </w:p>
        </w:tc>
        <w:tc>
          <w:tcPr>
            <w:tcW w:w="491" w:type="pct"/>
            <w:tcBorders>
              <w:top w:val="nil"/>
              <w:left w:val="nil"/>
              <w:bottom w:val="single" w:color="000000" w:sz="4" w:space="0"/>
              <w:right w:val="single" w:color="000000" w:sz="4" w:space="0"/>
            </w:tcBorders>
            <w:shd w:val="clear" w:color="auto" w:fill="auto"/>
            <w:vAlign w:val="center"/>
          </w:tcPr>
          <w:p w14:paraId="6C1785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5E2B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歇业备案一口办理-歇业备案线上功能-办理延长歇业期限-延长歇业期限条件判断</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B2FC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主体原已通过外网系统“一口办理”流程完成歇业备案的，或是原已至登记机关提交申请材料通过线下窗口办理流程完成歇业备案的，均可通过系统办理延长歇业期限业务。市场主体申请延长歇业期限的，应当在歇业期满前30日内</w:t>
            </w:r>
          </w:p>
        </w:tc>
      </w:tr>
      <w:tr w14:paraId="3C1AFF4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D4DB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w:t>
            </w:r>
          </w:p>
        </w:tc>
        <w:tc>
          <w:tcPr>
            <w:tcW w:w="491" w:type="pct"/>
            <w:tcBorders>
              <w:top w:val="nil"/>
              <w:left w:val="nil"/>
              <w:bottom w:val="single" w:color="000000" w:sz="4" w:space="0"/>
              <w:right w:val="single" w:color="000000" w:sz="4" w:space="0"/>
            </w:tcBorders>
            <w:shd w:val="clear" w:color="auto" w:fill="auto"/>
            <w:vAlign w:val="center"/>
          </w:tcPr>
          <w:p w14:paraId="51EEE1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494B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歇业备案一口办理-歇业备案线上功能-办理延长歇业期限-延长歇业期限信息填报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E0C6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提供对延长歇业期限备案的信息填报功能，包括市场监管部门信息填报，以及企业选择填报的税务、人设、公积金、医保等部门的信息填报功能。</w:t>
            </w:r>
          </w:p>
        </w:tc>
      </w:tr>
      <w:tr w14:paraId="33D6E94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BFE1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w:t>
            </w:r>
          </w:p>
        </w:tc>
        <w:tc>
          <w:tcPr>
            <w:tcW w:w="491" w:type="pct"/>
            <w:tcBorders>
              <w:top w:val="nil"/>
              <w:left w:val="nil"/>
              <w:bottom w:val="single" w:color="000000" w:sz="4" w:space="0"/>
              <w:right w:val="single" w:color="000000" w:sz="4" w:space="0"/>
            </w:tcBorders>
            <w:shd w:val="clear" w:color="auto" w:fill="auto"/>
            <w:vAlign w:val="center"/>
          </w:tcPr>
          <w:p w14:paraId="4636A5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7EAA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歇业备案一口办理-歇业备案线上功能-终止歇业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5FC3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主体通过“上海企业登记在线”—“歇业备案”-“终止歇业”功能菜单，经一网通办验证身份后，进入国家企业信用信息公示系统“终止歇业”公告专栏，发布“终止歇业”公告。“终止歇业”公告发布后，系统自动关联内网登记系统变更企业“歇业”状态为歇业前的状态。</w:t>
            </w:r>
          </w:p>
        </w:tc>
      </w:tr>
      <w:tr w14:paraId="193DAC6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C12E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w:t>
            </w:r>
          </w:p>
        </w:tc>
        <w:tc>
          <w:tcPr>
            <w:tcW w:w="491" w:type="pct"/>
            <w:tcBorders>
              <w:top w:val="nil"/>
              <w:left w:val="nil"/>
              <w:bottom w:val="single" w:color="000000" w:sz="4" w:space="0"/>
              <w:right w:val="single" w:color="000000" w:sz="4" w:space="0"/>
            </w:tcBorders>
            <w:shd w:val="clear" w:color="auto" w:fill="auto"/>
            <w:vAlign w:val="center"/>
          </w:tcPr>
          <w:p w14:paraId="4C1C04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E343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歇业备案一口办理-歇业备案线上功能-歇业备案进度查询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9DDD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系统校验市场主体身份，进入歇业备案申请案列表（包括：已完成或尚未完成的歇业备案、延长歇业期限备案、终止歇业申请案），每一申请案后设置“查看详情”链接。</w:t>
            </w:r>
          </w:p>
        </w:tc>
      </w:tr>
      <w:tr w14:paraId="7E3F203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0ACD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w:t>
            </w:r>
          </w:p>
        </w:tc>
        <w:tc>
          <w:tcPr>
            <w:tcW w:w="491" w:type="pct"/>
            <w:tcBorders>
              <w:top w:val="nil"/>
              <w:left w:val="nil"/>
              <w:bottom w:val="single" w:color="000000" w:sz="4" w:space="0"/>
              <w:right w:val="single" w:color="000000" w:sz="4" w:space="0"/>
            </w:tcBorders>
            <w:shd w:val="clear" w:color="auto" w:fill="auto"/>
            <w:vAlign w:val="center"/>
          </w:tcPr>
          <w:p w14:paraId="2F81F1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2B81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歇业备案一口办理-歇业备案线上功能-歇业备案全程网办（市场监管）-电子材料生成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0447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提供“全程网办”、“线下提交”两种方式，供市场主体自主选择。对于“全程网办”，系统展示需要提交的材料目录（包括：《市场主体歇业备案申请书》《歇业备案承诺书》《材料真实性承诺书》）。《市场主体歇业备案申请书》和《歇业备案承诺书》均由系统提供自动生成的模板，由市场主体下载并签署后上传，《材料真实性承诺书》由系统自动生成无需市场主体下载并上传。</w:t>
            </w:r>
          </w:p>
        </w:tc>
      </w:tr>
      <w:tr w14:paraId="4DAB2CF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C328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w:t>
            </w:r>
          </w:p>
        </w:tc>
        <w:tc>
          <w:tcPr>
            <w:tcW w:w="491" w:type="pct"/>
            <w:tcBorders>
              <w:top w:val="nil"/>
              <w:left w:val="nil"/>
              <w:bottom w:val="single" w:color="000000" w:sz="4" w:space="0"/>
              <w:right w:val="single" w:color="000000" w:sz="4" w:space="0"/>
            </w:tcBorders>
            <w:shd w:val="clear" w:color="auto" w:fill="auto"/>
            <w:vAlign w:val="center"/>
          </w:tcPr>
          <w:p w14:paraId="17FA9C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4375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歇业备案一口办理-歇业备案线上功能-歇业备案全程网办（市场监管）-提交预审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072F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申请人将有关材料上传完毕后（需系统校验是否均已上传）提交预审。</w:t>
            </w:r>
          </w:p>
        </w:tc>
      </w:tr>
      <w:tr w14:paraId="189665B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E9E8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w:t>
            </w:r>
          </w:p>
        </w:tc>
        <w:tc>
          <w:tcPr>
            <w:tcW w:w="491" w:type="pct"/>
            <w:tcBorders>
              <w:top w:val="nil"/>
              <w:left w:val="nil"/>
              <w:bottom w:val="single" w:color="000000" w:sz="4" w:space="0"/>
              <w:right w:val="single" w:color="000000" w:sz="4" w:space="0"/>
            </w:tcBorders>
            <w:shd w:val="clear" w:color="auto" w:fill="auto"/>
            <w:vAlign w:val="center"/>
          </w:tcPr>
          <w:p w14:paraId="3A7E34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B437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歇业备案一口办理-歇业备案线上功能-歇业备案全程网办（市场监管）-预审通过处理（电子签名）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C527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登记机关通过内网登记系统预审通过后，通过申请人组织所有需要电子签名的人员，通过企业登记在线的电子签名栏目，完成电子签名。</w:t>
            </w:r>
          </w:p>
        </w:tc>
      </w:tr>
      <w:tr w14:paraId="2CFE462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C89B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w:t>
            </w:r>
          </w:p>
        </w:tc>
        <w:tc>
          <w:tcPr>
            <w:tcW w:w="491" w:type="pct"/>
            <w:tcBorders>
              <w:top w:val="nil"/>
              <w:left w:val="nil"/>
              <w:bottom w:val="single" w:color="000000" w:sz="4" w:space="0"/>
              <w:right w:val="single" w:color="000000" w:sz="4" w:space="0"/>
            </w:tcBorders>
            <w:shd w:val="clear" w:color="auto" w:fill="auto"/>
            <w:vAlign w:val="center"/>
          </w:tcPr>
          <w:p w14:paraId="16F815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59EA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歇业备案一口办理-歇业备案线上功能-歇业备案全程网办（市场监管）-提交审核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8B17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所有人员完成电子签名后，申请人可以继续办理，提交市场监管部门进行正式审核。</w:t>
            </w:r>
          </w:p>
        </w:tc>
      </w:tr>
      <w:tr w14:paraId="7D73117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D5EF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w:t>
            </w:r>
          </w:p>
        </w:tc>
        <w:tc>
          <w:tcPr>
            <w:tcW w:w="491" w:type="pct"/>
            <w:tcBorders>
              <w:top w:val="nil"/>
              <w:left w:val="nil"/>
              <w:bottom w:val="single" w:color="000000" w:sz="4" w:space="0"/>
              <w:right w:val="single" w:color="000000" w:sz="4" w:space="0"/>
            </w:tcBorders>
            <w:shd w:val="clear" w:color="auto" w:fill="auto"/>
            <w:vAlign w:val="center"/>
          </w:tcPr>
          <w:p w14:paraId="776168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F012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歇业备案一口办理-歇业备案线上功能-歇业备案全程网办（市场监管）-预审退回处理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1346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登记机关通过内网登记系统预审退回修改后，申请人可以查看反馈意见，可根据反馈意见调整后再次提交预审。也可以“结束办理”，不再继续本次歇业备案。</w:t>
            </w:r>
          </w:p>
        </w:tc>
      </w:tr>
      <w:tr w14:paraId="099C53F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733E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w:t>
            </w:r>
          </w:p>
        </w:tc>
        <w:tc>
          <w:tcPr>
            <w:tcW w:w="491" w:type="pct"/>
            <w:tcBorders>
              <w:top w:val="nil"/>
              <w:left w:val="nil"/>
              <w:bottom w:val="single" w:color="000000" w:sz="4" w:space="0"/>
              <w:right w:val="single" w:color="000000" w:sz="4" w:space="0"/>
            </w:tcBorders>
            <w:shd w:val="clear" w:color="auto" w:fill="auto"/>
            <w:vAlign w:val="center"/>
          </w:tcPr>
          <w:p w14:paraId="5A3F2C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87F1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歇业备案一口办理-歇业备案线上功能-歇业备案全程网办（市场监管）-备案通知文书打印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36DB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登记机关审核通过后，提供案通知文书的下载打印功能。</w:t>
            </w:r>
          </w:p>
        </w:tc>
      </w:tr>
      <w:tr w14:paraId="2DCF240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4F1A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w:t>
            </w:r>
          </w:p>
        </w:tc>
        <w:tc>
          <w:tcPr>
            <w:tcW w:w="491" w:type="pct"/>
            <w:tcBorders>
              <w:top w:val="nil"/>
              <w:left w:val="nil"/>
              <w:bottom w:val="single" w:color="000000" w:sz="4" w:space="0"/>
              <w:right w:val="single" w:color="000000" w:sz="4" w:space="0"/>
            </w:tcBorders>
            <w:shd w:val="clear" w:color="auto" w:fill="auto"/>
            <w:vAlign w:val="center"/>
          </w:tcPr>
          <w:p w14:paraId="6EB4C7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49B0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歇业备案一口办理-歇业备案线上功能-歇业备案线下提交（市场监管）-提交预审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F512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申请人选择“线下提交”办理的，系统提示提交预审。</w:t>
            </w:r>
          </w:p>
        </w:tc>
      </w:tr>
      <w:tr w14:paraId="1CFA86B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A4EB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w:t>
            </w:r>
          </w:p>
        </w:tc>
        <w:tc>
          <w:tcPr>
            <w:tcW w:w="491" w:type="pct"/>
            <w:tcBorders>
              <w:top w:val="nil"/>
              <w:left w:val="nil"/>
              <w:bottom w:val="single" w:color="000000" w:sz="4" w:space="0"/>
              <w:right w:val="single" w:color="000000" w:sz="4" w:space="0"/>
            </w:tcBorders>
            <w:shd w:val="clear" w:color="auto" w:fill="auto"/>
            <w:vAlign w:val="center"/>
          </w:tcPr>
          <w:p w14:paraId="17DDA7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6D21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歇业备案一口办理-歇业备案线上功能-歇业备案线下提交（市场监管）-预审通过处理（材料下载）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B551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通过内网登记系统预审通过后，系统提供“歇业备案提交材料目录”以及“歇业备案申请文书材料”链接，申请人可下载、查看系统自动生成的相应材料目录及文书模板，包括《市场主体歇业备案申请书》和《歇业备案承诺书》等。</w:t>
            </w:r>
          </w:p>
        </w:tc>
      </w:tr>
      <w:tr w14:paraId="7591B77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0F40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w:t>
            </w:r>
          </w:p>
        </w:tc>
        <w:tc>
          <w:tcPr>
            <w:tcW w:w="491" w:type="pct"/>
            <w:tcBorders>
              <w:top w:val="nil"/>
              <w:left w:val="nil"/>
              <w:bottom w:val="single" w:color="000000" w:sz="4" w:space="0"/>
              <w:right w:val="single" w:color="000000" w:sz="4" w:space="0"/>
            </w:tcBorders>
            <w:shd w:val="clear" w:color="auto" w:fill="auto"/>
            <w:vAlign w:val="center"/>
          </w:tcPr>
          <w:p w14:paraId="2E369B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F53D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歇业备案一口办理-歇业备案线上功能-歇业备案线下提交（市场监管）-预审退回处理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49F0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登记机关通过内网登记系统预审退回修改后，申请人可以查看反馈意见，可根据反馈意见调整后再次提交预审。也可以“结束办理”，不再继续本次歇业备案。</w:t>
            </w:r>
          </w:p>
        </w:tc>
      </w:tr>
      <w:tr w14:paraId="63BD865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3814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w:t>
            </w:r>
          </w:p>
        </w:tc>
        <w:tc>
          <w:tcPr>
            <w:tcW w:w="491" w:type="pct"/>
            <w:tcBorders>
              <w:top w:val="nil"/>
              <w:left w:val="nil"/>
              <w:bottom w:val="single" w:color="000000" w:sz="4" w:space="0"/>
              <w:right w:val="single" w:color="000000" w:sz="4" w:space="0"/>
            </w:tcBorders>
            <w:shd w:val="clear" w:color="auto" w:fill="auto"/>
            <w:vAlign w:val="center"/>
          </w:tcPr>
          <w:p w14:paraId="6C712B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A9CA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歇业备案一口办理-歇业备案线上功能-其他部门办理跟踪-办事指南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D08C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提供税务、人力资源和社会保障、公积金、医保等板块，并按照原歇业备案时市场主体选择的纳入“一口办理”的部门进行展示，各版块内同时显示办事指南、联系方式链接，供市场主体查看。</w:t>
            </w:r>
          </w:p>
        </w:tc>
      </w:tr>
      <w:tr w14:paraId="46DC14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D7E6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w:t>
            </w:r>
          </w:p>
        </w:tc>
        <w:tc>
          <w:tcPr>
            <w:tcW w:w="491" w:type="pct"/>
            <w:tcBorders>
              <w:top w:val="nil"/>
              <w:left w:val="nil"/>
              <w:bottom w:val="single" w:color="000000" w:sz="4" w:space="0"/>
              <w:right w:val="single" w:color="000000" w:sz="4" w:space="0"/>
            </w:tcBorders>
            <w:shd w:val="clear" w:color="auto" w:fill="auto"/>
            <w:vAlign w:val="center"/>
          </w:tcPr>
          <w:p w14:paraId="0DA981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E125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歇业备案一口办理-歇业备案线上功能-其他部门办理跟踪-状态跟踪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7288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市场监管部门延长歇业期限备案尚未完成前，税务部门、人力资源和社会保障部门、公积金部门、医保部门等板块分别显示“未开始。待完成完成延长歇业期限备案。”</w:t>
            </w:r>
          </w:p>
        </w:tc>
      </w:tr>
      <w:tr w14:paraId="0B2D8D5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01CE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w:t>
            </w:r>
          </w:p>
        </w:tc>
        <w:tc>
          <w:tcPr>
            <w:tcW w:w="491" w:type="pct"/>
            <w:tcBorders>
              <w:top w:val="nil"/>
              <w:left w:val="nil"/>
              <w:bottom w:val="single" w:color="000000" w:sz="4" w:space="0"/>
              <w:right w:val="single" w:color="000000" w:sz="4" w:space="0"/>
            </w:tcBorders>
            <w:shd w:val="clear" w:color="auto" w:fill="auto"/>
            <w:vAlign w:val="center"/>
          </w:tcPr>
          <w:p w14:paraId="544A39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9E74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歇业备案一口办理-歇业备案线上功能-其他部门办理跟踪-办理结果</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E910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待市场监管部门完成延长歇业期限备案后，根据各部门实际反馈的办理结果内容进行显示，相关反馈结果内容由相关部门提供。</w:t>
            </w:r>
          </w:p>
        </w:tc>
      </w:tr>
      <w:tr w14:paraId="602F16D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9487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w:t>
            </w:r>
          </w:p>
        </w:tc>
        <w:tc>
          <w:tcPr>
            <w:tcW w:w="491" w:type="pct"/>
            <w:tcBorders>
              <w:top w:val="nil"/>
              <w:left w:val="nil"/>
              <w:bottom w:val="single" w:color="000000" w:sz="4" w:space="0"/>
              <w:right w:val="single" w:color="000000" w:sz="4" w:space="0"/>
            </w:tcBorders>
            <w:shd w:val="clear" w:color="auto" w:fill="auto"/>
            <w:vAlign w:val="center"/>
          </w:tcPr>
          <w:p w14:paraId="76115A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DA10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歇业备案一口办理-歇业备案内网功能-歇业备案列示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C4BA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主体通过外网填报的歇业备案信息需导入内网歇业备案申请案办理页面进行显示。内网登记系统增加“歇业备案”线下提交和全程网办业务功能，在内资、农专、个体登记系统“待网上登记预审”、“待网上受理决定”菜单栏内增设“歇业（预审后窗口提交）”和“歇业（全程电子化登记）”两个子菜单，分别对应列示歇业备案线下办理申请案和全程网办申请案。在外资登记系统“等待网上初审”、“等待网上材料核对”菜单栏内增设“歇业（预审后窗口提交）”和“歇业（全程电子化登记）”两个子菜单，分别对应列示歇业备案线下办理申请案和全程网办申请案。</w:t>
            </w:r>
          </w:p>
        </w:tc>
      </w:tr>
      <w:tr w14:paraId="188F675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8D37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w:t>
            </w:r>
          </w:p>
        </w:tc>
        <w:tc>
          <w:tcPr>
            <w:tcW w:w="491" w:type="pct"/>
            <w:tcBorders>
              <w:top w:val="nil"/>
              <w:left w:val="nil"/>
              <w:bottom w:val="single" w:color="000000" w:sz="4" w:space="0"/>
              <w:right w:val="single" w:color="000000" w:sz="4" w:space="0"/>
            </w:tcBorders>
            <w:shd w:val="clear" w:color="auto" w:fill="auto"/>
            <w:vAlign w:val="center"/>
          </w:tcPr>
          <w:p w14:paraId="099B4A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7CF0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20DB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改造内网企业登记系统，实现对全程网办与线下提交两种模式的歇业备案、延长歇业期限备案的预审功能。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预审环节，经办人意见为“预审通过、退回修改”，在审核环节，经办人意见为“核准、退回修改”。经办人员除可填写退回修改意见外，对于全程网办件还可就单份申请材料单独提出修改意见并反馈外网供申请人查看。全程网办件，经办人员选择预审通过的，系统提示选择外网需要电子签名的人员（包括：委托代理人，市场主体的股东（投资人、出资人）、法定代表人、执行事务合伙人、执行事务合伙人委派代表、董事、监事、经理等高级管理人员），经办人选择并提交后，由市场主体在外网按要求进行电子签名，其中：办理歇业备案的市场主体在相关申请材料上必须进行电子签章，无需经办人员通过内容进行选择。</w:t>
            </w:r>
          </w:p>
        </w:tc>
      </w:tr>
      <w:tr w14:paraId="41DD99C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7BBC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w:t>
            </w:r>
          </w:p>
        </w:tc>
        <w:tc>
          <w:tcPr>
            <w:tcW w:w="491" w:type="pct"/>
            <w:tcBorders>
              <w:top w:val="nil"/>
              <w:left w:val="nil"/>
              <w:bottom w:val="single" w:color="000000" w:sz="4" w:space="0"/>
              <w:right w:val="single" w:color="000000" w:sz="4" w:space="0"/>
            </w:tcBorders>
            <w:shd w:val="clear" w:color="auto" w:fill="auto"/>
            <w:vAlign w:val="center"/>
          </w:tcPr>
          <w:p w14:paraId="360918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F89C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A519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改造内网企业登记系统，实现对全程网办与线下提交两种模式的歇业备案、延长歇业期限备案的审核功能，实现相关业务校验与文书生成。</w:t>
            </w:r>
          </w:p>
        </w:tc>
      </w:tr>
      <w:tr w14:paraId="131D164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627D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w:t>
            </w:r>
          </w:p>
        </w:tc>
        <w:tc>
          <w:tcPr>
            <w:tcW w:w="491" w:type="pct"/>
            <w:tcBorders>
              <w:top w:val="nil"/>
              <w:left w:val="nil"/>
              <w:bottom w:val="single" w:color="000000" w:sz="4" w:space="0"/>
              <w:right w:val="single" w:color="000000" w:sz="4" w:space="0"/>
            </w:tcBorders>
            <w:shd w:val="clear" w:color="auto" w:fill="auto"/>
            <w:vAlign w:val="center"/>
          </w:tcPr>
          <w:p w14:paraId="766EE5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5E55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歇业备案一口办理-歇业备案内网功能-歇业备案归档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FBE8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改造内网企业登记系统，实现对全程网办与线下提交两种模式的歇业备案、延长歇业期限备案的归档功能，内网审核通过后，线下办理申请案做纸质档案归档，在线办理（全程网办）申请案做电子档归档。</w:t>
            </w:r>
          </w:p>
        </w:tc>
      </w:tr>
      <w:tr w14:paraId="39B012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EC2C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w:t>
            </w:r>
          </w:p>
        </w:tc>
        <w:tc>
          <w:tcPr>
            <w:tcW w:w="491" w:type="pct"/>
            <w:tcBorders>
              <w:top w:val="nil"/>
              <w:left w:val="nil"/>
              <w:bottom w:val="single" w:color="000000" w:sz="4" w:space="0"/>
              <w:right w:val="single" w:color="000000" w:sz="4" w:space="0"/>
            </w:tcBorders>
            <w:shd w:val="clear" w:color="auto" w:fill="auto"/>
            <w:vAlign w:val="center"/>
          </w:tcPr>
          <w:p w14:paraId="48858F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D7E7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歇业备案一口办理-歇业备案内网功能-歇业备案填报信息推送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E740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歇业备案、延长歇业期限备案审核完成后，相关信息推送至人社、税务、公积金等部门进行共享。</w:t>
            </w:r>
          </w:p>
        </w:tc>
      </w:tr>
      <w:tr w14:paraId="7BF5F76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C2F6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w:t>
            </w:r>
          </w:p>
        </w:tc>
        <w:tc>
          <w:tcPr>
            <w:tcW w:w="491" w:type="pct"/>
            <w:tcBorders>
              <w:top w:val="nil"/>
              <w:left w:val="nil"/>
              <w:bottom w:val="single" w:color="000000" w:sz="4" w:space="0"/>
              <w:right w:val="single" w:color="000000" w:sz="4" w:space="0"/>
            </w:tcBorders>
            <w:shd w:val="clear" w:color="auto" w:fill="auto"/>
            <w:vAlign w:val="center"/>
          </w:tcPr>
          <w:p w14:paraId="7C6C98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320E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歇业备案一口办理-歇业备案内网功能-歇业终止信息推送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60AD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市场主体满足终止歇业条件的，并已通过国家企业信用信息公示系统公示“终止歇业”的，通过有关信息交互渠道（如法人库等）向各部门推送“终止歇业”状态及相关终止歇业信息。</w:t>
            </w:r>
          </w:p>
        </w:tc>
      </w:tr>
      <w:tr w14:paraId="64AE4A3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2169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w:t>
            </w:r>
          </w:p>
        </w:tc>
        <w:tc>
          <w:tcPr>
            <w:tcW w:w="491" w:type="pct"/>
            <w:tcBorders>
              <w:top w:val="nil"/>
              <w:left w:val="nil"/>
              <w:bottom w:val="single" w:color="000000" w:sz="4" w:space="0"/>
              <w:right w:val="single" w:color="000000" w:sz="4" w:space="0"/>
            </w:tcBorders>
            <w:shd w:val="clear" w:color="auto" w:fill="auto"/>
            <w:vAlign w:val="center"/>
          </w:tcPr>
          <w:p w14:paraId="6AD89B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C230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歇业备案一口办理-歇业备案内网功能-歇业备案反馈信息接收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D3F6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接收相关部门对歇业备案、延长歇业期限备案的各自办理结果的反馈信息，以便通过“其他部门办理跟踪”反馈给申请人。</w:t>
            </w:r>
          </w:p>
        </w:tc>
      </w:tr>
      <w:tr w14:paraId="5CF1FB1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62F7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w:t>
            </w:r>
          </w:p>
        </w:tc>
        <w:tc>
          <w:tcPr>
            <w:tcW w:w="491" w:type="pct"/>
            <w:tcBorders>
              <w:top w:val="nil"/>
              <w:left w:val="nil"/>
              <w:bottom w:val="single" w:color="000000" w:sz="4" w:space="0"/>
              <w:right w:val="single" w:color="000000" w:sz="4" w:space="0"/>
            </w:tcBorders>
            <w:shd w:val="clear" w:color="auto" w:fill="auto"/>
            <w:vAlign w:val="center"/>
          </w:tcPr>
          <w:p w14:paraId="28B349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1AA6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歇业备案一口办理-歇业备案内网功能-歇业备案查询统计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84BA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提供全程网办、线下提交方式申请的歇业备案、延长歇业期限备案的查询与统计功能。</w:t>
            </w:r>
          </w:p>
        </w:tc>
      </w:tr>
      <w:tr w14:paraId="7BF1B63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3A65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w:t>
            </w:r>
          </w:p>
        </w:tc>
        <w:tc>
          <w:tcPr>
            <w:tcW w:w="491" w:type="pct"/>
            <w:tcBorders>
              <w:top w:val="nil"/>
              <w:left w:val="nil"/>
              <w:bottom w:val="single" w:color="000000" w:sz="4" w:space="0"/>
              <w:right w:val="single" w:color="000000" w:sz="4" w:space="0"/>
            </w:tcBorders>
            <w:shd w:val="clear" w:color="auto" w:fill="auto"/>
            <w:vAlign w:val="center"/>
          </w:tcPr>
          <w:p w14:paraId="3D5924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CA10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名称智能化数字转型-企业名称申报功能优化-企业名称申报功能优化（人性化设计）-组织形式人性化录入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EC79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提供针对组织形式的人性化提示与录入功能，帮助申请人了解各类企业组织形式的法律概念与业务要求。</w:t>
            </w:r>
          </w:p>
        </w:tc>
      </w:tr>
      <w:tr w14:paraId="2B3D3BE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E975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w:t>
            </w:r>
          </w:p>
        </w:tc>
        <w:tc>
          <w:tcPr>
            <w:tcW w:w="491" w:type="pct"/>
            <w:tcBorders>
              <w:top w:val="nil"/>
              <w:left w:val="nil"/>
              <w:bottom w:val="single" w:color="000000" w:sz="4" w:space="0"/>
              <w:right w:val="single" w:color="000000" w:sz="4" w:space="0"/>
            </w:tcBorders>
            <w:shd w:val="clear" w:color="auto" w:fill="auto"/>
            <w:vAlign w:val="center"/>
          </w:tcPr>
          <w:p w14:paraId="514383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23EC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名称智能化数字转型-企业名称申报功能优化-企业名称申报功能优化（人性化设计）-行业表述智能化选取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30D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提供对行业表述的智能选择功能，帮助用户从3000多个国民经济行业类型相挂钩的30000多个行业表述中选择合适的行业表述。</w:t>
            </w:r>
          </w:p>
        </w:tc>
      </w:tr>
      <w:tr w14:paraId="54C185E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2ED1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w:t>
            </w:r>
          </w:p>
        </w:tc>
        <w:tc>
          <w:tcPr>
            <w:tcW w:w="491" w:type="pct"/>
            <w:tcBorders>
              <w:top w:val="nil"/>
              <w:left w:val="nil"/>
              <w:bottom w:val="single" w:color="000000" w:sz="4" w:space="0"/>
              <w:right w:val="single" w:color="000000" w:sz="4" w:space="0"/>
            </w:tcBorders>
            <w:shd w:val="clear" w:color="auto" w:fill="auto"/>
            <w:vAlign w:val="center"/>
          </w:tcPr>
          <w:p w14:paraId="0A3170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ACBF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名称智能化数字转型-企业名称申报功能优化-行业表述智能推荐-行业表述智能服务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380F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当用户输入的行业表述查询不到内容时，系统可以基于行业表述智能分词、行业表述含义相同智能研判算法（见后续）等技术手段，视情况推荐与用户输入行业相似的行业表述。</w:t>
            </w:r>
          </w:p>
        </w:tc>
      </w:tr>
      <w:tr w14:paraId="6368F68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3AD5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w:t>
            </w:r>
          </w:p>
        </w:tc>
        <w:tc>
          <w:tcPr>
            <w:tcW w:w="491" w:type="pct"/>
            <w:tcBorders>
              <w:top w:val="nil"/>
              <w:left w:val="nil"/>
              <w:bottom w:val="single" w:color="000000" w:sz="4" w:space="0"/>
              <w:right w:val="single" w:color="000000" w:sz="4" w:space="0"/>
            </w:tcBorders>
            <w:shd w:val="clear" w:color="auto" w:fill="auto"/>
            <w:vAlign w:val="center"/>
          </w:tcPr>
          <w:p w14:paraId="2F22F5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408C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名称智能化数字转型-企业名称申报功能优化-行业表述智能推荐-行业表述增补建议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569A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提供用户“建议增加新性行业表述”的功能，对于不在行业表述库中的新行业表述，用户可以提交新增建议。系统对用户建议行为进行智能研判，避免同一用户反复提交，或提交已在行业表述库中的行业表述。</w:t>
            </w:r>
          </w:p>
        </w:tc>
      </w:tr>
      <w:tr w14:paraId="5088ED3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C73C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w:t>
            </w:r>
          </w:p>
        </w:tc>
        <w:tc>
          <w:tcPr>
            <w:tcW w:w="491" w:type="pct"/>
            <w:tcBorders>
              <w:top w:val="nil"/>
              <w:left w:val="nil"/>
              <w:bottom w:val="single" w:color="000000" w:sz="4" w:space="0"/>
              <w:right w:val="single" w:color="000000" w:sz="4" w:space="0"/>
            </w:tcBorders>
            <w:shd w:val="clear" w:color="auto" w:fill="auto"/>
            <w:vAlign w:val="center"/>
          </w:tcPr>
          <w:p w14:paraId="12695D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3EB2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名称智能化数字转型-企业名称申报功能优化-行业表述智能推荐-行业表述建议查询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431B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按照建议时间范围、行业表述等，提供对申请人建议增补行业表述情况的归类统计与排名展示；</w:t>
            </w:r>
          </w:p>
        </w:tc>
      </w:tr>
      <w:tr w14:paraId="224D43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0275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w:t>
            </w:r>
          </w:p>
        </w:tc>
        <w:tc>
          <w:tcPr>
            <w:tcW w:w="491" w:type="pct"/>
            <w:tcBorders>
              <w:top w:val="nil"/>
              <w:left w:val="nil"/>
              <w:bottom w:val="single" w:color="000000" w:sz="4" w:space="0"/>
              <w:right w:val="single" w:color="000000" w:sz="4" w:space="0"/>
            </w:tcBorders>
            <w:shd w:val="clear" w:color="auto" w:fill="auto"/>
            <w:vAlign w:val="center"/>
          </w:tcPr>
          <w:p w14:paraId="695C29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FBE60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名称智能化数字转型-企业名称申报功能优化-行业表述智能推荐-行业表述建议处理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7E1D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当同一行业表述建议情况达到预期阈值（如近三个月内建议次数达到10次），主动提醒名称审核人员进行处理。处理的方式包括不予采纳、暂不处理、采纳。采纳后的行业表述由业务人员通过行业表述维护功能，增补进名称行业字典库中。</w:t>
            </w:r>
          </w:p>
        </w:tc>
      </w:tr>
      <w:tr w14:paraId="73C22A3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1A4B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w:t>
            </w:r>
          </w:p>
        </w:tc>
        <w:tc>
          <w:tcPr>
            <w:tcW w:w="491" w:type="pct"/>
            <w:tcBorders>
              <w:top w:val="nil"/>
              <w:left w:val="nil"/>
              <w:bottom w:val="single" w:color="000000" w:sz="4" w:space="0"/>
              <w:right w:val="single" w:color="000000" w:sz="4" w:space="0"/>
            </w:tcBorders>
            <w:shd w:val="clear" w:color="auto" w:fill="auto"/>
            <w:vAlign w:val="center"/>
          </w:tcPr>
          <w:p w14:paraId="50C449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4C7E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名称智能化数字转型-企业名称申报功能优化-可选参考名称服务-可选（参考）名称界面调用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A15E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缓解企业起名难的问题，提供基于“可选（参考）名称库”的智能服务。当申请人选择使用可选（参考）名称来帮助起名的时候，系统根据申请人已选择的名称行业表述（必须）、名称区划（非必须）、组织形式（非必须），调用可选（参考）名称选择界面。</w:t>
            </w:r>
          </w:p>
        </w:tc>
      </w:tr>
      <w:tr w14:paraId="468DE1C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DA74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w:t>
            </w:r>
          </w:p>
        </w:tc>
        <w:tc>
          <w:tcPr>
            <w:tcW w:w="491" w:type="pct"/>
            <w:tcBorders>
              <w:top w:val="nil"/>
              <w:left w:val="nil"/>
              <w:bottom w:val="single" w:color="000000" w:sz="4" w:space="0"/>
              <w:right w:val="single" w:color="000000" w:sz="4" w:space="0"/>
            </w:tcBorders>
            <w:shd w:val="clear" w:color="auto" w:fill="auto"/>
            <w:vAlign w:val="center"/>
          </w:tcPr>
          <w:p w14:paraId="29B6D0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74C7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名称智能化数字转型-企业名称申报功能优化-可选参考名称服务-可选（参考）名称智能选择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21C4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可选（参考）名称选择界面，根据传入的名称行业表述，自动匹配可选名称库与参考名称库，列出其中蕴含的高可用度名称，供申请人员选择。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申请人选择可选（参考）名称时，系统根据申请人选择的字号、以及传入名称区划、名称行业表述、组织形式拼接形成多种形式的完整名称。</w:t>
            </w:r>
          </w:p>
        </w:tc>
      </w:tr>
      <w:tr w14:paraId="182AB2D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1AF2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w:t>
            </w:r>
          </w:p>
        </w:tc>
        <w:tc>
          <w:tcPr>
            <w:tcW w:w="491" w:type="pct"/>
            <w:tcBorders>
              <w:top w:val="nil"/>
              <w:left w:val="nil"/>
              <w:bottom w:val="single" w:color="000000" w:sz="4" w:space="0"/>
              <w:right w:val="single" w:color="000000" w:sz="4" w:space="0"/>
            </w:tcBorders>
            <w:shd w:val="clear" w:color="auto" w:fill="auto"/>
            <w:vAlign w:val="center"/>
          </w:tcPr>
          <w:p w14:paraId="40CB3C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D3C2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名称智能化数字转型-企业名称申报功能优化-可选参考名称服务-可选（参考）名称选定填报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C9A7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申请人从“可选（参考）名称库”中选择好名称并确认后，由系统自动将相关名称信息填入到四段式的申报界面中，并提交到强规则比对校核界面进行名称正式申报。</w:t>
            </w:r>
          </w:p>
        </w:tc>
      </w:tr>
      <w:tr w14:paraId="424E43C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1C7C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w:t>
            </w:r>
          </w:p>
        </w:tc>
        <w:tc>
          <w:tcPr>
            <w:tcW w:w="491" w:type="pct"/>
            <w:tcBorders>
              <w:top w:val="nil"/>
              <w:left w:val="nil"/>
              <w:bottom w:val="single" w:color="000000" w:sz="4" w:space="0"/>
              <w:right w:val="single" w:color="000000" w:sz="4" w:space="0"/>
            </w:tcBorders>
            <w:shd w:val="clear" w:color="auto" w:fill="auto"/>
            <w:vAlign w:val="center"/>
          </w:tcPr>
          <w:p w14:paraId="14F2B7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744E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名称智能化数字转型-企业名称申报功能优化-名称申报过程记录-名称申报过程信息记录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EA01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加强对名称申报业务实情与用户现场感受的深入了解，增加对各类申请人申报名称过程中所有尝试比对的名称字号及比对结果的记录功能。即使申请人比对的名称，经系统提示为不可用的，系统也将相关情况记录下来，以便为后续机器学习与数据分析提供数据样本基础。</w:t>
            </w:r>
          </w:p>
        </w:tc>
      </w:tr>
      <w:tr w14:paraId="46E0527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8BEB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w:t>
            </w:r>
          </w:p>
        </w:tc>
        <w:tc>
          <w:tcPr>
            <w:tcW w:w="491" w:type="pct"/>
            <w:tcBorders>
              <w:top w:val="nil"/>
              <w:left w:val="nil"/>
              <w:bottom w:val="single" w:color="000000" w:sz="4" w:space="0"/>
              <w:right w:val="single" w:color="000000" w:sz="4" w:space="0"/>
            </w:tcBorders>
            <w:shd w:val="clear" w:color="auto" w:fill="auto"/>
            <w:vAlign w:val="center"/>
          </w:tcPr>
          <w:p w14:paraId="45C490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F250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名称智能化数字转型-企业名称申报功能优化-名称申报智能诊断-申报字数分析与建议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FA7E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在专业性及引导性申报界面中，在申请人申报企业名称之后，在给出名称比对结果同时，提供相关名称字号的智能诊断与建议意见。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对申请人申报字号的字数进行分析。对于使用2个字作为字号的申请，建议使用多字数的字号。</w:t>
            </w:r>
          </w:p>
        </w:tc>
      </w:tr>
      <w:tr w14:paraId="23261FA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C9B6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w:t>
            </w:r>
          </w:p>
        </w:tc>
        <w:tc>
          <w:tcPr>
            <w:tcW w:w="491" w:type="pct"/>
            <w:tcBorders>
              <w:top w:val="nil"/>
              <w:left w:val="nil"/>
              <w:bottom w:val="single" w:color="000000" w:sz="4" w:space="0"/>
              <w:right w:val="single" w:color="000000" w:sz="4" w:space="0"/>
            </w:tcBorders>
            <w:shd w:val="clear" w:color="auto" w:fill="auto"/>
            <w:vAlign w:val="center"/>
          </w:tcPr>
          <w:p w14:paraId="237B14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D28A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名称智能化数字转型-企业名称申报功能优化-名称申报智能诊断-申报用字分析与建议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0CA5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对申请人申报字号的用字进行分析。当申请人申报的名号字号中包括了使用率高（可用度低）的热门字后，提示申请人，并给出参考的替代用字。</w:t>
            </w:r>
          </w:p>
        </w:tc>
      </w:tr>
      <w:tr w14:paraId="5FED328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99EB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w:t>
            </w:r>
          </w:p>
        </w:tc>
        <w:tc>
          <w:tcPr>
            <w:tcW w:w="491" w:type="pct"/>
            <w:tcBorders>
              <w:top w:val="nil"/>
              <w:left w:val="nil"/>
              <w:bottom w:val="single" w:color="000000" w:sz="4" w:space="0"/>
              <w:right w:val="single" w:color="000000" w:sz="4" w:space="0"/>
            </w:tcBorders>
            <w:shd w:val="clear" w:color="auto" w:fill="auto"/>
            <w:vAlign w:val="center"/>
          </w:tcPr>
          <w:p w14:paraId="13FA6A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C477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名称智能化数字转型-企业名称申报功能优化-名称申报动态公布-名称字号常见汉字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2C3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面向申请人与社会公众动态发布最新的本市所有受保护名称字号中最常见（如TOP20）的汉字，这即是大众一贯广泛喜欢的汉字，也是可能是最容易因相同相近被驳回的汉字。</w:t>
            </w:r>
          </w:p>
        </w:tc>
      </w:tr>
      <w:tr w14:paraId="7C8E81C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B828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w:t>
            </w:r>
          </w:p>
        </w:tc>
        <w:tc>
          <w:tcPr>
            <w:tcW w:w="491" w:type="pct"/>
            <w:tcBorders>
              <w:top w:val="nil"/>
              <w:left w:val="nil"/>
              <w:bottom w:val="single" w:color="000000" w:sz="4" w:space="0"/>
              <w:right w:val="single" w:color="000000" w:sz="4" w:space="0"/>
            </w:tcBorders>
            <w:shd w:val="clear" w:color="auto" w:fill="auto"/>
            <w:vAlign w:val="center"/>
          </w:tcPr>
          <w:p w14:paraId="18ED1C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77DB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名称智能化数字转型-企业可选参考名称管理-可选名称生成管理-可选名称的生成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2668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选名称指来自可选名称库中的历史可用名称。其中“可选名称库”中名称，指“核准后在保留期内未被使用的名称”。由于这些名称曾经经历过严格的核审过程，因此可以认为再次被核审通过的可能性很高，是申请人可以拿来作来新名称申报的“可选名称”。根据《企业名称登记管理规定》，企业登记机关对通过企业名称申报系统提交完成的企业名称予以保留，保留期为2个月。当名称保留期结束，申请人还是没有使用整个名称成功注册企业的话，系统将不再保护这个名称，而是将其列入“可选名称库”。</w:t>
            </w:r>
          </w:p>
        </w:tc>
      </w:tr>
      <w:tr w14:paraId="57C84BB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1536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w:t>
            </w:r>
          </w:p>
        </w:tc>
        <w:tc>
          <w:tcPr>
            <w:tcW w:w="491" w:type="pct"/>
            <w:tcBorders>
              <w:top w:val="nil"/>
              <w:left w:val="nil"/>
              <w:bottom w:val="single" w:color="000000" w:sz="4" w:space="0"/>
              <w:right w:val="single" w:color="000000" w:sz="4" w:space="0"/>
            </w:tcBorders>
            <w:shd w:val="clear" w:color="auto" w:fill="auto"/>
            <w:vAlign w:val="center"/>
          </w:tcPr>
          <w:p w14:paraId="02D81D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F715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名称智能化数字转型-企业可选参考名称管理-可选名称生成管理-可选名称的更新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F400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定期更新可选名称字号库，对全量或部分可选名称（如超过一定期限的可选名称），需要调用“企业名称智能可用研判”算法功能，对其可用度进行重新评估，达不到可用度要求的名称，将其从可选名称中删除。</w:t>
            </w:r>
          </w:p>
        </w:tc>
      </w:tr>
      <w:tr w14:paraId="409C70C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0EA7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w:t>
            </w:r>
          </w:p>
        </w:tc>
        <w:tc>
          <w:tcPr>
            <w:tcW w:w="491" w:type="pct"/>
            <w:tcBorders>
              <w:top w:val="nil"/>
              <w:left w:val="nil"/>
              <w:bottom w:val="single" w:color="000000" w:sz="4" w:space="0"/>
              <w:right w:val="single" w:color="000000" w:sz="4" w:space="0"/>
            </w:tcBorders>
            <w:shd w:val="clear" w:color="auto" w:fill="auto"/>
            <w:vAlign w:val="center"/>
          </w:tcPr>
          <w:p w14:paraId="5F3D57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55C6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名称智能化数字转型-企业可选参考名称管理-参考名称生成管理-参考名称的自动生成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B847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参考名称是指利用人工智能技术，由后台定期预先生成，经过名称可用研判算法模型评估后认为可用度较高的名称，是申请人可以拿来作来起名参考的“参考名称”。基于数据慧治平台提供的“参考名称自动生成模型”，建立参考名称智能预生成机制，系统调用根据实际业务开展情况，制定一定规则，生成一定数量的不同行业（重点围绕企业申请较多的高频行业）的参考名称字号，并调用数据慧治平台提供的“企业名称可用智能研判模型”进行分析，保存其中可用度较高的名称字号作为申请企业起名的参考。</w:t>
            </w:r>
          </w:p>
        </w:tc>
      </w:tr>
      <w:tr w14:paraId="08379AF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9ED2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w:t>
            </w:r>
          </w:p>
        </w:tc>
        <w:tc>
          <w:tcPr>
            <w:tcW w:w="491" w:type="pct"/>
            <w:tcBorders>
              <w:top w:val="nil"/>
              <w:left w:val="nil"/>
              <w:bottom w:val="single" w:color="000000" w:sz="4" w:space="0"/>
              <w:right w:val="single" w:color="000000" w:sz="4" w:space="0"/>
            </w:tcBorders>
            <w:shd w:val="clear" w:color="auto" w:fill="auto"/>
            <w:vAlign w:val="center"/>
          </w:tcPr>
          <w:p w14:paraId="0400C3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578E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名称智能化数字转型-企业可选参考名称管理-参考名称生成管理-参考名称的定期更新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FB63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结合各行业名称登记使用情况，系统定期补充参考名称。同时，对超过一定期限参考名称，调用数据慧治平台提供的“企业名称可用智能研判模型”，对其可用度进行重新评估，达不到可用度要求的名称，将其从参考名称库中删除。</w:t>
            </w:r>
          </w:p>
        </w:tc>
      </w:tr>
      <w:tr w14:paraId="2B3A088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4160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w:t>
            </w:r>
          </w:p>
        </w:tc>
        <w:tc>
          <w:tcPr>
            <w:tcW w:w="491" w:type="pct"/>
            <w:tcBorders>
              <w:top w:val="nil"/>
              <w:left w:val="nil"/>
              <w:bottom w:val="single" w:color="000000" w:sz="4" w:space="0"/>
              <w:right w:val="single" w:color="000000" w:sz="4" w:space="0"/>
            </w:tcBorders>
            <w:shd w:val="clear" w:color="auto" w:fill="auto"/>
            <w:vAlign w:val="center"/>
          </w:tcPr>
          <w:p w14:paraId="5F168B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050B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名称智能化数字转型-企业名称申报信息分析-可选（参考）名称查询统计-可选（参考）名称查询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9250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提供对业务系统中当前可选（参考）情况的按照字号、行业类别、行业表述、组织形式的查询功能。</w:t>
            </w:r>
          </w:p>
        </w:tc>
      </w:tr>
      <w:tr w14:paraId="024E86E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64E3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w:t>
            </w:r>
          </w:p>
        </w:tc>
        <w:tc>
          <w:tcPr>
            <w:tcW w:w="491" w:type="pct"/>
            <w:tcBorders>
              <w:top w:val="nil"/>
              <w:left w:val="nil"/>
              <w:bottom w:val="single" w:color="000000" w:sz="4" w:space="0"/>
              <w:right w:val="single" w:color="000000" w:sz="4" w:space="0"/>
            </w:tcBorders>
            <w:shd w:val="clear" w:color="auto" w:fill="auto"/>
            <w:vAlign w:val="center"/>
          </w:tcPr>
          <w:p w14:paraId="7576A1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1F57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名称智能化数字转型-企业名称申报信息分析-可选（参考）名称查询统计-可选（参考）名称统计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5EC2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提供对业务系统中当前可选情况的字数、行业表述、组织形式等的统计功能。</w:t>
            </w:r>
          </w:p>
        </w:tc>
      </w:tr>
      <w:tr w14:paraId="36100BD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9A6F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w:t>
            </w:r>
          </w:p>
        </w:tc>
        <w:tc>
          <w:tcPr>
            <w:tcW w:w="491" w:type="pct"/>
            <w:tcBorders>
              <w:top w:val="nil"/>
              <w:left w:val="nil"/>
              <w:bottom w:val="single" w:color="000000" w:sz="4" w:space="0"/>
              <w:right w:val="single" w:color="000000" w:sz="4" w:space="0"/>
            </w:tcBorders>
            <w:shd w:val="clear" w:color="auto" w:fill="auto"/>
            <w:vAlign w:val="center"/>
          </w:tcPr>
          <w:p w14:paraId="54C515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C802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名称智能化数字转型-企业名称申报信息分析-可选（参考）名称查询统计-可选（参考）名称使用统计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2629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根据后台对可选（参考）名称的更新，以及申请人对可选（参考）字号的选用，统计可选（参考）名称的整体趋势与使用情况。</w:t>
            </w:r>
          </w:p>
        </w:tc>
      </w:tr>
      <w:tr w14:paraId="0771127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A24D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w:t>
            </w:r>
          </w:p>
        </w:tc>
        <w:tc>
          <w:tcPr>
            <w:tcW w:w="491" w:type="pct"/>
            <w:tcBorders>
              <w:top w:val="nil"/>
              <w:left w:val="nil"/>
              <w:bottom w:val="single" w:color="000000" w:sz="4" w:space="0"/>
              <w:right w:val="single" w:color="000000" w:sz="4" w:space="0"/>
            </w:tcBorders>
            <w:shd w:val="clear" w:color="auto" w:fill="auto"/>
            <w:vAlign w:val="center"/>
          </w:tcPr>
          <w:p w14:paraId="0D79B7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7D1A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名称智能化数字转型-企业名称申报信息分析-名称申报过程情况分析-名称申报用字分析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6D4E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基于对名词字号的用字拆解，提供对申请人名称申报热门汉字的分析与排名。</w:t>
            </w:r>
          </w:p>
        </w:tc>
      </w:tr>
      <w:tr w14:paraId="6311011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DDB5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w:t>
            </w:r>
          </w:p>
        </w:tc>
        <w:tc>
          <w:tcPr>
            <w:tcW w:w="491" w:type="pct"/>
            <w:tcBorders>
              <w:top w:val="nil"/>
              <w:left w:val="nil"/>
              <w:bottom w:val="single" w:color="000000" w:sz="4" w:space="0"/>
              <w:right w:val="single" w:color="000000" w:sz="4" w:space="0"/>
            </w:tcBorders>
            <w:shd w:val="clear" w:color="auto" w:fill="auto"/>
            <w:vAlign w:val="center"/>
          </w:tcPr>
          <w:p w14:paraId="2F85BC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9AE4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名称智能化数字转型-企业名称申报信息分析-名称申报过程情况分析-可选（参考）名称使用统计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2DF4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提供对申请人是否使用可选（参考）名称功能、每日提供可选（参考）名称字号次数的统计功能。</w:t>
            </w:r>
          </w:p>
        </w:tc>
      </w:tr>
      <w:tr w14:paraId="6F3E832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62D0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w:t>
            </w:r>
          </w:p>
        </w:tc>
        <w:tc>
          <w:tcPr>
            <w:tcW w:w="491" w:type="pct"/>
            <w:tcBorders>
              <w:top w:val="nil"/>
              <w:left w:val="nil"/>
              <w:bottom w:val="single" w:color="000000" w:sz="4" w:space="0"/>
              <w:right w:val="single" w:color="000000" w:sz="4" w:space="0"/>
            </w:tcBorders>
            <w:shd w:val="clear" w:color="auto" w:fill="auto"/>
            <w:vAlign w:val="center"/>
          </w:tcPr>
          <w:p w14:paraId="4FD46B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3197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名称智能化数字转型-企业名称申报信息分析-名称申报过程情况分析-可选（参考）名称使用效果分析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A0AD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提供对可选（参考）名称通过强规则比对的比例，可选（参考）名称通过规则比对后被正式采用提交审核的比例等的可选（参考）名称库成效分析。</w:t>
            </w:r>
          </w:p>
        </w:tc>
      </w:tr>
      <w:tr w14:paraId="0FB2E86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3AE9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w:t>
            </w:r>
          </w:p>
        </w:tc>
        <w:tc>
          <w:tcPr>
            <w:tcW w:w="491" w:type="pct"/>
            <w:tcBorders>
              <w:top w:val="nil"/>
              <w:left w:val="nil"/>
              <w:bottom w:val="single" w:color="000000" w:sz="4" w:space="0"/>
              <w:right w:val="single" w:color="000000" w:sz="4" w:space="0"/>
            </w:tcBorders>
            <w:shd w:val="clear" w:color="auto" w:fill="auto"/>
            <w:vAlign w:val="center"/>
          </w:tcPr>
          <w:p w14:paraId="0B19EE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DFF1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名称智能化数字转型-企业名称申报信息分析-名称申报审核通过分析-名称申报通过字号分析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3AFA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报后审核通过的字号需要满足法规要求的所有相关业务规则，一方面审核通过后的名称应受到保护，不能在被重复使用；另一方面也说明审核通过的字号部分即满足大众需求，又不违法相关法规，可以在其他非相似行业被使用，可以视情况用来生产可用字号的素材，或作为名称可用度智能研判算法模型的正面训练数据来更有效训练模型。提供审核通过字号的特征分析，包括区域、类型、行业、字数等分析功能。</w:t>
            </w:r>
          </w:p>
        </w:tc>
      </w:tr>
      <w:tr w14:paraId="0626836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8B72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w:t>
            </w:r>
          </w:p>
        </w:tc>
        <w:tc>
          <w:tcPr>
            <w:tcW w:w="491" w:type="pct"/>
            <w:tcBorders>
              <w:top w:val="nil"/>
              <w:left w:val="nil"/>
              <w:bottom w:val="single" w:color="000000" w:sz="4" w:space="0"/>
              <w:right w:val="single" w:color="000000" w:sz="4" w:space="0"/>
            </w:tcBorders>
            <w:shd w:val="clear" w:color="auto" w:fill="auto"/>
            <w:vAlign w:val="center"/>
          </w:tcPr>
          <w:p w14:paraId="49B13E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A54D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名称智能化数字转型-企业名称申报信息分析-名称申报审核通过分析-通过字号用字用词分析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8D13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基于汉字拆解与智能分词，提供通过字号中常见汉字、词组的分析排名功能。</w:t>
            </w:r>
          </w:p>
        </w:tc>
      </w:tr>
      <w:tr w14:paraId="6D6BA28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8C44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w:t>
            </w:r>
          </w:p>
        </w:tc>
        <w:tc>
          <w:tcPr>
            <w:tcW w:w="491" w:type="pct"/>
            <w:tcBorders>
              <w:top w:val="nil"/>
              <w:left w:val="nil"/>
              <w:bottom w:val="single" w:color="000000" w:sz="4" w:space="0"/>
              <w:right w:val="single" w:color="000000" w:sz="4" w:space="0"/>
            </w:tcBorders>
            <w:shd w:val="clear" w:color="auto" w:fill="auto"/>
            <w:vAlign w:val="center"/>
          </w:tcPr>
          <w:p w14:paraId="363E67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2247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名称智能化数字转型-企业名称申报信息分析-名称申报审核通过分析-名称申报一次通过分析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273D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提供名称申报一次通过比例相关的分析。</w:t>
            </w:r>
          </w:p>
        </w:tc>
      </w:tr>
      <w:tr w14:paraId="2472245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464C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w:t>
            </w:r>
          </w:p>
        </w:tc>
        <w:tc>
          <w:tcPr>
            <w:tcW w:w="491" w:type="pct"/>
            <w:tcBorders>
              <w:top w:val="nil"/>
              <w:left w:val="nil"/>
              <w:bottom w:val="single" w:color="000000" w:sz="4" w:space="0"/>
              <w:right w:val="single" w:color="000000" w:sz="4" w:space="0"/>
            </w:tcBorders>
            <w:shd w:val="clear" w:color="auto" w:fill="auto"/>
            <w:vAlign w:val="center"/>
          </w:tcPr>
          <w:p w14:paraId="04EC5E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EF89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名称智能化数字转型-企业名称申报信息分析-名称申报审核不通过字号分析-不通过字号特征分析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6FC1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报后审批不通过的字号往往是因为违反了相关业务规则，可以视情况用来补充禁限用字典数据，或作为名称可用度智能研判算法模型的负面训练数据来更有效训练模型。提供不通过字号的特征分析，包括区域、类型、行业、字数等分析功能。</w:t>
            </w:r>
          </w:p>
        </w:tc>
      </w:tr>
      <w:tr w14:paraId="56A5CFD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E8C2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w:t>
            </w:r>
          </w:p>
        </w:tc>
        <w:tc>
          <w:tcPr>
            <w:tcW w:w="491" w:type="pct"/>
            <w:tcBorders>
              <w:top w:val="nil"/>
              <w:left w:val="nil"/>
              <w:bottom w:val="single" w:color="000000" w:sz="4" w:space="0"/>
              <w:right w:val="single" w:color="000000" w:sz="4" w:space="0"/>
            </w:tcBorders>
            <w:shd w:val="clear" w:color="auto" w:fill="auto"/>
            <w:vAlign w:val="center"/>
          </w:tcPr>
          <w:p w14:paraId="0184DD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1F36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名称智能化数字转型-企业名称申报信息分析-名称申报审核不通过字号分析-通过字号用字用词分析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70E2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基于汉字拆解与智能分词，提供不通过字号中常见汉字、词组的分析排名功能。</w:t>
            </w:r>
          </w:p>
        </w:tc>
      </w:tr>
      <w:tr w14:paraId="7DBE118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22D2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w:t>
            </w:r>
          </w:p>
        </w:tc>
        <w:tc>
          <w:tcPr>
            <w:tcW w:w="491" w:type="pct"/>
            <w:tcBorders>
              <w:top w:val="nil"/>
              <w:left w:val="nil"/>
              <w:bottom w:val="single" w:color="000000" w:sz="4" w:space="0"/>
              <w:right w:val="single" w:color="000000" w:sz="4" w:space="0"/>
            </w:tcBorders>
            <w:shd w:val="clear" w:color="auto" w:fill="auto"/>
            <w:vAlign w:val="center"/>
          </w:tcPr>
          <w:p w14:paraId="7CF36F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F8B9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名称智能化数字转型-企业名称申报信息分析-核准名称热门行业表述分析-名称申报热门行业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FE3E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统计分析近期（如30天内）名称申报行业表述的数量占比情况。</w:t>
            </w:r>
          </w:p>
        </w:tc>
      </w:tr>
      <w:tr w14:paraId="2BD83F4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B43E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w:t>
            </w:r>
          </w:p>
        </w:tc>
        <w:tc>
          <w:tcPr>
            <w:tcW w:w="491" w:type="pct"/>
            <w:tcBorders>
              <w:top w:val="nil"/>
              <w:left w:val="nil"/>
              <w:bottom w:val="single" w:color="000000" w:sz="4" w:space="0"/>
              <w:right w:val="single" w:color="000000" w:sz="4" w:space="0"/>
            </w:tcBorders>
            <w:shd w:val="clear" w:color="auto" w:fill="auto"/>
            <w:vAlign w:val="center"/>
          </w:tcPr>
          <w:p w14:paraId="40D5D8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DF9C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名称智能化数字转型-企业名称申报信息分析-核准名称热门行业表述分析-名称申报快速增长行业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7E6A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比较最近两个周期（如最近两个月）中，名称申报行业表述快速增长的行业。为避免冷门行业的数据干扰，需要过滤最近一个周期中申报总量极少的行业。</w:t>
            </w:r>
          </w:p>
        </w:tc>
      </w:tr>
      <w:tr w14:paraId="06472EC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00E1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w:t>
            </w:r>
          </w:p>
        </w:tc>
        <w:tc>
          <w:tcPr>
            <w:tcW w:w="491" w:type="pct"/>
            <w:tcBorders>
              <w:top w:val="nil"/>
              <w:left w:val="nil"/>
              <w:bottom w:val="single" w:color="000000" w:sz="4" w:space="0"/>
              <w:right w:val="single" w:color="000000" w:sz="4" w:space="0"/>
            </w:tcBorders>
            <w:shd w:val="clear" w:color="auto" w:fill="auto"/>
            <w:vAlign w:val="center"/>
          </w:tcPr>
          <w:p w14:paraId="16C9BA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0D68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名称智能化数字转型-企业名称申报信息分析-核准名称热门行业表述分析-名称申报快速减少行业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70FA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比较最近两个周期（如最近两个月）中，名称申报行业表述快速减少的行业。为避免冷门行业的数据干扰，需要过滤最近二个周期中申报总量极少的行业。</w:t>
            </w:r>
          </w:p>
        </w:tc>
      </w:tr>
      <w:tr w14:paraId="6D9E871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DA9B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w:t>
            </w:r>
          </w:p>
        </w:tc>
        <w:tc>
          <w:tcPr>
            <w:tcW w:w="491" w:type="pct"/>
            <w:tcBorders>
              <w:top w:val="nil"/>
              <w:left w:val="nil"/>
              <w:bottom w:val="single" w:color="000000" w:sz="4" w:space="0"/>
              <w:right w:val="single" w:color="000000" w:sz="4" w:space="0"/>
            </w:tcBorders>
            <w:shd w:val="clear" w:color="auto" w:fill="auto"/>
            <w:vAlign w:val="center"/>
          </w:tcPr>
          <w:p w14:paraId="248D60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CD8B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名称业务功能优化-优化承诺制名称比对规则-字号行业联合审核实现-企业名称智能拆解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79B1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对名称的字号、行业表述及其组合字段进行语义分析、字段拆解等，判断是否存在引起社会公众多重理解、造成混淆的情况。</w:t>
            </w:r>
          </w:p>
        </w:tc>
      </w:tr>
      <w:tr w14:paraId="06EEAD5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B1F8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w:t>
            </w:r>
          </w:p>
        </w:tc>
        <w:tc>
          <w:tcPr>
            <w:tcW w:w="491" w:type="pct"/>
            <w:tcBorders>
              <w:top w:val="nil"/>
              <w:left w:val="nil"/>
              <w:bottom w:val="single" w:color="000000" w:sz="4" w:space="0"/>
              <w:right w:val="single" w:color="000000" w:sz="4" w:space="0"/>
            </w:tcBorders>
            <w:shd w:val="clear" w:color="auto" w:fill="auto"/>
            <w:vAlign w:val="center"/>
          </w:tcPr>
          <w:p w14:paraId="47A33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0A23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名称业务功能优化-优化承诺制名称比对规则-字号行业联合审核实现-字号行业易混提示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FBA4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字号与行业表述连在一起后，容易引起公众混淆的情况，加强对申请人员的针对性提示，如建议申请人修改字号避免混淆情况的产生，或建议申请人将区划部分放到字号与行业表述之间，形成“字号（上海）行业表述”的组合形式等。</w:t>
            </w:r>
          </w:p>
        </w:tc>
      </w:tr>
      <w:tr w14:paraId="2630E23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7C73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w:t>
            </w:r>
          </w:p>
        </w:tc>
        <w:tc>
          <w:tcPr>
            <w:tcW w:w="491" w:type="pct"/>
            <w:tcBorders>
              <w:top w:val="nil"/>
              <w:left w:val="nil"/>
              <w:bottom w:val="single" w:color="000000" w:sz="4" w:space="0"/>
              <w:right w:val="single" w:color="000000" w:sz="4" w:space="0"/>
            </w:tcBorders>
            <w:shd w:val="clear" w:color="auto" w:fill="auto"/>
            <w:vAlign w:val="center"/>
          </w:tcPr>
          <w:p w14:paraId="7A6F10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DF08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名称业务功能优化-优化承诺制名称比对规则-字号行业联合审核实现-联合审核业务模型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57C5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申请人员继续提交易混淆字号+行业表述的情况下，系统对存在混淆可能性的名称与行业表述组合进行重组，按照不同的组合方式，逐个按比对规则进行名称是否可用性的智能比对。</w:t>
            </w:r>
          </w:p>
        </w:tc>
      </w:tr>
      <w:tr w14:paraId="17C8F70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6330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w:t>
            </w:r>
          </w:p>
        </w:tc>
        <w:tc>
          <w:tcPr>
            <w:tcW w:w="491" w:type="pct"/>
            <w:tcBorders>
              <w:top w:val="nil"/>
              <w:left w:val="nil"/>
              <w:bottom w:val="single" w:color="000000" w:sz="4" w:space="0"/>
              <w:right w:val="single" w:color="000000" w:sz="4" w:space="0"/>
            </w:tcBorders>
            <w:shd w:val="clear" w:color="auto" w:fill="auto"/>
            <w:vAlign w:val="center"/>
          </w:tcPr>
          <w:p w14:paraId="443BD9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1F9B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名称业务功能优化-优化承诺制名称比对规则-字号行业联合审核实现-联合审核结果合并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9060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综合同一个名称存在混淆可能的多种组合形式的比对结果，统一进行比对结果的判断与详情显示。只要有一种组合形式存在比对结果为禁用的情况，系统自动判定该名称不可用。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对于比对结果为限用的情况，系统列出所有匹配到结果及其法规依据，供名称审核人员结合业务经验进行进一步判断。</w:t>
            </w:r>
          </w:p>
        </w:tc>
      </w:tr>
      <w:tr w14:paraId="3EC4C5C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B98C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w:t>
            </w:r>
          </w:p>
        </w:tc>
        <w:tc>
          <w:tcPr>
            <w:tcW w:w="491" w:type="pct"/>
            <w:tcBorders>
              <w:top w:val="nil"/>
              <w:left w:val="nil"/>
              <w:bottom w:val="single" w:color="000000" w:sz="4" w:space="0"/>
              <w:right w:val="single" w:color="000000" w:sz="4" w:space="0"/>
            </w:tcBorders>
            <w:shd w:val="clear" w:color="auto" w:fill="auto"/>
            <w:vAlign w:val="center"/>
          </w:tcPr>
          <w:p w14:paraId="504F02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1A35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名称业务功能优化-优化承诺制名称比对规则-字号行业联合审核实现-联合审核流程优化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7C89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对于申请人员提交的易混淆字号+行业表述的名称申请，系统自动对其进行流程优化，控制该申请不走“承诺制”流程，而是必须由业务人员对其加强人工审核。</w:t>
            </w:r>
          </w:p>
        </w:tc>
      </w:tr>
      <w:tr w14:paraId="30A0BF2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E380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w:t>
            </w:r>
          </w:p>
        </w:tc>
        <w:tc>
          <w:tcPr>
            <w:tcW w:w="491" w:type="pct"/>
            <w:tcBorders>
              <w:top w:val="nil"/>
              <w:left w:val="nil"/>
              <w:bottom w:val="single" w:color="000000" w:sz="4" w:space="0"/>
              <w:right w:val="single" w:color="000000" w:sz="4" w:space="0"/>
            </w:tcBorders>
            <w:shd w:val="clear" w:color="auto" w:fill="auto"/>
            <w:vAlign w:val="center"/>
          </w:tcPr>
          <w:p w14:paraId="3BD278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532F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名称业务功能优化-优化承诺制名称比对规则-字号行业联合审核实现-字号行业易混字典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4BAF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实现字号行业易混淆的后台字典管理与维护功能。</w:t>
            </w:r>
          </w:p>
        </w:tc>
      </w:tr>
      <w:tr w14:paraId="5630279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D2BD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w:t>
            </w:r>
          </w:p>
        </w:tc>
        <w:tc>
          <w:tcPr>
            <w:tcW w:w="491" w:type="pct"/>
            <w:tcBorders>
              <w:top w:val="nil"/>
              <w:left w:val="nil"/>
              <w:bottom w:val="single" w:color="000000" w:sz="4" w:space="0"/>
              <w:right w:val="single" w:color="000000" w:sz="4" w:space="0"/>
            </w:tcBorders>
            <w:shd w:val="clear" w:color="auto" w:fill="auto"/>
            <w:vAlign w:val="center"/>
          </w:tcPr>
          <w:p w14:paraId="2CC05C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A633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名称业务功能优化-优化承诺制名称比对规则-名称审核过程管理优化-名称审核过程明细记录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101C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基于内部名称审核业务强规则，对名称规则审核过程中的各规则及其审查结果进行逐一分类记录。</w:t>
            </w:r>
          </w:p>
        </w:tc>
      </w:tr>
      <w:tr w14:paraId="329AAC2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6AEB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w:t>
            </w:r>
          </w:p>
        </w:tc>
        <w:tc>
          <w:tcPr>
            <w:tcW w:w="491" w:type="pct"/>
            <w:tcBorders>
              <w:top w:val="nil"/>
              <w:left w:val="nil"/>
              <w:bottom w:val="single" w:color="000000" w:sz="4" w:space="0"/>
              <w:right w:val="single" w:color="000000" w:sz="4" w:space="0"/>
            </w:tcBorders>
            <w:shd w:val="clear" w:color="auto" w:fill="auto"/>
            <w:vAlign w:val="center"/>
          </w:tcPr>
          <w:p w14:paraId="70D390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6D59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名称业务功能优化-优化承诺制名称比对规则-名称审核过程管理优化-名称审核过程台账展示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115F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名称审核过程中的各项规则及其检查结果进行列表台账式形象化展示，以方便业务人员清晰、全面、直观查看名称规则审核全景，包括全面规则、审查不通过字号不可用的规则、审查通过的规则、需要人工审核的规则等，对于各类规则，特别是需要人工审核的规则，系统自动列出相关规则下需要审核注意的具体情况（如与申请字号相同与行业表述不同的字号清单与详情）。</w:t>
            </w:r>
          </w:p>
        </w:tc>
      </w:tr>
      <w:tr w14:paraId="73BCA75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CACA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w:t>
            </w:r>
          </w:p>
        </w:tc>
        <w:tc>
          <w:tcPr>
            <w:tcW w:w="491" w:type="pct"/>
            <w:tcBorders>
              <w:top w:val="nil"/>
              <w:left w:val="nil"/>
              <w:bottom w:val="single" w:color="000000" w:sz="4" w:space="0"/>
              <w:right w:val="single" w:color="000000" w:sz="4" w:space="0"/>
            </w:tcBorders>
            <w:shd w:val="clear" w:color="auto" w:fill="auto"/>
            <w:vAlign w:val="center"/>
          </w:tcPr>
          <w:p w14:paraId="68B920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2BC6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名称业务功能优化-优化承诺制名称比对规则-名称审核过程管理优化-名称审核结果分类记录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61F3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根据名称审核人员对名称的最终结果与意见，对名称审核情况（特别是不通过的原因）进行分类记录，以便为后续机器学习与数据分析提供数据赝本基础。</w:t>
            </w:r>
          </w:p>
        </w:tc>
      </w:tr>
      <w:tr w14:paraId="6663934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6CF2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w:t>
            </w:r>
          </w:p>
        </w:tc>
        <w:tc>
          <w:tcPr>
            <w:tcW w:w="491" w:type="pct"/>
            <w:tcBorders>
              <w:top w:val="nil"/>
              <w:left w:val="nil"/>
              <w:bottom w:val="single" w:color="000000" w:sz="4" w:space="0"/>
              <w:right w:val="single" w:color="000000" w:sz="4" w:space="0"/>
            </w:tcBorders>
            <w:shd w:val="clear" w:color="auto" w:fill="auto"/>
            <w:vAlign w:val="center"/>
          </w:tcPr>
          <w:p w14:paraId="19AA70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9A29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名称业务功能优化-名称争议智能化处理-名称争议线上申请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3F67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企业名称登记管理规定》及其《实施办法》，对企业提出的侵犯本企业名称合法权益的其他企业名称进行争议裁决，维护企业名称权。建立线上名称争议纠正申请，方便市场主体填写争议内容（申请书、证据材料、其他有关材料），如委托代理的，还应当提交委托书和被委托人资格证。</w:t>
            </w:r>
          </w:p>
        </w:tc>
      </w:tr>
      <w:tr w14:paraId="7879DE8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152F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w:t>
            </w:r>
          </w:p>
        </w:tc>
        <w:tc>
          <w:tcPr>
            <w:tcW w:w="491" w:type="pct"/>
            <w:tcBorders>
              <w:top w:val="nil"/>
              <w:left w:val="nil"/>
              <w:bottom w:val="single" w:color="000000" w:sz="4" w:space="0"/>
              <w:right w:val="single" w:color="000000" w:sz="4" w:space="0"/>
            </w:tcBorders>
            <w:shd w:val="clear" w:color="auto" w:fill="auto"/>
            <w:vAlign w:val="center"/>
          </w:tcPr>
          <w:p w14:paraId="68B926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F403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名称业务功能优化-名称争议智能化处理-名称争议进度查询跟踪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27D7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申请人提供名称争议申请案列表，包括：已完成或尚未完成的名称争议，申请案后设置“查看详情”链接。显示名称争议申报的进度，如，“待预审，请等待登记机关反馈预审结果；”“申请状态：退回修改。查看反馈意见；”等。</w:t>
            </w:r>
          </w:p>
        </w:tc>
      </w:tr>
      <w:tr w14:paraId="43AEF18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5A11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w:t>
            </w:r>
          </w:p>
        </w:tc>
        <w:tc>
          <w:tcPr>
            <w:tcW w:w="491" w:type="pct"/>
            <w:tcBorders>
              <w:top w:val="nil"/>
              <w:left w:val="nil"/>
              <w:bottom w:val="single" w:color="000000" w:sz="4" w:space="0"/>
              <w:right w:val="single" w:color="000000" w:sz="4" w:space="0"/>
            </w:tcBorders>
            <w:shd w:val="clear" w:color="auto" w:fill="auto"/>
            <w:vAlign w:val="center"/>
          </w:tcPr>
          <w:p w14:paraId="786885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E24E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名称业务功能优化-名称争议智能化处理-名称争议线上预审-材料预审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FA0C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对名称争议申请提交的材料进行预审，查看是申请材料不符合要求的，一次性告知申请人需要补正的全部内容。</w:t>
            </w:r>
          </w:p>
        </w:tc>
      </w:tr>
      <w:tr w14:paraId="39E1EF7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7579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w:t>
            </w:r>
          </w:p>
        </w:tc>
        <w:tc>
          <w:tcPr>
            <w:tcW w:w="491" w:type="pct"/>
            <w:tcBorders>
              <w:top w:val="nil"/>
              <w:left w:val="nil"/>
              <w:bottom w:val="single" w:color="000000" w:sz="4" w:space="0"/>
              <w:right w:val="single" w:color="000000" w:sz="4" w:space="0"/>
            </w:tcBorders>
            <w:shd w:val="clear" w:color="auto" w:fill="auto"/>
            <w:vAlign w:val="center"/>
          </w:tcPr>
          <w:p w14:paraId="1ABE38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971E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名称业务功能优化-名称争议智能化处理-名称争议线上预审-信息反馈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87FC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不符合名称争议的，告知用户应当按照不正当竞争的有关规定另行向相关部门举证反映或向人民法院提起民事诉讼。</w:t>
            </w:r>
          </w:p>
        </w:tc>
      </w:tr>
      <w:tr w14:paraId="35B2B74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AB72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w:t>
            </w:r>
          </w:p>
        </w:tc>
        <w:tc>
          <w:tcPr>
            <w:tcW w:w="491" w:type="pct"/>
            <w:tcBorders>
              <w:top w:val="nil"/>
              <w:left w:val="nil"/>
              <w:bottom w:val="single" w:color="000000" w:sz="4" w:space="0"/>
              <w:right w:val="single" w:color="000000" w:sz="4" w:space="0"/>
            </w:tcBorders>
            <w:shd w:val="clear" w:color="auto" w:fill="auto"/>
            <w:vAlign w:val="center"/>
          </w:tcPr>
          <w:p w14:paraId="6B4733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90E1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名称业务功能优化-名称争议智能化处理-名称争议线上预审-流转</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32E6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按照管辖权限确认接收申请的受理机构，在同级或逐级进行流转。</w:t>
            </w:r>
          </w:p>
        </w:tc>
      </w:tr>
      <w:tr w14:paraId="4208EE3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2F24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w:t>
            </w:r>
          </w:p>
        </w:tc>
        <w:tc>
          <w:tcPr>
            <w:tcW w:w="491" w:type="pct"/>
            <w:tcBorders>
              <w:top w:val="nil"/>
              <w:left w:val="nil"/>
              <w:bottom w:val="single" w:color="000000" w:sz="4" w:space="0"/>
              <w:right w:val="single" w:color="000000" w:sz="4" w:space="0"/>
            </w:tcBorders>
            <w:shd w:val="clear" w:color="auto" w:fill="auto"/>
            <w:vAlign w:val="center"/>
          </w:tcPr>
          <w:p w14:paraId="3F8C6B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0414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名称业务功能优化-名称争议智能化处理-名称争议线下受理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A431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经办人填写《受理审批表》，并结合申请人和被申请人的情况、名称争议事实及理由、请求事项等，报审批人审批，</w:t>
            </w:r>
          </w:p>
        </w:tc>
      </w:tr>
      <w:tr w14:paraId="67EB236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A6FF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w:t>
            </w:r>
          </w:p>
        </w:tc>
        <w:tc>
          <w:tcPr>
            <w:tcW w:w="491" w:type="pct"/>
            <w:tcBorders>
              <w:top w:val="nil"/>
              <w:left w:val="nil"/>
              <w:bottom w:val="single" w:color="000000" w:sz="4" w:space="0"/>
              <w:right w:val="single" w:color="000000" w:sz="4" w:space="0"/>
            </w:tcBorders>
            <w:shd w:val="clear" w:color="auto" w:fill="auto"/>
            <w:vAlign w:val="center"/>
          </w:tcPr>
          <w:p w14:paraId="0091B9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848D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名称业务功能优化-名称争议智能化处理-名称争议受理审批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27EE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审批人（部门领导）对报送的名称争议进行审批，并指定受理的承办人和协办人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受理核准：核准人对报送的名称争议受理进行核准，申请核准后，进入名称争议审查阶段。需要调查核实的，可以询问双方当事人或者向有关单位、个人调查取证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不予受理：经办人填写并生成《不予受理通知书》，说明理由，同时，打印给到申请人。</w:t>
            </w:r>
          </w:p>
        </w:tc>
      </w:tr>
      <w:tr w14:paraId="05B521A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B900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w:t>
            </w:r>
          </w:p>
        </w:tc>
        <w:tc>
          <w:tcPr>
            <w:tcW w:w="491" w:type="pct"/>
            <w:tcBorders>
              <w:top w:val="nil"/>
              <w:left w:val="nil"/>
              <w:bottom w:val="single" w:color="000000" w:sz="4" w:space="0"/>
              <w:right w:val="single" w:color="000000" w:sz="4" w:space="0"/>
            </w:tcBorders>
            <w:shd w:val="clear" w:color="auto" w:fill="auto"/>
            <w:vAlign w:val="center"/>
          </w:tcPr>
          <w:p w14:paraId="4E618E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FA565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名称业务功能优化-名称争议智能化处理-名称争议调解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30C9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答辩通知：经办人（系统）通过短信、电话等方式，将申请书和相关材料副本发送被申请人。2、答辩书提交：被申请人上传答辩书以及相关证据材料。3、答辩书转发：经办人（系统）在收到答辩书后，将其发送申请人。4、调解通知：通过短信、电话等方式，通知名称争议双方对企业名称争议进行调解，记录协商结果；5、调解协议：调解达成协议的，应当制作调解书，由当事人及调解人员签名或者盖章；并上传相关材料。</w:t>
            </w:r>
          </w:p>
        </w:tc>
      </w:tr>
      <w:tr w14:paraId="177FC43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D9B6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w:t>
            </w:r>
          </w:p>
        </w:tc>
        <w:tc>
          <w:tcPr>
            <w:tcW w:w="491" w:type="pct"/>
            <w:tcBorders>
              <w:top w:val="nil"/>
              <w:left w:val="nil"/>
              <w:bottom w:val="single" w:color="000000" w:sz="4" w:space="0"/>
              <w:right w:val="single" w:color="000000" w:sz="4" w:space="0"/>
            </w:tcBorders>
            <w:shd w:val="clear" w:color="auto" w:fill="auto"/>
            <w:vAlign w:val="center"/>
          </w:tcPr>
          <w:p w14:paraId="0B29E0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88D9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名称业务功能优化-名称争议智能化处理-名称争议调查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1E89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调查取证：现场检查：记录现场检查的情况，并根据需要上传相关证据材料。2、调查核实：询问笔录：记录询问笔录的情况，当事人可以对询问笔录进行修改和补充，经确认无误后签字或盖章；并根据需要上传相关证据材料。3、调查终结：调查终结：承办人录入调查终结情况，根据调查内容，系统生成《调查终结报告》的部分内容，可打印输出。</w:t>
            </w:r>
          </w:p>
        </w:tc>
      </w:tr>
      <w:tr w14:paraId="1990DA7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97CE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w:t>
            </w:r>
          </w:p>
        </w:tc>
        <w:tc>
          <w:tcPr>
            <w:tcW w:w="491" w:type="pct"/>
            <w:tcBorders>
              <w:top w:val="nil"/>
              <w:left w:val="nil"/>
              <w:bottom w:val="single" w:color="000000" w:sz="4" w:space="0"/>
              <w:right w:val="single" w:color="000000" w:sz="4" w:space="0"/>
            </w:tcBorders>
            <w:shd w:val="clear" w:color="auto" w:fill="auto"/>
            <w:vAlign w:val="center"/>
          </w:tcPr>
          <w:p w14:paraId="29C868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5204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名称业务功能优化-名称争议智能化处理-名称争议审查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8C47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材料审查：企业名称争议处理机关对当事人提供的材料进行书面审查；2、中止审查：根据《企业名称争议处理暂行办法》当调查发现，所涉及的名称权利的确定必须以人民法院正在审理或者行政机关正在处理的另一案件的结果为依据的，可以中止审查。并通知送达当事人。3、终止审查：根据《企业名称争议处理暂行办法》，企业名称争议处理机关终止审查：如申请人撤回名称争议申请，或者争议双方达成调解协议的。</w:t>
            </w:r>
          </w:p>
        </w:tc>
      </w:tr>
      <w:tr w14:paraId="4FC33C8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1999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w:t>
            </w:r>
          </w:p>
        </w:tc>
        <w:tc>
          <w:tcPr>
            <w:tcW w:w="491" w:type="pct"/>
            <w:tcBorders>
              <w:top w:val="nil"/>
              <w:left w:val="nil"/>
              <w:bottom w:val="single" w:color="000000" w:sz="4" w:space="0"/>
              <w:right w:val="single" w:color="000000" w:sz="4" w:space="0"/>
            </w:tcBorders>
            <w:shd w:val="clear" w:color="auto" w:fill="auto"/>
            <w:vAlign w:val="center"/>
          </w:tcPr>
          <w:p w14:paraId="222E9C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2B2F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名称业务功能优化-名称争议智能化处理-名称争议认定建议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DCC0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拟定建议：承办人根据调查取证的情况，以及《企业名称争议处理暂行办法》的认定规划，编写处理决定建议。2、建议审批：建议报部门领导审批。审批通过后，报法制部门核审。3、建议调整：承办人根据法制部门核审意见，调整名称争议建议。4、领导审批：调整后的名称争议建议交领导审批。</w:t>
            </w:r>
          </w:p>
        </w:tc>
      </w:tr>
      <w:tr w14:paraId="778B95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F6DE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w:t>
            </w:r>
          </w:p>
        </w:tc>
        <w:tc>
          <w:tcPr>
            <w:tcW w:w="491" w:type="pct"/>
            <w:tcBorders>
              <w:top w:val="nil"/>
              <w:left w:val="nil"/>
              <w:bottom w:val="single" w:color="000000" w:sz="4" w:space="0"/>
              <w:right w:val="single" w:color="000000" w:sz="4" w:space="0"/>
            </w:tcBorders>
            <w:shd w:val="clear" w:color="auto" w:fill="auto"/>
            <w:vAlign w:val="center"/>
          </w:tcPr>
          <w:p w14:paraId="0CC33A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9520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名称业务功能优化-名称争议智能化处理-名称争议决定送达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01AE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决定：起草名称争议行政裁决书，报领导审批等，并调整名称争议行政裁决书，并最终定稿、发文、送达。记录决定送达的全部信息，具有审核流转、调整、决定书、签发决定书，送达决定书等功能。2、审批：承办人根据分管领导意见，调整名称争议行政裁决书，并最终定稿、发文。3、送达：承办人（系统）将名称争议行政裁决书送达当事人，并记录送达情况。同时通过企业登记在线，将文书电子版提供当事人下载。</w:t>
            </w:r>
          </w:p>
        </w:tc>
      </w:tr>
      <w:tr w14:paraId="4488587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E9CC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w:t>
            </w:r>
          </w:p>
        </w:tc>
        <w:tc>
          <w:tcPr>
            <w:tcW w:w="491" w:type="pct"/>
            <w:tcBorders>
              <w:top w:val="nil"/>
              <w:left w:val="nil"/>
              <w:bottom w:val="single" w:color="000000" w:sz="4" w:space="0"/>
              <w:right w:val="single" w:color="000000" w:sz="4" w:space="0"/>
            </w:tcBorders>
            <w:shd w:val="clear" w:color="auto" w:fill="auto"/>
            <w:vAlign w:val="center"/>
          </w:tcPr>
          <w:p w14:paraId="645869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C9BE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名称业务功能优化-名称争议智能化处理-名称争议信用公示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9ED6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1、列入经营异常名录：不具备将逾期未办理变更登记的企业列入经营异常名录。2、移除经营异常名录：变更登记后移出经营异常名录</w:t>
            </w:r>
          </w:p>
        </w:tc>
      </w:tr>
      <w:tr w14:paraId="60353A8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B7CA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w:t>
            </w:r>
          </w:p>
        </w:tc>
        <w:tc>
          <w:tcPr>
            <w:tcW w:w="491" w:type="pct"/>
            <w:tcBorders>
              <w:top w:val="nil"/>
              <w:left w:val="nil"/>
              <w:bottom w:val="single" w:color="000000" w:sz="4" w:space="0"/>
              <w:right w:val="single" w:color="000000" w:sz="4" w:space="0"/>
            </w:tcBorders>
            <w:shd w:val="clear" w:color="auto" w:fill="auto"/>
            <w:vAlign w:val="center"/>
          </w:tcPr>
          <w:p w14:paraId="4EE7B7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A85E2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名称业务功能优化-名称争议智能化处理-名称争议业务查询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4DE4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可按办理状态、企业关键字等的查询功能，查询名称争议申请办理的数量</w:t>
            </w:r>
          </w:p>
        </w:tc>
      </w:tr>
      <w:tr w14:paraId="4D97CDC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1308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w:t>
            </w:r>
          </w:p>
        </w:tc>
        <w:tc>
          <w:tcPr>
            <w:tcW w:w="491" w:type="pct"/>
            <w:tcBorders>
              <w:top w:val="nil"/>
              <w:left w:val="nil"/>
              <w:bottom w:val="single" w:color="000000" w:sz="4" w:space="0"/>
              <w:right w:val="single" w:color="000000" w:sz="4" w:space="0"/>
            </w:tcBorders>
            <w:shd w:val="clear" w:color="auto" w:fill="auto"/>
            <w:vAlign w:val="center"/>
          </w:tcPr>
          <w:p w14:paraId="763E32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11D2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名称业务功能优化-名称争议智能化处理-名称争议反馈监督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CABB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对名称争议的流转、受理、核查和反馈进行督查，重点督查准确性和时效性。</w:t>
            </w:r>
          </w:p>
        </w:tc>
      </w:tr>
      <w:tr w14:paraId="5919EAF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BE60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w:t>
            </w:r>
          </w:p>
        </w:tc>
        <w:tc>
          <w:tcPr>
            <w:tcW w:w="491" w:type="pct"/>
            <w:tcBorders>
              <w:top w:val="nil"/>
              <w:left w:val="nil"/>
              <w:bottom w:val="single" w:color="000000" w:sz="4" w:space="0"/>
              <w:right w:val="single" w:color="000000" w:sz="4" w:space="0"/>
            </w:tcBorders>
            <w:shd w:val="clear" w:color="auto" w:fill="auto"/>
            <w:vAlign w:val="center"/>
          </w:tcPr>
          <w:p w14:paraId="498234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3294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名称业务功能优化-不适宜名称联动机制-不适宜名称信息共享-不适宜名称认定接入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6C05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开发不适用名称信息录入功能（接入接口），承载外部单位对不适宜名称的认定信息（如人民法院的不适宜名称的判决信息）。</w:t>
            </w:r>
          </w:p>
        </w:tc>
      </w:tr>
      <w:tr w14:paraId="2441A5D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57C5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w:t>
            </w:r>
          </w:p>
        </w:tc>
        <w:tc>
          <w:tcPr>
            <w:tcW w:w="491" w:type="pct"/>
            <w:tcBorders>
              <w:top w:val="nil"/>
              <w:left w:val="nil"/>
              <w:bottom w:val="single" w:color="000000" w:sz="4" w:space="0"/>
              <w:right w:val="single" w:color="000000" w:sz="4" w:space="0"/>
            </w:tcBorders>
            <w:shd w:val="clear" w:color="auto" w:fill="auto"/>
            <w:vAlign w:val="center"/>
          </w:tcPr>
          <w:p w14:paraId="0C4342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5E58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名称业务功能优化-不适宜名称联动机制-不适宜名称信息共享-不适宜名称共享查询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73F3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建立不适宜名称信息共享平台，承载登记注册部门认定、法院等外部单位接入的不适宜名称市场主体，方便其他部门共享查询。包括统一社会信用代码、法定代表人、登记机关、判决时间等信息。</w:t>
            </w:r>
          </w:p>
        </w:tc>
      </w:tr>
      <w:tr w14:paraId="3F9D05F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8476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w:t>
            </w:r>
          </w:p>
        </w:tc>
        <w:tc>
          <w:tcPr>
            <w:tcW w:w="491" w:type="pct"/>
            <w:tcBorders>
              <w:top w:val="nil"/>
              <w:left w:val="nil"/>
              <w:bottom w:val="single" w:color="000000" w:sz="4" w:space="0"/>
              <w:right w:val="single" w:color="000000" w:sz="4" w:space="0"/>
            </w:tcBorders>
            <w:shd w:val="clear" w:color="auto" w:fill="auto"/>
            <w:vAlign w:val="center"/>
          </w:tcPr>
          <w:p w14:paraId="45C807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E42E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名称业务功能优化-不适宜名称联动机制-不适宜名称信息共享-不适宜名称统计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C813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建立不适宜名称统计功能，可按登记机关、判决原因、判决依据、判决时间段等进行统计分析。</w:t>
            </w:r>
          </w:p>
        </w:tc>
      </w:tr>
      <w:tr w14:paraId="3EE2B2F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FBE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w:t>
            </w:r>
          </w:p>
        </w:tc>
        <w:tc>
          <w:tcPr>
            <w:tcW w:w="491" w:type="pct"/>
            <w:tcBorders>
              <w:top w:val="nil"/>
              <w:left w:val="nil"/>
              <w:bottom w:val="single" w:color="000000" w:sz="4" w:space="0"/>
              <w:right w:val="single" w:color="000000" w:sz="4" w:space="0"/>
            </w:tcBorders>
            <w:shd w:val="clear" w:color="auto" w:fill="auto"/>
            <w:vAlign w:val="center"/>
          </w:tcPr>
          <w:p w14:paraId="2CFCE0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380A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名称业务功能优化-不适宜名称联动机制-不适宜名称信息提醒-市场主体信息提醒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F8C6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建立信息提醒，通过短信、邮件等方式，提示市场主体相关负责人，尽快办理名称变更登记。</w:t>
            </w:r>
          </w:p>
        </w:tc>
      </w:tr>
      <w:tr w14:paraId="6960E75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F7E7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w:t>
            </w:r>
          </w:p>
        </w:tc>
        <w:tc>
          <w:tcPr>
            <w:tcW w:w="491" w:type="pct"/>
            <w:tcBorders>
              <w:top w:val="nil"/>
              <w:left w:val="nil"/>
              <w:bottom w:val="single" w:color="000000" w:sz="4" w:space="0"/>
              <w:right w:val="single" w:color="000000" w:sz="4" w:space="0"/>
            </w:tcBorders>
            <w:shd w:val="clear" w:color="auto" w:fill="auto"/>
            <w:vAlign w:val="center"/>
          </w:tcPr>
          <w:p w14:paraId="5676F2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31D8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名称业务功能优化-不适宜名称联动机制-不适宜名称信息提醒-改造内网名称系统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3E70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通过数据接口，推送判决信息至内网名称系统，关联到该市场主体。实现在内网名称系统提示经办人员该企业须更名后方可办理其他事项。标注“**企业名称已被登记机关认定为不适宜”。</w:t>
            </w:r>
          </w:p>
        </w:tc>
      </w:tr>
      <w:tr w14:paraId="19F232E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982C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w:t>
            </w:r>
          </w:p>
        </w:tc>
        <w:tc>
          <w:tcPr>
            <w:tcW w:w="491" w:type="pct"/>
            <w:tcBorders>
              <w:top w:val="nil"/>
              <w:left w:val="nil"/>
              <w:bottom w:val="single" w:color="000000" w:sz="4" w:space="0"/>
              <w:right w:val="single" w:color="000000" w:sz="4" w:space="0"/>
            </w:tcBorders>
            <w:shd w:val="clear" w:color="auto" w:fill="auto"/>
            <w:vAlign w:val="center"/>
          </w:tcPr>
          <w:p w14:paraId="79E0DB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4ED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名称业务功能优化-不适宜名称联动机制-不适宜名称信息提醒-改造内登记系统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02F1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通过数据接口，推送判决信息至内网登记系统，关联到该市场主体。实现在登记系统提示经办人员该企业须更名后方可办理其他事项。标注“**企业名称已被登记机关认定为不适宜”。</w:t>
            </w:r>
          </w:p>
        </w:tc>
      </w:tr>
      <w:tr w14:paraId="7488FCE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96E7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w:t>
            </w:r>
          </w:p>
        </w:tc>
        <w:tc>
          <w:tcPr>
            <w:tcW w:w="491" w:type="pct"/>
            <w:tcBorders>
              <w:top w:val="nil"/>
              <w:left w:val="nil"/>
              <w:bottom w:val="single" w:color="000000" w:sz="4" w:space="0"/>
              <w:right w:val="single" w:color="000000" w:sz="4" w:space="0"/>
            </w:tcBorders>
            <w:shd w:val="clear" w:color="auto" w:fill="auto"/>
            <w:vAlign w:val="center"/>
          </w:tcPr>
          <w:p w14:paraId="673B62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447C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名称业务功能优化-不适宜名称联动机制-不适宜名称信息提醒-推送法人库系统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561C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通过数据接口，推送判决信息至法人库，关联到该市场主体。标注“**企业名称已被登记机关认定为不适宜”。</w:t>
            </w:r>
          </w:p>
        </w:tc>
      </w:tr>
      <w:tr w14:paraId="64FB00C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5B33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w:t>
            </w:r>
          </w:p>
        </w:tc>
        <w:tc>
          <w:tcPr>
            <w:tcW w:w="491" w:type="pct"/>
            <w:tcBorders>
              <w:top w:val="nil"/>
              <w:left w:val="nil"/>
              <w:bottom w:val="single" w:color="000000" w:sz="4" w:space="0"/>
              <w:right w:val="single" w:color="000000" w:sz="4" w:space="0"/>
            </w:tcBorders>
            <w:shd w:val="clear" w:color="auto" w:fill="auto"/>
            <w:vAlign w:val="center"/>
          </w:tcPr>
          <w:p w14:paraId="33E448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B071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名称业务功能优化-不适宜名称联动机制-不适宜名称信息提醒-建立数据标准接口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0424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建立不适用名称信息共享接口，方便与其他部门的信息联动，形成联动机制。</w:t>
            </w:r>
          </w:p>
        </w:tc>
      </w:tr>
      <w:tr w14:paraId="016CBBB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58A3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w:t>
            </w:r>
          </w:p>
        </w:tc>
        <w:tc>
          <w:tcPr>
            <w:tcW w:w="491" w:type="pct"/>
            <w:tcBorders>
              <w:top w:val="nil"/>
              <w:left w:val="nil"/>
              <w:bottom w:val="single" w:color="000000" w:sz="4" w:space="0"/>
              <w:right w:val="single" w:color="000000" w:sz="4" w:space="0"/>
            </w:tcBorders>
            <w:shd w:val="clear" w:color="auto" w:fill="auto"/>
            <w:vAlign w:val="center"/>
          </w:tcPr>
          <w:p w14:paraId="3F792F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1930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名称业务功能优化-不适宜名称联动机制-不适宜名称信用对接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5A5B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1、列入经营异常名录：不具备将逾期未办理变更登记的企业列入经营异常名录；2、移除经营异常名录：变更登记后移出经营异常名录。</w:t>
            </w:r>
          </w:p>
        </w:tc>
      </w:tr>
      <w:tr w14:paraId="212E898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6923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135</w:t>
            </w:r>
          </w:p>
        </w:tc>
        <w:tc>
          <w:tcPr>
            <w:tcW w:w="491" w:type="pct"/>
            <w:tcBorders>
              <w:top w:val="nil"/>
              <w:left w:val="nil"/>
              <w:bottom w:val="single" w:color="000000" w:sz="4" w:space="0"/>
              <w:right w:val="single" w:color="000000" w:sz="4" w:space="0"/>
            </w:tcBorders>
            <w:shd w:val="clear" w:color="auto" w:fill="auto"/>
            <w:vAlign w:val="center"/>
          </w:tcPr>
          <w:p w14:paraId="337C55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E555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名称业务功能优化-外省市企业迁入名称网办-迁入名称网上申报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106C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为外省市企业迁入开通网上申报功能；</w:t>
            </w:r>
          </w:p>
        </w:tc>
      </w:tr>
      <w:tr w14:paraId="502B707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5DB4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136</w:t>
            </w:r>
          </w:p>
        </w:tc>
        <w:tc>
          <w:tcPr>
            <w:tcW w:w="491" w:type="pct"/>
            <w:tcBorders>
              <w:top w:val="nil"/>
              <w:left w:val="nil"/>
              <w:bottom w:val="single" w:color="000000" w:sz="4" w:space="0"/>
              <w:right w:val="single" w:color="000000" w:sz="4" w:space="0"/>
            </w:tcBorders>
            <w:shd w:val="clear" w:color="auto" w:fill="auto"/>
            <w:vAlign w:val="center"/>
          </w:tcPr>
          <w:p w14:paraId="52D29F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4B9C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名称业务功能优化-外省市企业迁入名称网办-迁入名称信息调阅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ADA1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外省市迁入企业进行名称申报的同时，可以通过总局接口跨省调用该企业的基本信息及股东信息，进行自动预填。</w:t>
            </w:r>
          </w:p>
        </w:tc>
      </w:tr>
      <w:tr w14:paraId="28860E2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85BF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137</w:t>
            </w:r>
          </w:p>
        </w:tc>
        <w:tc>
          <w:tcPr>
            <w:tcW w:w="491" w:type="pct"/>
            <w:tcBorders>
              <w:top w:val="nil"/>
              <w:left w:val="nil"/>
              <w:bottom w:val="single" w:color="000000" w:sz="4" w:space="0"/>
              <w:right w:val="single" w:color="000000" w:sz="4" w:space="0"/>
            </w:tcBorders>
            <w:shd w:val="clear" w:color="auto" w:fill="auto"/>
            <w:vAlign w:val="center"/>
          </w:tcPr>
          <w:p w14:paraId="7EFE1B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6FF5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内资股权质押全程网办-内资股权质押网上申请-内资股权质押网上设立申请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2BF5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出质标的为有限责任公司和股份有限公司股权，已在证券登记结算机构登记的股份有限公司的股权除外。使用标的企业电子营业执照登录系统，实现内资企业股权质押设立相关业务字段采集和文件自主上传。股权质押的申请内容包括股权所在公司、出质人、质权人、出质股权、指定代表/委托代理人等各类信息。申请完成后，提交内网预审。</w:t>
            </w:r>
          </w:p>
        </w:tc>
      </w:tr>
      <w:tr w14:paraId="27FC5C0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DA3A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138</w:t>
            </w:r>
          </w:p>
        </w:tc>
        <w:tc>
          <w:tcPr>
            <w:tcW w:w="491" w:type="pct"/>
            <w:tcBorders>
              <w:top w:val="nil"/>
              <w:left w:val="nil"/>
              <w:bottom w:val="single" w:color="000000" w:sz="4" w:space="0"/>
              <w:right w:val="single" w:color="000000" w:sz="4" w:space="0"/>
            </w:tcBorders>
            <w:shd w:val="clear" w:color="auto" w:fill="auto"/>
            <w:vAlign w:val="center"/>
          </w:tcPr>
          <w:p w14:paraId="03FA61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6EDB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内资股权质押全程网办-内资股权质押网上申请-内资股权质押网上变更申请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EF78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使用标的企业电子营业执照登录系统，实现内资企业股权质押变更相关业务字段采集和文件自主上传。</w:t>
            </w:r>
          </w:p>
        </w:tc>
      </w:tr>
      <w:tr w14:paraId="64281E8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6427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139</w:t>
            </w:r>
          </w:p>
        </w:tc>
        <w:tc>
          <w:tcPr>
            <w:tcW w:w="491" w:type="pct"/>
            <w:tcBorders>
              <w:top w:val="nil"/>
              <w:left w:val="nil"/>
              <w:bottom w:val="single" w:color="000000" w:sz="4" w:space="0"/>
              <w:right w:val="single" w:color="000000" w:sz="4" w:space="0"/>
            </w:tcBorders>
            <w:shd w:val="clear" w:color="auto" w:fill="auto"/>
            <w:vAlign w:val="center"/>
          </w:tcPr>
          <w:p w14:paraId="783FDB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E74F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内资股权质押全程网办-内资股权质押网上申请-内资股权质押网上注销申请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DA27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使用标的企业电子营业执照登录系统，实现内资企业股权质押注销的相关业务字段采集和文件自主上传。</w:t>
            </w:r>
          </w:p>
        </w:tc>
      </w:tr>
      <w:tr w14:paraId="5E46987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27D9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140</w:t>
            </w:r>
          </w:p>
        </w:tc>
        <w:tc>
          <w:tcPr>
            <w:tcW w:w="491" w:type="pct"/>
            <w:tcBorders>
              <w:top w:val="nil"/>
              <w:left w:val="nil"/>
              <w:bottom w:val="single" w:color="000000" w:sz="4" w:space="0"/>
              <w:right w:val="single" w:color="000000" w:sz="4" w:space="0"/>
            </w:tcBorders>
            <w:shd w:val="clear" w:color="auto" w:fill="auto"/>
            <w:vAlign w:val="center"/>
          </w:tcPr>
          <w:p w14:paraId="7DDFBA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0962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内资股权质押全程网办-内资股权质押网上申请-内资股权质押电子签名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1798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内网预审通过的股权质押设立、股权质押变更、股权质押注销申请，系统生成相关电子文书，并按照业务要求由相关申请人（单位）进行身份认证和电子签名。</w:t>
            </w:r>
          </w:p>
        </w:tc>
      </w:tr>
      <w:tr w14:paraId="4FC0DC1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553B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141</w:t>
            </w:r>
          </w:p>
        </w:tc>
        <w:tc>
          <w:tcPr>
            <w:tcW w:w="491" w:type="pct"/>
            <w:tcBorders>
              <w:top w:val="nil"/>
              <w:left w:val="nil"/>
              <w:bottom w:val="single" w:color="000000" w:sz="4" w:space="0"/>
              <w:right w:val="single" w:color="000000" w:sz="4" w:space="0"/>
            </w:tcBorders>
            <w:shd w:val="clear" w:color="auto" w:fill="auto"/>
            <w:vAlign w:val="center"/>
          </w:tcPr>
          <w:p w14:paraId="41DFFA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921F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内资股权质押全程网办-内资股权质押内网审核-内资股权质押内网预审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C605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实现内资企业股权质押设立、变更、注销的申请信息和相关文件导入内网，由内网进行预审。</w:t>
            </w:r>
          </w:p>
        </w:tc>
      </w:tr>
      <w:tr w14:paraId="631B759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C87B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142</w:t>
            </w:r>
          </w:p>
        </w:tc>
        <w:tc>
          <w:tcPr>
            <w:tcW w:w="491" w:type="pct"/>
            <w:tcBorders>
              <w:top w:val="nil"/>
              <w:left w:val="nil"/>
              <w:bottom w:val="single" w:color="000000" w:sz="4" w:space="0"/>
              <w:right w:val="single" w:color="000000" w:sz="4" w:space="0"/>
            </w:tcBorders>
            <w:shd w:val="clear" w:color="auto" w:fill="auto"/>
            <w:vAlign w:val="center"/>
          </w:tcPr>
          <w:p w14:paraId="0A3BB3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5FDB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内资股权质押全程网办-内资股权质押内网审核-内资股权质押内网审核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7D5B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实现内资企业股权质押设立、变更、注销的相关电子材料导入内网，在内网进行审查核准。</w:t>
            </w:r>
          </w:p>
        </w:tc>
      </w:tr>
      <w:tr w14:paraId="17A0510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7BEB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143</w:t>
            </w:r>
          </w:p>
        </w:tc>
        <w:tc>
          <w:tcPr>
            <w:tcW w:w="491" w:type="pct"/>
            <w:tcBorders>
              <w:top w:val="nil"/>
              <w:left w:val="nil"/>
              <w:bottom w:val="single" w:color="000000" w:sz="4" w:space="0"/>
              <w:right w:val="single" w:color="000000" w:sz="4" w:space="0"/>
            </w:tcBorders>
            <w:shd w:val="clear" w:color="auto" w:fill="auto"/>
            <w:vAlign w:val="center"/>
          </w:tcPr>
          <w:p w14:paraId="3FF6B0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D026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内资股权质押全程网办-内资股权质押办理反馈-内资股权质押办理反馈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5A2D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实现内资企业股权质押设立、变更、注销的办理结果反馈，通过电子通知书在办理进度跟踪直接反馈申请人。</w:t>
            </w:r>
          </w:p>
        </w:tc>
      </w:tr>
      <w:tr w14:paraId="59A08A5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5196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144</w:t>
            </w:r>
          </w:p>
        </w:tc>
        <w:tc>
          <w:tcPr>
            <w:tcW w:w="491" w:type="pct"/>
            <w:tcBorders>
              <w:top w:val="nil"/>
              <w:left w:val="nil"/>
              <w:bottom w:val="single" w:color="000000" w:sz="4" w:space="0"/>
              <w:right w:val="single" w:color="000000" w:sz="4" w:space="0"/>
            </w:tcBorders>
            <w:shd w:val="clear" w:color="auto" w:fill="auto"/>
            <w:vAlign w:val="center"/>
          </w:tcPr>
          <w:p w14:paraId="6110D4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A23A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内资股权质押全程网办-内资股权质押电子归档-内资股权质押电子归档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AEF2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实现内资企业股权质押设立、变更、注销等业务的各类电子材料的电子归档功能。</w:t>
            </w:r>
          </w:p>
        </w:tc>
      </w:tr>
      <w:tr w14:paraId="424161B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E763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145</w:t>
            </w:r>
          </w:p>
        </w:tc>
        <w:tc>
          <w:tcPr>
            <w:tcW w:w="491" w:type="pct"/>
            <w:tcBorders>
              <w:top w:val="nil"/>
              <w:left w:val="nil"/>
              <w:bottom w:val="single" w:color="000000" w:sz="4" w:space="0"/>
              <w:right w:val="single" w:color="000000" w:sz="4" w:space="0"/>
            </w:tcBorders>
            <w:shd w:val="clear" w:color="auto" w:fill="auto"/>
            <w:vAlign w:val="center"/>
          </w:tcPr>
          <w:p w14:paraId="0DED6F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C9C7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强制清算、破产清算企业全程网办-申报-强制清算、破产清算办理页面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EF81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在“上海企业登记在线”增加一个选择页面，即选择“是否为经人民法院裁定宣告破产并终结破产程序或强制清算程序终结后办理注销登记”，介绍相关业务，提供相关资料。</w:t>
            </w:r>
          </w:p>
        </w:tc>
      </w:tr>
      <w:tr w14:paraId="44207CC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4F4A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146</w:t>
            </w:r>
          </w:p>
        </w:tc>
        <w:tc>
          <w:tcPr>
            <w:tcW w:w="491" w:type="pct"/>
            <w:tcBorders>
              <w:top w:val="nil"/>
              <w:left w:val="nil"/>
              <w:bottom w:val="single" w:color="000000" w:sz="4" w:space="0"/>
              <w:right w:val="single" w:color="000000" w:sz="4" w:space="0"/>
            </w:tcBorders>
            <w:shd w:val="clear" w:color="auto" w:fill="auto"/>
            <w:vAlign w:val="center"/>
          </w:tcPr>
          <w:p w14:paraId="39EBFA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F90D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强制清算、破产清算企业全程网办-申报-信息填报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88E7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破产管理人、强制清算组填写并提交，包括委托代理人信息、注销原因（“人民法院依法予以解散”或“被人民法院依法宣告破产”）、人民法院指定的破产管理人信息、破产管理人负责人信息、人民法院指定的强制清算组信息、强制清算组负责人信息。</w:t>
            </w:r>
          </w:p>
        </w:tc>
      </w:tr>
      <w:tr w14:paraId="2772D7C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60B0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147</w:t>
            </w:r>
          </w:p>
        </w:tc>
        <w:tc>
          <w:tcPr>
            <w:tcW w:w="491" w:type="pct"/>
            <w:tcBorders>
              <w:top w:val="nil"/>
              <w:left w:val="nil"/>
              <w:bottom w:val="single" w:color="000000" w:sz="4" w:space="0"/>
              <w:right w:val="single" w:color="000000" w:sz="4" w:space="0"/>
            </w:tcBorders>
            <w:shd w:val="clear" w:color="auto" w:fill="auto"/>
            <w:vAlign w:val="center"/>
          </w:tcPr>
          <w:p w14:paraId="715255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B85B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强制清算、破产清算企业全程网办-申报-继续办理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A163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对提示能否缴回纸质营业执照。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选择无法缴回营业执照正副本原件的，增加提示内容“营业执照无法全部缴回的，由强制清算组、破产管理人出具相关情况说明（需加盖强制清算组、破产管理人印章，并由强制清算组、破产管理人的负责人签署），登记机关通过国家企业信用信息公示系统公告营业执照作废。”</w:t>
            </w:r>
          </w:p>
        </w:tc>
      </w:tr>
      <w:tr w14:paraId="073CD3C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CCC2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148</w:t>
            </w:r>
          </w:p>
        </w:tc>
        <w:tc>
          <w:tcPr>
            <w:tcW w:w="491" w:type="pct"/>
            <w:tcBorders>
              <w:top w:val="nil"/>
              <w:left w:val="nil"/>
              <w:bottom w:val="single" w:color="000000" w:sz="4" w:space="0"/>
              <w:right w:val="single" w:color="000000" w:sz="4" w:space="0"/>
            </w:tcBorders>
            <w:shd w:val="clear" w:color="auto" w:fill="auto"/>
            <w:vAlign w:val="center"/>
          </w:tcPr>
          <w:p w14:paraId="7950E8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F101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强制清算、破产清算企业全程网办-申报-上传材料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D360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上传注销所需申请材料，以及材料真实性承诺书。</w:t>
            </w:r>
          </w:p>
        </w:tc>
      </w:tr>
      <w:tr w14:paraId="6D4E14C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955B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149</w:t>
            </w:r>
          </w:p>
        </w:tc>
        <w:tc>
          <w:tcPr>
            <w:tcW w:w="491" w:type="pct"/>
            <w:tcBorders>
              <w:top w:val="nil"/>
              <w:left w:val="nil"/>
              <w:bottom w:val="single" w:color="000000" w:sz="4" w:space="0"/>
              <w:right w:val="single" w:color="000000" w:sz="4" w:space="0"/>
            </w:tcBorders>
            <w:shd w:val="clear" w:color="auto" w:fill="auto"/>
            <w:vAlign w:val="center"/>
          </w:tcPr>
          <w:p w14:paraId="53E502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9F40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强制清算、破产清算企业全程网办-申报-终止注销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738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建立终止注销功能，实现终止本次注销流程，提示“因终止注销，本次注销流程已终止，如需继续办理注销可在删除申请案后通过本系统重新申报。”。</w:t>
            </w:r>
          </w:p>
        </w:tc>
      </w:tr>
      <w:tr w14:paraId="0C1C31E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8029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150</w:t>
            </w:r>
          </w:p>
        </w:tc>
        <w:tc>
          <w:tcPr>
            <w:tcW w:w="491" w:type="pct"/>
            <w:tcBorders>
              <w:top w:val="nil"/>
              <w:left w:val="nil"/>
              <w:bottom w:val="single" w:color="000000" w:sz="4" w:space="0"/>
              <w:right w:val="single" w:color="000000" w:sz="4" w:space="0"/>
            </w:tcBorders>
            <w:shd w:val="clear" w:color="auto" w:fill="auto"/>
            <w:vAlign w:val="center"/>
          </w:tcPr>
          <w:p w14:paraId="3AB1D8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B8E4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强制清算、破产清算企业全程网办-申报-删除申请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1C19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建立删除申请，支持删除当前申请案。</w:t>
            </w:r>
          </w:p>
        </w:tc>
      </w:tr>
      <w:tr w14:paraId="2C85CDB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B449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151</w:t>
            </w:r>
          </w:p>
        </w:tc>
        <w:tc>
          <w:tcPr>
            <w:tcW w:w="491" w:type="pct"/>
            <w:tcBorders>
              <w:top w:val="nil"/>
              <w:left w:val="nil"/>
              <w:bottom w:val="single" w:color="000000" w:sz="4" w:space="0"/>
              <w:right w:val="single" w:color="000000" w:sz="4" w:space="0"/>
            </w:tcBorders>
            <w:shd w:val="clear" w:color="auto" w:fill="auto"/>
            <w:vAlign w:val="center"/>
          </w:tcPr>
          <w:p w14:paraId="0F6956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2C8F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强制清算、破产清算企业全程网办-申报-办理跟踪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7C24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1、显示市场监管部门强制破产清算全程网办的进度，如，“待预审，请等待登记机关反馈预审结果；”“申请状态：退回修改。查看反馈意见；”等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2、登记机关核准注销后，“注销登记通知书下载”功能，</w:t>
            </w:r>
          </w:p>
        </w:tc>
      </w:tr>
      <w:tr w14:paraId="02C47BE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318B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152</w:t>
            </w:r>
          </w:p>
        </w:tc>
        <w:tc>
          <w:tcPr>
            <w:tcW w:w="491" w:type="pct"/>
            <w:tcBorders>
              <w:top w:val="nil"/>
              <w:left w:val="nil"/>
              <w:bottom w:val="single" w:color="000000" w:sz="4" w:space="0"/>
              <w:right w:val="single" w:color="000000" w:sz="4" w:space="0"/>
            </w:tcBorders>
            <w:shd w:val="clear" w:color="auto" w:fill="auto"/>
            <w:vAlign w:val="center"/>
          </w:tcPr>
          <w:p w14:paraId="1BBD78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B4A8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强制清算、破产清算企业全程网办-预审-提交预审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9EEB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提交预审：经办人对上传材料进行预审；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预审通过，将申请推送到内网登记系统，直接进入审核队列,并更新此次申请状态;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不通过，要求补齐材料</w:t>
            </w:r>
          </w:p>
        </w:tc>
      </w:tr>
      <w:tr w14:paraId="0877E6B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D32D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153</w:t>
            </w:r>
          </w:p>
        </w:tc>
        <w:tc>
          <w:tcPr>
            <w:tcW w:w="491" w:type="pct"/>
            <w:tcBorders>
              <w:top w:val="nil"/>
              <w:left w:val="nil"/>
              <w:bottom w:val="single" w:color="000000" w:sz="4" w:space="0"/>
              <w:right w:val="single" w:color="000000" w:sz="4" w:space="0"/>
            </w:tcBorders>
            <w:shd w:val="clear" w:color="auto" w:fill="auto"/>
            <w:vAlign w:val="center"/>
          </w:tcPr>
          <w:p w14:paraId="2E8F2C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A028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强制清算、破产清算企业全程网办-预审-电子签名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3BAD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预审通过后，对于选择在线办理（全程网办）的，由强制清算或破产企业、人民法院指定的强制清算组或破产管理人、强制清算组或破产管理人的负责人，以及有关人员等进行电子签名（章）。</w:t>
            </w:r>
          </w:p>
        </w:tc>
      </w:tr>
      <w:tr w14:paraId="7F93316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D9D6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154</w:t>
            </w:r>
          </w:p>
        </w:tc>
        <w:tc>
          <w:tcPr>
            <w:tcW w:w="491" w:type="pct"/>
            <w:tcBorders>
              <w:top w:val="nil"/>
              <w:left w:val="nil"/>
              <w:bottom w:val="single" w:color="000000" w:sz="4" w:space="0"/>
              <w:right w:val="single" w:color="000000" w:sz="4" w:space="0"/>
            </w:tcBorders>
            <w:shd w:val="clear" w:color="auto" w:fill="auto"/>
            <w:vAlign w:val="center"/>
          </w:tcPr>
          <w:p w14:paraId="120555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B265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强制清算、破产清算企业全程网办-预审-提交审核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F9C1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审通过后，对于选择线下办理（非全程网办）的，系统办理跟踪市场监管部门板块页面生成申请材料目录和申请表模板供下载打印，提示：请备齐相关申请材料并签署后至登记机关线下窗口办理。内网预审通过后直接进入审核队列。由强制清算组、破产管理人至线下登记机关窗口提交材料办理。</w:t>
            </w:r>
          </w:p>
        </w:tc>
      </w:tr>
      <w:tr w14:paraId="54AD162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DBA6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155</w:t>
            </w:r>
          </w:p>
        </w:tc>
        <w:tc>
          <w:tcPr>
            <w:tcW w:w="491" w:type="pct"/>
            <w:tcBorders>
              <w:top w:val="nil"/>
              <w:left w:val="nil"/>
              <w:bottom w:val="single" w:color="000000" w:sz="4" w:space="0"/>
              <w:right w:val="single" w:color="000000" w:sz="4" w:space="0"/>
            </w:tcBorders>
            <w:shd w:val="clear" w:color="auto" w:fill="auto"/>
            <w:vAlign w:val="center"/>
          </w:tcPr>
          <w:p w14:paraId="217DDB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5F44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强制清算、破产清算企业全程网办-审核-注销办理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D843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改造内网登记系统注销办理,增加“营业执照缴回方式”标识，标记为“通过强制清算、破产清算办理注销，且无法缴回营业执照正副本原件”。</w:t>
            </w:r>
          </w:p>
        </w:tc>
      </w:tr>
      <w:tr w14:paraId="686CF57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3820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156</w:t>
            </w:r>
          </w:p>
        </w:tc>
        <w:tc>
          <w:tcPr>
            <w:tcW w:w="491" w:type="pct"/>
            <w:tcBorders>
              <w:top w:val="nil"/>
              <w:left w:val="nil"/>
              <w:bottom w:val="single" w:color="000000" w:sz="4" w:space="0"/>
              <w:right w:val="single" w:color="000000" w:sz="4" w:space="0"/>
            </w:tcBorders>
            <w:shd w:val="clear" w:color="auto" w:fill="auto"/>
            <w:vAlign w:val="center"/>
          </w:tcPr>
          <w:p w14:paraId="77372C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BE6E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强制清算、破产清算企业全程网办-审核-材料目录调整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AC3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调整内网登记系统预审、审核环节的材料目录，按强制清算、破产清算注销材料要求进行调整。</w:t>
            </w:r>
          </w:p>
        </w:tc>
      </w:tr>
      <w:tr w14:paraId="56DEA9A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1171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157</w:t>
            </w:r>
          </w:p>
        </w:tc>
        <w:tc>
          <w:tcPr>
            <w:tcW w:w="491" w:type="pct"/>
            <w:tcBorders>
              <w:top w:val="nil"/>
              <w:left w:val="nil"/>
              <w:bottom w:val="single" w:color="000000" w:sz="4" w:space="0"/>
              <w:right w:val="single" w:color="000000" w:sz="4" w:space="0"/>
            </w:tcBorders>
            <w:shd w:val="clear" w:color="auto" w:fill="auto"/>
            <w:vAlign w:val="center"/>
          </w:tcPr>
          <w:p w14:paraId="333F20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BE1C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强制清算、破产清算企业全程网办-审核-办结告知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4C72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根据破产管理人、强制清算组上传的情况说明，由登记机关通过内网登记系统公告营业执照作废功能公告作废。</w:t>
            </w:r>
          </w:p>
        </w:tc>
      </w:tr>
      <w:tr w14:paraId="6722B05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1F35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158</w:t>
            </w:r>
          </w:p>
        </w:tc>
        <w:tc>
          <w:tcPr>
            <w:tcW w:w="491" w:type="pct"/>
            <w:tcBorders>
              <w:top w:val="nil"/>
              <w:left w:val="nil"/>
              <w:bottom w:val="single" w:color="000000" w:sz="4" w:space="0"/>
              <w:right w:val="single" w:color="000000" w:sz="4" w:space="0"/>
            </w:tcBorders>
            <w:shd w:val="clear" w:color="auto" w:fill="auto"/>
            <w:vAlign w:val="center"/>
          </w:tcPr>
          <w:p w14:paraId="435EB9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EE3C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撤销登记案事件管理-撤销登记待受理-登记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A35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申请登记：收到申请后，形成对撤销登记申请线索进行记录。</w:t>
            </w:r>
          </w:p>
        </w:tc>
      </w:tr>
      <w:tr w14:paraId="4F70B95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8D3E4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159</w:t>
            </w:r>
          </w:p>
        </w:tc>
        <w:tc>
          <w:tcPr>
            <w:tcW w:w="491" w:type="pct"/>
            <w:tcBorders>
              <w:top w:val="nil"/>
              <w:left w:val="nil"/>
              <w:bottom w:val="single" w:color="000000" w:sz="4" w:space="0"/>
              <w:right w:val="single" w:color="000000" w:sz="4" w:space="0"/>
            </w:tcBorders>
            <w:shd w:val="clear" w:color="auto" w:fill="auto"/>
            <w:vAlign w:val="center"/>
          </w:tcPr>
          <w:p w14:paraId="33DED1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1825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撤销登记案事件管理-撤销登记待受理-预审核查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758A9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预审核查：对接收到的申请进行受理、核查、审批。通过该模块对案件线索进行审核并报审批人审批，填写审批意见。</w:t>
            </w:r>
          </w:p>
        </w:tc>
      </w:tr>
      <w:tr w14:paraId="353DC8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822F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160</w:t>
            </w:r>
          </w:p>
        </w:tc>
        <w:tc>
          <w:tcPr>
            <w:tcW w:w="491" w:type="pct"/>
            <w:tcBorders>
              <w:top w:val="nil"/>
              <w:left w:val="nil"/>
              <w:bottom w:val="single" w:color="000000" w:sz="4" w:space="0"/>
              <w:right w:val="single" w:color="000000" w:sz="4" w:space="0"/>
            </w:tcBorders>
            <w:shd w:val="clear" w:color="auto" w:fill="auto"/>
            <w:vAlign w:val="center"/>
          </w:tcPr>
          <w:p w14:paraId="477330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18FB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撤销登记案事件管理-撤销登记待受理-流转</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7F50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流转：对登记的申请，提出处理建议，按照管理原则确认接收申请的办案机构，在同级或逐级进行流转。</w:t>
            </w:r>
          </w:p>
        </w:tc>
      </w:tr>
      <w:tr w14:paraId="29FBB0A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3E10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161</w:t>
            </w:r>
          </w:p>
        </w:tc>
        <w:tc>
          <w:tcPr>
            <w:tcW w:w="491" w:type="pct"/>
            <w:tcBorders>
              <w:top w:val="nil"/>
              <w:left w:val="nil"/>
              <w:bottom w:val="single" w:color="000000" w:sz="4" w:space="0"/>
              <w:right w:val="single" w:color="000000" w:sz="4" w:space="0"/>
            </w:tcBorders>
            <w:shd w:val="clear" w:color="auto" w:fill="auto"/>
            <w:vAlign w:val="center"/>
          </w:tcPr>
          <w:p w14:paraId="4E1D2B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2BAB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撤销登记案事件管理-撤销登记待受理-反馈监督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5D07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反馈监督：对撤销登记申请的登记、流转、受理、核查和反馈进行督查，重点督查准确性和时效性。</w:t>
            </w:r>
          </w:p>
        </w:tc>
      </w:tr>
      <w:tr w14:paraId="7B212EF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B554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162</w:t>
            </w:r>
          </w:p>
        </w:tc>
        <w:tc>
          <w:tcPr>
            <w:tcW w:w="491" w:type="pct"/>
            <w:tcBorders>
              <w:top w:val="nil"/>
              <w:left w:val="nil"/>
              <w:bottom w:val="single" w:color="000000" w:sz="4" w:space="0"/>
              <w:right w:val="single" w:color="000000" w:sz="4" w:space="0"/>
            </w:tcBorders>
            <w:shd w:val="clear" w:color="auto" w:fill="auto"/>
            <w:vAlign w:val="center"/>
          </w:tcPr>
          <w:p w14:paraId="4278B9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5F10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撤销登记案事件管理-撤销登记受理审核-受理审批表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00E3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案件库中搜索：在案件库中搜索，查看过去的违法记录。2、企业登记库搜索：在企业登记库搜索，查看其登记信息。3、受理审批表：经办人填写《受理审批表》，并结合案件库中搜索、企业登记库搜索的结果，将其登记注册信息一并带入自动，报审批人审批。</w:t>
            </w:r>
          </w:p>
        </w:tc>
      </w:tr>
      <w:tr w14:paraId="5520B1E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14F6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163</w:t>
            </w:r>
          </w:p>
        </w:tc>
        <w:tc>
          <w:tcPr>
            <w:tcW w:w="491" w:type="pct"/>
            <w:tcBorders>
              <w:top w:val="nil"/>
              <w:left w:val="nil"/>
              <w:bottom w:val="single" w:color="000000" w:sz="4" w:space="0"/>
              <w:right w:val="single" w:color="000000" w:sz="4" w:space="0"/>
            </w:tcBorders>
            <w:shd w:val="clear" w:color="auto" w:fill="auto"/>
            <w:vAlign w:val="center"/>
          </w:tcPr>
          <w:p w14:paraId="164195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0198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撤销登记案事件管理-撤销登记受理审核-受理审批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473D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审批人（部门领导）对报送的撤销登记进行审批，并指定撤销登记受理的承办人和协办人</w:t>
            </w:r>
          </w:p>
        </w:tc>
      </w:tr>
      <w:tr w14:paraId="6A3BC5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55B2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164</w:t>
            </w:r>
          </w:p>
        </w:tc>
        <w:tc>
          <w:tcPr>
            <w:tcW w:w="491" w:type="pct"/>
            <w:tcBorders>
              <w:top w:val="nil"/>
              <w:left w:val="nil"/>
              <w:bottom w:val="single" w:color="000000" w:sz="4" w:space="0"/>
              <w:right w:val="single" w:color="000000" w:sz="4" w:space="0"/>
            </w:tcBorders>
            <w:shd w:val="clear" w:color="auto" w:fill="auto"/>
            <w:vAlign w:val="center"/>
          </w:tcPr>
          <w:p w14:paraId="0CBDF6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B6D1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撤销登记案事件管理-撤销登记受理审核-受理核准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8513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核准人对报送的撤销登记受理进行核准，申请核准后，该受理进入调查取证阶段。</w:t>
            </w:r>
          </w:p>
        </w:tc>
      </w:tr>
      <w:tr w14:paraId="17BDDB7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1120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165</w:t>
            </w:r>
          </w:p>
        </w:tc>
        <w:tc>
          <w:tcPr>
            <w:tcW w:w="491" w:type="pct"/>
            <w:tcBorders>
              <w:top w:val="nil"/>
              <w:left w:val="nil"/>
              <w:bottom w:val="single" w:color="000000" w:sz="4" w:space="0"/>
              <w:right w:val="single" w:color="000000" w:sz="4" w:space="0"/>
            </w:tcBorders>
            <w:shd w:val="clear" w:color="auto" w:fill="auto"/>
            <w:vAlign w:val="center"/>
          </w:tcPr>
          <w:p w14:paraId="361FEE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FD75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撤销登记案事件管理-撤销登记受理审核-不予受理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A18D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不予受理：如未通过身份核验的、冒用人已注销等情况，经办人填写并生成《不予受理通知书》，同时，打印给到申请人。</w:t>
            </w:r>
          </w:p>
        </w:tc>
      </w:tr>
      <w:tr w14:paraId="643B2C1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983F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166</w:t>
            </w:r>
          </w:p>
        </w:tc>
        <w:tc>
          <w:tcPr>
            <w:tcW w:w="491" w:type="pct"/>
            <w:tcBorders>
              <w:top w:val="nil"/>
              <w:left w:val="nil"/>
              <w:bottom w:val="single" w:color="000000" w:sz="4" w:space="0"/>
              <w:right w:val="single" w:color="000000" w:sz="4" w:space="0"/>
            </w:tcBorders>
            <w:shd w:val="clear" w:color="auto" w:fill="auto"/>
            <w:vAlign w:val="center"/>
          </w:tcPr>
          <w:p w14:paraId="10BC02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AC62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撤销登记案事件管理-撤销登记受理审核-受理提醒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5DB0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系统设置提示，根据申请时间与当前时间建立3日受理提醒功能，提醒经办人应当在3个工作日内作出是否受理的决定。</w:t>
            </w:r>
          </w:p>
        </w:tc>
      </w:tr>
      <w:tr w14:paraId="6E2CC9D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1683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167</w:t>
            </w:r>
          </w:p>
        </w:tc>
        <w:tc>
          <w:tcPr>
            <w:tcW w:w="491" w:type="pct"/>
            <w:tcBorders>
              <w:top w:val="nil"/>
              <w:left w:val="nil"/>
              <w:bottom w:val="single" w:color="000000" w:sz="4" w:space="0"/>
              <w:right w:val="single" w:color="000000" w:sz="4" w:space="0"/>
            </w:tcBorders>
            <w:shd w:val="clear" w:color="auto" w:fill="auto"/>
            <w:vAlign w:val="center"/>
          </w:tcPr>
          <w:p w14:paraId="73D12A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59D6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撤销登记案事件管理-撤销登记受理审核-延长申请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8631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如情形复杂的，经办人可以填写延长申请，经登记机关负责人批准，可以延长3个月。</w:t>
            </w:r>
          </w:p>
        </w:tc>
      </w:tr>
      <w:tr w14:paraId="26D1348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48DB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168</w:t>
            </w:r>
          </w:p>
        </w:tc>
        <w:tc>
          <w:tcPr>
            <w:tcW w:w="491" w:type="pct"/>
            <w:tcBorders>
              <w:top w:val="nil"/>
              <w:left w:val="nil"/>
              <w:bottom w:val="single" w:color="000000" w:sz="4" w:space="0"/>
              <w:right w:val="single" w:color="000000" w:sz="4" w:space="0"/>
            </w:tcBorders>
            <w:shd w:val="clear" w:color="auto" w:fill="auto"/>
            <w:vAlign w:val="center"/>
          </w:tcPr>
          <w:p w14:paraId="510A81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0700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撤销登记案事件管理-撤销登记审撤销决定-拟定建议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AB5B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承办人根据调查取证的情况，编写撤销登记建议。</w:t>
            </w:r>
          </w:p>
        </w:tc>
      </w:tr>
      <w:tr w14:paraId="3941C1D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D7FB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169</w:t>
            </w:r>
          </w:p>
        </w:tc>
        <w:tc>
          <w:tcPr>
            <w:tcW w:w="491" w:type="pct"/>
            <w:tcBorders>
              <w:top w:val="nil"/>
              <w:left w:val="nil"/>
              <w:bottom w:val="single" w:color="000000" w:sz="4" w:space="0"/>
              <w:right w:val="single" w:color="000000" w:sz="4" w:space="0"/>
            </w:tcBorders>
            <w:shd w:val="clear" w:color="auto" w:fill="auto"/>
            <w:vAlign w:val="center"/>
          </w:tcPr>
          <w:p w14:paraId="72DCFC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DEB9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撤销登记案事件管理-撤销登记审撤销决定-建议审批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8DBA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建议报部门领导审批。审批通过后，报法制部门核审。</w:t>
            </w:r>
          </w:p>
        </w:tc>
      </w:tr>
      <w:tr w14:paraId="5C19144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B760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170</w:t>
            </w:r>
          </w:p>
        </w:tc>
        <w:tc>
          <w:tcPr>
            <w:tcW w:w="491" w:type="pct"/>
            <w:tcBorders>
              <w:top w:val="nil"/>
              <w:left w:val="nil"/>
              <w:bottom w:val="single" w:color="000000" w:sz="4" w:space="0"/>
              <w:right w:val="single" w:color="000000" w:sz="4" w:space="0"/>
            </w:tcBorders>
            <w:shd w:val="clear" w:color="auto" w:fill="auto"/>
            <w:vAlign w:val="center"/>
          </w:tcPr>
          <w:p w14:paraId="57F83C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340D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撤销登记案事件管理-撤销登记审撤销决定-建议调整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EC30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承办人根据法制部门核审意见，调整撤销登记建议。</w:t>
            </w:r>
          </w:p>
        </w:tc>
      </w:tr>
      <w:tr w14:paraId="407492B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2C69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171</w:t>
            </w:r>
          </w:p>
        </w:tc>
        <w:tc>
          <w:tcPr>
            <w:tcW w:w="491" w:type="pct"/>
            <w:tcBorders>
              <w:top w:val="nil"/>
              <w:left w:val="nil"/>
              <w:bottom w:val="single" w:color="000000" w:sz="4" w:space="0"/>
              <w:right w:val="single" w:color="000000" w:sz="4" w:space="0"/>
            </w:tcBorders>
            <w:shd w:val="clear" w:color="auto" w:fill="auto"/>
            <w:vAlign w:val="center"/>
          </w:tcPr>
          <w:p w14:paraId="47DFB3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F3F7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撤销登记案事件管理-撤销登记审撤销决定-领导审批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774A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调整后的撤销登记建议交领导审批。</w:t>
            </w:r>
          </w:p>
        </w:tc>
      </w:tr>
      <w:tr w14:paraId="7820E20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2C46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172</w:t>
            </w:r>
          </w:p>
        </w:tc>
        <w:tc>
          <w:tcPr>
            <w:tcW w:w="491" w:type="pct"/>
            <w:tcBorders>
              <w:top w:val="nil"/>
              <w:left w:val="nil"/>
              <w:bottom w:val="single" w:color="000000" w:sz="4" w:space="0"/>
              <w:right w:val="single" w:color="000000" w:sz="4" w:space="0"/>
            </w:tcBorders>
            <w:shd w:val="clear" w:color="auto" w:fill="auto"/>
            <w:vAlign w:val="center"/>
          </w:tcPr>
          <w:p w14:paraId="64AC95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EC78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撤销登记案事件管理-撤销登记审撤销决定-告知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D47F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建议局领导审批通过后，承办人根据局领导意见制发撤销登记告知书，送达当事人，告知当事人权利。</w:t>
            </w:r>
          </w:p>
        </w:tc>
      </w:tr>
      <w:tr w14:paraId="29FE3D7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8C15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173</w:t>
            </w:r>
          </w:p>
        </w:tc>
        <w:tc>
          <w:tcPr>
            <w:tcW w:w="491" w:type="pct"/>
            <w:tcBorders>
              <w:top w:val="nil"/>
              <w:left w:val="nil"/>
              <w:bottom w:val="single" w:color="000000" w:sz="4" w:space="0"/>
              <w:right w:val="single" w:color="000000" w:sz="4" w:space="0"/>
            </w:tcBorders>
            <w:shd w:val="clear" w:color="auto" w:fill="auto"/>
            <w:vAlign w:val="center"/>
          </w:tcPr>
          <w:p w14:paraId="39169D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A111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撤销登记案事件管理-撤销登记审撤销决定-听证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214F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若撤销登记建议是符合听证条件的，承办人制发听证告知书，送达当事人，告知当事人听证权利。</w:t>
            </w:r>
          </w:p>
        </w:tc>
      </w:tr>
      <w:tr w14:paraId="5B77A67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89C7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174</w:t>
            </w:r>
          </w:p>
        </w:tc>
        <w:tc>
          <w:tcPr>
            <w:tcW w:w="491" w:type="pct"/>
            <w:tcBorders>
              <w:top w:val="nil"/>
              <w:left w:val="nil"/>
              <w:bottom w:val="single" w:color="000000" w:sz="4" w:space="0"/>
              <w:right w:val="single" w:color="000000" w:sz="4" w:space="0"/>
            </w:tcBorders>
            <w:shd w:val="clear" w:color="auto" w:fill="auto"/>
            <w:vAlign w:val="center"/>
          </w:tcPr>
          <w:p w14:paraId="55A79F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A4FC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撤销登记案事件管理-撤销登记审撤销决定-复核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6CEA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复核：若当事人提出陈诉、申辩的，根据当事人的陈诉、申辩，提出复核意见。</w:t>
            </w:r>
          </w:p>
        </w:tc>
      </w:tr>
      <w:tr w14:paraId="13667A1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3AED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175</w:t>
            </w:r>
          </w:p>
        </w:tc>
        <w:tc>
          <w:tcPr>
            <w:tcW w:w="491" w:type="pct"/>
            <w:tcBorders>
              <w:top w:val="nil"/>
              <w:left w:val="nil"/>
              <w:bottom w:val="single" w:color="000000" w:sz="4" w:space="0"/>
              <w:right w:val="single" w:color="000000" w:sz="4" w:space="0"/>
            </w:tcBorders>
            <w:shd w:val="clear" w:color="auto" w:fill="auto"/>
            <w:vAlign w:val="center"/>
          </w:tcPr>
          <w:p w14:paraId="27AB2E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2C3D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撤销登记案事件管理-撤销登记审撤销决定-决定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4356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根据听证意见，起草撤销登记决定书，报领导审批等</w:t>
            </w:r>
          </w:p>
        </w:tc>
      </w:tr>
      <w:tr w14:paraId="5724C91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66F9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176</w:t>
            </w:r>
          </w:p>
        </w:tc>
        <w:tc>
          <w:tcPr>
            <w:tcW w:w="491" w:type="pct"/>
            <w:tcBorders>
              <w:top w:val="nil"/>
              <w:left w:val="nil"/>
              <w:bottom w:val="single" w:color="000000" w:sz="4" w:space="0"/>
              <w:right w:val="single" w:color="000000" w:sz="4" w:space="0"/>
            </w:tcBorders>
            <w:shd w:val="clear" w:color="auto" w:fill="auto"/>
            <w:vAlign w:val="center"/>
          </w:tcPr>
          <w:p w14:paraId="528577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56B8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撤销登记案事件管理-撤销登记审撤销决定-决定审批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F5EA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决定审批：承办人根据分管领导意见，调整撤销登记决定书，并最终定稿、发文。</w:t>
            </w:r>
          </w:p>
        </w:tc>
      </w:tr>
      <w:tr w14:paraId="5223839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423E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177</w:t>
            </w:r>
          </w:p>
        </w:tc>
        <w:tc>
          <w:tcPr>
            <w:tcW w:w="491" w:type="pct"/>
            <w:tcBorders>
              <w:top w:val="nil"/>
              <w:left w:val="nil"/>
              <w:bottom w:val="single" w:color="000000" w:sz="4" w:space="0"/>
              <w:right w:val="single" w:color="000000" w:sz="4" w:space="0"/>
            </w:tcBorders>
            <w:shd w:val="clear" w:color="auto" w:fill="auto"/>
            <w:vAlign w:val="center"/>
          </w:tcPr>
          <w:p w14:paraId="3D5397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F058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撤销登记案事件管理-撤销登记审撤销决定-决定书送达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8479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承办人将撤销登记决定书送达当事人，并记录送达情况。</w:t>
            </w:r>
          </w:p>
        </w:tc>
      </w:tr>
      <w:tr w14:paraId="40B7A7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7B27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178</w:t>
            </w:r>
          </w:p>
        </w:tc>
        <w:tc>
          <w:tcPr>
            <w:tcW w:w="491" w:type="pct"/>
            <w:tcBorders>
              <w:top w:val="nil"/>
              <w:left w:val="nil"/>
              <w:bottom w:val="single" w:color="000000" w:sz="4" w:space="0"/>
              <w:right w:val="single" w:color="000000" w:sz="4" w:space="0"/>
            </w:tcBorders>
            <w:shd w:val="clear" w:color="auto" w:fill="auto"/>
            <w:vAlign w:val="center"/>
          </w:tcPr>
          <w:p w14:paraId="0AB46A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63B3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撤销登记案事件管理-撤销登记执行-营业执照返还</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DA24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下达营业执照返还的执行通知，系统记录返还情况。</w:t>
            </w:r>
          </w:p>
        </w:tc>
      </w:tr>
      <w:tr w14:paraId="05D8FF4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9E17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179</w:t>
            </w:r>
          </w:p>
        </w:tc>
        <w:tc>
          <w:tcPr>
            <w:tcW w:w="491" w:type="pct"/>
            <w:tcBorders>
              <w:top w:val="nil"/>
              <w:left w:val="nil"/>
              <w:bottom w:val="single" w:color="000000" w:sz="4" w:space="0"/>
              <w:right w:val="single" w:color="000000" w:sz="4" w:space="0"/>
            </w:tcBorders>
            <w:shd w:val="clear" w:color="auto" w:fill="auto"/>
            <w:vAlign w:val="center"/>
          </w:tcPr>
          <w:p w14:paraId="2BF19D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25A3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撤销登记案事件管理-撤销登记执行-撤销登记接口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FF2F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如果撤销登记决定是吊销营业执照等撤销登记的罚种的，系统自动向相应的许可系统提出撤销登记状态更新。</w:t>
            </w:r>
          </w:p>
        </w:tc>
      </w:tr>
      <w:tr w14:paraId="02B6E13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C5DE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180</w:t>
            </w:r>
          </w:p>
        </w:tc>
        <w:tc>
          <w:tcPr>
            <w:tcW w:w="491" w:type="pct"/>
            <w:tcBorders>
              <w:top w:val="nil"/>
              <w:left w:val="nil"/>
              <w:bottom w:val="single" w:color="000000" w:sz="4" w:space="0"/>
              <w:right w:val="single" w:color="000000" w:sz="4" w:space="0"/>
            </w:tcBorders>
            <w:shd w:val="clear" w:color="auto" w:fill="auto"/>
            <w:vAlign w:val="center"/>
          </w:tcPr>
          <w:p w14:paraId="71EECA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EDB4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撤销登记案事件管理-撤销登记撤销核审-核审模块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420B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核审模块主要是通过对撤销登记各个阶段信息的浏览审核，系统对明显不符合规则的内容进行提示，依法对办案程序、事实、证据、决定依据进行核审，签署核审意见</w:t>
            </w:r>
          </w:p>
        </w:tc>
      </w:tr>
      <w:tr w14:paraId="2AD43F7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EB70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181</w:t>
            </w:r>
          </w:p>
        </w:tc>
        <w:tc>
          <w:tcPr>
            <w:tcW w:w="491" w:type="pct"/>
            <w:tcBorders>
              <w:top w:val="nil"/>
              <w:left w:val="nil"/>
              <w:bottom w:val="single" w:color="000000" w:sz="4" w:space="0"/>
              <w:right w:val="single" w:color="000000" w:sz="4" w:space="0"/>
            </w:tcBorders>
            <w:shd w:val="clear" w:color="auto" w:fill="auto"/>
            <w:vAlign w:val="center"/>
          </w:tcPr>
          <w:p w14:paraId="2F5120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658D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撤销登记案事件管理-撤销登记撤销核审-撤销登记接口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E7E1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如登记机关或者其上级机关认定撤销市场主体登记决定错误的，可以撤销该决定，恢复原登记状态，系统自动向相应的许可系统提出撤销登记状态更新。</w:t>
            </w:r>
          </w:p>
        </w:tc>
      </w:tr>
      <w:tr w14:paraId="613077E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934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182</w:t>
            </w:r>
          </w:p>
        </w:tc>
        <w:tc>
          <w:tcPr>
            <w:tcW w:w="491" w:type="pct"/>
            <w:tcBorders>
              <w:top w:val="nil"/>
              <w:left w:val="nil"/>
              <w:bottom w:val="single" w:color="000000" w:sz="4" w:space="0"/>
              <w:right w:val="single" w:color="000000" w:sz="4" w:space="0"/>
            </w:tcBorders>
            <w:shd w:val="clear" w:color="auto" w:fill="auto"/>
            <w:vAlign w:val="center"/>
          </w:tcPr>
          <w:p w14:paraId="4B56B8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EF59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撤销登记案事件管理-撤销登记信用公示-调查不配和公示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583D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调查期间，相关市场主体和人员无法联系或者拒不配合的，登记机关可以将涉嫌虚假登记市场主体的登记时间、登记事项，以及登记机关联系方式等信息通过国家企业信用信息公示系统向社会公示</w:t>
            </w:r>
          </w:p>
        </w:tc>
      </w:tr>
      <w:tr w14:paraId="3A9A2DF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7604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183</w:t>
            </w:r>
          </w:p>
        </w:tc>
        <w:tc>
          <w:tcPr>
            <w:tcW w:w="491" w:type="pct"/>
            <w:tcBorders>
              <w:top w:val="nil"/>
              <w:left w:val="nil"/>
              <w:bottom w:val="single" w:color="000000" w:sz="4" w:space="0"/>
              <w:right w:val="single" w:color="000000" w:sz="4" w:space="0"/>
            </w:tcBorders>
            <w:shd w:val="clear" w:color="auto" w:fill="auto"/>
            <w:vAlign w:val="center"/>
          </w:tcPr>
          <w:p w14:paraId="19A446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3673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撤销登记案事件管理-撤销登记信用公示-撤销登记公示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07DC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登记机关作出撤销登记决定，通过国家企业信用信息公示系统向社会公示。</w:t>
            </w:r>
          </w:p>
        </w:tc>
      </w:tr>
      <w:tr w14:paraId="5406AE7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E324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184</w:t>
            </w:r>
          </w:p>
        </w:tc>
        <w:tc>
          <w:tcPr>
            <w:tcW w:w="491" w:type="pct"/>
            <w:tcBorders>
              <w:top w:val="nil"/>
              <w:left w:val="nil"/>
              <w:bottom w:val="single" w:color="000000" w:sz="4" w:space="0"/>
              <w:right w:val="single" w:color="000000" w:sz="4" w:space="0"/>
            </w:tcBorders>
            <w:shd w:val="clear" w:color="auto" w:fill="auto"/>
            <w:vAlign w:val="center"/>
          </w:tcPr>
          <w:p w14:paraId="6FFAD6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F47A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撤销登记案事件管理-撤销登记信用公示-不缴回营业执照公示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0710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一旦执行为缴回营业执照，但是人拒不缴回或者无法缴回营业执照的，通过对接国家企业信用信息公示系统，将在“营业执照作废公告”登记机关发布栏目向社会公示。</w:t>
            </w:r>
          </w:p>
        </w:tc>
      </w:tr>
      <w:tr w14:paraId="1AC4A36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5F7E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185</w:t>
            </w:r>
          </w:p>
        </w:tc>
        <w:tc>
          <w:tcPr>
            <w:tcW w:w="491" w:type="pct"/>
            <w:tcBorders>
              <w:top w:val="nil"/>
              <w:left w:val="nil"/>
              <w:bottom w:val="single" w:color="000000" w:sz="4" w:space="0"/>
              <w:right w:val="single" w:color="000000" w:sz="4" w:space="0"/>
            </w:tcBorders>
            <w:shd w:val="clear" w:color="auto" w:fill="auto"/>
            <w:vAlign w:val="center"/>
          </w:tcPr>
          <w:p w14:paraId="2D7626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BF5C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撤销登记案事件管理-撤销登记信用公示-恢复原登记公示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424E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登记机关或者其上级机关认定撤销市场主体登记决定错误的，可以撤销该决定，并通过国家企业信用信息公示系统公示。</w:t>
            </w:r>
          </w:p>
        </w:tc>
      </w:tr>
      <w:tr w14:paraId="218669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BD25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186</w:t>
            </w:r>
          </w:p>
        </w:tc>
        <w:tc>
          <w:tcPr>
            <w:tcW w:w="491" w:type="pct"/>
            <w:tcBorders>
              <w:top w:val="nil"/>
              <w:left w:val="nil"/>
              <w:bottom w:val="single" w:color="000000" w:sz="4" w:space="0"/>
              <w:right w:val="single" w:color="000000" w:sz="4" w:space="0"/>
            </w:tcBorders>
            <w:shd w:val="clear" w:color="auto" w:fill="auto"/>
            <w:vAlign w:val="center"/>
          </w:tcPr>
          <w:p w14:paraId="6749B2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5C69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撤销登记案事件管理-撤销登记查询-进度查询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49A6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撤销登记申请列表，包括：已完成或尚未完成的撤销登记，每一申请案后设置“查看详情”链接。</w:t>
            </w:r>
          </w:p>
        </w:tc>
      </w:tr>
      <w:tr w14:paraId="38F3AF4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809E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187</w:t>
            </w:r>
          </w:p>
        </w:tc>
        <w:tc>
          <w:tcPr>
            <w:tcW w:w="491" w:type="pct"/>
            <w:tcBorders>
              <w:top w:val="nil"/>
              <w:left w:val="nil"/>
              <w:bottom w:val="single" w:color="000000" w:sz="4" w:space="0"/>
              <w:right w:val="single" w:color="000000" w:sz="4" w:space="0"/>
            </w:tcBorders>
            <w:shd w:val="clear" w:color="auto" w:fill="auto"/>
            <w:vAlign w:val="center"/>
          </w:tcPr>
          <w:p w14:paraId="2D5833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AA5B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撤销登记案事件管理-撤销登记查询-综合查询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7B79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该模块实现有关的查询功能。</w:t>
            </w:r>
          </w:p>
        </w:tc>
      </w:tr>
      <w:tr w14:paraId="632156F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981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188</w:t>
            </w:r>
          </w:p>
        </w:tc>
        <w:tc>
          <w:tcPr>
            <w:tcW w:w="491" w:type="pct"/>
            <w:tcBorders>
              <w:top w:val="nil"/>
              <w:left w:val="nil"/>
              <w:bottom w:val="single" w:color="000000" w:sz="4" w:space="0"/>
              <w:right w:val="single" w:color="000000" w:sz="4" w:space="0"/>
            </w:tcBorders>
            <w:shd w:val="clear" w:color="auto" w:fill="auto"/>
            <w:vAlign w:val="center"/>
          </w:tcPr>
          <w:p w14:paraId="21AE72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67F1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撤销登记案事件管理-文书管理-文书上传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A691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支持证明、调查等原始文件的上传</w:t>
            </w:r>
          </w:p>
        </w:tc>
      </w:tr>
      <w:tr w14:paraId="6536BD5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1154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189</w:t>
            </w:r>
          </w:p>
        </w:tc>
        <w:tc>
          <w:tcPr>
            <w:tcW w:w="491" w:type="pct"/>
            <w:tcBorders>
              <w:top w:val="nil"/>
              <w:left w:val="nil"/>
              <w:bottom w:val="single" w:color="000000" w:sz="4" w:space="0"/>
              <w:right w:val="single" w:color="000000" w:sz="4" w:space="0"/>
            </w:tcBorders>
            <w:shd w:val="clear" w:color="auto" w:fill="auto"/>
            <w:vAlign w:val="center"/>
          </w:tcPr>
          <w:p w14:paraId="60DA59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B0B7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撤销登记案事件管理-文书管理-文书制作</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767A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制作并打印各种类型审批表、登记表和记录表。</w:t>
            </w:r>
          </w:p>
        </w:tc>
      </w:tr>
      <w:tr w14:paraId="0D4D02D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0B80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190</w:t>
            </w:r>
          </w:p>
        </w:tc>
        <w:tc>
          <w:tcPr>
            <w:tcW w:w="491" w:type="pct"/>
            <w:tcBorders>
              <w:top w:val="nil"/>
              <w:left w:val="nil"/>
              <w:bottom w:val="single" w:color="000000" w:sz="4" w:space="0"/>
              <w:right w:val="single" w:color="000000" w:sz="4" w:space="0"/>
            </w:tcBorders>
            <w:shd w:val="clear" w:color="auto" w:fill="auto"/>
            <w:vAlign w:val="center"/>
          </w:tcPr>
          <w:p w14:paraId="543BBE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0DB6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撤销登记案事件管理-文书管理-模板下载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2F9A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系统支撑文书模板下载，包括《撤销登记申请书》和《承诺书》等</w:t>
            </w:r>
          </w:p>
        </w:tc>
      </w:tr>
      <w:tr w14:paraId="1817C1E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72A3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191</w:t>
            </w:r>
          </w:p>
        </w:tc>
        <w:tc>
          <w:tcPr>
            <w:tcW w:w="491" w:type="pct"/>
            <w:tcBorders>
              <w:top w:val="nil"/>
              <w:left w:val="nil"/>
              <w:bottom w:val="single" w:color="000000" w:sz="4" w:space="0"/>
              <w:right w:val="single" w:color="000000" w:sz="4" w:space="0"/>
            </w:tcBorders>
            <w:shd w:val="clear" w:color="auto" w:fill="auto"/>
            <w:vAlign w:val="center"/>
          </w:tcPr>
          <w:p w14:paraId="6EF69A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8EFA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撤销登记案事件管理-系统对接-对接内网登记系统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3D19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与内网登记系统实现信息交互和实时更新，实现进一步规范撤销登记案件处置提供有力支撑。</w:t>
            </w:r>
          </w:p>
        </w:tc>
      </w:tr>
      <w:tr w14:paraId="679B094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75C4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192</w:t>
            </w:r>
          </w:p>
        </w:tc>
        <w:tc>
          <w:tcPr>
            <w:tcW w:w="491" w:type="pct"/>
            <w:tcBorders>
              <w:top w:val="nil"/>
              <w:left w:val="nil"/>
              <w:bottom w:val="single" w:color="000000" w:sz="4" w:space="0"/>
              <w:right w:val="single" w:color="000000" w:sz="4" w:space="0"/>
            </w:tcBorders>
            <w:shd w:val="clear" w:color="auto" w:fill="auto"/>
            <w:vAlign w:val="center"/>
          </w:tcPr>
          <w:p w14:paraId="5AFE8F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DAAB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撤销登记案事件管理-系统对接-对接公示系统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E4BF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与国家企业信用信息公示系统实现信息交互和实时更新，实现进一步规范撤销登记案件处置提供有力支撑。</w:t>
            </w:r>
          </w:p>
        </w:tc>
      </w:tr>
      <w:tr w14:paraId="6B4DADC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BF94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193</w:t>
            </w:r>
          </w:p>
        </w:tc>
        <w:tc>
          <w:tcPr>
            <w:tcW w:w="491" w:type="pct"/>
            <w:tcBorders>
              <w:top w:val="nil"/>
              <w:left w:val="nil"/>
              <w:bottom w:val="single" w:color="000000" w:sz="4" w:space="0"/>
              <w:right w:val="single" w:color="000000" w:sz="4" w:space="0"/>
            </w:tcBorders>
            <w:shd w:val="clear" w:color="auto" w:fill="auto"/>
            <w:vAlign w:val="center"/>
          </w:tcPr>
          <w:p w14:paraId="6DB881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5869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个体工商户分型-归集分型数据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C48C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基于登记注册、信用监管、税务、社会保障等数据完成，基础标准全国统一，分型标准以省为单位确定，并作为衡量个体工商户发展质量的重要指标。各省级市场监管、税务、人力资源社会保障等部门要按照《个体工商户分型分类精准帮扶总体方案（试行）》要求，加强数据共享，支撑个体工商户分型判定。税务部门结合个体工商户分型分类标准，提供缴纳不同幅度税款情况的个体工商户纳税人名单。</w:t>
            </w:r>
          </w:p>
        </w:tc>
      </w:tr>
      <w:tr w14:paraId="32C23EA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0FE7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194</w:t>
            </w:r>
          </w:p>
        </w:tc>
        <w:tc>
          <w:tcPr>
            <w:tcW w:w="491" w:type="pct"/>
            <w:tcBorders>
              <w:top w:val="nil"/>
              <w:left w:val="nil"/>
              <w:bottom w:val="single" w:color="000000" w:sz="4" w:space="0"/>
              <w:right w:val="single" w:color="000000" w:sz="4" w:space="0"/>
            </w:tcBorders>
            <w:shd w:val="clear" w:color="auto" w:fill="auto"/>
            <w:vAlign w:val="center"/>
          </w:tcPr>
          <w:p w14:paraId="632A8B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34F0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个体工商户分型-建设分型模型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0304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省级市场监管部门可以结合实际，在符合全国个体工商户分型基础标准的前提下，科学确定各项指标数值和权重，扩展数据归集范围、丰富分型指标维度，使分型结果更符合本省（区、市）实际，更精准科学。各省级市场监管部门确定的本省（区、市）个体工商户分型标准，须报市场监管总局备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个体工商户分型标准以省为单位确定。分型标准包含的数据项包括但不限于：存续时间；上一年度年报中填报的销售额或者营业收入；一年内是否实际缴纳税款的情况，以及是否登记为一般纳税人；一年内以单位形式为员工（含经营者本人）缴纳社保的人数。</w:t>
            </w:r>
          </w:p>
        </w:tc>
      </w:tr>
      <w:tr w14:paraId="3868450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E97B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195</w:t>
            </w:r>
          </w:p>
        </w:tc>
        <w:tc>
          <w:tcPr>
            <w:tcW w:w="491" w:type="pct"/>
            <w:tcBorders>
              <w:top w:val="nil"/>
              <w:left w:val="nil"/>
              <w:bottom w:val="single" w:color="000000" w:sz="4" w:space="0"/>
              <w:right w:val="single" w:color="000000" w:sz="4" w:space="0"/>
            </w:tcBorders>
            <w:shd w:val="clear" w:color="auto" w:fill="auto"/>
            <w:vAlign w:val="center"/>
          </w:tcPr>
          <w:p w14:paraId="78406F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1381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个体工商户分型-不符合分型条件标注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5791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分型判定中，要与国家法人库、国家企业信用信息公示系统数据和税务部门相关数据进行比对，对不满足基础标准的个体工商户，及时标注为“不符合分型条件”。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符合分型条件的个体工商户应当为登记在册状态（即不含吊销、注销、撤销状态），并且上一年度已报送年度报告（当年新成立的个体工商户，自动判定符合分型条件）。同时，不属于以下情形：A.被市场监管部门标记为经营异常状态，尚未恢复正常记载状态的；B.被列入市场监督管理严重违法失信名单，未实施信用修复的；C.被税务部门列为“非正常户”，尚未解除的；D.依据《市场主体登记管理条例》已办理歇业备案，尚在法定最长歇业期内的（季节性经营的个体工商户除外）。</w:t>
            </w:r>
          </w:p>
        </w:tc>
      </w:tr>
      <w:tr w14:paraId="2E80B15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2C2E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196</w:t>
            </w:r>
          </w:p>
        </w:tc>
        <w:tc>
          <w:tcPr>
            <w:tcW w:w="491" w:type="pct"/>
            <w:tcBorders>
              <w:top w:val="nil"/>
              <w:left w:val="nil"/>
              <w:bottom w:val="single" w:color="000000" w:sz="4" w:space="0"/>
              <w:right w:val="single" w:color="000000" w:sz="4" w:space="0"/>
            </w:tcBorders>
            <w:shd w:val="clear" w:color="auto" w:fill="auto"/>
            <w:vAlign w:val="center"/>
          </w:tcPr>
          <w:p w14:paraId="20F817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A5F0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个体工商户分型-年度分型判定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FFC0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每年7月份个体工商户年度报告结束后，由各省级市场监管部门进行一次个体工商户集中分型判定，将分型结果在本省（区、市）“个体工商户名录”中分别标注为“生存型”“成长型”和“发展型”，并将数据于当年8月中旬前汇总至全国“个体工商户名录”。</w:t>
            </w:r>
          </w:p>
        </w:tc>
      </w:tr>
      <w:tr w14:paraId="4637838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1F79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197</w:t>
            </w:r>
          </w:p>
        </w:tc>
        <w:tc>
          <w:tcPr>
            <w:tcW w:w="491" w:type="pct"/>
            <w:tcBorders>
              <w:top w:val="nil"/>
              <w:left w:val="nil"/>
              <w:bottom w:val="single" w:color="000000" w:sz="4" w:space="0"/>
              <w:right w:val="single" w:color="000000" w:sz="4" w:space="0"/>
            </w:tcBorders>
            <w:shd w:val="clear" w:color="auto" w:fill="auto"/>
            <w:vAlign w:val="center"/>
          </w:tcPr>
          <w:p w14:paraId="449232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9EB8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个体工商户分型-日常分型判定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25BF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各省级市场监管部门可以根据统计分析、决策参考需要，在其他时间安排定期或不定期分型判定。</w:t>
            </w:r>
          </w:p>
        </w:tc>
      </w:tr>
      <w:tr w14:paraId="7D9E29C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BD9B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198</w:t>
            </w:r>
          </w:p>
        </w:tc>
        <w:tc>
          <w:tcPr>
            <w:tcW w:w="491" w:type="pct"/>
            <w:tcBorders>
              <w:top w:val="nil"/>
              <w:left w:val="nil"/>
              <w:bottom w:val="single" w:color="000000" w:sz="4" w:space="0"/>
              <w:right w:val="single" w:color="000000" w:sz="4" w:space="0"/>
            </w:tcBorders>
            <w:shd w:val="clear" w:color="auto" w:fill="auto"/>
            <w:vAlign w:val="center"/>
          </w:tcPr>
          <w:p w14:paraId="37052A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4E2F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个体工商户分型-分型结果上报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73DA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经营者和社会公众可以通过“个体工商户名录”和“全国个体工商户发展网”，查询本省（区、市）个体工商户分型标准，并以个体工商户名称或统一社会信用代码为关键词查询分型结果。分型结果通过国家企业信用信息公示系统记于个体工商户名下，并进行标注和公示。</w:t>
            </w:r>
          </w:p>
        </w:tc>
      </w:tr>
      <w:tr w14:paraId="2FD3526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B513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199</w:t>
            </w:r>
          </w:p>
        </w:tc>
        <w:tc>
          <w:tcPr>
            <w:tcW w:w="491" w:type="pct"/>
            <w:tcBorders>
              <w:top w:val="nil"/>
              <w:left w:val="nil"/>
              <w:bottom w:val="single" w:color="000000" w:sz="4" w:space="0"/>
              <w:right w:val="single" w:color="000000" w:sz="4" w:space="0"/>
            </w:tcBorders>
            <w:shd w:val="clear" w:color="auto" w:fill="auto"/>
            <w:vAlign w:val="center"/>
          </w:tcPr>
          <w:p w14:paraId="38BECF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30C3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个体工商户分型-风险异议申报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D0DD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对分型结果存在异议的，个体工商户经营者可以通过所在省（区、市）“个体工商户名录”的异议申诉模块提出。</w:t>
            </w:r>
          </w:p>
        </w:tc>
      </w:tr>
      <w:tr w14:paraId="38C581F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0C85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200</w:t>
            </w:r>
          </w:p>
        </w:tc>
        <w:tc>
          <w:tcPr>
            <w:tcW w:w="491" w:type="pct"/>
            <w:tcBorders>
              <w:top w:val="nil"/>
              <w:left w:val="nil"/>
              <w:bottom w:val="single" w:color="000000" w:sz="4" w:space="0"/>
              <w:right w:val="single" w:color="000000" w:sz="4" w:space="0"/>
            </w:tcBorders>
            <w:shd w:val="clear" w:color="auto" w:fill="auto"/>
            <w:vAlign w:val="center"/>
          </w:tcPr>
          <w:p w14:paraId="505E91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0E24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个体工商户分型-分型异议处置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AE2B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省级市场监管部门参照《市场监管总局办公厅关于进一步做好小微企业划型判定工作的通知》（市监注发〔2022〕76号）中关于处理企业申诉异议的要求及时处理。符合标准的，及时调整分型结果，并答复申诉人。</w:t>
            </w:r>
          </w:p>
        </w:tc>
      </w:tr>
      <w:tr w14:paraId="5063869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17BA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201</w:t>
            </w:r>
          </w:p>
        </w:tc>
        <w:tc>
          <w:tcPr>
            <w:tcW w:w="491" w:type="pct"/>
            <w:tcBorders>
              <w:top w:val="nil"/>
              <w:left w:val="nil"/>
              <w:bottom w:val="single" w:color="000000" w:sz="4" w:space="0"/>
              <w:right w:val="single" w:color="000000" w:sz="4" w:space="0"/>
            </w:tcBorders>
            <w:shd w:val="clear" w:color="auto" w:fill="auto"/>
            <w:vAlign w:val="center"/>
          </w:tcPr>
          <w:p w14:paraId="055A64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DB69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个体工商户分型-分型查询统计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6FA0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提供对个体工商户分型情况的查询统计功能。</w:t>
            </w:r>
          </w:p>
        </w:tc>
      </w:tr>
      <w:tr w14:paraId="44CB946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2F83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202</w:t>
            </w:r>
          </w:p>
        </w:tc>
        <w:tc>
          <w:tcPr>
            <w:tcW w:w="491" w:type="pct"/>
            <w:tcBorders>
              <w:top w:val="nil"/>
              <w:left w:val="nil"/>
              <w:bottom w:val="single" w:color="000000" w:sz="4" w:space="0"/>
              <w:right w:val="single" w:color="000000" w:sz="4" w:space="0"/>
            </w:tcBorders>
            <w:shd w:val="clear" w:color="auto" w:fill="auto"/>
            <w:vAlign w:val="center"/>
          </w:tcPr>
          <w:p w14:paraId="5AC68A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B22C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个体设立全程网办移动应用-个体开业申请掌上填报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683B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根据拟设个体户的名称核准号，填写个体户登记申请信息，上传相关材料，包括但不限于：</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ü字号信息；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ü基本信息：如经营场所、联系电话、邮编、是否电子商务经营者等；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ü设立信息：如出资信息、经营范围、申领证照要求等；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ü经营者及家庭成员信息；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ü指定代表/委托代理人信息；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ü个体工商户经营者（港澳居民）登记表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ü个体工商户经营者（台湾居民、农民）登记表；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ü联络员信息等。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提交成功后，信息交互到内网，待业务人员预审。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对于内网预审退回补正的，申请人根据要求调整申请内容后可继续提交内网预审。</w:t>
            </w:r>
          </w:p>
        </w:tc>
      </w:tr>
      <w:tr w14:paraId="7EC5F5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08CD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203</w:t>
            </w:r>
          </w:p>
        </w:tc>
        <w:tc>
          <w:tcPr>
            <w:tcW w:w="491" w:type="pct"/>
            <w:tcBorders>
              <w:top w:val="nil"/>
              <w:left w:val="nil"/>
              <w:bottom w:val="single" w:color="000000" w:sz="4" w:space="0"/>
              <w:right w:val="single" w:color="000000" w:sz="4" w:space="0"/>
            </w:tcBorders>
            <w:shd w:val="clear" w:color="auto" w:fill="auto"/>
            <w:vAlign w:val="center"/>
          </w:tcPr>
          <w:p w14:paraId="59CE9C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45C0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个体设立全程网办移动应用-个体开业材料掌上上传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EB02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支撑上传经办人、代理人以及经营场所等证明材料。</w:t>
            </w:r>
          </w:p>
        </w:tc>
      </w:tr>
      <w:tr w14:paraId="546143C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6498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204</w:t>
            </w:r>
          </w:p>
        </w:tc>
        <w:tc>
          <w:tcPr>
            <w:tcW w:w="491" w:type="pct"/>
            <w:tcBorders>
              <w:top w:val="nil"/>
              <w:left w:val="nil"/>
              <w:bottom w:val="single" w:color="000000" w:sz="4" w:space="0"/>
              <w:right w:val="single" w:color="000000" w:sz="4" w:space="0"/>
            </w:tcBorders>
            <w:shd w:val="clear" w:color="auto" w:fill="auto"/>
            <w:vAlign w:val="center"/>
          </w:tcPr>
          <w:p w14:paraId="2D31F1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F82C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个体设立全程网办移动应用-个体开业掌上电子签名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DE6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系统生成个体工商户开业申请电子表式，结合申请人上传的材料，形成个体工商户开业申请电子材料。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需签字的个体开业相关自然人，在通过实名认证之后，可以在移动端对个体工商户申请材料进行电子签名确认。</w:t>
            </w:r>
          </w:p>
        </w:tc>
      </w:tr>
      <w:tr w14:paraId="77B484B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721D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205</w:t>
            </w:r>
          </w:p>
        </w:tc>
        <w:tc>
          <w:tcPr>
            <w:tcW w:w="491" w:type="pct"/>
            <w:tcBorders>
              <w:top w:val="nil"/>
              <w:left w:val="nil"/>
              <w:bottom w:val="single" w:color="000000" w:sz="4" w:space="0"/>
              <w:right w:val="single" w:color="000000" w:sz="4" w:space="0"/>
            </w:tcBorders>
            <w:shd w:val="clear" w:color="auto" w:fill="auto"/>
            <w:vAlign w:val="center"/>
          </w:tcPr>
          <w:p w14:paraId="5EE5B3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1F1F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个体设立全程网办移动应用-个体业务掌上办理跟踪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1A72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实现对个体工商户申报的材料进行预审和核准过程中的结果意见，通过全程网办反馈给个体工商户手机端。对于内网预审退回补正的，申请人根据要求调整申请内容后可继续提交内网预审。</w:t>
            </w:r>
          </w:p>
        </w:tc>
      </w:tr>
      <w:tr w14:paraId="04FD504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5415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206</w:t>
            </w:r>
          </w:p>
        </w:tc>
        <w:tc>
          <w:tcPr>
            <w:tcW w:w="491" w:type="pct"/>
            <w:tcBorders>
              <w:top w:val="nil"/>
              <w:left w:val="nil"/>
              <w:bottom w:val="single" w:color="000000" w:sz="4" w:space="0"/>
              <w:right w:val="single" w:color="000000" w:sz="4" w:space="0"/>
            </w:tcBorders>
            <w:shd w:val="clear" w:color="auto" w:fill="auto"/>
            <w:vAlign w:val="center"/>
          </w:tcPr>
          <w:p w14:paraId="2BC7ED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E23E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个体设立全程网办移动应用-移动端经营范围标准表述应用-经营范围规范化服务封装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94B5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对总局PC端总局经营范围规范化服务进行提炼与封装，供移动端前台应用调用。</w:t>
            </w:r>
          </w:p>
        </w:tc>
      </w:tr>
      <w:tr w14:paraId="5FD56A9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FE6C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207</w:t>
            </w:r>
          </w:p>
        </w:tc>
        <w:tc>
          <w:tcPr>
            <w:tcW w:w="491" w:type="pct"/>
            <w:tcBorders>
              <w:top w:val="nil"/>
              <w:left w:val="nil"/>
              <w:bottom w:val="single" w:color="000000" w:sz="4" w:space="0"/>
              <w:right w:val="single" w:color="000000" w:sz="4" w:space="0"/>
            </w:tcBorders>
            <w:shd w:val="clear" w:color="auto" w:fill="auto"/>
            <w:vAlign w:val="center"/>
          </w:tcPr>
          <w:p w14:paraId="2F8E51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CCAE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个体设立全程网办移动应用-移动端经营范围标准表述应用-经营范围条目关键字查询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40AA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通过接口，在移动端实现经营范围条目关键字查询功能，并以列表的方式展示查询结果;</w:t>
            </w:r>
          </w:p>
        </w:tc>
      </w:tr>
      <w:tr w14:paraId="4A16C82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67E0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208</w:t>
            </w:r>
          </w:p>
        </w:tc>
        <w:tc>
          <w:tcPr>
            <w:tcW w:w="491" w:type="pct"/>
            <w:tcBorders>
              <w:top w:val="nil"/>
              <w:left w:val="nil"/>
              <w:bottom w:val="single" w:color="000000" w:sz="4" w:space="0"/>
              <w:right w:val="single" w:color="000000" w:sz="4" w:space="0"/>
            </w:tcBorders>
            <w:shd w:val="clear" w:color="auto" w:fill="auto"/>
            <w:vAlign w:val="center"/>
          </w:tcPr>
          <w:p w14:paraId="412CC0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DE4D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个体设立全程网办移动应用-移动端经营范围标准表述应用-经营范围条目综合展示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5384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在查询结果列表中展示经营范围条目内容包括：条目名称、条目代码、对应行业、简要说明、是否涉及前置审批和后置审批;</w:t>
            </w:r>
          </w:p>
        </w:tc>
      </w:tr>
      <w:tr w14:paraId="78A6DD8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0872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209</w:t>
            </w:r>
          </w:p>
        </w:tc>
        <w:tc>
          <w:tcPr>
            <w:tcW w:w="491" w:type="pct"/>
            <w:tcBorders>
              <w:top w:val="nil"/>
              <w:left w:val="nil"/>
              <w:bottom w:val="single" w:color="000000" w:sz="4" w:space="0"/>
              <w:right w:val="single" w:color="000000" w:sz="4" w:space="0"/>
            </w:tcBorders>
            <w:shd w:val="clear" w:color="auto" w:fill="auto"/>
            <w:vAlign w:val="center"/>
          </w:tcPr>
          <w:p w14:paraId="4A1F7F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79FA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个体设立全程网办移动应用-移动端经营范围标准表述应用-经营范围条目详情查看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7FCB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通过点击查询结果，展示经营范围条目详细信息，包含条目名称、条目代码、对应行业、说明、相关事项详细说明（包括：事项名称、主管部门、审批级别、适用业务等）</w:t>
            </w:r>
          </w:p>
        </w:tc>
      </w:tr>
      <w:tr w14:paraId="30D47F5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8C6E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210</w:t>
            </w:r>
          </w:p>
        </w:tc>
        <w:tc>
          <w:tcPr>
            <w:tcW w:w="491" w:type="pct"/>
            <w:tcBorders>
              <w:top w:val="nil"/>
              <w:left w:val="nil"/>
              <w:bottom w:val="single" w:color="000000" w:sz="4" w:space="0"/>
              <w:right w:val="single" w:color="000000" w:sz="4" w:space="0"/>
            </w:tcBorders>
            <w:shd w:val="clear" w:color="auto" w:fill="auto"/>
            <w:vAlign w:val="center"/>
          </w:tcPr>
          <w:p w14:paraId="0A85D5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587D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个体设立全程网办移动应用-移动端经营范围标准表述应用-经营范围内容组成生成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E5A4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提供对已选经营范围条目的顺序调整功能。根据已选经营范围条目符合生成符合规范的经营范围，以便回填申请界面。</w:t>
            </w:r>
          </w:p>
        </w:tc>
      </w:tr>
      <w:tr w14:paraId="4E904D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24F7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211</w:t>
            </w:r>
          </w:p>
        </w:tc>
        <w:tc>
          <w:tcPr>
            <w:tcW w:w="491" w:type="pct"/>
            <w:tcBorders>
              <w:top w:val="nil"/>
              <w:left w:val="nil"/>
              <w:bottom w:val="single" w:color="000000" w:sz="4" w:space="0"/>
              <w:right w:val="single" w:color="000000" w:sz="4" w:space="0"/>
            </w:tcBorders>
            <w:shd w:val="clear" w:color="auto" w:fill="auto"/>
            <w:vAlign w:val="center"/>
          </w:tcPr>
          <w:p w14:paraId="1C26A9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4196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业务功能流程优化-变更名称和登记流程二合一-变更业务模式引导（网上）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33AD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在涉及名称变更的登记业务中，合并名称和登记申报及预审环节，实现变更名称和变更登记流程二合一。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根据“变更名称和登记流程二合一”的新增业务模式，调整并增补相关业务模式引导内容，便利申请人按需填报：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1、取消变更是否涉及名称事项的选项页面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2、完善“智慧导办”变更业务的事项页面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3、完善“人工选择”变更业务的事项页面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4、保留“名称变更自主申报”选项</w:t>
            </w:r>
          </w:p>
        </w:tc>
      </w:tr>
      <w:tr w14:paraId="58BAFFC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F105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212</w:t>
            </w:r>
          </w:p>
        </w:tc>
        <w:tc>
          <w:tcPr>
            <w:tcW w:w="491" w:type="pct"/>
            <w:tcBorders>
              <w:top w:val="nil"/>
              <w:left w:val="nil"/>
              <w:bottom w:val="single" w:color="000000" w:sz="4" w:space="0"/>
              <w:right w:val="single" w:color="000000" w:sz="4" w:space="0"/>
            </w:tcBorders>
            <w:shd w:val="clear" w:color="auto" w:fill="auto"/>
            <w:vAlign w:val="center"/>
          </w:tcPr>
          <w:p w14:paraId="096C79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89B5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业务功能流程优化-变更名称和登记流程二合一-已办理名称预保留（网上）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F80A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选择“已办理名称预保留”选项的，进入“已办理名称预保留”流程页面,对企业录入的名称备案号进行校验，校验是否属于本企业申请的变更名称预保留。校验通过的将名称信息带入到后续企业变更登记页面，包括有限责任公司、股份公司、合伙企业、个人独资、非公司企业法人，以及各类分支机构等。</w:t>
            </w:r>
          </w:p>
        </w:tc>
      </w:tr>
      <w:tr w14:paraId="74735BE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F31C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213</w:t>
            </w:r>
          </w:p>
        </w:tc>
        <w:tc>
          <w:tcPr>
            <w:tcW w:w="491" w:type="pct"/>
            <w:tcBorders>
              <w:top w:val="nil"/>
              <w:left w:val="nil"/>
              <w:bottom w:val="single" w:color="000000" w:sz="4" w:space="0"/>
              <w:right w:val="single" w:color="000000" w:sz="4" w:space="0"/>
            </w:tcBorders>
            <w:shd w:val="clear" w:color="auto" w:fill="auto"/>
            <w:vAlign w:val="center"/>
          </w:tcPr>
          <w:p w14:paraId="418FD4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E4EC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业务功能流程优化-变更名称和登记流程二合一-未办理名称预保留（网上）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5D9D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选择“未办理名称预保留”选项的，在填报完委托代理人页面后，进入“未办理名称预保留”流程页面，已填报的委托代表人信息自动带入到名称系统；名称系统按照现有的名称自主申报功能进行名称申报；当名称申报系统提交名称后，流程自动回到企业登记变更事项的申报界面，同时将名称信息带入到变更登记页面中。</w:t>
            </w:r>
          </w:p>
        </w:tc>
      </w:tr>
      <w:tr w14:paraId="0D2F21A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99BA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214</w:t>
            </w:r>
          </w:p>
        </w:tc>
        <w:tc>
          <w:tcPr>
            <w:tcW w:w="491" w:type="pct"/>
            <w:tcBorders>
              <w:top w:val="nil"/>
              <w:left w:val="nil"/>
              <w:bottom w:val="single" w:color="000000" w:sz="4" w:space="0"/>
              <w:right w:val="single" w:color="000000" w:sz="4" w:space="0"/>
            </w:tcBorders>
            <w:shd w:val="clear" w:color="auto" w:fill="auto"/>
            <w:vAlign w:val="center"/>
          </w:tcPr>
          <w:p w14:paraId="0C81B9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C062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业务功能流程优化-变更名称和登记流程二合一-审查流程拆分控制（内网）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872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申请人完成外网申报，提交预审后，名称和登记信息及材料，按照“先进行名称审查，再进行登记预审”的串联流程，进入内网审查。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系统自动生成内网的名称审查业务流程与企业预审业务流程，并实现业务要求实现名称审查，登记预审之间的流程衔接控制。</w:t>
            </w:r>
          </w:p>
        </w:tc>
      </w:tr>
      <w:tr w14:paraId="7E946C5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2BC9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215</w:t>
            </w:r>
          </w:p>
        </w:tc>
        <w:tc>
          <w:tcPr>
            <w:tcW w:w="491" w:type="pct"/>
            <w:tcBorders>
              <w:top w:val="nil"/>
              <w:left w:val="nil"/>
              <w:bottom w:val="single" w:color="000000" w:sz="4" w:space="0"/>
              <w:right w:val="single" w:color="000000" w:sz="4" w:space="0"/>
            </w:tcBorders>
            <w:shd w:val="clear" w:color="auto" w:fill="auto"/>
            <w:vAlign w:val="center"/>
          </w:tcPr>
          <w:p w14:paraId="7EF07D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14E0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业务功能流程优化-变更名称和登记流程二合一-名称审查功能调整（内网）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03DF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在内网名称审核系统中，将合并办理的名称变更申请案在“申请类型”一栏做标记，与单独申请名称变更的申请案加以区分。</w:t>
            </w:r>
          </w:p>
        </w:tc>
      </w:tr>
      <w:tr w14:paraId="77D77C9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0C9C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216</w:t>
            </w:r>
          </w:p>
        </w:tc>
        <w:tc>
          <w:tcPr>
            <w:tcW w:w="491" w:type="pct"/>
            <w:tcBorders>
              <w:top w:val="nil"/>
              <w:left w:val="nil"/>
              <w:bottom w:val="single" w:color="000000" w:sz="4" w:space="0"/>
              <w:right w:val="single" w:color="000000" w:sz="4" w:space="0"/>
            </w:tcBorders>
            <w:shd w:val="clear" w:color="auto" w:fill="auto"/>
            <w:vAlign w:val="center"/>
          </w:tcPr>
          <w:p w14:paraId="41E9EB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FC6F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业务功能流程优化-变更名称和登记流程二合一-登记预审功能调整（内网）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5FD7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待网上登记预审，含变更（预审后窗口提交）、变更（全程电子化登记），经办意见页面，增加：名称审核结果（显示是否通过）、名称审核意见（显示通过的企业名称）、备注信息三个字段，分别显示名称相应的审查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其中：变更业务一次只允许申报一个名称，设立业务允许申报三个。同步修改设立系统，如名称审查通过的，在登记系统名称审核意见字段中，校验通过的否是第一个名称，如不是且为全程网办件的，增加红字提示，名称预保留的是备选名称，请退回修改重新生成章程。</w:t>
            </w:r>
          </w:p>
        </w:tc>
      </w:tr>
      <w:tr w14:paraId="4A9BA5D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D43F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217</w:t>
            </w:r>
          </w:p>
        </w:tc>
        <w:tc>
          <w:tcPr>
            <w:tcW w:w="491" w:type="pct"/>
            <w:tcBorders>
              <w:top w:val="nil"/>
              <w:left w:val="nil"/>
              <w:bottom w:val="single" w:color="000000" w:sz="4" w:space="0"/>
              <w:right w:val="single" w:color="000000" w:sz="4" w:space="0"/>
            </w:tcBorders>
            <w:shd w:val="clear" w:color="auto" w:fill="auto"/>
            <w:vAlign w:val="center"/>
          </w:tcPr>
          <w:p w14:paraId="09997B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2859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业务功能流程优化-变更名称和登记流程二合一-预审结果反馈调整（网上）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0AF6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在变更登记的进度查询页面中，整合名称和登记预审信息，一并反馈申请人。</w:t>
            </w:r>
          </w:p>
        </w:tc>
      </w:tr>
      <w:tr w14:paraId="4F8F4DE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35C3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218</w:t>
            </w:r>
          </w:p>
        </w:tc>
        <w:tc>
          <w:tcPr>
            <w:tcW w:w="491" w:type="pct"/>
            <w:tcBorders>
              <w:top w:val="nil"/>
              <w:left w:val="nil"/>
              <w:bottom w:val="single" w:color="000000" w:sz="4" w:space="0"/>
              <w:right w:val="single" w:color="000000" w:sz="4" w:space="0"/>
            </w:tcBorders>
            <w:shd w:val="clear" w:color="auto" w:fill="auto"/>
            <w:vAlign w:val="center"/>
          </w:tcPr>
          <w:p w14:paraId="398ABD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9F1C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业务功能流程优化-变更名称和登记流程二合一-名称不通过二次申报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036D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对于其他登记事项预审通过、名称审查不通过的申请，当企业再次申报时未调整名称行业类别及其他登记事项内容的，只审查名称，不再预审其他登记内容。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相应的改用新名称的申请材料，申请人可以选择使用个性化文书，在名称不通过时重新上传，也可以选择格式化文书，在名称和登记预审全部通过后，由系统自动生成文书。</w:t>
            </w:r>
          </w:p>
        </w:tc>
      </w:tr>
      <w:tr w14:paraId="4A9EEFC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ABBA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219</w:t>
            </w:r>
          </w:p>
        </w:tc>
        <w:tc>
          <w:tcPr>
            <w:tcW w:w="491" w:type="pct"/>
            <w:tcBorders>
              <w:top w:val="nil"/>
              <w:left w:val="nil"/>
              <w:bottom w:val="single" w:color="000000" w:sz="4" w:space="0"/>
              <w:right w:val="single" w:color="000000" w:sz="4" w:space="0"/>
            </w:tcBorders>
            <w:shd w:val="clear" w:color="auto" w:fill="auto"/>
            <w:vAlign w:val="center"/>
          </w:tcPr>
          <w:p w14:paraId="22286E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1B96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业务功能流程优化-在设立流程中嵌入环境许可告知性提示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7402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护环境是我国的基本国策。所有单位和个人都有保护环境的义务。企事业单位和其他生产经营者应当防止、减少环境污染和生态破坏。根据《中华人民共和国环境保护法》《中华人民共和国环境影响评价法》的有关规定：未依法进行环境影响评价的建设项目，不得开工建设。国家根据建设项目对环境的影响程度，对建设项目的环境影响评价实行分类管理（环境影响报告书、报告表、登记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1、建立环保可持续发展板块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在“企业登记在线”中，建立环保可持续发展板块，面向申请企业与社会公众介绍环保相关内容。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提供“建设项目环境影响评价分类指引”以及“行业环境相关监管要求”的网上信息查看与相关办理链接功能。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2、企业设立网办环保告知性提示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同时，在企业设立全程网办流程中，嵌入环保告知性提示内容。</w:t>
            </w:r>
          </w:p>
        </w:tc>
      </w:tr>
      <w:tr w14:paraId="6F9774A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61FC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220</w:t>
            </w:r>
          </w:p>
        </w:tc>
        <w:tc>
          <w:tcPr>
            <w:tcW w:w="491" w:type="pct"/>
            <w:tcBorders>
              <w:top w:val="nil"/>
              <w:left w:val="nil"/>
              <w:bottom w:val="single" w:color="000000" w:sz="4" w:space="0"/>
              <w:right w:val="single" w:color="000000" w:sz="4" w:space="0"/>
            </w:tcBorders>
            <w:shd w:val="clear" w:color="auto" w:fill="auto"/>
            <w:vAlign w:val="center"/>
          </w:tcPr>
          <w:p w14:paraId="202E74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258D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业务功能流程优化-设立变更优化-应用OCR技术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A2FB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在设立、变更业务中应用OCR技术，识别身份证等证件，按照采集字段的要求和规则，将相应内容自动填入页面字段内。</w:t>
            </w:r>
          </w:p>
        </w:tc>
      </w:tr>
      <w:tr w14:paraId="43E79DC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622C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221</w:t>
            </w:r>
          </w:p>
        </w:tc>
        <w:tc>
          <w:tcPr>
            <w:tcW w:w="491" w:type="pct"/>
            <w:tcBorders>
              <w:top w:val="nil"/>
              <w:left w:val="nil"/>
              <w:bottom w:val="single" w:color="000000" w:sz="4" w:space="0"/>
              <w:right w:val="single" w:color="000000" w:sz="4" w:space="0"/>
            </w:tcBorders>
            <w:shd w:val="clear" w:color="auto" w:fill="auto"/>
            <w:vAlign w:val="center"/>
          </w:tcPr>
          <w:p w14:paraId="715195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EA8E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业务功能流程优化-设立变更优化-实现实地住所材料集中上传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5CA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设立、变更业务中实现实地住所材料集中上传。针对目前企业设立和变更全程网办系统中，需单页逐个形式上传的问题，调整系统，建立集中上传路径，通过住所材料上传目录（房屋产权证、租赁合同、场地划分、其他等），上传一个或几个PDF，并统一电子签名。</w:t>
            </w:r>
          </w:p>
        </w:tc>
      </w:tr>
      <w:tr w14:paraId="7D56289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9BF2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222</w:t>
            </w:r>
          </w:p>
        </w:tc>
        <w:tc>
          <w:tcPr>
            <w:tcW w:w="491" w:type="pct"/>
            <w:tcBorders>
              <w:top w:val="nil"/>
              <w:left w:val="nil"/>
              <w:bottom w:val="single" w:color="000000" w:sz="4" w:space="0"/>
              <w:right w:val="single" w:color="000000" w:sz="4" w:space="0"/>
            </w:tcBorders>
            <w:shd w:val="clear" w:color="auto" w:fill="auto"/>
            <w:vAlign w:val="center"/>
          </w:tcPr>
          <w:p w14:paraId="24A07B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B9C3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业务功能流程优化-设立变更优化-外资登记系统高额注册资本提示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8585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在设立、变更业务中外资登记系统高额注册资本提示。</w:t>
            </w:r>
          </w:p>
        </w:tc>
      </w:tr>
      <w:tr w14:paraId="7A401AC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600D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223</w:t>
            </w:r>
          </w:p>
        </w:tc>
        <w:tc>
          <w:tcPr>
            <w:tcW w:w="491" w:type="pct"/>
            <w:tcBorders>
              <w:top w:val="nil"/>
              <w:left w:val="nil"/>
              <w:bottom w:val="single" w:color="000000" w:sz="4" w:space="0"/>
              <w:right w:val="single" w:color="000000" w:sz="4" w:space="0"/>
            </w:tcBorders>
            <w:shd w:val="clear" w:color="auto" w:fill="auto"/>
            <w:vAlign w:val="center"/>
          </w:tcPr>
          <w:p w14:paraId="18E3C6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4353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业务功能流程优化-设立变更优化-外网所有修改内容的变更前后对比情况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DD98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变更业务内网审查全程网办申请案时，显示申请人外网所有修改内容的变更前后对比情况。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建立智能比对，记录申请人在外网填报的历史，形成在内网预审和核准环节精准显示变更前后的对照内容。</w:t>
            </w:r>
          </w:p>
        </w:tc>
      </w:tr>
      <w:tr w14:paraId="6845FA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4F3E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224</w:t>
            </w:r>
          </w:p>
        </w:tc>
        <w:tc>
          <w:tcPr>
            <w:tcW w:w="491" w:type="pct"/>
            <w:tcBorders>
              <w:top w:val="nil"/>
              <w:left w:val="nil"/>
              <w:bottom w:val="single" w:color="000000" w:sz="4" w:space="0"/>
              <w:right w:val="single" w:color="000000" w:sz="4" w:space="0"/>
            </w:tcBorders>
            <w:shd w:val="clear" w:color="auto" w:fill="auto"/>
            <w:vAlign w:val="center"/>
          </w:tcPr>
          <w:p w14:paraId="631C72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565B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业务功能流程优化-设立变更优化-仅新增人员上传证件和签名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0808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变更主要成员时仅需上传新增人员的证件，并由新增人员签名，无需全体主要成员上传证件和签名。申办全程网办董事、监事、高级管理人员备案时，申请人通过“增加”和“删除”按钮，在外网增加、修改和删除有关人员，系统对变动情况精准记录并带入内网预审、核准，申请人在上传证件和电子签名时，继续根据业务需要，精准上传和电子签名变动的人员即可，无需全体高级管理人员全部上传证件和电子签名。</w:t>
            </w:r>
          </w:p>
        </w:tc>
      </w:tr>
      <w:tr w14:paraId="58EDCFC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A45D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225</w:t>
            </w:r>
          </w:p>
        </w:tc>
        <w:tc>
          <w:tcPr>
            <w:tcW w:w="491" w:type="pct"/>
            <w:tcBorders>
              <w:top w:val="nil"/>
              <w:left w:val="nil"/>
              <w:bottom w:val="single" w:color="000000" w:sz="4" w:space="0"/>
              <w:right w:val="single" w:color="000000" w:sz="4" w:space="0"/>
            </w:tcBorders>
            <w:shd w:val="clear" w:color="auto" w:fill="auto"/>
            <w:vAlign w:val="center"/>
          </w:tcPr>
          <w:p w14:paraId="3FA392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3155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业务功能流程优化-设立变更优化-无需打照的全程网办申请案标注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9847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根据变更事项确定是否需要打照，无需打照的不要求申请人寄回营业执照，建立营业执照标准，对于无需打照的全程网办申请案，在预审和审核列表中进行标注。</w:t>
            </w:r>
          </w:p>
        </w:tc>
      </w:tr>
      <w:tr w14:paraId="69E39F9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48BD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226</w:t>
            </w:r>
          </w:p>
        </w:tc>
        <w:tc>
          <w:tcPr>
            <w:tcW w:w="491" w:type="pct"/>
            <w:tcBorders>
              <w:top w:val="nil"/>
              <w:left w:val="nil"/>
              <w:bottom w:val="single" w:color="000000" w:sz="4" w:space="0"/>
              <w:right w:val="single" w:color="000000" w:sz="4" w:space="0"/>
            </w:tcBorders>
            <w:shd w:val="clear" w:color="auto" w:fill="auto"/>
            <w:vAlign w:val="center"/>
          </w:tcPr>
          <w:p w14:paraId="1FA8A6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063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业务功能流程优化-注销登记优化-需前置审批经营主体全程网办注销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970D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允许需前置审批的经营主体通过“上海企业登记在线”全程网办流程办理注销。放开“上海企业登记在线”注销流程中，对需前置审批方可注销的经营主体通过全程网办流程办理普通注销登记的限制。系统对于申请人在填报流程勾选涉及前置审批的情形，允许经营主体通过全程网办办理普通注销。</w:t>
            </w:r>
          </w:p>
        </w:tc>
      </w:tr>
      <w:tr w14:paraId="44EED53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6F75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227</w:t>
            </w:r>
          </w:p>
        </w:tc>
        <w:tc>
          <w:tcPr>
            <w:tcW w:w="491" w:type="pct"/>
            <w:tcBorders>
              <w:top w:val="nil"/>
              <w:left w:val="nil"/>
              <w:bottom w:val="single" w:color="000000" w:sz="4" w:space="0"/>
              <w:right w:val="single" w:color="000000" w:sz="4" w:space="0"/>
            </w:tcBorders>
            <w:shd w:val="clear" w:color="auto" w:fill="auto"/>
            <w:vAlign w:val="center"/>
          </w:tcPr>
          <w:p w14:paraId="3AE92D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960F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业务功能流程优化-注销登记优化-允许承包商办理简易注销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D73A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允许外国（地区）企业在中国境内从事生产经营活动（承包商）办理简易注销。现有总局文件已允许外国（地区）企业在中国境内从事生产经营活动这类经营主体通过简易注销程序办理登记，但外网公示系统目前尚不支持此类主体发布简易注销公告。故需对公示系统进行改造，允许允许外国（地区）企业在中国境内从事生产经营活动这类经营主体通过公示系统发布简易注销公告，并在公示系统对应板块展示公告及异议信息</w:t>
            </w:r>
          </w:p>
        </w:tc>
      </w:tr>
      <w:tr w14:paraId="606B8EA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75B7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228</w:t>
            </w:r>
          </w:p>
        </w:tc>
        <w:tc>
          <w:tcPr>
            <w:tcW w:w="491" w:type="pct"/>
            <w:tcBorders>
              <w:top w:val="nil"/>
              <w:left w:val="nil"/>
              <w:bottom w:val="single" w:color="000000" w:sz="4" w:space="0"/>
              <w:right w:val="single" w:color="000000" w:sz="4" w:space="0"/>
            </w:tcBorders>
            <w:shd w:val="clear" w:color="auto" w:fill="auto"/>
            <w:vAlign w:val="center"/>
          </w:tcPr>
          <w:p w14:paraId="540230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FD9E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业务功能流程优化-注销登记优化-增加常驻代表机构与承包商网上办理注销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AE1B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在“上海企业登记在线”企业注销登记业务流程中增加外国（地区）企业常驻代表机构和外国（地区）企业在中国境内从事生产经营活动（承包商）两类经营主体办理注销的功能;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国（地区）企业常驻代表机构和外国（地区）企业在中国境内从事生产经营活动两类经营主体使用企业电子营业执照登录系统信息填报页面（STEP1）填报相关注销信息，其中外国（地区）企业常驻代表机构只允许走普通流程，外国（地区）企业在中国境内从事生产经营活动允许走普通注销和简易注销流程。</w:t>
            </w:r>
          </w:p>
        </w:tc>
      </w:tr>
      <w:tr w14:paraId="12A216C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4CB1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229</w:t>
            </w:r>
          </w:p>
        </w:tc>
        <w:tc>
          <w:tcPr>
            <w:tcW w:w="491" w:type="pct"/>
            <w:tcBorders>
              <w:top w:val="nil"/>
              <w:left w:val="nil"/>
              <w:bottom w:val="single" w:color="000000" w:sz="4" w:space="0"/>
              <w:right w:val="single" w:color="000000" w:sz="4" w:space="0"/>
            </w:tcBorders>
            <w:shd w:val="clear" w:color="auto" w:fill="auto"/>
            <w:vAlign w:val="center"/>
          </w:tcPr>
          <w:p w14:paraId="2E35E5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B773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业务功能流程优化-注销登记优化-委托代理人身份证明自动导入申请书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D06A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OCR采集的委托代理人身份证明导入系统自动生成的注销申请书。“上海企业登记在线”注销业务模块OCR功能采集的委托代理人身份证明影像件，需带自动生成的注销登记申请书委托代理人身份证明黏贴位置，无需申请人另行黏贴。</w:t>
            </w:r>
          </w:p>
        </w:tc>
      </w:tr>
      <w:tr w14:paraId="70FC4CE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4FC7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230</w:t>
            </w:r>
          </w:p>
        </w:tc>
        <w:tc>
          <w:tcPr>
            <w:tcW w:w="491" w:type="pct"/>
            <w:tcBorders>
              <w:top w:val="nil"/>
              <w:left w:val="nil"/>
              <w:bottom w:val="single" w:color="000000" w:sz="4" w:space="0"/>
              <w:right w:val="single" w:color="000000" w:sz="4" w:space="0"/>
            </w:tcBorders>
            <w:shd w:val="clear" w:color="auto" w:fill="auto"/>
            <w:vAlign w:val="center"/>
          </w:tcPr>
          <w:p w14:paraId="629BB3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46BE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业务功能流程优化-注销登记优化-主体注销后查询注销办理进度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1238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解决经营主体注销后无法基于电子营业执照的身份核验方式登录“上海企业登记在线”查询注销办理进度的问题，开通基于经办人特别验证与查询下载功能：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1、增加注销办理时的提示功能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2、实现经办人与注销申请的关联验证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3、提供经办人查看注销进度与下载注销文书的功能</w:t>
            </w:r>
          </w:p>
        </w:tc>
      </w:tr>
      <w:tr w14:paraId="5ACC619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1FAE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231</w:t>
            </w:r>
          </w:p>
        </w:tc>
        <w:tc>
          <w:tcPr>
            <w:tcW w:w="491" w:type="pct"/>
            <w:tcBorders>
              <w:top w:val="nil"/>
              <w:left w:val="nil"/>
              <w:bottom w:val="single" w:color="000000" w:sz="4" w:space="0"/>
              <w:right w:val="single" w:color="000000" w:sz="4" w:space="0"/>
            </w:tcBorders>
            <w:shd w:val="clear" w:color="auto" w:fill="auto"/>
            <w:vAlign w:val="center"/>
          </w:tcPr>
          <w:p w14:paraId="4C6A20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71CA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经营范围相关改革-经营范围登记方式改革适用性控制-经营范围改革申请适用性控制（外网与内网）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7FE0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上海市浦东新区市场主体登记确认制若干规定》，本次经营范围登记改革适用于浦东新区市场监管局、自贸区市场监管局、临港新片区市场监管局登记的企业及其分支机构。修改“上海企业登记在线”外网系统，兼容新旧两种经营范围登记方式。修改内网企业登记系统，保留原经营范围登记方式的同时，为改革范围内的企业提供经营范围登记方式新通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对于改革范围内的企业（含新设、变更）不再保留原经营范围登记方式；申请人通过外网申请的经营范围全部按照改革后的要求执行。对于改革范围外的企业，沿用现有经营范围登记方式。</w:t>
            </w:r>
          </w:p>
        </w:tc>
      </w:tr>
      <w:tr w14:paraId="4CF62E0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C85D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232</w:t>
            </w:r>
          </w:p>
        </w:tc>
        <w:tc>
          <w:tcPr>
            <w:tcW w:w="491" w:type="pct"/>
            <w:tcBorders>
              <w:top w:val="nil"/>
              <w:left w:val="nil"/>
              <w:bottom w:val="single" w:color="000000" w:sz="4" w:space="0"/>
              <w:right w:val="single" w:color="000000" w:sz="4" w:space="0"/>
            </w:tcBorders>
            <w:shd w:val="clear" w:color="auto" w:fill="auto"/>
            <w:vAlign w:val="center"/>
          </w:tcPr>
          <w:p w14:paraId="3AC294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C8D4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经营范围相关改革-经营范围登记方式改革适用性控制-经营范围改革其他变更适用性控制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49FAE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加强控制，对改革前登记的存量企业仅变更其它登记事项、不涉及经营范围变更的，照面记载内容及经营范围保持不变。</w:t>
            </w:r>
          </w:p>
        </w:tc>
      </w:tr>
      <w:tr w14:paraId="422895F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4FBD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233</w:t>
            </w:r>
          </w:p>
        </w:tc>
        <w:tc>
          <w:tcPr>
            <w:tcW w:w="491" w:type="pct"/>
            <w:tcBorders>
              <w:top w:val="nil"/>
              <w:left w:val="nil"/>
              <w:bottom w:val="single" w:color="000000" w:sz="4" w:space="0"/>
              <w:right w:val="single" w:color="000000" w:sz="4" w:space="0"/>
            </w:tcBorders>
            <w:shd w:val="clear" w:color="auto" w:fill="auto"/>
            <w:vAlign w:val="center"/>
          </w:tcPr>
          <w:p w14:paraId="5D248E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691F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经营范围相关改革-经营范围登记方式改革适用性控制-经营范围改革跨区迁移适用性控制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DACE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区迁移时，按照迁移后登记机关的经营范围登记方式办理登记。浦东新区的企业迁移至其他区、且经营范围不变时，“经营项目（登记）”作为“经营范围”；其他区的企业迁移至浦东新区时，不变更经营范围的，照面内容及经营范围保持不变。</w:t>
            </w:r>
          </w:p>
        </w:tc>
      </w:tr>
      <w:tr w14:paraId="7241D46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0D2D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234</w:t>
            </w:r>
          </w:p>
        </w:tc>
        <w:tc>
          <w:tcPr>
            <w:tcW w:w="491" w:type="pct"/>
            <w:tcBorders>
              <w:top w:val="nil"/>
              <w:left w:val="nil"/>
              <w:bottom w:val="single" w:color="000000" w:sz="4" w:space="0"/>
              <w:right w:val="single" w:color="000000" w:sz="4" w:space="0"/>
            </w:tcBorders>
            <w:shd w:val="clear" w:color="auto" w:fill="auto"/>
            <w:vAlign w:val="center"/>
          </w:tcPr>
          <w:p w14:paraId="5686F9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1729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经营范围相关改革-经营范围“嵌入式”填报功能升级-经营范围填报模式自动判断</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A049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前，经营范围“嵌入式”填报系统功能，包括了“许可经营项目”、“一般经营项目”的申请，同时企业还可以在这两类经营项目中，选择“主营项目”。最终，经营范围“嵌入式”填报将返回带“许可经营项目”、“一般经营项目”以及“主营项目”的完整经营范围。根据改革要求，需要修改经营范围“嵌入式”填报系统功能，在统一的填报体系中，开辟经营范围改革方式版的新填报体系。首先，根据登记机关、市场主体类型、业务类型等条件，综合判断当前业务是否选用经营范围改革方式版的新填报体系。</w:t>
            </w:r>
          </w:p>
        </w:tc>
      </w:tr>
      <w:tr w14:paraId="0938A3A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7F62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235</w:t>
            </w:r>
          </w:p>
        </w:tc>
        <w:tc>
          <w:tcPr>
            <w:tcW w:w="491" w:type="pct"/>
            <w:tcBorders>
              <w:top w:val="nil"/>
              <w:left w:val="nil"/>
              <w:bottom w:val="single" w:color="000000" w:sz="4" w:space="0"/>
              <w:right w:val="single" w:color="000000" w:sz="4" w:space="0"/>
            </w:tcBorders>
            <w:shd w:val="clear" w:color="auto" w:fill="auto"/>
            <w:vAlign w:val="center"/>
          </w:tcPr>
          <w:p w14:paraId="4BE6D0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E29B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经营范围相关改革-经营范围“嵌入式”填报功能升级-新增经营范围填报系统改革版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72A5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新增经营范围填报系统改革版，有别于传统的“一般经营项目”与“许可经营项目”申报体系，改革版经营范围“嵌入式”填报系统功能中，经营范围填报将包括 “四段式”（四部分）：“主营项目”“经营项目（登记）”“经营项目（自主展示）”和“特色项目（自主展示）”。需要针对本次改革要求，对经营范围填报系统进行全面升级扩展。</w:t>
            </w:r>
          </w:p>
        </w:tc>
      </w:tr>
      <w:tr w14:paraId="4F1A83B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EBA0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236</w:t>
            </w:r>
          </w:p>
        </w:tc>
        <w:tc>
          <w:tcPr>
            <w:tcW w:w="491" w:type="pct"/>
            <w:tcBorders>
              <w:top w:val="nil"/>
              <w:left w:val="nil"/>
              <w:bottom w:val="single" w:color="000000" w:sz="4" w:space="0"/>
              <w:right w:val="single" w:color="000000" w:sz="4" w:space="0"/>
            </w:tcBorders>
            <w:shd w:val="clear" w:color="auto" w:fill="auto"/>
            <w:vAlign w:val="center"/>
          </w:tcPr>
          <w:p w14:paraId="567B1B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D585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经营范围相关改革-经营范围“嵌入式”填报功能升级-修改经营范围填报后返回的数据联动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8143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从经营范围“嵌入式”系统返回的经营范围，一方面将填如作为登记事项的“经营范围”字段中；另一方面，需要将“主营项目”“经营项目（登记）”“经营项目（自主展示）”和“特色项目（自主展示）”相关经营范围细分项目，整合归并后提供给“多证合一”“证照分离”相关填报模块，作为相关模块与其他委办局信息交互的基础。</w:t>
            </w:r>
          </w:p>
        </w:tc>
      </w:tr>
      <w:tr w14:paraId="6A52C08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3C34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237</w:t>
            </w:r>
          </w:p>
        </w:tc>
        <w:tc>
          <w:tcPr>
            <w:tcW w:w="491" w:type="pct"/>
            <w:tcBorders>
              <w:top w:val="nil"/>
              <w:left w:val="nil"/>
              <w:bottom w:val="single" w:color="000000" w:sz="4" w:space="0"/>
              <w:right w:val="single" w:color="000000" w:sz="4" w:space="0"/>
            </w:tcBorders>
            <w:shd w:val="clear" w:color="auto" w:fill="auto"/>
            <w:vAlign w:val="center"/>
          </w:tcPr>
          <w:p w14:paraId="6BACCE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78AD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经营范围相关改革-经营范围登记方式改革移动端改造-经营范围登记方式改革移动端改造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A209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上述改革要求，同步修改相关企业登记移动端应用，在浦东新区、自贸区、临港申请开办的内资公司、分公司的移动端申请功能中，实现对经营范围登记方式改革的支持，包括经营范围登记方式改革适用性控制以及经营范围“嵌入式”填报功能升级等。</w:t>
            </w:r>
          </w:p>
        </w:tc>
      </w:tr>
      <w:tr w14:paraId="3AD35D5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B1A7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238</w:t>
            </w:r>
          </w:p>
        </w:tc>
        <w:tc>
          <w:tcPr>
            <w:tcW w:w="491" w:type="pct"/>
            <w:tcBorders>
              <w:top w:val="nil"/>
              <w:left w:val="nil"/>
              <w:bottom w:val="single" w:color="000000" w:sz="4" w:space="0"/>
              <w:right w:val="single" w:color="000000" w:sz="4" w:space="0"/>
            </w:tcBorders>
            <w:shd w:val="clear" w:color="auto" w:fill="auto"/>
            <w:vAlign w:val="center"/>
          </w:tcPr>
          <w:p w14:paraId="516B48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CE09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经营范围相关改革-新增企业自主调整经营范围功能-经营范围自主调整入口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47AD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除新设和变更外，在外网“企业登记在线”中，增加经营项目和特色项目自主展示入口，企业使用电子营业执照登陆后，可以进入经营范围自主修改功能，或查看经营范围自主调整历史记录。</w:t>
            </w:r>
          </w:p>
        </w:tc>
      </w:tr>
      <w:tr w14:paraId="6DFD4DF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B0E3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239</w:t>
            </w:r>
          </w:p>
        </w:tc>
        <w:tc>
          <w:tcPr>
            <w:tcW w:w="491" w:type="pct"/>
            <w:tcBorders>
              <w:top w:val="nil"/>
              <w:left w:val="nil"/>
              <w:bottom w:val="single" w:color="000000" w:sz="4" w:space="0"/>
              <w:right w:val="single" w:color="000000" w:sz="4" w:space="0"/>
            </w:tcBorders>
            <w:shd w:val="clear" w:color="auto" w:fill="auto"/>
            <w:vAlign w:val="center"/>
          </w:tcPr>
          <w:p w14:paraId="721524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1422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经营范围相关改革-新增企业自主调整经营范围功能-企业自主调整经营范围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69EE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企业登录后，可以通过调用经营范围“嵌入式”系统的方式，自主修改“经营项目（自主展示）”和“特色项目（自主展示）”的内容。对于“主营项目”“经营项目（登记）”企业可以提进行查看但不能修改。</w:t>
            </w:r>
          </w:p>
        </w:tc>
      </w:tr>
      <w:tr w14:paraId="778899F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A56A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240</w:t>
            </w:r>
          </w:p>
        </w:tc>
        <w:tc>
          <w:tcPr>
            <w:tcW w:w="491" w:type="pct"/>
            <w:tcBorders>
              <w:top w:val="nil"/>
              <w:left w:val="nil"/>
              <w:bottom w:val="single" w:color="000000" w:sz="4" w:space="0"/>
              <w:right w:val="single" w:color="000000" w:sz="4" w:space="0"/>
            </w:tcBorders>
            <w:shd w:val="clear" w:color="auto" w:fill="auto"/>
            <w:vAlign w:val="center"/>
          </w:tcPr>
          <w:p w14:paraId="49FE30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A9DB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经营范围相关改革-新增企业自主调整经营范围功能-企业经营范围修改入库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4797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企业自主修改的“经营项目（自主展示）”和“特色项目（自主展示）”，将自动入口，与“主营项目”“经营项目（登记）”共同组成新的经营范围，无需登记机关审核。</w:t>
            </w:r>
          </w:p>
        </w:tc>
      </w:tr>
      <w:tr w14:paraId="36BAE45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879E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241</w:t>
            </w:r>
          </w:p>
        </w:tc>
        <w:tc>
          <w:tcPr>
            <w:tcW w:w="491" w:type="pct"/>
            <w:tcBorders>
              <w:top w:val="nil"/>
              <w:left w:val="nil"/>
              <w:bottom w:val="single" w:color="000000" w:sz="4" w:space="0"/>
              <w:right w:val="single" w:color="000000" w:sz="4" w:space="0"/>
            </w:tcBorders>
            <w:shd w:val="clear" w:color="auto" w:fill="auto"/>
            <w:vAlign w:val="center"/>
          </w:tcPr>
          <w:p w14:paraId="43D791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E28F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经营范围相关改革-新增企业自主调整经营范围功能-经营范围修改情况记录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A089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系统记录企业登录情况以及经营范围调整情况，供本企业与相关登记注册部门查询。</w:t>
            </w:r>
          </w:p>
        </w:tc>
      </w:tr>
      <w:tr w14:paraId="08CE991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D63C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242</w:t>
            </w:r>
          </w:p>
        </w:tc>
        <w:tc>
          <w:tcPr>
            <w:tcW w:w="491" w:type="pct"/>
            <w:tcBorders>
              <w:top w:val="nil"/>
              <w:left w:val="nil"/>
              <w:bottom w:val="single" w:color="000000" w:sz="4" w:space="0"/>
              <w:right w:val="single" w:color="000000" w:sz="4" w:space="0"/>
            </w:tcBorders>
            <w:shd w:val="clear" w:color="auto" w:fill="auto"/>
            <w:vAlign w:val="center"/>
          </w:tcPr>
          <w:p w14:paraId="47E9B5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EB0A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经营范围相关改革-经营范围改革内容推送-企业新设立或变更后的经营范围改革内容推送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F555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新设立或变更“经营项目（登记）”时，申请案经核准后，“经营项目（登记）”“经营项目（自主展示）”和“特色项目（自主展示）”三部分组合作为“经营范围”的内容，整体推送至总局、公示系统、电子营业执照。</w:t>
            </w:r>
          </w:p>
        </w:tc>
      </w:tr>
      <w:tr w14:paraId="04EA275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D3EE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243</w:t>
            </w:r>
          </w:p>
        </w:tc>
        <w:tc>
          <w:tcPr>
            <w:tcW w:w="491" w:type="pct"/>
            <w:tcBorders>
              <w:top w:val="nil"/>
              <w:left w:val="nil"/>
              <w:bottom w:val="single" w:color="000000" w:sz="4" w:space="0"/>
              <w:right w:val="single" w:color="000000" w:sz="4" w:space="0"/>
            </w:tcBorders>
            <w:shd w:val="clear" w:color="auto" w:fill="auto"/>
            <w:vAlign w:val="center"/>
          </w:tcPr>
          <w:p w14:paraId="757595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FC51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经营范围相关改革-经营范围改革内容推送-企业自主调整后的经营范围改革内容推送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D4A5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自主调整“经营项目（自主展示）”或“特色项目（自主展示）”时，经办人确认提交后（无需登记机关核准），“经营项目（登记）”与“经营项目（自主展示）”、“特色项目（自主展示）”三部分组合作为“经营范围”的内容，整体推送至总局、公示系统、电子营业执照。</w:t>
            </w:r>
          </w:p>
        </w:tc>
      </w:tr>
      <w:tr w14:paraId="08C3604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F3AA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244</w:t>
            </w:r>
          </w:p>
        </w:tc>
        <w:tc>
          <w:tcPr>
            <w:tcW w:w="491" w:type="pct"/>
            <w:tcBorders>
              <w:top w:val="nil"/>
              <w:left w:val="nil"/>
              <w:bottom w:val="single" w:color="000000" w:sz="4" w:space="0"/>
              <w:right w:val="single" w:color="000000" w:sz="4" w:space="0"/>
            </w:tcBorders>
            <w:shd w:val="clear" w:color="auto" w:fill="auto"/>
            <w:vAlign w:val="center"/>
          </w:tcPr>
          <w:p w14:paraId="0FE629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CD18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经营范围相关改革-营业执照打印控制与内容调整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1F45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增加营业执照打印方式智能判断与打印内容调整。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改革后的方式办理经营范围登记的，营业执照照面的“经营范围”内容统一记载为：“除依法须经批准的项目外，凭营业执照依法自主开展经营活动；依法须经批准的项目，经相关部门批准后方可开展经营活动。”</w:t>
            </w:r>
          </w:p>
        </w:tc>
      </w:tr>
      <w:tr w14:paraId="619F291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50ED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245</w:t>
            </w:r>
          </w:p>
        </w:tc>
        <w:tc>
          <w:tcPr>
            <w:tcW w:w="491" w:type="pct"/>
            <w:tcBorders>
              <w:top w:val="nil"/>
              <w:left w:val="nil"/>
              <w:bottom w:val="single" w:color="000000" w:sz="4" w:space="0"/>
              <w:right w:val="single" w:color="000000" w:sz="4" w:space="0"/>
            </w:tcBorders>
            <w:shd w:val="clear" w:color="auto" w:fill="auto"/>
            <w:vAlign w:val="center"/>
          </w:tcPr>
          <w:p w14:paraId="1DA743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4DACD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经营范围相关改革-经营范围改革统计功能-经营范围改革参与企业统计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FE5F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在后台对改革后的方式进行经营范围登记的企业加标签，可统计指定时间段内参与改革的企业总数。</w:t>
            </w:r>
          </w:p>
        </w:tc>
      </w:tr>
      <w:tr w14:paraId="5929572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F851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246</w:t>
            </w:r>
          </w:p>
        </w:tc>
        <w:tc>
          <w:tcPr>
            <w:tcW w:w="491" w:type="pct"/>
            <w:tcBorders>
              <w:top w:val="nil"/>
              <w:left w:val="nil"/>
              <w:bottom w:val="single" w:color="000000" w:sz="4" w:space="0"/>
              <w:right w:val="single" w:color="000000" w:sz="4" w:space="0"/>
            </w:tcBorders>
            <w:shd w:val="clear" w:color="auto" w:fill="auto"/>
            <w:vAlign w:val="center"/>
          </w:tcPr>
          <w:p w14:paraId="1E5825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98F4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经营范围相关改革-经营范围改革统计功能-经营范围改革自主展示统计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D9F8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可分别统计指定时间段内“经营项目（自主展示）”和“特色项目（自主展示）”的企业数，以及指定时间段内修改展示内容的企业数。</w:t>
            </w:r>
          </w:p>
        </w:tc>
      </w:tr>
      <w:tr w14:paraId="515B7E8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029A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247</w:t>
            </w:r>
          </w:p>
        </w:tc>
        <w:tc>
          <w:tcPr>
            <w:tcW w:w="491" w:type="pct"/>
            <w:tcBorders>
              <w:top w:val="nil"/>
              <w:left w:val="nil"/>
              <w:bottom w:val="single" w:color="000000" w:sz="4" w:space="0"/>
              <w:right w:val="single" w:color="000000" w:sz="4" w:space="0"/>
            </w:tcBorders>
            <w:shd w:val="clear" w:color="auto" w:fill="auto"/>
            <w:vAlign w:val="center"/>
          </w:tcPr>
          <w:p w14:paraId="58DD38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CF19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经营范围相关改革-经营范围改革统计功能-经营范围改革涉及项目统计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0FE1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可统计“主营项目”“经营项目（登记）”“经营项目（自主展示）”和“特色项目（自主展示）”中所有条目的勾选频次,可统计指定时间段内的高频条目。</w:t>
            </w:r>
          </w:p>
        </w:tc>
      </w:tr>
      <w:tr w14:paraId="307D7BD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116E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248</w:t>
            </w:r>
          </w:p>
        </w:tc>
        <w:tc>
          <w:tcPr>
            <w:tcW w:w="491" w:type="pct"/>
            <w:tcBorders>
              <w:top w:val="nil"/>
              <w:left w:val="nil"/>
              <w:bottom w:val="single" w:color="000000" w:sz="4" w:space="0"/>
              <w:right w:val="single" w:color="000000" w:sz="4" w:space="0"/>
            </w:tcBorders>
            <w:shd w:val="clear" w:color="auto" w:fill="auto"/>
            <w:vAlign w:val="center"/>
          </w:tcPr>
          <w:p w14:paraId="3DDB9C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FC9F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登记实名认证强化-收件办理自然人实名认证-登记注册身份验证SDK-新建认证业务（安卓、IOS、鸿蒙各1套）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89EE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新建认证业务提供自然人新的认证业务创建的功能，新建内容包括：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（1）填写企业名称（必要）、统一社会信用代码（非必要）；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（2）选择业务类型：企业设立、企业变更、企业注销；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（3）选择角色类型：法人、股东、董事、监事、高管。</w:t>
            </w:r>
          </w:p>
        </w:tc>
      </w:tr>
      <w:tr w14:paraId="4C450FC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0537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249</w:t>
            </w:r>
          </w:p>
        </w:tc>
        <w:tc>
          <w:tcPr>
            <w:tcW w:w="491" w:type="pct"/>
            <w:tcBorders>
              <w:top w:val="nil"/>
              <w:left w:val="nil"/>
              <w:bottom w:val="single" w:color="000000" w:sz="4" w:space="0"/>
              <w:right w:val="single" w:color="000000" w:sz="4" w:space="0"/>
            </w:tcBorders>
            <w:shd w:val="clear" w:color="auto" w:fill="auto"/>
            <w:vAlign w:val="center"/>
          </w:tcPr>
          <w:p w14:paraId="381D09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0C98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登记实名认证强化-收件办理自然人实名认证-登记注册身份验证SDK-历史认证查询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45CF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历史认证查询提供自然人查询历史认证记录的功能，该功能记录用户在登记注册身份验证SDK上的认证历史，包括企业名称、业务类型、角色类型以及认证结果等信息。用户可以通过该功能方便地查看之前的认证信息以及认证的结果。</w:t>
            </w:r>
          </w:p>
        </w:tc>
      </w:tr>
      <w:tr w14:paraId="21A9DF7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7C31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250</w:t>
            </w:r>
          </w:p>
        </w:tc>
        <w:tc>
          <w:tcPr>
            <w:tcW w:w="491" w:type="pct"/>
            <w:tcBorders>
              <w:top w:val="nil"/>
              <w:left w:val="nil"/>
              <w:bottom w:val="single" w:color="000000" w:sz="4" w:space="0"/>
              <w:right w:val="single" w:color="000000" w:sz="4" w:space="0"/>
            </w:tcBorders>
            <w:shd w:val="clear" w:color="auto" w:fill="auto"/>
            <w:vAlign w:val="center"/>
          </w:tcPr>
          <w:p w14:paraId="078A53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A5A7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登记实名认证强化-收件办理自然人实名认证-登记注册身份验证SDK-认证记录标签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294E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认证记录标签是SDK管理后台对自然人每一条认证记录的状态进行分类加工，添加标签，方便业务系统查询调用。标签类型分为：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（1）认证记录有效（业务未办理）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（2）认证记录已使用（业务已办理）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（3）认证记录已失效（业务未办理）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每条认证记录有效期为3个自然日，如3个自然日后认证记录未被使用（业务未办理），即为失效；如需使用，需重新创建认证业务。</w:t>
            </w:r>
          </w:p>
        </w:tc>
      </w:tr>
      <w:tr w14:paraId="508D462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EE58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251</w:t>
            </w:r>
          </w:p>
        </w:tc>
        <w:tc>
          <w:tcPr>
            <w:tcW w:w="491" w:type="pct"/>
            <w:tcBorders>
              <w:top w:val="nil"/>
              <w:left w:val="nil"/>
              <w:bottom w:val="single" w:color="000000" w:sz="4" w:space="0"/>
              <w:right w:val="single" w:color="000000" w:sz="4" w:space="0"/>
            </w:tcBorders>
            <w:shd w:val="clear" w:color="auto" w:fill="auto"/>
            <w:vAlign w:val="center"/>
          </w:tcPr>
          <w:p w14:paraId="2ECCE8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002F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登记实名认证强化-收件办理自然人实名认证-登记注册身份验证SDK-登记注册身份验证接口服务（认证记录查询）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2904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认证记录查询接口，登记审批系统通过该接口可获取自然人相关认证记录信息列表，认证记录信息包括人员信息（自然人姓名、证件号）、认证业务流水号、认证结果、认证时间、认证记录标签以及认证过程人像图片信息。</w:t>
            </w:r>
          </w:p>
        </w:tc>
      </w:tr>
      <w:tr w14:paraId="5360144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CA3C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252</w:t>
            </w:r>
          </w:p>
        </w:tc>
        <w:tc>
          <w:tcPr>
            <w:tcW w:w="491" w:type="pct"/>
            <w:tcBorders>
              <w:top w:val="nil"/>
              <w:left w:val="nil"/>
              <w:bottom w:val="single" w:color="000000" w:sz="4" w:space="0"/>
              <w:right w:val="single" w:color="000000" w:sz="4" w:space="0"/>
            </w:tcBorders>
            <w:shd w:val="clear" w:color="auto" w:fill="auto"/>
            <w:vAlign w:val="center"/>
          </w:tcPr>
          <w:p w14:paraId="277793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6B7D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登记实名认证强化-收件办理自然人实名认证-登记注册身份验证SDK-登记注册身份验证接口服务（认证记录使用状态回写）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BF0C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提供认证记录使用状态回写接口，登记审批系统在办理业务时使用过认证记录后，将该条记录的使用状态回写至登记注册身份验证SDK后台，SDK对该记录进行标签修订。</w:t>
            </w:r>
          </w:p>
        </w:tc>
      </w:tr>
      <w:tr w14:paraId="3C66895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F7A1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253</w:t>
            </w:r>
          </w:p>
        </w:tc>
        <w:tc>
          <w:tcPr>
            <w:tcW w:w="491" w:type="pct"/>
            <w:tcBorders>
              <w:top w:val="nil"/>
              <w:left w:val="nil"/>
              <w:bottom w:val="single" w:color="000000" w:sz="4" w:space="0"/>
              <w:right w:val="single" w:color="000000" w:sz="4" w:space="0"/>
            </w:tcBorders>
            <w:shd w:val="clear" w:color="auto" w:fill="auto"/>
            <w:vAlign w:val="center"/>
          </w:tcPr>
          <w:p w14:paraId="620A92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A131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登记实名认证强化-收件办理自然人实名认证-登记注册身份验证对接服务-香港公证书查询接口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0142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企业填报线下公证书的转递编号、客户编号、客户名称。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港资企业外网填报界面，增加香港公证书档案编号、公司名称、企业编号采集项，企业填写后通过香港系统的加密接口查询相关信息是否正确，如否，提示未查询到该公证书，请核对转递编号、客户编号、客户名称。</w:t>
            </w:r>
          </w:p>
        </w:tc>
      </w:tr>
      <w:tr w14:paraId="0ECAABA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B06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254</w:t>
            </w:r>
          </w:p>
        </w:tc>
        <w:tc>
          <w:tcPr>
            <w:tcW w:w="491" w:type="pct"/>
            <w:tcBorders>
              <w:top w:val="nil"/>
              <w:left w:val="nil"/>
              <w:bottom w:val="single" w:color="000000" w:sz="4" w:space="0"/>
              <w:right w:val="single" w:color="000000" w:sz="4" w:space="0"/>
            </w:tcBorders>
            <w:shd w:val="clear" w:color="auto" w:fill="auto"/>
            <w:vAlign w:val="center"/>
          </w:tcPr>
          <w:p w14:paraId="3F041F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C33C4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登记实名认证强化-收件办理自然人实名认证-登记注册身份验证对接服务-香港公证书PDF下载接口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07E4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登记系统自动下载PDF公证书。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业务申请提交成功后，系统根据填报的公证书转递编号、客户编号、客户名称，自动调用接口下载相应PDF公证书，保存在该笔业务流程的业务材料中，供审批人员查看。</w:t>
            </w:r>
          </w:p>
        </w:tc>
      </w:tr>
      <w:tr w14:paraId="1932C68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2917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255</w:t>
            </w:r>
          </w:p>
        </w:tc>
        <w:tc>
          <w:tcPr>
            <w:tcW w:w="491" w:type="pct"/>
            <w:tcBorders>
              <w:top w:val="nil"/>
              <w:left w:val="nil"/>
              <w:bottom w:val="single" w:color="000000" w:sz="4" w:space="0"/>
              <w:right w:val="single" w:color="000000" w:sz="4" w:space="0"/>
            </w:tcBorders>
            <w:shd w:val="clear" w:color="auto" w:fill="auto"/>
            <w:vAlign w:val="center"/>
          </w:tcPr>
          <w:p w14:paraId="137DAC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49B9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登记实名认证强化-收件办理自然人实名认证-登记注册身份验证对接服务-香港公证书PDF验证接口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502F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合上海市市场监督管理局与中国委托公证业务综合管理信息平台系统对接，完成相关香港企业来沪办理相关登记业务的技术支持开发工作。内网审核页面，审核人员可修改公证书转递编号、客户编号、客户名称，手动下载PDF公证书，调用接口进行验证。</w:t>
            </w:r>
          </w:p>
        </w:tc>
      </w:tr>
      <w:tr w14:paraId="1AB4BCB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F62B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256</w:t>
            </w:r>
          </w:p>
        </w:tc>
        <w:tc>
          <w:tcPr>
            <w:tcW w:w="491" w:type="pct"/>
            <w:tcBorders>
              <w:top w:val="nil"/>
              <w:left w:val="nil"/>
              <w:bottom w:val="single" w:color="000000" w:sz="4" w:space="0"/>
              <w:right w:val="single" w:color="000000" w:sz="4" w:space="0"/>
            </w:tcBorders>
            <w:shd w:val="clear" w:color="auto" w:fill="auto"/>
            <w:vAlign w:val="center"/>
          </w:tcPr>
          <w:p w14:paraId="3DF11D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03E0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登记实名认证强化-收件办理自然人实名认证-登记注册身份验证后台管理-用户体系接入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CA73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接入登记业务系统用户体系，实现用户账户的管理功能，包括添加用户、修改用户、删除用户、查询用户以及设置权限等。</w:t>
            </w:r>
          </w:p>
        </w:tc>
      </w:tr>
      <w:tr w14:paraId="79115EB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B877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257</w:t>
            </w:r>
          </w:p>
        </w:tc>
        <w:tc>
          <w:tcPr>
            <w:tcW w:w="491" w:type="pct"/>
            <w:tcBorders>
              <w:top w:val="nil"/>
              <w:left w:val="nil"/>
              <w:bottom w:val="single" w:color="000000" w:sz="4" w:space="0"/>
              <w:right w:val="single" w:color="000000" w:sz="4" w:space="0"/>
            </w:tcBorders>
            <w:shd w:val="clear" w:color="auto" w:fill="auto"/>
            <w:vAlign w:val="center"/>
          </w:tcPr>
          <w:p w14:paraId="19BEB4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1BD2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登记实名认证强化-收件办理自然人实名认证-登记注册身份验证后台管理-认证记录管理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786D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提供用户认证记录的管理功能，包括新增记录、修改记录标签、查询记录等。</w:t>
            </w:r>
          </w:p>
        </w:tc>
      </w:tr>
      <w:tr w14:paraId="2CC5D65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6AC3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258</w:t>
            </w:r>
          </w:p>
        </w:tc>
        <w:tc>
          <w:tcPr>
            <w:tcW w:w="491" w:type="pct"/>
            <w:tcBorders>
              <w:top w:val="nil"/>
              <w:left w:val="nil"/>
              <w:bottom w:val="single" w:color="000000" w:sz="4" w:space="0"/>
              <w:right w:val="single" w:color="000000" w:sz="4" w:space="0"/>
            </w:tcBorders>
            <w:shd w:val="clear" w:color="auto" w:fill="auto"/>
            <w:vAlign w:val="center"/>
          </w:tcPr>
          <w:p w14:paraId="5CE97A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0428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登记实名认证强化-收件办理自然人实名认证-登记注册身份验证后台管理-日志管理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A28B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提供后台服务的日志管理功能，包括记录管理员和操作员的所有动作；记录整个系统的内部运行错误和异常；对认证记录做实时统计和分析；提供查询、分析和备份等。</w:t>
            </w:r>
          </w:p>
        </w:tc>
      </w:tr>
      <w:tr w14:paraId="0A2A41C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BCC6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259</w:t>
            </w:r>
          </w:p>
        </w:tc>
        <w:tc>
          <w:tcPr>
            <w:tcW w:w="491" w:type="pct"/>
            <w:tcBorders>
              <w:top w:val="nil"/>
              <w:left w:val="nil"/>
              <w:bottom w:val="single" w:color="000000" w:sz="4" w:space="0"/>
              <w:right w:val="single" w:color="000000" w:sz="4" w:space="0"/>
            </w:tcBorders>
            <w:shd w:val="clear" w:color="auto" w:fill="auto"/>
            <w:vAlign w:val="center"/>
          </w:tcPr>
          <w:p w14:paraId="311C23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9BA3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登记实名认证强化-自然人电子签名-自然人电子签名升级改造-签署身份认证升级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CED7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对自然人身份验证方式进行升级调整，具体如下：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原认证方式：银行卡认证或单因素人脸识别认证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升级后认证方式：银行卡认证或实名手机号认证（二选一）+人脸识别，共同组成双因素认证。</w:t>
            </w:r>
          </w:p>
        </w:tc>
      </w:tr>
      <w:tr w14:paraId="3757053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2AC5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260</w:t>
            </w:r>
          </w:p>
        </w:tc>
        <w:tc>
          <w:tcPr>
            <w:tcW w:w="491" w:type="pct"/>
            <w:tcBorders>
              <w:top w:val="nil"/>
              <w:left w:val="nil"/>
              <w:bottom w:val="single" w:color="000000" w:sz="4" w:space="0"/>
              <w:right w:val="single" w:color="000000" w:sz="4" w:space="0"/>
            </w:tcBorders>
            <w:shd w:val="clear" w:color="auto" w:fill="auto"/>
            <w:vAlign w:val="center"/>
          </w:tcPr>
          <w:p w14:paraId="0DD9B8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9AA3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登记实名认证强化-自然人电子签名-自然人电子签名升级改造-电子签名网页端升级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83B8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升级改造一窗通网页电子签名。自然人在勾选了待签名文件后，点击“批量签名”时，增加调用“人脸识别”服务进行身份认证（通过手机扫描页面二维码，手机端完成人脸识别）。认证通过后签发事件证书进行电子签名并记录本次身份认证的认证结果信息。</w:t>
            </w:r>
          </w:p>
        </w:tc>
      </w:tr>
      <w:tr w14:paraId="59243B5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700B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261</w:t>
            </w:r>
          </w:p>
        </w:tc>
        <w:tc>
          <w:tcPr>
            <w:tcW w:w="491" w:type="pct"/>
            <w:tcBorders>
              <w:top w:val="nil"/>
              <w:left w:val="nil"/>
              <w:bottom w:val="single" w:color="000000" w:sz="4" w:space="0"/>
              <w:right w:val="single" w:color="000000" w:sz="4" w:space="0"/>
            </w:tcBorders>
            <w:shd w:val="clear" w:color="auto" w:fill="auto"/>
            <w:vAlign w:val="center"/>
          </w:tcPr>
          <w:p w14:paraId="057955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E351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登记实名认证强化-自然人电子签名-自然人电子签名升级改造-登记系统批量签名改造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A835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对签名人勾选待签名文件的范围进行控制，一次签名只允许勾选一个办件下的待签名文件。</w:t>
            </w:r>
          </w:p>
        </w:tc>
      </w:tr>
      <w:tr w14:paraId="55E84FC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05FC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262</w:t>
            </w:r>
          </w:p>
        </w:tc>
        <w:tc>
          <w:tcPr>
            <w:tcW w:w="491" w:type="pct"/>
            <w:tcBorders>
              <w:top w:val="nil"/>
              <w:left w:val="nil"/>
              <w:bottom w:val="single" w:color="000000" w:sz="4" w:space="0"/>
              <w:right w:val="single" w:color="000000" w:sz="4" w:space="0"/>
            </w:tcBorders>
            <w:shd w:val="clear" w:color="auto" w:fill="auto"/>
            <w:vAlign w:val="center"/>
          </w:tcPr>
          <w:p w14:paraId="26A1AC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6080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登记实名认证强化-企业登记在线功能修改-身份认证通用基础功能实现-身份信息拟绑定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3FE2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在内网企业登记管理系统功能中，调用登记注册身份验证SDK后台服务，实现对自然人进行身份验证的通用功能。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人员身份信息拟绑定功能。业务人员在对线下业务相关的各类人员进行实名身份认证时，首先采集每个须实名身份认证的人员身份信息，并将其与当前业务进行拟绑定。业务人员在当前业务环节中可随时进行业务拟绑定的调整与解绑。</w:t>
            </w:r>
          </w:p>
        </w:tc>
      </w:tr>
      <w:tr w14:paraId="7E0DCE3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4A71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263</w:t>
            </w:r>
          </w:p>
        </w:tc>
        <w:tc>
          <w:tcPr>
            <w:tcW w:w="491" w:type="pct"/>
            <w:tcBorders>
              <w:top w:val="nil"/>
              <w:left w:val="nil"/>
              <w:bottom w:val="single" w:color="000000" w:sz="4" w:space="0"/>
              <w:right w:val="single" w:color="000000" w:sz="4" w:space="0"/>
            </w:tcBorders>
            <w:shd w:val="clear" w:color="auto" w:fill="auto"/>
            <w:vAlign w:val="center"/>
          </w:tcPr>
          <w:p w14:paraId="5EFD52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62BB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登记实名认证强化-企业登记在线功能修改-身份认证通用基础功能实现-实名认证查询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C92E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提供身份实名认证信息查询功能。通过姓名和身份证号，调用登记注册身份验证SDK后台服务，查询本次业务须身份认证的拟绑定人员的有效身份认证记录，供经办人查看。</w:t>
            </w:r>
          </w:p>
        </w:tc>
      </w:tr>
      <w:tr w14:paraId="7040890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AC1E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264</w:t>
            </w:r>
          </w:p>
        </w:tc>
        <w:tc>
          <w:tcPr>
            <w:tcW w:w="491" w:type="pct"/>
            <w:tcBorders>
              <w:top w:val="nil"/>
              <w:left w:val="nil"/>
              <w:bottom w:val="single" w:color="000000" w:sz="4" w:space="0"/>
              <w:right w:val="single" w:color="000000" w:sz="4" w:space="0"/>
            </w:tcBorders>
            <w:shd w:val="clear" w:color="auto" w:fill="auto"/>
            <w:vAlign w:val="center"/>
          </w:tcPr>
          <w:p w14:paraId="501AA8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CAC9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登记实名认证强化-企业登记在线功能修改-身份认证通用基础功能实现-身份信息正式绑定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9BEF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在申请业务提交时，系统调用登记注册身份验证SDK后台服务进行正式业务绑定，并将绑定结果（包括：绑定成功、绑定失败）告知经办人。绑定成功的，还需记录被绑定的身份认证的认证结果信息。</w:t>
            </w:r>
          </w:p>
        </w:tc>
      </w:tr>
      <w:tr w14:paraId="55EB037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D57E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265</w:t>
            </w:r>
          </w:p>
        </w:tc>
        <w:tc>
          <w:tcPr>
            <w:tcW w:w="491" w:type="pct"/>
            <w:tcBorders>
              <w:top w:val="nil"/>
              <w:left w:val="nil"/>
              <w:bottom w:val="single" w:color="000000" w:sz="4" w:space="0"/>
              <w:right w:val="single" w:color="000000" w:sz="4" w:space="0"/>
            </w:tcBorders>
            <w:shd w:val="clear" w:color="auto" w:fill="auto"/>
            <w:vAlign w:val="center"/>
          </w:tcPr>
          <w:p w14:paraId="7762CD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7BB2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登记实名认证强化-企业登记在线功能修改-身份认证通用基础功能实现-身份认证结果生成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775B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根据办件绑定的身份认证结果（包括：线上和线下办件），生成“身份认证结果信息”文书。</w:t>
            </w:r>
          </w:p>
        </w:tc>
      </w:tr>
      <w:tr w14:paraId="29C42FD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EFC3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266</w:t>
            </w:r>
          </w:p>
        </w:tc>
        <w:tc>
          <w:tcPr>
            <w:tcW w:w="491" w:type="pct"/>
            <w:tcBorders>
              <w:top w:val="nil"/>
              <w:left w:val="nil"/>
              <w:bottom w:val="single" w:color="000000" w:sz="4" w:space="0"/>
              <w:right w:val="single" w:color="000000" w:sz="4" w:space="0"/>
            </w:tcBorders>
            <w:shd w:val="clear" w:color="auto" w:fill="auto"/>
            <w:vAlign w:val="center"/>
          </w:tcPr>
          <w:p w14:paraId="1039EF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B3F7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登记实名认证强化-企业登记在线功能修改-业务环节全面融入身份认证功能-内资登记身份认证改造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358F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修改内资登记各类线下业务首环节功能（收件或简易登记），实现身份认证通用功能与当前业务的功能互动与信息关联。在信息录入时，嵌入“身份信息拟绑定”与“实名认证查询”功能；在业务提交时，嵌入“身份信息正式绑定”与“身份认证结果生成”功能；根据身份认证通用功能提示业务办理，实现身份认证信息与业务申请信息的关联绑定。涉及业务功能包括：一般登记业务类型包括各类内资企业的设立申请、变更（备案）、注销申请、股权出质、迁出/迁入、增/减/补/换发证照；简易登记业务类型包括各类内资企业的设立申请、变更（备案）、股权出质、注销申请、增/减/补/换发证照、歇业备案。</w:t>
            </w:r>
          </w:p>
        </w:tc>
      </w:tr>
      <w:tr w14:paraId="61DD4D4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6BEC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267</w:t>
            </w:r>
          </w:p>
        </w:tc>
        <w:tc>
          <w:tcPr>
            <w:tcW w:w="491" w:type="pct"/>
            <w:tcBorders>
              <w:top w:val="nil"/>
              <w:left w:val="nil"/>
              <w:bottom w:val="single" w:color="000000" w:sz="4" w:space="0"/>
              <w:right w:val="single" w:color="000000" w:sz="4" w:space="0"/>
            </w:tcBorders>
            <w:shd w:val="clear" w:color="auto" w:fill="auto"/>
            <w:vAlign w:val="center"/>
          </w:tcPr>
          <w:p w14:paraId="554C6B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CE45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登记实名认证强化-企业登记在线功能修改-业务环节全面融入身份认证功能-外资登记身份认证改造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5B3A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修改外资登记各类线下业务首环节功能（材料收取或简易登记决定），实现身份认证通用功能与当前业务的功能互动与信息关联。涉及业务功能包括：一般登记业务类型包括各类外资企业的设立、变更（备案）、注销；简易登记类型包括各类外资企业的设立、变更（备案）、迁出/迁入、注销、增/减/补/换发证照、歇业备案。</w:t>
            </w:r>
          </w:p>
        </w:tc>
      </w:tr>
      <w:tr w14:paraId="0FEF8D3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EA62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268</w:t>
            </w:r>
          </w:p>
        </w:tc>
        <w:tc>
          <w:tcPr>
            <w:tcW w:w="491" w:type="pct"/>
            <w:tcBorders>
              <w:top w:val="nil"/>
              <w:left w:val="nil"/>
              <w:bottom w:val="single" w:color="000000" w:sz="4" w:space="0"/>
              <w:right w:val="single" w:color="000000" w:sz="4" w:space="0"/>
            </w:tcBorders>
            <w:shd w:val="clear" w:color="auto" w:fill="auto"/>
            <w:vAlign w:val="center"/>
          </w:tcPr>
          <w:p w14:paraId="17E1F8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0882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登记实名认证强化-企业登记在线功能修改-业务环节全面融入身份认证功能-农专登记身份认证改造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8FCE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修改农专登记各类线下业务首环节功能（收件或简易登记），实现身份认证通用功能与当前业务的功能互动与信息关联。涉及业务功能包括：一般登记业务类型包括农民专业合作社及其分支的设立申请、变更（备案）、注销申请、迁出/迁入、增/减/补/换发证照；简易登记业务类型包括农民专业合作社及其分支的设立申请、变更（备案）、注销申请、增/减/补/换发证照、歇业备案。</w:t>
            </w:r>
          </w:p>
        </w:tc>
      </w:tr>
      <w:tr w14:paraId="29DA3A0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0901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269</w:t>
            </w:r>
          </w:p>
        </w:tc>
        <w:tc>
          <w:tcPr>
            <w:tcW w:w="491" w:type="pct"/>
            <w:tcBorders>
              <w:top w:val="nil"/>
              <w:left w:val="nil"/>
              <w:bottom w:val="single" w:color="000000" w:sz="4" w:space="0"/>
              <w:right w:val="single" w:color="000000" w:sz="4" w:space="0"/>
            </w:tcBorders>
            <w:shd w:val="clear" w:color="auto" w:fill="auto"/>
            <w:vAlign w:val="center"/>
          </w:tcPr>
          <w:p w14:paraId="187903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8F86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登记实名认证强化-企业登记在线功能修改-业务环节全面融入身份认证功能-个体工商户登记身份认证改造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1F17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修改个体工商户登记各类线下业务首环节功能（收件或简易登记），实现身份认证通用功能与当前业务的功能互动与信息关联。涉及业务功能包括：一般登记业务类型包括个体工商户的开业申请、变更（备案）申请、注销申请、增/减/补/换发证照；简易登记业务类型包括个体工商户的变更（备案）、增/减/补/换发证照、歇业备案。</w:t>
            </w:r>
          </w:p>
        </w:tc>
      </w:tr>
      <w:tr w14:paraId="54D781D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F1F8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270</w:t>
            </w:r>
          </w:p>
        </w:tc>
        <w:tc>
          <w:tcPr>
            <w:tcW w:w="491" w:type="pct"/>
            <w:tcBorders>
              <w:top w:val="nil"/>
              <w:left w:val="nil"/>
              <w:bottom w:val="single" w:color="000000" w:sz="4" w:space="0"/>
              <w:right w:val="single" w:color="000000" w:sz="4" w:space="0"/>
            </w:tcBorders>
            <w:shd w:val="clear" w:color="auto" w:fill="auto"/>
            <w:vAlign w:val="center"/>
          </w:tcPr>
          <w:p w14:paraId="64CDFF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D47C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登记实名认证强化-企业登记在线功能修改-身份认证结果文书打印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B689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对于线下办件可在收件、创建材料和决定等环节进行查看和打印。对于线上办件，文书生成在“审核表”电子文件中。</w:t>
            </w:r>
          </w:p>
        </w:tc>
      </w:tr>
      <w:tr w14:paraId="4C4E26C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9C65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271</w:t>
            </w:r>
          </w:p>
        </w:tc>
        <w:tc>
          <w:tcPr>
            <w:tcW w:w="491" w:type="pct"/>
            <w:tcBorders>
              <w:top w:val="nil"/>
              <w:left w:val="nil"/>
              <w:bottom w:val="single" w:color="000000" w:sz="4" w:space="0"/>
              <w:right w:val="single" w:color="000000" w:sz="4" w:space="0"/>
            </w:tcBorders>
            <w:shd w:val="clear" w:color="auto" w:fill="auto"/>
            <w:vAlign w:val="center"/>
          </w:tcPr>
          <w:p w14:paraId="0CE9F9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0363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登记实名认证强化-企业登记在线功能修改-相关申请案查询增加身份认证结果查看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11C2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对内资登记、外资登记、农专登记和个体登记的历史申请案查询功能进行改造，在查看申请案详情信息的功能中，增加“查看身份认证结果信息”的功能，可查看该申请案绑定的身份认证结果信息。</w:t>
            </w:r>
          </w:p>
        </w:tc>
      </w:tr>
      <w:tr w14:paraId="086CA1E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330A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272</w:t>
            </w:r>
          </w:p>
        </w:tc>
        <w:tc>
          <w:tcPr>
            <w:tcW w:w="491" w:type="pct"/>
            <w:tcBorders>
              <w:top w:val="nil"/>
              <w:left w:val="nil"/>
              <w:bottom w:val="single" w:color="000000" w:sz="4" w:space="0"/>
              <w:right w:val="single" w:color="000000" w:sz="4" w:space="0"/>
            </w:tcBorders>
            <w:shd w:val="clear" w:color="auto" w:fill="auto"/>
            <w:vAlign w:val="center"/>
          </w:tcPr>
          <w:p w14:paraId="5A32E2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2046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登记实名认证强化-企业登记在线功能修改-调取查看实名认证图像信息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3E05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对接自然人身份实名认证系统功能，需要时，可以通过企业登记系统调取有关人员完成实名认证的验证信息（图像）。</w:t>
            </w:r>
          </w:p>
        </w:tc>
      </w:tr>
      <w:tr w14:paraId="293D2E3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8AFB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273</w:t>
            </w:r>
          </w:p>
        </w:tc>
        <w:tc>
          <w:tcPr>
            <w:tcW w:w="491" w:type="pct"/>
            <w:tcBorders>
              <w:top w:val="nil"/>
              <w:left w:val="nil"/>
              <w:bottom w:val="single" w:color="000000" w:sz="4" w:space="0"/>
              <w:right w:val="single" w:color="000000" w:sz="4" w:space="0"/>
            </w:tcBorders>
            <w:shd w:val="clear" w:color="auto" w:fill="auto"/>
            <w:vAlign w:val="center"/>
          </w:tcPr>
          <w:p w14:paraId="50CCD7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684D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企业电子营业执照升级-电子营业执照应急服务-电子营业执照应急服务功能-服务监控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765F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提供服务监控功能，对电子营业执照服务进行监控，实时采集电子营业执照服务的异常信息。</w:t>
            </w:r>
          </w:p>
        </w:tc>
      </w:tr>
      <w:tr w14:paraId="18F3BAB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22E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274</w:t>
            </w:r>
          </w:p>
        </w:tc>
        <w:tc>
          <w:tcPr>
            <w:tcW w:w="491" w:type="pct"/>
            <w:tcBorders>
              <w:top w:val="nil"/>
              <w:left w:val="nil"/>
              <w:bottom w:val="single" w:color="000000" w:sz="4" w:space="0"/>
              <w:right w:val="single" w:color="000000" w:sz="4" w:space="0"/>
            </w:tcBorders>
            <w:shd w:val="clear" w:color="auto" w:fill="auto"/>
            <w:vAlign w:val="center"/>
          </w:tcPr>
          <w:p w14:paraId="75FBCC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DCBE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企业电子营业执照升级-电子营业执照应急服务-电子营业执照应急服务功能-采集代理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8986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提供采集代理功能，采集代理为应急服务系统提供基础数据来源，定期收集监控指标相关的数据，并且当数据采集模块采集的时候将样本数据返回。</w:t>
            </w:r>
          </w:p>
        </w:tc>
      </w:tr>
      <w:tr w14:paraId="773F552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4F6C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275</w:t>
            </w:r>
          </w:p>
        </w:tc>
        <w:tc>
          <w:tcPr>
            <w:tcW w:w="491" w:type="pct"/>
            <w:tcBorders>
              <w:top w:val="nil"/>
              <w:left w:val="nil"/>
              <w:bottom w:val="single" w:color="000000" w:sz="4" w:space="0"/>
              <w:right w:val="single" w:color="000000" w:sz="4" w:space="0"/>
            </w:tcBorders>
            <w:shd w:val="clear" w:color="auto" w:fill="auto"/>
            <w:vAlign w:val="center"/>
          </w:tcPr>
          <w:p w14:paraId="570ED3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C6C2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企业电子营业执照升级-电子营业执照应急服务-电子营业执照应急服务功能-故障分析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2277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提供故障分析功能，根据采集到的电子营业执照异常信息按照先验条件进行故障分析，根据故障分析结果决定是否执行应急处理。根据故障分析结果将故障等级分为两个等级：一般故障和应急故障。</w:t>
            </w:r>
          </w:p>
        </w:tc>
      </w:tr>
      <w:tr w14:paraId="1C38A10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B231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276</w:t>
            </w:r>
          </w:p>
        </w:tc>
        <w:tc>
          <w:tcPr>
            <w:tcW w:w="491" w:type="pct"/>
            <w:tcBorders>
              <w:top w:val="nil"/>
              <w:left w:val="nil"/>
              <w:bottom w:val="single" w:color="000000" w:sz="4" w:space="0"/>
              <w:right w:val="single" w:color="000000" w:sz="4" w:space="0"/>
            </w:tcBorders>
            <w:shd w:val="clear" w:color="auto" w:fill="auto"/>
            <w:vAlign w:val="center"/>
          </w:tcPr>
          <w:p w14:paraId="76174E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2467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企业电子营业执照升级-电子营业执照应急服务-电子营业执照应急服务功能-故障预警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B1A5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故障预警功能，在电子营业执照无法正常提供服务时，进行应急故障预警，通知相应工作人员进行故障处理。故障通知采用方式：一是通过电子营业执照系统进行故障提示，二是通过微信或者短信方式通知相应的系统运维人员进行故障处理。</w:t>
            </w:r>
          </w:p>
        </w:tc>
      </w:tr>
      <w:tr w14:paraId="3C038E8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85D7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277</w:t>
            </w:r>
          </w:p>
        </w:tc>
        <w:tc>
          <w:tcPr>
            <w:tcW w:w="491" w:type="pct"/>
            <w:tcBorders>
              <w:top w:val="nil"/>
              <w:left w:val="nil"/>
              <w:bottom w:val="single" w:color="000000" w:sz="4" w:space="0"/>
              <w:right w:val="single" w:color="000000" w:sz="4" w:space="0"/>
            </w:tcBorders>
            <w:shd w:val="clear" w:color="auto" w:fill="auto"/>
            <w:vAlign w:val="center"/>
          </w:tcPr>
          <w:p w14:paraId="00A309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C2D9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企业电子营业执照升级-电子营业执照应急服务-电子营业执照应急服务功能-应急模式切换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31231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应急模式切换功能，当上海市市监局电子营业执照相关服务不能正常进行时，应急系统收到应急通知之后，相关工作人员将应急系统切换至应急模式。在应急模式下应急系统将进行服务，保障经营主体电子营业执照认证登录功能的正常使用，保证电子营业执照相关业务的正常进行；当电子营业执照系统恢复正常后，应急模式切换功能将应急服务系统由应急模式切换到正常模式。</w:t>
            </w:r>
          </w:p>
        </w:tc>
      </w:tr>
      <w:tr w14:paraId="4E45512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80B2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278</w:t>
            </w:r>
          </w:p>
        </w:tc>
        <w:tc>
          <w:tcPr>
            <w:tcW w:w="491" w:type="pct"/>
            <w:tcBorders>
              <w:top w:val="nil"/>
              <w:left w:val="nil"/>
              <w:bottom w:val="single" w:color="000000" w:sz="4" w:space="0"/>
              <w:right w:val="single" w:color="000000" w:sz="4" w:space="0"/>
            </w:tcBorders>
            <w:shd w:val="clear" w:color="auto" w:fill="auto"/>
            <w:vAlign w:val="center"/>
          </w:tcPr>
          <w:p w14:paraId="3755FA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73A0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企业电子营业执照升级-电子营业执照应急服务-电子营业执照应急服务功能-应急二维码管理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DC58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1.应急二维码生成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应急二维码生成功能，应急二维码基于URL、随机数以及应用系统名称生成；二维码生成时，将二维码信息文本转化为二进制数字并将其进行编码，根据编码数据再生成纠错码，将数据码与纠错码以一定的顺序排列放置在二维码矩阵中并在二维码的空白区域增加格式和必要的版本信息，生成二维码图片，并返回给业务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2.应急二维码状态管理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应急二维码状态管理功能模块主要对应急二维码的全生命周期进行监控管理。该模块会对应急二维码的状态进行监控记录，若二维码超过其有效期时间，则对过期二维码进行清除。</w:t>
            </w:r>
          </w:p>
        </w:tc>
      </w:tr>
      <w:tr w14:paraId="774083B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4747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279</w:t>
            </w:r>
          </w:p>
        </w:tc>
        <w:tc>
          <w:tcPr>
            <w:tcW w:w="491" w:type="pct"/>
            <w:tcBorders>
              <w:top w:val="nil"/>
              <w:left w:val="nil"/>
              <w:bottom w:val="single" w:color="000000" w:sz="4" w:space="0"/>
              <w:right w:val="single" w:color="000000" w:sz="4" w:space="0"/>
            </w:tcBorders>
            <w:shd w:val="clear" w:color="auto" w:fill="auto"/>
            <w:vAlign w:val="center"/>
          </w:tcPr>
          <w:p w14:paraId="4D7F3C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35AA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企业电子营业执照升级-电子营业执照应急服务-电子营业执照应急服务功能-应急认证登录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EC03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1.应急模式下电子营业执照真实性验证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应急模式下电子营业执照真实性验证功能模块提供一个完整的经营主体身份认证过程中的电子营业执照真实性验证功能，验证该经营主体电子营业执照确实是由市场监督管理部门签发，验证方式是通过市场监督管理部门电子营业执照系统的根密钥的公钥对该经营主体的电子营业执照中的签名值进行验签，验签通过则证明该经营主体电子营业执照确实为市场监督管理部门签发。</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2.应急模式下电子营业执照有效性验证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应急模式下电子营业执照有效性验证模块主要实现在一个完整经营主体基于电子营业执照的身份认证过程中核验该电子营业执照是否在有效期内；验证该电子营业执照有效期时，首先对获取的电子营业执照进行解析，获取电子营业执照的有效期截止日期，根据当前时间对核验该电子营业执照是否在有效期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3.应急令牌生成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应急令牌生成功能模块提供业务应用系统交互令牌生成和发放功能，业务应用系统可以通过该令牌获取企业身份认证结果；令牌生成时，系统调用密码设备的密码服务接口生成该令牌，并将该令牌返回给业务应用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4.应急认证结果缓存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应急认证结果缓存功能提供经营主体在应急过程中电子营业执照认证结果缓存，经营主体在一个完整的认证过程中完成认证后，可将应急认证结果通过队列机制缓存到系统中，该模块将定时对缓存结果进行清除。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5.应急认证结果回执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经营主体使用电子营业执照时，需要进行执照的认证，认证后该功能模块会将身份认证的结果通过业务系统的回执接口返回给业务系统，业务系统可以根据结果进行后续的业务办理。</w:t>
            </w:r>
          </w:p>
        </w:tc>
      </w:tr>
      <w:tr w14:paraId="0D35876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0AF4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280</w:t>
            </w:r>
          </w:p>
        </w:tc>
        <w:tc>
          <w:tcPr>
            <w:tcW w:w="491" w:type="pct"/>
            <w:tcBorders>
              <w:top w:val="nil"/>
              <w:left w:val="nil"/>
              <w:bottom w:val="single" w:color="000000" w:sz="4" w:space="0"/>
              <w:right w:val="single" w:color="000000" w:sz="4" w:space="0"/>
            </w:tcBorders>
            <w:shd w:val="clear" w:color="auto" w:fill="auto"/>
            <w:vAlign w:val="center"/>
          </w:tcPr>
          <w:p w14:paraId="1C5E42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1C98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企业电子营业执照升级-电子营业执照应急服务-电子营业执照应急服务功能-监控策略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0BA7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提供监控策略，根据电子营业执照系统出现的不同故障，针对不同的应急事件判断故障是否需要监控、是否需要实时监控、监控的时间段、监控的对象等，采用相应的监控策略。</w:t>
            </w:r>
          </w:p>
        </w:tc>
      </w:tr>
      <w:tr w14:paraId="4F6899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97B0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281</w:t>
            </w:r>
          </w:p>
        </w:tc>
        <w:tc>
          <w:tcPr>
            <w:tcW w:w="491" w:type="pct"/>
            <w:tcBorders>
              <w:top w:val="nil"/>
              <w:left w:val="nil"/>
              <w:bottom w:val="single" w:color="000000" w:sz="4" w:space="0"/>
              <w:right w:val="single" w:color="000000" w:sz="4" w:space="0"/>
            </w:tcBorders>
            <w:shd w:val="clear" w:color="auto" w:fill="auto"/>
            <w:vAlign w:val="center"/>
          </w:tcPr>
          <w:p w14:paraId="2B5994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9D39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企业电子营业执照升级-电子营业执照应急服务-电子营业执照应急服务功能-通知策略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BB95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提供通知策略，根据电子营业执照系统出现的不同故障，针对不同的应急事件判断故障是否需要应急通知、通知的时效、通知的对象等，采用相应的通知策略。</w:t>
            </w:r>
          </w:p>
        </w:tc>
      </w:tr>
      <w:tr w14:paraId="359D790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E71C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282</w:t>
            </w:r>
          </w:p>
        </w:tc>
        <w:tc>
          <w:tcPr>
            <w:tcW w:w="491" w:type="pct"/>
            <w:tcBorders>
              <w:top w:val="nil"/>
              <w:left w:val="nil"/>
              <w:bottom w:val="single" w:color="000000" w:sz="4" w:space="0"/>
              <w:right w:val="single" w:color="000000" w:sz="4" w:space="0"/>
            </w:tcBorders>
            <w:shd w:val="clear" w:color="auto" w:fill="auto"/>
            <w:vAlign w:val="center"/>
          </w:tcPr>
          <w:p w14:paraId="0F44F0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DB44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企业电子营业执照升级-电子营业执照应急服务-电子营业执照应急服务功能-应急策略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EB80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提供应急策略，根据故障分析的内容，对电子营业执照系统出现不同的系统故障，针对不同的应急事件判断故障是否需要应急，采取不同等级的应急策略。</w:t>
            </w:r>
          </w:p>
        </w:tc>
      </w:tr>
      <w:tr w14:paraId="6143070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38BB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283</w:t>
            </w:r>
          </w:p>
        </w:tc>
        <w:tc>
          <w:tcPr>
            <w:tcW w:w="491" w:type="pct"/>
            <w:tcBorders>
              <w:top w:val="nil"/>
              <w:left w:val="nil"/>
              <w:bottom w:val="single" w:color="000000" w:sz="4" w:space="0"/>
              <w:right w:val="single" w:color="000000" w:sz="4" w:space="0"/>
            </w:tcBorders>
            <w:shd w:val="clear" w:color="auto" w:fill="auto"/>
            <w:vAlign w:val="center"/>
          </w:tcPr>
          <w:p w14:paraId="1C79A7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1B87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企业电子营业执照升级-电子营业执照应急服务-电子营业执照应急服务功能-应急过程追溯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2D2D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提供应急过程追溯功能，可以通过应急过程追溯功能可以查看应急事件的整个过程信息，包括：应急预警信息、故障通知信息、应急模式切换信息等以及各个应急阶段起止的时间点。</w:t>
            </w:r>
          </w:p>
        </w:tc>
      </w:tr>
      <w:tr w14:paraId="642D87B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71D4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284</w:t>
            </w:r>
          </w:p>
        </w:tc>
        <w:tc>
          <w:tcPr>
            <w:tcW w:w="491" w:type="pct"/>
            <w:tcBorders>
              <w:top w:val="nil"/>
              <w:left w:val="nil"/>
              <w:bottom w:val="single" w:color="000000" w:sz="4" w:space="0"/>
              <w:right w:val="single" w:color="000000" w:sz="4" w:space="0"/>
            </w:tcBorders>
            <w:shd w:val="clear" w:color="auto" w:fill="auto"/>
            <w:vAlign w:val="center"/>
          </w:tcPr>
          <w:p w14:paraId="2100E2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FF3B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企业电子营业执照升级-电子营业执照应急服务-电子营业执照应急服务功能-应急业务统计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9F0F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提供应急登录企业数量统计、电子营业执照应用次数统计服务，按照时间、区域等分类统计应急登录企业数量，方便市场监管部门及时了解电子营业执照应急登录企业的情况。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1.按照时间统计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按照时间统计应急登录企业数量、电子营业执照应用次数，通过按照时间统计电子营业执照应急登录企业的情况，方便市场监管部门及时了解应急服务的情况。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2.按照区域统计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按照区域统计应急登录企业数量、电子营业执照应用次数，通过按照区域统计电子营业执照应急登录企业的情况，方便市场监管部门及时了解应急服务的情况。</w:t>
            </w:r>
          </w:p>
        </w:tc>
      </w:tr>
      <w:tr w14:paraId="56BF98D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BCF8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285</w:t>
            </w:r>
          </w:p>
        </w:tc>
        <w:tc>
          <w:tcPr>
            <w:tcW w:w="491" w:type="pct"/>
            <w:tcBorders>
              <w:top w:val="nil"/>
              <w:left w:val="nil"/>
              <w:bottom w:val="single" w:color="000000" w:sz="4" w:space="0"/>
              <w:right w:val="single" w:color="000000" w:sz="4" w:space="0"/>
            </w:tcBorders>
            <w:shd w:val="clear" w:color="auto" w:fill="auto"/>
            <w:vAlign w:val="center"/>
          </w:tcPr>
          <w:p w14:paraId="099587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8CC2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企业电子营业执照升级-电子营业执照应急服务-电子营业执照应急服务功能-管理员管理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07D6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管理员管理功能主要提供系统相关管理员、审计员等系统管理人员的注册、查看、删除、修改等管理员管理功能。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1.管理员增加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增加模块主要提供增加系统管理员信息功能。用户可以在管理员添加模块输入需要添加管理员的角色类型、管理员名称、证件号码、联系方式、省份等信息，进行管理员的添加。被添加的管理员有权限对系统进行管理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2.管理员修改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管理员修改模块主要提供管理员相关信息修改的功能。用户可以在修改模块中修改管理员的角色类型、管理员名称、证件号码、联系方式和省份等信息。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3.管理员删除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管理员删除模块主要提供删除已添加管理员的功能。删除管理员后，该管理员无法再使用账号登录至系统进行系统管理。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4.管理员查看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查看模块主要提供对已添加管理员的信息查看功能。用户进入管理员管理功能模块后，在管理员信息列表中可以查看已添加所有的管理员的基本信息，如：管理员的类型、名称、证件号码、联系方式、注册日期等信息。用户也可以点击“详细信息”查看一个管理员的详细信息。</w:t>
            </w:r>
          </w:p>
        </w:tc>
      </w:tr>
      <w:tr w14:paraId="55E3B25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588A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286</w:t>
            </w:r>
          </w:p>
        </w:tc>
        <w:tc>
          <w:tcPr>
            <w:tcW w:w="491" w:type="pct"/>
            <w:tcBorders>
              <w:top w:val="nil"/>
              <w:left w:val="nil"/>
              <w:bottom w:val="single" w:color="000000" w:sz="4" w:space="0"/>
              <w:right w:val="single" w:color="000000" w:sz="4" w:space="0"/>
            </w:tcBorders>
            <w:shd w:val="clear" w:color="auto" w:fill="auto"/>
            <w:vAlign w:val="center"/>
          </w:tcPr>
          <w:p w14:paraId="52BA31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1726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企业电子营业执照升级-电子营业执照应急服务-电子营业执照应急服务功能-系统日志管理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2FBF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日志管理主要提供系统运行日志、系统管理日志、系统异常日志的记录、查看等功能。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1.系统运行日志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系统运行日志功能主要提供系统运行相关日志的记录及查询查看功能，日志记录的信息包括访问者类型、系统标识、日志时间、业务类型、具体操作信息等。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2.系统管理日志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系统管理日志主要提供系统管理操作的日志记录和查询查看功能，该类日志信息包括管理员ID、日志时间、日志类型等信息。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3.系统异常日志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系统异常日志功能主要提供系统异常日志的记录和条件查询功能，日志信息报告异常标识、异常内容、日志时间、系统类型等。</w:t>
            </w:r>
          </w:p>
        </w:tc>
      </w:tr>
      <w:tr w14:paraId="3026E7D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3E28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287</w:t>
            </w:r>
          </w:p>
        </w:tc>
        <w:tc>
          <w:tcPr>
            <w:tcW w:w="491" w:type="pct"/>
            <w:tcBorders>
              <w:top w:val="nil"/>
              <w:left w:val="nil"/>
              <w:bottom w:val="single" w:color="000000" w:sz="4" w:space="0"/>
              <w:right w:val="single" w:color="000000" w:sz="4" w:space="0"/>
            </w:tcBorders>
            <w:shd w:val="clear" w:color="auto" w:fill="auto"/>
            <w:vAlign w:val="center"/>
          </w:tcPr>
          <w:p w14:paraId="3A97F5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9FED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企业电子营业执照升级-电子营业执照应急服务-电子营业执照验证系统改造-电子营业执照验证系统改造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6B01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电子营业执照验证系统进行改造，支持应急模式切换、应急二维码生成、应急状态下的验证结果生成等。确保在应急状态下通过应急服务系统对需要应急登录的经营主体的电子营业执照进行验证，保证电子营业执照相关业务正常进行。</w:t>
            </w:r>
          </w:p>
        </w:tc>
      </w:tr>
      <w:tr w14:paraId="2194714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9831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288</w:t>
            </w:r>
          </w:p>
        </w:tc>
        <w:tc>
          <w:tcPr>
            <w:tcW w:w="491" w:type="pct"/>
            <w:tcBorders>
              <w:top w:val="nil"/>
              <w:left w:val="nil"/>
              <w:bottom w:val="single" w:color="000000" w:sz="4" w:space="0"/>
              <w:right w:val="single" w:color="000000" w:sz="4" w:space="0"/>
            </w:tcBorders>
            <w:shd w:val="clear" w:color="auto" w:fill="auto"/>
            <w:vAlign w:val="center"/>
          </w:tcPr>
          <w:p w14:paraId="6CA7C1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A78E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企业电子营业执照升级-电子营业执照应急服务-电子营业执照验证前置系统改造-电子营业执照验证前置系统改造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01B5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对电子营业执照验证前置系统进行改造，支持应急模式切换、应急二维码推送、验证结果推送等，确保经营主体电子营业执照认证登录功能的正常使用，保证电子营业执照相关业务正常进行。</w:t>
            </w:r>
          </w:p>
        </w:tc>
      </w:tr>
      <w:tr w14:paraId="33BD95B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CAC7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289</w:t>
            </w:r>
          </w:p>
        </w:tc>
        <w:tc>
          <w:tcPr>
            <w:tcW w:w="491" w:type="pct"/>
            <w:tcBorders>
              <w:top w:val="nil"/>
              <w:left w:val="nil"/>
              <w:bottom w:val="single" w:color="000000" w:sz="4" w:space="0"/>
              <w:right w:val="single" w:color="000000" w:sz="4" w:space="0"/>
            </w:tcBorders>
            <w:shd w:val="clear" w:color="auto" w:fill="auto"/>
            <w:vAlign w:val="center"/>
          </w:tcPr>
          <w:p w14:paraId="3C44F2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0ACD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企业电子营业执照升级-电子营业执照应急服务-电子营业执照小程序改造-电子营业执照小程序改造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8754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对电子营业执照小程序进行改造，在电子营业执照中增加应急功能，在应急模式下能够识别应急二维码，进入应急身份认证模式，开启应急身份认证功能，保证电子营业执照业务的顺利进行。</w:t>
            </w:r>
          </w:p>
        </w:tc>
      </w:tr>
      <w:tr w14:paraId="5BABC96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262E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290</w:t>
            </w:r>
          </w:p>
        </w:tc>
        <w:tc>
          <w:tcPr>
            <w:tcW w:w="491" w:type="pct"/>
            <w:tcBorders>
              <w:top w:val="nil"/>
              <w:left w:val="nil"/>
              <w:bottom w:val="single" w:color="000000" w:sz="4" w:space="0"/>
              <w:right w:val="single" w:color="000000" w:sz="4" w:space="0"/>
            </w:tcBorders>
            <w:shd w:val="clear" w:color="auto" w:fill="auto"/>
            <w:vAlign w:val="center"/>
          </w:tcPr>
          <w:p w14:paraId="52D1EE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BFA7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企业电子营业执照升级-电子营业执照精准授权管理-移动端授权管理-身份认证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8F0B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提供身份认证功能，法定代表人在授权办事人时，需要进行企业法定代表人身份认证，确认企业法定代表人信息，并通过证据留存模块，留存身份认证记录。</w:t>
            </w:r>
          </w:p>
        </w:tc>
      </w:tr>
      <w:tr w14:paraId="54E17F6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5B81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291</w:t>
            </w:r>
          </w:p>
        </w:tc>
        <w:tc>
          <w:tcPr>
            <w:tcW w:w="491" w:type="pct"/>
            <w:tcBorders>
              <w:top w:val="nil"/>
              <w:left w:val="nil"/>
              <w:bottom w:val="single" w:color="000000" w:sz="4" w:space="0"/>
              <w:right w:val="single" w:color="000000" w:sz="4" w:space="0"/>
            </w:tcBorders>
            <w:shd w:val="clear" w:color="auto" w:fill="auto"/>
            <w:vAlign w:val="center"/>
          </w:tcPr>
          <w:p w14:paraId="1979D9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A562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企业电子营业执照升级-电子营业执照精准授权管理-移动端授权管理-精准授权管理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C9E1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1.新增授权管理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新增精准授权功能，企业用户法定代表人点击新增授权按钮选择办事人员进行授权，法定代表人点击新增授权按钮选择办事人员进行授权，若人员列表中存在已经添加的办事人员直接进行人员选择，然后点击办事事项按钮进入政务服务事项，根据部门导航选择办事部门，勾选所选定的办事部门下对应的具体办理事项名称，点击确认，完成办事人员的新增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2.待授权管理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办事人使用电子营业执照进行办事时，主动申请电子营业执照的使用权限，形成待授权记录，法定代表人或者证照管理员对办事人在待授权列表中的申请授权进行确认通过或者选择取消授权。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3.已授权管理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法定代表人或者管理员在已授权界面可以查看所有已授权办事人员名单以及授权事项等详细内容。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4.精准授权电子营业执照下载打印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精准授权电子营业执照下载打印功能，经办人领取到授权电子营业执照后，可以在电子营业执照小程序中直接下载电子营业执照PDF文件，然后打印成纸质材料作为申请材料。在电子营业执照PDF文件上加注业务类型和业务对象，比如“本次授权用于*********公司设立登记”、“本次授权用于*********公司变更经营范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5.精准授权电子营业执照出示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在电子营业执照小程序增加电子营业执照授权出示功能。经办人在窗口提交材料时，可以在电子营业执照小程序中点击出示带精准授权的电子营业执照的二维码。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6.精准授权电子营业执照验证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在注册登记业务中，窗口收件人员使用本功能扫经办人出示的带精准授权的电子营业执照二维码，既可以看到经办人的电子营业执照文件，电子营业执照文件也带有加注业务类型和业务对象。</w:t>
            </w:r>
          </w:p>
        </w:tc>
      </w:tr>
      <w:tr w14:paraId="2A0D659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E283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292</w:t>
            </w:r>
          </w:p>
        </w:tc>
        <w:tc>
          <w:tcPr>
            <w:tcW w:w="491" w:type="pct"/>
            <w:tcBorders>
              <w:top w:val="nil"/>
              <w:left w:val="nil"/>
              <w:bottom w:val="single" w:color="000000" w:sz="4" w:space="0"/>
              <w:right w:val="single" w:color="000000" w:sz="4" w:space="0"/>
            </w:tcBorders>
            <w:shd w:val="clear" w:color="auto" w:fill="auto"/>
            <w:vAlign w:val="center"/>
          </w:tcPr>
          <w:p w14:paraId="31E1EF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A9B8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企业电子营业执照升级-电子营业执照精准授权管理-移动端授权管理-文书精准推送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2A2D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文书精准推送功能，业务系统可以将文书精准推送到法定代表人的电子营业执照上，法定代表人可以通过电子营业执照查看文书的内容；法定代表人在查看完文书之后，电子营业执照精准授权管理系统将记录文书的已读情况。</w:t>
            </w:r>
          </w:p>
        </w:tc>
      </w:tr>
      <w:tr w14:paraId="187AD9B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FE3C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293</w:t>
            </w:r>
          </w:p>
        </w:tc>
        <w:tc>
          <w:tcPr>
            <w:tcW w:w="491" w:type="pct"/>
            <w:tcBorders>
              <w:top w:val="nil"/>
              <w:left w:val="nil"/>
              <w:bottom w:val="single" w:color="000000" w:sz="4" w:space="0"/>
              <w:right w:val="single" w:color="000000" w:sz="4" w:space="0"/>
            </w:tcBorders>
            <w:shd w:val="clear" w:color="auto" w:fill="auto"/>
            <w:vAlign w:val="center"/>
          </w:tcPr>
          <w:p w14:paraId="5A593A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2C4B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企业电子营业执照升级-电子营业执照精准授权管理-移动端授权管理-人员管理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48DE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1.查看人员列表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法定代表人或者证照管理员点击人员管理功能进入人员列表，可以查看到所有已经添加的办事人员名单。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2.添加人员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法定代表人或者证照管理员在人员管理中添加人员，录入办事人信息（姓名和身份证号），点击确认，完成办事人员添加。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3.查看详情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在人员列表清单里选择某个办事人员点击详情可查看到该办事人员的详细信息，如：人员姓名、企业名称、统一代码。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4.删除人员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查看办事人的详细信息，并对人员进行删除，点击“删除”按钮，即可完成删除。</w:t>
            </w:r>
          </w:p>
        </w:tc>
      </w:tr>
      <w:tr w14:paraId="2EC19B2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BFED7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294</w:t>
            </w:r>
          </w:p>
        </w:tc>
        <w:tc>
          <w:tcPr>
            <w:tcW w:w="491" w:type="pct"/>
            <w:tcBorders>
              <w:top w:val="nil"/>
              <w:left w:val="nil"/>
              <w:bottom w:val="single" w:color="000000" w:sz="4" w:space="0"/>
              <w:right w:val="single" w:color="000000" w:sz="4" w:space="0"/>
            </w:tcBorders>
            <w:shd w:val="clear" w:color="auto" w:fill="auto"/>
            <w:vAlign w:val="center"/>
          </w:tcPr>
          <w:p w14:paraId="3AA9FE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A7DA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企业电子营业执照升级-电子营业执照精准授权管理-移动端授权管理-委托书管理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808D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1.添加委托书信息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开发添加委托书信息功能，法定代表人可以在该页面填写具体的委托信息，包括被委托人、委托起止日期、具体委托事项（具体至业务的具体某个事项）等内容，添加后保存相关信息。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2.委托书生成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开发委托书生成功能。若业务系统有委托书的需求，则可以在填写委托信息的基础上根据已有模板生成电子版委托书，法定代表人可以在手机上预览电子版委托书。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3.精准授权委托书生成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开发精准授权委托书生成功能。法定代表人在完成精准授权操作后可以选择生成精准授权委托书，包括精准授权事项，授权内容，办事人信息，起止日期等信息。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4.委托书开具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开发委托书开具功能，委托书开具功能提供法定代表人使用电子营业执照对已生成的电子版委托书进行电子签名，为被委托人开具委托书，供法定代表人/被委托人查看、保存、下载。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5.委托书查询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委托书查询包括列表查询、详情查询两个功能模块的开发。委托书查询功能主要提供已开具、生成的委托书的查询功能。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6.委托书验证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开发委托书验证功能，办事人在使用电子委托书办理业务时，市监局业务系统可以通过相关接口验证本次被委托人员的身份、业务权限等信息：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是否经过法定代表人授权；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是否允许该委托人代办相关事项、委托数据信息。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7.委托书共享</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开发委托书共享功能，办事人持有委托书使用电子营业执照办理涉企事项时，若市监局业务系统有需求留存委托书，则通过委托书共享模块，将委托书共享给市监局业务系统。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8.取消委托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开发取消委托功能，在委托书详情查询中可以点击“取消委托”，可以取消对办事人的委托。取消委托后，委托书也同步失效，委托书在验证时提示已取消委托。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9.委托书查看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开发委托书查看功能，法定代表人可在电子营业执照小程序中查看已开具的电子委托书，办事人可在电子营业执照小程序中查看已被委托事项的电子委托书。</w:t>
            </w:r>
          </w:p>
        </w:tc>
      </w:tr>
      <w:tr w14:paraId="2956B35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6AFD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295</w:t>
            </w:r>
          </w:p>
        </w:tc>
        <w:tc>
          <w:tcPr>
            <w:tcW w:w="491" w:type="pct"/>
            <w:tcBorders>
              <w:top w:val="nil"/>
              <w:left w:val="nil"/>
              <w:bottom w:val="single" w:color="000000" w:sz="4" w:space="0"/>
              <w:right w:val="single" w:color="000000" w:sz="4" w:space="0"/>
            </w:tcBorders>
            <w:shd w:val="clear" w:color="auto" w:fill="auto"/>
            <w:vAlign w:val="center"/>
          </w:tcPr>
          <w:p w14:paraId="278108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C201D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企业电子营业执照升级-电子营业执照精准授权管理-PC端授权管理-身份认证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7155B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身份认证功能，法定代表人和证照管理员（以下简称“法定代表人”）可以通过扫码登录功能，使用电子营业执照扫描系统登录二维码，完成身份认证之后登录至PC端电子营业执照精准授权系统办理后续业务。</w:t>
            </w:r>
          </w:p>
        </w:tc>
      </w:tr>
      <w:tr w14:paraId="7F5BD4A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2C12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296</w:t>
            </w:r>
          </w:p>
        </w:tc>
        <w:tc>
          <w:tcPr>
            <w:tcW w:w="491" w:type="pct"/>
            <w:tcBorders>
              <w:top w:val="nil"/>
              <w:left w:val="nil"/>
              <w:bottom w:val="single" w:color="000000" w:sz="4" w:space="0"/>
              <w:right w:val="single" w:color="000000" w:sz="4" w:space="0"/>
            </w:tcBorders>
            <w:shd w:val="clear" w:color="auto" w:fill="auto"/>
            <w:vAlign w:val="center"/>
          </w:tcPr>
          <w:p w14:paraId="7BDF49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0D8B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企业电子营业执照升级-电子营业执照精准授权管理-PC端授权管理-精准授权管理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B972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1.新增授权管理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新增精准授权功能，企业用户法定代表人点击新增授权按钮选择办事人员进行授权，法定代表人点击新增授权按钮选择办事人员进行授权，若人员列表中存在已经添加的办事人员直接进行人员选择，然后点击办事事项按钮进入政务服务事项，根据部门导航选择办事部门，勾选所选定的办事部门下对应的具体办理事项名称，点击确认，完成办事人员的新增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2.待授权管理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办事人使用电子营业执照进行办事时，主动申请电子营业执照的使用权限，形成待授权记录，法定代表人或者证照管理员对办事人在待授权列表中的申请授权进行确认通过或者选择取消授权。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3.已授权管理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法定代表人或者管理员在已授权界面可以查看所有已授权办事人员名单以及授权事项等详细内容。</w:t>
            </w:r>
          </w:p>
        </w:tc>
      </w:tr>
      <w:tr w14:paraId="1E45DF1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F99F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297</w:t>
            </w:r>
          </w:p>
        </w:tc>
        <w:tc>
          <w:tcPr>
            <w:tcW w:w="491" w:type="pct"/>
            <w:tcBorders>
              <w:top w:val="nil"/>
              <w:left w:val="nil"/>
              <w:bottom w:val="single" w:color="000000" w:sz="4" w:space="0"/>
              <w:right w:val="single" w:color="000000" w:sz="4" w:space="0"/>
            </w:tcBorders>
            <w:shd w:val="clear" w:color="auto" w:fill="auto"/>
            <w:vAlign w:val="center"/>
          </w:tcPr>
          <w:p w14:paraId="0365D8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2471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企业电子营业执照升级-电子营业执照精准授权管理-PC端授权管理-打印电子营业执照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27DC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电子营业执照打印功能，经办人领取到授权电子营业执照后，可以在电PC端中直接下载电子营业执照PDF文件，然后打印成纸质材料作为申请材料。在电子营业执照PDF文件上加注业务类型和业务对象，比如“本次授权用于*********公司设立登记”、“本次授权用于*********公司变更经营范围”。</w:t>
            </w:r>
          </w:p>
        </w:tc>
      </w:tr>
      <w:tr w14:paraId="2233FCE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8BB6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298</w:t>
            </w:r>
          </w:p>
        </w:tc>
        <w:tc>
          <w:tcPr>
            <w:tcW w:w="491" w:type="pct"/>
            <w:tcBorders>
              <w:top w:val="nil"/>
              <w:left w:val="nil"/>
              <w:bottom w:val="single" w:color="000000" w:sz="4" w:space="0"/>
              <w:right w:val="single" w:color="000000" w:sz="4" w:space="0"/>
            </w:tcBorders>
            <w:shd w:val="clear" w:color="auto" w:fill="auto"/>
            <w:vAlign w:val="center"/>
          </w:tcPr>
          <w:p w14:paraId="7FE1EA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EF3E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企业电子营业执照升级-电子营业执照精准授权管理-PC端授权管理-人员管理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2FEA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1.查看人员列表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法定代表人或者证照管理员点击人员管理功能进入人员列表，可以查看到所有已经添加的办事人员名单。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2.添加人员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法定代表人或者证照管理员在人员管理中添加人员，录入办事人信息（姓名和身份证号），点击确认，完成办事人员添加。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3.查看详情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在人员列表清单里选择某个办事人员点击详情可查看到该办事人员的详细信息，如：人员姓名、企业名称、统一代码。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4.删除人员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查看办事人的详细信息，并对人员进行删除，点击“删除”按钮，即可完成删除。</w:t>
            </w:r>
          </w:p>
        </w:tc>
      </w:tr>
      <w:tr w14:paraId="6FC77FC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79D2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299</w:t>
            </w:r>
          </w:p>
        </w:tc>
        <w:tc>
          <w:tcPr>
            <w:tcW w:w="491" w:type="pct"/>
            <w:tcBorders>
              <w:top w:val="nil"/>
              <w:left w:val="nil"/>
              <w:bottom w:val="single" w:color="000000" w:sz="4" w:space="0"/>
              <w:right w:val="single" w:color="000000" w:sz="4" w:space="0"/>
            </w:tcBorders>
            <w:shd w:val="clear" w:color="auto" w:fill="auto"/>
            <w:vAlign w:val="center"/>
          </w:tcPr>
          <w:p w14:paraId="3F8010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0FE6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企业电子营业执照升级-电子营业执照精准授权管理-连锁分支机构电照下载授权管理-身份认证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0D78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提供身份认证功能，总公司法定代表人（在允许登录的名单内的人员）可以通过使用总公司电子营业执照扫描登录二维码，身份认证成功后登录至应用系统进行后续操作。</w:t>
            </w:r>
          </w:p>
        </w:tc>
      </w:tr>
      <w:tr w14:paraId="116097A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7EE3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300</w:t>
            </w:r>
          </w:p>
        </w:tc>
        <w:tc>
          <w:tcPr>
            <w:tcW w:w="491" w:type="pct"/>
            <w:tcBorders>
              <w:top w:val="nil"/>
              <w:left w:val="nil"/>
              <w:bottom w:val="single" w:color="000000" w:sz="4" w:space="0"/>
              <w:right w:val="single" w:color="000000" w:sz="4" w:space="0"/>
            </w:tcBorders>
            <w:shd w:val="clear" w:color="auto" w:fill="auto"/>
            <w:vAlign w:val="center"/>
          </w:tcPr>
          <w:p w14:paraId="45EC1F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922F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企业电子营业执照升级-电子营业执照精准授权管理-连锁分支机构电照下载授权管理-电子营业执照授权下载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2A93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电子营业执照下载授权功能，总公司法定代表人在连锁分支机构/分公司电照下载授权系统看查看名下分支机构/分公司，勾选需要下载电子营业执照的分支机构/分公司，进行签名确认，授权分支机构/分公司下载分公司电子营业执照并生成二维码，扫描二维码即可下载分支机构电子营业执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企业法定代表人可以通过电子营业执照下载授权功能授权分支机构/分公司下载电子营业执照。</w:t>
            </w:r>
          </w:p>
        </w:tc>
      </w:tr>
      <w:tr w14:paraId="31D42E1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A7D1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301</w:t>
            </w:r>
          </w:p>
        </w:tc>
        <w:tc>
          <w:tcPr>
            <w:tcW w:w="491" w:type="pct"/>
            <w:tcBorders>
              <w:top w:val="nil"/>
              <w:left w:val="nil"/>
              <w:bottom w:val="single" w:color="000000" w:sz="4" w:space="0"/>
              <w:right w:val="single" w:color="000000" w:sz="4" w:space="0"/>
            </w:tcBorders>
            <w:shd w:val="clear" w:color="auto" w:fill="auto"/>
            <w:vAlign w:val="center"/>
          </w:tcPr>
          <w:p w14:paraId="5E16DC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1082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企业电子营业执照升级-电子营业执照精准授权管理-连锁分支机构电照下载授权管理-电子营业执照批量下载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6C24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提供电子营业执照批量下载功能，支持法定代表人或执照管理查看名下所有执照信息，并且提供批量下载所勾选的电子营业执照。</w:t>
            </w:r>
          </w:p>
        </w:tc>
      </w:tr>
      <w:tr w14:paraId="4198C60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F81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302</w:t>
            </w:r>
          </w:p>
        </w:tc>
        <w:tc>
          <w:tcPr>
            <w:tcW w:w="491" w:type="pct"/>
            <w:tcBorders>
              <w:top w:val="nil"/>
              <w:left w:val="nil"/>
              <w:bottom w:val="single" w:color="000000" w:sz="4" w:space="0"/>
              <w:right w:val="single" w:color="000000" w:sz="4" w:space="0"/>
            </w:tcBorders>
            <w:shd w:val="clear" w:color="auto" w:fill="auto"/>
            <w:vAlign w:val="center"/>
          </w:tcPr>
          <w:p w14:paraId="508E34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875B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企业电子营业执照升级-电子营业执照精准授权管理-连锁分支机构电照下载授权管理-申请记录查询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DEDB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提供申请记录查询功能，法定代表人在授权完成分支机构/分公司之后会留存申请记录，留存整个流程主要环节的信息，做到整个流程的证据保留，在需要证据时可以及时出具。</w:t>
            </w:r>
          </w:p>
        </w:tc>
      </w:tr>
      <w:tr w14:paraId="6BC8D29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F2AB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303</w:t>
            </w:r>
          </w:p>
        </w:tc>
        <w:tc>
          <w:tcPr>
            <w:tcW w:w="491" w:type="pct"/>
            <w:tcBorders>
              <w:top w:val="nil"/>
              <w:left w:val="nil"/>
              <w:bottom w:val="single" w:color="000000" w:sz="4" w:space="0"/>
              <w:right w:val="single" w:color="000000" w:sz="4" w:space="0"/>
            </w:tcBorders>
            <w:shd w:val="clear" w:color="auto" w:fill="auto"/>
            <w:vAlign w:val="center"/>
          </w:tcPr>
          <w:p w14:paraId="24B5B1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65DB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企业电子营业执照升级-电子营业执照精准授权管理-连锁分支机构电照下载授权管理-下载记录查询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A1A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提供下载记录查询功能，企业法定代表人或用户可以通过下载记录查询查看分支机构/分公司下载电子营业执照的记录。</w:t>
            </w:r>
          </w:p>
        </w:tc>
      </w:tr>
      <w:tr w14:paraId="5AC0E38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42EF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304</w:t>
            </w:r>
          </w:p>
        </w:tc>
        <w:tc>
          <w:tcPr>
            <w:tcW w:w="491" w:type="pct"/>
            <w:tcBorders>
              <w:top w:val="nil"/>
              <w:left w:val="nil"/>
              <w:bottom w:val="single" w:color="000000" w:sz="4" w:space="0"/>
              <w:right w:val="single" w:color="000000" w:sz="4" w:space="0"/>
            </w:tcBorders>
            <w:shd w:val="clear" w:color="auto" w:fill="auto"/>
            <w:vAlign w:val="center"/>
          </w:tcPr>
          <w:p w14:paraId="2CF461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5EB9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企业电子营业执照升级-电子营业执照精准授权管理-连锁分支机构电照下载授权管理-被授权分支机构/分公司管理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F52C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1.添加被授权分支机构/分公司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添加被授权分支机构/分公司功能为法定代表人提供被授权企业分支机构/分公司信息的录入。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2.修改被授权分支机构/分公司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如果发现被授权分支机构/分公司的信息有误，法定代表人有权对其进行修改。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3.删除被授权分支机构/分公司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提供被授权分支机构/分公司信息删除功能，点击“删除被授权分支机构/分公司”即可删除成功。</w:t>
            </w:r>
          </w:p>
        </w:tc>
      </w:tr>
      <w:tr w14:paraId="00AA84E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E5D9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305</w:t>
            </w:r>
          </w:p>
        </w:tc>
        <w:tc>
          <w:tcPr>
            <w:tcW w:w="491" w:type="pct"/>
            <w:tcBorders>
              <w:top w:val="nil"/>
              <w:left w:val="nil"/>
              <w:bottom w:val="single" w:color="000000" w:sz="4" w:space="0"/>
              <w:right w:val="single" w:color="000000" w:sz="4" w:space="0"/>
            </w:tcBorders>
            <w:shd w:val="clear" w:color="auto" w:fill="auto"/>
            <w:vAlign w:val="center"/>
          </w:tcPr>
          <w:p w14:paraId="70CAA9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CE1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企业电子营业执照升级-电子营业执照精准授权管理-应用服务-鉴权服务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DAD8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为应用提供鉴权服务。提供企业法人用户授权的鉴权功能,被授权人在选择业务操作时，根据企业身份、对应业务操作进行鉴权，从而实现业务控制。支持将当前用户授权的鉴权结果传递给具体的业务系统。</w:t>
            </w:r>
          </w:p>
        </w:tc>
      </w:tr>
      <w:tr w14:paraId="33D6CA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B88E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306</w:t>
            </w:r>
          </w:p>
        </w:tc>
        <w:tc>
          <w:tcPr>
            <w:tcW w:w="491" w:type="pct"/>
            <w:tcBorders>
              <w:top w:val="nil"/>
              <w:left w:val="nil"/>
              <w:bottom w:val="single" w:color="000000" w:sz="4" w:space="0"/>
              <w:right w:val="single" w:color="000000" w:sz="4" w:space="0"/>
            </w:tcBorders>
            <w:shd w:val="clear" w:color="auto" w:fill="auto"/>
            <w:vAlign w:val="center"/>
          </w:tcPr>
          <w:p w14:paraId="4B4240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C160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企业电子营业执照升级-电子营业执照精准授权管理-应用服务-服务监控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9E4C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对鉴权服务运行状况及接口服务状态进行监控，当监测到异常时进行报警提示。</w:t>
            </w:r>
          </w:p>
        </w:tc>
      </w:tr>
      <w:tr w14:paraId="4E5BD6C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34F7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307</w:t>
            </w:r>
          </w:p>
        </w:tc>
        <w:tc>
          <w:tcPr>
            <w:tcW w:w="491" w:type="pct"/>
            <w:tcBorders>
              <w:top w:val="nil"/>
              <w:left w:val="nil"/>
              <w:bottom w:val="single" w:color="000000" w:sz="4" w:space="0"/>
              <w:right w:val="single" w:color="000000" w:sz="4" w:space="0"/>
            </w:tcBorders>
            <w:shd w:val="clear" w:color="auto" w:fill="auto"/>
            <w:vAlign w:val="center"/>
          </w:tcPr>
          <w:p w14:paraId="5515B1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4667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企业电子营业执照升级-电子营业执照精准授权管理-应用服务-操作审计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EFB7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提供授权过程和鉴权过程的操作日志审计功能，实现可追溯。</w:t>
            </w:r>
          </w:p>
        </w:tc>
      </w:tr>
      <w:tr w14:paraId="5B395AB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4AE9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308</w:t>
            </w:r>
          </w:p>
        </w:tc>
        <w:tc>
          <w:tcPr>
            <w:tcW w:w="491" w:type="pct"/>
            <w:tcBorders>
              <w:top w:val="nil"/>
              <w:left w:val="nil"/>
              <w:bottom w:val="single" w:color="000000" w:sz="4" w:space="0"/>
              <w:right w:val="single" w:color="000000" w:sz="4" w:space="0"/>
            </w:tcBorders>
            <w:shd w:val="clear" w:color="auto" w:fill="auto"/>
            <w:vAlign w:val="center"/>
          </w:tcPr>
          <w:p w14:paraId="38FA49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DFD6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企业电子营业执照升级-电子营业执照精准授权管理-应用服务-鉴权记录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3E83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鉴权记录模块主要提供查看使用电子营业执照办事人员的鉴权记录和鉴权详情，记录办事人员的企业名称、统一代码、鉴定事项、开始时间、有效期、办事人员名称、申请操作时间等信息。</w:t>
            </w:r>
          </w:p>
        </w:tc>
      </w:tr>
      <w:tr w14:paraId="6B03E97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5ABE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309</w:t>
            </w:r>
          </w:p>
        </w:tc>
        <w:tc>
          <w:tcPr>
            <w:tcW w:w="491" w:type="pct"/>
            <w:tcBorders>
              <w:top w:val="nil"/>
              <w:left w:val="nil"/>
              <w:bottom w:val="single" w:color="000000" w:sz="4" w:space="0"/>
              <w:right w:val="single" w:color="000000" w:sz="4" w:space="0"/>
            </w:tcBorders>
            <w:shd w:val="clear" w:color="auto" w:fill="auto"/>
            <w:vAlign w:val="center"/>
          </w:tcPr>
          <w:p w14:paraId="2E50FD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0BF3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企业电子营业执照升级-电子营业执照精准授权管理-应用服务-鉴权服务接口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966D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提供鉴权服务接口，与应用系统对接，为应用系统鉴权提供支撑。</w:t>
            </w:r>
          </w:p>
        </w:tc>
      </w:tr>
      <w:tr w14:paraId="3F3166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1FBE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310</w:t>
            </w:r>
          </w:p>
        </w:tc>
        <w:tc>
          <w:tcPr>
            <w:tcW w:w="491" w:type="pct"/>
            <w:tcBorders>
              <w:top w:val="nil"/>
              <w:left w:val="nil"/>
              <w:bottom w:val="single" w:color="000000" w:sz="4" w:space="0"/>
              <w:right w:val="single" w:color="000000" w:sz="4" w:space="0"/>
            </w:tcBorders>
            <w:shd w:val="clear" w:color="auto" w:fill="auto"/>
            <w:vAlign w:val="center"/>
          </w:tcPr>
          <w:p w14:paraId="2CCE2B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59E9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企业电子营业执照升级-电子营业执照精准授权管理-应用服务-精准授权电子营业执照文件获取接口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60DE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电子营业执照应用接口增加获取精准授权电子营业执照文件功能接口，企业登记系统或综窗系统可以调用该接口获取带精准授权电子营业执照文件。对于有扫码抢的窗口，可以使用扫码枪扫经办人出示的带精准授权的电子营业执照二维码，然后通过登记系统或综窗系统调用本接口把码内容提交给电子营业执照系统，电子营业执照系统验证通过后返回带加注业务类型和业务对象电子营业执照文件。</w:t>
            </w:r>
          </w:p>
        </w:tc>
      </w:tr>
      <w:tr w14:paraId="1C349C6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3698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311</w:t>
            </w:r>
          </w:p>
        </w:tc>
        <w:tc>
          <w:tcPr>
            <w:tcW w:w="491" w:type="pct"/>
            <w:tcBorders>
              <w:top w:val="nil"/>
              <w:left w:val="nil"/>
              <w:bottom w:val="single" w:color="000000" w:sz="4" w:space="0"/>
              <w:right w:val="single" w:color="000000" w:sz="4" w:space="0"/>
            </w:tcBorders>
            <w:shd w:val="clear" w:color="auto" w:fill="auto"/>
            <w:vAlign w:val="center"/>
          </w:tcPr>
          <w:p w14:paraId="7A84D8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77CE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企业电子营业执照升级-电子营业执照精准授权管理-应用服务-委托书获取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30D3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提供委托书获取功能，办事人在经过法定代表人授权后，在办理业务时，业务系统可以获取办事人的委托书。</w:t>
            </w:r>
          </w:p>
        </w:tc>
      </w:tr>
      <w:tr w14:paraId="1E9179F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6153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312</w:t>
            </w:r>
          </w:p>
        </w:tc>
        <w:tc>
          <w:tcPr>
            <w:tcW w:w="491" w:type="pct"/>
            <w:tcBorders>
              <w:top w:val="nil"/>
              <w:left w:val="nil"/>
              <w:bottom w:val="single" w:color="000000" w:sz="4" w:space="0"/>
              <w:right w:val="single" w:color="000000" w:sz="4" w:space="0"/>
            </w:tcBorders>
            <w:shd w:val="clear" w:color="auto" w:fill="auto"/>
            <w:vAlign w:val="center"/>
          </w:tcPr>
          <w:p w14:paraId="15DF13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EFAD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企业电子营业执照升级-电子营业执照精准授权管理-应用服务-委托书验证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DF96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委托书验证功能，办事人在使用电子委托书办理业务时，业务系统可以通过相关接口验证本次被委托人员的身份、业务权限等信息：是否经过法定代表人授权、是否允许该委托人代办相关事项、委托数据信息。</w:t>
            </w:r>
          </w:p>
        </w:tc>
      </w:tr>
      <w:tr w14:paraId="354DB63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01D4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313</w:t>
            </w:r>
          </w:p>
        </w:tc>
        <w:tc>
          <w:tcPr>
            <w:tcW w:w="491" w:type="pct"/>
            <w:tcBorders>
              <w:top w:val="nil"/>
              <w:left w:val="nil"/>
              <w:bottom w:val="single" w:color="000000" w:sz="4" w:space="0"/>
              <w:right w:val="single" w:color="000000" w:sz="4" w:space="0"/>
            </w:tcBorders>
            <w:shd w:val="clear" w:color="auto" w:fill="auto"/>
            <w:vAlign w:val="center"/>
          </w:tcPr>
          <w:p w14:paraId="37523E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3FE2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企业电子营业执照升级-电子营业执照精准授权管理-应用管理-授权事项库管理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E1A3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建设授权事项库，为用户提供所有可授权的事项，便于用户搜索需要授权的事项。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1.授权事项搜索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提供授权事项搜索功能，支持用户输入需要授权的事项并在授权事项库内进行匹配与展示，便于用户进行授权。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2.授权事项增加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提供授权事项增加功能，支持添加新的授权事项。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3.授权事项删除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提供授权事项删除功能，支持对需要删除的授权事项进行删除操作。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4.授权事项查看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提授权事项查看功能，支持用户查看授权事项库中的所有授权事项和授权事项的详细内容。</w:t>
            </w:r>
          </w:p>
        </w:tc>
      </w:tr>
      <w:tr w14:paraId="377689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5343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314</w:t>
            </w:r>
          </w:p>
        </w:tc>
        <w:tc>
          <w:tcPr>
            <w:tcW w:w="491" w:type="pct"/>
            <w:tcBorders>
              <w:top w:val="nil"/>
              <w:left w:val="nil"/>
              <w:bottom w:val="single" w:color="000000" w:sz="4" w:space="0"/>
              <w:right w:val="single" w:color="000000" w:sz="4" w:space="0"/>
            </w:tcBorders>
            <w:shd w:val="clear" w:color="auto" w:fill="auto"/>
            <w:vAlign w:val="center"/>
          </w:tcPr>
          <w:p w14:paraId="72544D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1D90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企业电子营业执照升级-电子营业执照精准授权管理-应用管理-委托书模板管理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3384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开发委托书模板管理功能模块，提供委托书模板的制作、修改、删除等功能。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1.模板制作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提供委托书模板制作功能，用户可以根据实际需求，制作委托书的模板。后续填写委托信息后，即可按照模板自动生成电子委托书。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2.模板修改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提供委托书模板修改功能，用户可以根据实际需求，在模板修改功能中修改委托书的模板。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3.模板删除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提供委托书模板删除功能，用户可以在模板管理中删除不需要的委托书模板。</w:t>
            </w:r>
          </w:p>
        </w:tc>
      </w:tr>
      <w:tr w14:paraId="736196F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7CBF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315</w:t>
            </w:r>
          </w:p>
        </w:tc>
        <w:tc>
          <w:tcPr>
            <w:tcW w:w="491" w:type="pct"/>
            <w:tcBorders>
              <w:top w:val="nil"/>
              <w:left w:val="nil"/>
              <w:bottom w:val="single" w:color="000000" w:sz="4" w:space="0"/>
              <w:right w:val="single" w:color="000000" w:sz="4" w:space="0"/>
            </w:tcBorders>
            <w:shd w:val="clear" w:color="auto" w:fill="auto"/>
            <w:vAlign w:val="center"/>
          </w:tcPr>
          <w:p w14:paraId="21BA75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3F20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企业电子营业执照升级-电子营业执照精准授权管理-应用管理-证据溯源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BDF4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证据溯源功能模块，使用电子营业执照在办理具体事项出现问题时，可通过证据溯源模块查看以往具体的办事信息，包括：实人实名认证信息、办事人信息、办事人办事事项、办事时间、业务类型、鉴权信息、委托书信息等。</w:t>
            </w:r>
          </w:p>
        </w:tc>
      </w:tr>
      <w:tr w14:paraId="3AAA93A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EAAD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316</w:t>
            </w:r>
          </w:p>
        </w:tc>
        <w:tc>
          <w:tcPr>
            <w:tcW w:w="491" w:type="pct"/>
            <w:tcBorders>
              <w:top w:val="nil"/>
              <w:left w:val="nil"/>
              <w:bottom w:val="single" w:color="000000" w:sz="4" w:space="0"/>
              <w:right w:val="single" w:color="000000" w:sz="4" w:space="0"/>
            </w:tcBorders>
            <w:shd w:val="clear" w:color="auto" w:fill="auto"/>
            <w:vAlign w:val="center"/>
          </w:tcPr>
          <w:p w14:paraId="23061A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463D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企业电子营业执照升级-电子营业执照精准授权管理-应用管理-业务统计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B102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1.精准授权业务统计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1.1授权管理业务统计包括：新增授权的企业数统计、区域新增授权量统计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1.2鉴权量统计包括：新增鉴权企业数统计、区域鉴权量统计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2.委托书业务管理业务统计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2.1委托书开具业务统计包括：开具委托书的企业数统计、委托书开具量统计、区域委托书开具量统计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2.2委托书应用量统计包括：使用委托书的企业数统计、委托书使用量统计、应用系统使用量统计、区域委托书应用量统计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3.连锁分支机构下载授权业务统计包括：下载电子营业执照的连锁分支机构数量统计、批量下载电子营业执照的连锁分支机构数量统计、区域电子营业执照下载量统计</w:t>
            </w:r>
          </w:p>
        </w:tc>
      </w:tr>
      <w:tr w14:paraId="6A1AB00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EF89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317</w:t>
            </w:r>
          </w:p>
        </w:tc>
        <w:tc>
          <w:tcPr>
            <w:tcW w:w="491" w:type="pct"/>
            <w:tcBorders>
              <w:top w:val="nil"/>
              <w:left w:val="nil"/>
              <w:bottom w:val="single" w:color="000000" w:sz="4" w:space="0"/>
              <w:right w:val="single" w:color="000000" w:sz="4" w:space="0"/>
            </w:tcBorders>
            <w:shd w:val="clear" w:color="auto" w:fill="auto"/>
            <w:vAlign w:val="center"/>
          </w:tcPr>
          <w:p w14:paraId="4C8425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A253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企业电子营业执照升级-电子营业执照精准授权管理-应用管理-系统配置管理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6224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系统配置管理主要提供本地系统配置信息的录入和信息配置功能以及通信证书的生成。本地系统配置信息主要包括系统名称、系统URL、系统IP、端口号、系统标识码等。</w:t>
            </w:r>
          </w:p>
        </w:tc>
      </w:tr>
      <w:tr w14:paraId="7A7D837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DFA9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318</w:t>
            </w:r>
          </w:p>
        </w:tc>
        <w:tc>
          <w:tcPr>
            <w:tcW w:w="491" w:type="pct"/>
            <w:tcBorders>
              <w:top w:val="nil"/>
              <w:left w:val="nil"/>
              <w:bottom w:val="single" w:color="000000" w:sz="4" w:space="0"/>
              <w:right w:val="single" w:color="000000" w:sz="4" w:space="0"/>
            </w:tcBorders>
            <w:shd w:val="clear" w:color="auto" w:fill="auto"/>
            <w:vAlign w:val="center"/>
          </w:tcPr>
          <w:p w14:paraId="4B7C2C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C349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企业电子营业执照升级-电子营业执照精准授权管理-应用管理-管理员管理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D7F2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管理员管理功能主要提供系统相关管理员、审计员等系统管理人员的注册、查看、删除、修改等管理员管理功能。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1.管理员增加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增加模块主要提供增加系统管理员信息功能。用户可以在管理员添加模块输入需要添加管理员的角色类型、管理员名称、证件号码、联系方式等信息，进行管理员的添加。被添加的管理员有权限对系统进行管理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2.管理员修改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管理员修改模块主要提供管理员相关信息修改的功能。用户可以在修改模块中修改管理员的角色类型、管理员名称、证件号码、联系方式等信息。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3.管理员删除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管理员删除模块主要提供删除已添加管理员的功能。删除管理员后，该管理员无法再使用账号登录至系统进行系统管理。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4.管理员查看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管理员查看模块主要提供对已添加管理员的信息查看功能。用户进入管理员管理功能模块后，在管理员信息列表中可以查看已添加所有的管理员的基本信息，如：管理员的类型、名称、证件号码、联系方式、注册日期等信息。用户也可以点击“详细信息”查看一个管理员的详细信息。</w:t>
            </w:r>
          </w:p>
        </w:tc>
      </w:tr>
      <w:tr w14:paraId="2FD53E0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2A3E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319</w:t>
            </w:r>
          </w:p>
        </w:tc>
        <w:tc>
          <w:tcPr>
            <w:tcW w:w="491" w:type="pct"/>
            <w:tcBorders>
              <w:top w:val="nil"/>
              <w:left w:val="nil"/>
              <w:bottom w:val="single" w:color="000000" w:sz="4" w:space="0"/>
              <w:right w:val="single" w:color="000000" w:sz="4" w:space="0"/>
            </w:tcBorders>
            <w:shd w:val="clear" w:color="auto" w:fill="auto"/>
            <w:vAlign w:val="center"/>
          </w:tcPr>
          <w:p w14:paraId="3BAAE5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38CE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企业电子营业执照升级-电子营业执照精准授权管理-应用管理-日志管理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4F0D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日志管理主要提供系统运行日志、系统管理日志、系统异常日志的记录、查看等功能。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1.系统运行日志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系统运行日志功能主要提供系统运行相关日志的记录及查询查看功能，日志记录的信息包括访问者类型、系统标识、日志时间、业务类型、具体操作信息等。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2.系统管理日志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系统管理日志主要提供系统管理操作的日志记录和查询查看功能，该类日志信息包括管理员ID、日志时间、日志类型等信息。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3.系统异常日志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系统异常日志功能主要提供系统异常日志的记录和条件查询功能，日志信息报告异常标识、异常内容、日志时间、系统类型等。</w:t>
            </w:r>
          </w:p>
        </w:tc>
      </w:tr>
      <w:tr w14:paraId="2A18D30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B91D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320</w:t>
            </w:r>
          </w:p>
        </w:tc>
        <w:tc>
          <w:tcPr>
            <w:tcW w:w="491" w:type="pct"/>
            <w:tcBorders>
              <w:top w:val="nil"/>
              <w:left w:val="nil"/>
              <w:bottom w:val="single" w:color="000000" w:sz="4" w:space="0"/>
              <w:right w:val="single" w:color="000000" w:sz="4" w:space="0"/>
            </w:tcBorders>
            <w:shd w:val="clear" w:color="auto" w:fill="auto"/>
            <w:vAlign w:val="center"/>
          </w:tcPr>
          <w:p w14:paraId="32A445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1833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企业电子营业执照升级-电子营业执照应用扩展服务-电子营业执照应用扩展服务-电子营业执照消息推送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7413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消息接收（企业端）：为实现向上海市经营主体提供在市场监督管理局业务登记办理后的实时进度消息推送，在电子营业执照小程序中的上海专区界面增加进度消息推送功能，便利经营主体获取业务登记办理的实时进度消息，优化业务流程，提升用户体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消息推送（监管端）：包括消息添加、审核发布、发布查询、发布统计。</w:t>
            </w:r>
          </w:p>
        </w:tc>
      </w:tr>
      <w:tr w14:paraId="140CFA7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6546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321</w:t>
            </w:r>
          </w:p>
        </w:tc>
        <w:tc>
          <w:tcPr>
            <w:tcW w:w="491" w:type="pct"/>
            <w:tcBorders>
              <w:top w:val="nil"/>
              <w:left w:val="nil"/>
              <w:bottom w:val="single" w:color="000000" w:sz="4" w:space="0"/>
              <w:right w:val="single" w:color="000000" w:sz="4" w:space="0"/>
            </w:tcBorders>
            <w:shd w:val="clear" w:color="auto" w:fill="auto"/>
            <w:vAlign w:val="center"/>
          </w:tcPr>
          <w:p w14:paraId="694F9A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EF00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企业电子营业执照升级--电子营业执照应用扩展服务-扫码展示企业公示信息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F8B3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电子营业执照小程序端提供企业码扫码和企业公告信息关联查询服务，社会公众使用微信、电子营业执照微信小程序扫描企业码，进入企业公告信息关联查询页面，点击各个企业信息标签，即可查看企业具体信息。其中，信息类型包括经营主体登记（备案）信息、各类公告、企业公示即时信息等三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提供企业公示信息关联查询量统计功能，支持按照时间、经营主体类型、信息类型等不同维度进行查询量统计。</w:t>
            </w:r>
          </w:p>
        </w:tc>
      </w:tr>
      <w:tr w14:paraId="617238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F29E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322</w:t>
            </w:r>
          </w:p>
        </w:tc>
        <w:tc>
          <w:tcPr>
            <w:tcW w:w="491" w:type="pct"/>
            <w:tcBorders>
              <w:top w:val="nil"/>
              <w:left w:val="nil"/>
              <w:bottom w:val="single" w:color="000000" w:sz="4" w:space="0"/>
              <w:right w:val="single" w:color="000000" w:sz="4" w:space="0"/>
            </w:tcBorders>
            <w:shd w:val="clear" w:color="auto" w:fill="auto"/>
            <w:vAlign w:val="center"/>
          </w:tcPr>
          <w:p w14:paraId="06B934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1F21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企业电子营业执照升级--电子营业执照应用扩展服务-电子营业执照归集展示一照多址信息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75275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以电子营业执照为信任源，支持电子营业执照与企业一照多址信息数据源对接，归集企业一照多址信息，为移动端一照多址信息展示提供支撑，实现通过电子营业执照应用程序可查看企业一照多址信息。</w:t>
            </w:r>
          </w:p>
        </w:tc>
      </w:tr>
      <w:tr w14:paraId="0F757F8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E56C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323</w:t>
            </w:r>
          </w:p>
        </w:tc>
        <w:tc>
          <w:tcPr>
            <w:tcW w:w="491" w:type="pct"/>
            <w:tcBorders>
              <w:top w:val="nil"/>
              <w:left w:val="nil"/>
              <w:bottom w:val="single" w:color="000000" w:sz="4" w:space="0"/>
              <w:right w:val="single" w:color="000000" w:sz="4" w:space="0"/>
            </w:tcBorders>
            <w:shd w:val="clear" w:color="auto" w:fill="auto"/>
            <w:vAlign w:val="center"/>
          </w:tcPr>
          <w:p w14:paraId="7D750F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DFE6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企业电子营业执照升级--电子营业执照应用扩展服务-电子营业执照归集展示监管信息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AD0A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以电子营业执照为信任源，通过电子营业执照归集企业监管信息，通过电子营业执照应用程序即可查看企业监管信息，实现“一照监管”。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通过电子营业执照为市场监管涉企登记与监管业务，提供电子营业执照数据应用支撑服务。</w:t>
            </w:r>
          </w:p>
        </w:tc>
      </w:tr>
      <w:tr w14:paraId="60C1711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AAB4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324</w:t>
            </w:r>
          </w:p>
        </w:tc>
        <w:tc>
          <w:tcPr>
            <w:tcW w:w="491" w:type="pct"/>
            <w:tcBorders>
              <w:top w:val="nil"/>
              <w:left w:val="nil"/>
              <w:bottom w:val="single" w:color="000000" w:sz="4" w:space="0"/>
              <w:right w:val="single" w:color="000000" w:sz="4" w:space="0"/>
            </w:tcBorders>
            <w:shd w:val="clear" w:color="auto" w:fill="auto"/>
            <w:vAlign w:val="center"/>
          </w:tcPr>
          <w:p w14:paraId="14E393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9765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企业电子营业执照升级--电子营业执照应用扩展服务-企业相关信息共享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10D4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依托电子营业执照提供企业一照多址信息、企业监管信息等企业相关信息的共享应用，接收业务系统发起信息共享请求，并依应用系统的信息共享范围返回相关信息。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通过电子营业执照为区行政服务中心大厅政务应用（如智慧帮办、综窗收件等），提供电子营业执照数据应用支撑服务。</w:t>
            </w:r>
          </w:p>
        </w:tc>
      </w:tr>
      <w:tr w14:paraId="151B6DC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1CD3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325</w:t>
            </w:r>
          </w:p>
        </w:tc>
        <w:tc>
          <w:tcPr>
            <w:tcW w:w="491" w:type="pct"/>
            <w:tcBorders>
              <w:top w:val="nil"/>
              <w:left w:val="nil"/>
              <w:bottom w:val="single" w:color="000000" w:sz="4" w:space="0"/>
              <w:right w:val="single" w:color="000000" w:sz="4" w:space="0"/>
            </w:tcBorders>
            <w:shd w:val="clear" w:color="auto" w:fill="auto"/>
            <w:vAlign w:val="center"/>
          </w:tcPr>
          <w:p w14:paraId="04DB72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C17B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企业电子营业执照升级--电子营业执照应用扩展服务-电子营业执照获得电信服务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A4A3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基于电子营业执照的获得电信服务，在电子营业执照小程序“上海专区”新增“宽带办理”服务入口，为中小企业客户提供更加便利快捷的宽带在线办理服务。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企业用户只需在电子营业执照小程序上完成身份认证，即可在线“一键直达”办理电信企业宽带。</w:t>
            </w:r>
          </w:p>
        </w:tc>
      </w:tr>
      <w:tr w14:paraId="368DC88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4EC9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326</w:t>
            </w:r>
          </w:p>
        </w:tc>
        <w:tc>
          <w:tcPr>
            <w:tcW w:w="491" w:type="pct"/>
            <w:tcBorders>
              <w:top w:val="nil"/>
              <w:left w:val="nil"/>
              <w:bottom w:val="single" w:color="000000" w:sz="4" w:space="0"/>
              <w:right w:val="single" w:color="000000" w:sz="4" w:space="0"/>
            </w:tcBorders>
            <w:shd w:val="clear" w:color="auto" w:fill="auto"/>
            <w:vAlign w:val="center"/>
          </w:tcPr>
          <w:p w14:paraId="618C70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D031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企业电子营业执照升级--电子营业执照归集信息共享前置-业务应用管理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0046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提供对需要共享数据的应用系统的统一接入管理和服务的权限管理，用于应用系统接入的合规性校验。</w:t>
            </w:r>
          </w:p>
        </w:tc>
      </w:tr>
      <w:tr w14:paraId="3798D84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51E9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327</w:t>
            </w:r>
          </w:p>
        </w:tc>
        <w:tc>
          <w:tcPr>
            <w:tcW w:w="491" w:type="pct"/>
            <w:tcBorders>
              <w:top w:val="nil"/>
              <w:left w:val="nil"/>
              <w:bottom w:val="single" w:color="000000" w:sz="4" w:space="0"/>
              <w:right w:val="single" w:color="000000" w:sz="4" w:space="0"/>
            </w:tcBorders>
            <w:shd w:val="clear" w:color="auto" w:fill="auto"/>
            <w:vAlign w:val="center"/>
          </w:tcPr>
          <w:p w14:paraId="7969A9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8EC5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企业电子营业执照升级--电子营业执照归集信息共享前置-安全接入处理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341F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提供接入市场监管部门电子营业执照系统的安全处理，采用安全控制机制保障传输过程中的数据完整性和一致性。</w:t>
            </w:r>
          </w:p>
        </w:tc>
      </w:tr>
      <w:tr w14:paraId="4A9647A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AE9E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328</w:t>
            </w:r>
          </w:p>
        </w:tc>
        <w:tc>
          <w:tcPr>
            <w:tcW w:w="491" w:type="pct"/>
            <w:tcBorders>
              <w:top w:val="nil"/>
              <w:left w:val="nil"/>
              <w:bottom w:val="single" w:color="000000" w:sz="4" w:space="0"/>
              <w:right w:val="single" w:color="000000" w:sz="4" w:space="0"/>
            </w:tcBorders>
            <w:shd w:val="clear" w:color="auto" w:fill="auto"/>
            <w:vAlign w:val="center"/>
          </w:tcPr>
          <w:p w14:paraId="2F0436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9958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企业电子营业执照升级--电子营业执照归集信息共享前置-信息共享处理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E9C0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应用单位有信息共享需求的，通过前置接入，由前置根据应用单位业务需求明确信息共享范围并配置管理，按此共享范围向应用单位提供信息共享服务。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企业用户到应用单位办理业务时，工作人员扫描电子营业执照上的二维码发起验证及信息共享请求，企业用户在电子营业执照移动端确认后，应用系统即可获取有关一照多址、监管信息等企业相关信息。</w:t>
            </w:r>
          </w:p>
        </w:tc>
      </w:tr>
      <w:tr w14:paraId="6C1244A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486B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329</w:t>
            </w:r>
          </w:p>
        </w:tc>
        <w:tc>
          <w:tcPr>
            <w:tcW w:w="491" w:type="pct"/>
            <w:tcBorders>
              <w:top w:val="nil"/>
              <w:left w:val="nil"/>
              <w:bottom w:val="single" w:color="000000" w:sz="4" w:space="0"/>
              <w:right w:val="single" w:color="000000" w:sz="4" w:space="0"/>
            </w:tcBorders>
            <w:shd w:val="clear" w:color="auto" w:fill="auto"/>
            <w:vAlign w:val="center"/>
          </w:tcPr>
          <w:p w14:paraId="2F4181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06DA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企业电子营业执照升级--电子营业执照归集信息共享前置-系统配置管理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F452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系统配置管理主要提供本地系统配置信息的录入和信息配置功能以及通信证书的生成。本地系统配置信息主要包括系统名称、系统URL、系统IP、端口号、系统标识码等。</w:t>
            </w:r>
          </w:p>
        </w:tc>
      </w:tr>
      <w:tr w14:paraId="15ECAE9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E078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330</w:t>
            </w:r>
          </w:p>
        </w:tc>
        <w:tc>
          <w:tcPr>
            <w:tcW w:w="491" w:type="pct"/>
            <w:tcBorders>
              <w:top w:val="nil"/>
              <w:left w:val="nil"/>
              <w:bottom w:val="single" w:color="000000" w:sz="4" w:space="0"/>
              <w:right w:val="single" w:color="000000" w:sz="4" w:space="0"/>
            </w:tcBorders>
            <w:shd w:val="clear" w:color="auto" w:fill="auto"/>
            <w:vAlign w:val="center"/>
          </w:tcPr>
          <w:p w14:paraId="257DE1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3897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企业电子营业执照升级--数据共享业务统计-按照时间统计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17AA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提供企业电子营业执照归集数据的数据共享次数统计，支持累计总量统计、某时间点至今数据共享次数统计（本年、本月、本周）。</w:t>
            </w:r>
          </w:p>
        </w:tc>
      </w:tr>
      <w:tr w14:paraId="6182E66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F31B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331</w:t>
            </w:r>
          </w:p>
        </w:tc>
        <w:tc>
          <w:tcPr>
            <w:tcW w:w="491" w:type="pct"/>
            <w:tcBorders>
              <w:top w:val="nil"/>
              <w:left w:val="nil"/>
              <w:bottom w:val="single" w:color="000000" w:sz="4" w:space="0"/>
              <w:right w:val="single" w:color="000000" w:sz="4" w:space="0"/>
            </w:tcBorders>
            <w:shd w:val="clear" w:color="auto" w:fill="auto"/>
            <w:vAlign w:val="center"/>
          </w:tcPr>
          <w:p w14:paraId="1085B5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8306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企业电子营业执照升级--数据共享业务统计-按照区域统计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8C61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支持对某个地区电子营业执照归集数据共享次数统计、阶段内新增数据共享次数统计。</w:t>
            </w:r>
          </w:p>
        </w:tc>
      </w:tr>
      <w:tr w14:paraId="67747E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CE83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332</w:t>
            </w:r>
          </w:p>
        </w:tc>
        <w:tc>
          <w:tcPr>
            <w:tcW w:w="491" w:type="pct"/>
            <w:tcBorders>
              <w:top w:val="nil"/>
              <w:left w:val="nil"/>
              <w:bottom w:val="single" w:color="000000" w:sz="4" w:space="0"/>
              <w:right w:val="single" w:color="000000" w:sz="4" w:space="0"/>
            </w:tcBorders>
            <w:shd w:val="clear" w:color="auto" w:fill="auto"/>
            <w:vAlign w:val="center"/>
          </w:tcPr>
          <w:p w14:paraId="0EA3C6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0EE3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电子文件归集整理-全程电子化归档配置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4C62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政务服务“一网通办”电子文件归档管理技术规范》《上海市政务服务“一网通办”电子档案检测指南》的要求，按照数字档案系统的统一归档要求与接口服务，实现企业登记在线中实现全程电子化流程的开办、变更、注销申请的电子归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不同经营主体类型、不同登记业务类型的申请，需要归档的电子文件也有所不同。提供对不同类型申请的全程电子化归档电子文件配置功能。</w:t>
            </w:r>
          </w:p>
        </w:tc>
      </w:tr>
      <w:tr w14:paraId="1E70319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1CEA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333</w:t>
            </w:r>
          </w:p>
        </w:tc>
        <w:tc>
          <w:tcPr>
            <w:tcW w:w="491" w:type="pct"/>
            <w:tcBorders>
              <w:top w:val="nil"/>
              <w:left w:val="nil"/>
              <w:bottom w:val="single" w:color="000000" w:sz="4" w:space="0"/>
              <w:right w:val="single" w:color="000000" w:sz="4" w:space="0"/>
            </w:tcBorders>
            <w:shd w:val="clear" w:color="auto" w:fill="auto"/>
            <w:vAlign w:val="center"/>
          </w:tcPr>
          <w:p w14:paraId="1F6A28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AB18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电子文件归集整理-电子文件归集整理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DFBD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基于全程电子化归档配置，针对不同经营主体类型、不同业务类型的全程电子化申请案，进行电子文件的归集整理。按归档要求生成电子归档相关元数据。</w:t>
            </w:r>
          </w:p>
        </w:tc>
      </w:tr>
      <w:tr w14:paraId="2DA8B85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2B26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334</w:t>
            </w:r>
          </w:p>
        </w:tc>
        <w:tc>
          <w:tcPr>
            <w:tcW w:w="491" w:type="pct"/>
            <w:tcBorders>
              <w:top w:val="nil"/>
              <w:left w:val="nil"/>
              <w:bottom w:val="single" w:color="000000" w:sz="4" w:space="0"/>
              <w:right w:val="single" w:color="000000" w:sz="4" w:space="0"/>
            </w:tcBorders>
            <w:shd w:val="clear" w:color="auto" w:fill="auto"/>
            <w:vAlign w:val="center"/>
          </w:tcPr>
          <w:p w14:paraId="7F5FA3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0C88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电子文件归集整理-电子文件四性检测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E607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归档材料的真实性、完整性、可用性、安全性进行检测。针对电子文件及元数据进行检定检测。对电子文件的检定监测包括对空文件、文件格式等鉴定，但不包括对文件内容业务准确性的监测。对元数据的检查包括必输项不能为空、核心代码合规检查等。</w:t>
            </w:r>
          </w:p>
        </w:tc>
      </w:tr>
      <w:tr w14:paraId="1A79450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B4B3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335</w:t>
            </w:r>
          </w:p>
        </w:tc>
        <w:tc>
          <w:tcPr>
            <w:tcW w:w="491" w:type="pct"/>
            <w:tcBorders>
              <w:top w:val="nil"/>
              <w:left w:val="nil"/>
              <w:bottom w:val="single" w:color="000000" w:sz="4" w:space="0"/>
              <w:right w:val="single" w:color="000000" w:sz="4" w:space="0"/>
            </w:tcBorders>
            <w:shd w:val="clear" w:color="auto" w:fill="auto"/>
            <w:vAlign w:val="center"/>
          </w:tcPr>
          <w:p w14:paraId="7B62A3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1EB2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电子文件归集整理-电子文件封装固化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B400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数字档案的统一要求，组织相关电子文件，进行打包，利用电子签名进行哈希固化。将需要归档的电子文件及其元数据等信息，按照《电子公文整理流程》及时整理，按照《归档文件整理规则》（DA/T22）规定进行分类和排序，以件为单位进行组织并编制命名，并按命名构成项目逐级建立文件夹进行存储，按照规范的数据结构组成归档信息包。</w:t>
            </w:r>
          </w:p>
        </w:tc>
      </w:tr>
      <w:tr w14:paraId="5890D30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58F6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336</w:t>
            </w:r>
          </w:p>
        </w:tc>
        <w:tc>
          <w:tcPr>
            <w:tcW w:w="491" w:type="pct"/>
            <w:tcBorders>
              <w:top w:val="nil"/>
              <w:left w:val="nil"/>
              <w:bottom w:val="single" w:color="000000" w:sz="4" w:space="0"/>
              <w:right w:val="single" w:color="000000" w:sz="4" w:space="0"/>
            </w:tcBorders>
            <w:shd w:val="clear" w:color="auto" w:fill="auto"/>
            <w:vAlign w:val="center"/>
          </w:tcPr>
          <w:p w14:paraId="2507B6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FDAC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电子文件归集整理-电子文件归档移交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E18A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经过鉴定检测、封装固化后，可以确认归档。归档人员选择需要归档的申请案，系统生成《电子文件归档登记表》，形成《归档目录清单》，调用数字档案系统接口，将归档信息包连同《电子文件归档登记表》一并提交数字档案系统进行电子归档。</w:t>
            </w:r>
          </w:p>
        </w:tc>
      </w:tr>
      <w:tr w14:paraId="428D0CA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FB98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337</w:t>
            </w:r>
          </w:p>
        </w:tc>
        <w:tc>
          <w:tcPr>
            <w:tcW w:w="491" w:type="pct"/>
            <w:tcBorders>
              <w:top w:val="nil"/>
              <w:left w:val="nil"/>
              <w:bottom w:val="single" w:color="000000" w:sz="4" w:space="0"/>
              <w:right w:val="single" w:color="000000" w:sz="4" w:space="0"/>
            </w:tcBorders>
            <w:shd w:val="clear" w:color="auto" w:fill="auto"/>
            <w:vAlign w:val="center"/>
          </w:tcPr>
          <w:p w14:paraId="3D2540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1F37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电子文件归集整理-清退接收重新归档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A448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接收由于种种原因被档案系统清退的档案文件，重置相关申请案归档状态，重新归集整理电子文件、鉴定检测、封装固化，重新再次进行归档移交。</w:t>
            </w:r>
          </w:p>
        </w:tc>
      </w:tr>
      <w:tr w14:paraId="2B844A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82C05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338</w:t>
            </w:r>
          </w:p>
        </w:tc>
        <w:tc>
          <w:tcPr>
            <w:tcW w:w="491" w:type="pct"/>
            <w:tcBorders>
              <w:top w:val="nil"/>
              <w:left w:val="nil"/>
              <w:bottom w:val="single" w:color="000000" w:sz="4" w:space="0"/>
              <w:right w:val="single" w:color="000000" w:sz="4" w:space="0"/>
            </w:tcBorders>
            <w:shd w:val="clear" w:color="auto" w:fill="auto"/>
            <w:vAlign w:val="center"/>
          </w:tcPr>
          <w:p w14:paraId="0BC93E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7BEC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企业跨域业务支撑-跨区迁移全程网办-跨区迁移服务专窗-跨区迁移服务专窗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2758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根据市政府营商环境6.0要求，新增“跨区迁移服务专窗”，纳入现有的“迁移预约”功能，并为市场主体提供通过“网上申请”或者“全程网办”方式申请“跨区迁移+变更备案登记事项”的功能。</w:t>
            </w:r>
          </w:p>
        </w:tc>
      </w:tr>
      <w:tr w14:paraId="09D3785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21D2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339</w:t>
            </w:r>
          </w:p>
        </w:tc>
        <w:tc>
          <w:tcPr>
            <w:tcW w:w="491" w:type="pct"/>
            <w:tcBorders>
              <w:top w:val="nil"/>
              <w:left w:val="nil"/>
              <w:bottom w:val="single" w:color="000000" w:sz="4" w:space="0"/>
              <w:right w:val="single" w:color="000000" w:sz="4" w:space="0"/>
            </w:tcBorders>
            <w:shd w:val="clear" w:color="auto" w:fill="auto"/>
            <w:vAlign w:val="center"/>
          </w:tcPr>
          <w:p w14:paraId="65A82E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03D8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企业跨域业务支撑-跨区迁移全程网办-跨区迁移服务专窗-适用范围提示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8D9D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跨区迁移条件判断，根据企业类型、高频迁移警示名单、本市财税会有重大贡献的红名单等进行判断；如符合条件，提示市场主体可以通过网办提交跨区迁移登记，并提供链接；不符合条件，提示告知市场主体到线下办理。市场主体通过网上变更入口申请住所变更的，提示如涉及跨区迁移的，请先办理迁移预约业务。外商投资企业分公司随母体登记，变更住所的不显示相关提示。</w:t>
            </w:r>
          </w:p>
        </w:tc>
      </w:tr>
      <w:tr w14:paraId="447CC61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BCF4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340</w:t>
            </w:r>
          </w:p>
        </w:tc>
        <w:tc>
          <w:tcPr>
            <w:tcW w:w="491" w:type="pct"/>
            <w:tcBorders>
              <w:top w:val="nil"/>
              <w:left w:val="nil"/>
              <w:bottom w:val="single" w:color="000000" w:sz="4" w:space="0"/>
              <w:right w:val="single" w:color="000000" w:sz="4" w:space="0"/>
            </w:tcBorders>
            <w:shd w:val="clear" w:color="auto" w:fill="auto"/>
            <w:vAlign w:val="center"/>
          </w:tcPr>
          <w:p w14:paraId="3BF975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1573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企业跨域业务支撑-跨区迁移全程网办-跨区迁移服务专窗-迁移预约对接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0A84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如市场主体未通过“跨区迁移服务专窗”的“预约迁移”的，点击“跨区迁移”办理相关业务的，提示市场主体先行办理预约业务，由申请人按要求填写拟迁入登记机关、拟迁入地址、迁移原因。符合条件的市场主体在完成迁移预约后，系统提示可选择“网办申请”或到“线下窗口提交”申请。选择全程网办的，链接至跨区迁移网办界面提交迁入及住所变更等多项申请事项完成“全程网办”或“网上申请”。迁移预约申请与迁移网办申请相关联，如申请迁移网办的，需先行提交迁移预约申请；取消迁移预约申请的，需先行取消迁移网办申请。</w:t>
            </w:r>
          </w:p>
        </w:tc>
      </w:tr>
      <w:tr w14:paraId="3471714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C7B5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341</w:t>
            </w:r>
          </w:p>
        </w:tc>
        <w:tc>
          <w:tcPr>
            <w:tcW w:w="491" w:type="pct"/>
            <w:tcBorders>
              <w:top w:val="nil"/>
              <w:left w:val="nil"/>
              <w:bottom w:val="single" w:color="000000" w:sz="4" w:space="0"/>
              <w:right w:val="single" w:color="000000" w:sz="4" w:space="0"/>
            </w:tcBorders>
            <w:shd w:val="clear" w:color="auto" w:fill="auto"/>
            <w:vAlign w:val="center"/>
          </w:tcPr>
          <w:p w14:paraId="657967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8A20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企业跨域业务支撑-跨区迁移全程网办-跨区迁移服务专窗-跨区迁移网办进度查询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0ACD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参照当前设立网办查询功能（“上海企业登记在线”进度查询栏目），增加跨区迁移网办进度查询。登记机关核准迁入后，提供“登记通知书下载”功能。</w:t>
            </w:r>
          </w:p>
        </w:tc>
      </w:tr>
      <w:tr w14:paraId="675575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12DC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342</w:t>
            </w:r>
          </w:p>
        </w:tc>
        <w:tc>
          <w:tcPr>
            <w:tcW w:w="491" w:type="pct"/>
            <w:tcBorders>
              <w:top w:val="nil"/>
              <w:left w:val="nil"/>
              <w:bottom w:val="single" w:color="000000" w:sz="4" w:space="0"/>
              <w:right w:val="single" w:color="000000" w:sz="4" w:space="0"/>
            </w:tcBorders>
            <w:shd w:val="clear" w:color="auto" w:fill="auto"/>
            <w:vAlign w:val="center"/>
          </w:tcPr>
          <w:p w14:paraId="11AA86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FDF3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企业跨域业务支撑-跨区迁移全程网办-跨区迁移网上申办-业务智能导航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833A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已完成迁移预约的企业，进入网办系统后，在变更智能导办环节默认变更住所（行政区划）、章程或章程修正案，若市场主体有其他变更备案事项的，可一并填报。</w:t>
            </w:r>
          </w:p>
        </w:tc>
      </w:tr>
      <w:tr w14:paraId="04B6074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85FB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343</w:t>
            </w:r>
          </w:p>
        </w:tc>
        <w:tc>
          <w:tcPr>
            <w:tcW w:w="491" w:type="pct"/>
            <w:tcBorders>
              <w:top w:val="nil"/>
              <w:left w:val="nil"/>
              <w:bottom w:val="single" w:color="000000" w:sz="4" w:space="0"/>
              <w:right w:val="single" w:color="000000" w:sz="4" w:space="0"/>
            </w:tcBorders>
            <w:shd w:val="clear" w:color="auto" w:fill="auto"/>
            <w:vAlign w:val="center"/>
          </w:tcPr>
          <w:p w14:paraId="3307E2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9A03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企业跨域业务支撑-跨区迁移全程网办-跨区迁移网上申办-迁移申请提交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74F3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按照企业变更流程申请住所、登记机关、其他变更备案事项。上传房产证或住所使用证明、租赁合同等住所材料及其他变更相关申请材料、以及材料真实性承诺书，缴回所有营业执照正副本。</w:t>
            </w:r>
          </w:p>
        </w:tc>
      </w:tr>
      <w:tr w14:paraId="373F724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41DB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344</w:t>
            </w:r>
          </w:p>
        </w:tc>
        <w:tc>
          <w:tcPr>
            <w:tcW w:w="491" w:type="pct"/>
            <w:tcBorders>
              <w:top w:val="nil"/>
              <w:left w:val="nil"/>
              <w:bottom w:val="single" w:color="000000" w:sz="4" w:space="0"/>
              <w:right w:val="single" w:color="000000" w:sz="4" w:space="0"/>
            </w:tcBorders>
            <w:shd w:val="clear" w:color="auto" w:fill="auto"/>
            <w:vAlign w:val="center"/>
          </w:tcPr>
          <w:p w14:paraId="379B0D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6F93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企业跨域业务支撑-跨区迁移全程网办-跨区迁移网上申办-预审后全程网办（电子签名）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789D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根据全程网办预审时，窗口经办人勾选的需要进行电子签名的人员名单，由相关人员全部完成电子签名后，自动提交审核。</w:t>
            </w:r>
          </w:p>
        </w:tc>
      </w:tr>
      <w:tr w14:paraId="2883177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10A0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345</w:t>
            </w:r>
          </w:p>
        </w:tc>
        <w:tc>
          <w:tcPr>
            <w:tcW w:w="491" w:type="pct"/>
            <w:tcBorders>
              <w:top w:val="nil"/>
              <w:left w:val="nil"/>
              <w:bottom w:val="single" w:color="000000" w:sz="4" w:space="0"/>
              <w:right w:val="single" w:color="000000" w:sz="4" w:space="0"/>
            </w:tcBorders>
            <w:shd w:val="clear" w:color="auto" w:fill="auto"/>
            <w:vAlign w:val="center"/>
          </w:tcPr>
          <w:p w14:paraId="50FAA3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66F0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企业跨域业务支撑-跨区迁移全程网办-跨区迁移网上申办-预审后线下提交（下载打印）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2C17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预审通过后，对于选择线下办理（非全程网办）的，系统办理跟踪市场监管部门板块页面生成申请材料目录和申请表模板供下载打印，提示：请备齐相关申请材料并签署后至登记机关线下窗口办理。</w:t>
            </w:r>
          </w:p>
        </w:tc>
      </w:tr>
      <w:tr w14:paraId="052AE27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28B1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346</w:t>
            </w:r>
          </w:p>
        </w:tc>
        <w:tc>
          <w:tcPr>
            <w:tcW w:w="491" w:type="pct"/>
            <w:tcBorders>
              <w:top w:val="nil"/>
              <w:left w:val="nil"/>
              <w:bottom w:val="single" w:color="000000" w:sz="4" w:space="0"/>
              <w:right w:val="single" w:color="000000" w:sz="4" w:space="0"/>
            </w:tcBorders>
            <w:shd w:val="clear" w:color="auto" w:fill="auto"/>
            <w:vAlign w:val="center"/>
          </w:tcPr>
          <w:p w14:paraId="5C3285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26A2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企业跨域业务支撑-跨区迁移全程网办-内网登记系统改造-跨区迁移申请列示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3603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外网变更网办系统与内网变更登记系统，跨区迁移申请案在外网显示为“跨区迁移”申请条目，在内网归入“迁入”申请条目，显示在“待网上预审环节”板块，分别归集于“变更（预审后线下提交）”或“变更（全程电子化登记）”，在其项下单位为迁入（预审后线下提交）或“迁入（全程电子化登记）”。</w:t>
            </w:r>
          </w:p>
        </w:tc>
      </w:tr>
      <w:tr w14:paraId="685ABDD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3EE2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347</w:t>
            </w:r>
          </w:p>
        </w:tc>
        <w:tc>
          <w:tcPr>
            <w:tcW w:w="491" w:type="pct"/>
            <w:tcBorders>
              <w:top w:val="nil"/>
              <w:left w:val="nil"/>
              <w:bottom w:val="single" w:color="000000" w:sz="4" w:space="0"/>
              <w:right w:val="single" w:color="000000" w:sz="4" w:space="0"/>
            </w:tcBorders>
            <w:shd w:val="clear" w:color="auto" w:fill="auto"/>
            <w:vAlign w:val="center"/>
          </w:tcPr>
          <w:p w14:paraId="5C85DD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8558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企业跨域业务支撑-跨区迁移全程网办-内网登记系统改造-跨区迁入预审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4ADBD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预审人员对提交预审的网上办理跨迁移业务进行预审。建立对跨区迁移企业的申请材料进行校验。如对材料不齐全或者不符合法定形式的情况，提示补正或相关校验内容。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建立对跨区迁移企业进行监控。如与高频迁移警示名单的企业，是否存在关联关系等。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可以全部缴回营业执照的，提供“邮寄缴回”和“线下缴回”两种方式选择，对于选择无法全部缴回营业执照的，此处默认选择“无法全部缴回营业执照”即可提交审核，执照遗失或损毁的，提示其通过国家信用公示平台公示执照补办，并告知其不适用于全程网办，系统将引导其进入线下办理流程。</w:t>
            </w:r>
          </w:p>
        </w:tc>
      </w:tr>
      <w:tr w14:paraId="0AA12E0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322E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348</w:t>
            </w:r>
          </w:p>
        </w:tc>
        <w:tc>
          <w:tcPr>
            <w:tcW w:w="491" w:type="pct"/>
            <w:tcBorders>
              <w:top w:val="nil"/>
              <w:left w:val="nil"/>
              <w:bottom w:val="single" w:color="000000" w:sz="4" w:space="0"/>
              <w:right w:val="single" w:color="000000" w:sz="4" w:space="0"/>
            </w:tcBorders>
            <w:shd w:val="clear" w:color="auto" w:fill="auto"/>
            <w:vAlign w:val="center"/>
          </w:tcPr>
          <w:p w14:paraId="2C3C7F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F4E3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企业跨域业务支撑-跨区迁移全程网办-内网登记系统改造-跨区迁入核准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D47B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跨区迁移企业完成全程网办的电子签名或到线下提交签字盖章的经预审通过申请表式材料的后，审核人员进行业务核准。</w:t>
            </w:r>
          </w:p>
        </w:tc>
      </w:tr>
      <w:tr w14:paraId="7C3C548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6E5F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349</w:t>
            </w:r>
          </w:p>
        </w:tc>
        <w:tc>
          <w:tcPr>
            <w:tcW w:w="491" w:type="pct"/>
            <w:tcBorders>
              <w:top w:val="nil"/>
              <w:left w:val="nil"/>
              <w:bottom w:val="single" w:color="000000" w:sz="4" w:space="0"/>
              <w:right w:val="single" w:color="000000" w:sz="4" w:space="0"/>
            </w:tcBorders>
            <w:shd w:val="clear" w:color="auto" w:fill="auto"/>
            <w:vAlign w:val="center"/>
          </w:tcPr>
          <w:p w14:paraId="7955D0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1BD6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企业跨域业务支撑-跨区迁移全程网办-内网登记系统改造-跨区迁移红名单、黑名单管理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F140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跨区迁移红名单、黑名单，黑名单为高频迁移警示名单，以便能通过系统判断筛选高频迁移企业，自主拦截高频迁移申请；红名单为对本市财税会有重大贡献的企业，通过内网登记系统告知迁出区重点企业已申请迁出，尽到提前告知义务。</w:t>
            </w:r>
          </w:p>
        </w:tc>
      </w:tr>
      <w:tr w14:paraId="525C580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83FD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350</w:t>
            </w:r>
          </w:p>
        </w:tc>
        <w:tc>
          <w:tcPr>
            <w:tcW w:w="491" w:type="pct"/>
            <w:tcBorders>
              <w:top w:val="nil"/>
              <w:left w:val="nil"/>
              <w:bottom w:val="single" w:color="000000" w:sz="4" w:space="0"/>
              <w:right w:val="single" w:color="000000" w:sz="4" w:space="0"/>
            </w:tcBorders>
            <w:shd w:val="clear" w:color="auto" w:fill="auto"/>
            <w:vAlign w:val="center"/>
          </w:tcPr>
          <w:p w14:paraId="2F9031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D8D0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企业跨域业务支撑-跨区迁移全程网办-内网登记系统改造-跨区迁移业务查询及统计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BC0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可查询及统计区间段内全市、市局、各区线下提交、网上申请、全程网办的跨区迁移业务办理清单及数量。</w:t>
            </w:r>
          </w:p>
        </w:tc>
      </w:tr>
      <w:tr w14:paraId="220F8C6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BA901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351</w:t>
            </w:r>
          </w:p>
        </w:tc>
        <w:tc>
          <w:tcPr>
            <w:tcW w:w="491" w:type="pct"/>
            <w:tcBorders>
              <w:top w:val="nil"/>
              <w:left w:val="nil"/>
              <w:bottom w:val="single" w:color="000000" w:sz="4" w:space="0"/>
              <w:right w:val="single" w:color="000000" w:sz="4" w:space="0"/>
            </w:tcBorders>
            <w:shd w:val="clear" w:color="auto" w:fill="auto"/>
            <w:vAlign w:val="center"/>
          </w:tcPr>
          <w:p w14:paraId="5DB6A4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BEC3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企业跨域业务支撑-长三角区域跨省迁移信息共享与全程网办-长三角区域跨省迁移信息共享-企业迁出信息推送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66CE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长三角地区企业跨省迁移信息共享制度，长三角区域跨省迁移信息共享与全程网办，凭迁出证明等申请材料申办迁移手续，迁入地登记机关可第一时间获取相关信息，在未收到外省邮寄的纸质档案前，先行办理相关迁入，同步可申请其他事项的变更、备案登记，提升跨省迁移办理效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建立本市企业迁往长三角区域时的企业信息推送机制，在迁出申请核准通过之后，将本市企业的迁出地、拟迁入地、涉及股权冻结、股权质押等信息，推送长三角信息共享平台。</w:t>
            </w:r>
          </w:p>
        </w:tc>
      </w:tr>
      <w:tr w14:paraId="7620A2E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8961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352</w:t>
            </w:r>
          </w:p>
        </w:tc>
        <w:tc>
          <w:tcPr>
            <w:tcW w:w="491" w:type="pct"/>
            <w:tcBorders>
              <w:top w:val="nil"/>
              <w:left w:val="nil"/>
              <w:bottom w:val="single" w:color="000000" w:sz="4" w:space="0"/>
              <w:right w:val="single" w:color="000000" w:sz="4" w:space="0"/>
            </w:tcBorders>
            <w:shd w:val="clear" w:color="auto" w:fill="auto"/>
            <w:vAlign w:val="center"/>
          </w:tcPr>
          <w:p w14:paraId="366199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3B0B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企业跨域业务支撑-长三角区域跨省迁移信息共享与全程网办-长三角区域跨省迁移信息共享-企业迁出信息调取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41A3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开发拟迁入本市的长三角区域的企业迁出信息调取接口，可以通过统一社会信用代码调用拟迁入企业的迁出地、拟迁入地、股权冻结、股权质押等信息。</w:t>
            </w:r>
          </w:p>
        </w:tc>
      </w:tr>
      <w:tr w14:paraId="4B66BD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16F4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353</w:t>
            </w:r>
          </w:p>
        </w:tc>
        <w:tc>
          <w:tcPr>
            <w:tcW w:w="491" w:type="pct"/>
            <w:tcBorders>
              <w:top w:val="nil"/>
              <w:left w:val="nil"/>
              <w:bottom w:val="single" w:color="000000" w:sz="4" w:space="0"/>
              <w:right w:val="single" w:color="000000" w:sz="4" w:space="0"/>
            </w:tcBorders>
            <w:shd w:val="clear" w:color="auto" w:fill="auto"/>
            <w:vAlign w:val="center"/>
          </w:tcPr>
          <w:p w14:paraId="54BFF7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88BD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企业跨域业务支撑-长三角区域跨省迁移信息共享与全程网办-长三角区域跨省迁移信息共享-企业基础信息调取接口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EB27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拟迁入本市的长三角区域的企业基础信息调取接口，可以通过跨省信息推送通道调取拟迁入本市（即已办结迁出登记）的企业基础信息，包括但不限于企业登记（备案）全量信息，如股东的主体类型、证件信息、高管的身份证件信息等，用以满足填报办理外省市迁入所需参考或使用的数据。</w:t>
            </w:r>
          </w:p>
        </w:tc>
      </w:tr>
      <w:tr w14:paraId="15C3F9A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922F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354</w:t>
            </w:r>
          </w:p>
        </w:tc>
        <w:tc>
          <w:tcPr>
            <w:tcW w:w="491" w:type="pct"/>
            <w:tcBorders>
              <w:top w:val="nil"/>
              <w:left w:val="nil"/>
              <w:bottom w:val="single" w:color="000000" w:sz="4" w:space="0"/>
              <w:right w:val="single" w:color="000000" w:sz="4" w:space="0"/>
            </w:tcBorders>
            <w:shd w:val="clear" w:color="auto" w:fill="auto"/>
            <w:vAlign w:val="center"/>
          </w:tcPr>
          <w:p w14:paraId="6629B7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71B2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企业跨域业务支撑-长三角区域跨省迁移信息共享与全程网办-长三角区域跨省迁入网上服务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ECA0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构建长三角区域跨省迁入本市的网上服务体系，包括：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1、提供长三角区域跨省迁入功能入口，支持全国电子营业执照以及个人身份登录。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2、整合长三角区域跨省迁入与名称业务衔接，包括已有迁入名称编号，没有迁入名称编号两种情况。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3、提供长三角区域跨省迁入事项选择，包括智能导办、事项自主勾选两种模式。</w:t>
            </w:r>
          </w:p>
        </w:tc>
      </w:tr>
      <w:tr w14:paraId="1D3967A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4D05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355</w:t>
            </w:r>
          </w:p>
        </w:tc>
        <w:tc>
          <w:tcPr>
            <w:tcW w:w="491" w:type="pct"/>
            <w:tcBorders>
              <w:top w:val="nil"/>
              <w:left w:val="nil"/>
              <w:bottom w:val="single" w:color="000000" w:sz="4" w:space="0"/>
              <w:right w:val="single" w:color="000000" w:sz="4" w:space="0"/>
            </w:tcBorders>
            <w:shd w:val="clear" w:color="auto" w:fill="auto"/>
            <w:vAlign w:val="center"/>
          </w:tcPr>
          <w:p w14:paraId="17CF98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16A9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企业跨域业务支撑-长三角区域跨省迁移信息共享与全程网办-长三角区域跨省迁入业务填报-基础信息调取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5FED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申请人选择了长三角区域跨省迁入变更事项之后，进行相关业务的填报界面。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调用“长三角区域企业基础信息调取接口”，获取有条件的三省一市登记机关提供的相关企业基础信息，包括但不限于企业登记（备案）全量信息，如股东的主体类型、证件信息、高管的身份证件信息等，帮助申请经办人完成信息填报。</w:t>
            </w:r>
          </w:p>
        </w:tc>
      </w:tr>
      <w:tr w14:paraId="2C2FD3F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49AD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356</w:t>
            </w:r>
          </w:p>
        </w:tc>
        <w:tc>
          <w:tcPr>
            <w:tcW w:w="491" w:type="pct"/>
            <w:tcBorders>
              <w:top w:val="nil"/>
              <w:left w:val="nil"/>
              <w:bottom w:val="single" w:color="000000" w:sz="4" w:space="0"/>
              <w:right w:val="single" w:color="000000" w:sz="4" w:space="0"/>
            </w:tcBorders>
            <w:shd w:val="clear" w:color="auto" w:fill="auto"/>
            <w:vAlign w:val="center"/>
          </w:tcPr>
          <w:p w14:paraId="2B941C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16DE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企业跨域业务支撑-长三角区域跨省迁移信息共享与全程网办-长三角区域跨省迁入业务填报-基础信息填报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5FD9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对于暂时无法调用“长三角区域企业基础信息调取接口”，获取相关企业基础信息的情况，提供申请经办人自行填写企业登记（备案）信息的功能。</w:t>
            </w:r>
          </w:p>
        </w:tc>
      </w:tr>
      <w:tr w14:paraId="4168A8F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E465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357</w:t>
            </w:r>
          </w:p>
        </w:tc>
        <w:tc>
          <w:tcPr>
            <w:tcW w:w="491" w:type="pct"/>
            <w:tcBorders>
              <w:top w:val="nil"/>
              <w:left w:val="nil"/>
              <w:bottom w:val="single" w:color="000000" w:sz="4" w:space="0"/>
              <w:right w:val="single" w:color="000000" w:sz="4" w:space="0"/>
            </w:tcBorders>
            <w:shd w:val="clear" w:color="auto" w:fill="auto"/>
            <w:vAlign w:val="center"/>
          </w:tcPr>
          <w:p w14:paraId="7219C2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4193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企业跨域业务支撑-长三角区域跨省迁移信息共享与全程网办-长三角区域跨省迁入业务填报-监控信息提示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B7B3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通过调用“长三角区域企业迁出信息调取接口”，查看拟迁入本市的长三角区域企业是否存在涉及股权冻结、股权质押的监控，提示申请人注意是否可以同步办理股东变更、注册资本变更。</w:t>
            </w:r>
          </w:p>
        </w:tc>
      </w:tr>
      <w:tr w14:paraId="360D377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27C0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358</w:t>
            </w:r>
          </w:p>
        </w:tc>
        <w:tc>
          <w:tcPr>
            <w:tcW w:w="491" w:type="pct"/>
            <w:tcBorders>
              <w:top w:val="nil"/>
              <w:left w:val="nil"/>
              <w:bottom w:val="single" w:color="000000" w:sz="4" w:space="0"/>
              <w:right w:val="single" w:color="000000" w:sz="4" w:space="0"/>
            </w:tcBorders>
            <w:shd w:val="clear" w:color="auto" w:fill="auto"/>
            <w:vAlign w:val="center"/>
          </w:tcPr>
          <w:p w14:paraId="7B05AA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6493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企业跨域业务支撑-长三角区域跨省迁移信息共享与全程网办-长三角区域跨省迁入网办模式-全程网办符合性判断与模式选择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79F7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登记全部填报完成后，系统自动根据相关人员支持电子签名情况，对是否可进行全程网办情况进行研判。包括1、全程网办符合性判断；2、业务办理模式选择。</w:t>
            </w:r>
          </w:p>
        </w:tc>
      </w:tr>
      <w:tr w14:paraId="67A2905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16C0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359</w:t>
            </w:r>
          </w:p>
        </w:tc>
        <w:tc>
          <w:tcPr>
            <w:tcW w:w="491" w:type="pct"/>
            <w:tcBorders>
              <w:top w:val="nil"/>
              <w:left w:val="nil"/>
              <w:bottom w:val="single" w:color="000000" w:sz="4" w:space="0"/>
              <w:right w:val="single" w:color="000000" w:sz="4" w:space="0"/>
            </w:tcBorders>
            <w:shd w:val="clear" w:color="auto" w:fill="auto"/>
            <w:vAlign w:val="center"/>
          </w:tcPr>
          <w:p w14:paraId="67D2A6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46F5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企业跨域业务支撑-长三角区域跨省迁移信息共享与全程网办-长三角区域跨省迁入网办模式-“人员电子签名预判”服务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3FEE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申请人选择“人员电子签名预判”的，提供人员可否完成电子签名的预判功能。判断完成后，提供两个选择“全程网办”“网上预审、线下提交”，根据经办人选择分别提交申请案至相应模式的预审环节。</w:t>
            </w:r>
          </w:p>
        </w:tc>
      </w:tr>
      <w:tr w14:paraId="03505B3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893E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360</w:t>
            </w:r>
          </w:p>
        </w:tc>
        <w:tc>
          <w:tcPr>
            <w:tcW w:w="491" w:type="pct"/>
            <w:tcBorders>
              <w:top w:val="nil"/>
              <w:left w:val="nil"/>
              <w:bottom w:val="single" w:color="000000" w:sz="4" w:space="0"/>
              <w:right w:val="single" w:color="000000" w:sz="4" w:space="0"/>
            </w:tcBorders>
            <w:shd w:val="clear" w:color="auto" w:fill="auto"/>
            <w:vAlign w:val="center"/>
          </w:tcPr>
          <w:p w14:paraId="463201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5EB7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企业跨域业务支撑-长三角区域跨省迁移信息共享与全程网办-长三角区域跨省迁入网办模式-申请案进度反馈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B62F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申请案内网核准后，在外网办理进度跟踪页面可查看，迁移的《迁入通知书》需线下领取，暂不提供外网打印。内网经办结果为“不予登记”的，外网不显示任何通知文书。</w:t>
            </w:r>
          </w:p>
        </w:tc>
      </w:tr>
      <w:tr w14:paraId="70E09A9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C907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361</w:t>
            </w:r>
          </w:p>
        </w:tc>
        <w:tc>
          <w:tcPr>
            <w:tcW w:w="491" w:type="pct"/>
            <w:tcBorders>
              <w:top w:val="nil"/>
              <w:left w:val="nil"/>
              <w:bottom w:val="single" w:color="000000" w:sz="4" w:space="0"/>
              <w:right w:val="single" w:color="000000" w:sz="4" w:space="0"/>
            </w:tcBorders>
            <w:shd w:val="clear" w:color="auto" w:fill="auto"/>
            <w:vAlign w:val="center"/>
          </w:tcPr>
          <w:p w14:paraId="071E95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47C1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企业跨域业务支撑-长三角区域跨省迁移信息共享与全程网办-长三角区域跨省迁入内网审核-申请案预审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DBE4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登记（受理）机关在“待预审”（网上预审、线下提交模式）“全程网办待预审”（全程网办）中对申请案信息及上传文件进行预审。该环节增加总局各类“微服务”功能的校验功能。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长三角区域企业迁出信息调取接口”，在线下申请、“网上预审、线下提交”以及全程网办三种模式下，调取企业迁出信息，判断是否可以办理长三角区域企业跨省迁入业务；可以调取企业监控信息，查看拟迁入企业是否存在涉及股权冻结、股权质押的监控，并以此作为迁入同时是否同步办理股东变更、注册资本变更的数据共享依据。</w:t>
            </w:r>
          </w:p>
        </w:tc>
      </w:tr>
      <w:tr w14:paraId="4BB0E12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9843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362</w:t>
            </w:r>
          </w:p>
        </w:tc>
        <w:tc>
          <w:tcPr>
            <w:tcW w:w="491" w:type="pct"/>
            <w:tcBorders>
              <w:top w:val="nil"/>
              <w:left w:val="nil"/>
              <w:bottom w:val="single" w:color="000000" w:sz="4" w:space="0"/>
              <w:right w:val="single" w:color="000000" w:sz="4" w:space="0"/>
            </w:tcBorders>
            <w:shd w:val="clear" w:color="auto" w:fill="auto"/>
            <w:vAlign w:val="center"/>
          </w:tcPr>
          <w:p w14:paraId="336B87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3050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企业跨域业务支撑-长三角区域跨省迁移信息共享与全程网办-长三角区域跨省迁入内网审核-审核及发照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97DA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登记（受理）机关在内网“待网上材料核对”模块中进行材料审核，流程经办意见根据现有跨省迁入流程办理。</w:t>
            </w:r>
          </w:p>
        </w:tc>
      </w:tr>
      <w:tr w14:paraId="405106B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BB98A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363</w:t>
            </w:r>
          </w:p>
        </w:tc>
        <w:tc>
          <w:tcPr>
            <w:tcW w:w="491" w:type="pct"/>
            <w:tcBorders>
              <w:top w:val="nil"/>
              <w:left w:val="nil"/>
              <w:bottom w:val="single" w:color="000000" w:sz="4" w:space="0"/>
              <w:right w:val="single" w:color="000000" w:sz="4" w:space="0"/>
            </w:tcBorders>
            <w:shd w:val="clear" w:color="auto" w:fill="auto"/>
            <w:vAlign w:val="center"/>
          </w:tcPr>
          <w:p w14:paraId="78109B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1EAA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企业跨域业务支撑-长三角区域跨省迁移信息共享与全程网办-长三角区域跨省迁入内网审核-归档与电子归档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7AFD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全程电子化登记但领取纸质营业执照”的申请案，登记系统在完成打印执照环节，进入移交档案条件查询后，在归档记录中增加一条归档记录。新增归档记录对应该全程电子化申请案纸质材料归档。原归档记录对应全程电子化电子材料的归档。上述两条归档记录批次号不同，但对应同一申请案号。</w:t>
            </w:r>
          </w:p>
        </w:tc>
      </w:tr>
      <w:tr w14:paraId="1D3E950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7C5F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364</w:t>
            </w:r>
          </w:p>
        </w:tc>
        <w:tc>
          <w:tcPr>
            <w:tcW w:w="491" w:type="pct"/>
            <w:tcBorders>
              <w:top w:val="nil"/>
              <w:left w:val="nil"/>
              <w:bottom w:val="single" w:color="000000" w:sz="4" w:space="0"/>
              <w:right w:val="single" w:color="000000" w:sz="4" w:space="0"/>
            </w:tcBorders>
            <w:shd w:val="clear" w:color="auto" w:fill="auto"/>
            <w:vAlign w:val="center"/>
          </w:tcPr>
          <w:p w14:paraId="6171E9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090F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企业住所标准化登记信息库-住所标准化接口服务-住所地址信息维护接口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ACEE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局建立住所地址信息维护接口（包括新增、修改、删除、增加室号、删除室号、住所地址查询等），区局自主开发对接功能，通过接口在各自管理系统（住所云）中对企业住所标准化登记所涉及的住所地址进行集中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1、住所地址新增接口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2、住所地址修改接口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3、住所地址删除地址接口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4、住所地址（室号）增加接口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5、住所地址（室号）删除接口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6、住所地址查询接口</w:t>
            </w:r>
          </w:p>
        </w:tc>
      </w:tr>
      <w:tr w14:paraId="5BCD45D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E809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365</w:t>
            </w:r>
          </w:p>
        </w:tc>
        <w:tc>
          <w:tcPr>
            <w:tcW w:w="491" w:type="pct"/>
            <w:tcBorders>
              <w:top w:val="nil"/>
              <w:left w:val="nil"/>
              <w:bottom w:val="single" w:color="000000" w:sz="4" w:space="0"/>
              <w:right w:val="single" w:color="000000" w:sz="4" w:space="0"/>
            </w:tcBorders>
            <w:shd w:val="clear" w:color="auto" w:fill="auto"/>
            <w:vAlign w:val="center"/>
          </w:tcPr>
          <w:p w14:paraId="54AF49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A0CC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企业住所标准化登记信息库-住所标准化接口服务-住所备案信息维护接口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CED4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局建立住所备案信息维护接口（包括录入、修改、删除、审批反馈、备案查询等），区局自主开发对接功能，通过接口在各自管理系统（住所云）中对企业住所标准化登记所涉及的住所产权、管理员等信息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1、住所备案信息录入接口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2、住所备案信息修改接口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3、住所备案信息删除接口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4、备案审批情况查询（反馈）接口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5、住所备案查询接口</w:t>
            </w:r>
          </w:p>
        </w:tc>
      </w:tr>
      <w:tr w14:paraId="07AC1BE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FC82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366</w:t>
            </w:r>
          </w:p>
        </w:tc>
        <w:tc>
          <w:tcPr>
            <w:tcW w:w="491" w:type="pct"/>
            <w:tcBorders>
              <w:top w:val="nil"/>
              <w:left w:val="nil"/>
              <w:bottom w:val="single" w:color="000000" w:sz="4" w:space="0"/>
              <w:right w:val="single" w:color="000000" w:sz="4" w:space="0"/>
            </w:tcBorders>
            <w:shd w:val="clear" w:color="auto" w:fill="auto"/>
            <w:vAlign w:val="center"/>
          </w:tcPr>
          <w:p w14:paraId="2E2DE4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98E2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企业住所标准化登记信息库-住所标准化接口服务-房屋使用信息维护接口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2B8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局建立住所内房屋使用信息维护（包括录入、修改、删除、查询等），区局自主开发对接功能，通过接口在各自管理系统（住所云）中，面向房屋产权人（管理人）开放对企业住所标准化登记所涉及的房屋使用情况的维护功能。标准化住所入库后，相应的管理方即具有住所（房屋）使用情况的维护权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1、房屋使用情况录入接口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2、房屋使用情况修改接口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3、房屋使用情况删除接口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4、房屋使用情况查询接口</w:t>
            </w:r>
          </w:p>
        </w:tc>
      </w:tr>
      <w:tr w14:paraId="662EAEC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B64E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367</w:t>
            </w:r>
          </w:p>
        </w:tc>
        <w:tc>
          <w:tcPr>
            <w:tcW w:w="491" w:type="pct"/>
            <w:tcBorders>
              <w:top w:val="nil"/>
              <w:left w:val="nil"/>
              <w:bottom w:val="single" w:color="000000" w:sz="4" w:space="0"/>
              <w:right w:val="single" w:color="000000" w:sz="4" w:space="0"/>
            </w:tcBorders>
            <w:shd w:val="clear" w:color="auto" w:fill="auto"/>
            <w:vAlign w:val="center"/>
          </w:tcPr>
          <w:p w14:paraId="1CE95E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E921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企业住所标准化登记信息库-住所标准化接口服务-住所备案字典查询接口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BF7D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提供企业住所标准化登记信息库相关的各类字典信息的查询接口，以便全市企业住所标准化工作保持统一标准，包括行政区划、街道/乡镇、路/村、属地市场监管所四类字典。</w:t>
            </w:r>
          </w:p>
        </w:tc>
      </w:tr>
      <w:tr w14:paraId="51ECC9B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F2DC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368</w:t>
            </w:r>
          </w:p>
        </w:tc>
        <w:tc>
          <w:tcPr>
            <w:tcW w:w="491" w:type="pct"/>
            <w:tcBorders>
              <w:top w:val="nil"/>
              <w:left w:val="nil"/>
              <w:bottom w:val="single" w:color="000000" w:sz="4" w:space="0"/>
              <w:right w:val="single" w:color="000000" w:sz="4" w:space="0"/>
            </w:tcBorders>
            <w:shd w:val="clear" w:color="auto" w:fill="auto"/>
            <w:vAlign w:val="center"/>
          </w:tcPr>
          <w:p w14:paraId="2AF008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7F4E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企业住所标准化登记信息库-住所标准化信息管理-企业住所标准化信息入库审核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E150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新增“市场主体住所标准化登记信息库维护”功能，展示待市局备案审核入库的房屋信息列表，列表字段包括申报机关、房屋地址、申报人、申报日期。申报机关可以按照机关归类显示，申报日期可以按照日期升序和降序显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市局对各区通过接口自动入库的住所登记信息（包括新增、修改、删除）进行审核，可以查看区局申报的具体字段，如“不动产登记证条形码编号”等。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在市局审核过程中，支持通过调用住建部门提供的接口，调取相关不动产登记信息进行核验。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同意备案和退回修改两个结果选项，并配置意见栏，可以手工输入意见。同意备案的，相关信息导入数据库，房屋管理方可以在外网对该地址房屋的具体使用情况进行维护，办理登记的申请人可以通过全程网办系统申报住所，登记机关可以在内网查询标准化住所。</w:t>
            </w:r>
          </w:p>
        </w:tc>
      </w:tr>
      <w:tr w14:paraId="6815F84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030F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369</w:t>
            </w:r>
          </w:p>
        </w:tc>
        <w:tc>
          <w:tcPr>
            <w:tcW w:w="491" w:type="pct"/>
            <w:tcBorders>
              <w:top w:val="nil"/>
              <w:left w:val="nil"/>
              <w:bottom w:val="single" w:color="000000" w:sz="4" w:space="0"/>
              <w:right w:val="single" w:color="000000" w:sz="4" w:space="0"/>
            </w:tcBorders>
            <w:shd w:val="clear" w:color="auto" w:fill="auto"/>
            <w:vAlign w:val="center"/>
          </w:tcPr>
          <w:p w14:paraId="048021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8963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企业住所标准化登记信息库-住所标准化信息管理-备案地址查询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AEB3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按照登记机关、是否集中登记地查询相应的全量备案地址（要有导出功能），通过地址关键字查询具体地址是否备案的情况。</w:t>
            </w:r>
          </w:p>
        </w:tc>
      </w:tr>
      <w:tr w14:paraId="38E7ADA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E321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370</w:t>
            </w:r>
          </w:p>
        </w:tc>
        <w:tc>
          <w:tcPr>
            <w:tcW w:w="491" w:type="pct"/>
            <w:tcBorders>
              <w:top w:val="nil"/>
              <w:left w:val="nil"/>
              <w:bottom w:val="single" w:color="000000" w:sz="4" w:space="0"/>
              <w:right w:val="single" w:color="000000" w:sz="4" w:space="0"/>
            </w:tcBorders>
            <w:shd w:val="clear" w:color="auto" w:fill="auto"/>
            <w:vAlign w:val="center"/>
          </w:tcPr>
          <w:p w14:paraId="7D8148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C5A7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企业住所标准化登记信息库-住所标准化信息管理-备案地址申请信息查询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AEB1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建立查询备案地址（新增、修改、删除）的具体流程、时间、经办人等详细信息。</w:t>
            </w:r>
          </w:p>
        </w:tc>
      </w:tr>
      <w:tr w14:paraId="6B8D2B1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FD07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371</w:t>
            </w:r>
          </w:p>
        </w:tc>
        <w:tc>
          <w:tcPr>
            <w:tcW w:w="491" w:type="pct"/>
            <w:tcBorders>
              <w:top w:val="nil"/>
              <w:left w:val="nil"/>
              <w:bottom w:val="single" w:color="000000" w:sz="4" w:space="0"/>
              <w:right w:val="single" w:color="000000" w:sz="4" w:space="0"/>
            </w:tcBorders>
            <w:shd w:val="clear" w:color="auto" w:fill="auto"/>
            <w:vAlign w:val="center"/>
          </w:tcPr>
          <w:p w14:paraId="4814B5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7761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企业住所标准化登记信息库-住所标准化信息应用-网上申报功能修改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ED09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全程网办系统，新增使用标准化住所登记勾选项。各类市场主体使用设立或变更全程网办系统办理设立或变更住所登记时，在住所页面新增使用标准化住所登记勾选项，删除原集中登记地勾选项（是否集中登记地根据标准化住所集中登记地标签自动带入），并附登记电子地图供申请人通过关键字方式模糊查询标准化住所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勾选标准化住所的，录入房屋合同编号，全程网办系统可以自动带出住所信息，无需申请人手工填写。材料生成环节中，住所使用证明按照房屋信息自动生成格式化使用承诺书，供申请人签字，无需另行上传或生成其他住所材料。</w:t>
            </w:r>
          </w:p>
        </w:tc>
      </w:tr>
      <w:tr w14:paraId="14D3EFF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BB30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372</w:t>
            </w:r>
          </w:p>
        </w:tc>
        <w:tc>
          <w:tcPr>
            <w:tcW w:w="491" w:type="pct"/>
            <w:tcBorders>
              <w:top w:val="nil"/>
              <w:left w:val="nil"/>
              <w:bottom w:val="single" w:color="000000" w:sz="4" w:space="0"/>
              <w:right w:val="single" w:color="000000" w:sz="4" w:space="0"/>
            </w:tcBorders>
            <w:shd w:val="clear" w:color="auto" w:fill="auto"/>
            <w:vAlign w:val="center"/>
          </w:tcPr>
          <w:p w14:paraId="254657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8851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企业住所标准化登记信息库-住所标准化信息应用-线下登记功能修改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AC23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提交格式化的住所使用承诺书，登记机关核准登记时，通过房屋合同编号校验房屋使用信息和不动产登记信息，人工判断是否符合登记条件。合同号、房屋使用信息将被记录和保存在申请案中，以备后续申请案查询时使用。</w:t>
            </w:r>
          </w:p>
        </w:tc>
      </w:tr>
      <w:tr w14:paraId="4E52146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AA5F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373</w:t>
            </w:r>
          </w:p>
        </w:tc>
        <w:tc>
          <w:tcPr>
            <w:tcW w:w="491" w:type="pct"/>
            <w:tcBorders>
              <w:top w:val="nil"/>
              <w:left w:val="nil"/>
              <w:bottom w:val="single" w:color="000000" w:sz="4" w:space="0"/>
              <w:right w:val="single" w:color="000000" w:sz="4" w:space="0"/>
            </w:tcBorders>
            <w:shd w:val="clear" w:color="auto" w:fill="auto"/>
            <w:vAlign w:val="center"/>
          </w:tcPr>
          <w:p w14:paraId="2016F5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C692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企业住所标准化登记信息库-住所标准化信息应用-内网核准功能修改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BF057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内网登记系统，登记机关核准登记时，增加标准化住所标签（集中登记地标签保留，根据标准化住所信息带入是否集中登记地，也可以人工勾选），通过房屋备案编号校验房屋使用信息，人工判断是否符合登记条件。</w:t>
            </w:r>
          </w:p>
        </w:tc>
      </w:tr>
      <w:tr w14:paraId="1171B7F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E51E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374</w:t>
            </w:r>
          </w:p>
        </w:tc>
        <w:tc>
          <w:tcPr>
            <w:tcW w:w="491" w:type="pct"/>
            <w:tcBorders>
              <w:top w:val="nil"/>
              <w:left w:val="nil"/>
              <w:bottom w:val="single" w:color="000000" w:sz="4" w:space="0"/>
              <w:right w:val="single" w:color="000000" w:sz="4" w:space="0"/>
            </w:tcBorders>
            <w:shd w:val="clear" w:color="auto" w:fill="auto"/>
            <w:vAlign w:val="center"/>
          </w:tcPr>
          <w:p w14:paraId="19BF2E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6A59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企业住所标准化登记信息库-住所标准化信息应用-地址归并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09A0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集中登记地信息统一导入标准化住所数据库，供各区在各自系统中查询和维护。保留XLS模式，集中登记地维护XLS模式，集中登记地合同维护暂时保留现有互联网程序。实现具备条件的，通过区局自行开发的系统申报维护集中登记地和合同，不具备条件的，暂时使用原模式。</w:t>
            </w:r>
          </w:p>
        </w:tc>
      </w:tr>
      <w:tr w14:paraId="0A442C6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AC59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375</w:t>
            </w:r>
          </w:p>
        </w:tc>
        <w:tc>
          <w:tcPr>
            <w:tcW w:w="491" w:type="pct"/>
            <w:tcBorders>
              <w:top w:val="nil"/>
              <w:left w:val="nil"/>
              <w:bottom w:val="single" w:color="000000" w:sz="4" w:space="0"/>
              <w:right w:val="single" w:color="000000" w:sz="4" w:space="0"/>
            </w:tcBorders>
            <w:shd w:val="clear" w:color="auto" w:fill="auto"/>
            <w:vAlign w:val="center"/>
          </w:tcPr>
          <w:p w14:paraId="39038E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7DB7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企业住所标准化登记信息库-住所标准化信息应用-综合查询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062E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改造登记系统，可按分登记机关、地址关键字、是否集中登记地等条件，查询已备案的地址，以及每个地址上已登记的企业及企业状态。</w:t>
            </w:r>
          </w:p>
        </w:tc>
      </w:tr>
      <w:tr w14:paraId="2C65E90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67EB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376</w:t>
            </w:r>
          </w:p>
        </w:tc>
        <w:tc>
          <w:tcPr>
            <w:tcW w:w="491" w:type="pct"/>
            <w:tcBorders>
              <w:top w:val="nil"/>
              <w:left w:val="nil"/>
              <w:bottom w:val="single" w:color="000000" w:sz="4" w:space="0"/>
              <w:right w:val="single" w:color="000000" w:sz="4" w:space="0"/>
            </w:tcBorders>
            <w:shd w:val="clear" w:color="auto" w:fill="auto"/>
            <w:vAlign w:val="center"/>
          </w:tcPr>
          <w:p w14:paraId="51CDA1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A8C6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企业住所标准化登记信息库-住所标准化信息应用-地址整合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CA13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将原有集中登记地并入标准化住所数据库，供各区在各自系统中查询和维护。1、相关地址上登记的存量企业，一次性导入对应的房屋。2、由管理方自行选择并确认该企业是否实际登记在该房屋。</w:t>
            </w:r>
          </w:p>
        </w:tc>
      </w:tr>
      <w:tr w14:paraId="4C55A64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A87C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377</w:t>
            </w:r>
          </w:p>
        </w:tc>
        <w:tc>
          <w:tcPr>
            <w:tcW w:w="491" w:type="pct"/>
            <w:tcBorders>
              <w:top w:val="nil"/>
              <w:left w:val="nil"/>
              <w:bottom w:val="single" w:color="000000" w:sz="4" w:space="0"/>
              <w:right w:val="single" w:color="000000" w:sz="4" w:space="0"/>
            </w:tcBorders>
            <w:shd w:val="clear" w:color="auto" w:fill="auto"/>
            <w:vAlign w:val="center"/>
          </w:tcPr>
          <w:p w14:paraId="46C933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C0B3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企业住所标准化登记信息库-住所标准化信息应用-不动产登记信息核验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B838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优化登记系统不动产登记信息核验相关功能，新增室号、房屋面积、用途、产权人等，并调整显示格式，实现信息一一对应显示。</w:t>
            </w:r>
          </w:p>
        </w:tc>
      </w:tr>
      <w:tr w14:paraId="23025AD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D837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378</w:t>
            </w:r>
          </w:p>
        </w:tc>
        <w:tc>
          <w:tcPr>
            <w:tcW w:w="491" w:type="pct"/>
            <w:tcBorders>
              <w:top w:val="nil"/>
              <w:left w:val="nil"/>
              <w:bottom w:val="single" w:color="000000" w:sz="4" w:space="0"/>
              <w:right w:val="single" w:color="000000" w:sz="4" w:space="0"/>
            </w:tcBorders>
            <w:shd w:val="clear" w:color="auto" w:fill="auto"/>
            <w:vAlign w:val="center"/>
          </w:tcPr>
          <w:p w14:paraId="5DD8D7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BFB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企业住所标准化登记信息库-企业登记电子地图服务-企业登记电子地图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FAB5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在“上海企业登记在线”首页展示全市企业登记电子地图入口，介绍各区开展登记住所便利化的情况。提供全市集中登记地管理入口，提供移动版电子执照登录，与法人一证通登录两种方式。</w:t>
            </w:r>
          </w:p>
        </w:tc>
      </w:tr>
      <w:tr w14:paraId="76695E9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6302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379</w:t>
            </w:r>
          </w:p>
        </w:tc>
        <w:tc>
          <w:tcPr>
            <w:tcW w:w="491" w:type="pct"/>
            <w:tcBorders>
              <w:top w:val="nil"/>
              <w:left w:val="nil"/>
              <w:bottom w:val="single" w:color="000000" w:sz="4" w:space="0"/>
              <w:right w:val="single" w:color="000000" w:sz="4" w:space="0"/>
            </w:tcBorders>
            <w:shd w:val="clear" w:color="auto" w:fill="auto"/>
            <w:vAlign w:val="center"/>
          </w:tcPr>
          <w:p w14:paraId="6D7439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D789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企业住所标准化登记信息库-企业登记电子地图服务-住所标准化登记地址展示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C415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各区开展住所标准化登记的地址列表，并在利用GIS电子地图（2D）直观展示住所标准化登记的地址的位置。提供住所标准化登记的地址详情，包括地址简介以及对应的管理方及其联系方式，每个地址支持多个管理方。</w:t>
            </w:r>
          </w:p>
        </w:tc>
      </w:tr>
      <w:tr w14:paraId="04BA398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5F3E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380</w:t>
            </w:r>
          </w:p>
        </w:tc>
        <w:tc>
          <w:tcPr>
            <w:tcW w:w="491" w:type="pct"/>
            <w:tcBorders>
              <w:top w:val="nil"/>
              <w:left w:val="nil"/>
              <w:bottom w:val="single" w:color="000000" w:sz="4" w:space="0"/>
              <w:right w:val="single" w:color="000000" w:sz="4" w:space="0"/>
            </w:tcBorders>
            <w:shd w:val="clear" w:color="auto" w:fill="auto"/>
            <w:vAlign w:val="center"/>
          </w:tcPr>
          <w:p w14:paraId="37FE8D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7E9B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登记数据预警监测-经营主体预警清单生成-一址多照业务预警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2385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市场监管总局办公厅关于开展市场主体数据质量提升行动的通知》、《市场监管总局办公厅关于开展制止和防范经营主体虚增工作“回头看”的通知》的要求，加强对经营主体登记数据的预警监测，建立预警模型，归集梳理相关数据，定期形成对相关地址、经营主体、自然人、联系电话等要素的预警清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经营主体预警监测规则要求，归集梳理相关数据，定期形成针对各类地址及经营主体的“一址多照”的预警监测清单，包括：1、同一地址登记设立20户以上经营主体的预警；2、同一虚拟地址登记设立10户以上经营主体的预警；3、同一集中登记地登记企业月度环比或同比增幅100%以上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“一址多照”业务预警的数据基础，主要来源于前期已建的“一址多照”数据预警，通过对“一址多照”数据预警清单基于业务要求的二次梳理，形成“一址多照”业务预警。</w:t>
            </w:r>
          </w:p>
        </w:tc>
      </w:tr>
      <w:tr w14:paraId="289CF3D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3E43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381</w:t>
            </w:r>
          </w:p>
        </w:tc>
        <w:tc>
          <w:tcPr>
            <w:tcW w:w="491" w:type="pct"/>
            <w:tcBorders>
              <w:top w:val="nil"/>
              <w:left w:val="nil"/>
              <w:bottom w:val="single" w:color="000000" w:sz="4" w:space="0"/>
              <w:right w:val="single" w:color="000000" w:sz="4" w:space="0"/>
            </w:tcBorders>
            <w:shd w:val="clear" w:color="auto" w:fill="auto"/>
            <w:vAlign w:val="center"/>
          </w:tcPr>
          <w:p w14:paraId="2AB2F9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23C4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登记数据预警监测-经营主体预警清单生成-一人多户业务预警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2781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预警监测规则要求，归集梳理相关数据，定期形成针对自然人及经营主体的“一人多户”的预警监测清单，包括：1、同一自然人作为个体工商户经营者、企业唯一投资人，在全市范围内累计设立10户经营主体（已注销的不计入总数）的预警；2、同一自然人作为个体工商户经营者、企业唯一投资人，在同一登记机关设立5户经营主体的（已注销的不计入总数）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“一人多户”业务预警的数据基础，主要来源于前期已建的“一人多户”数据预警，通过对“一人多户”数据预警清单基于业务要求的二次梳理，形成“一址多照”业务预警。</w:t>
            </w:r>
          </w:p>
        </w:tc>
      </w:tr>
      <w:tr w14:paraId="6CFCFF6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4420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382</w:t>
            </w:r>
          </w:p>
        </w:tc>
        <w:tc>
          <w:tcPr>
            <w:tcW w:w="491" w:type="pct"/>
            <w:tcBorders>
              <w:top w:val="nil"/>
              <w:left w:val="nil"/>
              <w:bottom w:val="single" w:color="000000" w:sz="4" w:space="0"/>
              <w:right w:val="single" w:color="000000" w:sz="4" w:space="0"/>
            </w:tcBorders>
            <w:shd w:val="clear" w:color="auto" w:fill="auto"/>
            <w:vAlign w:val="center"/>
          </w:tcPr>
          <w:p w14:paraId="58AA54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7F37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登记数据预警监测-经营主体预警清单生成-高龄人员业务预警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7895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预警监测规则要求，归集梳理相关数据，定期形成针对自然人及经营主体的“高龄人员”的预警监测清单，包括：登记注册时年满70周岁以上的自然人作为经营者或者唯一投资人登记设立经营主体的预警。</w:t>
            </w:r>
          </w:p>
        </w:tc>
      </w:tr>
      <w:tr w14:paraId="53DDFAF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DE0C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383</w:t>
            </w:r>
          </w:p>
        </w:tc>
        <w:tc>
          <w:tcPr>
            <w:tcW w:w="491" w:type="pct"/>
            <w:tcBorders>
              <w:top w:val="nil"/>
              <w:left w:val="nil"/>
              <w:bottom w:val="single" w:color="000000" w:sz="4" w:space="0"/>
              <w:right w:val="single" w:color="000000" w:sz="4" w:space="0"/>
            </w:tcBorders>
            <w:shd w:val="clear" w:color="auto" w:fill="auto"/>
            <w:vAlign w:val="center"/>
          </w:tcPr>
          <w:p w14:paraId="219333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3A89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登记数据预警监测-经营主体预警清单生成-重复电话业务预警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A855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根据经营主体预警监测规则要求，归集梳理相关数据，定期形成针对联系电话及经营主体的“重复电话”的预警监测清单，包括：20户以上经营主体“联系电话”填写同一号码的预警。</w:t>
            </w:r>
          </w:p>
        </w:tc>
      </w:tr>
      <w:tr w14:paraId="1832C32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F196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384</w:t>
            </w:r>
          </w:p>
        </w:tc>
        <w:tc>
          <w:tcPr>
            <w:tcW w:w="491" w:type="pct"/>
            <w:tcBorders>
              <w:top w:val="nil"/>
              <w:left w:val="nil"/>
              <w:bottom w:val="single" w:color="000000" w:sz="4" w:space="0"/>
              <w:right w:val="single" w:color="000000" w:sz="4" w:space="0"/>
            </w:tcBorders>
            <w:shd w:val="clear" w:color="auto" w:fill="auto"/>
            <w:vAlign w:val="center"/>
          </w:tcPr>
          <w:p w14:paraId="2034B0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5FB0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登记数据预警监测-经营主体预警清单生成-频繁变更业务预警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0656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预警监测规则要求，归集梳理相关数据，定期形成针对经营主体的“频繁变更”的预警监测清单，包括：1、同一经营主体1个月内变更法定代表人2次（含）及以上的预警；2、同一经营主体1个月内变更住所2次（含）及以上的预警。</w:t>
            </w:r>
          </w:p>
        </w:tc>
      </w:tr>
      <w:tr w14:paraId="051693F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7478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385</w:t>
            </w:r>
          </w:p>
        </w:tc>
        <w:tc>
          <w:tcPr>
            <w:tcW w:w="491" w:type="pct"/>
            <w:tcBorders>
              <w:top w:val="nil"/>
              <w:left w:val="nil"/>
              <w:bottom w:val="single" w:color="000000" w:sz="4" w:space="0"/>
              <w:right w:val="single" w:color="000000" w:sz="4" w:space="0"/>
            </w:tcBorders>
            <w:shd w:val="clear" w:color="auto" w:fill="auto"/>
            <w:vAlign w:val="center"/>
          </w:tcPr>
          <w:p w14:paraId="052E1A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BCB9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登记数据预警监测-经营主体预警清单生成-同一地址关联标准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73205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针对一人多户、高龄人员、重复电话、频繁变更的预警相关的经营主体，如果在同期预警中存在“同一地址”的多个预警信息，在清单中进行“标注”。</w:t>
            </w:r>
          </w:p>
        </w:tc>
      </w:tr>
      <w:tr w14:paraId="7FAA4FA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3777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386</w:t>
            </w:r>
          </w:p>
        </w:tc>
        <w:tc>
          <w:tcPr>
            <w:tcW w:w="491" w:type="pct"/>
            <w:tcBorders>
              <w:top w:val="nil"/>
              <w:left w:val="nil"/>
              <w:bottom w:val="single" w:color="000000" w:sz="4" w:space="0"/>
              <w:right w:val="single" w:color="000000" w:sz="4" w:space="0"/>
            </w:tcBorders>
            <w:shd w:val="clear" w:color="auto" w:fill="auto"/>
            <w:vAlign w:val="center"/>
          </w:tcPr>
          <w:p w14:paraId="40FF6E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3084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登记数据预警监测-经营主体预警查询统计-一址多照预警查询统计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5C3D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基于形成的一人多户、一址多照、高龄人员、重复电话、频繁变更等预警清单，面向市局、区局、市场所人员提供各自权限范围的预警清单查询与统计功能。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实现对一址多照类预警清单的复合条件检索、智能排序、统计和导出功能，包括：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1、同一地址登记设立20户以上经营主体的预警；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2、同一虚拟地址登记设立10户以上经营主体的预警；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3、同一集中登记地登记企业月度环比或同比增幅100%以上的预警。</w:t>
            </w:r>
          </w:p>
        </w:tc>
      </w:tr>
      <w:tr w14:paraId="0805F1D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BEAF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387</w:t>
            </w:r>
          </w:p>
        </w:tc>
        <w:tc>
          <w:tcPr>
            <w:tcW w:w="491" w:type="pct"/>
            <w:tcBorders>
              <w:top w:val="nil"/>
              <w:left w:val="nil"/>
              <w:bottom w:val="single" w:color="000000" w:sz="4" w:space="0"/>
              <w:right w:val="single" w:color="000000" w:sz="4" w:space="0"/>
            </w:tcBorders>
            <w:shd w:val="clear" w:color="auto" w:fill="auto"/>
            <w:vAlign w:val="center"/>
          </w:tcPr>
          <w:p w14:paraId="054F84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966F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登记数据预警监测-经营主体预警查询统计-一人多户预警查询统计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4361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实现对一人多户类预警清单的复合条件检索、智能排序、统计和导出功能，包括：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1、同一自然人作为个体工商户经营者、企业唯一投资人，在全市范围内累计设立10户经营主体（已注销的不计入总数）的预警；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2、同一自然人作为个体工商户经营者、企业唯一投资人，在同一登记机关设立5户经营主体的（已注销的不计入总数）的预警。</w:t>
            </w:r>
          </w:p>
        </w:tc>
      </w:tr>
      <w:tr w14:paraId="782A5FE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1B01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388</w:t>
            </w:r>
          </w:p>
        </w:tc>
        <w:tc>
          <w:tcPr>
            <w:tcW w:w="491" w:type="pct"/>
            <w:tcBorders>
              <w:top w:val="nil"/>
              <w:left w:val="nil"/>
              <w:bottom w:val="single" w:color="000000" w:sz="4" w:space="0"/>
              <w:right w:val="single" w:color="000000" w:sz="4" w:space="0"/>
            </w:tcBorders>
            <w:shd w:val="clear" w:color="auto" w:fill="auto"/>
            <w:vAlign w:val="center"/>
          </w:tcPr>
          <w:p w14:paraId="120D8B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B4B8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登记数据预警监测-经营主体预警查询统计-高龄人员预警查询统计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273B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实现对高龄人员类预警清单的复合条件检索、智能排序、统计和导出功能，包括：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1、登记注册时年满70周岁以上的自然人作为经营者或者唯一投资人登记设立经营主体的预警。</w:t>
            </w:r>
          </w:p>
        </w:tc>
      </w:tr>
      <w:tr w14:paraId="2900B8F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ADEF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389</w:t>
            </w:r>
          </w:p>
        </w:tc>
        <w:tc>
          <w:tcPr>
            <w:tcW w:w="491" w:type="pct"/>
            <w:tcBorders>
              <w:top w:val="nil"/>
              <w:left w:val="nil"/>
              <w:bottom w:val="single" w:color="000000" w:sz="4" w:space="0"/>
              <w:right w:val="single" w:color="000000" w:sz="4" w:space="0"/>
            </w:tcBorders>
            <w:shd w:val="clear" w:color="auto" w:fill="auto"/>
            <w:vAlign w:val="center"/>
          </w:tcPr>
          <w:p w14:paraId="07D8E9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716E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登记数据预警监测-经营主体预警查询统计-重复电话预警查询统计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B417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实现对重复电话类预警清单的复合条件检索、智能排序、统计和导出功能，包括：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1、20户以上经营主体“联系电话”填写同一号码的预警。</w:t>
            </w:r>
          </w:p>
        </w:tc>
      </w:tr>
      <w:tr w14:paraId="1708D00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C55B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390</w:t>
            </w:r>
          </w:p>
        </w:tc>
        <w:tc>
          <w:tcPr>
            <w:tcW w:w="491" w:type="pct"/>
            <w:tcBorders>
              <w:top w:val="nil"/>
              <w:left w:val="nil"/>
              <w:bottom w:val="single" w:color="000000" w:sz="4" w:space="0"/>
              <w:right w:val="single" w:color="000000" w:sz="4" w:space="0"/>
            </w:tcBorders>
            <w:shd w:val="clear" w:color="auto" w:fill="auto"/>
            <w:vAlign w:val="center"/>
          </w:tcPr>
          <w:p w14:paraId="7D63D4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E02B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登记数据预警监测-经营主体预警查询统计-频繁变更预警查询统计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FC59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实现对频繁变更类预警清单的复合条件检索、智能排序、统计和导出功能，包括：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1、同一经营主体1个月内变更法定代表人2次（含）及以上的预警；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2、同一经营主体1个月内变更住所2次（含）及以上的预警。</w:t>
            </w:r>
          </w:p>
        </w:tc>
      </w:tr>
      <w:tr w14:paraId="3F4BDF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20C3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391</w:t>
            </w:r>
          </w:p>
        </w:tc>
        <w:tc>
          <w:tcPr>
            <w:tcW w:w="491" w:type="pct"/>
            <w:tcBorders>
              <w:top w:val="nil"/>
              <w:left w:val="nil"/>
              <w:bottom w:val="single" w:color="000000" w:sz="4" w:space="0"/>
              <w:right w:val="single" w:color="000000" w:sz="4" w:space="0"/>
            </w:tcBorders>
            <w:shd w:val="clear" w:color="auto" w:fill="auto"/>
            <w:vAlign w:val="center"/>
          </w:tcPr>
          <w:p w14:paraId="2BEE74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F7D9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登记数据预警监测-经营主体预警业务监测-预警监测环节与措施设置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5606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提供对一人多户、一址多照、高龄人员、重复电话、频繁变更等各类经营主体预警在哪些业务类型、业务环节（包括内外网）、采用何种干预措施（拦截办理、提示注意、禁止提交）的设置。</w:t>
            </w:r>
          </w:p>
        </w:tc>
      </w:tr>
      <w:tr w14:paraId="54F8D0C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CA80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392</w:t>
            </w:r>
          </w:p>
        </w:tc>
        <w:tc>
          <w:tcPr>
            <w:tcW w:w="491" w:type="pct"/>
            <w:tcBorders>
              <w:top w:val="nil"/>
              <w:left w:val="nil"/>
              <w:bottom w:val="single" w:color="000000" w:sz="4" w:space="0"/>
              <w:right w:val="single" w:color="000000" w:sz="4" w:space="0"/>
            </w:tcBorders>
            <w:shd w:val="clear" w:color="auto" w:fill="auto"/>
            <w:vAlign w:val="center"/>
          </w:tcPr>
          <w:p w14:paraId="5FA8F0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1B5E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登记数据预警监测-经营主体预警业务监测-经营主体频繁变更监测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0578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在各种经营主体的各类相关申请业务的申报、审查等业务环节中，嵌入对“经营主体频繁变更”的业务预警监测功能，当当前业务相关经营主体触发“频繁变更预警监测”时，系统自动提示申请人或审查人员。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对是否同一经营主体的判断，通过统一社会信用代码进行。</w:t>
            </w:r>
          </w:p>
        </w:tc>
      </w:tr>
      <w:tr w14:paraId="40269B2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6F31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393</w:t>
            </w:r>
          </w:p>
        </w:tc>
        <w:tc>
          <w:tcPr>
            <w:tcW w:w="491" w:type="pct"/>
            <w:tcBorders>
              <w:top w:val="nil"/>
              <w:left w:val="nil"/>
              <w:bottom w:val="single" w:color="000000" w:sz="4" w:space="0"/>
              <w:right w:val="single" w:color="000000" w:sz="4" w:space="0"/>
            </w:tcBorders>
            <w:shd w:val="clear" w:color="auto" w:fill="auto"/>
            <w:vAlign w:val="center"/>
          </w:tcPr>
          <w:p w14:paraId="0CC5EE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64B1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登记数据预警监测-经营主体预警业务监测-注册地址一址多户监测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025F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在各种经营主体的各类相关申请业务的申报、审查等业务环节中，嵌入对“注册地址一址多户”的业务预警监测功能，当当前业务相关注册地址触发“频繁变更预警监测”时，系统自动提示申请人或审查人员。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对是否同一注册地址的判断，需要按照注册地址的地址全程、区划、乡镇街道、路面、弄、门牌、单双、室号等进行智能判断。</w:t>
            </w:r>
          </w:p>
        </w:tc>
      </w:tr>
      <w:tr w14:paraId="55C5214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1C01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394</w:t>
            </w:r>
          </w:p>
        </w:tc>
        <w:tc>
          <w:tcPr>
            <w:tcW w:w="491" w:type="pct"/>
            <w:tcBorders>
              <w:top w:val="nil"/>
              <w:left w:val="nil"/>
              <w:bottom w:val="single" w:color="000000" w:sz="4" w:space="0"/>
              <w:right w:val="single" w:color="000000" w:sz="4" w:space="0"/>
            </w:tcBorders>
            <w:shd w:val="clear" w:color="auto" w:fill="auto"/>
            <w:vAlign w:val="center"/>
          </w:tcPr>
          <w:p w14:paraId="616941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F373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登记数据预警监测-经营主体预警业务监测-联系电话大量重复监测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A346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在各种经营主体的各类相关申请业务的申报、审查等业务环节中，嵌入对“联系电话大量重复”的业务预警监测功能，当当前业务的相关联系电话触发“联系电话大量重复”时，系统自动提示申请人或审查人员。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对是否同一联系电话的判断，需要对联系电话进行规范化处理后才能进行智能判断。</w:t>
            </w:r>
          </w:p>
        </w:tc>
      </w:tr>
      <w:tr w14:paraId="22DCAC8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9B2F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395</w:t>
            </w:r>
          </w:p>
        </w:tc>
        <w:tc>
          <w:tcPr>
            <w:tcW w:w="491" w:type="pct"/>
            <w:tcBorders>
              <w:top w:val="nil"/>
              <w:left w:val="nil"/>
              <w:bottom w:val="single" w:color="000000" w:sz="4" w:space="0"/>
              <w:right w:val="single" w:color="000000" w:sz="4" w:space="0"/>
            </w:tcBorders>
            <w:shd w:val="clear" w:color="auto" w:fill="auto"/>
            <w:vAlign w:val="center"/>
          </w:tcPr>
          <w:p w14:paraId="0A88D1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E105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登记数据预警监测-经营主体预警业务监测-高龄人员多次投资监测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A00B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各种经营主体的各类相关申请业务的申报、审查等业务环节中，嵌入对“高龄人员多次投资”的业务预警监测功能，当当前业务的相关经营者或唯一投资人触发“高龄人员多次投资”时，系统自动提示申请人或审查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其中高龄人员多次投资，指年满70周岁以上的自然人，作为经营者或者唯一投资人登记设立经营主体已登记10户以上的情况。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对是否同一自然人的判断，通过姓名、身份证件类型与身份证号等进行智能判断。</w:t>
            </w:r>
          </w:p>
        </w:tc>
      </w:tr>
      <w:tr w14:paraId="5401368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D4AB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396</w:t>
            </w:r>
          </w:p>
        </w:tc>
        <w:tc>
          <w:tcPr>
            <w:tcW w:w="491" w:type="pct"/>
            <w:tcBorders>
              <w:top w:val="nil"/>
              <w:left w:val="nil"/>
              <w:bottom w:val="single" w:color="000000" w:sz="4" w:space="0"/>
              <w:right w:val="single" w:color="000000" w:sz="4" w:space="0"/>
            </w:tcBorders>
            <w:shd w:val="clear" w:color="auto" w:fill="auto"/>
            <w:vAlign w:val="center"/>
          </w:tcPr>
          <w:p w14:paraId="27D017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200B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登记数据预警监测-经营主体预警问询反馈-市局问询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649D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建立市区两级登记机关关于经营主体预警的问题提示和反馈响应通道。市局对集中出现、频繁触发监测条件的区局进行问题问询。</w:t>
            </w:r>
          </w:p>
        </w:tc>
      </w:tr>
      <w:tr w14:paraId="40B046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95EC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397</w:t>
            </w:r>
          </w:p>
        </w:tc>
        <w:tc>
          <w:tcPr>
            <w:tcW w:w="491" w:type="pct"/>
            <w:tcBorders>
              <w:top w:val="nil"/>
              <w:left w:val="nil"/>
              <w:bottom w:val="single" w:color="000000" w:sz="4" w:space="0"/>
              <w:right w:val="single" w:color="000000" w:sz="4" w:space="0"/>
            </w:tcBorders>
            <w:shd w:val="clear" w:color="auto" w:fill="auto"/>
            <w:vAlign w:val="center"/>
          </w:tcPr>
          <w:p w14:paraId="0BB015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376B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登记数据预警监测-经营主体预警问询反馈-区局反馈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2717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区局接到问题问询后在一定时间内进行核查，并通过系统反馈核查结果。</w:t>
            </w:r>
          </w:p>
        </w:tc>
      </w:tr>
      <w:tr w14:paraId="7471246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83F4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398</w:t>
            </w:r>
          </w:p>
        </w:tc>
        <w:tc>
          <w:tcPr>
            <w:tcW w:w="491" w:type="pct"/>
            <w:tcBorders>
              <w:top w:val="nil"/>
              <w:left w:val="nil"/>
              <w:bottom w:val="single" w:color="000000" w:sz="4" w:space="0"/>
              <w:right w:val="single" w:color="000000" w:sz="4" w:space="0"/>
            </w:tcBorders>
            <w:shd w:val="clear" w:color="auto" w:fill="auto"/>
            <w:vAlign w:val="center"/>
          </w:tcPr>
          <w:p w14:paraId="724B41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2C67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国企央企查验比对-假国企校验-设立网办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8D79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总局提供“全国假国企央企限制登记服务”，实现对假国企办理登记备案业务的限制。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假国企校验，校验企业类型为内资公司、外资公司（有限责任公司和股份有限公司）。校验对象为拟办理业务的公司，有限公司非自然人股东、股份有限公司非自然人发起人。对设立网办进行假国企校验。</w:t>
            </w:r>
          </w:p>
        </w:tc>
      </w:tr>
      <w:tr w14:paraId="28EB778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8D63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399</w:t>
            </w:r>
          </w:p>
        </w:tc>
        <w:tc>
          <w:tcPr>
            <w:tcW w:w="491" w:type="pct"/>
            <w:tcBorders>
              <w:top w:val="nil"/>
              <w:left w:val="nil"/>
              <w:bottom w:val="single" w:color="000000" w:sz="4" w:space="0"/>
              <w:right w:val="single" w:color="000000" w:sz="4" w:space="0"/>
            </w:tcBorders>
            <w:shd w:val="clear" w:color="auto" w:fill="auto"/>
            <w:vAlign w:val="center"/>
          </w:tcPr>
          <w:p w14:paraId="522CED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AF50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国企央企查验比对-假国企校验-变更网办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A083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对变更网办进行假国企校验。</w:t>
            </w:r>
          </w:p>
        </w:tc>
      </w:tr>
      <w:tr w14:paraId="109046C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5640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400</w:t>
            </w:r>
          </w:p>
        </w:tc>
        <w:tc>
          <w:tcPr>
            <w:tcW w:w="491" w:type="pct"/>
            <w:tcBorders>
              <w:top w:val="nil"/>
              <w:left w:val="nil"/>
              <w:bottom w:val="single" w:color="000000" w:sz="4" w:space="0"/>
              <w:right w:val="single" w:color="000000" w:sz="4" w:space="0"/>
            </w:tcBorders>
            <w:shd w:val="clear" w:color="auto" w:fill="auto"/>
            <w:vAlign w:val="center"/>
          </w:tcPr>
          <w:p w14:paraId="43F18F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0D20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国企央企查验比对-假国企校验-内网登记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A5F4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对内网登记进行假国企校验。</w:t>
            </w:r>
          </w:p>
        </w:tc>
      </w:tr>
      <w:tr w14:paraId="08B8148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F71E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401</w:t>
            </w:r>
          </w:p>
        </w:tc>
        <w:tc>
          <w:tcPr>
            <w:tcW w:w="491" w:type="pct"/>
            <w:tcBorders>
              <w:top w:val="nil"/>
              <w:left w:val="nil"/>
              <w:bottom w:val="single" w:color="000000" w:sz="4" w:space="0"/>
              <w:right w:val="single" w:color="000000" w:sz="4" w:space="0"/>
            </w:tcBorders>
            <w:shd w:val="clear" w:color="auto" w:fill="auto"/>
            <w:vAlign w:val="center"/>
          </w:tcPr>
          <w:p w14:paraId="684C6E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491D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国企央企查验比对-国企校验-设立网办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F4B4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校验，即对总局文件中的全级次企业进行核验。总局提供“全国国企央企登记比对核验服务”：（1）判断公司是否应为全级次企业（是否存在国有股东，包括国资委）；（2）核验全级次企业相关登记注册信息与产权登记信息是否一致。在设立网办中校验过企业。</w:t>
            </w:r>
          </w:p>
        </w:tc>
      </w:tr>
      <w:tr w14:paraId="164E247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F830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402</w:t>
            </w:r>
          </w:p>
        </w:tc>
        <w:tc>
          <w:tcPr>
            <w:tcW w:w="491" w:type="pct"/>
            <w:tcBorders>
              <w:top w:val="nil"/>
              <w:left w:val="nil"/>
              <w:bottom w:val="single" w:color="000000" w:sz="4" w:space="0"/>
              <w:right w:val="single" w:color="000000" w:sz="4" w:space="0"/>
            </w:tcBorders>
            <w:shd w:val="clear" w:color="auto" w:fill="auto"/>
            <w:vAlign w:val="center"/>
          </w:tcPr>
          <w:p w14:paraId="045AEE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6E2B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国企央企查验比对-国企校验-变更网办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931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在变更网办中校验国企。</w:t>
            </w:r>
          </w:p>
        </w:tc>
      </w:tr>
      <w:tr w14:paraId="6E4B686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DA09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403</w:t>
            </w:r>
          </w:p>
        </w:tc>
        <w:tc>
          <w:tcPr>
            <w:tcW w:w="491" w:type="pct"/>
            <w:tcBorders>
              <w:top w:val="nil"/>
              <w:left w:val="nil"/>
              <w:bottom w:val="single" w:color="000000" w:sz="4" w:space="0"/>
              <w:right w:val="single" w:color="000000" w:sz="4" w:space="0"/>
            </w:tcBorders>
            <w:shd w:val="clear" w:color="auto" w:fill="auto"/>
            <w:vAlign w:val="center"/>
          </w:tcPr>
          <w:p w14:paraId="1D9D02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6DBF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国企央企查验比对-国企校验-内网登记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6308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在内网登记中校验国企。</w:t>
            </w:r>
          </w:p>
        </w:tc>
      </w:tr>
      <w:tr w14:paraId="269F652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F122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404</w:t>
            </w:r>
          </w:p>
        </w:tc>
        <w:tc>
          <w:tcPr>
            <w:tcW w:w="491" w:type="pct"/>
            <w:tcBorders>
              <w:top w:val="nil"/>
              <w:left w:val="nil"/>
              <w:bottom w:val="single" w:color="000000" w:sz="4" w:space="0"/>
              <w:right w:val="single" w:color="000000" w:sz="4" w:space="0"/>
            </w:tcBorders>
            <w:shd w:val="clear" w:color="auto" w:fill="auto"/>
            <w:vAlign w:val="center"/>
          </w:tcPr>
          <w:p w14:paraId="06B985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432E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国企央企查验比对-总局接口的调用记录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6959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记录总局接口的调用情况和结果。设立、变更网办系统，如果调用总局接口失败，申请人可以继续办理，在内网预审、审核环节会进行限制。内网系统，如果调用总局接口失败，系统会进行报错提示，不能继续办理。</w:t>
            </w:r>
          </w:p>
        </w:tc>
      </w:tr>
      <w:tr w14:paraId="50D05B2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F94F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405</w:t>
            </w:r>
          </w:p>
        </w:tc>
        <w:tc>
          <w:tcPr>
            <w:tcW w:w="491" w:type="pct"/>
            <w:tcBorders>
              <w:top w:val="nil"/>
              <w:left w:val="nil"/>
              <w:bottom w:val="single" w:color="000000" w:sz="4" w:space="0"/>
              <w:right w:val="single" w:color="000000" w:sz="4" w:space="0"/>
            </w:tcBorders>
            <w:shd w:val="clear" w:color="auto" w:fill="auto"/>
            <w:vAlign w:val="center"/>
          </w:tcPr>
          <w:p w14:paraId="36653D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F55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国企央企查验比对-登记数据上报总局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3ADA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记录总局接口的调用情况和结果。设立、变更网办系统，如果调用总局接口失败，申请人可以继续办理，在内网预审、审核环节会进行限制。内网系统，如果调用总局接口失败，系统会进行报错提示，不能继续办理。</w:t>
            </w:r>
          </w:p>
        </w:tc>
      </w:tr>
      <w:tr w14:paraId="7FC3101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4564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406</w:t>
            </w:r>
          </w:p>
        </w:tc>
        <w:tc>
          <w:tcPr>
            <w:tcW w:w="491" w:type="pct"/>
            <w:tcBorders>
              <w:top w:val="nil"/>
              <w:left w:val="nil"/>
              <w:bottom w:val="single" w:color="000000" w:sz="4" w:space="0"/>
              <w:right w:val="single" w:color="000000" w:sz="4" w:space="0"/>
            </w:tcBorders>
            <w:shd w:val="clear" w:color="auto" w:fill="auto"/>
            <w:vAlign w:val="center"/>
          </w:tcPr>
          <w:p w14:paraId="5537BA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FE62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国企央企查验比对-国企查验比对存量申请容错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03E7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设立网办，对于外网存量的申请案，在内网网上审核环节，如果申请案没有录入产权登记名称的，需要系统支持让用户可以补录产权登记名称，不需要做退回修改。</w:t>
            </w:r>
          </w:p>
        </w:tc>
      </w:tr>
      <w:tr w14:paraId="11033FA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4D62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407</w:t>
            </w:r>
          </w:p>
        </w:tc>
        <w:tc>
          <w:tcPr>
            <w:tcW w:w="491" w:type="pct"/>
            <w:tcBorders>
              <w:top w:val="nil"/>
              <w:left w:val="nil"/>
              <w:bottom w:val="single" w:color="000000" w:sz="4" w:space="0"/>
              <w:right w:val="single" w:color="000000" w:sz="4" w:space="0"/>
            </w:tcBorders>
            <w:shd w:val="clear" w:color="auto" w:fill="auto"/>
            <w:vAlign w:val="center"/>
          </w:tcPr>
          <w:p w14:paraId="28B683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DAFC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国企央企查验比对-国企查验比对存量企业容错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091F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存量企业做变更时，部分企业的股东缺失统一社会信用代码、证照类型，为了达到国家局的国企校验要求，需要: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1.增加系统拦截，对于信息有缺失的，或者统一社会信用代码位数不是18位，禁止业务继续办理，需要补全信息后才能办理业务。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2.变更网办系统，系统提供了确认股东统一社会信用代码的功能，确认后就可以走全程无纸化申请。对股份公司与其他公司设置不同的提示。</w:t>
            </w:r>
          </w:p>
        </w:tc>
      </w:tr>
      <w:tr w14:paraId="363A03F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AE43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408</w:t>
            </w:r>
          </w:p>
        </w:tc>
        <w:tc>
          <w:tcPr>
            <w:tcW w:w="491" w:type="pct"/>
            <w:tcBorders>
              <w:top w:val="nil"/>
              <w:left w:val="nil"/>
              <w:bottom w:val="single" w:color="000000" w:sz="4" w:space="0"/>
              <w:right w:val="single" w:color="000000" w:sz="4" w:space="0"/>
            </w:tcBorders>
            <w:shd w:val="clear" w:color="auto" w:fill="auto"/>
            <w:vAlign w:val="center"/>
          </w:tcPr>
          <w:p w14:paraId="6C5FC7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6285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国有产业用地联合监管-规划资源部门共享产业用地合同信息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9CB7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不干涉企业变更前提下，协助规资、产业部门做好涉地企业股权变更共享监管。规划资源部门应当将存量产业用地合回信息共享至市场监管部门，具体包括涉地企业的名称、统一社会信用代码、地块名称、合同编号、所在区。区规划资源部门应在有偿合同签订后及时将合同信息录入监管系统，并共享本市场监管部门。建立与市规划资源部门的产业用地合同信息对接接口服务，并实现产业用地合同信息的定期接收与对账管理功能。</w:t>
            </w:r>
          </w:p>
        </w:tc>
      </w:tr>
      <w:tr w14:paraId="16B1D72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B63A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409</w:t>
            </w:r>
          </w:p>
        </w:tc>
        <w:tc>
          <w:tcPr>
            <w:tcW w:w="491" w:type="pct"/>
            <w:tcBorders>
              <w:top w:val="nil"/>
              <w:left w:val="nil"/>
              <w:bottom w:val="single" w:color="000000" w:sz="4" w:space="0"/>
              <w:right w:val="single" w:color="000000" w:sz="4" w:space="0"/>
            </w:tcBorders>
            <w:shd w:val="clear" w:color="auto" w:fill="auto"/>
            <w:vAlign w:val="center"/>
          </w:tcPr>
          <w:p w14:paraId="6BED17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BCE5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国有产业用地联合监管-出让人出具股权变更意见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ADDA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涉地企业在向市场监管部门申请股权变更登记前，应主动联系区规划资源部门提出股权变更申请。区规划资源部门应当将同意的股权变更信息通过监管系统共享至市场监管部门。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建立与市规划资源部门的同意股权变更信息对接接口服务，并实现同意股权变更信息的定期接收与对账管理功能，同时将同意股权变更信息与产业用地合同信息进行数据关联。</w:t>
            </w:r>
          </w:p>
        </w:tc>
      </w:tr>
      <w:tr w14:paraId="59AB697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98E5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410</w:t>
            </w:r>
          </w:p>
        </w:tc>
        <w:tc>
          <w:tcPr>
            <w:tcW w:w="491" w:type="pct"/>
            <w:tcBorders>
              <w:top w:val="nil"/>
              <w:left w:val="nil"/>
              <w:bottom w:val="single" w:color="000000" w:sz="4" w:space="0"/>
              <w:right w:val="single" w:color="000000" w:sz="4" w:space="0"/>
            </w:tcBorders>
            <w:shd w:val="clear" w:color="auto" w:fill="auto"/>
            <w:vAlign w:val="center"/>
          </w:tcPr>
          <w:p w14:paraId="67A7D3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633A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国有产业用地联合监管-提示并反馈股权变更情况-涉地企业自行申请股权变更书面提示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BC73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涉地企业事先未经出让人同意，自行前来申请股权变更的，系统自动提示，并生成《关于办理涉地股权变更事项的有关提示》，告知涉地企业相关土地出让合同中股权变更管控要求及违约责任，提供未经出让人同意申请股权变更告知单的打印功能。</w:t>
            </w:r>
          </w:p>
        </w:tc>
      </w:tr>
      <w:tr w14:paraId="3780F4D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FA76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411</w:t>
            </w:r>
          </w:p>
        </w:tc>
        <w:tc>
          <w:tcPr>
            <w:tcW w:w="491" w:type="pct"/>
            <w:tcBorders>
              <w:top w:val="nil"/>
              <w:left w:val="nil"/>
              <w:bottom w:val="single" w:color="000000" w:sz="4" w:space="0"/>
              <w:right w:val="single" w:color="000000" w:sz="4" w:space="0"/>
            </w:tcBorders>
            <w:shd w:val="clear" w:color="auto" w:fill="auto"/>
            <w:vAlign w:val="center"/>
          </w:tcPr>
          <w:p w14:paraId="66ACEF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65C3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国有产业用地联合监管-提示并反馈股权变更情况-涉地企业自行申请股权变更信息共享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0AE8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建立与市规划资源部门的涉地企业自行申请股权变更信息对接接口服务，并实现涉地企业自行申请股权变更信息的实时/定期推送与对账管理功能，将有关信息共享至地块所在区规划资源、产业部门。</w:t>
            </w:r>
          </w:p>
        </w:tc>
      </w:tr>
      <w:tr w14:paraId="0A266A0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3E2A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412</w:t>
            </w:r>
          </w:p>
        </w:tc>
        <w:tc>
          <w:tcPr>
            <w:tcW w:w="491" w:type="pct"/>
            <w:tcBorders>
              <w:top w:val="nil"/>
              <w:left w:val="nil"/>
              <w:bottom w:val="single" w:color="000000" w:sz="4" w:space="0"/>
              <w:right w:val="single" w:color="000000" w:sz="4" w:space="0"/>
            </w:tcBorders>
            <w:shd w:val="clear" w:color="auto" w:fill="auto"/>
            <w:vAlign w:val="center"/>
          </w:tcPr>
          <w:p w14:paraId="10EFAD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DF45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国有产业用地联合监管-共享违约变更登记信息-涉地企业申请股权变更受理信息共享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8804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书面提示，涉地企业仍继续申请股权变更登记的，市场监管部门通过监管系统将变更登记受理信息共享至所在区规划资源部门，区规划资源部门应在三个工作日内约谈该企业，要求其向出让人申请办理股权变更手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建立与市规划资源部门的涉地企业申请股权变更受理信息对接接口服务，并实现涉地企业申请股权变更受理信息的实时/定期推送与对账管理功能，将有关信息共享至地块所在区规划资源、产业部门。</w:t>
            </w:r>
          </w:p>
        </w:tc>
      </w:tr>
      <w:tr w14:paraId="181765A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BF85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413</w:t>
            </w:r>
          </w:p>
        </w:tc>
        <w:tc>
          <w:tcPr>
            <w:tcW w:w="491" w:type="pct"/>
            <w:tcBorders>
              <w:top w:val="nil"/>
              <w:left w:val="nil"/>
              <w:bottom w:val="single" w:color="000000" w:sz="4" w:space="0"/>
              <w:right w:val="single" w:color="000000" w:sz="4" w:space="0"/>
            </w:tcBorders>
            <w:shd w:val="clear" w:color="auto" w:fill="auto"/>
            <w:vAlign w:val="center"/>
          </w:tcPr>
          <w:p w14:paraId="14795C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E9FB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国有产业用地联合监管-共享违约变更登记信息-涉地企业股权变更结果信息共享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6699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涉地企业违约完成变更登记的，市场监管部门通过监管系统将变更登记结果信息共享至所在区规划资源、产业部门。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建立与市规划资源部门的涉地企业股权变更结果信息共享对接接口服务，并实现涉地企业股权变更结果信息共享的实时/定期推送与对账管理功能，将有关信息共享至地块所在区规划资源、产业部门。</w:t>
            </w:r>
          </w:p>
        </w:tc>
      </w:tr>
      <w:tr w14:paraId="326E288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A26B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414</w:t>
            </w:r>
          </w:p>
        </w:tc>
        <w:tc>
          <w:tcPr>
            <w:tcW w:w="491" w:type="pct"/>
            <w:tcBorders>
              <w:top w:val="nil"/>
              <w:left w:val="nil"/>
              <w:bottom w:val="single" w:color="000000" w:sz="4" w:space="0"/>
              <w:right w:val="single" w:color="000000" w:sz="4" w:space="0"/>
            </w:tcBorders>
            <w:shd w:val="clear" w:color="auto" w:fill="auto"/>
            <w:vAlign w:val="center"/>
          </w:tcPr>
          <w:p w14:paraId="7610D4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BDBC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落实不可靠实体清单-市局以及浦东、自贸、临港受理的不可靠实体核验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F2D8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国家安全法》，落实不可靠实体清单。在内网外资待决定及核准环节建立触发点，调用统一的总局“不可靠实体清单检验服务”接口进行校验，根据返回的结果信息项，对清单内企业及自然人实施禁止提示，说明“依法受到登记限制”。</w:t>
            </w:r>
          </w:p>
        </w:tc>
      </w:tr>
      <w:tr w14:paraId="4138193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1697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415</w:t>
            </w:r>
          </w:p>
        </w:tc>
        <w:tc>
          <w:tcPr>
            <w:tcW w:w="491" w:type="pct"/>
            <w:tcBorders>
              <w:top w:val="nil"/>
              <w:left w:val="nil"/>
              <w:bottom w:val="single" w:color="000000" w:sz="4" w:space="0"/>
              <w:right w:val="single" w:color="000000" w:sz="4" w:space="0"/>
            </w:tcBorders>
            <w:shd w:val="clear" w:color="auto" w:fill="auto"/>
            <w:vAlign w:val="center"/>
          </w:tcPr>
          <w:p w14:paraId="48C54A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D804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落实不可靠实体清单-区局受理企业的不可靠实体核验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2C72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内网外资核准及待市局备案（颁发注册号）环节建立触发点，调用统一的总局“不可靠实体清单检验服务”接口进行校验，根据返回的结果信息项，对清单内企业及自然人实施禁止提示，说明“依法受到登记限制”。</w:t>
            </w:r>
          </w:p>
        </w:tc>
      </w:tr>
      <w:tr w14:paraId="44BD5A1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2CE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416</w:t>
            </w:r>
          </w:p>
        </w:tc>
        <w:tc>
          <w:tcPr>
            <w:tcW w:w="491" w:type="pct"/>
            <w:tcBorders>
              <w:top w:val="nil"/>
              <w:left w:val="nil"/>
              <w:bottom w:val="single" w:color="000000" w:sz="4" w:space="0"/>
              <w:right w:val="single" w:color="000000" w:sz="4" w:space="0"/>
            </w:tcBorders>
            <w:shd w:val="clear" w:color="auto" w:fill="auto"/>
            <w:vAlign w:val="center"/>
          </w:tcPr>
          <w:p w14:paraId="761D3F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119F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落实不可靠实体清单-法院协助执行的不可靠实体核验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238B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针对法院协助执行过程，建立触发点，调用统一的总局“不可靠实体清单检验服务”接口</w:t>
            </w:r>
          </w:p>
        </w:tc>
      </w:tr>
      <w:tr w14:paraId="38B3404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3642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417</w:t>
            </w:r>
          </w:p>
        </w:tc>
        <w:tc>
          <w:tcPr>
            <w:tcW w:w="491" w:type="pct"/>
            <w:tcBorders>
              <w:top w:val="nil"/>
              <w:left w:val="nil"/>
              <w:bottom w:val="single" w:color="000000" w:sz="4" w:space="0"/>
              <w:right w:val="single" w:color="000000" w:sz="4" w:space="0"/>
            </w:tcBorders>
            <w:shd w:val="clear" w:color="auto" w:fill="auto"/>
            <w:vAlign w:val="center"/>
          </w:tcPr>
          <w:p w14:paraId="4FB45F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B1C3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落实不可靠实体清单-撤销登记的不可靠实体核验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AFDC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需触发接口进行校验，触发点参照1和2，对清单内企业及自然人实施禁止提示，说明“依法受到登记限制”。</w:t>
            </w:r>
          </w:p>
        </w:tc>
      </w:tr>
      <w:tr w14:paraId="14441F4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B4ED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418</w:t>
            </w:r>
          </w:p>
        </w:tc>
        <w:tc>
          <w:tcPr>
            <w:tcW w:w="491" w:type="pct"/>
            <w:tcBorders>
              <w:top w:val="nil"/>
              <w:left w:val="nil"/>
              <w:bottom w:val="single" w:color="000000" w:sz="4" w:space="0"/>
              <w:right w:val="single" w:color="000000" w:sz="4" w:space="0"/>
            </w:tcBorders>
            <w:shd w:val="clear" w:color="auto" w:fill="auto"/>
            <w:vAlign w:val="center"/>
          </w:tcPr>
          <w:p w14:paraId="6B0488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058C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落实不可靠实体清单-不可靠实体清单检验服务对接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FBDC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将与总局“不可靠实体清单检验服务”接口进行统一API封装，实现对不可靠实体清单核验服务（自然人） 以及不可靠实体 清单核验服务（企业）的统一核验。</w:t>
            </w:r>
          </w:p>
        </w:tc>
      </w:tr>
      <w:tr w14:paraId="34509EA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7002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419</w:t>
            </w:r>
          </w:p>
        </w:tc>
        <w:tc>
          <w:tcPr>
            <w:tcW w:w="491" w:type="pct"/>
            <w:tcBorders>
              <w:top w:val="nil"/>
              <w:left w:val="nil"/>
              <w:bottom w:val="single" w:color="000000" w:sz="4" w:space="0"/>
              <w:right w:val="single" w:color="000000" w:sz="4" w:space="0"/>
            </w:tcBorders>
            <w:shd w:val="clear" w:color="auto" w:fill="auto"/>
            <w:vAlign w:val="center"/>
          </w:tcPr>
          <w:p w14:paraId="282C9F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0212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登记“智慧好办”-接入生僻字库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9C4D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在内外网系统接入生僻字库，在各类涉及人名录入的场景环节中，支持人名生僻字的录入，并可打印于纸质执照。</w:t>
            </w:r>
          </w:p>
        </w:tc>
      </w:tr>
      <w:tr w14:paraId="4410300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E383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420</w:t>
            </w:r>
          </w:p>
        </w:tc>
        <w:tc>
          <w:tcPr>
            <w:tcW w:w="491" w:type="pct"/>
            <w:tcBorders>
              <w:top w:val="nil"/>
              <w:left w:val="nil"/>
              <w:bottom w:val="single" w:color="000000" w:sz="4" w:space="0"/>
              <w:right w:val="single" w:color="000000" w:sz="4" w:space="0"/>
            </w:tcBorders>
            <w:shd w:val="clear" w:color="auto" w:fill="auto"/>
            <w:vAlign w:val="center"/>
          </w:tcPr>
          <w:p w14:paraId="1A46F0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97A7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登记“智慧好办”-路名数据比对处理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FDC2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路名比对，对接市大数据中心路名数据库，实现内外网路名字段字典的自动更新，确保登记路名与全市路名保持一致。</w:t>
            </w:r>
          </w:p>
        </w:tc>
      </w:tr>
      <w:tr w14:paraId="693A1B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0FBF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421</w:t>
            </w:r>
          </w:p>
        </w:tc>
        <w:tc>
          <w:tcPr>
            <w:tcW w:w="491" w:type="pct"/>
            <w:tcBorders>
              <w:top w:val="nil"/>
              <w:left w:val="nil"/>
              <w:bottom w:val="single" w:color="000000" w:sz="4" w:space="0"/>
              <w:right w:val="single" w:color="000000" w:sz="4" w:space="0"/>
            </w:tcBorders>
            <w:shd w:val="clear" w:color="auto" w:fill="auto"/>
            <w:vAlign w:val="center"/>
          </w:tcPr>
          <w:p w14:paraId="433B49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7D4C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登记“智慧好办”-各类变更全程网办智能文书-完善变更填报逻辑规则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DCF8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内外资各类企业变更（备案）全程网办业务，为申请人提供使用自备文本和使用格式化文本两种材料申报选择，并根据变更/备案事项和相应字段，为选择格式化文本的企业自动生成格式化文本，以便后续开展预审、电子签名、提交以及审查通过的电子化归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建立各种业务情形下，录入字段和格式化文书生成和电子签名的逻辑规则，同步完善有关字段的校验逻辑和字段间的关联关系。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1.增加判断是否需交回纸质营业执照的逻辑</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2.智能判定需要上传证件和电子签名的主要成员</w:t>
            </w:r>
          </w:p>
        </w:tc>
      </w:tr>
      <w:tr w14:paraId="4E1200B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3E5C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422</w:t>
            </w:r>
          </w:p>
        </w:tc>
        <w:tc>
          <w:tcPr>
            <w:tcW w:w="491" w:type="pct"/>
            <w:tcBorders>
              <w:top w:val="nil"/>
              <w:left w:val="nil"/>
              <w:bottom w:val="single" w:color="000000" w:sz="4" w:space="0"/>
              <w:right w:val="single" w:color="000000" w:sz="4" w:space="0"/>
            </w:tcBorders>
            <w:shd w:val="clear" w:color="auto" w:fill="auto"/>
            <w:vAlign w:val="center"/>
          </w:tcPr>
          <w:p w14:paraId="746370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F23B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登记“智慧好办”-各类变更全程网办智能文书-构建变更智能文书体系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DDBF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企业变更业务中合理梳理业务路径和流程，增加使用自备文本和格式化文本的选项，在提供自动生成格式化文书功能的同时，保留企业个性化文书上传功能，实现申请人可以按需选择使用格式化文书或个性化文书办理业务。</w:t>
            </w:r>
          </w:p>
        </w:tc>
      </w:tr>
      <w:tr w14:paraId="6594B62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B24F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423</w:t>
            </w:r>
          </w:p>
        </w:tc>
        <w:tc>
          <w:tcPr>
            <w:tcW w:w="491" w:type="pct"/>
            <w:tcBorders>
              <w:top w:val="nil"/>
              <w:left w:val="nil"/>
              <w:bottom w:val="single" w:color="000000" w:sz="4" w:space="0"/>
              <w:right w:val="single" w:color="000000" w:sz="4" w:space="0"/>
            </w:tcBorders>
            <w:shd w:val="clear" w:color="auto" w:fill="auto"/>
            <w:vAlign w:val="center"/>
          </w:tcPr>
          <w:p w14:paraId="0AAAB9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8E6B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登记“智慧好办”-各类变更全程网办智能文书-智能生成变更文书材料-变更申请书自动生成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BE24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智能文书体系中的用户选项、结合变更（备案）事项以及具体变更业务逻辑和核心字段填报情况，确定构成所需材料的关键要素，并按照文件生成规则自动生成所需材料，同步确定需要签署文件的人员，并固定签署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变更（备案）申请书是为所有变更（备案）业务的共性材料，需要根据不同的经营主体类型、变更事项等动态生成不同的变更（备案）申请书，并预留各类相关人员、单位电子签名位置。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根据总局文书规范要求，共包括10类申请书，不同类型的经营主体，相关的变更（备案）申请书的构成与具体表格说明也不相同。</w:t>
            </w:r>
          </w:p>
        </w:tc>
      </w:tr>
      <w:tr w14:paraId="2125BE5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1C35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424</w:t>
            </w:r>
          </w:p>
        </w:tc>
        <w:tc>
          <w:tcPr>
            <w:tcW w:w="491" w:type="pct"/>
            <w:tcBorders>
              <w:top w:val="nil"/>
              <w:left w:val="nil"/>
              <w:bottom w:val="single" w:color="000000" w:sz="4" w:space="0"/>
              <w:right w:val="single" w:color="000000" w:sz="4" w:space="0"/>
            </w:tcBorders>
            <w:shd w:val="clear" w:color="auto" w:fill="auto"/>
            <w:vAlign w:val="center"/>
          </w:tcPr>
          <w:p w14:paraId="762F1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FA5C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登记“智慧好办”-各类变更全程网办智能文书-智能生成变更文书材料-章程自动生成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B948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根据经营主体治理结构的不同，需要自动生成的章程共计22类，不同类型的章程，涉及不同的章节条款以及自动生成要求。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以为“股份公司设董事会设监事会”为例，该类章程共约十章四十五条。</w:t>
            </w:r>
          </w:p>
        </w:tc>
      </w:tr>
      <w:tr w14:paraId="6ABC9B4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049B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425</w:t>
            </w:r>
          </w:p>
        </w:tc>
        <w:tc>
          <w:tcPr>
            <w:tcW w:w="491" w:type="pct"/>
            <w:tcBorders>
              <w:top w:val="nil"/>
              <w:left w:val="nil"/>
              <w:bottom w:val="single" w:color="000000" w:sz="4" w:space="0"/>
              <w:right w:val="single" w:color="000000" w:sz="4" w:space="0"/>
            </w:tcBorders>
            <w:shd w:val="clear" w:color="auto" w:fill="auto"/>
            <w:vAlign w:val="center"/>
          </w:tcPr>
          <w:p w14:paraId="0BBC19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2E52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登记“智慧好办”-各类变更全程网办智能文书-智能生成变更文书材料-决议自动生成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165B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1、生成不同决议框架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根据经营主体类型、变更事项等，自动生成相关决议、决定。其中个人独资企业，只需要申请书，不需要各种决议文书。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根据经营主体类型、治理结构、变更事项的不同，生成不同的决议、决定模板，包括股东决定、股东会决议、股东大会会议记录、董事会决议等。不同的决议对应不同的电子签名要求。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2、生成单一事项决议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勾选事项、逻辑和字段，生成单一事项材料。变更登记事项涉及公司章程修改的，支持自动生成修改公司章程的决议、决定，包括：章程或章程修正案、变更住所、变更法定代表人、变更经营范围、股东或发起人自身更名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3、汇总合成决议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根据单条变更事项，汇总决议汇总所有语句，生成总的决议，其中通过章程、章程修正案仅需一条。</w:t>
            </w:r>
          </w:p>
        </w:tc>
      </w:tr>
      <w:tr w14:paraId="4184D76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9E33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426</w:t>
            </w:r>
          </w:p>
        </w:tc>
        <w:tc>
          <w:tcPr>
            <w:tcW w:w="491" w:type="pct"/>
            <w:tcBorders>
              <w:top w:val="nil"/>
              <w:left w:val="nil"/>
              <w:bottom w:val="single" w:color="000000" w:sz="4" w:space="0"/>
              <w:right w:val="single" w:color="000000" w:sz="4" w:space="0"/>
            </w:tcBorders>
            <w:shd w:val="clear" w:color="auto" w:fill="auto"/>
            <w:vAlign w:val="center"/>
          </w:tcPr>
          <w:p w14:paraId="303942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B1CF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登记“智慧好办”-各类变更全程网办智能文书-智能生成变更文书材料-其他文书自动生成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6E82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根据变更事项与用户勾选，自动生成股权转让协议、集中登记或标准化住所库住所使用承诺、公司债务清偿或债务担保情况等。</w:t>
            </w:r>
          </w:p>
        </w:tc>
      </w:tr>
      <w:tr w14:paraId="684416E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4984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427</w:t>
            </w:r>
          </w:p>
        </w:tc>
        <w:tc>
          <w:tcPr>
            <w:tcW w:w="491" w:type="pct"/>
            <w:tcBorders>
              <w:top w:val="nil"/>
              <w:left w:val="nil"/>
              <w:bottom w:val="single" w:color="000000" w:sz="4" w:space="0"/>
              <w:right w:val="single" w:color="000000" w:sz="4" w:space="0"/>
            </w:tcBorders>
            <w:shd w:val="clear" w:color="auto" w:fill="auto"/>
            <w:vAlign w:val="center"/>
          </w:tcPr>
          <w:p w14:paraId="3F5BF8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68C4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登记“智慧好办”-内资注销全程网办智能文书-优化内资注销网上办理流程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501B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适用于通过“上海企业登记在线”办理简易注销和普通注销登记的内资公司及其分支机构、内资合伙企业及其分支机构、个人独资企业及其分支机构、内资非公司企业法人及其分支机构、农民专业合作社及其分支机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优化内资经营主体网上注销流程（包括普通注销和简易注销），取消预审后形成网上办理流程（在线申报+线下办理）和全程网办流程（在线申报+在线办理）的新流程，更新相关业务指南。</w:t>
            </w:r>
          </w:p>
        </w:tc>
      </w:tr>
      <w:tr w14:paraId="242B66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2F19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428</w:t>
            </w:r>
          </w:p>
        </w:tc>
        <w:tc>
          <w:tcPr>
            <w:tcW w:w="491" w:type="pct"/>
            <w:tcBorders>
              <w:top w:val="nil"/>
              <w:left w:val="nil"/>
              <w:bottom w:val="single" w:color="000000" w:sz="4" w:space="0"/>
              <w:right w:val="single" w:color="000000" w:sz="4" w:space="0"/>
            </w:tcBorders>
            <w:shd w:val="clear" w:color="auto" w:fill="auto"/>
            <w:vAlign w:val="center"/>
          </w:tcPr>
          <w:p w14:paraId="04FB83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024A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登记“智慧好办”-内资注销全程网办智能文书-构建内资注销智能文书体系-网上申请相关改造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EF5F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普通注销与简易注销业务、网上办理与全程网办流程，在网上申请的填报、办理跟踪、电子签名、提交审查等环节中，按照业务要求，构建内资注销智能文书材料自动生成与人工上传体系，并自动按需生成不同格式的文书材料。</w:t>
            </w:r>
          </w:p>
        </w:tc>
      </w:tr>
      <w:tr w14:paraId="3EB32C9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1980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429</w:t>
            </w:r>
          </w:p>
        </w:tc>
        <w:tc>
          <w:tcPr>
            <w:tcW w:w="491" w:type="pct"/>
            <w:tcBorders>
              <w:top w:val="nil"/>
              <w:left w:val="nil"/>
              <w:bottom w:val="single" w:color="000000" w:sz="4" w:space="0"/>
              <w:right w:val="single" w:color="000000" w:sz="4" w:space="0"/>
            </w:tcBorders>
            <w:shd w:val="clear" w:color="auto" w:fill="auto"/>
            <w:vAlign w:val="center"/>
          </w:tcPr>
          <w:p w14:paraId="5D636A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FA36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登记“智慧好办”-内资注销全程网办智能文书-构建内资注销智能文书体系-内部审核相关改造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1333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针对普通注销与简易注销业务的全程网办流程，按照业务要求，调整文书材料相关功能。</w:t>
            </w:r>
          </w:p>
        </w:tc>
      </w:tr>
      <w:tr w14:paraId="337EA7C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C2C9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430</w:t>
            </w:r>
          </w:p>
        </w:tc>
        <w:tc>
          <w:tcPr>
            <w:tcW w:w="491" w:type="pct"/>
            <w:tcBorders>
              <w:top w:val="nil"/>
              <w:left w:val="nil"/>
              <w:bottom w:val="single" w:color="000000" w:sz="4" w:space="0"/>
              <w:right w:val="single" w:color="000000" w:sz="4" w:space="0"/>
            </w:tcBorders>
            <w:shd w:val="clear" w:color="auto" w:fill="auto"/>
            <w:vAlign w:val="center"/>
          </w:tcPr>
          <w:p w14:paraId="1DC70C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424B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登记“智慧好办”-内资注销全程网办智能文书-智能生成内资注销文书材料-注销申请书自动生成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4E5E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注销申请书是为所有注销业务的共性材料，需要根据不同的经营主体类型、具体注销情况等动态生成不同的注销业务申请书，并预留各类相关人员、单位电子签名位置。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根据总局文书规范要求，共包括4类《申请书》，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不同类型的经营主体，相关的申请书的构成与具体表格说明也不相同</w:t>
            </w:r>
          </w:p>
        </w:tc>
      </w:tr>
      <w:tr w14:paraId="6287171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F669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431</w:t>
            </w:r>
          </w:p>
        </w:tc>
        <w:tc>
          <w:tcPr>
            <w:tcW w:w="491" w:type="pct"/>
            <w:tcBorders>
              <w:top w:val="nil"/>
              <w:left w:val="nil"/>
              <w:bottom w:val="single" w:color="000000" w:sz="4" w:space="0"/>
              <w:right w:val="single" w:color="000000" w:sz="4" w:space="0"/>
            </w:tcBorders>
            <w:shd w:val="clear" w:color="auto" w:fill="auto"/>
            <w:vAlign w:val="center"/>
          </w:tcPr>
          <w:p w14:paraId="34413E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1541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登记“智慧好办”-内资注销全程网办智能文书-智能生成内资注销文书材料-简易注销全体投资人承诺书生成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6DAC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注销申请等，自动生成简易注销全体投资人承诺书。预留各类相关人员、单位电子签名位置，包括：1、有限责任公司由全体股东签署、非公司企业法人由全体出资人签署、个人独资企业由投资人签字、合伙企业由全体合伙人签署、农民专业合作社由全体合作社成员签署。2、非上市股份有限公司由全体股东签署。3、申请人为分公司、营业单位、非法人分支机构、农民专业合作社（联合社）分支机构的，由其隶属主体的法定代表人签字并加盖隶属主体公章。合伙企业分支机构由隶属主体执行事务合伙人（或委派代表）签字并加盖隶属企业公章。个人独资企业分支机构由隶属企业投资人签字并加盖隶属企业公章。</w:t>
            </w:r>
          </w:p>
        </w:tc>
      </w:tr>
      <w:tr w14:paraId="74B7E1B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8E5C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432</w:t>
            </w:r>
          </w:p>
        </w:tc>
        <w:tc>
          <w:tcPr>
            <w:tcW w:w="491" w:type="pct"/>
            <w:tcBorders>
              <w:top w:val="nil"/>
              <w:left w:val="nil"/>
              <w:bottom w:val="single" w:color="000000" w:sz="4" w:space="0"/>
              <w:right w:val="single" w:color="000000" w:sz="4" w:space="0"/>
            </w:tcBorders>
            <w:shd w:val="clear" w:color="auto" w:fill="auto"/>
            <w:vAlign w:val="center"/>
          </w:tcPr>
          <w:p w14:paraId="379181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1237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登记“智慧好办”-内资注销全程网办智能文书-智能生成内资注销文书材料-决议自动生成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F69B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类型、注销情况等，自动生成作出解散的决议或者决定。预留各类相关人员、单位电子签名位置。1、公司：依照《公司法》作出解散的决议或者决定；2、合伙企业：依照《合伙企业法》作出解散的决议或者决定；3、合伙企业分支机构：全体合伙人签署的注销分支机构决定书；4、农民专业合作社：成员大会或者成员代表大会依法作出的解散决议。</w:t>
            </w:r>
          </w:p>
        </w:tc>
      </w:tr>
      <w:tr w14:paraId="3D2461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5A81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433</w:t>
            </w:r>
          </w:p>
        </w:tc>
        <w:tc>
          <w:tcPr>
            <w:tcW w:w="491" w:type="pct"/>
            <w:tcBorders>
              <w:top w:val="nil"/>
              <w:left w:val="nil"/>
              <w:bottom w:val="single" w:color="000000" w:sz="4" w:space="0"/>
              <w:right w:val="single" w:color="000000" w:sz="4" w:space="0"/>
            </w:tcBorders>
            <w:shd w:val="clear" w:color="auto" w:fill="auto"/>
            <w:vAlign w:val="center"/>
          </w:tcPr>
          <w:p w14:paraId="241FF2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B409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登记“智慧好办”-内资注销全程网办智能文书-智能生成内资注销文书材料-清算报告自动生成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EECC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主体类型与注销具体情况，按照业务需要自动生成清算报告等。1、公司：股东会、股东大会、一人有限责任公司的股东确认的清算报告。有限责任公司由代表三分之二以上表决权的股东签署确认；一人有限责任公司由股东签署确认；股份有限公司由股东大会会议主持人及出席会议的董事签字确认。2、合伙企业：全体合伙人签署的清算报告。3、个人独资：投资人确认的清算报告。4、农民专业合作社：成员大会、成员代表大会的清算报告。</w:t>
            </w:r>
          </w:p>
        </w:tc>
      </w:tr>
      <w:tr w14:paraId="234D30C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BDAD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434</w:t>
            </w:r>
          </w:p>
        </w:tc>
        <w:tc>
          <w:tcPr>
            <w:tcW w:w="491" w:type="pct"/>
            <w:tcBorders>
              <w:top w:val="nil"/>
              <w:left w:val="nil"/>
              <w:bottom w:val="single" w:color="000000" w:sz="4" w:space="0"/>
              <w:right w:val="single" w:color="000000" w:sz="4" w:space="0"/>
            </w:tcBorders>
            <w:shd w:val="clear" w:color="auto" w:fill="auto"/>
            <w:vAlign w:val="center"/>
          </w:tcPr>
          <w:p w14:paraId="02A719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7D1B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网上审查辅助-语音识别转录文字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9E77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通过语音识别，实现文字转录，提升反馈意见的效率。</w:t>
            </w:r>
          </w:p>
        </w:tc>
      </w:tr>
      <w:tr w14:paraId="747952F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557C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435</w:t>
            </w:r>
          </w:p>
        </w:tc>
        <w:tc>
          <w:tcPr>
            <w:tcW w:w="491" w:type="pct"/>
            <w:tcBorders>
              <w:top w:val="nil"/>
              <w:left w:val="nil"/>
              <w:bottom w:val="single" w:color="000000" w:sz="4" w:space="0"/>
              <w:right w:val="single" w:color="000000" w:sz="4" w:space="0"/>
            </w:tcBorders>
            <w:shd w:val="clear" w:color="auto" w:fill="auto"/>
            <w:vAlign w:val="center"/>
          </w:tcPr>
          <w:p w14:paraId="618D10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AF6F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网上审查辅助-PDF标记圈画反馈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44D4C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针对上传的自备文件，实现审核人员直接在PDF文件上圈画标注需要修改的内容，以便更精准反馈申请人。</w:t>
            </w:r>
          </w:p>
        </w:tc>
      </w:tr>
      <w:tr w14:paraId="0C2E6B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7029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436</w:t>
            </w:r>
          </w:p>
        </w:tc>
        <w:tc>
          <w:tcPr>
            <w:tcW w:w="491" w:type="pct"/>
            <w:tcBorders>
              <w:top w:val="nil"/>
              <w:left w:val="nil"/>
              <w:bottom w:val="single" w:color="000000" w:sz="4" w:space="0"/>
              <w:right w:val="single" w:color="000000" w:sz="4" w:space="0"/>
            </w:tcBorders>
            <w:shd w:val="clear" w:color="auto" w:fill="auto"/>
            <w:vAlign w:val="center"/>
          </w:tcPr>
          <w:p w14:paraId="02EDD7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7BAE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企业登记自助打照的对接支持-企业登记自助打照授权API</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E45F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建立授权结构，以电子营业执照、自然人身份证登录，验证企业与打照人身份</w:t>
            </w:r>
          </w:p>
        </w:tc>
      </w:tr>
      <w:tr w14:paraId="63C73B6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DF44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437</w:t>
            </w:r>
          </w:p>
        </w:tc>
        <w:tc>
          <w:tcPr>
            <w:tcW w:w="491" w:type="pct"/>
            <w:tcBorders>
              <w:top w:val="nil"/>
              <w:left w:val="nil"/>
              <w:bottom w:val="single" w:color="000000" w:sz="4" w:space="0"/>
              <w:right w:val="single" w:color="000000" w:sz="4" w:space="0"/>
            </w:tcBorders>
            <w:shd w:val="clear" w:color="auto" w:fill="auto"/>
            <w:vAlign w:val="center"/>
          </w:tcPr>
          <w:p w14:paraId="6F6404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170C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企业登记自助打照的对接支持-企业登记查询申请API</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4EE5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建立申请申请接口，实现授权后，查询企业是否由打印执照的申请。</w:t>
            </w:r>
          </w:p>
        </w:tc>
      </w:tr>
      <w:tr w14:paraId="6966EB1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400C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438</w:t>
            </w:r>
          </w:p>
        </w:tc>
        <w:tc>
          <w:tcPr>
            <w:tcW w:w="491" w:type="pct"/>
            <w:tcBorders>
              <w:top w:val="nil"/>
              <w:left w:val="nil"/>
              <w:bottom w:val="single" w:color="000000" w:sz="4" w:space="0"/>
              <w:right w:val="single" w:color="000000" w:sz="4" w:space="0"/>
            </w:tcBorders>
            <w:shd w:val="clear" w:color="auto" w:fill="auto"/>
            <w:vAlign w:val="center"/>
          </w:tcPr>
          <w:p w14:paraId="4D3541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F3182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企业登记自助打照的对接支持-企业营业执照打照信息API</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55BD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通过对登记系统的对接，实现营业执照的相关信息的传输功能。</w:t>
            </w:r>
          </w:p>
        </w:tc>
      </w:tr>
      <w:tr w14:paraId="2BA91E6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5539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439</w:t>
            </w:r>
          </w:p>
        </w:tc>
        <w:tc>
          <w:tcPr>
            <w:tcW w:w="491" w:type="pct"/>
            <w:tcBorders>
              <w:top w:val="nil"/>
              <w:left w:val="nil"/>
              <w:bottom w:val="single" w:color="000000" w:sz="4" w:space="0"/>
              <w:right w:val="single" w:color="000000" w:sz="4" w:space="0"/>
            </w:tcBorders>
            <w:shd w:val="clear" w:color="auto" w:fill="auto"/>
            <w:vAlign w:val="center"/>
          </w:tcPr>
          <w:p w14:paraId="5C89F3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41FB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企业登记自助打照的对接支持-企业登记自助打照记录归档API</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4B0F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归档传输接口，记录领照时间、领照人记录，并传输至登记系统，形成领照、补照的关联。</w:t>
            </w:r>
          </w:p>
        </w:tc>
      </w:tr>
      <w:tr w14:paraId="72E8227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FF6E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440</w:t>
            </w:r>
          </w:p>
        </w:tc>
        <w:tc>
          <w:tcPr>
            <w:tcW w:w="491" w:type="pct"/>
            <w:tcBorders>
              <w:top w:val="nil"/>
              <w:left w:val="nil"/>
              <w:bottom w:val="single" w:color="000000" w:sz="4" w:space="0"/>
              <w:right w:val="single" w:color="000000" w:sz="4" w:space="0"/>
            </w:tcBorders>
            <w:shd w:val="clear" w:color="auto" w:fill="auto"/>
            <w:vAlign w:val="center"/>
          </w:tcPr>
          <w:p w14:paraId="0F37F5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D845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企业登记自助打照的对接支持-企业登记自助打照后台管理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E4FD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后台管理功能，实现对企业登记自助打照终端、打照情况的管理与查询统计。</w:t>
            </w:r>
          </w:p>
        </w:tc>
      </w:tr>
      <w:tr w14:paraId="58231EA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8010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441</w:t>
            </w:r>
          </w:p>
        </w:tc>
        <w:tc>
          <w:tcPr>
            <w:tcW w:w="491" w:type="pct"/>
            <w:tcBorders>
              <w:top w:val="nil"/>
              <w:left w:val="nil"/>
              <w:bottom w:val="single" w:color="000000" w:sz="4" w:space="0"/>
              <w:right w:val="single" w:color="000000" w:sz="4" w:space="0"/>
            </w:tcBorders>
            <w:shd w:val="clear" w:color="auto" w:fill="auto"/>
            <w:vAlign w:val="center"/>
          </w:tcPr>
          <w:p w14:paraId="2214E1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295F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综窗系统对接-综窗转登记的单点登录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2F92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本次接入综窗的经营主体类型为有限责任公司、股份公司、合伙企业、个人独资、非公司企业法人，以及各类分支机构。业务类型有开办、变更、注销业务。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综窗系统通过前端页面跳转方式，将令牌通过URL传递到登记系统。登记系统通过令牌，利用综窗的后台接口，获取用户登记信息、企业信息、经办人、统一审批码等信息，实现单点登录功能。</w:t>
            </w:r>
          </w:p>
        </w:tc>
      </w:tr>
      <w:tr w14:paraId="54E8A8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5ACC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442</w:t>
            </w:r>
          </w:p>
        </w:tc>
        <w:tc>
          <w:tcPr>
            <w:tcW w:w="491" w:type="pct"/>
            <w:tcBorders>
              <w:top w:val="nil"/>
              <w:left w:val="nil"/>
              <w:bottom w:val="single" w:color="000000" w:sz="4" w:space="0"/>
              <w:right w:val="single" w:color="000000" w:sz="4" w:space="0"/>
            </w:tcBorders>
            <w:shd w:val="clear" w:color="auto" w:fill="auto"/>
            <w:vAlign w:val="center"/>
          </w:tcPr>
          <w:p w14:paraId="745A6A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C1D8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综窗系统对接-登记与综窗的业务关联</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8D46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利用获取到信息实现登记信息预填，并利用统一审批码与综窗系统实现流程关联，使办理流程得到延续。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1、申请案失效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由综窗系统发起的申请案，参照网办件申请案失效规则处理。如果，处于暂存、退回修改状态操作两个月的，系统将对该申请案做自动失效操作。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2、在办申请案校验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由综窗系统发起的申请案，参照同一家企业不能同时办理两个及以上申请案的限制。如果企业有其它在办的申请案时，不同在综窗系统中发起其它登记业务申请。同时，综窗系统发起申请后，在该申请未办结或失效前，也不能办理其它登记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3、企业开办股东限制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由综窗系统发起的企业开办申请案，参照上海企业登记在线，同一个股东不能同时申请3家企业的规则，对企业开办进行限制。</w:t>
            </w:r>
          </w:p>
        </w:tc>
      </w:tr>
      <w:tr w14:paraId="31D3423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8BB1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443</w:t>
            </w:r>
          </w:p>
        </w:tc>
        <w:tc>
          <w:tcPr>
            <w:tcW w:w="491" w:type="pct"/>
            <w:tcBorders>
              <w:top w:val="nil"/>
              <w:left w:val="nil"/>
              <w:bottom w:val="single" w:color="000000" w:sz="4" w:space="0"/>
              <w:right w:val="single" w:color="000000" w:sz="4" w:space="0"/>
            </w:tcBorders>
            <w:shd w:val="clear" w:color="auto" w:fill="auto"/>
            <w:vAlign w:val="center"/>
          </w:tcPr>
          <w:p w14:paraId="162E57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D650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综窗系统对接-业务信息接收与预填-开办业务信息接收与预填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D82A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企业开办业务，综窗系统跳转进入企业开办三种方式选择页面，可根据企业的实际情况，选择不同的通道进行业务办理。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需要接收综窗信息进行预填的业务类型包括有限责任公司、股份公司、合伙企业、个人独资、非公司企业法人以及各类分支机构的设立开办。</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综窗系统的企业开办登记不涉及公安、税务等其它单位的联办业务。</w:t>
            </w:r>
          </w:p>
        </w:tc>
      </w:tr>
      <w:tr w14:paraId="6D980DE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A028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444</w:t>
            </w:r>
          </w:p>
        </w:tc>
        <w:tc>
          <w:tcPr>
            <w:tcW w:w="491" w:type="pct"/>
            <w:tcBorders>
              <w:top w:val="nil"/>
              <w:left w:val="nil"/>
              <w:bottom w:val="single" w:color="000000" w:sz="4" w:space="0"/>
              <w:right w:val="single" w:color="000000" w:sz="4" w:space="0"/>
            </w:tcBorders>
            <w:shd w:val="clear" w:color="auto" w:fill="auto"/>
            <w:vAlign w:val="center"/>
          </w:tcPr>
          <w:p w14:paraId="6B50AE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5664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综窗系统对接-业务信息接收与预填-变更业务信息接收与预填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6C73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企业变更业务，综窗系统跳转进入企业变更三种方式选择页面，可根据企业的实际情况，选择不同的通道进行业务办理。涉及名称变更，未办理名称预保留的，需要综窗引导用户先行申报企业名称业务。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需要接收综窗信息进行预填的业务类型包括有限责任公司、股份公司、合伙企业、个人独资、非公司企业法人以及各类分支机构的变更业务。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综窗系统的企业变更登记不涉及高频变更联办一件事。</w:t>
            </w:r>
          </w:p>
        </w:tc>
      </w:tr>
      <w:tr w14:paraId="6A6BC18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5A42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445</w:t>
            </w:r>
          </w:p>
        </w:tc>
        <w:tc>
          <w:tcPr>
            <w:tcW w:w="491" w:type="pct"/>
            <w:tcBorders>
              <w:top w:val="nil"/>
              <w:left w:val="nil"/>
              <w:bottom w:val="single" w:color="000000" w:sz="4" w:space="0"/>
              <w:right w:val="single" w:color="000000" w:sz="4" w:space="0"/>
            </w:tcBorders>
            <w:shd w:val="clear" w:color="auto" w:fill="auto"/>
            <w:vAlign w:val="center"/>
          </w:tcPr>
          <w:p w14:paraId="0AADF5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C1B9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综窗系统对接-业务信息接收与预填-注销业务信息接收与预填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F858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企业注销业务，综窗系统跳转进入企业注销填报页面进行业务填报。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需要接收综窗信息进行预填的业务类型包括有限责任公司、股份公司、合伙企业、个人独资、非公司企业法人以及各类分支机构的注销业务。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综窗系统的企业注销登记不涉及企业注销一件事相关业务。</w:t>
            </w:r>
          </w:p>
        </w:tc>
      </w:tr>
      <w:tr w14:paraId="7CEA849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EBE0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446</w:t>
            </w:r>
          </w:p>
        </w:tc>
        <w:tc>
          <w:tcPr>
            <w:tcW w:w="491" w:type="pct"/>
            <w:tcBorders>
              <w:top w:val="nil"/>
              <w:left w:val="nil"/>
              <w:bottom w:val="single" w:color="000000" w:sz="4" w:space="0"/>
              <w:right w:val="single" w:color="000000" w:sz="4" w:space="0"/>
            </w:tcBorders>
            <w:shd w:val="clear" w:color="auto" w:fill="auto"/>
            <w:vAlign w:val="center"/>
          </w:tcPr>
          <w:p w14:paraId="6E0B09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7788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综窗系统对接-登记转综窗继续办理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B3E8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在完成登记业务填报进入下一环节时，系统对填报信息进行整体的业务校验，通过校验的保存当前申请案，页面跳转至综窗系统，并通过URL传递业务令牌。综窗系统通过业务令牌，利用登记系统接口获取申请案信息，并进入下一环节。</w:t>
            </w:r>
          </w:p>
        </w:tc>
      </w:tr>
      <w:tr w14:paraId="1182EB2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EE2A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447</w:t>
            </w:r>
          </w:p>
        </w:tc>
        <w:tc>
          <w:tcPr>
            <w:tcW w:w="491" w:type="pct"/>
            <w:tcBorders>
              <w:top w:val="nil"/>
              <w:left w:val="nil"/>
              <w:bottom w:val="single" w:color="000000" w:sz="4" w:space="0"/>
              <w:right w:val="single" w:color="000000" w:sz="4" w:space="0"/>
            </w:tcBorders>
            <w:shd w:val="clear" w:color="auto" w:fill="auto"/>
            <w:vAlign w:val="center"/>
          </w:tcPr>
          <w:p w14:paraId="0AF12F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B9CD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综窗系统对接-登记申请材料服务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1ADC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登记系统提供登记申请材料服务，为综窗系统提供智能文书目录清单，以及文书下载功能。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申请案其它材料清单由综窗系统根据各区实际情况自行管理。</w:t>
            </w:r>
          </w:p>
        </w:tc>
      </w:tr>
      <w:tr w14:paraId="1910619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8384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448</w:t>
            </w:r>
          </w:p>
        </w:tc>
        <w:tc>
          <w:tcPr>
            <w:tcW w:w="491" w:type="pct"/>
            <w:tcBorders>
              <w:top w:val="nil"/>
              <w:left w:val="nil"/>
              <w:bottom w:val="single" w:color="000000" w:sz="4" w:space="0"/>
              <w:right w:val="single" w:color="000000" w:sz="4" w:space="0"/>
            </w:tcBorders>
            <w:shd w:val="clear" w:color="auto" w:fill="auto"/>
            <w:vAlign w:val="center"/>
          </w:tcPr>
          <w:p w14:paraId="5E713E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78BF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综窗系统对接-综窗业务提交对接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4423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登记系统提供基于统一审批码的申请提交接口。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综窗完成所有信息填报、材料打印等操作后，提交申请时，调用登记系统接口，通知登记系统提交该申请案，进入“审查/决定”环节。</w:t>
            </w:r>
          </w:p>
        </w:tc>
      </w:tr>
      <w:tr w14:paraId="3F2434E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7DD3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449</w:t>
            </w:r>
          </w:p>
        </w:tc>
        <w:tc>
          <w:tcPr>
            <w:tcW w:w="491" w:type="pct"/>
            <w:tcBorders>
              <w:top w:val="nil"/>
              <w:left w:val="nil"/>
              <w:bottom w:val="single" w:color="000000" w:sz="4" w:space="0"/>
              <w:right w:val="single" w:color="000000" w:sz="4" w:space="0"/>
            </w:tcBorders>
            <w:shd w:val="clear" w:color="auto" w:fill="auto"/>
            <w:vAlign w:val="center"/>
          </w:tcPr>
          <w:p w14:paraId="0A312F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E749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综窗系统对接-综窗业务进度查询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ED92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登记系统提供综窗转登记的进度查询功能，可通过统一审批码、企业名称、统一社会信用代码等条件查询办件的当前状态。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如果，状态为“退回修改”，可通过“补正”功能，重新进行信息填报，或直接取消本次申请。</w:t>
            </w:r>
          </w:p>
        </w:tc>
      </w:tr>
      <w:tr w14:paraId="5C24C05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0D87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450</w:t>
            </w:r>
          </w:p>
        </w:tc>
        <w:tc>
          <w:tcPr>
            <w:tcW w:w="491" w:type="pct"/>
            <w:tcBorders>
              <w:top w:val="nil"/>
              <w:left w:val="nil"/>
              <w:bottom w:val="single" w:color="000000" w:sz="4" w:space="0"/>
              <w:right w:val="single" w:color="000000" w:sz="4" w:space="0"/>
            </w:tcBorders>
            <w:shd w:val="clear" w:color="auto" w:fill="auto"/>
            <w:vAlign w:val="center"/>
          </w:tcPr>
          <w:p w14:paraId="010522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FCEC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经营主体准入（核心域）-名称网上申报微服务及前端适配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0976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名称自主申报前端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名称自主申报保存与查询微服务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名称自主申报校验微服务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名称自主申报文书微服务</w:t>
            </w:r>
          </w:p>
        </w:tc>
      </w:tr>
      <w:tr w14:paraId="2DE661B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F373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451</w:t>
            </w:r>
          </w:p>
        </w:tc>
        <w:tc>
          <w:tcPr>
            <w:tcW w:w="491" w:type="pct"/>
            <w:tcBorders>
              <w:top w:val="nil"/>
              <w:left w:val="nil"/>
              <w:bottom w:val="single" w:color="000000" w:sz="4" w:space="0"/>
              <w:right w:val="single" w:color="000000" w:sz="4" w:space="0"/>
            </w:tcBorders>
            <w:shd w:val="clear" w:color="auto" w:fill="auto"/>
            <w:vAlign w:val="center"/>
          </w:tcPr>
          <w:p w14:paraId="7E9CB1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437D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承诺制名称审核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355A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1、承诺制名称申请列表页面：告知承诺制申请的名称在企业登记信息提交后，交换到内网名称告知承诺制审核系统。在列表页面中提供分页批量审查的功能；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2、承诺制名称申请详情页面：在承诺制名称列表页面中可以点开看具体内容。</w:t>
            </w:r>
          </w:p>
        </w:tc>
      </w:tr>
      <w:tr w14:paraId="4164CA4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409D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452</w:t>
            </w:r>
          </w:p>
        </w:tc>
        <w:tc>
          <w:tcPr>
            <w:tcW w:w="491" w:type="pct"/>
            <w:tcBorders>
              <w:top w:val="nil"/>
              <w:left w:val="nil"/>
              <w:bottom w:val="single" w:color="000000" w:sz="4" w:space="0"/>
              <w:right w:val="single" w:color="000000" w:sz="4" w:space="0"/>
            </w:tcBorders>
            <w:shd w:val="clear" w:color="auto" w:fill="auto"/>
            <w:vAlign w:val="center"/>
          </w:tcPr>
          <w:p w14:paraId="1BE70B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ADF2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名称变更办理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3CB7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1、拟变更名称查询页面：根据查询条件查询拟变更的名称及企业信息；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2、申请页面：填写申请名称相关的信息，包括区划、字号、行业表述、行业类别、组织形式、投资人信息、经营范围等；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3、名称变更审核页面：选择名称变更审核结果，录入名称审核意见；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4、文书打印页面：提供文书预览和打印功能的页面。</w:t>
            </w:r>
          </w:p>
        </w:tc>
      </w:tr>
      <w:tr w14:paraId="0335E16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B101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453</w:t>
            </w:r>
          </w:p>
        </w:tc>
        <w:tc>
          <w:tcPr>
            <w:tcW w:w="491" w:type="pct"/>
            <w:tcBorders>
              <w:top w:val="nil"/>
              <w:left w:val="nil"/>
              <w:bottom w:val="single" w:color="000000" w:sz="4" w:space="0"/>
              <w:right w:val="single" w:color="000000" w:sz="4" w:space="0"/>
            </w:tcBorders>
            <w:shd w:val="clear" w:color="auto" w:fill="auto"/>
            <w:vAlign w:val="center"/>
          </w:tcPr>
          <w:p w14:paraId="6B9920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8C87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总局名称备案受理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3465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1、总局名称备案受理填写页面：填写总局名称备案受理信息，包括名称信息、投资方名称、投资方证件号、注册资本、住所、企业类型等数据项；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2、总局名称备案信息查询页面：通过查询按钮，查到要备案的总局名称后，将总局名称信息填充到页面上，并保存到本地库。新加的信息不进行校验，供审核人员确认。</w:t>
            </w:r>
          </w:p>
        </w:tc>
      </w:tr>
      <w:tr w14:paraId="147535F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15E7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454</w:t>
            </w:r>
          </w:p>
        </w:tc>
        <w:tc>
          <w:tcPr>
            <w:tcW w:w="491" w:type="pct"/>
            <w:tcBorders>
              <w:top w:val="nil"/>
              <w:left w:val="nil"/>
              <w:bottom w:val="single" w:color="000000" w:sz="4" w:space="0"/>
              <w:right w:val="single" w:color="000000" w:sz="4" w:space="0"/>
            </w:tcBorders>
            <w:shd w:val="clear" w:color="auto" w:fill="auto"/>
            <w:vAlign w:val="center"/>
          </w:tcPr>
          <w:p w14:paraId="7455FF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2F6D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跨省迁移名称审核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8334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1、跨省迁移名称申请列表页面：外省市企业名称迁入由外网采集相关数据后，申请案导入内网审核系统，列入审批列表内，申请类型标记为外省市迁入。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2、跨省迁移名称申请审核页面：显示跨省迁移名称的详情信息，并提供审核结果的选择和审核意见的录入。</w:t>
            </w:r>
          </w:p>
        </w:tc>
      </w:tr>
      <w:tr w14:paraId="2FA84A1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A4A8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455</w:t>
            </w:r>
          </w:p>
        </w:tc>
        <w:tc>
          <w:tcPr>
            <w:tcW w:w="491" w:type="pct"/>
            <w:tcBorders>
              <w:top w:val="nil"/>
              <w:left w:val="nil"/>
              <w:bottom w:val="single" w:color="000000" w:sz="4" w:space="0"/>
              <w:right w:val="single" w:color="000000" w:sz="4" w:space="0"/>
            </w:tcBorders>
            <w:shd w:val="clear" w:color="auto" w:fill="auto"/>
            <w:vAlign w:val="center"/>
          </w:tcPr>
          <w:p w14:paraId="1AD8EB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BC9A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名称保留状态更新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81B9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1、定时更新任务：后台定时对超过名称保留期、超过注销名称保留期的名称更新名称保留状态；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2、名称保留状态更新接口：更新名称保留状态功能，供其他后端服务调用（如登记）。</w:t>
            </w:r>
          </w:p>
        </w:tc>
      </w:tr>
      <w:tr w14:paraId="5DE4DB2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2FD8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456</w:t>
            </w:r>
          </w:p>
        </w:tc>
        <w:tc>
          <w:tcPr>
            <w:tcW w:w="491" w:type="pct"/>
            <w:tcBorders>
              <w:top w:val="nil"/>
              <w:left w:val="nil"/>
              <w:bottom w:val="single" w:color="000000" w:sz="4" w:space="0"/>
              <w:right w:val="single" w:color="000000" w:sz="4" w:space="0"/>
            </w:tcBorders>
            <w:shd w:val="clear" w:color="auto" w:fill="auto"/>
            <w:vAlign w:val="center"/>
          </w:tcPr>
          <w:p w14:paraId="548920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A7AF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名称延期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155E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1、名称延期查询页面：查询需要延期的名称；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2、名称延期申请填报页面：填写名称延期申请信息；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3、名称延期申请审核页面：查看名称延期申请信息，并选择审核结果、填写审核意见。</w:t>
            </w:r>
          </w:p>
        </w:tc>
      </w:tr>
      <w:tr w14:paraId="513AB25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B7B6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457</w:t>
            </w:r>
          </w:p>
        </w:tc>
        <w:tc>
          <w:tcPr>
            <w:tcW w:w="491" w:type="pct"/>
            <w:tcBorders>
              <w:top w:val="nil"/>
              <w:left w:val="nil"/>
              <w:bottom w:val="single" w:color="000000" w:sz="4" w:space="0"/>
              <w:right w:val="single" w:color="000000" w:sz="4" w:space="0"/>
            </w:tcBorders>
            <w:shd w:val="clear" w:color="auto" w:fill="auto"/>
            <w:vAlign w:val="center"/>
          </w:tcPr>
          <w:p w14:paraId="35F109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0FBC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名称转让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D0AA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1、名称转让查询页面：查询需要转让的名称；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2、名称转让申请填报页面：填写名称转让的申请信息、转让和受让主体信息；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3、名称转让申请审核页面：查看名称转让申请信息，并选择审核结果、填写审核意见。</w:t>
            </w:r>
          </w:p>
        </w:tc>
      </w:tr>
      <w:tr w14:paraId="014A756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D8CF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458</w:t>
            </w:r>
          </w:p>
        </w:tc>
        <w:tc>
          <w:tcPr>
            <w:tcW w:w="491" w:type="pct"/>
            <w:tcBorders>
              <w:top w:val="nil"/>
              <w:left w:val="nil"/>
              <w:bottom w:val="single" w:color="000000" w:sz="4" w:space="0"/>
              <w:right w:val="single" w:color="000000" w:sz="4" w:space="0"/>
            </w:tcBorders>
            <w:shd w:val="clear" w:color="auto" w:fill="auto"/>
            <w:vAlign w:val="center"/>
          </w:tcPr>
          <w:p w14:paraId="3F900E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8F87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名称纠错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4DD0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1、名称纠错查询页面：查询需要纠错的名称；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2、名称纠错信息填写页面：填写名称纠错的信息；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3、名称纠错审核页面：查看名称纠错信息，并选择审核结果、填写审核意见。</w:t>
            </w:r>
          </w:p>
        </w:tc>
      </w:tr>
      <w:tr w14:paraId="3572806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85D4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459</w:t>
            </w:r>
          </w:p>
        </w:tc>
        <w:tc>
          <w:tcPr>
            <w:tcW w:w="491" w:type="pct"/>
            <w:tcBorders>
              <w:top w:val="nil"/>
              <w:left w:val="nil"/>
              <w:bottom w:val="single" w:color="000000" w:sz="4" w:space="0"/>
              <w:right w:val="single" w:color="000000" w:sz="4" w:space="0"/>
            </w:tcBorders>
            <w:shd w:val="clear" w:color="auto" w:fill="auto"/>
            <w:vAlign w:val="center"/>
          </w:tcPr>
          <w:p w14:paraId="4935BF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0D66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可选名称库查询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2E62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1、可选名称库查询前端：（1）查询条件录入页面：录入名称字号、行业表述等查询条件；（2）查询结果显示页面：显示查询到的可选名称列表；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2、可选名称库名称库查询服务：可选名称库查询接口，根据查询条件查询可选名称库中符合要求的名称，并将结果列表返回前端。</w:t>
            </w:r>
          </w:p>
        </w:tc>
      </w:tr>
      <w:tr w14:paraId="3BA0FF5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B5BB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460</w:t>
            </w:r>
          </w:p>
        </w:tc>
        <w:tc>
          <w:tcPr>
            <w:tcW w:w="491" w:type="pct"/>
            <w:tcBorders>
              <w:top w:val="nil"/>
              <w:left w:val="nil"/>
              <w:bottom w:val="single" w:color="000000" w:sz="4" w:space="0"/>
              <w:right w:val="single" w:color="000000" w:sz="4" w:space="0"/>
            </w:tcBorders>
            <w:shd w:val="clear" w:color="auto" w:fill="auto"/>
            <w:vAlign w:val="center"/>
          </w:tcPr>
          <w:p w14:paraId="4AD5B9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3318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主体开办网上申请微服务及前端适配-主体开办前端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4DB8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填报申请主体的登记机关、受理点等信息</w:t>
            </w:r>
          </w:p>
        </w:tc>
      </w:tr>
      <w:tr w14:paraId="1EE44C0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7022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461</w:t>
            </w:r>
          </w:p>
        </w:tc>
        <w:tc>
          <w:tcPr>
            <w:tcW w:w="491" w:type="pct"/>
            <w:tcBorders>
              <w:top w:val="nil"/>
              <w:left w:val="nil"/>
              <w:bottom w:val="single" w:color="000000" w:sz="4" w:space="0"/>
              <w:right w:val="single" w:color="000000" w:sz="4" w:space="0"/>
            </w:tcBorders>
            <w:shd w:val="clear" w:color="auto" w:fill="auto"/>
            <w:vAlign w:val="center"/>
          </w:tcPr>
          <w:p w14:paraId="2ADC82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78D4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主体登记申请服务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83BC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保存或更新填报的主体登记申请信息</w:t>
            </w:r>
          </w:p>
        </w:tc>
      </w:tr>
      <w:tr w14:paraId="511FCD9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4673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462</w:t>
            </w:r>
          </w:p>
        </w:tc>
        <w:tc>
          <w:tcPr>
            <w:tcW w:w="491" w:type="pct"/>
            <w:tcBorders>
              <w:top w:val="nil"/>
              <w:left w:val="nil"/>
              <w:bottom w:val="single" w:color="000000" w:sz="4" w:space="0"/>
              <w:right w:val="single" w:color="000000" w:sz="4" w:space="0"/>
            </w:tcBorders>
            <w:shd w:val="clear" w:color="auto" w:fill="auto"/>
            <w:vAlign w:val="center"/>
          </w:tcPr>
          <w:p w14:paraId="24D55A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0101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一窗通联办其他部门信息填报前端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A4C4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填写刻制公章经办人信息、公章信息、法定代表人身份证件、刻制公章经办人身份证件等信息</w:t>
            </w:r>
          </w:p>
        </w:tc>
      </w:tr>
      <w:tr w14:paraId="7694721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1FB6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463</w:t>
            </w:r>
          </w:p>
        </w:tc>
        <w:tc>
          <w:tcPr>
            <w:tcW w:w="491" w:type="pct"/>
            <w:tcBorders>
              <w:top w:val="nil"/>
              <w:left w:val="nil"/>
              <w:bottom w:val="single" w:color="000000" w:sz="4" w:space="0"/>
              <w:right w:val="single" w:color="000000" w:sz="4" w:space="0"/>
            </w:tcBorders>
            <w:shd w:val="clear" w:color="auto" w:fill="auto"/>
            <w:vAlign w:val="center"/>
          </w:tcPr>
          <w:p w14:paraId="77A0D5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2A83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一窗通各部门开办信息保存与查询服务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0AAC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保存或更新填报的一窗通各部门开办信息，包括办税信息、公章刻制信息、社保开户信息、公积金开户信息、银行开户信息。</w:t>
            </w:r>
          </w:p>
        </w:tc>
      </w:tr>
      <w:tr w14:paraId="23FCB4D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EAB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464</w:t>
            </w:r>
          </w:p>
        </w:tc>
        <w:tc>
          <w:tcPr>
            <w:tcW w:w="491" w:type="pct"/>
            <w:tcBorders>
              <w:top w:val="nil"/>
              <w:left w:val="nil"/>
              <w:bottom w:val="single" w:color="000000" w:sz="4" w:space="0"/>
              <w:right w:val="single" w:color="000000" w:sz="4" w:space="0"/>
            </w:tcBorders>
            <w:shd w:val="clear" w:color="auto" w:fill="auto"/>
            <w:vAlign w:val="center"/>
          </w:tcPr>
          <w:p w14:paraId="42B3D0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4710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设立申请材料填报前端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6399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1、材料列表页面：根据申请填报信息，展示申请材料的列表；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2、文件上传页面：对于需要上传文件的材料，提供文件上传页面；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3、材料预览页面：预览系统自动生成的格式材料；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4、自动调取的电子材料预览页面：对接电子证照库自动调取的电子材料，提供预览功能，对自然人的身份证明等进行隐私保护控制。</w:t>
            </w:r>
          </w:p>
        </w:tc>
      </w:tr>
      <w:tr w14:paraId="6058016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B2EA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465</w:t>
            </w:r>
          </w:p>
        </w:tc>
        <w:tc>
          <w:tcPr>
            <w:tcW w:w="491" w:type="pct"/>
            <w:tcBorders>
              <w:top w:val="nil"/>
              <w:left w:val="nil"/>
              <w:bottom w:val="single" w:color="000000" w:sz="4" w:space="0"/>
              <w:right w:val="single" w:color="000000" w:sz="4" w:space="0"/>
            </w:tcBorders>
            <w:shd w:val="clear" w:color="auto" w:fill="auto"/>
            <w:vAlign w:val="center"/>
          </w:tcPr>
          <w:p w14:paraId="5ADC4D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906F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设立申请材料服务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1C14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根据不同的主体类型，生成不同的申请书，并自动填入申请人填报的申请信息</w:t>
            </w:r>
          </w:p>
        </w:tc>
      </w:tr>
      <w:tr w14:paraId="48266F9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3B88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466</w:t>
            </w:r>
          </w:p>
        </w:tc>
        <w:tc>
          <w:tcPr>
            <w:tcW w:w="491" w:type="pct"/>
            <w:tcBorders>
              <w:top w:val="nil"/>
              <w:left w:val="nil"/>
              <w:bottom w:val="single" w:color="000000" w:sz="4" w:space="0"/>
              <w:right w:val="single" w:color="000000" w:sz="4" w:space="0"/>
            </w:tcBorders>
            <w:shd w:val="clear" w:color="auto" w:fill="auto"/>
            <w:vAlign w:val="center"/>
          </w:tcPr>
          <w:p w14:paraId="25EF1D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4094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企业开办进度跟踪前端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91DF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1、一窗通申请查询和进度跟踪页面：查询申请人办理的一窗通业务，展示一窗通登记和其它各部门的办理进度、提示信息，并提供相应的操作入口；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2、业务文书查看页面：查看办理过程中生成的业务文书，如通知书等。</w:t>
            </w:r>
          </w:p>
        </w:tc>
      </w:tr>
      <w:tr w14:paraId="05E31DA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935E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467</w:t>
            </w:r>
          </w:p>
        </w:tc>
        <w:tc>
          <w:tcPr>
            <w:tcW w:w="491" w:type="pct"/>
            <w:tcBorders>
              <w:top w:val="nil"/>
              <w:left w:val="nil"/>
              <w:bottom w:val="single" w:color="000000" w:sz="4" w:space="0"/>
              <w:right w:val="single" w:color="000000" w:sz="4" w:space="0"/>
            </w:tcBorders>
            <w:shd w:val="clear" w:color="auto" w:fill="auto"/>
            <w:vAlign w:val="center"/>
          </w:tcPr>
          <w:p w14:paraId="01A2F7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EA75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企业开办办件服务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B103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一窗通办件的统一服务：1、办件信息保存接口：保存或更新企业开办一窗通办件的信息；2、办件状态更新接口：更新各部门的办件状态和提示信息；3、办件查询接口：根据查询条件查询一窗通的办件信息，以及各部门办理状态和提示信息；4、办件删除接口：对一窗通办件进行删除操作。</w:t>
            </w:r>
          </w:p>
        </w:tc>
      </w:tr>
      <w:tr w14:paraId="1641B8B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F493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468</w:t>
            </w:r>
          </w:p>
        </w:tc>
        <w:tc>
          <w:tcPr>
            <w:tcW w:w="491" w:type="pct"/>
            <w:tcBorders>
              <w:top w:val="nil"/>
              <w:left w:val="nil"/>
              <w:bottom w:val="single" w:color="000000" w:sz="4" w:space="0"/>
              <w:right w:val="single" w:color="000000" w:sz="4" w:space="0"/>
            </w:tcBorders>
            <w:shd w:val="clear" w:color="auto" w:fill="auto"/>
            <w:vAlign w:val="center"/>
          </w:tcPr>
          <w:p w14:paraId="65D1A2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66D9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主体设立登记管理微服务及前端适配-设立线下申请材料创建前端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C5B8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填报申请主体的登记机关、受理点等信息</w:t>
            </w:r>
          </w:p>
        </w:tc>
      </w:tr>
      <w:tr w14:paraId="468ADE5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5833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469</w:t>
            </w:r>
          </w:p>
        </w:tc>
        <w:tc>
          <w:tcPr>
            <w:tcW w:w="491" w:type="pct"/>
            <w:tcBorders>
              <w:top w:val="nil"/>
              <w:left w:val="nil"/>
              <w:bottom w:val="single" w:color="000000" w:sz="4" w:space="0"/>
              <w:right w:val="single" w:color="000000" w:sz="4" w:space="0"/>
            </w:tcBorders>
            <w:shd w:val="clear" w:color="auto" w:fill="auto"/>
            <w:vAlign w:val="center"/>
          </w:tcPr>
          <w:p w14:paraId="3CB7BD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DF20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设立办理审核前端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F2CC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查看网上提交的申请信息和材料、签名，选择预审结果、录入预审意见</w:t>
            </w:r>
          </w:p>
        </w:tc>
      </w:tr>
      <w:tr w14:paraId="5A4B770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81BF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470</w:t>
            </w:r>
          </w:p>
        </w:tc>
        <w:tc>
          <w:tcPr>
            <w:tcW w:w="491" w:type="pct"/>
            <w:tcBorders>
              <w:top w:val="nil"/>
              <w:left w:val="nil"/>
              <w:bottom w:val="single" w:color="000000" w:sz="4" w:space="0"/>
              <w:right w:val="single" w:color="000000" w:sz="4" w:space="0"/>
            </w:tcBorders>
            <w:shd w:val="clear" w:color="auto" w:fill="auto"/>
            <w:vAlign w:val="center"/>
          </w:tcPr>
          <w:p w14:paraId="049F34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B9AA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设立登记办件服务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DBB2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保存或更新填报的主体登记申请信息</w:t>
            </w:r>
          </w:p>
        </w:tc>
      </w:tr>
      <w:tr w14:paraId="65DAA3A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22A9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471</w:t>
            </w:r>
          </w:p>
        </w:tc>
        <w:tc>
          <w:tcPr>
            <w:tcW w:w="491" w:type="pct"/>
            <w:tcBorders>
              <w:top w:val="nil"/>
              <w:left w:val="nil"/>
              <w:bottom w:val="single" w:color="000000" w:sz="4" w:space="0"/>
              <w:right w:val="single" w:color="000000" w:sz="4" w:space="0"/>
            </w:tcBorders>
            <w:shd w:val="clear" w:color="auto" w:fill="auto"/>
            <w:vAlign w:val="center"/>
          </w:tcPr>
          <w:p w14:paraId="78CB93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4E346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受益所有人结果记录服务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E0B62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1、豁免主体查询微服务：对接总局豁免主体微服务，判断是否豁免，并向前端反馈结果；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2、结果记录接口：记录总局通过回调接口，反馈备案填报及记录已完成的确认信息；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3、结果查询接口：查询备案填报及记录已完成的确认信息。</w:t>
            </w:r>
          </w:p>
        </w:tc>
      </w:tr>
      <w:tr w14:paraId="5398110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C5DC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472</w:t>
            </w:r>
          </w:p>
        </w:tc>
        <w:tc>
          <w:tcPr>
            <w:tcW w:w="491" w:type="pct"/>
            <w:tcBorders>
              <w:top w:val="nil"/>
              <w:left w:val="nil"/>
              <w:bottom w:val="single" w:color="000000" w:sz="4" w:space="0"/>
              <w:right w:val="single" w:color="000000" w:sz="4" w:space="0"/>
            </w:tcBorders>
            <w:shd w:val="clear" w:color="auto" w:fill="auto"/>
            <w:vAlign w:val="center"/>
          </w:tcPr>
          <w:p w14:paraId="34B153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DDAC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受益所有人备案管理微服务和前端适配受益所有人备案前端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22D6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各业务办理页面中，显示豁免备案信息、受益所有人备案填报状态，已完成的确认信息，并进行提示</w:t>
            </w:r>
          </w:p>
        </w:tc>
      </w:tr>
      <w:tr w14:paraId="2270695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D212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473</w:t>
            </w:r>
          </w:p>
        </w:tc>
        <w:tc>
          <w:tcPr>
            <w:tcW w:w="491" w:type="pct"/>
            <w:tcBorders>
              <w:top w:val="nil"/>
              <w:left w:val="nil"/>
              <w:bottom w:val="single" w:color="000000" w:sz="4" w:space="0"/>
              <w:right w:val="single" w:color="000000" w:sz="4" w:space="0"/>
            </w:tcBorders>
            <w:shd w:val="clear" w:color="auto" w:fill="auto"/>
            <w:vAlign w:val="center"/>
          </w:tcPr>
          <w:p w14:paraId="150D98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ADFD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受益所有人备案后端服务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F044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1、受益所有人备案后端服务：对接总局受益所有人备案服务，反馈备案填报及记录已完成的确认信息、或者豁免备案信息；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2、受益所有人信息终止后端服务：市场主体申请注销登记的，将市场主体注销结果反馈至总局，总局根据相应的注销业务核准情况，对市场主体受益所有人信息进行终止状态。</w:t>
            </w:r>
          </w:p>
        </w:tc>
      </w:tr>
      <w:tr w14:paraId="43FDC0A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86F4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474</w:t>
            </w:r>
          </w:p>
        </w:tc>
        <w:tc>
          <w:tcPr>
            <w:tcW w:w="491" w:type="pct"/>
            <w:tcBorders>
              <w:top w:val="nil"/>
              <w:left w:val="nil"/>
              <w:bottom w:val="single" w:color="000000" w:sz="4" w:space="0"/>
              <w:right w:val="single" w:color="000000" w:sz="4" w:space="0"/>
            </w:tcBorders>
            <w:shd w:val="clear" w:color="auto" w:fill="auto"/>
            <w:vAlign w:val="center"/>
          </w:tcPr>
          <w:p w14:paraId="4D51F8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ACA4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多证合一网上填报微服务及前端适配-多证合一信息前端填报前端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2C13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根据申请人填报的经营范围，自动匹配可选的多证合一事项提供选择</w:t>
            </w:r>
          </w:p>
        </w:tc>
      </w:tr>
      <w:tr w14:paraId="4B623DD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D3B6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475</w:t>
            </w:r>
          </w:p>
        </w:tc>
        <w:tc>
          <w:tcPr>
            <w:tcW w:w="491" w:type="pct"/>
            <w:tcBorders>
              <w:top w:val="nil"/>
              <w:left w:val="nil"/>
              <w:bottom w:val="single" w:color="000000" w:sz="4" w:space="0"/>
              <w:right w:val="single" w:color="000000" w:sz="4" w:space="0"/>
            </w:tcBorders>
            <w:shd w:val="clear" w:color="auto" w:fill="auto"/>
            <w:vAlign w:val="center"/>
          </w:tcPr>
          <w:p w14:paraId="6D01E1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2D1C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多证合一信息保存与查询服务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BB24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多证合一信息，包括劳务派遣单位设立分公司备案、房地产经纪机构及其分支机构备案、工程造价咨询企业设立分支机构备案、再生资源回收经营者备案、国际货运代理企业备案、海关进出口货物收发货人备案、气象信息服务企业备案、报关企业多证合一信息填报等。</w:t>
            </w:r>
          </w:p>
        </w:tc>
      </w:tr>
      <w:tr w14:paraId="330FF18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EA5E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476</w:t>
            </w:r>
          </w:p>
        </w:tc>
        <w:tc>
          <w:tcPr>
            <w:tcW w:w="491" w:type="pct"/>
            <w:tcBorders>
              <w:top w:val="nil"/>
              <w:left w:val="nil"/>
              <w:bottom w:val="single" w:color="000000" w:sz="4" w:space="0"/>
              <w:right w:val="single" w:color="000000" w:sz="4" w:space="0"/>
            </w:tcBorders>
            <w:shd w:val="clear" w:color="auto" w:fill="auto"/>
            <w:vAlign w:val="center"/>
          </w:tcPr>
          <w:p w14:paraId="4446C3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C3A6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外商投资企业信息报告网上微服务和前端适配外商直接投资企业信息采集前端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C44E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填报外商直接投资企业报告的基本信息，包括英文企业名称、特殊经济区、经济开发区、合作区、自贸区、投资和主营行业、实缴出资、产业相关信息等</w:t>
            </w:r>
          </w:p>
        </w:tc>
      </w:tr>
      <w:tr w14:paraId="5132EC8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B1A6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477</w:t>
            </w:r>
          </w:p>
        </w:tc>
        <w:tc>
          <w:tcPr>
            <w:tcW w:w="491" w:type="pct"/>
            <w:tcBorders>
              <w:top w:val="nil"/>
              <w:left w:val="nil"/>
              <w:bottom w:val="single" w:color="000000" w:sz="4" w:space="0"/>
              <w:right w:val="single" w:color="000000" w:sz="4" w:space="0"/>
            </w:tcBorders>
            <w:shd w:val="clear" w:color="auto" w:fill="auto"/>
            <w:vAlign w:val="center"/>
          </w:tcPr>
          <w:p w14:paraId="0B59E4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95CE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外商投资报告信息服务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10A2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保存或更新外商直接投资企业信息报告</w:t>
            </w:r>
          </w:p>
        </w:tc>
      </w:tr>
      <w:tr w14:paraId="5CDF072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AA0B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478</w:t>
            </w:r>
          </w:p>
        </w:tc>
        <w:tc>
          <w:tcPr>
            <w:tcW w:w="491" w:type="pct"/>
            <w:tcBorders>
              <w:top w:val="nil"/>
              <w:left w:val="nil"/>
              <w:bottom w:val="single" w:color="000000" w:sz="4" w:space="0"/>
              <w:right w:val="single" w:color="000000" w:sz="4" w:space="0"/>
            </w:tcBorders>
            <w:shd w:val="clear" w:color="auto" w:fill="auto"/>
            <w:vAlign w:val="center"/>
          </w:tcPr>
          <w:p w14:paraId="7B7701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81C7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主体变更/备案网上申请微服务及前端适配-主体变更前端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DD82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申请人勾选变更（备案）事项 ，系统自动对事项关联勾选</w:t>
            </w:r>
          </w:p>
        </w:tc>
      </w:tr>
      <w:tr w14:paraId="0004F8A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21FC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479</w:t>
            </w:r>
          </w:p>
        </w:tc>
        <w:tc>
          <w:tcPr>
            <w:tcW w:w="491" w:type="pct"/>
            <w:tcBorders>
              <w:top w:val="nil"/>
              <w:left w:val="nil"/>
              <w:bottom w:val="single" w:color="000000" w:sz="4" w:space="0"/>
              <w:right w:val="single" w:color="000000" w:sz="4" w:space="0"/>
            </w:tcBorders>
            <w:shd w:val="clear" w:color="auto" w:fill="auto"/>
            <w:vAlign w:val="center"/>
          </w:tcPr>
          <w:p w14:paraId="79E8F6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4007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主体变更登记申请服务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632E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保存或更新填报的主体变更登记申请信息</w:t>
            </w:r>
          </w:p>
        </w:tc>
      </w:tr>
      <w:tr w14:paraId="525A677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C4F3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480</w:t>
            </w:r>
          </w:p>
        </w:tc>
        <w:tc>
          <w:tcPr>
            <w:tcW w:w="491" w:type="pct"/>
            <w:tcBorders>
              <w:top w:val="nil"/>
              <w:left w:val="nil"/>
              <w:bottom w:val="single" w:color="000000" w:sz="4" w:space="0"/>
              <w:right w:val="single" w:color="000000" w:sz="4" w:space="0"/>
            </w:tcBorders>
            <w:shd w:val="clear" w:color="auto" w:fill="auto"/>
            <w:vAlign w:val="center"/>
          </w:tcPr>
          <w:p w14:paraId="73CD53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F671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主体变更申请材料填报前端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7F86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根据申请填报信息，展示申请材料的列表</w:t>
            </w:r>
          </w:p>
        </w:tc>
      </w:tr>
      <w:tr w14:paraId="66F825D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3FB3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481</w:t>
            </w:r>
          </w:p>
        </w:tc>
        <w:tc>
          <w:tcPr>
            <w:tcW w:w="491" w:type="pct"/>
            <w:tcBorders>
              <w:top w:val="nil"/>
              <w:left w:val="nil"/>
              <w:bottom w:val="single" w:color="000000" w:sz="4" w:space="0"/>
              <w:right w:val="single" w:color="000000" w:sz="4" w:space="0"/>
            </w:tcBorders>
            <w:shd w:val="clear" w:color="auto" w:fill="auto"/>
            <w:vAlign w:val="center"/>
          </w:tcPr>
          <w:p w14:paraId="33E426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AA1C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变更申请材料服务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0C39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根据不同的主体类型，生成不同的申请书，并自动填入申请人填报的申请信息</w:t>
            </w:r>
          </w:p>
        </w:tc>
      </w:tr>
      <w:tr w14:paraId="3F3360A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D173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482</w:t>
            </w:r>
          </w:p>
        </w:tc>
        <w:tc>
          <w:tcPr>
            <w:tcW w:w="491" w:type="pct"/>
            <w:tcBorders>
              <w:top w:val="nil"/>
              <w:left w:val="nil"/>
              <w:bottom w:val="single" w:color="000000" w:sz="4" w:space="0"/>
              <w:right w:val="single" w:color="000000" w:sz="4" w:space="0"/>
            </w:tcBorders>
            <w:shd w:val="clear" w:color="auto" w:fill="auto"/>
            <w:vAlign w:val="center"/>
          </w:tcPr>
          <w:p w14:paraId="765010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8509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主体变更/备案登记管理微服务及前端适配-主体变更/备案线下申请材料创建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CD75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勾选变更（备案）事项 ，系统自动对事项关联勾选</w:t>
            </w:r>
          </w:p>
        </w:tc>
      </w:tr>
      <w:tr w14:paraId="5DC90B8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1055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483</w:t>
            </w:r>
          </w:p>
        </w:tc>
        <w:tc>
          <w:tcPr>
            <w:tcW w:w="491" w:type="pct"/>
            <w:tcBorders>
              <w:top w:val="nil"/>
              <w:left w:val="nil"/>
              <w:bottom w:val="single" w:color="000000" w:sz="4" w:space="0"/>
              <w:right w:val="single" w:color="000000" w:sz="4" w:space="0"/>
            </w:tcBorders>
            <w:shd w:val="clear" w:color="auto" w:fill="auto"/>
            <w:vAlign w:val="center"/>
          </w:tcPr>
          <w:p w14:paraId="5A9D2C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BEEA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主体变更/备案办理审核前端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28D0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查看网上提交的申请信息和材料、签名，选择预审结果、录入预审意见</w:t>
            </w:r>
          </w:p>
        </w:tc>
      </w:tr>
      <w:tr w14:paraId="59C766E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CCE8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484</w:t>
            </w:r>
          </w:p>
        </w:tc>
        <w:tc>
          <w:tcPr>
            <w:tcW w:w="491" w:type="pct"/>
            <w:tcBorders>
              <w:top w:val="nil"/>
              <w:left w:val="nil"/>
              <w:bottom w:val="single" w:color="000000" w:sz="4" w:space="0"/>
              <w:right w:val="single" w:color="000000" w:sz="4" w:space="0"/>
            </w:tcBorders>
            <w:shd w:val="clear" w:color="auto" w:fill="auto"/>
            <w:vAlign w:val="center"/>
          </w:tcPr>
          <w:p w14:paraId="440CE7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0F90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主体变更/备案登记办件服务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2A8F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保存或更新填报的主体登记申请信息</w:t>
            </w:r>
          </w:p>
        </w:tc>
      </w:tr>
      <w:tr w14:paraId="648510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C319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485</w:t>
            </w:r>
          </w:p>
        </w:tc>
        <w:tc>
          <w:tcPr>
            <w:tcW w:w="491" w:type="pct"/>
            <w:tcBorders>
              <w:top w:val="nil"/>
              <w:left w:val="nil"/>
              <w:bottom w:val="single" w:color="000000" w:sz="4" w:space="0"/>
              <w:right w:val="single" w:color="000000" w:sz="4" w:space="0"/>
            </w:tcBorders>
            <w:shd w:val="clear" w:color="auto" w:fill="auto"/>
            <w:vAlign w:val="center"/>
          </w:tcPr>
          <w:p w14:paraId="44B2B0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1CAE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跨区迁移网上申请微服务及前端适配-跨区迁移申请前端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5763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企业填报信息包括：迁入至受理（登记）机关；迁移原因（可多选） 。</w:t>
            </w:r>
          </w:p>
        </w:tc>
      </w:tr>
      <w:tr w14:paraId="6952DCF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D756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486</w:t>
            </w:r>
          </w:p>
        </w:tc>
        <w:tc>
          <w:tcPr>
            <w:tcW w:w="491" w:type="pct"/>
            <w:tcBorders>
              <w:top w:val="nil"/>
              <w:left w:val="nil"/>
              <w:bottom w:val="single" w:color="000000" w:sz="4" w:space="0"/>
              <w:right w:val="single" w:color="000000" w:sz="4" w:space="0"/>
            </w:tcBorders>
            <w:shd w:val="clear" w:color="auto" w:fill="auto"/>
            <w:vAlign w:val="center"/>
          </w:tcPr>
          <w:p w14:paraId="632D58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B645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跨区迁移管理（上收下放）微服务及前端适配事权调整前端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9593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1、查询页面：录入企业名称，查询需要调整的企业。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2、上收页面：企业状态从确立改为迁移，待后续迁入登记。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3、下放页面：企业状态从确立改为迁移，待后续迁入登记。</w:t>
            </w:r>
          </w:p>
        </w:tc>
      </w:tr>
      <w:tr w14:paraId="0B9EAE2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F38E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487</w:t>
            </w:r>
          </w:p>
        </w:tc>
        <w:tc>
          <w:tcPr>
            <w:tcW w:w="491" w:type="pct"/>
            <w:tcBorders>
              <w:top w:val="nil"/>
              <w:left w:val="nil"/>
              <w:bottom w:val="single" w:color="000000" w:sz="4" w:space="0"/>
              <w:right w:val="single" w:color="000000" w:sz="4" w:space="0"/>
            </w:tcBorders>
            <w:shd w:val="clear" w:color="auto" w:fill="auto"/>
            <w:vAlign w:val="center"/>
          </w:tcPr>
          <w:p w14:paraId="5CAF9D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3EA8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跨省迁移管理微服务及前端适配-跨省迁移申请前端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D95B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对接公示系统查询判断该企业是否为迁移状态</w:t>
            </w:r>
          </w:p>
        </w:tc>
      </w:tr>
      <w:tr w14:paraId="65ABE1B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8AD6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488</w:t>
            </w:r>
          </w:p>
        </w:tc>
        <w:tc>
          <w:tcPr>
            <w:tcW w:w="491" w:type="pct"/>
            <w:tcBorders>
              <w:top w:val="nil"/>
              <w:left w:val="nil"/>
              <w:bottom w:val="single" w:color="000000" w:sz="4" w:space="0"/>
              <w:right w:val="single" w:color="000000" w:sz="4" w:space="0"/>
            </w:tcBorders>
            <w:shd w:val="clear" w:color="auto" w:fill="auto"/>
            <w:vAlign w:val="center"/>
          </w:tcPr>
          <w:p w14:paraId="2665BD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29E6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跨省迁移申请服务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8AB0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保存或更新填报的跨省迁移申请信息，非分支机构企业名称区分承诺制及审核制，分支机构名称统一纳入审核制</w:t>
            </w:r>
          </w:p>
        </w:tc>
      </w:tr>
      <w:tr w14:paraId="60133941">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FED7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489</w:t>
            </w:r>
          </w:p>
        </w:tc>
        <w:tc>
          <w:tcPr>
            <w:tcW w:w="491" w:type="pct"/>
            <w:tcBorders>
              <w:top w:val="nil"/>
              <w:left w:val="nil"/>
              <w:bottom w:val="single" w:color="000000" w:sz="4" w:space="0"/>
              <w:right w:val="single" w:color="000000" w:sz="4" w:space="0"/>
            </w:tcBorders>
            <w:shd w:val="clear" w:color="auto" w:fill="auto"/>
            <w:vAlign w:val="center"/>
          </w:tcPr>
          <w:p w14:paraId="04A91D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E15F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经营主体退出（核心域）-主体注销网上申请微服务及前端适配-注销一窗通前端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2456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企业对其债权债务清理情况进行填报</w:t>
            </w:r>
          </w:p>
        </w:tc>
      </w:tr>
      <w:tr w14:paraId="7D0F222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8867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490</w:t>
            </w:r>
          </w:p>
        </w:tc>
        <w:tc>
          <w:tcPr>
            <w:tcW w:w="491" w:type="pct"/>
            <w:tcBorders>
              <w:top w:val="nil"/>
              <w:left w:val="nil"/>
              <w:bottom w:val="single" w:color="000000" w:sz="4" w:space="0"/>
              <w:right w:val="single" w:color="000000" w:sz="4" w:space="0"/>
            </w:tcBorders>
            <w:shd w:val="clear" w:color="auto" w:fill="auto"/>
            <w:vAlign w:val="center"/>
          </w:tcPr>
          <w:p w14:paraId="77F4A1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DB20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注销一窗通信息保存与查询服务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7E22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保存或更新填报的注销一窗通各部门信息，包括海关、社保、税务、银行等注销信息。</w:t>
            </w:r>
          </w:p>
        </w:tc>
      </w:tr>
      <w:tr w14:paraId="6E9F178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9F4C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491</w:t>
            </w:r>
          </w:p>
        </w:tc>
        <w:tc>
          <w:tcPr>
            <w:tcW w:w="491" w:type="pct"/>
            <w:tcBorders>
              <w:top w:val="nil"/>
              <w:left w:val="nil"/>
              <w:bottom w:val="single" w:color="000000" w:sz="4" w:space="0"/>
              <w:right w:val="single" w:color="000000" w:sz="4" w:space="0"/>
            </w:tcBorders>
            <w:shd w:val="clear" w:color="auto" w:fill="auto"/>
            <w:vAlign w:val="center"/>
          </w:tcPr>
          <w:p w14:paraId="2245B1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AE92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注销登记申请前端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42FA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清算组成立日期以公示系统清算组成员公示时录入的清算组成立日期为准，并带入显示。采集清算组负责人信息，用于身份验证电子签名。</w:t>
            </w:r>
          </w:p>
        </w:tc>
      </w:tr>
      <w:tr w14:paraId="0C7CDF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5659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492</w:t>
            </w:r>
          </w:p>
        </w:tc>
        <w:tc>
          <w:tcPr>
            <w:tcW w:w="491" w:type="pct"/>
            <w:tcBorders>
              <w:top w:val="nil"/>
              <w:left w:val="nil"/>
              <w:bottom w:val="single" w:color="000000" w:sz="4" w:space="0"/>
              <w:right w:val="single" w:color="000000" w:sz="4" w:space="0"/>
            </w:tcBorders>
            <w:shd w:val="clear" w:color="auto" w:fill="auto"/>
            <w:vAlign w:val="center"/>
          </w:tcPr>
          <w:p w14:paraId="53BC29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82AF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注销登记申请服务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95A8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保存或更新填报的注销登记申请信息</w:t>
            </w:r>
          </w:p>
        </w:tc>
      </w:tr>
      <w:tr w14:paraId="6795E21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8DDC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493</w:t>
            </w:r>
          </w:p>
        </w:tc>
        <w:tc>
          <w:tcPr>
            <w:tcW w:w="491" w:type="pct"/>
            <w:tcBorders>
              <w:top w:val="nil"/>
              <w:left w:val="nil"/>
              <w:bottom w:val="single" w:color="000000" w:sz="4" w:space="0"/>
              <w:right w:val="single" w:color="000000" w:sz="4" w:space="0"/>
            </w:tcBorders>
            <w:shd w:val="clear" w:color="auto" w:fill="auto"/>
            <w:vAlign w:val="center"/>
          </w:tcPr>
          <w:p w14:paraId="364414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CF38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注销申请材料填报前端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A6A1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根据申请填报信息，展示申请材料的列表</w:t>
            </w:r>
          </w:p>
        </w:tc>
      </w:tr>
      <w:tr w14:paraId="5C9EA8E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0F37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494</w:t>
            </w:r>
          </w:p>
        </w:tc>
        <w:tc>
          <w:tcPr>
            <w:tcW w:w="491" w:type="pct"/>
            <w:tcBorders>
              <w:top w:val="nil"/>
              <w:left w:val="nil"/>
              <w:bottom w:val="single" w:color="000000" w:sz="4" w:space="0"/>
              <w:right w:val="single" w:color="000000" w:sz="4" w:space="0"/>
            </w:tcBorders>
            <w:shd w:val="clear" w:color="auto" w:fill="auto"/>
            <w:vAlign w:val="center"/>
          </w:tcPr>
          <w:p w14:paraId="6EC60E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375A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注销申请材料服务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A1BB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根据不同的主体类型，生成不同的申请书，并自动填入申请人填报的申请信息</w:t>
            </w:r>
          </w:p>
        </w:tc>
      </w:tr>
      <w:tr w14:paraId="04C58A1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C325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495</w:t>
            </w:r>
          </w:p>
        </w:tc>
        <w:tc>
          <w:tcPr>
            <w:tcW w:w="491" w:type="pct"/>
            <w:tcBorders>
              <w:top w:val="nil"/>
              <w:left w:val="nil"/>
              <w:bottom w:val="single" w:color="000000" w:sz="4" w:space="0"/>
              <w:right w:val="single" w:color="000000" w:sz="4" w:space="0"/>
            </w:tcBorders>
            <w:shd w:val="clear" w:color="auto" w:fill="auto"/>
            <w:vAlign w:val="center"/>
          </w:tcPr>
          <w:p w14:paraId="527129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5F90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主体注销登记管理微服务及前端适配注销登记申请前端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4A69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清算组成立日期以公示系统清算组成员公示时录入的清算组成立日期为准，并带入显示。</w:t>
            </w:r>
          </w:p>
        </w:tc>
      </w:tr>
      <w:tr w14:paraId="22D3E72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4F3F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496</w:t>
            </w:r>
          </w:p>
        </w:tc>
        <w:tc>
          <w:tcPr>
            <w:tcW w:w="491" w:type="pct"/>
            <w:tcBorders>
              <w:top w:val="nil"/>
              <w:left w:val="nil"/>
              <w:bottom w:val="single" w:color="000000" w:sz="4" w:space="0"/>
              <w:right w:val="single" w:color="000000" w:sz="4" w:space="0"/>
            </w:tcBorders>
            <w:shd w:val="clear" w:color="auto" w:fill="auto"/>
            <w:vAlign w:val="center"/>
          </w:tcPr>
          <w:p w14:paraId="6038F6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65A2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注销登记办理审核前端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1F03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查看网上提交的注销申请信息和材料、签名，选择预审结果、录入预审意见</w:t>
            </w:r>
          </w:p>
        </w:tc>
      </w:tr>
      <w:tr w14:paraId="33A5050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57D2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497</w:t>
            </w:r>
          </w:p>
        </w:tc>
        <w:tc>
          <w:tcPr>
            <w:tcW w:w="491" w:type="pct"/>
            <w:tcBorders>
              <w:top w:val="nil"/>
              <w:left w:val="nil"/>
              <w:bottom w:val="single" w:color="000000" w:sz="4" w:space="0"/>
              <w:right w:val="single" w:color="000000" w:sz="4" w:space="0"/>
            </w:tcBorders>
            <w:shd w:val="clear" w:color="auto" w:fill="auto"/>
            <w:vAlign w:val="center"/>
          </w:tcPr>
          <w:p w14:paraId="6244CA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111E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注销登记注销办件服务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D46E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保存或更新注销登记申请信息</w:t>
            </w:r>
          </w:p>
        </w:tc>
      </w:tr>
      <w:tr w14:paraId="08E444F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BDF4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498</w:t>
            </w:r>
          </w:p>
        </w:tc>
        <w:tc>
          <w:tcPr>
            <w:tcW w:w="491" w:type="pct"/>
            <w:tcBorders>
              <w:top w:val="nil"/>
              <w:left w:val="nil"/>
              <w:bottom w:val="single" w:color="000000" w:sz="4" w:space="0"/>
              <w:right w:val="single" w:color="000000" w:sz="4" w:space="0"/>
            </w:tcBorders>
            <w:shd w:val="clear" w:color="auto" w:fill="auto"/>
            <w:vAlign w:val="center"/>
          </w:tcPr>
          <w:p w14:paraId="7E596C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AA05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经营主体暂停（核心域）-歇业备案审批管理微服务及前端适配-歇业备案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968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1、查询拟歇业企业页面：录入查询条件，查询拟歇业的企业。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歇业备案申请填报页面：歇业条件判定，录入申请案信息、歇业备案内容，包括歇业期间法律文书送达地址及联系电话、歇业期限自、歇业期限至、是否以法律文书送达地址代替住所、主要经营场所或经营场所。登记系统能够自动导入的，由登记系统自动带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网上预审页面：网上申请分为“歇业（预审后窗口提交）”和“歇业（全程电子化登记）”两种，分别对应列示歇业备案线下办理申请案和全程网办申请案。网上预审页面可以查看网上提交的申请信息、材料，选择预审结果，录入预审意见。对于全程网办件还可就单份申请材料单独提出修改意见并反馈外网供申请人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4、歇业备案审核页面：查看歇业备案信息，选择经办结果，录入经办意见。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5、歇业备案文书打印页面：系统在相关流程环节提交后自动生成下列文书，线下申请的打印纸质文件，全程电子化申请生成电子文件，包括《登记（备案）通知书》《不予登记（备案）通知书》。</w:t>
            </w:r>
          </w:p>
        </w:tc>
      </w:tr>
      <w:tr w14:paraId="1CA58EF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835EB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499</w:t>
            </w:r>
          </w:p>
        </w:tc>
        <w:tc>
          <w:tcPr>
            <w:tcW w:w="491" w:type="pct"/>
            <w:tcBorders>
              <w:top w:val="nil"/>
              <w:left w:val="nil"/>
              <w:bottom w:val="single" w:color="000000" w:sz="4" w:space="0"/>
              <w:right w:val="single" w:color="000000" w:sz="4" w:space="0"/>
            </w:tcBorders>
            <w:shd w:val="clear" w:color="auto" w:fill="auto"/>
            <w:vAlign w:val="center"/>
          </w:tcPr>
          <w:p w14:paraId="07883F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E889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延长歇业期限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EE00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1、查询歇业企业信息：录入查询条件，查询处于歇业中的企业。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线下延长歇业期限申请填报页面：歇业条件判定，录入申请案信息、延长歇业期限内容，包括延长歇业期限自、延长歇业期限至、延长歇业期限可以修改法律文书送达地址，登记系统能够自动导入的，由登记系统自动带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3、网上预审页面：选择预审结果，录入预审意见。对于全程网办件还可就单份申请材料单独提出修改意见并反馈外网供申请人查看。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4、延长歇业期限审核页面：查看歇业备案信息，选择经办结果，录入经办意见。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5、延长歇业期限文书打印页面：系统在相关流程环节提交后自动生成下列文书，线下申请的打印纸质文件，全程电子化申请生成电子文件，包括《登记（备案）通知书》《不予登记（备案）通知书》。</w:t>
            </w:r>
          </w:p>
        </w:tc>
      </w:tr>
      <w:tr w14:paraId="3A2F50A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6B37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500</w:t>
            </w:r>
          </w:p>
        </w:tc>
        <w:tc>
          <w:tcPr>
            <w:tcW w:w="491" w:type="pct"/>
            <w:tcBorders>
              <w:top w:val="nil"/>
              <w:left w:val="nil"/>
              <w:bottom w:val="single" w:color="000000" w:sz="4" w:space="0"/>
              <w:right w:val="single" w:color="000000" w:sz="4" w:space="0"/>
            </w:tcBorders>
            <w:shd w:val="clear" w:color="auto" w:fill="auto"/>
            <w:vAlign w:val="center"/>
          </w:tcPr>
          <w:p w14:paraId="2A2C08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4741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终止歇业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9EEE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终止歇业信息保存接口，完成歇业终止公示的市场主体，公示系统调用终止歇业信息保存接口，将市场主体申请终止歇业的相关数据传输回内网登记系统中，登记系统中市场主体的登记状态改为歇业备案前的状态。</w:t>
            </w:r>
          </w:p>
        </w:tc>
      </w:tr>
      <w:tr w14:paraId="36F29A3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36E9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501</w:t>
            </w:r>
          </w:p>
        </w:tc>
        <w:tc>
          <w:tcPr>
            <w:tcW w:w="491" w:type="pct"/>
            <w:tcBorders>
              <w:top w:val="nil"/>
              <w:left w:val="nil"/>
              <w:bottom w:val="single" w:color="000000" w:sz="4" w:space="0"/>
              <w:right w:val="single" w:color="000000" w:sz="4" w:space="0"/>
            </w:tcBorders>
            <w:shd w:val="clear" w:color="auto" w:fill="auto"/>
            <w:vAlign w:val="center"/>
          </w:tcPr>
          <w:p w14:paraId="09B9AE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635A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其他业务（核心域）-股权出质登记审批微服务及前端适配股权出质设立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A571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1、股权出质所在企业查询页面：查询股权出质所在企业；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2、股权出质设立登记申请填报页面：录入申请信息、委托代理人信息、股权出质人、质权人信息、出质信息等；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3、股权出质设立审核页面：选择经办结果和经办意见；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4、股权出质设立文书打印页面：打印通知书。</w:t>
            </w:r>
          </w:p>
        </w:tc>
      </w:tr>
      <w:tr w14:paraId="7995EEC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1320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502</w:t>
            </w:r>
          </w:p>
        </w:tc>
        <w:tc>
          <w:tcPr>
            <w:tcW w:w="491" w:type="pct"/>
            <w:tcBorders>
              <w:top w:val="nil"/>
              <w:left w:val="nil"/>
              <w:bottom w:val="single" w:color="000000" w:sz="4" w:space="0"/>
              <w:right w:val="single" w:color="000000" w:sz="4" w:space="0"/>
            </w:tcBorders>
            <w:shd w:val="clear" w:color="auto" w:fill="auto"/>
            <w:vAlign w:val="center"/>
          </w:tcPr>
          <w:p w14:paraId="3CE1E7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6CB3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股权出质变更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1EFB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1、股权出质信息查询页面：查询已有的股权出质信息；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2、股权出质变更登记申请填报页面：录入申请信息、委托代理人信息、选择变更事项、录入变更后的股权出质人、质权人信息、出质信息等；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3、股权出质变更审核页面：选择经办结果和经办意见；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4、股权出质变更文书打印页面：打印通知书。</w:t>
            </w:r>
          </w:p>
        </w:tc>
      </w:tr>
      <w:tr w14:paraId="7107511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F6C3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503</w:t>
            </w:r>
          </w:p>
        </w:tc>
        <w:tc>
          <w:tcPr>
            <w:tcW w:w="491" w:type="pct"/>
            <w:tcBorders>
              <w:top w:val="nil"/>
              <w:left w:val="nil"/>
              <w:bottom w:val="single" w:color="000000" w:sz="4" w:space="0"/>
              <w:right w:val="single" w:color="000000" w:sz="4" w:space="0"/>
            </w:tcBorders>
            <w:shd w:val="clear" w:color="auto" w:fill="auto"/>
            <w:vAlign w:val="center"/>
          </w:tcPr>
          <w:p w14:paraId="20BAE4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D92E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股权出质注销</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CB01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1、股权出质注销登记申请填报页面：录入申请信息、委托代理人信息、股权出质注销信息；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2、股权出质注销申请审核页面：查看股权出质注销申请信息，选择经办意见，填写经办结果；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3、股权出质注销文书打印页面：打印通知书。</w:t>
            </w:r>
          </w:p>
        </w:tc>
      </w:tr>
      <w:tr w14:paraId="1421AC3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BEDB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504</w:t>
            </w:r>
          </w:p>
        </w:tc>
        <w:tc>
          <w:tcPr>
            <w:tcW w:w="491" w:type="pct"/>
            <w:tcBorders>
              <w:top w:val="nil"/>
              <w:left w:val="nil"/>
              <w:bottom w:val="single" w:color="000000" w:sz="4" w:space="0"/>
              <w:right w:val="single" w:color="000000" w:sz="4" w:space="0"/>
            </w:tcBorders>
            <w:shd w:val="clear" w:color="auto" w:fill="auto"/>
            <w:vAlign w:val="center"/>
          </w:tcPr>
          <w:p w14:paraId="74FDC9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2504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清算代为公示微服务及前端适配-清算代为公示前端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3270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1、信息采集页面：：采集信息包括：代理人信息、清算组成员信息；显示信息包括主体基本信息、对外投资信息等。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2、经办意见页面：：经办意见中的“经办结果”默认为“核准”（不可选其他）。信息提交后直接进入归档流程。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3、撤销公示页面：：查询到有关市场主体后，显示已有清算组代为采集公示信息，点击“同意”后，撤销外网公示系统清算组公示。</w:t>
            </w:r>
          </w:p>
        </w:tc>
      </w:tr>
      <w:tr w14:paraId="6D25A54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D804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505</w:t>
            </w:r>
          </w:p>
        </w:tc>
        <w:tc>
          <w:tcPr>
            <w:tcW w:w="491" w:type="pct"/>
            <w:tcBorders>
              <w:top w:val="nil"/>
              <w:left w:val="nil"/>
              <w:bottom w:val="single" w:color="000000" w:sz="4" w:space="0"/>
              <w:right w:val="single" w:color="000000" w:sz="4" w:space="0"/>
            </w:tcBorders>
            <w:shd w:val="clear" w:color="auto" w:fill="auto"/>
            <w:vAlign w:val="center"/>
          </w:tcPr>
          <w:p w14:paraId="7C33A8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C9C7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清算代为公示后端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08EA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保存、更改、撤销、删除清算代为公示信息。并将采集的信息推送至对应企业自主公示栏目的清算组公示内容中。</w:t>
            </w:r>
          </w:p>
        </w:tc>
      </w:tr>
      <w:tr w14:paraId="2E0A6F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425B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506</w:t>
            </w:r>
          </w:p>
        </w:tc>
        <w:tc>
          <w:tcPr>
            <w:tcW w:w="491" w:type="pct"/>
            <w:tcBorders>
              <w:top w:val="nil"/>
              <w:left w:val="nil"/>
              <w:bottom w:val="single" w:color="000000" w:sz="4" w:space="0"/>
              <w:right w:val="single" w:color="000000" w:sz="4" w:space="0"/>
            </w:tcBorders>
            <w:shd w:val="clear" w:color="auto" w:fill="auto"/>
            <w:vAlign w:val="center"/>
          </w:tcPr>
          <w:p w14:paraId="04C0EF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AED3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协助法院执行微服务及前端适配-协助法院执行股权划转</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FCCB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1、信息录入页面：录入法院判决和执行相关信息，录入股权划转信息；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2、公示页面：录入经办结果和经办意见。</w:t>
            </w:r>
          </w:p>
        </w:tc>
      </w:tr>
      <w:tr w14:paraId="5162D1B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64AD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507</w:t>
            </w:r>
          </w:p>
        </w:tc>
        <w:tc>
          <w:tcPr>
            <w:tcW w:w="491" w:type="pct"/>
            <w:tcBorders>
              <w:top w:val="nil"/>
              <w:left w:val="nil"/>
              <w:bottom w:val="single" w:color="000000" w:sz="4" w:space="0"/>
              <w:right w:val="single" w:color="000000" w:sz="4" w:space="0"/>
            </w:tcBorders>
            <w:shd w:val="clear" w:color="auto" w:fill="auto"/>
            <w:vAlign w:val="center"/>
          </w:tcPr>
          <w:p w14:paraId="6E737B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5ABC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协助执行变更登记（备案）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018B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1、变更事项选择页面：选择需要协助执行标的企业的变更（备案）具体事项（可多选）；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2、信息录入页面：录入法院判决和执行相关信息，录入变更（备案）信息；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3、公示页面：录入经办结果和经办意见。</w:t>
            </w:r>
          </w:p>
        </w:tc>
      </w:tr>
      <w:tr w14:paraId="1F5D968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14AE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508</w:t>
            </w:r>
          </w:p>
        </w:tc>
        <w:tc>
          <w:tcPr>
            <w:tcW w:w="491" w:type="pct"/>
            <w:tcBorders>
              <w:top w:val="nil"/>
              <w:left w:val="nil"/>
              <w:bottom w:val="single" w:color="000000" w:sz="4" w:space="0"/>
              <w:right w:val="single" w:color="000000" w:sz="4" w:space="0"/>
            </w:tcBorders>
            <w:shd w:val="clear" w:color="auto" w:fill="auto"/>
            <w:vAlign w:val="center"/>
          </w:tcPr>
          <w:p w14:paraId="4F718E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6592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协助执行撤销登记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BAB9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录入法院判决和执行相关信息，录入撤销设立登记信息</w:t>
            </w:r>
          </w:p>
        </w:tc>
      </w:tr>
      <w:tr w14:paraId="2547986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64D4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509</w:t>
            </w:r>
          </w:p>
        </w:tc>
        <w:tc>
          <w:tcPr>
            <w:tcW w:w="491" w:type="pct"/>
            <w:tcBorders>
              <w:top w:val="nil"/>
              <w:left w:val="nil"/>
              <w:bottom w:val="single" w:color="000000" w:sz="4" w:space="0"/>
              <w:right w:val="single" w:color="000000" w:sz="4" w:space="0"/>
            </w:tcBorders>
            <w:shd w:val="clear" w:color="auto" w:fill="auto"/>
            <w:vAlign w:val="center"/>
          </w:tcPr>
          <w:p w14:paraId="0B3128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F9D4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协助执行股权出质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682B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录入法院判决和执行相关信息，录入股权出质设立信息</w:t>
            </w:r>
          </w:p>
        </w:tc>
      </w:tr>
      <w:tr w14:paraId="4698CAF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AEF1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510</w:t>
            </w:r>
          </w:p>
        </w:tc>
        <w:tc>
          <w:tcPr>
            <w:tcW w:w="491" w:type="pct"/>
            <w:tcBorders>
              <w:top w:val="nil"/>
              <w:left w:val="nil"/>
              <w:bottom w:val="single" w:color="000000" w:sz="4" w:space="0"/>
              <w:right w:val="single" w:color="000000" w:sz="4" w:space="0"/>
            </w:tcBorders>
            <w:shd w:val="clear" w:color="auto" w:fill="auto"/>
            <w:vAlign w:val="center"/>
          </w:tcPr>
          <w:p w14:paraId="4070B1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44FA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增、减、补、换发证照前端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3851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1、增、减、补、换发证照主体查询页面：查询需要增、减、补、换发证照的主体；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申请填报页面：显示主体信息，以列表形式列出每张营业执照（登记证），选择失效原因；设置“增发营业执照副本”勾选框，勾选后，可填写增加的副本数量。提供公告检索和关联功能，关联营业执照作废声明公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3、审核页面：选择经办意见，录入经办结果；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4、打印文书页面：系统在相关流程环节提交后自动生成下列文书，线下申请的打印纸质文件，全程电子化申请生成电子文件。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1)增、减、补、换发证照审核表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2)市场主体登记证照颁发及归档记录表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3)申请材料接收凭据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4)补、换、增、减发证照通知书；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5、打印执照页面：根据市场总局统一版式打印营业执照（登记证）。</w:t>
            </w:r>
          </w:p>
        </w:tc>
      </w:tr>
      <w:tr w14:paraId="0C44296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AF56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511</w:t>
            </w:r>
          </w:p>
        </w:tc>
        <w:tc>
          <w:tcPr>
            <w:tcW w:w="491" w:type="pct"/>
            <w:tcBorders>
              <w:top w:val="nil"/>
              <w:left w:val="nil"/>
              <w:bottom w:val="single" w:color="000000" w:sz="4" w:space="0"/>
              <w:right w:val="single" w:color="000000" w:sz="4" w:space="0"/>
            </w:tcBorders>
            <w:shd w:val="clear" w:color="auto" w:fill="auto"/>
            <w:vAlign w:val="center"/>
          </w:tcPr>
          <w:p w14:paraId="5784EE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CE57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分支机构备案后端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0D46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提供接口服务，接收总局推送的本市企业在外省市开设的分支机构信息，包括分支机构的设立登记、变更登记、注销登记信息，并保存到登记数据库中</w:t>
            </w:r>
          </w:p>
        </w:tc>
      </w:tr>
      <w:tr w14:paraId="4DE8076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F40F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512</w:t>
            </w:r>
          </w:p>
        </w:tc>
        <w:tc>
          <w:tcPr>
            <w:tcW w:w="491" w:type="pct"/>
            <w:tcBorders>
              <w:top w:val="nil"/>
              <w:left w:val="nil"/>
              <w:bottom w:val="single" w:color="000000" w:sz="4" w:space="0"/>
              <w:right w:val="single" w:color="000000" w:sz="4" w:space="0"/>
            </w:tcBorders>
            <w:shd w:val="clear" w:color="auto" w:fill="auto"/>
            <w:vAlign w:val="center"/>
          </w:tcPr>
          <w:p w14:paraId="0703BA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199D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登记待办、已办查询前端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ADBA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1、待办查询页面：根据登录用户，以及业务类型的筛选字段，显示用户有权限的待办办件列表；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2、已办查询页面：查询用户办理过的办件列表。</w:t>
            </w:r>
          </w:p>
        </w:tc>
      </w:tr>
      <w:tr w14:paraId="03D15B83">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720D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513</w:t>
            </w:r>
          </w:p>
        </w:tc>
        <w:tc>
          <w:tcPr>
            <w:tcW w:w="491" w:type="pct"/>
            <w:tcBorders>
              <w:top w:val="nil"/>
              <w:left w:val="nil"/>
              <w:bottom w:val="single" w:color="000000" w:sz="4" w:space="0"/>
              <w:right w:val="single" w:color="000000" w:sz="4" w:space="0"/>
            </w:tcBorders>
            <w:shd w:val="clear" w:color="auto" w:fill="auto"/>
            <w:vAlign w:val="center"/>
          </w:tcPr>
          <w:p w14:paraId="076F9D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FD46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文件上传前端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773F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申请人通过本地目录挑选上传文件的功能，并提供文件类型过滤、上传文件预览、上传文件删除等功能</w:t>
            </w:r>
          </w:p>
        </w:tc>
      </w:tr>
      <w:tr w14:paraId="4C0AAA3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B057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514</w:t>
            </w:r>
          </w:p>
        </w:tc>
        <w:tc>
          <w:tcPr>
            <w:tcW w:w="491" w:type="pct"/>
            <w:tcBorders>
              <w:top w:val="nil"/>
              <w:left w:val="nil"/>
              <w:bottom w:val="single" w:color="000000" w:sz="4" w:space="0"/>
              <w:right w:val="single" w:color="000000" w:sz="4" w:space="0"/>
            </w:tcBorders>
            <w:shd w:val="clear" w:color="auto" w:fill="auto"/>
            <w:vAlign w:val="center"/>
          </w:tcPr>
          <w:p w14:paraId="3515E7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66C3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文书生成服务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6E85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1、文书生成接口：根据申请和业务信息，按照模板生成各类申请材料和申请文书的pdf文件。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2、文书下载接口：下载生成文书和材料的pdf文件。</w:t>
            </w:r>
          </w:p>
        </w:tc>
      </w:tr>
      <w:tr w14:paraId="030D2C9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30E9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515</w:t>
            </w:r>
          </w:p>
        </w:tc>
        <w:tc>
          <w:tcPr>
            <w:tcW w:w="491" w:type="pct"/>
            <w:tcBorders>
              <w:top w:val="nil"/>
              <w:left w:val="nil"/>
              <w:bottom w:val="single" w:color="000000" w:sz="4" w:space="0"/>
              <w:right w:val="single" w:color="000000" w:sz="4" w:space="0"/>
            </w:tcBorders>
            <w:shd w:val="clear" w:color="auto" w:fill="auto"/>
            <w:vAlign w:val="center"/>
          </w:tcPr>
          <w:p w14:paraId="7F7CC3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7079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执照打印接口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FD57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提供对各类营业执照（代表证）的打印接口，通过申请案或企业标识（统一社会信用代码），获取企业营业执照信息，调用营业执照打印格式与打印内容，提供营业执照打印服务。</w:t>
            </w:r>
          </w:p>
        </w:tc>
      </w:tr>
      <w:tr w14:paraId="3F0D1B8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7400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516</w:t>
            </w:r>
          </w:p>
        </w:tc>
        <w:tc>
          <w:tcPr>
            <w:tcW w:w="491" w:type="pct"/>
            <w:tcBorders>
              <w:top w:val="nil"/>
              <w:left w:val="nil"/>
              <w:bottom w:val="single" w:color="000000" w:sz="4" w:space="0"/>
              <w:right w:val="single" w:color="000000" w:sz="4" w:space="0"/>
            </w:tcBorders>
            <w:shd w:val="clear" w:color="auto" w:fill="auto"/>
            <w:vAlign w:val="center"/>
          </w:tcPr>
          <w:p w14:paraId="1C4548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F2F2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登记档案移交前端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3D05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1、档案移交清单页面：查询待归档的办件列表，能够批量选择打印归档记录表和完成归档；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2、归档记录表页面：归档记录表打印；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3、档案移交记录查询页面：查询已经完成档案移交的记录信息。</w:t>
            </w:r>
          </w:p>
        </w:tc>
      </w:tr>
      <w:tr w14:paraId="5AB02926">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E696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517</w:t>
            </w:r>
          </w:p>
        </w:tc>
        <w:tc>
          <w:tcPr>
            <w:tcW w:w="491" w:type="pct"/>
            <w:tcBorders>
              <w:top w:val="nil"/>
              <w:left w:val="nil"/>
              <w:bottom w:val="single" w:color="000000" w:sz="4" w:space="0"/>
              <w:right w:val="single" w:color="000000" w:sz="4" w:space="0"/>
            </w:tcBorders>
            <w:shd w:val="clear" w:color="auto" w:fill="auto"/>
            <w:vAlign w:val="center"/>
          </w:tcPr>
          <w:p w14:paraId="4D2BD2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30D8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登记档案移交后端服务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F352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1、无纸化电子归档文件生成接口：按照档案管理的规范要求，生成无纸化电子归档的结构化数据和电子文档；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2、无纸化电子归档文件查询、下载接口：查询和下载已经生成的无纸化电子归档结构化数据和电子文件。</w:t>
            </w:r>
          </w:p>
        </w:tc>
      </w:tr>
      <w:tr w14:paraId="25AE70C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2789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518</w:t>
            </w:r>
          </w:p>
        </w:tc>
        <w:tc>
          <w:tcPr>
            <w:tcW w:w="491" w:type="pct"/>
            <w:tcBorders>
              <w:top w:val="nil"/>
              <w:left w:val="nil"/>
              <w:bottom w:val="single" w:color="000000" w:sz="4" w:space="0"/>
              <w:right w:val="single" w:color="000000" w:sz="4" w:space="0"/>
            </w:tcBorders>
            <w:shd w:val="clear" w:color="auto" w:fill="auto"/>
            <w:vAlign w:val="center"/>
          </w:tcPr>
          <w:p w14:paraId="0ECAF1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8EE5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信息管理（支撑域）-名称库管理名称库入库服务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0569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1、入库信息接收接口：通过消息推送或服务调用方式，在名称申报、变更、延期、争议、纠错，主体名称变更、注销、吊销等申请和办件核准后，在名称库中生成或更新名称信息，并维护名称的历史数据。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2、回调通知：完成入库后通过回调通知对应的业务办理系统。</w:t>
            </w:r>
          </w:p>
        </w:tc>
      </w:tr>
      <w:tr w14:paraId="389315A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2A65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519</w:t>
            </w:r>
          </w:p>
        </w:tc>
        <w:tc>
          <w:tcPr>
            <w:tcW w:w="491" w:type="pct"/>
            <w:tcBorders>
              <w:top w:val="nil"/>
              <w:left w:val="nil"/>
              <w:bottom w:val="single" w:color="000000" w:sz="4" w:space="0"/>
              <w:right w:val="single" w:color="000000" w:sz="4" w:space="0"/>
            </w:tcBorders>
            <w:shd w:val="clear" w:color="auto" w:fill="auto"/>
            <w:vAlign w:val="center"/>
          </w:tcPr>
          <w:p w14:paraId="65970B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9491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名称库查询服务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A427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1、名称查询接口：根据主体、字号、行业表述等查询条件，查询具体的名称信息；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2、名称历史数据查询接口：根据查询条件，查询名称的历史信息；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3、名称重复、相似查询接口：根据输入条件查询名称库中与其重复或相似的名称。</w:t>
            </w:r>
          </w:p>
        </w:tc>
      </w:tr>
      <w:tr w14:paraId="4A86D1E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B280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520</w:t>
            </w:r>
          </w:p>
        </w:tc>
        <w:tc>
          <w:tcPr>
            <w:tcW w:w="491" w:type="pct"/>
            <w:tcBorders>
              <w:top w:val="nil"/>
              <w:left w:val="nil"/>
              <w:bottom w:val="single" w:color="000000" w:sz="4" w:space="0"/>
              <w:right w:val="single" w:color="000000" w:sz="4" w:space="0"/>
            </w:tcBorders>
            <w:shd w:val="clear" w:color="auto" w:fill="auto"/>
            <w:vAlign w:val="center"/>
          </w:tcPr>
          <w:p w14:paraId="43F9CB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03D5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主体库管理-主体库入库服务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2020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1、入库信息接收接口：通过消息推送或服务调用方式，在主体设立、变更、注销、撤销登记、歇业、数据修改、协助执行等申请和办件核准后，在主体库中生成或更新主体及信息，并维护主体的历史数据。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2、回调通知：完成入库后通过回调通知对应的业务办理系统。</w:t>
            </w:r>
          </w:p>
        </w:tc>
      </w:tr>
      <w:tr w14:paraId="2EC9E34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303C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521</w:t>
            </w:r>
          </w:p>
        </w:tc>
        <w:tc>
          <w:tcPr>
            <w:tcW w:w="491" w:type="pct"/>
            <w:tcBorders>
              <w:top w:val="nil"/>
              <w:left w:val="nil"/>
              <w:bottom w:val="single" w:color="000000" w:sz="4" w:space="0"/>
              <w:right w:val="single" w:color="000000" w:sz="4" w:space="0"/>
            </w:tcBorders>
            <w:shd w:val="clear" w:color="auto" w:fill="auto"/>
            <w:vAlign w:val="center"/>
          </w:tcPr>
          <w:p w14:paraId="229B43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6CCF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主体库查询服务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6F4C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1、主体查询接口：根据查询条件，查询具体的主体信息；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2、主体历史数据查询：根据查询条件，查询主体的历史信息。</w:t>
            </w:r>
          </w:p>
        </w:tc>
      </w:tr>
      <w:tr w14:paraId="6617597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2072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522</w:t>
            </w:r>
          </w:p>
        </w:tc>
        <w:tc>
          <w:tcPr>
            <w:tcW w:w="491" w:type="pct"/>
            <w:tcBorders>
              <w:top w:val="nil"/>
              <w:left w:val="nil"/>
              <w:bottom w:val="single" w:color="000000" w:sz="4" w:space="0"/>
              <w:right w:val="single" w:color="000000" w:sz="4" w:space="0"/>
            </w:tcBorders>
            <w:shd w:val="clear" w:color="auto" w:fill="auto"/>
            <w:vAlign w:val="center"/>
          </w:tcPr>
          <w:p w14:paraId="01E03C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8365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证照库查询服务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DBA3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1、证照查询接口：根据查询条件，查询具体的营业执照（登记证、代表证）信息；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2、证照历史数据查询：根据查询条件，查询营业执照（登记证、代表证）的历史信息。</w:t>
            </w:r>
          </w:p>
        </w:tc>
      </w:tr>
      <w:tr w14:paraId="3BA4BFE9">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D0F2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523</w:t>
            </w:r>
          </w:p>
        </w:tc>
        <w:tc>
          <w:tcPr>
            <w:tcW w:w="491" w:type="pct"/>
            <w:tcBorders>
              <w:top w:val="nil"/>
              <w:left w:val="nil"/>
              <w:bottom w:val="single" w:color="000000" w:sz="4" w:space="0"/>
              <w:right w:val="single" w:color="000000" w:sz="4" w:space="0"/>
            </w:tcBorders>
            <w:shd w:val="clear" w:color="auto" w:fill="auto"/>
            <w:vAlign w:val="center"/>
          </w:tcPr>
          <w:p w14:paraId="72F0BC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88CF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记录库入库信息接收服务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81F5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通过消息推送或服务调用方式，在章程备案核准后，在章程备案记录库中生成章程备案记录。</w:t>
            </w:r>
          </w:p>
        </w:tc>
      </w:tr>
      <w:tr w14:paraId="62B6460D">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6322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524</w:t>
            </w:r>
          </w:p>
        </w:tc>
        <w:tc>
          <w:tcPr>
            <w:tcW w:w="491" w:type="pct"/>
            <w:tcBorders>
              <w:top w:val="nil"/>
              <w:left w:val="nil"/>
              <w:bottom w:val="single" w:color="000000" w:sz="4" w:space="0"/>
              <w:right w:val="single" w:color="000000" w:sz="4" w:space="0"/>
            </w:tcBorders>
            <w:shd w:val="clear" w:color="auto" w:fill="auto"/>
            <w:vAlign w:val="center"/>
          </w:tcPr>
          <w:p w14:paraId="083C59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4B74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记录库查询服务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AE74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1、章程备案记录查询接口：根据查询条件，查询具体的章程备案记录信息；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2、迁移记录查询接口：根据查询条件，查询具体的迁移记录信息；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3、增补换发照记录查询接口：根据查询条件，查询具体的增补换发照记录信息；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4、协助执行记录查询接口：根据查询条件，查询具体的协助执行记录信息；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5、登记变更记录查询接口：根据查询条件，查询具体的登记变更记录信息；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6、注销记录查询接口：根据查询条件，查询具体的注销记录信息；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7、撤销登记记录查询接口：根据查询条件，查询具体的撤销登记记录信息。</w:t>
            </w:r>
          </w:p>
        </w:tc>
      </w:tr>
      <w:tr w14:paraId="52B66DF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AA5E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525</w:t>
            </w:r>
          </w:p>
        </w:tc>
        <w:tc>
          <w:tcPr>
            <w:tcW w:w="491" w:type="pct"/>
            <w:tcBorders>
              <w:top w:val="nil"/>
              <w:left w:val="nil"/>
              <w:bottom w:val="single" w:color="000000" w:sz="4" w:space="0"/>
              <w:right w:val="single" w:color="000000" w:sz="4" w:space="0"/>
            </w:tcBorders>
            <w:shd w:val="clear" w:color="auto" w:fill="auto"/>
            <w:vAlign w:val="center"/>
          </w:tcPr>
          <w:p w14:paraId="73FEF9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BC37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其他业务实体库管理-实体库入库信息接收接口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9FE2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1、股权出质库：通过消息推送或服务调用方式，在股权出质设立、变更、注销核准后，在股权出质库中生成或更新股权出质信息，并维护股权出质的历史数据。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2、分支机构备案库：通过消息推送或服务调用方式，在异地分支机构设立、变更、注销核准后，在分支机构备案库中生成或更新分支机构备案信息，并维护分支机构备案的历史数据。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3、歇业备案库：通过消息推送或服务调用方式，在歇业备案、延长歇业期限核准、终止歇业公示后，在歇业备案库中生成或更新歇业备案信息，并维护歇业备案的历史数据。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4、回调通知：完成入库后通过回调通知对应的业务办理系统。</w:t>
            </w:r>
          </w:p>
        </w:tc>
      </w:tr>
      <w:tr w14:paraId="04210A2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BA64F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526</w:t>
            </w:r>
          </w:p>
        </w:tc>
        <w:tc>
          <w:tcPr>
            <w:tcW w:w="491" w:type="pct"/>
            <w:tcBorders>
              <w:top w:val="nil"/>
              <w:left w:val="nil"/>
              <w:bottom w:val="single" w:color="000000" w:sz="4" w:space="0"/>
              <w:right w:val="single" w:color="000000" w:sz="4" w:space="0"/>
            </w:tcBorders>
            <w:shd w:val="clear" w:color="auto" w:fill="auto"/>
            <w:vAlign w:val="center"/>
          </w:tcPr>
          <w:p w14:paraId="7635D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1DD7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其它业务实体库查询服务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E206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1、股权出质查询接口：根据查询条件，查询具体的股权出质信息；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2、股权出质历史数据查询：根据查询条件，查询股权出质的历史信息；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3、分支机构备案查询接口：根据查询条件，查询具体的分支机构信息；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4、分支机构备案历史数据查询：根据查询条件，查询分支机构的历史信息；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5、歇业备案查询接口：根据查询条件，查询具体的歇业备案信息；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6、歇业备案历史数据查询接口：根据查询条件，查询歇业备案的历史信息。</w:t>
            </w:r>
          </w:p>
        </w:tc>
      </w:tr>
      <w:tr w14:paraId="61EF785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8FAB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527</w:t>
            </w:r>
          </w:p>
        </w:tc>
        <w:tc>
          <w:tcPr>
            <w:tcW w:w="491" w:type="pct"/>
            <w:tcBorders>
              <w:top w:val="nil"/>
              <w:left w:val="nil"/>
              <w:bottom w:val="single" w:color="000000" w:sz="4" w:space="0"/>
              <w:right w:val="single" w:color="000000" w:sz="4" w:space="0"/>
            </w:tcBorders>
            <w:shd w:val="clear" w:color="auto" w:fill="auto"/>
            <w:vAlign w:val="center"/>
          </w:tcPr>
          <w:p w14:paraId="5CB9CB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B0F0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数据修改微服务及前端适配-登记（核准）数据修改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081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1、查询主体信息页面：录入查询条件，查询待修改数据的企业；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2、选择事项页面：选择需要修改数据的登记/备案事项；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3、数据修改页面：录入修改后的数据；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4、审核页面：选择经办结果，录入经办意见；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5、执照打印页面：根据总局规范打印营业执照。</w:t>
            </w:r>
          </w:p>
        </w:tc>
      </w:tr>
      <w:tr w14:paraId="14007D4E">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E8F7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528</w:t>
            </w:r>
          </w:p>
        </w:tc>
        <w:tc>
          <w:tcPr>
            <w:tcW w:w="491" w:type="pct"/>
            <w:tcBorders>
              <w:top w:val="nil"/>
              <w:left w:val="nil"/>
              <w:bottom w:val="single" w:color="000000" w:sz="4" w:space="0"/>
              <w:right w:val="single" w:color="000000" w:sz="4" w:space="0"/>
            </w:tcBorders>
            <w:shd w:val="clear" w:color="auto" w:fill="auto"/>
            <w:vAlign w:val="center"/>
          </w:tcPr>
          <w:p w14:paraId="16783F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2545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非登记事项修改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F6C5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1、查询主体信息页面：录入查询条件，查询待修改数据的企业；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2、数据修改页面：录入修改后的数据，仅能修改非登记/备案事项的数据；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3、审核页面：选择经办结果，录入经办意见。</w:t>
            </w:r>
          </w:p>
        </w:tc>
      </w:tr>
      <w:tr w14:paraId="33DC9A6A">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D3CE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529</w:t>
            </w:r>
          </w:p>
        </w:tc>
        <w:tc>
          <w:tcPr>
            <w:tcW w:w="491" w:type="pct"/>
            <w:tcBorders>
              <w:top w:val="nil"/>
              <w:left w:val="nil"/>
              <w:bottom w:val="single" w:color="000000" w:sz="4" w:space="0"/>
              <w:right w:val="single" w:color="000000" w:sz="4" w:space="0"/>
            </w:tcBorders>
            <w:shd w:val="clear" w:color="auto" w:fill="auto"/>
            <w:vAlign w:val="center"/>
          </w:tcPr>
          <w:p w14:paraId="659BB6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BFC8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服务中台（支撑域）-综合查询统计微服务及前端适配-名称自主申报查询统计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6F8F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配合重构，调整实现名称自主申报相关查询统计。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1、名称告知承诺制查询统计：名称告知承诺制的申报数量及名称、通过数量及名称、通过率、退回数量及名称和退回理由、使用率。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2、名称审核制查询统计：不涉及前置审批名称审核制的申报数量及名称、通过数量及名称、通过率、退回数量及名称和退回理由、使用率。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3、前置审批名称查询统计：涉及前置审批名称审核制的申报数量及名称、通过数量及名称、通过率、退回数量及名称和退回理由、使用率。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4、名称复合查询：通过企业名称所属的字段（包括字号、行业表述、组织形式、行业分类、名称状态等）进行复合查询。</w:t>
            </w:r>
          </w:p>
        </w:tc>
      </w:tr>
      <w:tr w14:paraId="3174B032">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1C98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530</w:t>
            </w:r>
          </w:p>
        </w:tc>
        <w:tc>
          <w:tcPr>
            <w:tcW w:w="491" w:type="pct"/>
            <w:tcBorders>
              <w:top w:val="nil"/>
              <w:left w:val="nil"/>
              <w:bottom w:val="single" w:color="000000" w:sz="4" w:space="0"/>
              <w:right w:val="single" w:color="000000" w:sz="4" w:space="0"/>
            </w:tcBorders>
            <w:shd w:val="clear" w:color="auto" w:fill="auto"/>
            <w:vAlign w:val="center"/>
          </w:tcPr>
          <w:p w14:paraId="312622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1442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757E1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配合重构，调整实现经营主体相关查询统计。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1、主体综合查询：通过主体的各属性，综合查询主体信息；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2、长三角一体化示范区企业查询统计：通过“一体化示范区”标识统计长三角一体化示范区企业信息；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受益所有人信息填报查询统计：根据总局接口反馈，录入市场主体统一信用代码或企业名称，查验市场主体是否已完成受益所有人信息备案。根据总局接口反馈，通过查验市场主体是否已完成受益所有人信息备案，生成统计报表：显示应完成备案中已完成和未完成的市场主体清单，已完成的标注完成日期。</w:t>
            </w:r>
          </w:p>
        </w:tc>
      </w:tr>
      <w:tr w14:paraId="5684AAA4">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983D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531</w:t>
            </w:r>
          </w:p>
        </w:tc>
        <w:tc>
          <w:tcPr>
            <w:tcW w:w="491" w:type="pct"/>
            <w:tcBorders>
              <w:top w:val="nil"/>
              <w:left w:val="nil"/>
              <w:bottom w:val="single" w:color="000000" w:sz="4" w:space="0"/>
              <w:right w:val="single" w:color="000000" w:sz="4" w:space="0"/>
            </w:tcBorders>
            <w:shd w:val="clear" w:color="auto" w:fill="auto"/>
            <w:vAlign w:val="center"/>
          </w:tcPr>
          <w:p w14:paraId="3F6B72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246E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申请、办件查询统计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B4AE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配合重构，调整实现申请、办件相关查询统计。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1、一窗通申请案查询：查询各个环节的申请案状态及申请案基本信息。包括一窗通设立、一窗通普通注销、一窗通简易注销的办件。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网办申请案查询：以企业名称、申报日期、业务类型等要素为查询条件，进行申请案查询。查询所有通过互联网全程网办系统申报的申请案包括全程网办和线上预审线下办理的，并可进一步设置条件进行区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3、网办申请案统计：包括平均审核时间统计、平均办理时间统计、退回修改统计一、退回修改统计。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4、一次通过率查询：定期统计一次名称、登记一次通过率。统计总数、登记不通过的数量、其中名称不通过的数量。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跨省通办统计查询：统计通过外网“跨省通报”栏目申报的，且通过快递寄递执照及文书的申请案。通过跨省通办查询功能，查询外网申请案状态。申请案查询可以查询内网申请案状态并统计跨省通办申请案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6、清算代为公示查询：查询清算代为公示的数量和信息。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7、歇业查询：查询市场主体的歇业备案、延长歇业备案申请案，以及歇业终止公告。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8、跨区迁移统计：通过迁移原因，统计各迁移原因数量，并可以根据名单内名单外分类显示。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9、历史申请案查询：根据查询条件查询历史申请案。</w:t>
            </w:r>
          </w:p>
        </w:tc>
      </w:tr>
      <w:tr w14:paraId="15AA77D5">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9331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532</w:t>
            </w:r>
          </w:p>
        </w:tc>
        <w:tc>
          <w:tcPr>
            <w:tcW w:w="491" w:type="pct"/>
            <w:tcBorders>
              <w:top w:val="nil"/>
              <w:left w:val="nil"/>
              <w:bottom w:val="single" w:color="000000" w:sz="4" w:space="0"/>
              <w:right w:val="single" w:color="000000" w:sz="4" w:space="0"/>
            </w:tcBorders>
            <w:shd w:val="clear" w:color="auto" w:fill="auto"/>
            <w:vAlign w:val="center"/>
          </w:tcPr>
          <w:p w14:paraId="3BE249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335C5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应用支撑（通用域）-登记注册流程服务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EED6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1、获取待办列表接口：获取待办列表接口：按照用户和权限，获取用户的待办列表；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2、获取待办数量接口：根据查询条件，获取用户的分类待办数量；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3、启动、推进、结束流程实例接口：启动流程接口：启动一个流程实例；流程提交下一步接口：流程实例从当前节点进入下一个节点；结束流程接口：结束流程实例；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4、查询办理时限接口：查询流程实例的办理时限和剩余时间。</w:t>
            </w:r>
          </w:p>
        </w:tc>
      </w:tr>
      <w:tr w14:paraId="77EA47FB">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C3E3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533</w:t>
            </w:r>
          </w:p>
        </w:tc>
        <w:tc>
          <w:tcPr>
            <w:tcW w:w="491" w:type="pct"/>
            <w:tcBorders>
              <w:top w:val="nil"/>
              <w:left w:val="nil"/>
              <w:bottom w:val="single" w:color="000000" w:sz="4" w:space="0"/>
              <w:right w:val="single" w:color="000000" w:sz="4" w:space="0"/>
            </w:tcBorders>
            <w:shd w:val="clear" w:color="auto" w:fill="auto"/>
            <w:vAlign w:val="center"/>
          </w:tcPr>
          <w:p w14:paraId="40F3A7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7E67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电子签名微服务和前端适配电子签名前端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440E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1、实名认证方式选择页面：选择银行卡、手机号或App进行实名认证；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2、待签名办件列表页面：根据签名人查询待签名的办件和材料列表。</w:t>
            </w:r>
          </w:p>
        </w:tc>
      </w:tr>
      <w:tr w14:paraId="1A37CA6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D866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534</w:t>
            </w:r>
          </w:p>
        </w:tc>
        <w:tc>
          <w:tcPr>
            <w:tcW w:w="491" w:type="pct"/>
            <w:tcBorders>
              <w:top w:val="nil"/>
              <w:left w:val="nil"/>
              <w:bottom w:val="single" w:color="000000" w:sz="4" w:space="0"/>
              <w:right w:val="single" w:color="000000" w:sz="4" w:space="0"/>
            </w:tcBorders>
            <w:shd w:val="clear" w:color="auto" w:fill="auto"/>
            <w:vAlign w:val="center"/>
          </w:tcPr>
          <w:p w14:paraId="15F2D2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72BD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电子签名服务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E689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1、待签名办件和材料推送：对接第三方签名平台，推送待签名的办件和材料，以及签名人信息等；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2、已签名办件和材料接收：对接第三方签名平台，接收已完成签名的办件和材料。</w:t>
            </w:r>
          </w:p>
        </w:tc>
      </w:tr>
      <w:tr w14:paraId="360494E8">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5CA5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535</w:t>
            </w:r>
          </w:p>
        </w:tc>
        <w:tc>
          <w:tcPr>
            <w:tcW w:w="491" w:type="pct"/>
            <w:tcBorders>
              <w:top w:val="nil"/>
              <w:left w:val="nil"/>
              <w:bottom w:val="single" w:color="000000" w:sz="4" w:space="0"/>
              <w:right w:val="single" w:color="000000" w:sz="4" w:space="0"/>
            </w:tcBorders>
            <w:shd w:val="clear" w:color="auto" w:fill="auto"/>
            <w:vAlign w:val="center"/>
          </w:tcPr>
          <w:p w14:paraId="224B3E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A3B7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电子营业执照下载微服务及前端适配-电子营业执照下载申请前端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D2A4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1、主体信息查询页面：查询待下载电子营业执照的主体信息；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2、申请信息录入页面：录入申请信息、委托代理人信息、电子营业执照持有者信息、联系方式、电子邮箱等；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3、审核页面：选择经办结果，录入经办意见；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4、文书打印页面：打印电子营业执照下载二维码和相关文书。</w:t>
            </w:r>
          </w:p>
        </w:tc>
      </w:tr>
      <w:tr w14:paraId="23FE3C40">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D15F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536</w:t>
            </w:r>
          </w:p>
        </w:tc>
        <w:tc>
          <w:tcPr>
            <w:tcW w:w="491" w:type="pct"/>
            <w:tcBorders>
              <w:top w:val="nil"/>
              <w:left w:val="nil"/>
              <w:bottom w:val="single" w:color="000000" w:sz="4" w:space="0"/>
              <w:right w:val="single" w:color="000000" w:sz="4" w:space="0"/>
            </w:tcBorders>
            <w:shd w:val="clear" w:color="auto" w:fill="auto"/>
            <w:vAlign w:val="center"/>
          </w:tcPr>
          <w:p w14:paraId="433B16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CBEE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电子营业执照下载后端服务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8CD6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电子营业执照下载申请保存接口：保存、修改电子营业执照下载申请信息；对接电子营业执照发放系统，获取电子营业执照下载二维码；对接电子邮件系统，给电子营业执照持有者发送下载电子营业执照的邮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2、电子营业执照下载申请查询接口：查询电子营业执照下载的申请信息。</w:t>
            </w:r>
          </w:p>
        </w:tc>
      </w:tr>
      <w:tr w14:paraId="3823FC8F">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5A1B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537</w:t>
            </w:r>
          </w:p>
        </w:tc>
        <w:tc>
          <w:tcPr>
            <w:tcW w:w="491" w:type="pct"/>
            <w:tcBorders>
              <w:top w:val="nil"/>
              <w:left w:val="nil"/>
              <w:bottom w:val="single" w:color="000000" w:sz="4" w:space="0"/>
              <w:right w:val="single" w:color="000000" w:sz="4" w:space="0"/>
            </w:tcBorders>
            <w:shd w:val="clear" w:color="auto" w:fill="auto"/>
            <w:vAlign w:val="center"/>
          </w:tcPr>
          <w:p w14:paraId="7ADBC7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71C6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应用支撑（通用域-外部对接）-对接总局登记注册应用服务对接主体数据采集服务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3C999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1、对接总局统一赋码：对接总局统一赋码，获取申请号和统一社会先用代码；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2、对接主体数据采集服务：对接主体数据采集服务，上报登记申请数据、办理信息和结果数据。</w:t>
            </w:r>
          </w:p>
        </w:tc>
      </w:tr>
      <w:tr w14:paraId="1F539C8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9CC8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538</w:t>
            </w:r>
          </w:p>
        </w:tc>
        <w:tc>
          <w:tcPr>
            <w:tcW w:w="491" w:type="pct"/>
            <w:tcBorders>
              <w:top w:val="nil"/>
              <w:left w:val="nil"/>
              <w:bottom w:val="single" w:color="000000" w:sz="4" w:space="0"/>
              <w:right w:val="single" w:color="000000" w:sz="4" w:space="0"/>
            </w:tcBorders>
            <w:shd w:val="clear" w:color="auto" w:fill="auto"/>
            <w:vAlign w:val="center"/>
          </w:tcPr>
          <w:p w14:paraId="34C0D1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3A19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对接市“一网通办”系统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E18F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1、办件推送：实时将登记业务办理情况，推送给办件库。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2、办件下载：在办理时查询“一网通办”办件库，下载待办的办件。</w:t>
            </w:r>
          </w:p>
        </w:tc>
      </w:tr>
      <w:tr w14:paraId="341E460C">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A8A5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539</w:t>
            </w:r>
          </w:p>
        </w:tc>
        <w:tc>
          <w:tcPr>
            <w:tcW w:w="491" w:type="pct"/>
            <w:tcBorders>
              <w:top w:val="nil"/>
              <w:left w:val="nil"/>
              <w:bottom w:val="single" w:color="000000" w:sz="4" w:space="0"/>
              <w:right w:val="single" w:color="000000" w:sz="4" w:space="0"/>
            </w:tcBorders>
            <w:shd w:val="clear" w:color="auto" w:fill="auto"/>
            <w:vAlign w:val="center"/>
          </w:tcPr>
          <w:p w14:paraId="11D7BF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CDA36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对接局内其它系统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6FF5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1、推送申请信息：如果在多证合一中选择仅销售预包装食品备案事项，登记申请提交后，将申请信息推送到许可系统。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2、营业执照核准信息推送：如果在多证合一中选择仅销售预包装食品备案事项，登记核准后，将营业执照信息推送到许可系统。</w:t>
            </w:r>
          </w:p>
        </w:tc>
      </w:tr>
      <w:tr w14:paraId="26B0A657">
        <w:tblPrEx>
          <w:tblCellMar>
            <w:top w:w="0" w:type="dxa"/>
            <w:left w:w="108" w:type="dxa"/>
            <w:bottom w:w="0" w:type="dxa"/>
            <w:right w:w="108" w:type="dxa"/>
          </w:tblCellMar>
        </w:tblPrEx>
        <w:trPr>
          <w:trHeight w:val="56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720D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540</w:t>
            </w:r>
          </w:p>
        </w:tc>
        <w:tc>
          <w:tcPr>
            <w:tcW w:w="491" w:type="pct"/>
            <w:tcBorders>
              <w:top w:val="nil"/>
              <w:left w:val="nil"/>
              <w:bottom w:val="single" w:color="000000" w:sz="4" w:space="0"/>
              <w:right w:val="single" w:color="000000" w:sz="4" w:space="0"/>
            </w:tcBorders>
            <w:shd w:val="clear" w:color="auto" w:fill="auto"/>
            <w:vAlign w:val="center"/>
          </w:tcPr>
          <w:p w14:paraId="1A8C45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企业登记在线</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4251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对接其它外部门系统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2E27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1、信息调取与核验：国有直接投资或间接投资企业设立时的产权登记信息调取与核验；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2、信息共享：国有直接投资或间接投资企业登记信息共享。</w:t>
            </w:r>
          </w:p>
        </w:tc>
      </w:tr>
      <w:tr w14:paraId="252261A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EA28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541</w:t>
            </w:r>
          </w:p>
        </w:tc>
        <w:tc>
          <w:tcPr>
            <w:tcW w:w="491" w:type="pct"/>
            <w:tcBorders>
              <w:top w:val="nil"/>
              <w:left w:val="nil"/>
              <w:bottom w:val="single" w:color="000000" w:sz="4" w:space="0"/>
              <w:right w:val="single" w:color="000000" w:sz="4" w:space="0"/>
            </w:tcBorders>
            <w:shd w:val="clear" w:color="auto" w:fill="auto"/>
            <w:vAlign w:val="center"/>
          </w:tcPr>
          <w:p w14:paraId="6F1064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E2D5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随申码应用（公众监督）-许可码公众端-应用入口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1419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提供公众、企业统一的“码上应用”扫码入口，公众、企业通过微信或浏览器扫描许可证二维码将会调用随申办小程序或随申办市民云APP、随身办企业云APP拉起“码上应用”页面</w:t>
            </w:r>
          </w:p>
        </w:tc>
      </w:tr>
      <w:tr w14:paraId="1FEA31D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08C8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542</w:t>
            </w:r>
          </w:p>
        </w:tc>
        <w:tc>
          <w:tcPr>
            <w:tcW w:w="491" w:type="pct"/>
            <w:tcBorders>
              <w:top w:val="nil"/>
              <w:left w:val="nil"/>
              <w:bottom w:val="single" w:color="000000" w:sz="4" w:space="0"/>
              <w:right w:val="single" w:color="000000" w:sz="4" w:space="0"/>
            </w:tcBorders>
            <w:shd w:val="clear" w:color="auto" w:fill="auto"/>
            <w:vAlign w:val="center"/>
          </w:tcPr>
          <w:p w14:paraId="72F6A9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C0FA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随申码应用（公众监督）-许可码公众端-码上应用接入-接入随申办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51D8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将“码上应用”落地页面接入随申办市民云和随申办企业云</w:t>
            </w:r>
          </w:p>
        </w:tc>
      </w:tr>
      <w:tr w14:paraId="25DB651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879C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543</w:t>
            </w:r>
          </w:p>
        </w:tc>
        <w:tc>
          <w:tcPr>
            <w:tcW w:w="491" w:type="pct"/>
            <w:tcBorders>
              <w:top w:val="nil"/>
              <w:left w:val="nil"/>
              <w:bottom w:val="single" w:color="000000" w:sz="4" w:space="0"/>
              <w:right w:val="single" w:color="000000" w:sz="4" w:space="0"/>
            </w:tcBorders>
            <w:shd w:val="clear" w:color="auto" w:fill="auto"/>
            <w:vAlign w:val="center"/>
          </w:tcPr>
          <w:p w14:paraId="4B8F14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092C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随申码应用（公众监督）-许可码公众端-日常公众监督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F277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公众扫描许可证二维码对企业食品安全日常监督检查信息进行查询，包含：餐饮日常监管星级（哭脸、笑脸、平脸ABCD评级）、许可电子证照信息、从业人员信息、主体责任日管控、周排查、月调度发现问题及整改问题情况、企业投诉举报信息、企业行政处罚信息、企业产品抽检合格/不合格信息、互联网+明厨亮灶食品加工画面监控视频查询、企业全景画像信息</w:t>
            </w:r>
          </w:p>
        </w:tc>
      </w:tr>
      <w:tr w14:paraId="0DAB8EE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C1DF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544</w:t>
            </w:r>
          </w:p>
        </w:tc>
        <w:tc>
          <w:tcPr>
            <w:tcW w:w="491" w:type="pct"/>
            <w:tcBorders>
              <w:top w:val="nil"/>
              <w:left w:val="nil"/>
              <w:bottom w:val="single" w:color="000000" w:sz="4" w:space="0"/>
              <w:right w:val="single" w:color="000000" w:sz="4" w:space="0"/>
            </w:tcBorders>
            <w:shd w:val="clear" w:color="auto" w:fill="auto"/>
            <w:vAlign w:val="center"/>
          </w:tcPr>
          <w:p w14:paraId="64A60C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2E0C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随申码应用（公众监督）-许可码公众端-互动评价-评价发布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A6BC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公众：1、公众可对企业的食品安全进行评价发布，发布成功后可查询；2、公众发布评价时将进入消费者投诉举报系统进行评价发布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企业：1、企业可对公众提交的评价进行查询；2、企业可对工作评价审核（恶意发布评价拒绝后不展示，审核通过评价展示）；3、企业可对公众的评价内容进行回复处理</w:t>
            </w:r>
          </w:p>
        </w:tc>
      </w:tr>
      <w:tr w14:paraId="15A9F1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96A2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545</w:t>
            </w:r>
          </w:p>
        </w:tc>
        <w:tc>
          <w:tcPr>
            <w:tcW w:w="491" w:type="pct"/>
            <w:tcBorders>
              <w:top w:val="nil"/>
              <w:left w:val="nil"/>
              <w:bottom w:val="single" w:color="000000" w:sz="4" w:space="0"/>
              <w:right w:val="single" w:color="000000" w:sz="4" w:space="0"/>
            </w:tcBorders>
            <w:shd w:val="clear" w:color="auto" w:fill="auto"/>
            <w:vAlign w:val="center"/>
          </w:tcPr>
          <w:p w14:paraId="72ED1C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59E2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随申码应用（公众监督）-许可码公众端-互动评价-投诉举报查看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5FE3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公众可查看投诉举报信息（对接投诉举报系统并嵌入投诉举报消费者权益保护子系统页面）</w:t>
            </w:r>
          </w:p>
        </w:tc>
      </w:tr>
      <w:tr w14:paraId="0158DDA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A325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546</w:t>
            </w:r>
          </w:p>
        </w:tc>
        <w:tc>
          <w:tcPr>
            <w:tcW w:w="491" w:type="pct"/>
            <w:tcBorders>
              <w:top w:val="nil"/>
              <w:left w:val="nil"/>
              <w:bottom w:val="single" w:color="000000" w:sz="4" w:space="0"/>
              <w:right w:val="single" w:color="000000" w:sz="4" w:space="0"/>
            </w:tcBorders>
            <w:shd w:val="clear" w:color="auto" w:fill="auto"/>
            <w:vAlign w:val="center"/>
          </w:tcPr>
          <w:p w14:paraId="14E283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D9DE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随申码应用（公众监督）-许可码公众端-互动评价-评价回复通知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5E4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公众可通过进入随申办小程序或市民云APP中查看提交评价企业的回复通知，点击消息通知可跳转用户评价模块，查看具体评价内容及回复内容</w:t>
            </w:r>
          </w:p>
        </w:tc>
      </w:tr>
      <w:tr w14:paraId="202BF41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3CF2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547</w:t>
            </w:r>
          </w:p>
        </w:tc>
        <w:tc>
          <w:tcPr>
            <w:tcW w:w="491" w:type="pct"/>
            <w:tcBorders>
              <w:top w:val="nil"/>
              <w:left w:val="nil"/>
              <w:bottom w:val="single" w:color="000000" w:sz="4" w:space="0"/>
              <w:right w:val="single" w:color="000000" w:sz="4" w:space="0"/>
            </w:tcBorders>
            <w:shd w:val="clear" w:color="auto" w:fill="auto"/>
            <w:vAlign w:val="center"/>
          </w:tcPr>
          <w:p w14:paraId="423176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ABF2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随申码应用（公众监督）-食品追溯码公众端-“你点我检”-需求采集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71F7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由消费者填报“你点我检”需求信息，包含姓名、联系方式、所在区、所在街道，想要检测的食品名称、其他。</w:t>
            </w:r>
          </w:p>
        </w:tc>
      </w:tr>
      <w:tr w14:paraId="323021F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40FF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548</w:t>
            </w:r>
          </w:p>
        </w:tc>
        <w:tc>
          <w:tcPr>
            <w:tcW w:w="491" w:type="pct"/>
            <w:tcBorders>
              <w:top w:val="nil"/>
              <w:left w:val="nil"/>
              <w:bottom w:val="single" w:color="000000" w:sz="4" w:space="0"/>
              <w:right w:val="single" w:color="000000" w:sz="4" w:space="0"/>
            </w:tcBorders>
            <w:shd w:val="clear" w:color="auto" w:fill="auto"/>
            <w:vAlign w:val="center"/>
          </w:tcPr>
          <w:p w14:paraId="45914B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1600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随申码应用（公众监督）-食品追溯码公众端-“你点我检”-结果公示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1BCA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对抽样检验结果进行公示。</w:t>
            </w:r>
          </w:p>
        </w:tc>
      </w:tr>
      <w:tr w14:paraId="0D82966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94C1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549</w:t>
            </w:r>
          </w:p>
        </w:tc>
        <w:tc>
          <w:tcPr>
            <w:tcW w:w="491" w:type="pct"/>
            <w:tcBorders>
              <w:top w:val="nil"/>
              <w:left w:val="nil"/>
              <w:bottom w:val="single" w:color="000000" w:sz="4" w:space="0"/>
              <w:right w:val="single" w:color="000000" w:sz="4" w:space="0"/>
            </w:tcBorders>
            <w:shd w:val="clear" w:color="auto" w:fill="auto"/>
            <w:vAlign w:val="center"/>
          </w:tcPr>
          <w:p w14:paraId="14D2F6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3430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随申码应用（公众监督）-食品追溯码公众端-必要信息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3551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二维码扫码信息，扫码后可支持展示包含“食品添加剂，配方管理，工艺流程管理，关键控制点，受委托企业”</w:t>
            </w:r>
          </w:p>
        </w:tc>
      </w:tr>
      <w:tr w14:paraId="4C94BFF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D097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550</w:t>
            </w:r>
          </w:p>
        </w:tc>
        <w:tc>
          <w:tcPr>
            <w:tcW w:w="491" w:type="pct"/>
            <w:tcBorders>
              <w:top w:val="nil"/>
              <w:left w:val="nil"/>
              <w:bottom w:val="single" w:color="000000" w:sz="4" w:space="0"/>
              <w:right w:val="single" w:color="000000" w:sz="4" w:space="0"/>
            </w:tcBorders>
            <w:shd w:val="clear" w:color="auto" w:fill="auto"/>
            <w:vAlign w:val="center"/>
          </w:tcPr>
          <w:p w14:paraId="0E3DD3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F858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随申码应用（公众监督）-食品追溯码公众端-鼓励信息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58ED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二维码扫码信息，扫码后可支持展示原辅料供应商信息，生产过程控制信息，产品信息，阳光工厂信息，荣誉科普信息</w:t>
            </w:r>
          </w:p>
        </w:tc>
      </w:tr>
      <w:tr w14:paraId="621F116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9495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551</w:t>
            </w:r>
          </w:p>
        </w:tc>
        <w:tc>
          <w:tcPr>
            <w:tcW w:w="491" w:type="pct"/>
            <w:tcBorders>
              <w:top w:val="nil"/>
              <w:left w:val="nil"/>
              <w:bottom w:val="single" w:color="000000" w:sz="4" w:space="0"/>
              <w:right w:val="single" w:color="000000" w:sz="4" w:space="0"/>
            </w:tcBorders>
            <w:shd w:val="clear" w:color="auto" w:fill="auto"/>
            <w:vAlign w:val="center"/>
          </w:tcPr>
          <w:p w14:paraId="3C359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654B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随申码应用（公众监督）-食品追溯码公众端-追溯信息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040A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生产过程记录时实现关键数据关联，确保生产过程原材料，食品添加剂来源可查，过程可溯。并同步完善</w:t>
            </w:r>
          </w:p>
        </w:tc>
      </w:tr>
      <w:tr w14:paraId="32E458B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EB2F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552</w:t>
            </w:r>
          </w:p>
        </w:tc>
        <w:tc>
          <w:tcPr>
            <w:tcW w:w="491" w:type="pct"/>
            <w:tcBorders>
              <w:top w:val="nil"/>
              <w:left w:val="nil"/>
              <w:bottom w:val="single" w:color="000000" w:sz="4" w:space="0"/>
              <w:right w:val="single" w:color="000000" w:sz="4" w:space="0"/>
            </w:tcBorders>
            <w:shd w:val="clear" w:color="auto" w:fill="auto"/>
            <w:vAlign w:val="center"/>
          </w:tcPr>
          <w:p w14:paraId="4576EE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ADC2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随申码应用（公众监督）-食品追溯码公众端-绿色食品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122A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绿色食品，如“大米”上链特定数据，展示相关链上数据，包含按批次实现食品生产加工数据，加工原材料。原材料的进货形况展示，流通追溯数据按门店，批次/生产日期进行查询形成追溯链条.并和农务委数据打通，给消费者形成数据统一展示。</w:t>
            </w:r>
          </w:p>
        </w:tc>
      </w:tr>
      <w:tr w14:paraId="6D26C53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2D3C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553</w:t>
            </w:r>
          </w:p>
        </w:tc>
        <w:tc>
          <w:tcPr>
            <w:tcW w:w="491" w:type="pct"/>
            <w:tcBorders>
              <w:top w:val="nil"/>
              <w:left w:val="nil"/>
              <w:bottom w:val="single" w:color="000000" w:sz="4" w:space="0"/>
              <w:right w:val="single" w:color="000000" w:sz="4" w:space="0"/>
            </w:tcBorders>
            <w:shd w:val="clear" w:color="auto" w:fill="auto"/>
            <w:vAlign w:val="center"/>
          </w:tcPr>
          <w:p w14:paraId="4B64AB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1697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企业信息管理-企业激活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AD51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通过一网通办企业认证（ukey或电子营业执照）实现食品、特种设备、工业产品企业法人认证，完成企业激活，并设定法定代表管理员。（含法定代表管理员重置）</w:t>
            </w:r>
          </w:p>
        </w:tc>
      </w:tr>
      <w:tr w14:paraId="1F531AA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688F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554</w:t>
            </w:r>
          </w:p>
        </w:tc>
        <w:tc>
          <w:tcPr>
            <w:tcW w:w="491" w:type="pct"/>
            <w:tcBorders>
              <w:top w:val="nil"/>
              <w:left w:val="nil"/>
              <w:bottom w:val="single" w:color="000000" w:sz="4" w:space="0"/>
              <w:right w:val="single" w:color="000000" w:sz="4" w:space="0"/>
            </w:tcBorders>
            <w:shd w:val="clear" w:color="auto" w:fill="auto"/>
            <w:vAlign w:val="center"/>
          </w:tcPr>
          <w:p w14:paraId="5D641D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C025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企业信息管理-企业基础信息-基础信息维护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7B17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食品企业、特种设备企业、工业产品企业基础信息进行维护和管理。食品企业含企业名称，许可证信息，所属区所信息，经营状态信息等；工业产品企业可修改的企业信息主要包括除企业注册信息以外的其他信息。特种设备企业：1.区分企业类型所以对应可以管理的数据范围；2.企业用户可以对本单位的基本信息查询管理，包括下属机构和部门、联系人信息、单位地址、制造场所、住所、经营场所、联系方式，应急救援电话等，并对相应信息进行修改维护，不涉及行政审批许可变更业务的信息可自行修改和管理。</w:t>
            </w:r>
          </w:p>
        </w:tc>
      </w:tr>
      <w:tr w14:paraId="28CC448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331E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555</w:t>
            </w:r>
          </w:p>
        </w:tc>
        <w:tc>
          <w:tcPr>
            <w:tcW w:w="491" w:type="pct"/>
            <w:tcBorders>
              <w:top w:val="nil"/>
              <w:left w:val="nil"/>
              <w:bottom w:val="single" w:color="000000" w:sz="4" w:space="0"/>
              <w:right w:val="single" w:color="000000" w:sz="4" w:space="0"/>
            </w:tcBorders>
            <w:shd w:val="clear" w:color="auto" w:fill="auto"/>
            <w:vAlign w:val="center"/>
          </w:tcPr>
          <w:p w14:paraId="0E1EB7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6465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企业信息管理-企业工作台设置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988F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根据企业权限，提供相应列表功能，可对常用功能列表进行置顶或自定义入口配置。</w:t>
            </w:r>
          </w:p>
        </w:tc>
      </w:tr>
      <w:tr w14:paraId="10205B4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6CB0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556</w:t>
            </w:r>
          </w:p>
        </w:tc>
        <w:tc>
          <w:tcPr>
            <w:tcW w:w="491" w:type="pct"/>
            <w:tcBorders>
              <w:top w:val="nil"/>
              <w:left w:val="nil"/>
              <w:bottom w:val="single" w:color="000000" w:sz="4" w:space="0"/>
              <w:right w:val="single" w:color="000000" w:sz="4" w:space="0"/>
            </w:tcBorders>
            <w:shd w:val="clear" w:color="auto" w:fill="auto"/>
            <w:vAlign w:val="center"/>
          </w:tcPr>
          <w:p w14:paraId="47CA5B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145E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企业信息管理-任务看板</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89F2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通过任务看板，引导企业按照要求进行自我管理和主动信息填报。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食品主要内容：1.列出企业需完成的任务清单，并标出已完成和待完成；2.点击待完成任务，可跳转到相应填报界面；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3.企业证照到期、从业人员健康证到期、质量认证相关证书到期等，提示企业及时处理。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特种设备主要内容：根据企业不同权限，管理并展示重点工作情况，对监管、企业管理、企业主体责任涉及的重点工作情况进行报道，提升工作积极性。1.计划管理并展示企业安排的重点工作列表及详情。2.企业重点工作进展情况：系统可以实时更新特种设备工作的进展情况，包括企业自检、巡查、设备检验、隐患整改等。3.重点工作信息推送到监管端。4.为企业提供总体特种设备、人员、企业统计信息，可以查看企业所属的八大类别的特种设备总体情况如：在用、停用、设备风险等信息。</w:t>
            </w:r>
          </w:p>
        </w:tc>
      </w:tr>
      <w:tr w14:paraId="7FA9BE6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5A38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557</w:t>
            </w:r>
          </w:p>
        </w:tc>
        <w:tc>
          <w:tcPr>
            <w:tcW w:w="491" w:type="pct"/>
            <w:tcBorders>
              <w:top w:val="nil"/>
              <w:left w:val="nil"/>
              <w:bottom w:val="single" w:color="000000" w:sz="4" w:space="0"/>
              <w:right w:val="single" w:color="000000" w:sz="4" w:space="0"/>
            </w:tcBorders>
            <w:shd w:val="clear" w:color="auto" w:fill="auto"/>
            <w:vAlign w:val="center"/>
          </w:tcPr>
          <w:p w14:paraId="544445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1C20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企业信息管理-企业数据分析-综合数探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1048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展示企业数据统计，从业人员总数、追溯台账总数、日管控数、周排查数、月调度数、督导数等。按照不同的业务事项（如主体责任情况、从业人员抽考情况等），展示填报趋势、需重点关注问题等。</w:t>
            </w:r>
          </w:p>
        </w:tc>
      </w:tr>
      <w:tr w14:paraId="4E64344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FAED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558</w:t>
            </w:r>
          </w:p>
        </w:tc>
        <w:tc>
          <w:tcPr>
            <w:tcW w:w="491" w:type="pct"/>
            <w:tcBorders>
              <w:top w:val="nil"/>
              <w:left w:val="nil"/>
              <w:bottom w:val="single" w:color="000000" w:sz="4" w:space="0"/>
              <w:right w:val="single" w:color="000000" w:sz="4" w:space="0"/>
            </w:tcBorders>
            <w:shd w:val="clear" w:color="auto" w:fill="auto"/>
            <w:vAlign w:val="center"/>
          </w:tcPr>
          <w:p w14:paraId="0E7937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4E84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企业信息管理-企业数据分析-预警数探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4454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综合展示企业预警及待办事项的数据统计，包括气温预警及整改情况、气压预警及整改情况、AI视频预警及整改情况、非现场巡查预警及整改情况、追溯预警及整改情况</w:t>
            </w:r>
          </w:p>
        </w:tc>
      </w:tr>
      <w:tr w14:paraId="217BC43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360A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559</w:t>
            </w:r>
          </w:p>
        </w:tc>
        <w:tc>
          <w:tcPr>
            <w:tcW w:w="491" w:type="pct"/>
            <w:tcBorders>
              <w:top w:val="nil"/>
              <w:left w:val="nil"/>
              <w:bottom w:val="single" w:color="000000" w:sz="4" w:space="0"/>
              <w:right w:val="single" w:color="000000" w:sz="4" w:space="0"/>
            </w:tcBorders>
            <w:shd w:val="clear" w:color="auto" w:fill="auto"/>
            <w:vAlign w:val="center"/>
          </w:tcPr>
          <w:p w14:paraId="353A6C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5056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企业信息管理-预警提醒-预警查看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12C7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食品风险预警内容包括：食品追溯风险、视频巡查风险、其他风险问题等。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企业可点击查看风险详细信息，进入详情页。不同类型的提醒展示对应的提醒信息，企业可填报整改情况，或设为误报等。提醒信息可设为已读。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特种设备风险预警提示包含：系统可以根据设备的历史数据和企业设备情况，对可能存在的风险进行预警提示，提醒企业负责人、安全管理人员、安全员、维保人员、检维修人员等及时采取措施。</w:t>
            </w:r>
          </w:p>
        </w:tc>
      </w:tr>
      <w:tr w14:paraId="3BD3D13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23B9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560</w:t>
            </w:r>
          </w:p>
        </w:tc>
        <w:tc>
          <w:tcPr>
            <w:tcW w:w="491" w:type="pct"/>
            <w:tcBorders>
              <w:top w:val="nil"/>
              <w:left w:val="nil"/>
              <w:bottom w:val="single" w:color="000000" w:sz="4" w:space="0"/>
              <w:right w:val="single" w:color="000000" w:sz="4" w:space="0"/>
            </w:tcBorders>
            <w:shd w:val="clear" w:color="auto" w:fill="auto"/>
            <w:vAlign w:val="center"/>
          </w:tcPr>
          <w:p w14:paraId="09882C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0D71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企业信息管理-预警提醒-风险弹窗提醒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B57E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将风险预警通过弹窗消息提醒到企业，设定推送规则，定时推送，形成自动化监督。不同类型的弹窗提醒，点击进入对应的详情页。</w:t>
            </w:r>
          </w:p>
        </w:tc>
      </w:tr>
      <w:tr w14:paraId="4F4AFCC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0F34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561</w:t>
            </w:r>
          </w:p>
        </w:tc>
        <w:tc>
          <w:tcPr>
            <w:tcW w:w="491" w:type="pct"/>
            <w:tcBorders>
              <w:top w:val="nil"/>
              <w:left w:val="nil"/>
              <w:bottom w:val="single" w:color="000000" w:sz="4" w:space="0"/>
              <w:right w:val="single" w:color="000000" w:sz="4" w:space="0"/>
            </w:tcBorders>
            <w:shd w:val="clear" w:color="auto" w:fill="auto"/>
            <w:vAlign w:val="center"/>
          </w:tcPr>
          <w:p w14:paraId="0A66B1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B114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企业信息管理-特种设备管理-维保单位和承租方管理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641A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1.维保单位管理：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1)维护特种设备维保单位基本信息；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2)维保单位与设备的关联关系维护管理。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2.承租方管理：对于叉车存在承租方的设备进行设备管理，对叉车承租方进行备案绑定与解绑申请的管理，形成每台叉车每次承租的数据追溯。</w:t>
            </w:r>
          </w:p>
        </w:tc>
      </w:tr>
      <w:tr w14:paraId="66C91E7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D0AF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562</w:t>
            </w:r>
          </w:p>
        </w:tc>
        <w:tc>
          <w:tcPr>
            <w:tcW w:w="491" w:type="pct"/>
            <w:tcBorders>
              <w:top w:val="nil"/>
              <w:left w:val="nil"/>
              <w:bottom w:val="single" w:color="000000" w:sz="4" w:space="0"/>
              <w:right w:val="single" w:color="000000" w:sz="4" w:space="0"/>
            </w:tcBorders>
            <w:shd w:val="clear" w:color="auto" w:fill="auto"/>
            <w:vAlign w:val="center"/>
          </w:tcPr>
          <w:p w14:paraId="02FA93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EF20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企业信息管理-特种设备管理-使用场所管理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C7D8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使用场所管理：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1.对使用场所基本信息进行管理；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2.使用场所与设备的关联关系维护管理；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3.市房管局：基于特种设备智慧监管业务需要，需房管加装电梯相关数据、电梯关联门牌幢相关数据等接口对接开发。</w:t>
            </w:r>
          </w:p>
        </w:tc>
      </w:tr>
      <w:tr w14:paraId="789855B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A344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563</w:t>
            </w:r>
          </w:p>
        </w:tc>
        <w:tc>
          <w:tcPr>
            <w:tcW w:w="491" w:type="pct"/>
            <w:tcBorders>
              <w:top w:val="nil"/>
              <w:left w:val="nil"/>
              <w:bottom w:val="single" w:color="000000" w:sz="4" w:space="0"/>
              <w:right w:val="single" w:color="000000" w:sz="4" w:space="0"/>
            </w:tcBorders>
            <w:shd w:val="clear" w:color="auto" w:fill="auto"/>
            <w:vAlign w:val="center"/>
          </w:tcPr>
          <w:p w14:paraId="2E7B56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C48C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企业信息管理-特种设备管理-企业设备档案管理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4E5E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企业设备档案管理：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1.可以直接查看本单位的设备详情，精确到单台设备数据和历史详情展示，包括但不限于设备名称、设备代码、设备使用情况、设备检验信息、设备维保信息、安全监察信息、安全管理人员及联系方式等；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设备档案数据维护，在监管要求提供新数据时为企业提供设备信息的数据维护更新功能，包括设备代码、产品的合格证信息、出厂编号、销售去向等。填报的数据也为施工单位和使用单位在办理相关业务时提供数据来源和支撑。</w:t>
            </w:r>
          </w:p>
        </w:tc>
      </w:tr>
      <w:tr w14:paraId="361BC1C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1DF7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564</w:t>
            </w:r>
          </w:p>
        </w:tc>
        <w:tc>
          <w:tcPr>
            <w:tcW w:w="491" w:type="pct"/>
            <w:tcBorders>
              <w:top w:val="nil"/>
              <w:left w:val="nil"/>
              <w:bottom w:val="single" w:color="000000" w:sz="4" w:space="0"/>
              <w:right w:val="single" w:color="000000" w:sz="4" w:space="0"/>
            </w:tcBorders>
            <w:shd w:val="clear" w:color="auto" w:fill="auto"/>
            <w:vAlign w:val="center"/>
          </w:tcPr>
          <w:p w14:paraId="239A60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636F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企业信息管理-特种设备管理-重点标记-重点单位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A7EC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通过对设备的使用年限、设备历史上发生过的事故、维修情况、应急情况，检验检测情况，问题整改情况等等进行设备的风险分析，整合出问题较多的，设备比较老的，维修次数比较多的，应急次数比较多的设备，对这些设备所在的单位进行记录，记录需要重点关注的单位，形成重点单位监管统计分析报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建设使用单位标记功能，对于因企业倒闭等原因长期联系不上的使用单位，市场监管部门公告注销或停用后，监察用户可对此类单位进行标记，标记后的单位所属所有特种设备列入待办使用登记变更状态，并将该信息对接到行政审批许可系统。</w:t>
            </w:r>
          </w:p>
        </w:tc>
      </w:tr>
      <w:tr w14:paraId="0F7E765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E5C3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565</w:t>
            </w:r>
          </w:p>
        </w:tc>
        <w:tc>
          <w:tcPr>
            <w:tcW w:w="491" w:type="pct"/>
            <w:tcBorders>
              <w:top w:val="nil"/>
              <w:left w:val="nil"/>
              <w:bottom w:val="single" w:color="000000" w:sz="4" w:space="0"/>
              <w:right w:val="single" w:color="000000" w:sz="4" w:space="0"/>
            </w:tcBorders>
            <w:shd w:val="clear" w:color="auto" w:fill="auto"/>
            <w:vAlign w:val="center"/>
          </w:tcPr>
          <w:p w14:paraId="4695D8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9434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企业信息管理-特种设备管理-重点标记-重点设备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A87A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由企业对所使用的设备进行标记，区分设备所属行业、设备种类，根据条件筛选，提供使用单位对每一台设备进行重点设备标记，支持按条件查询后批量标记。</w:t>
            </w:r>
          </w:p>
        </w:tc>
      </w:tr>
      <w:tr w14:paraId="52DC13C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8E73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566</w:t>
            </w:r>
          </w:p>
        </w:tc>
        <w:tc>
          <w:tcPr>
            <w:tcW w:w="491" w:type="pct"/>
            <w:tcBorders>
              <w:top w:val="nil"/>
              <w:left w:val="nil"/>
              <w:bottom w:val="single" w:color="000000" w:sz="4" w:space="0"/>
              <w:right w:val="single" w:color="000000" w:sz="4" w:space="0"/>
            </w:tcBorders>
            <w:shd w:val="clear" w:color="auto" w:fill="auto"/>
            <w:vAlign w:val="center"/>
          </w:tcPr>
          <w:p w14:paraId="50DE6B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CE85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企业信息管理-工业产品企业信息管理-企业产品信息管理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F219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对应产品质量安全监管子系统中产品信息的管理，企业可以查看自己产品信息，维护生产和销售产品的信息，以及按监管部门要求提报的其它类型的产品数据。</w:t>
            </w:r>
          </w:p>
        </w:tc>
      </w:tr>
      <w:tr w14:paraId="7356910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F029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567</w:t>
            </w:r>
          </w:p>
        </w:tc>
        <w:tc>
          <w:tcPr>
            <w:tcW w:w="491" w:type="pct"/>
            <w:tcBorders>
              <w:top w:val="nil"/>
              <w:left w:val="nil"/>
              <w:bottom w:val="single" w:color="000000" w:sz="4" w:space="0"/>
              <w:right w:val="single" w:color="000000" w:sz="4" w:space="0"/>
            </w:tcBorders>
            <w:shd w:val="clear" w:color="auto" w:fill="auto"/>
            <w:vAlign w:val="center"/>
          </w:tcPr>
          <w:p w14:paraId="1B756D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F557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企业信息管理-工业产品企业信息管理-企业规模信息核查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1C72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提供企业规模核查核查功能，核查信息项：经营地址、从业人员、营业收入、企业领域、企业产品等信息，支持对核查信息项进行更新维护。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Ø领域类型选择：获取企业类型并显示。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Ø从业人员选择：根据企业领域类型，展示不同从业人员区间选择。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Ø营业收入选择：根据企业领域类型，展示不同营业收入区间选择。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Ø自动判断企业类型：根据企业领域类型、从业人员、营业收入自动判断企业级别。</w:t>
            </w:r>
          </w:p>
        </w:tc>
      </w:tr>
      <w:tr w14:paraId="167DB0B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B06C3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568</w:t>
            </w:r>
          </w:p>
        </w:tc>
        <w:tc>
          <w:tcPr>
            <w:tcW w:w="491" w:type="pct"/>
            <w:tcBorders>
              <w:top w:val="nil"/>
              <w:left w:val="nil"/>
              <w:bottom w:val="single" w:color="000000" w:sz="4" w:space="0"/>
              <w:right w:val="single" w:color="000000" w:sz="4" w:space="0"/>
            </w:tcBorders>
            <w:shd w:val="clear" w:color="auto" w:fill="auto"/>
            <w:vAlign w:val="center"/>
          </w:tcPr>
          <w:p w14:paraId="2D8EF4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546A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企业信息管理-从业人员信息管理-角色岗位-基本信息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7EBF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企业从业人员基础信息，姓名，手机号，身份证信息等。</w:t>
            </w:r>
          </w:p>
        </w:tc>
      </w:tr>
      <w:tr w14:paraId="6DE37DF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F0F1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569</w:t>
            </w:r>
          </w:p>
        </w:tc>
        <w:tc>
          <w:tcPr>
            <w:tcW w:w="491" w:type="pct"/>
            <w:tcBorders>
              <w:top w:val="nil"/>
              <w:left w:val="nil"/>
              <w:bottom w:val="single" w:color="000000" w:sz="4" w:space="0"/>
              <w:right w:val="single" w:color="000000" w:sz="4" w:space="0"/>
            </w:tcBorders>
            <w:shd w:val="clear" w:color="auto" w:fill="auto"/>
            <w:vAlign w:val="center"/>
          </w:tcPr>
          <w:p w14:paraId="2C6930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7431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企业信息管理-从业人员信息管理-角色岗位-赋权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AEE0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企业对从业人员赋权角色，如食品安全总监，食品安全员。</w:t>
            </w:r>
          </w:p>
        </w:tc>
      </w:tr>
      <w:tr w14:paraId="1F650F4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63A5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570</w:t>
            </w:r>
          </w:p>
        </w:tc>
        <w:tc>
          <w:tcPr>
            <w:tcW w:w="491" w:type="pct"/>
            <w:tcBorders>
              <w:top w:val="nil"/>
              <w:left w:val="nil"/>
              <w:bottom w:val="single" w:color="000000" w:sz="4" w:space="0"/>
              <w:right w:val="single" w:color="000000" w:sz="4" w:space="0"/>
            </w:tcBorders>
            <w:shd w:val="clear" w:color="auto" w:fill="auto"/>
            <w:vAlign w:val="center"/>
          </w:tcPr>
          <w:p w14:paraId="48CD16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F404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企业信息管理-从业人员信息管理-一人一档-信息归集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64C8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食品从业人员信息归集包含：食品人员健康证健康证信息、在线培训记录信息、抽查考核记录信息。</w:t>
            </w:r>
          </w:p>
        </w:tc>
      </w:tr>
      <w:tr w14:paraId="0667F9E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0736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571</w:t>
            </w:r>
          </w:p>
        </w:tc>
        <w:tc>
          <w:tcPr>
            <w:tcW w:w="491" w:type="pct"/>
            <w:tcBorders>
              <w:top w:val="nil"/>
              <w:left w:val="nil"/>
              <w:bottom w:val="single" w:color="000000" w:sz="4" w:space="0"/>
              <w:right w:val="single" w:color="000000" w:sz="4" w:space="0"/>
            </w:tcBorders>
            <w:shd w:val="clear" w:color="auto" w:fill="auto"/>
            <w:vAlign w:val="center"/>
          </w:tcPr>
          <w:p w14:paraId="46BD4A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CDC9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主体责任-安全人员管理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C6BD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1.食品安全总监、食品安全员信息维护管理。选择食品企业从业人员进行任命，包含食品总监，食品安全员，食品质量安全受权人，上传人员任命书、人员照片。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2.工业产品企业质量安全管理人员信息管理：企业纳入主体责任库后，可对企业负责人、企业质量安全总监、企业质量安全员信息进行维护。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Ø维护主体责任库企业负责人，录入信息项：姓名、电话，如果企业负责人发生变更，需要在系统中进行维护。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Ø维护主体责任库企业质量安全总监，录入信息项：姓名、电话，如果企业质量安全总监发生变更，需要在系统中进行维护。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Ø维护主体责任库企业质量安全员，录入信息项：姓名、电话，如果企业质量安全员发生变更，需要在系统中进行维护。</w:t>
            </w:r>
          </w:p>
        </w:tc>
      </w:tr>
      <w:tr w14:paraId="23C3CD5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EBF6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572</w:t>
            </w:r>
          </w:p>
        </w:tc>
        <w:tc>
          <w:tcPr>
            <w:tcW w:w="491" w:type="pct"/>
            <w:tcBorders>
              <w:top w:val="nil"/>
              <w:left w:val="nil"/>
              <w:bottom w:val="single" w:color="000000" w:sz="4" w:space="0"/>
              <w:right w:val="single" w:color="000000" w:sz="4" w:space="0"/>
            </w:tcBorders>
            <w:shd w:val="clear" w:color="auto" w:fill="auto"/>
            <w:vAlign w:val="center"/>
          </w:tcPr>
          <w:p w14:paraId="404956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81F0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主体责任-食品企业主体责任落实-食品安全管理制度管理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E679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1.企业上传维护《食品安全总监职责》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2.企业上传维护《食品安全员守则》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3.企业上传维护《日管控、周排查、月调度工作制度》</w:t>
            </w:r>
          </w:p>
        </w:tc>
      </w:tr>
      <w:tr w14:paraId="51A4A26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A8CD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573</w:t>
            </w:r>
          </w:p>
        </w:tc>
        <w:tc>
          <w:tcPr>
            <w:tcW w:w="491" w:type="pct"/>
            <w:tcBorders>
              <w:top w:val="nil"/>
              <w:left w:val="nil"/>
              <w:bottom w:val="single" w:color="000000" w:sz="4" w:space="0"/>
              <w:right w:val="single" w:color="000000" w:sz="4" w:space="0"/>
            </w:tcBorders>
            <w:shd w:val="clear" w:color="auto" w:fill="auto"/>
            <w:vAlign w:val="center"/>
          </w:tcPr>
          <w:p w14:paraId="4BDCE9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08AB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主体责任-食品企业主体责任落实-食品安全风险管控清单管理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9906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维护《食品安全风险管控清单》，可进行版本控制动态管理，根据餐饮、特食、生产、销售不同企业类型填写相应内容，每类可维护多级、多项风险管控项，并支持风险清单的版本管理及历史版本对应。风险管控清单包含字段项：风险环节、序号、检查项目、可能存在的风险因素、风险等级、检查方法、控制措施。</w:t>
            </w:r>
          </w:p>
        </w:tc>
      </w:tr>
      <w:tr w14:paraId="2774A3B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F836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574</w:t>
            </w:r>
          </w:p>
        </w:tc>
        <w:tc>
          <w:tcPr>
            <w:tcW w:w="491" w:type="pct"/>
            <w:tcBorders>
              <w:top w:val="nil"/>
              <w:left w:val="nil"/>
              <w:bottom w:val="single" w:color="000000" w:sz="4" w:space="0"/>
              <w:right w:val="single" w:color="000000" w:sz="4" w:space="0"/>
            </w:tcBorders>
            <w:shd w:val="clear" w:color="auto" w:fill="auto"/>
            <w:vAlign w:val="center"/>
          </w:tcPr>
          <w:p w14:paraId="543D32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C3C2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主体责任-食品企业主体责任落实-企业自查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1353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1.日管控。企业填报日管控表单，增删改查；根据餐饮、特食、生产、销售不同企业类型填写相应内容。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2.周排查。企业填报周排查表单，增删改查；根据餐饮、特食、生产、销售不同企业类型填写相应内容。新增周排查，获取日管控异常信息并计算发现问题项次数，获取日管控发现的问题及解决方法。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月调度。企业填报月调度表单，增删改查；根据餐饮、特食、生产、销售不同企业类型填写相应内容。新增月调度，获取日管控和周排查信息，如日管控发现的问题及解决方法、周排查问题出现的原因分析、整改措施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4.生成PDF版日管控、周排查、月调度记录，支持导出。</w:t>
            </w:r>
          </w:p>
        </w:tc>
      </w:tr>
      <w:tr w14:paraId="17848F1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B873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575</w:t>
            </w:r>
          </w:p>
        </w:tc>
        <w:tc>
          <w:tcPr>
            <w:tcW w:w="491" w:type="pct"/>
            <w:tcBorders>
              <w:top w:val="nil"/>
              <w:left w:val="nil"/>
              <w:bottom w:val="single" w:color="000000" w:sz="4" w:space="0"/>
              <w:right w:val="single" w:color="000000" w:sz="4" w:space="0"/>
            </w:tcBorders>
            <w:shd w:val="clear" w:color="auto" w:fill="auto"/>
            <w:vAlign w:val="center"/>
          </w:tcPr>
          <w:p w14:paraId="7F2190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A16C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主体责任-食品企业主体责任落实-年度自查报告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D94D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企业填报年度自查报告，增删改查；提供模板下载。</w:t>
            </w:r>
          </w:p>
        </w:tc>
      </w:tr>
      <w:tr w14:paraId="36CA242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72C2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576</w:t>
            </w:r>
          </w:p>
        </w:tc>
        <w:tc>
          <w:tcPr>
            <w:tcW w:w="491" w:type="pct"/>
            <w:tcBorders>
              <w:top w:val="nil"/>
              <w:left w:val="nil"/>
              <w:bottom w:val="single" w:color="000000" w:sz="4" w:space="0"/>
              <w:right w:val="single" w:color="000000" w:sz="4" w:space="0"/>
            </w:tcBorders>
            <w:shd w:val="clear" w:color="auto" w:fill="auto"/>
            <w:vAlign w:val="center"/>
          </w:tcPr>
          <w:p w14:paraId="749590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D5F1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主体责任-食品企业主体责任落实-事故处置方案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A9CA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企业填报事故处置方案，增删改查；提供模板下载。</w:t>
            </w:r>
          </w:p>
        </w:tc>
      </w:tr>
      <w:tr w14:paraId="1CAF683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D8F6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577</w:t>
            </w:r>
          </w:p>
        </w:tc>
        <w:tc>
          <w:tcPr>
            <w:tcW w:w="491" w:type="pct"/>
            <w:tcBorders>
              <w:top w:val="nil"/>
              <w:left w:val="nil"/>
              <w:bottom w:val="single" w:color="000000" w:sz="4" w:space="0"/>
              <w:right w:val="single" w:color="000000" w:sz="4" w:space="0"/>
            </w:tcBorders>
            <w:shd w:val="clear" w:color="auto" w:fill="auto"/>
            <w:vAlign w:val="center"/>
          </w:tcPr>
          <w:p w14:paraId="3573B2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98B9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主体责任-食品企业主体责任落实-第三方平台主体责任接口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09D7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获取企业自建系统主体责任信息</w:t>
            </w:r>
          </w:p>
        </w:tc>
      </w:tr>
      <w:tr w14:paraId="5250B6C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3DCA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578</w:t>
            </w:r>
          </w:p>
        </w:tc>
        <w:tc>
          <w:tcPr>
            <w:tcW w:w="491" w:type="pct"/>
            <w:tcBorders>
              <w:top w:val="nil"/>
              <w:left w:val="nil"/>
              <w:bottom w:val="single" w:color="000000" w:sz="4" w:space="0"/>
              <w:right w:val="single" w:color="000000" w:sz="4" w:space="0"/>
            </w:tcBorders>
            <w:shd w:val="clear" w:color="auto" w:fill="auto"/>
            <w:vAlign w:val="center"/>
          </w:tcPr>
          <w:p w14:paraId="2D7BD2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4AF4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主体责任-特种设备企业主体责任落实-隐患排查整改-未贴码设备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957F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未贴码设备：对本企业未贴码的特种设备进行查看、反馈整改结果。</w:t>
            </w:r>
          </w:p>
        </w:tc>
      </w:tr>
      <w:tr w14:paraId="350E900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806B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579</w:t>
            </w:r>
          </w:p>
        </w:tc>
        <w:tc>
          <w:tcPr>
            <w:tcW w:w="491" w:type="pct"/>
            <w:tcBorders>
              <w:top w:val="nil"/>
              <w:left w:val="nil"/>
              <w:bottom w:val="single" w:color="000000" w:sz="4" w:space="0"/>
              <w:right w:val="single" w:color="000000" w:sz="4" w:space="0"/>
            </w:tcBorders>
            <w:shd w:val="clear" w:color="auto" w:fill="auto"/>
            <w:vAlign w:val="center"/>
          </w:tcPr>
          <w:p w14:paraId="42AE8F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B4C3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主体责任-特种设备企业主体责任落实-隐患排查整改-待维保设备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BD8E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1.特种设备对于在用设备的维护保养有硬性指标规定其保养周期，依据规则计算待维保设备；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2.企业对待维保设备进行查看、反馈整改结果。</w:t>
            </w:r>
          </w:p>
        </w:tc>
      </w:tr>
      <w:tr w14:paraId="725CB0C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B8CD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580</w:t>
            </w:r>
          </w:p>
        </w:tc>
        <w:tc>
          <w:tcPr>
            <w:tcW w:w="491" w:type="pct"/>
            <w:tcBorders>
              <w:top w:val="nil"/>
              <w:left w:val="nil"/>
              <w:bottom w:val="single" w:color="000000" w:sz="4" w:space="0"/>
              <w:right w:val="single" w:color="000000" w:sz="4" w:space="0"/>
            </w:tcBorders>
            <w:shd w:val="clear" w:color="auto" w:fill="auto"/>
            <w:vAlign w:val="center"/>
          </w:tcPr>
          <w:p w14:paraId="6EB6BA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310BB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主体责任-特种设备企业主体责任落实-隐患排查整改-脱保电梯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E564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1.推送脱保电梯信息至使用单位；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2.使用单位对脱保电梯进行查看、反馈整改结果。</w:t>
            </w:r>
          </w:p>
        </w:tc>
      </w:tr>
      <w:tr w14:paraId="598D99C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F6D1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581</w:t>
            </w:r>
          </w:p>
        </w:tc>
        <w:tc>
          <w:tcPr>
            <w:tcW w:w="491" w:type="pct"/>
            <w:tcBorders>
              <w:top w:val="nil"/>
              <w:left w:val="nil"/>
              <w:bottom w:val="single" w:color="000000" w:sz="4" w:space="0"/>
              <w:right w:val="single" w:color="000000" w:sz="4" w:space="0"/>
            </w:tcBorders>
            <w:shd w:val="clear" w:color="auto" w:fill="auto"/>
            <w:vAlign w:val="center"/>
          </w:tcPr>
          <w:p w14:paraId="5FD7D9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C7BD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主体责任-特种设备企业主体责任落实-隐患排查整改-维保超期工单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7AFAD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1.特种设备对于在用设备的维护保养有硬性指标规定其保养周期，依据规则计算维保超期设备；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2.企业对待维保设备进行企业对待维保设备进行查看、反馈整改结果。</w:t>
            </w:r>
          </w:p>
        </w:tc>
      </w:tr>
      <w:tr w14:paraId="5C36E7B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50E5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582</w:t>
            </w:r>
          </w:p>
        </w:tc>
        <w:tc>
          <w:tcPr>
            <w:tcW w:w="491" w:type="pct"/>
            <w:tcBorders>
              <w:top w:val="nil"/>
              <w:left w:val="nil"/>
              <w:bottom w:val="single" w:color="000000" w:sz="4" w:space="0"/>
              <w:right w:val="single" w:color="000000" w:sz="4" w:space="0"/>
            </w:tcBorders>
            <w:shd w:val="clear" w:color="auto" w:fill="auto"/>
            <w:vAlign w:val="center"/>
          </w:tcPr>
          <w:p w14:paraId="427585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9742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主体责任-特种设备企业主体责任落实-隐患排查整改-超期未维保设备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E7A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1.特种设备对于在用设备的维护保养有硬性指标规定其保养周期，依据规则计算超期未维保设备；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2.企业对待维保设备进行查看、反馈整改结果。</w:t>
            </w:r>
          </w:p>
        </w:tc>
      </w:tr>
      <w:tr w14:paraId="75F046F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638B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583</w:t>
            </w:r>
          </w:p>
        </w:tc>
        <w:tc>
          <w:tcPr>
            <w:tcW w:w="491" w:type="pct"/>
            <w:tcBorders>
              <w:top w:val="nil"/>
              <w:left w:val="nil"/>
              <w:bottom w:val="single" w:color="000000" w:sz="4" w:space="0"/>
              <w:right w:val="single" w:color="000000" w:sz="4" w:space="0"/>
            </w:tcBorders>
            <w:shd w:val="clear" w:color="auto" w:fill="auto"/>
            <w:vAlign w:val="center"/>
          </w:tcPr>
          <w:p w14:paraId="22E307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9232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主体责任-特种设备企业主体责任落实-隐患排查整改-超时救援工单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AA00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对于电梯、客运索道、大型游乐设施这几类特种设备发生困人故障时，均有法律法规定义最长救援时长，超时救援工单将会由系统自动识别并展示，用户可以在系统中查看、导出超时救援工单。</w:t>
            </w:r>
          </w:p>
        </w:tc>
      </w:tr>
      <w:tr w14:paraId="174FD39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DEAD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584</w:t>
            </w:r>
          </w:p>
        </w:tc>
        <w:tc>
          <w:tcPr>
            <w:tcW w:w="491" w:type="pct"/>
            <w:tcBorders>
              <w:top w:val="nil"/>
              <w:left w:val="nil"/>
              <w:bottom w:val="single" w:color="000000" w:sz="4" w:space="0"/>
              <w:right w:val="single" w:color="000000" w:sz="4" w:space="0"/>
            </w:tcBorders>
            <w:shd w:val="clear" w:color="auto" w:fill="auto"/>
            <w:vAlign w:val="center"/>
          </w:tcPr>
          <w:p w14:paraId="02A923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B569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主体责任-特种设备企业主体责任落实-隐患排查整改-超期未检验设备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949C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特种设备按照类别、种类、使用年限等因素影响都有定期检验检测的法律规定，超期未检设备不允许使用，预警展示超期未检设备，便于使用企业及时申报检验。企业可查看、反馈整改结果。</w:t>
            </w:r>
          </w:p>
        </w:tc>
      </w:tr>
      <w:tr w14:paraId="403AA43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760C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585</w:t>
            </w:r>
          </w:p>
        </w:tc>
        <w:tc>
          <w:tcPr>
            <w:tcW w:w="491" w:type="pct"/>
            <w:tcBorders>
              <w:top w:val="nil"/>
              <w:left w:val="nil"/>
              <w:bottom w:val="single" w:color="000000" w:sz="4" w:space="0"/>
              <w:right w:val="single" w:color="000000" w:sz="4" w:space="0"/>
            </w:tcBorders>
            <w:shd w:val="clear" w:color="auto" w:fill="auto"/>
            <w:vAlign w:val="center"/>
          </w:tcPr>
          <w:p w14:paraId="07D985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DED2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主体责任-特种设备企业主体责任落实-隐患排查整改-检验检测不合格</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3E40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检验检测不合格的特种设备不允许使用，预警展示将检验检测不合格的设备，便于企业整改复检。企业可查看、反馈整改结果。</w:t>
            </w:r>
          </w:p>
        </w:tc>
      </w:tr>
      <w:tr w14:paraId="04A35DD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B992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586</w:t>
            </w:r>
          </w:p>
        </w:tc>
        <w:tc>
          <w:tcPr>
            <w:tcW w:w="491" w:type="pct"/>
            <w:tcBorders>
              <w:top w:val="nil"/>
              <w:left w:val="nil"/>
              <w:bottom w:val="single" w:color="000000" w:sz="4" w:space="0"/>
              <w:right w:val="single" w:color="000000" w:sz="4" w:space="0"/>
            </w:tcBorders>
            <w:shd w:val="clear" w:color="auto" w:fill="auto"/>
            <w:vAlign w:val="center"/>
          </w:tcPr>
          <w:p w14:paraId="7E2EEE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8D77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主体责任-特种设备企业主体责任落实-隐患排查整改-人员资质异常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2F9C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企业申请单位资质时对于作业人员数量、技术人员数量均有明确要求，当企业在备案系统中录入的各类人员数量不满足公司已有资质要求的最低人数要求是自动预警。企业可查看、反馈整改结果。</w:t>
            </w:r>
          </w:p>
        </w:tc>
      </w:tr>
      <w:tr w14:paraId="4158C2D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5357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587</w:t>
            </w:r>
          </w:p>
        </w:tc>
        <w:tc>
          <w:tcPr>
            <w:tcW w:w="491" w:type="pct"/>
            <w:tcBorders>
              <w:top w:val="nil"/>
              <w:left w:val="nil"/>
              <w:bottom w:val="single" w:color="000000" w:sz="4" w:space="0"/>
              <w:right w:val="single" w:color="000000" w:sz="4" w:space="0"/>
            </w:tcBorders>
            <w:shd w:val="clear" w:color="auto" w:fill="auto"/>
            <w:vAlign w:val="center"/>
          </w:tcPr>
          <w:p w14:paraId="3A402B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C61F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主体责任-特种设备企业主体责任落实-隐患排查整改-单位资质异常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AC2D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单位资质超出有效期未续期且还在有各类特种设备工单产生的情况，系统将自动识别违规行为并预警。企业可查看、反馈整改结果。</w:t>
            </w:r>
          </w:p>
        </w:tc>
      </w:tr>
      <w:tr w14:paraId="7BD8281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3763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588</w:t>
            </w:r>
          </w:p>
        </w:tc>
        <w:tc>
          <w:tcPr>
            <w:tcW w:w="491" w:type="pct"/>
            <w:tcBorders>
              <w:top w:val="nil"/>
              <w:left w:val="nil"/>
              <w:bottom w:val="single" w:color="000000" w:sz="4" w:space="0"/>
              <w:right w:val="single" w:color="000000" w:sz="4" w:space="0"/>
            </w:tcBorders>
            <w:shd w:val="clear" w:color="auto" w:fill="auto"/>
            <w:vAlign w:val="center"/>
          </w:tcPr>
          <w:p w14:paraId="38F8FA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9CF8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主体责任-特种设备企业主体责任落实-隐患排查整改-监管发现问题</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F9CA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监察人员在监管工作中发现的问题将会以问题工单的形式推送给企业管理员，企业内部需要尽快处置并实现闭环，主要就是接收监管发现的问题，企业可查看、反馈整改结果。</w:t>
            </w:r>
          </w:p>
        </w:tc>
      </w:tr>
      <w:tr w14:paraId="5B77BEB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87E3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589</w:t>
            </w:r>
          </w:p>
        </w:tc>
        <w:tc>
          <w:tcPr>
            <w:tcW w:w="491" w:type="pct"/>
            <w:tcBorders>
              <w:top w:val="nil"/>
              <w:left w:val="nil"/>
              <w:bottom w:val="single" w:color="000000" w:sz="4" w:space="0"/>
              <w:right w:val="single" w:color="000000" w:sz="4" w:space="0"/>
            </w:tcBorders>
            <w:shd w:val="clear" w:color="auto" w:fill="auto"/>
            <w:vAlign w:val="center"/>
          </w:tcPr>
          <w:p w14:paraId="2E2740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CF7A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主体责任-特种设备企业主体责任落实-巡查管理-巡查整改工单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9858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1.根据监管巡查问题归集特种设备巡查整改工单，内容包括：整改事项、整改图片、整改视频，接收监察的整改确认结果；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2.对监察巡查工单进行查看，包括巡查机关、巡查时间、问题事项、整改状态等。</w:t>
            </w:r>
          </w:p>
        </w:tc>
      </w:tr>
      <w:tr w14:paraId="3A5456E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DD8A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590</w:t>
            </w:r>
          </w:p>
        </w:tc>
        <w:tc>
          <w:tcPr>
            <w:tcW w:w="491" w:type="pct"/>
            <w:tcBorders>
              <w:top w:val="nil"/>
              <w:left w:val="nil"/>
              <w:bottom w:val="single" w:color="000000" w:sz="4" w:space="0"/>
              <w:right w:val="single" w:color="000000" w:sz="4" w:space="0"/>
            </w:tcBorders>
            <w:shd w:val="clear" w:color="auto" w:fill="auto"/>
            <w:vAlign w:val="center"/>
          </w:tcPr>
          <w:p w14:paraId="1D0A52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19A7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主体责任-特种设备企业主体责任落实-业务管理-按需维保管理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39C5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对已进行按需维保的和申请中的种特种设备进行管理查询。</w:t>
            </w:r>
          </w:p>
        </w:tc>
      </w:tr>
      <w:tr w14:paraId="0D28816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977E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591</w:t>
            </w:r>
          </w:p>
        </w:tc>
        <w:tc>
          <w:tcPr>
            <w:tcW w:w="491" w:type="pct"/>
            <w:tcBorders>
              <w:top w:val="nil"/>
              <w:left w:val="nil"/>
              <w:bottom w:val="single" w:color="000000" w:sz="4" w:space="0"/>
              <w:right w:val="single" w:color="000000" w:sz="4" w:space="0"/>
            </w:tcBorders>
            <w:shd w:val="clear" w:color="auto" w:fill="auto"/>
            <w:vAlign w:val="center"/>
          </w:tcPr>
          <w:p w14:paraId="5ECB2B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4F21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主体责任-特种设备企业主体责任落实-业务管理-意见建议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D5C6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1.企业用户上报特种设备相关意见建议到监察；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2.接收监察反馈的结果。</w:t>
            </w:r>
          </w:p>
        </w:tc>
      </w:tr>
      <w:tr w14:paraId="4078472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F94A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592</w:t>
            </w:r>
          </w:p>
        </w:tc>
        <w:tc>
          <w:tcPr>
            <w:tcW w:w="491" w:type="pct"/>
            <w:tcBorders>
              <w:top w:val="nil"/>
              <w:left w:val="nil"/>
              <w:bottom w:val="single" w:color="000000" w:sz="4" w:space="0"/>
              <w:right w:val="single" w:color="000000" w:sz="4" w:space="0"/>
            </w:tcBorders>
            <w:shd w:val="clear" w:color="auto" w:fill="auto"/>
            <w:vAlign w:val="center"/>
          </w:tcPr>
          <w:p w14:paraId="27ACC5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A1083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主体责任-特种设备企业主体责任落实-业务管理-压力管道安全信息上报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9C2D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1.通过录入或按上传模板批量上传压力管道数据，包括使用单位名称、管段名称、管道长度等，提交给检验人员确认，形成确认业务流。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2.支持更新管道数据信息，并生成数据更新日志记录，提供查询日志功能。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3.对录入上传的数据进行数据分析，形成智能告警预警。</w:t>
            </w:r>
          </w:p>
        </w:tc>
      </w:tr>
      <w:tr w14:paraId="3B61C90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4F56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593</w:t>
            </w:r>
          </w:p>
        </w:tc>
        <w:tc>
          <w:tcPr>
            <w:tcW w:w="491" w:type="pct"/>
            <w:tcBorders>
              <w:top w:val="nil"/>
              <w:left w:val="nil"/>
              <w:bottom w:val="single" w:color="000000" w:sz="4" w:space="0"/>
              <w:right w:val="single" w:color="000000" w:sz="4" w:space="0"/>
            </w:tcBorders>
            <w:shd w:val="clear" w:color="auto" w:fill="auto"/>
            <w:vAlign w:val="center"/>
          </w:tcPr>
          <w:p w14:paraId="3BC2AF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D19D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主体责任-特种设备企业主体责任落实-业务管理-锅炉安全信息上报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97FA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锅炉安全附件（安全阀是否在校验有效期内、压力表是否在检定有效期内），需企业自行录入安全阀、安全装置相关信息</w:t>
            </w:r>
          </w:p>
        </w:tc>
      </w:tr>
      <w:tr w14:paraId="0F2B78A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68E8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594</w:t>
            </w:r>
          </w:p>
        </w:tc>
        <w:tc>
          <w:tcPr>
            <w:tcW w:w="491" w:type="pct"/>
            <w:tcBorders>
              <w:top w:val="nil"/>
              <w:left w:val="nil"/>
              <w:bottom w:val="single" w:color="000000" w:sz="4" w:space="0"/>
              <w:right w:val="single" w:color="000000" w:sz="4" w:space="0"/>
            </w:tcBorders>
            <w:shd w:val="clear" w:color="auto" w:fill="auto"/>
            <w:vAlign w:val="center"/>
          </w:tcPr>
          <w:p w14:paraId="20BADE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F4AC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主体责任-特种设备企业主体责任落实-业务管理-全维度查询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7888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设备、单位、人员、主体责任、检验检测、维保、日常巡检、救援、急修、专项任务、信用评价、监督检查、公众监督等全维度提供数据查询。</w:t>
            </w:r>
          </w:p>
        </w:tc>
      </w:tr>
      <w:tr w14:paraId="6B2CD35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C12B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595</w:t>
            </w:r>
          </w:p>
        </w:tc>
        <w:tc>
          <w:tcPr>
            <w:tcW w:w="491" w:type="pct"/>
            <w:tcBorders>
              <w:top w:val="nil"/>
              <w:left w:val="nil"/>
              <w:bottom w:val="single" w:color="000000" w:sz="4" w:space="0"/>
              <w:right w:val="single" w:color="000000" w:sz="4" w:space="0"/>
            </w:tcBorders>
            <w:shd w:val="clear" w:color="auto" w:fill="auto"/>
            <w:vAlign w:val="center"/>
          </w:tcPr>
          <w:p w14:paraId="3AAF0F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0351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主体责任-特种设备企业主体责任落实-业务管理-检验检测在线申报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639A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1.企业选择检验检测业务类型、设备种类和建议监察机构类型进行申报；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2.对接检验检测申报入口。</w:t>
            </w:r>
          </w:p>
        </w:tc>
      </w:tr>
      <w:tr w14:paraId="4733D81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B55C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596</w:t>
            </w:r>
          </w:p>
        </w:tc>
        <w:tc>
          <w:tcPr>
            <w:tcW w:w="491" w:type="pct"/>
            <w:tcBorders>
              <w:top w:val="nil"/>
              <w:left w:val="nil"/>
              <w:bottom w:val="single" w:color="000000" w:sz="4" w:space="0"/>
              <w:right w:val="single" w:color="000000" w:sz="4" w:space="0"/>
            </w:tcBorders>
            <w:shd w:val="clear" w:color="auto" w:fill="auto"/>
            <w:vAlign w:val="center"/>
          </w:tcPr>
          <w:p w14:paraId="15B79E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35C7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主体责任-特种设备企业主体责任落实-业务管理-压力管道年报确认管理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2923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1、查询统计企业内的压力管道信息；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2、上传或修改管道信息，并提交至检验检测机构确认，形成确认业务流。</w:t>
            </w:r>
          </w:p>
        </w:tc>
      </w:tr>
      <w:tr w14:paraId="3B275B1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F691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597</w:t>
            </w:r>
          </w:p>
        </w:tc>
        <w:tc>
          <w:tcPr>
            <w:tcW w:w="491" w:type="pct"/>
            <w:tcBorders>
              <w:top w:val="nil"/>
              <w:left w:val="nil"/>
              <w:bottom w:val="single" w:color="000000" w:sz="4" w:space="0"/>
              <w:right w:val="single" w:color="000000" w:sz="4" w:space="0"/>
            </w:tcBorders>
            <w:shd w:val="clear" w:color="auto" w:fill="auto"/>
            <w:vAlign w:val="center"/>
          </w:tcPr>
          <w:p w14:paraId="502D22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7E36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主体责任-特种设备企业主体责任落实-业务管理-检验检测工单综合查询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B104B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用户根据已报检的设备进入到相关检验进度查询入口，并查看到检验是否受理、报告出具情况等。</w:t>
            </w:r>
          </w:p>
        </w:tc>
      </w:tr>
      <w:tr w14:paraId="6A89D11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DE5F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598</w:t>
            </w:r>
          </w:p>
        </w:tc>
        <w:tc>
          <w:tcPr>
            <w:tcW w:w="491" w:type="pct"/>
            <w:tcBorders>
              <w:top w:val="nil"/>
              <w:left w:val="nil"/>
              <w:bottom w:val="single" w:color="000000" w:sz="4" w:space="0"/>
              <w:right w:val="single" w:color="000000" w:sz="4" w:space="0"/>
            </w:tcBorders>
            <w:shd w:val="clear" w:color="auto" w:fill="auto"/>
            <w:vAlign w:val="center"/>
          </w:tcPr>
          <w:p w14:paraId="40FE57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733B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主体责任-特种设备企业主体责任落实-业务管理-检验检测报告下载打印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B15E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企业对名下绑定设备的检验检测报告及合格证进行在线下载打印等操作。</w:t>
            </w:r>
          </w:p>
        </w:tc>
      </w:tr>
      <w:tr w14:paraId="4C1DFDB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281D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599</w:t>
            </w:r>
          </w:p>
        </w:tc>
        <w:tc>
          <w:tcPr>
            <w:tcW w:w="491" w:type="pct"/>
            <w:tcBorders>
              <w:top w:val="nil"/>
              <w:left w:val="nil"/>
              <w:bottom w:val="single" w:color="000000" w:sz="4" w:space="0"/>
              <w:right w:val="single" w:color="000000" w:sz="4" w:space="0"/>
            </w:tcBorders>
            <w:shd w:val="clear" w:color="auto" w:fill="auto"/>
            <w:vAlign w:val="center"/>
          </w:tcPr>
          <w:p w14:paraId="51F7FB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6B7A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主体责任-工业产品企业主体责任落实-快速检测落实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4012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Ø报告查询：提供企业查询本单位的检验报告信息，可查看报告详情。支持一键生成电子抽样单及检验报告。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Ø报告查询（移动端)：提供企业查询本单位的检验报告信息，可查看报告详情。支持一键生成电子抽样单及检验报告。</w:t>
            </w:r>
          </w:p>
        </w:tc>
      </w:tr>
      <w:tr w14:paraId="11F0777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59C2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600</w:t>
            </w:r>
          </w:p>
        </w:tc>
        <w:tc>
          <w:tcPr>
            <w:tcW w:w="491" w:type="pct"/>
            <w:tcBorders>
              <w:top w:val="nil"/>
              <w:left w:val="nil"/>
              <w:bottom w:val="single" w:color="000000" w:sz="4" w:space="0"/>
              <w:right w:val="single" w:color="000000" w:sz="4" w:space="0"/>
            </w:tcBorders>
            <w:shd w:val="clear" w:color="auto" w:fill="auto"/>
            <w:vAlign w:val="center"/>
          </w:tcPr>
          <w:p w14:paraId="43D72B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A4EE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主体责任-工业产品企业主体责任落实-风险监测落实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6759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Ø报告查询：提供企业查询、下载本单位的检验报告信息，可查看报告详情。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Ø隐患整改：隐患整改完成后，企业通过本功能向市场监管部门反馈整改结果。选择市场监管部门提出的整改意见，填写整改结果，并上传证明材料和相关截图文件，完成整改信息反馈。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Ø隐患整改信息查询：企业可查看历次整改过程及其相关整改信息。企业通过整改标题、整改意见内容、整改时间为条件，查询历次整改过程中的整改信息。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Ø报告查询（移动端)：提供企业查询、下载本单位的检验报告信息，可查看报告详情。</w:t>
            </w:r>
          </w:p>
        </w:tc>
      </w:tr>
      <w:tr w14:paraId="66EE911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24D3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601</w:t>
            </w:r>
          </w:p>
        </w:tc>
        <w:tc>
          <w:tcPr>
            <w:tcW w:w="491" w:type="pct"/>
            <w:tcBorders>
              <w:top w:val="nil"/>
              <w:left w:val="nil"/>
              <w:bottom w:val="single" w:color="000000" w:sz="4" w:space="0"/>
              <w:right w:val="single" w:color="000000" w:sz="4" w:space="0"/>
            </w:tcBorders>
            <w:shd w:val="clear" w:color="auto" w:fill="auto"/>
            <w:vAlign w:val="center"/>
          </w:tcPr>
          <w:p w14:paraId="0CCBD3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8244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主体责任-工业产品企业主体责任落实-专项检查落实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9025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对应产品质量安全监管子系统中，面向针对企业的专项检查所涉及的风险隐患信息交互（如报告查询查看）、治理整改进度提交等的需求，提供所需软件功能。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系统按实际需求，形式可包含移动端和PC端等。</w:t>
            </w:r>
          </w:p>
        </w:tc>
      </w:tr>
      <w:tr w14:paraId="3C9409B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408E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602</w:t>
            </w:r>
          </w:p>
        </w:tc>
        <w:tc>
          <w:tcPr>
            <w:tcW w:w="491" w:type="pct"/>
            <w:tcBorders>
              <w:top w:val="nil"/>
              <w:left w:val="nil"/>
              <w:bottom w:val="single" w:color="000000" w:sz="4" w:space="0"/>
              <w:right w:val="single" w:color="000000" w:sz="4" w:space="0"/>
            </w:tcBorders>
            <w:shd w:val="clear" w:color="auto" w:fill="auto"/>
            <w:vAlign w:val="center"/>
          </w:tcPr>
          <w:p w14:paraId="6CA49D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2CB0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主体责任-工业产品企业主体责任落实-证后监管落实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8CB8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对应产品质量安全监管子系统中，面向针对企业的证后监管所涉及的信息交互（如报告查询查看）、治理整改进度提交等的需求，提供所需软件功能。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系统按实际需求，形式可包含移动端和PC端等。</w:t>
            </w:r>
          </w:p>
        </w:tc>
      </w:tr>
      <w:tr w14:paraId="69CDCDA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4509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603</w:t>
            </w:r>
          </w:p>
        </w:tc>
        <w:tc>
          <w:tcPr>
            <w:tcW w:w="491" w:type="pct"/>
            <w:tcBorders>
              <w:top w:val="nil"/>
              <w:left w:val="nil"/>
              <w:bottom w:val="single" w:color="000000" w:sz="4" w:space="0"/>
              <w:right w:val="single" w:color="000000" w:sz="4" w:space="0"/>
            </w:tcBorders>
            <w:shd w:val="clear" w:color="auto" w:fill="auto"/>
            <w:vAlign w:val="center"/>
          </w:tcPr>
          <w:p w14:paraId="718E7E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9098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主体责任-工业产品企业主体责任落实-线上智能巡检落实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30C3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对应产品质量安全监管子系统中，面向针对企业的线上智能巡检所涉及的风险隐患信息交互（如报告查询查看）、治理整改进度提交等的需求，提供所需软件功能。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系统按实际业务需求，形式可包含移动端或PC端。</w:t>
            </w:r>
          </w:p>
        </w:tc>
      </w:tr>
      <w:tr w14:paraId="44B783D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5792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604</w:t>
            </w:r>
          </w:p>
        </w:tc>
        <w:tc>
          <w:tcPr>
            <w:tcW w:w="491" w:type="pct"/>
            <w:tcBorders>
              <w:top w:val="nil"/>
              <w:left w:val="nil"/>
              <w:bottom w:val="single" w:color="000000" w:sz="4" w:space="0"/>
              <w:right w:val="single" w:color="000000" w:sz="4" w:space="0"/>
            </w:tcBorders>
            <w:shd w:val="clear" w:color="auto" w:fill="auto"/>
            <w:vAlign w:val="center"/>
          </w:tcPr>
          <w:p w14:paraId="159CE8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9E13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食安企业管家-食品信息追溯（升级）-学校食堂追溯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4C6B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学校食堂追溯特定功能，包含菜谱管理、校历管理，学校禁入品管理</w:t>
            </w:r>
          </w:p>
        </w:tc>
      </w:tr>
      <w:tr w14:paraId="14D8AC6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48E2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605</w:t>
            </w:r>
          </w:p>
        </w:tc>
        <w:tc>
          <w:tcPr>
            <w:tcW w:w="491" w:type="pct"/>
            <w:tcBorders>
              <w:top w:val="nil"/>
              <w:left w:val="nil"/>
              <w:bottom w:val="single" w:color="000000" w:sz="4" w:space="0"/>
              <w:right w:val="single" w:color="000000" w:sz="4" w:space="0"/>
            </w:tcBorders>
            <w:shd w:val="clear" w:color="auto" w:fill="auto"/>
            <w:vAlign w:val="center"/>
          </w:tcPr>
          <w:p w14:paraId="3A1914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3B7C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食安企业管家-食品信息追溯（升级）-追溯智能化-零申报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356E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针对企业/学校/机构 特定事件/时间(如企业装修,学校寒暑假等),企业无台账需要上传,但基于二个百分百的统计需求,确保该类企业不影响所/区考核,允许企业进行”零申报”,在不移除底数的前提下,默认企业追溯工作完成情况为”已上传”。 针对时间较长(1个月以上)提供自动零申报功能,确保企业一段时间内无需手工上报。</w:t>
            </w:r>
          </w:p>
        </w:tc>
      </w:tr>
      <w:tr w14:paraId="26DBBC8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5A96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606</w:t>
            </w:r>
          </w:p>
        </w:tc>
        <w:tc>
          <w:tcPr>
            <w:tcW w:w="491" w:type="pct"/>
            <w:tcBorders>
              <w:top w:val="nil"/>
              <w:left w:val="nil"/>
              <w:bottom w:val="single" w:color="000000" w:sz="4" w:space="0"/>
              <w:right w:val="single" w:color="000000" w:sz="4" w:space="0"/>
            </w:tcBorders>
            <w:shd w:val="clear" w:color="auto" w:fill="auto"/>
            <w:vAlign w:val="center"/>
          </w:tcPr>
          <w:p w14:paraId="493E37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F6FA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食安企业管家-食品信息追溯（升级）-追溯智能化-自动收货匹配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F396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 上游企业填写销货台账,配送台账涉及下游企业可实现自动收货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 下游企业填写进货台账 涉及上游企业可实现自动销货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 门店挂靠模式，默认自动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 协议单位模式，设置后可自动收/销货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 移动端扫码收货</w:t>
            </w:r>
          </w:p>
        </w:tc>
      </w:tr>
      <w:tr w14:paraId="053EB1C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DD86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607</w:t>
            </w:r>
          </w:p>
        </w:tc>
        <w:tc>
          <w:tcPr>
            <w:tcW w:w="491" w:type="pct"/>
            <w:tcBorders>
              <w:top w:val="nil"/>
              <w:left w:val="nil"/>
              <w:bottom w:val="single" w:color="000000" w:sz="4" w:space="0"/>
              <w:right w:val="single" w:color="000000" w:sz="4" w:space="0"/>
            </w:tcBorders>
            <w:shd w:val="clear" w:color="auto" w:fill="auto"/>
            <w:vAlign w:val="center"/>
          </w:tcPr>
          <w:p w14:paraId="0B8A34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0A29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食安企业管家-食品信息追溯（升级）-追溯智能化-企业许可智能纠错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E2BB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为保证企业正常使用追溯平台，增加企业许可信息智能纠错，针对食品许可库中企业名称，区，所，许可证号，企业统一码等信息允许手工调整，并确保各业务功能优先使用改扩展修复功能</w:t>
            </w:r>
          </w:p>
        </w:tc>
      </w:tr>
      <w:tr w14:paraId="17B4401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36E8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608</w:t>
            </w:r>
          </w:p>
        </w:tc>
        <w:tc>
          <w:tcPr>
            <w:tcW w:w="491" w:type="pct"/>
            <w:tcBorders>
              <w:top w:val="nil"/>
              <w:left w:val="nil"/>
              <w:bottom w:val="single" w:color="000000" w:sz="4" w:space="0"/>
              <w:right w:val="single" w:color="000000" w:sz="4" w:space="0"/>
            </w:tcBorders>
            <w:shd w:val="clear" w:color="auto" w:fill="auto"/>
            <w:vAlign w:val="center"/>
          </w:tcPr>
          <w:p w14:paraId="4276BC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20C7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食安企业管家-食品信息追溯（升级）-追溯智能化-企业登记信息智能纠错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89DB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为保证企业正常使用追溯平台，增加企业登记信息智能纠错，针对食品登记库中企业名称，区，所，企业统一码等信息允许手工调整，并确保各业务功能优先使用改扩展修复功能</w:t>
            </w:r>
          </w:p>
        </w:tc>
      </w:tr>
      <w:tr w14:paraId="601410B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0A80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609</w:t>
            </w:r>
          </w:p>
        </w:tc>
        <w:tc>
          <w:tcPr>
            <w:tcW w:w="491" w:type="pct"/>
            <w:tcBorders>
              <w:top w:val="nil"/>
              <w:left w:val="nil"/>
              <w:bottom w:val="single" w:color="000000" w:sz="4" w:space="0"/>
              <w:right w:val="single" w:color="000000" w:sz="4" w:space="0"/>
            </w:tcBorders>
            <w:shd w:val="clear" w:color="auto" w:fill="auto"/>
            <w:vAlign w:val="center"/>
          </w:tcPr>
          <w:p w14:paraId="22F559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7D72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食安企业管家-食品信息追溯（升级）-食品赋码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A424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 .针对上海生产企业产品，生成二维码（含一品一码，一批一码，一物一码）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 .对接第三方平台/企业赋码基础数据，使用数据统计备案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 生产企业生产过程必要信息录入，包含企业信息，原辅料信息，出厂产品信息，检验合格信息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 生产企业生产过程鼓励信息录入，包含原辅料供应商信息，生产过程控制信息，产品信息，阳光工厂信息，荣誉科普信息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 对接国家物品编码中心，提供GS1标准化二维码，供企业选择使用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 对接随申码（城市码），提供上海标准二维码，供企业选择使用</w:t>
            </w:r>
          </w:p>
        </w:tc>
      </w:tr>
      <w:tr w14:paraId="77F64A3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D27C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610</w:t>
            </w:r>
          </w:p>
        </w:tc>
        <w:tc>
          <w:tcPr>
            <w:tcW w:w="491" w:type="pct"/>
            <w:tcBorders>
              <w:top w:val="nil"/>
              <w:left w:val="nil"/>
              <w:bottom w:val="single" w:color="000000" w:sz="4" w:space="0"/>
              <w:right w:val="single" w:color="000000" w:sz="4" w:space="0"/>
            </w:tcBorders>
            <w:shd w:val="clear" w:color="auto" w:fill="auto"/>
            <w:vAlign w:val="center"/>
          </w:tcPr>
          <w:p w14:paraId="3202C8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E33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食安企业管家-食品信息追溯（升级）-绿色食品一体化（区块链）追溯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383F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 企业针对绿色食品申报登记，提供相关资料证明，该产品在监管端，消费者端，驾驶舱等各项展示内标注绿标产品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 绿色食品上链告知书。确认后完成相关产品台账数据上链，含产品数据，生产台账，进货台账，销货台账</w:t>
            </w:r>
          </w:p>
        </w:tc>
      </w:tr>
      <w:tr w14:paraId="5102DC9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89E6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611</w:t>
            </w:r>
          </w:p>
        </w:tc>
        <w:tc>
          <w:tcPr>
            <w:tcW w:w="491" w:type="pct"/>
            <w:tcBorders>
              <w:top w:val="nil"/>
              <w:left w:val="nil"/>
              <w:bottom w:val="single" w:color="000000" w:sz="4" w:space="0"/>
              <w:right w:val="single" w:color="000000" w:sz="4" w:space="0"/>
            </w:tcBorders>
            <w:shd w:val="clear" w:color="auto" w:fill="auto"/>
            <w:vAlign w:val="center"/>
          </w:tcPr>
          <w:p w14:paraId="4B5940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0A9B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食安企业管家-食品信息追溯（升级）-年度产能产量申报-产能产量上报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EC08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1.产能产量信息查询，企业可通过上报日期等字段进行信息的查询，以列表展示搜索结果，可查看详细信息。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2.产能产量上报，以便监管人员能够进行相关信息的查看和监管。</w:t>
            </w:r>
          </w:p>
        </w:tc>
      </w:tr>
      <w:tr w14:paraId="1487D4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D4C3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612</w:t>
            </w:r>
          </w:p>
        </w:tc>
        <w:tc>
          <w:tcPr>
            <w:tcW w:w="491" w:type="pct"/>
            <w:tcBorders>
              <w:top w:val="nil"/>
              <w:left w:val="nil"/>
              <w:bottom w:val="single" w:color="000000" w:sz="4" w:space="0"/>
              <w:right w:val="single" w:color="000000" w:sz="4" w:space="0"/>
            </w:tcBorders>
            <w:shd w:val="clear" w:color="auto" w:fill="auto"/>
            <w:vAlign w:val="center"/>
          </w:tcPr>
          <w:p w14:paraId="7E62A5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7D86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食安企业管家-非现场监管（风险预警）-视频查看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A553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支持查看食品企业在线查看不同点位的监控视频信息。</w:t>
            </w:r>
          </w:p>
        </w:tc>
      </w:tr>
      <w:tr w14:paraId="425B391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F915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613</w:t>
            </w:r>
          </w:p>
        </w:tc>
        <w:tc>
          <w:tcPr>
            <w:tcW w:w="491" w:type="pct"/>
            <w:tcBorders>
              <w:top w:val="nil"/>
              <w:left w:val="nil"/>
              <w:bottom w:val="single" w:color="000000" w:sz="4" w:space="0"/>
              <w:right w:val="single" w:color="000000" w:sz="4" w:space="0"/>
            </w:tcBorders>
            <w:shd w:val="clear" w:color="auto" w:fill="auto"/>
            <w:vAlign w:val="center"/>
          </w:tcPr>
          <w:p w14:paraId="23C15E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520C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食安企业管家-非现场监管（风险预警）-问题线索-填报不规范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B705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监测监管范围内企业对产品，台账，证明文件等信息填报设置对应规则（如：监测企业无产品且不为门店、企业存在证明文件(检验检疫证)编号过短(长度小于10位)等），根据规则识别对应填报不符合规范的企业进行提取，并推送预警提醒，企业可进行自查核实处理反馈，形成闭环</w:t>
            </w:r>
          </w:p>
        </w:tc>
      </w:tr>
      <w:tr w14:paraId="363B3F3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AA4B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614</w:t>
            </w:r>
          </w:p>
        </w:tc>
        <w:tc>
          <w:tcPr>
            <w:tcW w:w="491" w:type="pct"/>
            <w:tcBorders>
              <w:top w:val="nil"/>
              <w:left w:val="nil"/>
              <w:bottom w:val="single" w:color="000000" w:sz="4" w:space="0"/>
              <w:right w:val="single" w:color="000000" w:sz="4" w:space="0"/>
            </w:tcBorders>
            <w:shd w:val="clear" w:color="auto" w:fill="auto"/>
            <w:vAlign w:val="center"/>
          </w:tcPr>
          <w:p w14:paraId="600C24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DF4D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食安企业管家-非现场监管（风险预警）-问题线索-大宗商品临期/过期</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B5E5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系统根据提取企业上传追溯台账数据中填写的产品条码信息，追溯保质期不低于半年的产品作为大宗商品临期/过期的产品风险预警提醒，企业可进行核实处理，形成风险闭环</w:t>
            </w:r>
          </w:p>
        </w:tc>
      </w:tr>
      <w:tr w14:paraId="7699EE4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F57D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615</w:t>
            </w:r>
          </w:p>
        </w:tc>
        <w:tc>
          <w:tcPr>
            <w:tcW w:w="491" w:type="pct"/>
            <w:tcBorders>
              <w:top w:val="nil"/>
              <w:left w:val="nil"/>
              <w:bottom w:val="single" w:color="000000" w:sz="4" w:space="0"/>
              <w:right w:val="single" w:color="000000" w:sz="4" w:space="0"/>
            </w:tcBorders>
            <w:shd w:val="clear" w:color="auto" w:fill="auto"/>
            <w:vAlign w:val="center"/>
          </w:tcPr>
          <w:p w14:paraId="79D95A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737D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食安企业管家-非现场监管（风险预警）-问题线索-证照到期预警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9643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系统根据大数据算法监测企业许可证、从业人员证照有效期，对临近到期的企业、人员进行提前一个月的预警提醒，企业可进行自查核验，并在规定期限内完成证照续期或更新，形成风险闭环</w:t>
            </w:r>
          </w:p>
        </w:tc>
      </w:tr>
      <w:tr w14:paraId="1F00FE0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57EB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616</w:t>
            </w:r>
          </w:p>
        </w:tc>
        <w:tc>
          <w:tcPr>
            <w:tcW w:w="491" w:type="pct"/>
            <w:tcBorders>
              <w:top w:val="nil"/>
              <w:left w:val="nil"/>
              <w:bottom w:val="single" w:color="000000" w:sz="4" w:space="0"/>
              <w:right w:val="single" w:color="000000" w:sz="4" w:space="0"/>
            </w:tcBorders>
            <w:shd w:val="clear" w:color="auto" w:fill="auto"/>
            <w:vAlign w:val="center"/>
          </w:tcPr>
          <w:p w14:paraId="69EC74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F2CCB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食安企业管家-非现场监管（风险预警）-问题线索-学校违禁品预警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86B6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系统根据设定学校违禁品（如：黄花菜、四季豆、刀豆、溏心蛋等），对学校采购的食材、菜品进行大数据分析监测，自动识别预警，推送企业，企业可进行自查核验，并做处理反馈，形成风险闭环</w:t>
            </w:r>
          </w:p>
        </w:tc>
      </w:tr>
      <w:tr w14:paraId="4B8CFC4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1F5A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617</w:t>
            </w:r>
          </w:p>
        </w:tc>
        <w:tc>
          <w:tcPr>
            <w:tcW w:w="491" w:type="pct"/>
            <w:tcBorders>
              <w:top w:val="nil"/>
              <w:left w:val="nil"/>
              <w:bottom w:val="single" w:color="000000" w:sz="4" w:space="0"/>
              <w:right w:val="single" w:color="000000" w:sz="4" w:space="0"/>
            </w:tcBorders>
            <w:shd w:val="clear" w:color="auto" w:fill="auto"/>
            <w:vAlign w:val="center"/>
          </w:tcPr>
          <w:p w14:paraId="41CE34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C50B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食安企业管家-非现场监管（风险预警）-视频预警-自查自纠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5BF9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视频智能AI风险提醒：系统向企业推送监测的异常信息，包括动物入侵、未戴帽子、未穿工作服、发现抽烟行为、未戴口罩手套等信息。企业可查看风险详细信息，可通过风险类型、风险发现日期等字段进行筛选查询。可查看风险监测的图片、风险发现时间、风险发生地点等信息。企业可对发现的风险问题进行自查自改，可回复风险问题为误判、已整改等。可提交相关证明材料。</w:t>
            </w:r>
          </w:p>
        </w:tc>
      </w:tr>
      <w:tr w14:paraId="7BDE4C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B739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618</w:t>
            </w:r>
          </w:p>
        </w:tc>
        <w:tc>
          <w:tcPr>
            <w:tcW w:w="491" w:type="pct"/>
            <w:tcBorders>
              <w:top w:val="nil"/>
              <w:left w:val="nil"/>
              <w:bottom w:val="single" w:color="000000" w:sz="4" w:space="0"/>
              <w:right w:val="single" w:color="000000" w:sz="4" w:space="0"/>
            </w:tcBorders>
            <w:shd w:val="clear" w:color="auto" w:fill="auto"/>
            <w:vAlign w:val="center"/>
          </w:tcPr>
          <w:p w14:paraId="6214EB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A18B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食安企业管家-企业许可码应用-互联网+明厨亮灶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822B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企业可通过扫描许可证二维码查本企业互联网+明厨亮灶食品加工画面监控视频，线上巡查，便于自查自纠</w:t>
            </w:r>
          </w:p>
        </w:tc>
      </w:tr>
      <w:tr w14:paraId="7C25A64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2698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619</w:t>
            </w:r>
          </w:p>
        </w:tc>
        <w:tc>
          <w:tcPr>
            <w:tcW w:w="491" w:type="pct"/>
            <w:tcBorders>
              <w:top w:val="nil"/>
              <w:left w:val="nil"/>
              <w:bottom w:val="single" w:color="000000" w:sz="4" w:space="0"/>
              <w:right w:val="single" w:color="000000" w:sz="4" w:space="0"/>
            </w:tcBorders>
            <w:shd w:val="clear" w:color="auto" w:fill="auto"/>
            <w:vAlign w:val="center"/>
          </w:tcPr>
          <w:p w14:paraId="55A372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5F16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食安企业管家-企业许可码应用-食安风险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F633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1、企业可通过扫描许可证二维码查询AI视频监控抓拍的不同类型（动物入侵、未戴帽子、未穿工作服、抽烟行为、未戴口罩手套等）的风险预警信息，预警内容包含：预警提示内容、预警时间、预警地点。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2、企业可对预警风险进行核实处理，可对监管进行线上连线整改处理、也可通过上传相关处理、整改的图片方式进行风险闭环管理。</w:t>
            </w:r>
          </w:p>
        </w:tc>
      </w:tr>
      <w:tr w14:paraId="0E0805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68F9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620</w:t>
            </w:r>
          </w:p>
        </w:tc>
        <w:tc>
          <w:tcPr>
            <w:tcW w:w="491" w:type="pct"/>
            <w:tcBorders>
              <w:top w:val="nil"/>
              <w:left w:val="nil"/>
              <w:bottom w:val="single" w:color="000000" w:sz="4" w:space="0"/>
              <w:right w:val="single" w:color="000000" w:sz="4" w:space="0"/>
            </w:tcBorders>
            <w:shd w:val="clear" w:color="auto" w:fill="auto"/>
            <w:vAlign w:val="center"/>
          </w:tcPr>
          <w:p w14:paraId="1529A9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4BDC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专家/行业协同-可靠性创新专家评定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54C4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可靠性创新专家评定指专家按照《产品质量可靠性评分表》对各单位推荐的企业进行评价打分，评价指标包含专业指标和效益指标。</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专业指标是主要体现产品质量可靠性的直接技术类指标，包括：关键性能一致性（Ic）、关键性能退化量（Id）、关键性能可靠域（Ir）等。在评价产品关键性能指标（Ic、Id、Ir）时需要考虑的因素主要包括（但不限于）：关键性能参数选取合理性、样品状态有效性、样本量合理性、检测仪器/设备合理有效性、检测方案科学可行性、数据可信有效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效益指标应反映产品质量可靠性水平提升取得的质量效益和社会效益，包括：售后责任故障数（率）（W）、创新性（C）、可推广性（G）等。在评价产品效益性指标（W、C、G）时需要考虑的因素主要包括（但不限于）：数据信息来源的可信性、计算方法的合理性、创新性、实用性、影响力、通用性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评价总分为各二级单项指标加权得分。</w:t>
            </w:r>
          </w:p>
        </w:tc>
      </w:tr>
      <w:tr w14:paraId="43F1D5D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C4A4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621</w:t>
            </w:r>
          </w:p>
        </w:tc>
        <w:tc>
          <w:tcPr>
            <w:tcW w:w="491" w:type="pct"/>
            <w:tcBorders>
              <w:top w:val="nil"/>
              <w:left w:val="nil"/>
              <w:bottom w:val="single" w:color="000000" w:sz="4" w:space="0"/>
              <w:right w:val="single" w:color="000000" w:sz="4" w:space="0"/>
            </w:tcBorders>
            <w:shd w:val="clear" w:color="auto" w:fill="auto"/>
            <w:vAlign w:val="center"/>
          </w:tcPr>
          <w:p w14:paraId="66F318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00B4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专家/行业协同-产品质量风险专家评估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1A95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产品质量风险专家评估主要针对</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事项、领导交办事项等中涉及的产品质量安全风险进行评估，并形成评估报告。一般由监管用户流转评估任务，专家从产品风险的危害程度、伤害发生概率等方面进行全面技术分析，并提供意见建议，最终提交评估报告。</w:t>
            </w:r>
          </w:p>
        </w:tc>
      </w:tr>
      <w:tr w14:paraId="545431E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A5FA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622</w:t>
            </w:r>
          </w:p>
        </w:tc>
        <w:tc>
          <w:tcPr>
            <w:tcW w:w="491" w:type="pct"/>
            <w:tcBorders>
              <w:top w:val="nil"/>
              <w:left w:val="nil"/>
              <w:bottom w:val="single" w:color="000000" w:sz="4" w:space="0"/>
              <w:right w:val="single" w:color="000000" w:sz="4" w:space="0"/>
            </w:tcBorders>
            <w:shd w:val="clear" w:color="auto" w:fill="auto"/>
            <w:vAlign w:val="center"/>
          </w:tcPr>
          <w:p w14:paraId="0D7916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58A9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专家/行业协同-机构工作质量专家评价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70B8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移动端（随申办），为专家用户提供专门机构工作基础质量评价工具。市场监管局应当定期组织对承担监督抽查抽样、检验等任务的机构工作质量情况进行评价，填写《上海市产品质量监督抽查任务工作基础质量评价表》。评价内容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 所承担的监督抽查工作完成情况;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(二) 所承担的监督抽查工作过程是否符合法律法规、工作规范、任务文件规定的要求;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(三) 监督抽查文书填写和使用是否规范，报送材料是否数据准确、内容完整、报送及时;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(四) 承担监督抽查工作是否存在违反工作纪律的情形: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(五) 其他需要检查评价的内容。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系统提供机构工作基层质量评价任务。对待评价任务在线填报评估结果。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支持一键生成《上海市产品质量监督抽查任务工作基层质量评价表》</w:t>
            </w:r>
          </w:p>
        </w:tc>
      </w:tr>
      <w:tr w14:paraId="66F20E8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0C92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623</w:t>
            </w:r>
          </w:p>
        </w:tc>
        <w:tc>
          <w:tcPr>
            <w:tcW w:w="491" w:type="pct"/>
            <w:tcBorders>
              <w:top w:val="nil"/>
              <w:left w:val="nil"/>
              <w:bottom w:val="single" w:color="000000" w:sz="4" w:space="0"/>
              <w:right w:val="single" w:color="000000" w:sz="4" w:space="0"/>
            </w:tcBorders>
            <w:shd w:val="clear" w:color="auto" w:fill="auto"/>
            <w:vAlign w:val="center"/>
          </w:tcPr>
          <w:p w14:paraId="2653F8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71DA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专家/行业协同-质量技术帮扶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D999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针对企业所提出的质量诉求进行质量技术帮扶服务。当企业提出质量诉求时，专家可以通过此模块记录解决的问题和对企业帮扶的技术内容，一个企业由多个专家帮扶，一个专家可以服务多个企业。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Ø质量帮扶记录。支持记录质量技术帮扶的时间。专家通过质量技术帮扶记录模块按市场监管部门记录服务的过程，供市场监管部统计查询。支持专家在质量技术帮扶后，记录帮扶内容，时间，地点等信息。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Ø支持一键式拍照上传功能，帮扶记录随时记录和上传。帮扶记录将作为帮扶档案存储下来，作为质量帮扶的一部分。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Ø已完成的帮扶。对已经完成的帮扶记录做管理和维护。专家通过此模块可以查阅质量帮扶记录，支持时间、企业等条件，查阅质量帮扶记录。</w:t>
            </w:r>
          </w:p>
        </w:tc>
      </w:tr>
      <w:tr w14:paraId="077044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253D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624</w:t>
            </w:r>
          </w:p>
        </w:tc>
        <w:tc>
          <w:tcPr>
            <w:tcW w:w="491" w:type="pct"/>
            <w:tcBorders>
              <w:top w:val="nil"/>
              <w:left w:val="nil"/>
              <w:bottom w:val="single" w:color="000000" w:sz="4" w:space="0"/>
              <w:right w:val="single" w:color="000000" w:sz="4" w:space="0"/>
            </w:tcBorders>
            <w:shd w:val="clear" w:color="auto" w:fill="auto"/>
            <w:vAlign w:val="center"/>
          </w:tcPr>
          <w:p w14:paraId="02A698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32FA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专家/行业协同-产品质量风险信息报告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B907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行业用户（如行业协会、风险信息监测站、重点行业龙头企业等）开展产品风险信息、行业信息报告的上报。</w:t>
            </w:r>
          </w:p>
        </w:tc>
      </w:tr>
      <w:tr w14:paraId="2F313B1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0146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625</w:t>
            </w:r>
          </w:p>
        </w:tc>
        <w:tc>
          <w:tcPr>
            <w:tcW w:w="491" w:type="pct"/>
            <w:tcBorders>
              <w:top w:val="nil"/>
              <w:left w:val="nil"/>
              <w:bottom w:val="single" w:color="000000" w:sz="4" w:space="0"/>
              <w:right w:val="single" w:color="000000" w:sz="4" w:space="0"/>
            </w:tcBorders>
            <w:shd w:val="clear" w:color="auto" w:fill="auto"/>
            <w:vAlign w:val="center"/>
          </w:tcPr>
          <w:p w14:paraId="40FAB8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9066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专家/行业协同-专家信息管理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C156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给专家进行自我信息维护。专家可对自我服务范围和能力进行登记和维护。专家能力范围包括专业领域、服务范围，需要细化到具体服务的产品、服务的类型和服务方式，实现企业质量诉求与专家服务范围的能力匹配。</w:t>
            </w:r>
          </w:p>
        </w:tc>
      </w:tr>
      <w:tr w14:paraId="5D73AF7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B485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626</w:t>
            </w:r>
          </w:p>
        </w:tc>
        <w:tc>
          <w:tcPr>
            <w:tcW w:w="491" w:type="pct"/>
            <w:tcBorders>
              <w:top w:val="nil"/>
              <w:left w:val="nil"/>
              <w:bottom w:val="single" w:color="000000" w:sz="4" w:space="0"/>
              <w:right w:val="single" w:color="000000" w:sz="4" w:space="0"/>
            </w:tcBorders>
            <w:shd w:val="clear" w:color="auto" w:fill="auto"/>
            <w:vAlign w:val="center"/>
          </w:tcPr>
          <w:p w14:paraId="3E65BC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ED35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专家/行业协同-行业协会信息管理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3C11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给行业协会进行自我信息维护。行业协会可对自我服务范围和能力进行登记和维护。行业协会能力范围包括专业领域、服务范围，需要细化到具体服务的产品、服务的类型和服务方式，实现企业质量诉求与行业协会服务范围的能力匹配。</w:t>
            </w:r>
          </w:p>
        </w:tc>
      </w:tr>
      <w:tr w14:paraId="401E895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1F8A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627</w:t>
            </w:r>
          </w:p>
        </w:tc>
        <w:tc>
          <w:tcPr>
            <w:tcW w:w="491" w:type="pct"/>
            <w:tcBorders>
              <w:top w:val="nil"/>
              <w:left w:val="nil"/>
              <w:bottom w:val="single" w:color="000000" w:sz="4" w:space="0"/>
              <w:right w:val="single" w:color="000000" w:sz="4" w:space="0"/>
            </w:tcBorders>
            <w:shd w:val="clear" w:color="auto" w:fill="auto"/>
            <w:vAlign w:val="center"/>
          </w:tcPr>
          <w:p w14:paraId="671AC0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61F0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业务工作台-业务办理-待办信息管理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657A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待办信息查询：根据相应查询条件，如企业名称、接收时间、申请号、事项名称、业务类型查看待办记录，列表展示符合查询条件的待办记录。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待办信息查看：查看经过自己的审查任务的进展情况，可查看任务历史处理环节、各环节的处理时间、当前环节、时间期限、当前处理人等。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待办信息处理：向专业技术组织提供信息集成和入口集成。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待办任务来源行政审批系统、综合监管系统发起的任务。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相关信息包括在评审业务的办理状态、待办事</w:t>
            </w:r>
          </w:p>
        </w:tc>
      </w:tr>
      <w:tr w14:paraId="51FD76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86DA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628</w:t>
            </w:r>
          </w:p>
        </w:tc>
        <w:tc>
          <w:tcPr>
            <w:tcW w:w="491" w:type="pct"/>
            <w:tcBorders>
              <w:top w:val="nil"/>
              <w:left w:val="nil"/>
              <w:bottom w:val="single" w:color="000000" w:sz="4" w:space="0"/>
              <w:right w:val="single" w:color="000000" w:sz="4" w:space="0"/>
            </w:tcBorders>
            <w:shd w:val="clear" w:color="auto" w:fill="auto"/>
            <w:vAlign w:val="center"/>
          </w:tcPr>
          <w:p w14:paraId="468931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495E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业务工作台-业务办理-已办信息管理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B619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已办信息查询：根据相应查询条件，如企业名称、申请号、事项名称查询已办记录，列表展示符合查询条件的已办记录。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已办信息查看：可查看各类型业务的基本信息、任务分配情况、历史办理意见等。</w:t>
            </w:r>
          </w:p>
        </w:tc>
      </w:tr>
      <w:tr w14:paraId="39B9053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B80A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629</w:t>
            </w:r>
          </w:p>
        </w:tc>
        <w:tc>
          <w:tcPr>
            <w:tcW w:w="491" w:type="pct"/>
            <w:tcBorders>
              <w:top w:val="nil"/>
              <w:left w:val="nil"/>
              <w:bottom w:val="single" w:color="000000" w:sz="4" w:space="0"/>
              <w:right w:val="single" w:color="000000" w:sz="4" w:space="0"/>
            </w:tcBorders>
            <w:shd w:val="clear" w:color="auto" w:fill="auto"/>
            <w:vAlign w:val="center"/>
          </w:tcPr>
          <w:p w14:paraId="46730B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7C97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业务工作台-业务办理-终止评审管理-终止评审任务查询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D064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根据相应查询条件查看可以终止的评审任务，列表展示处于现场评审环节的外部审查任务，可展示序号、任务编号、任务名称、任务来源等。</w:t>
            </w:r>
          </w:p>
        </w:tc>
      </w:tr>
      <w:tr w14:paraId="15A5A5D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09CD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630</w:t>
            </w:r>
          </w:p>
        </w:tc>
        <w:tc>
          <w:tcPr>
            <w:tcW w:w="491" w:type="pct"/>
            <w:tcBorders>
              <w:top w:val="nil"/>
              <w:left w:val="nil"/>
              <w:bottom w:val="single" w:color="000000" w:sz="4" w:space="0"/>
              <w:right w:val="single" w:color="000000" w:sz="4" w:space="0"/>
            </w:tcBorders>
            <w:shd w:val="clear" w:color="auto" w:fill="auto"/>
            <w:vAlign w:val="center"/>
          </w:tcPr>
          <w:p w14:paraId="351F41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0ED3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业务工作台-业务办理-终止评审管理-终止评审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D6CD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使用终止功能，终止该任务并补充终止理由后，系统自动生成终止评审报告。</w:t>
            </w:r>
          </w:p>
        </w:tc>
      </w:tr>
      <w:tr w14:paraId="5B30F62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D795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631</w:t>
            </w:r>
          </w:p>
        </w:tc>
        <w:tc>
          <w:tcPr>
            <w:tcW w:w="491" w:type="pct"/>
            <w:tcBorders>
              <w:top w:val="nil"/>
              <w:left w:val="nil"/>
              <w:bottom w:val="single" w:color="000000" w:sz="4" w:space="0"/>
              <w:right w:val="single" w:color="000000" w:sz="4" w:space="0"/>
            </w:tcBorders>
            <w:shd w:val="clear" w:color="auto" w:fill="auto"/>
            <w:vAlign w:val="center"/>
          </w:tcPr>
          <w:p w14:paraId="7F8E2C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C4F34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业务工作台-审查任务查询统计-评审进度监控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A2A2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需要根据不同业务事项监控评审进度。2、支持查询和导出功能，点击查看可查到机构申请的详情信息，3、查询条件：申请编号、评审任务编号、企业名称、申请事项、申请类型、当前状态、申请日期、委托日期、评审日期；当申请类型为“检验检测机构资质认定”，支持通过评审结果查询（评审结果分为：符合、基本符合、基本符合（现场复核）、终止、不符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各个许可事项的当前状态有：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①　食品生产许可（特殊食品）：任务接收中</w:t>
            </w:r>
          </w:p>
        </w:tc>
      </w:tr>
      <w:tr w14:paraId="43FEB17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6090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632</w:t>
            </w:r>
          </w:p>
        </w:tc>
        <w:tc>
          <w:tcPr>
            <w:tcW w:w="491" w:type="pct"/>
            <w:tcBorders>
              <w:top w:val="nil"/>
              <w:left w:val="nil"/>
              <w:bottom w:val="single" w:color="000000" w:sz="4" w:space="0"/>
              <w:right w:val="single" w:color="000000" w:sz="4" w:space="0"/>
            </w:tcBorders>
            <w:shd w:val="clear" w:color="auto" w:fill="auto"/>
            <w:vAlign w:val="center"/>
          </w:tcPr>
          <w:p w14:paraId="139D50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1B38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业务工作台-审查任务查询统计-个人评审记录查询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5766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1）需要根据不同业务事项显示专家评审记录；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2）支持查询和导出功能；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3）查询条件：评审专家名称、起始时间、结束时间；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4）查询结果：序号、姓名、被评审单位、评审日期、评审天数、合计。</w:t>
            </w:r>
          </w:p>
        </w:tc>
      </w:tr>
      <w:tr w14:paraId="219EBD5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EB10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633</w:t>
            </w:r>
          </w:p>
        </w:tc>
        <w:tc>
          <w:tcPr>
            <w:tcW w:w="491" w:type="pct"/>
            <w:tcBorders>
              <w:top w:val="nil"/>
              <w:left w:val="nil"/>
              <w:bottom w:val="single" w:color="000000" w:sz="4" w:space="0"/>
              <w:right w:val="single" w:color="000000" w:sz="4" w:space="0"/>
            </w:tcBorders>
            <w:shd w:val="clear" w:color="auto" w:fill="auto"/>
            <w:vAlign w:val="center"/>
          </w:tcPr>
          <w:p w14:paraId="00EB8C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7F80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业务工作台-审查任务查询统计-评审记录汇总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825F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1）支持查询和导出功能；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2）查询条件：起始时间、结束时间；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3）查询结果：序号、姓名、被评审单位、评审天数。</w:t>
            </w:r>
          </w:p>
        </w:tc>
      </w:tr>
      <w:tr w14:paraId="0106BCE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D235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634</w:t>
            </w:r>
          </w:p>
        </w:tc>
        <w:tc>
          <w:tcPr>
            <w:tcW w:w="491" w:type="pct"/>
            <w:tcBorders>
              <w:top w:val="nil"/>
              <w:left w:val="nil"/>
              <w:bottom w:val="single" w:color="000000" w:sz="4" w:space="0"/>
              <w:right w:val="single" w:color="000000" w:sz="4" w:space="0"/>
            </w:tcBorders>
            <w:shd w:val="clear" w:color="auto" w:fill="auto"/>
            <w:vAlign w:val="center"/>
          </w:tcPr>
          <w:p w14:paraId="584DF9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7319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业务工作台-审查任务查询统计-专家出勤统计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B00D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1）需要根据不同业务事项统计劳务费；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2）支持查询和导出功能；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3）查询条件：评审专家名称、起始时间、结束时间；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4）查询结果：序号、专家姓名、性别、身份证号、被抽取次数、参与评审次数、未参与评审次数、合计。</w:t>
            </w:r>
          </w:p>
        </w:tc>
      </w:tr>
      <w:tr w14:paraId="5CD3A5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8938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635</w:t>
            </w:r>
          </w:p>
        </w:tc>
        <w:tc>
          <w:tcPr>
            <w:tcW w:w="491" w:type="pct"/>
            <w:tcBorders>
              <w:top w:val="nil"/>
              <w:left w:val="nil"/>
              <w:bottom w:val="single" w:color="000000" w:sz="4" w:space="0"/>
              <w:right w:val="single" w:color="000000" w:sz="4" w:space="0"/>
            </w:tcBorders>
            <w:shd w:val="clear" w:color="auto" w:fill="auto"/>
            <w:vAlign w:val="center"/>
          </w:tcPr>
          <w:p w14:paraId="7D4AEB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36FC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业务工作台-系统管理-专家管理-专家信息管理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9031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用于管理业务专家的所有信息并提供专家信息的录入、编辑、删除、批量导入等操作。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不同业务类型人专家人员类型不同，如特种单位许可的专家类型为鉴定评审人员。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专家基本信息：实现对业务专家库的管理，包括专家库的建立、基本信息维护、专家信息的更新、专家与任务的关联、专家的评价反馈信息等。存储专家的基本信息，包括：姓名、性别、年龄、身份证号、出生日期、所属单位、职务/职称、手机、所属地州、所在区县、银行账号、</w:t>
            </w:r>
          </w:p>
        </w:tc>
      </w:tr>
      <w:tr w14:paraId="1DB4D56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81B8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636</w:t>
            </w:r>
          </w:p>
        </w:tc>
        <w:tc>
          <w:tcPr>
            <w:tcW w:w="491" w:type="pct"/>
            <w:tcBorders>
              <w:top w:val="nil"/>
              <w:left w:val="nil"/>
              <w:bottom w:val="single" w:color="000000" w:sz="4" w:space="0"/>
              <w:right w:val="single" w:color="000000" w:sz="4" w:space="0"/>
            </w:tcBorders>
            <w:shd w:val="clear" w:color="auto" w:fill="auto"/>
            <w:vAlign w:val="center"/>
          </w:tcPr>
          <w:p w14:paraId="119206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A0626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业务工作台-系统管理-专家管理-专家信息批量处理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F297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提供专家信息批量处理功能，可通过excel导入专家信息。</w:t>
            </w:r>
          </w:p>
        </w:tc>
      </w:tr>
      <w:tr w14:paraId="553F196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6BA7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637</w:t>
            </w:r>
          </w:p>
        </w:tc>
        <w:tc>
          <w:tcPr>
            <w:tcW w:w="491" w:type="pct"/>
            <w:tcBorders>
              <w:top w:val="nil"/>
              <w:left w:val="nil"/>
              <w:bottom w:val="single" w:color="000000" w:sz="4" w:space="0"/>
              <w:right w:val="single" w:color="000000" w:sz="4" w:space="0"/>
            </w:tcBorders>
            <w:shd w:val="clear" w:color="auto" w:fill="auto"/>
            <w:vAlign w:val="center"/>
          </w:tcPr>
          <w:p w14:paraId="66109B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3A4E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业务工作台-系统管理-专家管理-专家评价与推荐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DAC8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用于用户对专家进行评价和评论，以及系统对专家进行推荐和匹配。</w:t>
            </w:r>
          </w:p>
        </w:tc>
      </w:tr>
      <w:tr w14:paraId="2DC84B3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BE6C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638</w:t>
            </w:r>
          </w:p>
        </w:tc>
        <w:tc>
          <w:tcPr>
            <w:tcW w:w="491" w:type="pct"/>
            <w:tcBorders>
              <w:top w:val="nil"/>
              <w:left w:val="nil"/>
              <w:bottom w:val="single" w:color="000000" w:sz="4" w:space="0"/>
              <w:right w:val="single" w:color="000000" w:sz="4" w:space="0"/>
            </w:tcBorders>
            <w:shd w:val="clear" w:color="auto" w:fill="auto"/>
            <w:vAlign w:val="center"/>
          </w:tcPr>
          <w:p w14:paraId="544983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4A38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业务工作台-系统管理-专家管理-分级分类管理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60E8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根据评审专家的工作能力和经验，将其分为不同的级别和类别。</w:t>
            </w:r>
          </w:p>
        </w:tc>
      </w:tr>
      <w:tr w14:paraId="47B2F2B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FA4C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639</w:t>
            </w:r>
          </w:p>
        </w:tc>
        <w:tc>
          <w:tcPr>
            <w:tcW w:w="491" w:type="pct"/>
            <w:tcBorders>
              <w:top w:val="nil"/>
              <w:left w:val="nil"/>
              <w:bottom w:val="single" w:color="000000" w:sz="4" w:space="0"/>
              <w:right w:val="single" w:color="000000" w:sz="4" w:space="0"/>
            </w:tcBorders>
            <w:shd w:val="clear" w:color="auto" w:fill="auto"/>
            <w:vAlign w:val="center"/>
          </w:tcPr>
          <w:p w14:paraId="586059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4E54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业务工作台-系统管理-专家管理-监督考核管理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0902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对评审专家的工作进行监督和考核，包括工作质量、工作效率等方面。</w:t>
            </w:r>
          </w:p>
        </w:tc>
      </w:tr>
      <w:tr w14:paraId="2F42A7C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159E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640</w:t>
            </w:r>
          </w:p>
        </w:tc>
        <w:tc>
          <w:tcPr>
            <w:tcW w:w="491" w:type="pct"/>
            <w:tcBorders>
              <w:top w:val="nil"/>
              <w:left w:val="nil"/>
              <w:bottom w:val="single" w:color="000000" w:sz="4" w:space="0"/>
              <w:right w:val="single" w:color="000000" w:sz="4" w:space="0"/>
            </w:tcBorders>
            <w:shd w:val="clear" w:color="auto" w:fill="auto"/>
            <w:vAlign w:val="center"/>
          </w:tcPr>
          <w:p w14:paraId="538006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8093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业务工作台-系统管理-专家管理-处置管理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A273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对不符合要求的评审专家进行处理，包括警告、记过、降级等。</w:t>
            </w:r>
          </w:p>
        </w:tc>
      </w:tr>
      <w:tr w14:paraId="1CA1E9C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2BE2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641</w:t>
            </w:r>
          </w:p>
        </w:tc>
        <w:tc>
          <w:tcPr>
            <w:tcW w:w="491" w:type="pct"/>
            <w:tcBorders>
              <w:top w:val="nil"/>
              <w:left w:val="nil"/>
              <w:bottom w:val="single" w:color="000000" w:sz="4" w:space="0"/>
              <w:right w:val="single" w:color="000000" w:sz="4" w:space="0"/>
            </w:tcBorders>
            <w:shd w:val="clear" w:color="auto" w:fill="auto"/>
            <w:vAlign w:val="center"/>
          </w:tcPr>
          <w:p w14:paraId="4D9D14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276D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业务工作台-系统管理-评审机构管理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9538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评审机构的基本信息；维护机构信息后，机构也可选择专业类别中挑选专业类别（重要工业产品类、检验检测资质认定类、计量标准类、计量器具型式批准、食品生产类；）进行绑定，一个机构可关联多个专业类别；绑定专业类别后，在许可系统中各个许可业务选择现场许可单位时可根据专业中筛选机构进行带出供选择。</w:t>
            </w:r>
          </w:p>
        </w:tc>
      </w:tr>
      <w:tr w14:paraId="30F3B48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92B5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642</w:t>
            </w:r>
          </w:p>
        </w:tc>
        <w:tc>
          <w:tcPr>
            <w:tcW w:w="491" w:type="pct"/>
            <w:tcBorders>
              <w:top w:val="nil"/>
              <w:left w:val="nil"/>
              <w:bottom w:val="single" w:color="000000" w:sz="4" w:space="0"/>
              <w:right w:val="single" w:color="000000" w:sz="4" w:space="0"/>
            </w:tcBorders>
            <w:shd w:val="clear" w:color="auto" w:fill="auto"/>
            <w:vAlign w:val="center"/>
          </w:tcPr>
          <w:p w14:paraId="394849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4636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业务支撑-标准接口交互-业务资料查看嵌入接口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98E0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对接行政审批系统业务资料查看接口，实现用户认证，外部审查系统中查看申请案信息及申请材料信息。以内嵌形式实现业务资料查看功能，减少外部审查系统对业务资料查看功能的二次开发。</w:t>
            </w:r>
          </w:p>
        </w:tc>
      </w:tr>
      <w:tr w14:paraId="2E58A30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61FD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643</w:t>
            </w:r>
          </w:p>
        </w:tc>
        <w:tc>
          <w:tcPr>
            <w:tcW w:w="491" w:type="pct"/>
            <w:tcBorders>
              <w:top w:val="nil"/>
              <w:left w:val="nil"/>
              <w:bottom w:val="single" w:color="000000" w:sz="4" w:space="0"/>
              <w:right w:val="single" w:color="000000" w:sz="4" w:space="0"/>
            </w:tcBorders>
            <w:shd w:val="clear" w:color="auto" w:fill="auto"/>
            <w:vAlign w:val="center"/>
          </w:tcPr>
          <w:p w14:paraId="1A3BA3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F7CB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业务支撑-标准接口交互-查询获取专家信息接口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3C6E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开发获取专家信息接口，供行外部审查系统各类评审业务中，需要抽取评审专家的业务时使用。获取专家姓名、性别、专业领域、电话号码等。</w:t>
            </w:r>
          </w:p>
        </w:tc>
      </w:tr>
      <w:tr w14:paraId="29C3A0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7222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644</w:t>
            </w:r>
          </w:p>
        </w:tc>
        <w:tc>
          <w:tcPr>
            <w:tcW w:w="491" w:type="pct"/>
            <w:tcBorders>
              <w:top w:val="nil"/>
              <w:left w:val="nil"/>
              <w:bottom w:val="single" w:color="000000" w:sz="4" w:space="0"/>
              <w:right w:val="single" w:color="000000" w:sz="4" w:space="0"/>
            </w:tcBorders>
            <w:shd w:val="clear" w:color="auto" w:fill="auto"/>
            <w:vAlign w:val="center"/>
          </w:tcPr>
          <w:p w14:paraId="4AABDA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F85C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业务支撑-标准接口交互-评审任务接收接口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0368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开发评审任务接收接口，供行政审批系统、综合监管系统向外部审查系统推送任务时调用。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如特种生产单位许可，外部审查系统接收来自行政审批系统随机生成鉴定评审机构的机构单位名称、申请行政许可的相关基本信息，包括如：通用信息【特种生产单位名称、统一社会信用代码、业务联系人、联系电话】，事项独有信息【申请的特种设备种类、事项等】，便于鉴定评审机构根据单位、业务性质判断是否有能力做该单位的生产单位许可鉴定评审业</w:t>
            </w:r>
          </w:p>
        </w:tc>
      </w:tr>
      <w:tr w14:paraId="15C2CA0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EDE6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645</w:t>
            </w:r>
          </w:p>
        </w:tc>
        <w:tc>
          <w:tcPr>
            <w:tcW w:w="491" w:type="pct"/>
            <w:tcBorders>
              <w:top w:val="nil"/>
              <w:left w:val="nil"/>
              <w:bottom w:val="single" w:color="000000" w:sz="4" w:space="0"/>
              <w:right w:val="single" w:color="000000" w:sz="4" w:space="0"/>
            </w:tcBorders>
            <w:shd w:val="clear" w:color="auto" w:fill="auto"/>
            <w:vAlign w:val="center"/>
          </w:tcPr>
          <w:p w14:paraId="51BD81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2D2C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业务支撑-标准接口交互-评审任务退回接口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0EED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开发评审任务退回接口，在评审机构确定评审任务不满足受理条件时，可选择退回至行政审批系统、综合监管系统。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如：特种生产单位许可，鉴定评审机构接到行政审批系统发送的评审任务，经业务判断不用评审或者不满足评审要求，即可调用退回接口。传递参数包含【业务id、申请号、外部审查id、申请主体名称、退回原因、退回操作人等】，便于行政审批系统处理人员，处理后续业务。</w:t>
            </w:r>
          </w:p>
        </w:tc>
      </w:tr>
      <w:tr w14:paraId="0325009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CCE6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646</w:t>
            </w:r>
          </w:p>
        </w:tc>
        <w:tc>
          <w:tcPr>
            <w:tcW w:w="491" w:type="pct"/>
            <w:tcBorders>
              <w:top w:val="nil"/>
              <w:left w:val="nil"/>
              <w:bottom w:val="single" w:color="000000" w:sz="4" w:space="0"/>
              <w:right w:val="single" w:color="000000" w:sz="4" w:space="0"/>
            </w:tcBorders>
            <w:shd w:val="clear" w:color="auto" w:fill="auto"/>
            <w:vAlign w:val="center"/>
          </w:tcPr>
          <w:p w14:paraId="0BABF2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8549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业务支撑-标准接口交互-获取资质认定能力库参数接口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4EFB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获取资质认定能力库参数接口，外部审查系统专家在评审能力时，将申请机构申请参数中的“专业领域”、“类别”、“检测项目”、“检测标准编号”等查询参数提交给能力库，能力库返回匹配的能力信息。外部审查系统的资质认定标准能力页面展示接口返回的能力库结果记录的标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资质认定能力库返回参数包括：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 专业领域；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 行业主管；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 类别编号；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 类别名称；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 产品/项目/参数序号；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 产</w:t>
            </w:r>
          </w:p>
        </w:tc>
      </w:tr>
      <w:tr w14:paraId="17A9DB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9423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647</w:t>
            </w:r>
          </w:p>
        </w:tc>
        <w:tc>
          <w:tcPr>
            <w:tcW w:w="491" w:type="pct"/>
            <w:tcBorders>
              <w:top w:val="nil"/>
              <w:left w:val="nil"/>
              <w:bottom w:val="single" w:color="000000" w:sz="4" w:space="0"/>
              <w:right w:val="single" w:color="000000" w:sz="4" w:space="0"/>
            </w:tcBorders>
            <w:shd w:val="clear" w:color="auto" w:fill="auto"/>
            <w:vAlign w:val="center"/>
          </w:tcPr>
          <w:p w14:paraId="771F07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5C81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业务支撑-标准接口交互-更新资质认定能力库参数接口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CE2D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开发更新资质认定能力库参数接口，评审通过后，将原来不在检验检测能力标准库的标准维护至能力库。为资质认定检验检测能力标准的动态更新机制提供数据来源。</w:t>
            </w:r>
          </w:p>
        </w:tc>
      </w:tr>
      <w:tr w14:paraId="6DA3CA3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5741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648</w:t>
            </w:r>
          </w:p>
        </w:tc>
        <w:tc>
          <w:tcPr>
            <w:tcW w:w="491" w:type="pct"/>
            <w:tcBorders>
              <w:top w:val="nil"/>
              <w:left w:val="nil"/>
              <w:bottom w:val="single" w:color="000000" w:sz="4" w:space="0"/>
              <w:right w:val="single" w:color="000000" w:sz="4" w:space="0"/>
            </w:tcBorders>
            <w:shd w:val="clear" w:color="auto" w:fill="auto"/>
            <w:vAlign w:val="center"/>
          </w:tcPr>
          <w:p w14:paraId="308430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34A0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业务支撑-标准接口交互-评审报告上传接口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FBE5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对需要与第三方外部审查系统接口的系统，提供评审报告上传接口，实现相关的业务数据互联互通，减少重复录入、重复管理等。如计量型式评价与计测院进行接口对接。</w:t>
            </w:r>
          </w:p>
        </w:tc>
      </w:tr>
      <w:tr w14:paraId="12D54FF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9088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649</w:t>
            </w:r>
          </w:p>
        </w:tc>
        <w:tc>
          <w:tcPr>
            <w:tcW w:w="491" w:type="pct"/>
            <w:tcBorders>
              <w:top w:val="nil"/>
              <w:left w:val="nil"/>
              <w:bottom w:val="single" w:color="000000" w:sz="4" w:space="0"/>
              <w:right w:val="single" w:color="000000" w:sz="4" w:space="0"/>
            </w:tcBorders>
            <w:shd w:val="clear" w:color="auto" w:fill="auto"/>
            <w:vAlign w:val="center"/>
          </w:tcPr>
          <w:p w14:paraId="26D91F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8F08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业务支撑-标准接口交互-评审结果上传接口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44EA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将评审报告结果信息通过接口形式提供给到行政审批系统、综合监管系统，以支撑后续的业务处理工作。</w:t>
            </w:r>
          </w:p>
        </w:tc>
      </w:tr>
      <w:tr w14:paraId="1A752E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6AA2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650</w:t>
            </w:r>
          </w:p>
        </w:tc>
        <w:tc>
          <w:tcPr>
            <w:tcW w:w="491" w:type="pct"/>
            <w:tcBorders>
              <w:top w:val="nil"/>
              <w:left w:val="nil"/>
              <w:bottom w:val="single" w:color="000000" w:sz="4" w:space="0"/>
              <w:right w:val="single" w:color="000000" w:sz="4" w:space="0"/>
            </w:tcBorders>
            <w:shd w:val="clear" w:color="auto" w:fill="auto"/>
            <w:vAlign w:val="center"/>
          </w:tcPr>
          <w:p w14:paraId="41F4A9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12C1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业务支撑-标准接口交互-退回外部审查接口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8FC4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开发退回外部审查接口，行政审批系统、综合监管系统发现外部审查的评审结果缺失，错误等情形调用。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如：特种生产单位，审核部门在审核是发现评审结论和评审报告有差异的情况下可选择退回外部审查系统让鉴定评审机构重新上传报告或者修改评审结论。接口需要参数【外部审查系统的业务id，申请主体名称，退回时间，退回原因，操作处理人等】，以支撑外部审查系统后续的业务处理工作。</w:t>
            </w:r>
          </w:p>
        </w:tc>
      </w:tr>
      <w:tr w14:paraId="0BB5F7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8291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651</w:t>
            </w:r>
          </w:p>
        </w:tc>
        <w:tc>
          <w:tcPr>
            <w:tcW w:w="491" w:type="pct"/>
            <w:tcBorders>
              <w:top w:val="nil"/>
              <w:left w:val="nil"/>
              <w:bottom w:val="single" w:color="000000" w:sz="4" w:space="0"/>
              <w:right w:val="single" w:color="000000" w:sz="4" w:space="0"/>
            </w:tcBorders>
            <w:shd w:val="clear" w:color="auto" w:fill="auto"/>
            <w:vAlign w:val="center"/>
          </w:tcPr>
          <w:p w14:paraId="581DFB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5259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业务支撑-标准接口交互-发送消息通知接口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5144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消息发送接口，在外部审查系统发送任务给行政审批系统、综合监管系统的时候，调用接口发送通知消息。接口参数【申请号、申请主体名称、业务环节名称、通知消息接收人等】，以支撑后续的业务处理功能。</w:t>
            </w:r>
          </w:p>
        </w:tc>
      </w:tr>
      <w:tr w14:paraId="3C07AD5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F6AF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652</w:t>
            </w:r>
          </w:p>
        </w:tc>
        <w:tc>
          <w:tcPr>
            <w:tcW w:w="491" w:type="pct"/>
            <w:tcBorders>
              <w:top w:val="nil"/>
              <w:left w:val="nil"/>
              <w:bottom w:val="single" w:color="000000" w:sz="4" w:space="0"/>
              <w:right w:val="single" w:color="000000" w:sz="4" w:space="0"/>
            </w:tcBorders>
            <w:shd w:val="clear" w:color="auto" w:fill="auto"/>
            <w:vAlign w:val="center"/>
          </w:tcPr>
          <w:p w14:paraId="38AC03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150C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业务支撑-标准接口交互-食品安全监管人员抽取接口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8CE3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开发食品安全监管人员抽取接口，抽取监管人员组成员。提供企业名称、统一社会信用代码、食品生产品种等参数信息，调用抽取接口，接口接收监管人员信息。</w:t>
            </w:r>
          </w:p>
        </w:tc>
      </w:tr>
      <w:tr w14:paraId="422EBB9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9159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653</w:t>
            </w:r>
          </w:p>
        </w:tc>
        <w:tc>
          <w:tcPr>
            <w:tcW w:w="491" w:type="pct"/>
            <w:tcBorders>
              <w:top w:val="nil"/>
              <w:left w:val="nil"/>
              <w:bottom w:val="single" w:color="000000" w:sz="4" w:space="0"/>
              <w:right w:val="single" w:color="000000" w:sz="4" w:space="0"/>
            </w:tcBorders>
            <w:shd w:val="clear" w:color="auto" w:fill="auto"/>
            <w:vAlign w:val="center"/>
          </w:tcPr>
          <w:p w14:paraId="1C333D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BDBE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业务支撑-相似业务流程节点-统一任务接收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34FF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各事项在业务评审过程中的任务接收节点描述，各事项的节点名称可能不同，部分事项如有定制化的功能点，可在具体业务中单独描述：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外部审查系统接收来源于行政审批系统发起的2类食品许可、4类计量许可、1类重要工业许可、4类特种单位许可、资质认定的任务。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外部审查系统接收来源于综合监管系统发起的重要工业许可、资质认定告知承诺的任务。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业务操作人员可接收或退回任务。接收任务后流程流转至下一环节，退回任务后流程终</w:t>
            </w:r>
          </w:p>
        </w:tc>
      </w:tr>
      <w:tr w14:paraId="3CEBF61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E054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654</w:t>
            </w:r>
          </w:p>
        </w:tc>
        <w:tc>
          <w:tcPr>
            <w:tcW w:w="491" w:type="pct"/>
            <w:tcBorders>
              <w:top w:val="nil"/>
              <w:left w:val="nil"/>
              <w:bottom w:val="single" w:color="000000" w:sz="4" w:space="0"/>
              <w:right w:val="single" w:color="000000" w:sz="4" w:space="0"/>
            </w:tcBorders>
            <w:shd w:val="clear" w:color="auto" w:fill="auto"/>
            <w:vAlign w:val="center"/>
          </w:tcPr>
          <w:p w14:paraId="5A146E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D2DF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业务支撑-相似业务流程节点-统一制定评审计划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C4E7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各事项在业务评审过程中的制定鉴定评审计划节点描述，各事项的节点名称可能不同，部分事项如有定制化的功能点，可在具体业务中单独描述：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特种单位许可鉴定评审的制定鉴定评审计划环节的功能描述，鉴定评审机构与企业商定评审日期。抽取评审员组建鉴定评审组，确定组长。确定鉴定评审时间。鉴定评审机构录入评审计划。该环节包含 6 个功能点：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 被评审单位申请信息（申请书）查看，可嵌入许可申请案查看，也可仅提供申请</w:t>
            </w:r>
          </w:p>
        </w:tc>
      </w:tr>
      <w:tr w14:paraId="4E120E0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4C58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655</w:t>
            </w:r>
          </w:p>
        </w:tc>
        <w:tc>
          <w:tcPr>
            <w:tcW w:w="491" w:type="pct"/>
            <w:tcBorders>
              <w:top w:val="nil"/>
              <w:left w:val="nil"/>
              <w:bottom w:val="single" w:color="000000" w:sz="4" w:space="0"/>
              <w:right w:val="single" w:color="000000" w:sz="4" w:space="0"/>
            </w:tcBorders>
            <w:shd w:val="clear" w:color="auto" w:fill="auto"/>
            <w:vAlign w:val="center"/>
          </w:tcPr>
          <w:p w14:paraId="62F29E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B90F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业务支撑-相似业务流程节点-统一下发评审通知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84C1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各事项在业务评审过程中的下发评审通知节点描述，各事项的节点名称可能不同，部分事项如有定制化的功能点，可在具体业务中单独描述：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当考评计划完成后，使用下发评审通知功能下发评审通知，不同业务类型需要使用不同的评审通知书模板，如下是计量标准器具考核下发评审通知书环节的功能描述：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在“审核考评组”环节中，主要任务是对已组成的考评组信息进行最终的确认和调整。在此步骤中，负责人会仔细检查展示的基本信息、考核组</w:t>
            </w:r>
          </w:p>
        </w:tc>
      </w:tr>
      <w:tr w14:paraId="411C19D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B1E3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656</w:t>
            </w:r>
          </w:p>
        </w:tc>
        <w:tc>
          <w:tcPr>
            <w:tcW w:w="491" w:type="pct"/>
            <w:tcBorders>
              <w:top w:val="nil"/>
              <w:left w:val="nil"/>
              <w:bottom w:val="single" w:color="000000" w:sz="4" w:space="0"/>
              <w:right w:val="single" w:color="000000" w:sz="4" w:space="0"/>
            </w:tcBorders>
            <w:shd w:val="clear" w:color="auto" w:fill="auto"/>
            <w:vAlign w:val="center"/>
          </w:tcPr>
          <w:p w14:paraId="34619F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20A5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业务支撑-相似业务流程节点-统一审核考评组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6D59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各事项在业务评审过程中的审核考评组节点描述，各事项的节点名称可能不同，部分事项如有定制化的功能点，可在具体业务中单独描述：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考评机构对抽取完的专家组进行审核果信息进行审查确认，当确认信息无误后即为确认由专家组成员继续完成接下来的评审工作，若对专家组组成有异议，可退回上一环节进行修改。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计量标准考核评审功能描述如下：“审核考评组”环节主要是对“考评机构委派考评组”环节所添加的考评组信息完成修改确认工</w:t>
            </w:r>
          </w:p>
        </w:tc>
      </w:tr>
      <w:tr w14:paraId="67B20C5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1848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657</w:t>
            </w:r>
          </w:p>
        </w:tc>
        <w:tc>
          <w:tcPr>
            <w:tcW w:w="491" w:type="pct"/>
            <w:tcBorders>
              <w:top w:val="nil"/>
              <w:left w:val="nil"/>
              <w:bottom w:val="single" w:color="000000" w:sz="4" w:space="0"/>
              <w:right w:val="single" w:color="000000" w:sz="4" w:space="0"/>
            </w:tcBorders>
            <w:shd w:val="clear" w:color="auto" w:fill="auto"/>
            <w:vAlign w:val="center"/>
          </w:tcPr>
          <w:p w14:paraId="34A869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DFED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业务支撑-相似业务流程节点-统一考评机构审查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AE09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各事项在业务评审过程中的考评机构审查节点描述，各事项的节点名称可能不同，部分事项如有定制化的功能点，可在具体业务中单独描述：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考评机构对评审结果信息进行最后的审查确认，当确认信息无误后即为评审工作完成，若对评审内容有异议，可退回上一环节进行修改。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以下是计量标准器具核准在此环节需要配置使用的页面，页面详细内容见“专家评审”环节：“计量标准考评表”、“计量标准整改工作单”、“计量标准考核报告”、“证</w:t>
            </w:r>
          </w:p>
        </w:tc>
      </w:tr>
      <w:tr w14:paraId="135236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8F56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658</w:t>
            </w:r>
          </w:p>
        </w:tc>
        <w:tc>
          <w:tcPr>
            <w:tcW w:w="491" w:type="pct"/>
            <w:tcBorders>
              <w:top w:val="nil"/>
              <w:left w:val="nil"/>
              <w:bottom w:val="single" w:color="000000" w:sz="4" w:space="0"/>
              <w:right w:val="single" w:color="000000" w:sz="4" w:space="0"/>
            </w:tcBorders>
            <w:shd w:val="clear" w:color="auto" w:fill="auto"/>
            <w:vAlign w:val="center"/>
          </w:tcPr>
          <w:p w14:paraId="7A073B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7E04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业务支撑-配置综合管理-通用表单管理-业务资料查看嵌入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8563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业务资料查看功能，外部审查系统业务办理时需要查看行政审批系统，综合监管系统的相关业务资料，提供业务办理支持。例如行政审批系统的申请信息，文书信息，附件管理信息等业务资料需要再外部审查系统中同步展示。</w:t>
            </w:r>
          </w:p>
        </w:tc>
      </w:tr>
      <w:tr w14:paraId="737D0E7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0259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659</w:t>
            </w:r>
          </w:p>
        </w:tc>
        <w:tc>
          <w:tcPr>
            <w:tcW w:w="491" w:type="pct"/>
            <w:tcBorders>
              <w:top w:val="nil"/>
              <w:left w:val="nil"/>
              <w:bottom w:val="single" w:color="000000" w:sz="4" w:space="0"/>
              <w:right w:val="single" w:color="000000" w:sz="4" w:space="0"/>
            </w:tcBorders>
            <w:shd w:val="clear" w:color="auto" w:fill="auto"/>
            <w:vAlign w:val="center"/>
          </w:tcPr>
          <w:p w14:paraId="7935D3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0B36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业务支撑-配置综合管理-通用表单管理-历史意见查看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3828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实现办理意见查看、常用意见保存、待办处理提交功能。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部审查系统可以查看从申请开始后到发送到外部审查系统的全部环节的办理意见，用于业务办理的支持。例如：外部审查系统可以在办理记录页签中查看到申请从行政审批系统发起后的各环节处理情况，包括办理时间，办理意见，办理结果等，综合之前的办理意见做出对应的业务判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实现常用意见保存功能，针对不同环节，不同审批人，可保存常用审批意见，在输入审批意见后，点击设</w:t>
            </w:r>
          </w:p>
        </w:tc>
      </w:tr>
      <w:tr w14:paraId="1EBD7A5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A116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660</w:t>
            </w:r>
          </w:p>
        </w:tc>
        <w:tc>
          <w:tcPr>
            <w:tcW w:w="491" w:type="pct"/>
            <w:tcBorders>
              <w:top w:val="nil"/>
              <w:left w:val="nil"/>
              <w:bottom w:val="single" w:color="000000" w:sz="4" w:space="0"/>
              <w:right w:val="single" w:color="000000" w:sz="4" w:space="0"/>
            </w:tcBorders>
            <w:shd w:val="clear" w:color="auto" w:fill="auto"/>
            <w:vAlign w:val="center"/>
          </w:tcPr>
          <w:p w14:paraId="01E6C8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B3A7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业务支撑-配置综合管理-通用表单管理-附件管理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1FCB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实现业务办理各环节中，对除文书类的材料的上传、查看、删除功能。</w:t>
            </w:r>
          </w:p>
        </w:tc>
      </w:tr>
      <w:tr w14:paraId="6553CCD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0AC2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661</w:t>
            </w:r>
          </w:p>
        </w:tc>
        <w:tc>
          <w:tcPr>
            <w:tcW w:w="491" w:type="pct"/>
            <w:tcBorders>
              <w:top w:val="nil"/>
              <w:left w:val="nil"/>
              <w:bottom w:val="single" w:color="000000" w:sz="4" w:space="0"/>
              <w:right w:val="single" w:color="000000" w:sz="4" w:space="0"/>
            </w:tcBorders>
            <w:shd w:val="clear" w:color="auto" w:fill="auto"/>
            <w:vAlign w:val="center"/>
          </w:tcPr>
          <w:p w14:paraId="45DD4E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0966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业务支撑-配置综合管理-业务流程管理及配置-业务流程管理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B8B0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特种设备生产单位资格许可、移动式压力容器、气瓶充装单位资格许可、特种设备检验检测机构核准、特种设备检验机构核准、计量器具型式批准、计量标准考核评审、二级计量标准物质鉴定评审、承担国家法定计量检定机构任务的授权、重要工业品许可、食品生产许可（特殊食品）、食品生产许可（除特殊食品）、资质认定等12个事项的49+11个情形的业务流程建立统一的业务流程管理中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可使用拖拽+设置配置项的方式快速构建业务</w:t>
            </w:r>
          </w:p>
        </w:tc>
      </w:tr>
      <w:tr w14:paraId="7939417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E605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662</w:t>
            </w:r>
          </w:p>
        </w:tc>
        <w:tc>
          <w:tcPr>
            <w:tcW w:w="491" w:type="pct"/>
            <w:tcBorders>
              <w:top w:val="nil"/>
              <w:left w:val="nil"/>
              <w:bottom w:val="single" w:color="000000" w:sz="4" w:space="0"/>
              <w:right w:val="single" w:color="000000" w:sz="4" w:space="0"/>
            </w:tcBorders>
            <w:shd w:val="clear" w:color="auto" w:fill="auto"/>
            <w:vAlign w:val="center"/>
          </w:tcPr>
          <w:p w14:paraId="4578B3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9A94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业务支撑-配置综合管理-业务流程管理及配置-业务流程配置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3F44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置特种设备生产单位资格许可、移动式压力容器、气瓶充装单位资格许可、特种设备检验检测机构核准、特种设备检验机构核准、计量器具型式批准、计量标准考核评审、二级计量标准物质鉴定评审、承担国家法定计量检定机构任务的授权、重要工业品许可、食品生产许可（特殊食品）、食品生产许可（除特殊食品）、资质认定外部审查流程，如下为特种单位许可流程节点示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特种设备生产单位资格许可：任务接收、制定评审计划、下发评审通</w:t>
            </w:r>
          </w:p>
        </w:tc>
      </w:tr>
      <w:tr w14:paraId="7F14F56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9220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663</w:t>
            </w:r>
          </w:p>
        </w:tc>
        <w:tc>
          <w:tcPr>
            <w:tcW w:w="491" w:type="pct"/>
            <w:tcBorders>
              <w:top w:val="nil"/>
              <w:left w:val="nil"/>
              <w:bottom w:val="single" w:color="000000" w:sz="4" w:space="0"/>
              <w:right w:val="single" w:color="000000" w:sz="4" w:space="0"/>
            </w:tcBorders>
            <w:shd w:val="clear" w:color="auto" w:fill="auto"/>
            <w:vAlign w:val="center"/>
          </w:tcPr>
          <w:p w14:paraId="14E9D2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3351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业务支撑-配置综合管理-短信模板管理及配置-短信模板管理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BF89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在外部审查各业务类型操作环节，需要向指定接收人发送的短信内容，可通过配置式方式实现以下功能：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（1）向指定流程环节配置相应短信模板（支持同环节多种模板类型）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（2）根据业务信息自动填充短信模板文字内容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（3）向已配置的流程环节短信模板指定短信接受人（支持同一内容发送至不同接收人）</w:t>
            </w:r>
          </w:p>
        </w:tc>
      </w:tr>
      <w:tr w14:paraId="62317B2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182C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664</w:t>
            </w:r>
          </w:p>
        </w:tc>
        <w:tc>
          <w:tcPr>
            <w:tcW w:w="491" w:type="pct"/>
            <w:tcBorders>
              <w:top w:val="nil"/>
              <w:left w:val="nil"/>
              <w:bottom w:val="single" w:color="000000" w:sz="4" w:space="0"/>
              <w:right w:val="single" w:color="000000" w:sz="4" w:space="0"/>
            </w:tcBorders>
            <w:shd w:val="clear" w:color="auto" w:fill="auto"/>
            <w:vAlign w:val="center"/>
          </w:tcPr>
          <w:p w14:paraId="547191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DAA2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业务支撑-配置综合管理-短信模板管理及配置-短信模板配置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93CD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梳理外部审查各业务操作环节所需短信模板，使用短信模板管理功能配置短信。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计量许可：涉及首次申请、变更、变更并延续、复查、扩项、扩项+变更、复查+扩项+变更、复查+扩项、复查+变更短信模板。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重要工业许可：涉及新发证、延续、名称变更、许可范围变更业务短信模板。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检验检测资质认定：涉及首次、变更、复查、扩项、取消能力、自我声明备案变更业务短信模板。</w:t>
            </w:r>
          </w:p>
        </w:tc>
      </w:tr>
      <w:tr w14:paraId="1937D87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4E4C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665</w:t>
            </w:r>
          </w:p>
        </w:tc>
        <w:tc>
          <w:tcPr>
            <w:tcW w:w="491" w:type="pct"/>
            <w:tcBorders>
              <w:top w:val="nil"/>
              <w:left w:val="nil"/>
              <w:bottom w:val="single" w:color="000000" w:sz="4" w:space="0"/>
              <w:right w:val="single" w:color="000000" w:sz="4" w:space="0"/>
            </w:tcBorders>
            <w:shd w:val="clear" w:color="auto" w:fill="auto"/>
            <w:vAlign w:val="center"/>
          </w:tcPr>
          <w:p w14:paraId="19E9FE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C456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业务支撑-配置综合管理-文书模板管理及配置-文书模板管理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40BA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对外部审查各业务类型操作环节产生的文书，对通用的文书可通过配置式方式实现以下功能：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（1）指定流程环节配置相应类型文书模板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（2）根据业务信息自动填充文书模板文字内容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（3）根据业务信息自动生成条形图片并填充至文书指定位置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（4）根据配置的地址自动生成二维码链接图片并填充至文书指定位置</w:t>
            </w:r>
          </w:p>
        </w:tc>
      </w:tr>
      <w:tr w14:paraId="5578D33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7730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666</w:t>
            </w:r>
          </w:p>
        </w:tc>
        <w:tc>
          <w:tcPr>
            <w:tcW w:w="491" w:type="pct"/>
            <w:tcBorders>
              <w:top w:val="nil"/>
              <w:left w:val="nil"/>
              <w:bottom w:val="single" w:color="000000" w:sz="4" w:space="0"/>
              <w:right w:val="single" w:color="000000" w:sz="4" w:space="0"/>
            </w:tcBorders>
            <w:shd w:val="clear" w:color="auto" w:fill="auto"/>
            <w:vAlign w:val="center"/>
          </w:tcPr>
          <w:p w14:paraId="0D9CF8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E4B9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业务支撑-配置综合管理-文书模板管理及配置-文书模板配置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A0E4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梳理外部审查各业务操作环节所需文书模板，使用文书模板管理功能配置文书。</w:t>
            </w:r>
          </w:p>
        </w:tc>
      </w:tr>
      <w:tr w14:paraId="6FCE229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4CCD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667</w:t>
            </w:r>
          </w:p>
        </w:tc>
        <w:tc>
          <w:tcPr>
            <w:tcW w:w="491" w:type="pct"/>
            <w:tcBorders>
              <w:top w:val="nil"/>
              <w:left w:val="nil"/>
              <w:bottom w:val="single" w:color="000000" w:sz="4" w:space="0"/>
              <w:right w:val="single" w:color="000000" w:sz="4" w:space="0"/>
            </w:tcBorders>
            <w:shd w:val="clear" w:color="auto" w:fill="auto"/>
            <w:vAlign w:val="center"/>
          </w:tcPr>
          <w:p w14:paraId="7861BD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B3FB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业务支撑-配置综合管理-编号规则管理及配置-编号规则管理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C3C0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在外部审查全流程生命周期中，可通过配置式编号功能实现以下业务场景的编号规则：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（1）连续性规则编号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（2）编号内附带指定文字内容，如受理单位缩写等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（3）编号内长度可指定，不满可进行补零处理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（4）支持编号内填充格式化日期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（4）进制规则可指定，如流水满100进制为A等特定字母编号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编号规则配置场景：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（1）不同申请事项中，针对不同申请类型需要生成指定编号规则的申请号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（2）不同申请事项中，不同申</w:t>
            </w:r>
          </w:p>
        </w:tc>
      </w:tr>
      <w:tr w14:paraId="32607BE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12AF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668</w:t>
            </w:r>
          </w:p>
        </w:tc>
        <w:tc>
          <w:tcPr>
            <w:tcW w:w="491" w:type="pct"/>
            <w:tcBorders>
              <w:top w:val="nil"/>
              <w:left w:val="nil"/>
              <w:bottom w:val="single" w:color="000000" w:sz="4" w:space="0"/>
              <w:right w:val="single" w:color="000000" w:sz="4" w:space="0"/>
            </w:tcBorders>
            <w:shd w:val="clear" w:color="auto" w:fill="auto"/>
            <w:vAlign w:val="center"/>
          </w:tcPr>
          <w:p w14:paraId="31F448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7B22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业务支撑-配置综合管理-编号规则管理及配置-编号规则配置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EA8E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梳理外部审查各业务操作环节所需编号的规则，使用编号规则管理功能配置具体编号。</w:t>
            </w:r>
          </w:p>
        </w:tc>
      </w:tr>
      <w:tr w14:paraId="14DADC7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7E25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669</w:t>
            </w:r>
          </w:p>
        </w:tc>
        <w:tc>
          <w:tcPr>
            <w:tcW w:w="491" w:type="pct"/>
            <w:tcBorders>
              <w:top w:val="nil"/>
              <w:left w:val="nil"/>
              <w:bottom w:val="single" w:color="000000" w:sz="4" w:space="0"/>
              <w:right w:val="single" w:color="000000" w:sz="4" w:space="0"/>
            </w:tcBorders>
            <w:shd w:val="clear" w:color="auto" w:fill="auto"/>
            <w:vAlign w:val="center"/>
          </w:tcPr>
          <w:p w14:paraId="146DF4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48C3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业务支撑-配置综合管理-业务规则管理及配置-一般规则管理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73E9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特种设备生产单位资格许可、移动式压力容器、气瓶充装单位资格许可、特种设备检验检测机构核准、特种设备检验机构核准、计量器具新产品型式批准、计量标准考核评审、二级计量标准物质鉴定评审、承担国家法定计量检定机构任务的授权、重要工业品许可、食品生产许可（特殊食品）、食品生产许可（除特殊食品）的外部审查要求，统一将对应的审批时限、业务规则进行统一管理，建立业务规则库，进行统一更新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针对不同事项，</w:t>
            </w:r>
          </w:p>
        </w:tc>
      </w:tr>
      <w:tr w14:paraId="0D21D09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479A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670</w:t>
            </w:r>
          </w:p>
        </w:tc>
        <w:tc>
          <w:tcPr>
            <w:tcW w:w="491" w:type="pct"/>
            <w:tcBorders>
              <w:top w:val="nil"/>
              <w:left w:val="nil"/>
              <w:bottom w:val="single" w:color="000000" w:sz="4" w:space="0"/>
              <w:right w:val="single" w:color="000000" w:sz="4" w:space="0"/>
            </w:tcBorders>
            <w:shd w:val="clear" w:color="auto" w:fill="auto"/>
            <w:vAlign w:val="center"/>
          </w:tcPr>
          <w:p w14:paraId="74F6EE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2510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业务支撑-配置综合管理-业务规则管理及配置-专家抽取规则管理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FEAC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评审专家的专业领域和工作经验，对其参与评审的任务进行抽取和委派。专家随机抽取主要涉及：检验检测机构资质认定评审、计量标准考核评审、特种设备第三方评审。包括设置专家人数要求、设置专家领域要求、设置规避、时间段校验、一次随机抽取评审员、二次随机抽取评审员、人工调整评审员等以及必要的人工调整并填写调整原因。</w:t>
            </w:r>
          </w:p>
        </w:tc>
      </w:tr>
      <w:tr w14:paraId="54B1FBB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4BE8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671</w:t>
            </w:r>
          </w:p>
        </w:tc>
        <w:tc>
          <w:tcPr>
            <w:tcW w:w="491" w:type="pct"/>
            <w:tcBorders>
              <w:top w:val="nil"/>
              <w:left w:val="nil"/>
              <w:bottom w:val="single" w:color="000000" w:sz="4" w:space="0"/>
              <w:right w:val="single" w:color="000000" w:sz="4" w:space="0"/>
            </w:tcBorders>
            <w:shd w:val="clear" w:color="auto" w:fill="auto"/>
            <w:vAlign w:val="center"/>
          </w:tcPr>
          <w:p w14:paraId="2C131C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2943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业务事项评审专区-计量标准考核评审-指定考评机构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01C3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工作流转单页面包含4个重要功能点，分别是基本信息展示、考评信息信息填写、考评单位信息选择、计量标准考核许可工作流转单页面信息保存。支持页面保存、文书预览等功能，各功能点详细描述如下：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（1）基本信息展示：展示字段项有编号、申请单位名称、联系人、联系手机、联系电话、计量标准项目、申请类别、计量处初审意见、考核方式、指定考核对象、中介机构名称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（2）考评信息信息填写及业务规则数据校验：采集信息有考评单</w:t>
            </w:r>
          </w:p>
        </w:tc>
      </w:tr>
      <w:tr w14:paraId="4884771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1194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672</w:t>
            </w:r>
          </w:p>
        </w:tc>
        <w:tc>
          <w:tcPr>
            <w:tcW w:w="491" w:type="pct"/>
            <w:tcBorders>
              <w:top w:val="nil"/>
              <w:left w:val="nil"/>
              <w:bottom w:val="single" w:color="000000" w:sz="4" w:space="0"/>
              <w:right w:val="single" w:color="000000" w:sz="4" w:space="0"/>
            </w:tcBorders>
            <w:shd w:val="clear" w:color="auto" w:fill="auto"/>
            <w:vAlign w:val="center"/>
          </w:tcPr>
          <w:p w14:paraId="7C879F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0EF3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业务事项评审专区-计量标准考核评审-考评机构委派考评组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ACF6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考评机构委派考评组”环节主要由考评机构新增考核组成员、外聘考评员，委派考核相关工作。该环节需要配置“工作流转单”页面，详细描述见“指定考评机构”环节。其中工作流转单页面在该页面新增2个重要功能点，分别是新增并维护考核组成员信息、新增并维护外聘考评员信息。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（1）考核组成员信息维护：包含新增、编辑、删除功能。其中考核组成员通过“选择专家”方式新增，在选择专家时，可通过专家姓名</w:t>
            </w:r>
          </w:p>
        </w:tc>
      </w:tr>
      <w:tr w14:paraId="30F6507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D90F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673</w:t>
            </w:r>
          </w:p>
        </w:tc>
        <w:tc>
          <w:tcPr>
            <w:tcW w:w="491" w:type="pct"/>
            <w:tcBorders>
              <w:top w:val="nil"/>
              <w:left w:val="nil"/>
              <w:bottom w:val="single" w:color="000000" w:sz="4" w:space="0"/>
              <w:right w:val="single" w:color="000000" w:sz="4" w:space="0"/>
            </w:tcBorders>
            <w:shd w:val="clear" w:color="auto" w:fill="auto"/>
            <w:vAlign w:val="center"/>
          </w:tcPr>
          <w:p w14:paraId="4E4708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2185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业务事项评审专区-计量标准考核评审-专家评审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FB7C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在“专家评审”环节中，需要填写的重要信息有：计量标准考评表、计量标准整改工作单、计量标准考核报告、证书信息等，若有其他附件需要一并上传。各功能点详细描述如下：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（1）计量标准考评表：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本页面内容展示考核规范条款号及评审内容，大小项共计31项。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(1-1）条款内容有序排列，例如4.1、4.1.1、4.1.1、4.1.2依次排列开来；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(1-2）针对每一个小项都有对应的考评结果记录，考评结果默认“</w:t>
            </w:r>
          </w:p>
        </w:tc>
      </w:tr>
      <w:tr w14:paraId="44CA13A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7906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674</w:t>
            </w:r>
          </w:p>
        </w:tc>
        <w:tc>
          <w:tcPr>
            <w:tcW w:w="491" w:type="pct"/>
            <w:tcBorders>
              <w:top w:val="nil"/>
              <w:left w:val="nil"/>
              <w:bottom w:val="single" w:color="000000" w:sz="4" w:space="0"/>
              <w:right w:val="single" w:color="000000" w:sz="4" w:space="0"/>
            </w:tcBorders>
            <w:shd w:val="clear" w:color="auto" w:fill="auto"/>
            <w:vAlign w:val="center"/>
          </w:tcPr>
          <w:p w14:paraId="61EDA6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1501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业务事项评审专区-计量器具新产品型式批准-型式评审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FA92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功能清单描述：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评审”环节中，需要查看的信息有：评审通知，需要填写的重要信息有：计量器具型式批准工作流转单、办理过程、型批记录、确认通过的计量器具、计量器具型式评价报告、附件管理。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（1）评审通知展示：展示字段项有：单位名称、单位联系人、委托单位、委托日期。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（2）计量器具型式批准工作流转单：本页面中包含4个重要功能点，分别是基本信息展示、工作流转单信息的采集、工作流转单</w:t>
            </w:r>
          </w:p>
        </w:tc>
      </w:tr>
      <w:tr w14:paraId="5035EAC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606B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675</w:t>
            </w:r>
          </w:p>
        </w:tc>
        <w:tc>
          <w:tcPr>
            <w:tcW w:w="491" w:type="pct"/>
            <w:tcBorders>
              <w:top w:val="nil"/>
              <w:left w:val="nil"/>
              <w:bottom w:val="single" w:color="000000" w:sz="4" w:space="0"/>
              <w:right w:val="single" w:color="000000" w:sz="4" w:space="0"/>
            </w:tcBorders>
            <w:shd w:val="clear" w:color="auto" w:fill="auto"/>
            <w:vAlign w:val="center"/>
          </w:tcPr>
          <w:p w14:paraId="691156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2977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业务事项评审专区-承担国家法定计量检定机构任务的授权-委派专家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E8E8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在“委派专家”环节中，主要工作内容为指定考评专家。有4个模块的展示，分别为：业务资料查看、机构许可工作流转单，指定考评组，附件管理及上传。各功能点详细描述如下：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（1）业务资料查看：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本页签中主要展示申请机构在申请时填报的一些基本信息，分为基本情况、法定任务和任务范围、考核项目表、对照检查表、证书报告签发人员一览表 及考核记录、附件上传。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(1-1）基本情况：展示字段项有：申请类型、申请机构名</w:t>
            </w:r>
          </w:p>
        </w:tc>
      </w:tr>
      <w:tr w14:paraId="1E257CC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7DF7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676</w:t>
            </w:r>
          </w:p>
        </w:tc>
        <w:tc>
          <w:tcPr>
            <w:tcW w:w="491" w:type="pct"/>
            <w:tcBorders>
              <w:top w:val="nil"/>
              <w:left w:val="nil"/>
              <w:bottom w:val="single" w:color="000000" w:sz="4" w:space="0"/>
              <w:right w:val="single" w:color="000000" w:sz="4" w:space="0"/>
            </w:tcBorders>
            <w:shd w:val="clear" w:color="auto" w:fill="auto"/>
            <w:vAlign w:val="center"/>
          </w:tcPr>
          <w:p w14:paraId="5E9EA6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6F32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业务事项评审专区-承担国家法定计量检定机构任务的授权-填写评审报告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E84E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在“填写评审报告”环节中，主要专家填写记录考核中评审报告内容。有5个模块的展示，分别为：业务资料查看、现场考核、纠正措施验证、经确认考核项目、附件管理。各功能点详细描述如下：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（1）业务资料查看，同“委托专家“环节，展示内容相同，需配置使用“业务资料查看”页签。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（2）现场考核页签中，包含有考评组信息确认、考核规范与管理体系文件对照表、考核项目表、证书报告签发人考核记录、不合格项/缺陷项记录表、考</w:t>
            </w:r>
          </w:p>
        </w:tc>
      </w:tr>
      <w:tr w14:paraId="75DB900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309C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677</w:t>
            </w:r>
          </w:p>
        </w:tc>
        <w:tc>
          <w:tcPr>
            <w:tcW w:w="491" w:type="pct"/>
            <w:tcBorders>
              <w:top w:val="nil"/>
              <w:left w:val="nil"/>
              <w:bottom w:val="single" w:color="000000" w:sz="4" w:space="0"/>
              <w:right w:val="single" w:color="000000" w:sz="4" w:space="0"/>
            </w:tcBorders>
            <w:shd w:val="clear" w:color="auto" w:fill="auto"/>
            <w:vAlign w:val="center"/>
          </w:tcPr>
          <w:p w14:paraId="26F5D1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726B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业务事项评审专区-二级计量标准物质鉴定评审-委派考评组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9A69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委派考评组环节页面包含6个重要功能点，分别是申请书基本信息展示、二级鉴定物质定级鉴定工作流转单信息、证书正本及附表信息展示、任务提交给下一环节操作、附件管理等。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（1）基本信息展示及数据校验展示：包含4个重要功能点，分别是申请书、标准物质基本信息、认定值表信息、附件信息等，且均可在页面进行返回待办操作。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（1.1）申请书信息展示：其中申请书信息主要是展示标准物质定级鉴定行政许可申请书的信息反显（不</w:t>
            </w:r>
          </w:p>
        </w:tc>
      </w:tr>
      <w:tr w14:paraId="09D7134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3179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678</w:t>
            </w:r>
          </w:p>
        </w:tc>
        <w:tc>
          <w:tcPr>
            <w:tcW w:w="491" w:type="pct"/>
            <w:tcBorders>
              <w:top w:val="nil"/>
              <w:left w:val="nil"/>
              <w:bottom w:val="single" w:color="000000" w:sz="4" w:space="0"/>
              <w:right w:val="single" w:color="000000" w:sz="4" w:space="0"/>
            </w:tcBorders>
            <w:shd w:val="clear" w:color="auto" w:fill="auto"/>
            <w:vAlign w:val="center"/>
          </w:tcPr>
          <w:p w14:paraId="1C1B2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4BBF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业务事项评审专区-二级计量标准物质鉴定评审-专家评审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F652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专家评审环节页面包含6个重要功能点，分别是申请书基本信息展示、二级鉴定物质定级鉴定工作流转单信息展示、证书正本及附表信息展示、任务提交给下一环节操作、附件管理等。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（1）基本信息展示及数据校验展示：此环节需要配置使用"基本信息（申请书）、标准物质基本信息、认定表值信息、附件信息）"页面，页面详细内容见"委派考评组环节"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（2）二级鉴定物质定级鉴定工作流转单及数据校验展示：包含3个重要点，分别是二级</w:t>
            </w:r>
          </w:p>
        </w:tc>
      </w:tr>
      <w:tr w14:paraId="2A20439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0C51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679</w:t>
            </w:r>
          </w:p>
        </w:tc>
        <w:tc>
          <w:tcPr>
            <w:tcW w:w="491" w:type="pct"/>
            <w:tcBorders>
              <w:top w:val="nil"/>
              <w:left w:val="nil"/>
              <w:bottom w:val="single" w:color="000000" w:sz="4" w:space="0"/>
              <w:right w:val="single" w:color="000000" w:sz="4" w:space="0"/>
            </w:tcBorders>
            <w:shd w:val="clear" w:color="auto" w:fill="auto"/>
            <w:vAlign w:val="center"/>
          </w:tcPr>
          <w:p w14:paraId="4298F3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D4D6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业务事项评审专区-检验检测机构资质认定（一般流程）-委派评审组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3C73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在“委派评审组”环节，委派适当的评审组进行工作。评审组由具备相关专业知识和经验的人员组成，专业技术组织及其有关人员对所实施的检验、检测、检疫或者鉴定、评审结论承担法律责任。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专业技术机构委派专家组完成后，由技术机构领导审查专家组；如有疑问可回退至市场监管许可处重新指派审查机构。系统生成检验检测资质认定评审任务委托书，包括委托编号、委托日期、委托单位及联系单位电话、被审单位名称、现场评审截止日期、业</w:t>
            </w:r>
          </w:p>
        </w:tc>
      </w:tr>
      <w:tr w14:paraId="4613DE4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CEBF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680</w:t>
            </w:r>
          </w:p>
        </w:tc>
        <w:tc>
          <w:tcPr>
            <w:tcW w:w="491" w:type="pct"/>
            <w:tcBorders>
              <w:top w:val="nil"/>
              <w:left w:val="nil"/>
              <w:bottom w:val="single" w:color="000000" w:sz="4" w:space="0"/>
              <w:right w:val="single" w:color="000000" w:sz="4" w:space="0"/>
            </w:tcBorders>
            <w:shd w:val="clear" w:color="auto" w:fill="auto"/>
            <w:vAlign w:val="center"/>
          </w:tcPr>
          <w:p w14:paraId="40A5CC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90F5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业务事项评审专区-检验检测机构资质认定（一般流程）-材料审查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2F71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外部评审组对需要评审的材料进行初步审查，如对材料有疑问可退回至专业技术机构审查组；若无疑问即组织并实施现场评审工作；评审组专家根据材料评审如无需实施现场评审或者材料审查不通过，直接出审查报告。</w:t>
            </w:r>
          </w:p>
        </w:tc>
      </w:tr>
      <w:tr w14:paraId="2DAAED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43E5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681</w:t>
            </w:r>
          </w:p>
        </w:tc>
        <w:tc>
          <w:tcPr>
            <w:tcW w:w="491" w:type="pct"/>
            <w:tcBorders>
              <w:top w:val="nil"/>
              <w:left w:val="nil"/>
              <w:bottom w:val="single" w:color="000000" w:sz="4" w:space="0"/>
              <w:right w:val="single" w:color="000000" w:sz="4" w:space="0"/>
            </w:tcBorders>
            <w:shd w:val="clear" w:color="auto" w:fill="auto"/>
            <w:vAlign w:val="center"/>
          </w:tcPr>
          <w:p w14:paraId="5EBE81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74F6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业务事项评审专区-检验检测机构资质认定（一般流程）-实地核查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2320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根据不同评审任务，基于表单管理中心业务中台支持，由评审专家录入必要的结构化信息，涉及的材料有，包括：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1、检验检测机构资质认定评审报告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   展示机构信息、评审信息、机构概况、评审地点、评审组意见、评审结论；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2、检验检测机构资质认定现场评审日程表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   记录对检验检测机构名称、评审日期、评审地点、评审工作的日常安排时间流程表，如开始时间、结束时间、工作环节、内容、分工、机构联络人等。以及日程表的</w:t>
            </w:r>
          </w:p>
        </w:tc>
      </w:tr>
      <w:tr w14:paraId="0302268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6F3C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682</w:t>
            </w:r>
          </w:p>
        </w:tc>
        <w:tc>
          <w:tcPr>
            <w:tcW w:w="491" w:type="pct"/>
            <w:tcBorders>
              <w:top w:val="nil"/>
              <w:left w:val="nil"/>
              <w:bottom w:val="single" w:color="000000" w:sz="4" w:space="0"/>
              <w:right w:val="single" w:color="000000" w:sz="4" w:space="0"/>
            </w:tcBorders>
            <w:shd w:val="clear" w:color="auto" w:fill="auto"/>
            <w:vAlign w:val="center"/>
          </w:tcPr>
          <w:p w14:paraId="7376E0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8CCF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业务事项评审专区-特种设备生产单位鉴定评审、特种设备充装单位鉴定评审、特种设备检验、检测单位鉴定评审-评审通知变更（如需要）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F89F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单位认为鉴定评审组的组成，不利于评审的公正性或者不利于申请单位商业秘密保护的，应当在鉴定评审工作开展前书面向鉴定评审机构提出。鉴定评审机构核查属实的，应当重新安排鉴定评审人员并下发评审通知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评审机构重新抽取评审员，变更评审计划，并重新下发评审通知。</w:t>
            </w:r>
          </w:p>
        </w:tc>
      </w:tr>
      <w:tr w14:paraId="03A44F6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8CDF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683</w:t>
            </w:r>
          </w:p>
        </w:tc>
        <w:tc>
          <w:tcPr>
            <w:tcW w:w="491" w:type="pct"/>
            <w:tcBorders>
              <w:top w:val="nil"/>
              <w:left w:val="nil"/>
              <w:bottom w:val="single" w:color="000000" w:sz="4" w:space="0"/>
              <w:right w:val="single" w:color="000000" w:sz="4" w:space="0"/>
            </w:tcBorders>
            <w:shd w:val="clear" w:color="auto" w:fill="auto"/>
            <w:vAlign w:val="center"/>
          </w:tcPr>
          <w:p w14:paraId="2B648F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EA9A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业务事项评审专区-特种设备生产单位鉴定评审、特种设备充装单位鉴定评审、特种设备检验、检测单位鉴定评审-会议过程上报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2FED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本环节增加会议上报页签，可维护（增加，删除，修改）评审过程中的首次、末次会议，包括会议时间，参会人员，会议内容，上传会议视频和会议签到表。</w:t>
            </w:r>
          </w:p>
        </w:tc>
      </w:tr>
      <w:tr w14:paraId="07B0AC0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85F4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684</w:t>
            </w:r>
          </w:p>
        </w:tc>
        <w:tc>
          <w:tcPr>
            <w:tcW w:w="491" w:type="pct"/>
            <w:tcBorders>
              <w:top w:val="nil"/>
              <w:left w:val="nil"/>
              <w:bottom w:val="single" w:color="000000" w:sz="4" w:space="0"/>
              <w:right w:val="single" w:color="000000" w:sz="4" w:space="0"/>
            </w:tcBorders>
            <w:shd w:val="clear" w:color="auto" w:fill="auto"/>
            <w:vAlign w:val="center"/>
          </w:tcPr>
          <w:p w14:paraId="1AF0E0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E6F8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业务事项评审专区-特种设备生产单位鉴定评审、特种设备充装单位鉴定评审、特种设备检验、检测单位鉴定评审-鉴定评审初评结果录入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D829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鉴定评审组应当根据现场评审情况，提出初步评审意见，并就需要整改的问题与申请人充分沟通，形成现场评审结论意见。现场评审结论意见按以下要求分为“符合条件”“不符合条件”和“需要整改”。如需要整改，同时出具《特种设备鉴定评审工作备忘录》（按照申请项目出具对应的鉴定评审工作备忘录），由系统生成该备忘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本环节增加鉴定评审初评结果页签：录入初评相关信息，包含评审单位名称，申请单位名称，评审起、止日期，备忘</w:t>
            </w:r>
          </w:p>
        </w:tc>
      </w:tr>
      <w:tr w14:paraId="1FF872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C3FB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685</w:t>
            </w:r>
          </w:p>
        </w:tc>
        <w:tc>
          <w:tcPr>
            <w:tcW w:w="491" w:type="pct"/>
            <w:tcBorders>
              <w:top w:val="nil"/>
              <w:left w:val="nil"/>
              <w:bottom w:val="single" w:color="000000" w:sz="4" w:space="0"/>
              <w:right w:val="single" w:color="000000" w:sz="4" w:space="0"/>
            </w:tcBorders>
            <w:shd w:val="clear" w:color="auto" w:fill="auto"/>
            <w:vAlign w:val="center"/>
          </w:tcPr>
          <w:p w14:paraId="3C8BCD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4CFC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业务事项评审专区-特种设备生产单位鉴定评审、特种设备充装单位鉴定评审、特种设备检验、检测单位鉴定评审-整改评审结果录入（需要整改）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76A0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环节增加鉴定评审整改确认页签，评审组上传申请单位的整改报告及见证材料。评审机构对整改报告资料进行确认或进行现场确认后，系统内记录整改确认信息：整改确认日期，整改确认方式（资料确认/现场确认），整改确认结论，发现问题、整改情况和确认情况录入（录入信息包含：问题方面，序号，存在问题，整改情况，确认人）。系统根据录入的信息生成特种设备鉴定评审整改情况确认报告（确认签名一栏留空）。如企业未能在整改期限内</w:t>
            </w:r>
          </w:p>
        </w:tc>
      </w:tr>
      <w:tr w14:paraId="63B7807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5F62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686</w:t>
            </w:r>
          </w:p>
        </w:tc>
        <w:tc>
          <w:tcPr>
            <w:tcW w:w="491" w:type="pct"/>
            <w:tcBorders>
              <w:top w:val="nil"/>
              <w:left w:val="nil"/>
              <w:bottom w:val="single" w:color="000000" w:sz="4" w:space="0"/>
              <w:right w:val="single" w:color="000000" w:sz="4" w:space="0"/>
            </w:tcBorders>
            <w:shd w:val="clear" w:color="auto" w:fill="auto"/>
            <w:vAlign w:val="center"/>
          </w:tcPr>
          <w:p w14:paraId="7B516F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2707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业务事项评审专区-特种设备生产单位鉴定评审、特种设备充装单位鉴定评审、特种设备检验、检测单位鉴定评审-异议申请管理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4E2A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异议申请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1.企业异议申请：企业对于随机产生的鉴定评审机构提出异议申请；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2.鉴定评审机构异议申请：鉴定评审机构对于随机产生的鉴定评审机构提出异议申请。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异议审批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1.监察机关受理企业或鉴定评审机构申请的异议，并根据实际情况审核，形成审批业务流；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2.审核不通过时，填写不通过的原因，并告知申请单位。申请单位可重新提交异议申请，系统记录申请单位每一次的提交情况，监管可以再次进行审批，审批时，系统展示</w:t>
            </w:r>
          </w:p>
        </w:tc>
      </w:tr>
      <w:tr w14:paraId="788AF88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C722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687</w:t>
            </w:r>
          </w:p>
        </w:tc>
        <w:tc>
          <w:tcPr>
            <w:tcW w:w="491" w:type="pct"/>
            <w:tcBorders>
              <w:top w:val="nil"/>
              <w:left w:val="nil"/>
              <w:bottom w:val="single" w:color="000000" w:sz="4" w:space="0"/>
              <w:right w:val="single" w:color="000000" w:sz="4" w:space="0"/>
            </w:tcBorders>
            <w:shd w:val="clear" w:color="auto" w:fill="auto"/>
            <w:vAlign w:val="center"/>
          </w:tcPr>
          <w:p w14:paraId="1F8186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1EE9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业务事项评审专区-特种设备生产单位鉴定评审、特种设备充装单位鉴定评审、特种设备检验、检测单位鉴定评审-异议综合管理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0310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1.异议通知：审核通过后，将审核结果推送到申请单位，并将审核通过的结果数据推送给行政审批许可系统。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2.异议查询：根据条件对提出过异议的数据进行查询，在监管端和企业端不同用户查看的数据范围不同。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3.免鉴定评审承诺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1）免鉴定评审承诺申请：对于换证的可申请免于鉴定的被评审单位，提交免鉴定评审换证申请，且系统自动生成“免鉴定评审换证”承诺书，由被评审单位进行申请备案；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2）并推送“免鉴定评审换证”承</w:t>
            </w:r>
          </w:p>
        </w:tc>
      </w:tr>
      <w:tr w14:paraId="6857DC5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6DCD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688</w:t>
            </w:r>
          </w:p>
        </w:tc>
        <w:tc>
          <w:tcPr>
            <w:tcW w:w="491" w:type="pct"/>
            <w:tcBorders>
              <w:top w:val="nil"/>
              <w:left w:val="nil"/>
              <w:bottom w:val="single" w:color="000000" w:sz="4" w:space="0"/>
              <w:right w:val="single" w:color="000000" w:sz="4" w:space="0"/>
            </w:tcBorders>
            <w:shd w:val="clear" w:color="auto" w:fill="auto"/>
            <w:vAlign w:val="center"/>
          </w:tcPr>
          <w:p w14:paraId="3D6157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60DE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业务事项评审专区-特种设备生产单位鉴定评审、特种设备充装单位鉴定评审、特种设备检验、检测单位鉴定评审-鉴定评审约请函管理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1E7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约请函上传：鉴定评审机构上传与生产单位确认完成后的约请函扫描件。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约请函查询：市局监管经办人可查询全市生产单位与鉴定评审机构确认后的约请函；生产单位所在区监管可查询本区域内的鉴定评审机构确认后的约请函。查询内容包含：生产单位名称、约定日期、鉴定评审机构、已确认的约请函PDF扫描件等。</w:t>
            </w:r>
          </w:p>
        </w:tc>
      </w:tr>
      <w:tr w14:paraId="1F50054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AC17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689</w:t>
            </w:r>
          </w:p>
        </w:tc>
        <w:tc>
          <w:tcPr>
            <w:tcW w:w="491" w:type="pct"/>
            <w:tcBorders>
              <w:top w:val="nil"/>
              <w:left w:val="nil"/>
              <w:bottom w:val="single" w:color="000000" w:sz="4" w:space="0"/>
              <w:right w:val="single" w:color="000000" w:sz="4" w:space="0"/>
            </w:tcBorders>
            <w:shd w:val="clear" w:color="auto" w:fill="auto"/>
            <w:vAlign w:val="center"/>
          </w:tcPr>
          <w:p w14:paraId="1E1117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BD87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业务事项评审专区-特种设备生产单位鉴定评审、特种设备充装单位鉴定评审、特种设备检验、检测单位鉴定评审-鉴定评审视频上传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0B87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1.会议全过程视频上传：根据会议时间、事项上报到监管端，上次的频率：一年六百至七百次之间，首次和末次视频各半小时，半小时视频预计900M。</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2.根据被评审单位、评审单位地址、单位所属区域等条件查询鉴定评审机构上传的首次、结束两个环节的鉴定评审会议全过程视频。</w:t>
            </w:r>
          </w:p>
        </w:tc>
      </w:tr>
      <w:tr w14:paraId="1B1738A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BE65D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690</w:t>
            </w:r>
          </w:p>
        </w:tc>
        <w:tc>
          <w:tcPr>
            <w:tcW w:w="491" w:type="pct"/>
            <w:tcBorders>
              <w:top w:val="nil"/>
              <w:left w:val="nil"/>
              <w:bottom w:val="single" w:color="000000" w:sz="4" w:space="0"/>
              <w:right w:val="single" w:color="000000" w:sz="4" w:space="0"/>
            </w:tcBorders>
            <w:shd w:val="clear" w:color="auto" w:fill="auto"/>
            <w:vAlign w:val="center"/>
          </w:tcPr>
          <w:p w14:paraId="2F8FEF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DDBE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业务事项评审专区-特种设备生产单位鉴定评审、特种设备充装单位鉴定评审、特种设备检验、检测单位鉴定评审-鉴定评审资源上传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E097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评审报告上传：对审批完成的鉴定评审报告、不符合项目整改表、鉴定评审组整改确认报告、不符合项目整改表等上传到对应的行政审批许可系统。</w:t>
            </w:r>
          </w:p>
        </w:tc>
      </w:tr>
      <w:tr w14:paraId="5CFD796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E661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691</w:t>
            </w:r>
          </w:p>
        </w:tc>
        <w:tc>
          <w:tcPr>
            <w:tcW w:w="491" w:type="pct"/>
            <w:tcBorders>
              <w:top w:val="nil"/>
              <w:left w:val="nil"/>
              <w:bottom w:val="single" w:color="000000" w:sz="4" w:space="0"/>
              <w:right w:val="single" w:color="000000" w:sz="4" w:space="0"/>
            </w:tcBorders>
            <w:shd w:val="clear" w:color="auto" w:fill="auto"/>
            <w:vAlign w:val="center"/>
          </w:tcPr>
          <w:p w14:paraId="753824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D38B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业务事项评审专区-特种设备生产单位鉴定评审、特种设备充装单位鉴定评审、特种设备检验、检测单位鉴定评审-报告详情查询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9CC9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1.根据鉴定评审机构、申请单位名称查看对应的鉴定评审报告电子版</w:t>
            </w:r>
          </w:p>
        </w:tc>
      </w:tr>
      <w:tr w14:paraId="0AA7812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2728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692</w:t>
            </w:r>
          </w:p>
        </w:tc>
        <w:tc>
          <w:tcPr>
            <w:tcW w:w="491" w:type="pct"/>
            <w:tcBorders>
              <w:top w:val="nil"/>
              <w:left w:val="nil"/>
              <w:bottom w:val="single" w:color="000000" w:sz="4" w:space="0"/>
              <w:right w:val="single" w:color="000000" w:sz="4" w:space="0"/>
            </w:tcBorders>
            <w:shd w:val="clear" w:color="auto" w:fill="auto"/>
            <w:vAlign w:val="center"/>
          </w:tcPr>
          <w:p w14:paraId="1044E1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8860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业务事项评审专区-重要工业产品（简化审批）、重要工业产品（后置审查）-实地核查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EF9E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地核查组，组长和组员分别录入核查结果。对于实地核查不符合和建议改进条件录入系统，录入数据项包括：企业名称、产品单元、序号、条款号、不符合程度（不符合/建议改进）、事实描述，系统生成《企业实地核查不符合和建议改进条款汇总表》。</w:t>
            </w:r>
          </w:p>
        </w:tc>
      </w:tr>
      <w:tr w14:paraId="48C21F8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11BB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693</w:t>
            </w:r>
          </w:p>
        </w:tc>
        <w:tc>
          <w:tcPr>
            <w:tcW w:w="491" w:type="pct"/>
            <w:tcBorders>
              <w:top w:val="nil"/>
              <w:left w:val="nil"/>
              <w:bottom w:val="single" w:color="000000" w:sz="4" w:space="0"/>
              <w:right w:val="single" w:color="000000" w:sz="4" w:space="0"/>
            </w:tcBorders>
            <w:shd w:val="clear" w:color="auto" w:fill="auto"/>
            <w:vAlign w:val="center"/>
          </w:tcPr>
          <w:p w14:paraId="5E60BD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5FAF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业务事项评审专区-重要工业产品（简化审批）、重要工业产品（后置审查）-维护现场核查结论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DEBB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查机构维护核查结论，数据项包括：申请企业名称、生产地址、邮编、产品名称、联系人、联系电话、邮箱、产品单元、核查结论（核查起止日期，符合xx条，不符合xx条，建议改进xx条，其他情况说明，核查结论（合格/不合格）），以及审查组成员信息。系统生成生产许可证企业实地核查报告。审查机构上传审查组现场形成的核查材料和记录，并提交至许可实施机关。</w:t>
            </w:r>
          </w:p>
        </w:tc>
      </w:tr>
      <w:tr w14:paraId="562C84F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3F53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694</w:t>
            </w:r>
          </w:p>
        </w:tc>
        <w:tc>
          <w:tcPr>
            <w:tcW w:w="491" w:type="pct"/>
            <w:tcBorders>
              <w:top w:val="nil"/>
              <w:left w:val="nil"/>
              <w:bottom w:val="single" w:color="000000" w:sz="4" w:space="0"/>
              <w:right w:val="single" w:color="000000" w:sz="4" w:space="0"/>
            </w:tcBorders>
            <w:shd w:val="clear" w:color="auto" w:fill="auto"/>
            <w:vAlign w:val="center"/>
          </w:tcPr>
          <w:p w14:paraId="4A736C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0A05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食安知识-政策指导</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78D2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展示《上海市食品安全信息追溯管理办法》、《上海市食品从业人员食品安全知识监督抽查考核管理办法》、《企业落实食品安全主体责任监督管理规定》、《食品召回管理办法》等政策类文档</w:t>
            </w:r>
          </w:p>
        </w:tc>
      </w:tr>
      <w:tr w14:paraId="3554D5F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F515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695</w:t>
            </w:r>
          </w:p>
        </w:tc>
        <w:tc>
          <w:tcPr>
            <w:tcW w:w="491" w:type="pct"/>
            <w:tcBorders>
              <w:top w:val="nil"/>
              <w:left w:val="nil"/>
              <w:bottom w:val="single" w:color="000000" w:sz="4" w:space="0"/>
              <w:right w:val="single" w:color="000000" w:sz="4" w:space="0"/>
            </w:tcBorders>
            <w:shd w:val="clear" w:color="auto" w:fill="auto"/>
            <w:vAlign w:val="center"/>
          </w:tcPr>
          <w:p w14:paraId="4940E4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8DD5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食安知识-操作手册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3766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平台相关功能操作手册文档查询和下载</w:t>
            </w:r>
          </w:p>
        </w:tc>
      </w:tr>
      <w:tr w14:paraId="6293EEB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A1AC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696</w:t>
            </w:r>
          </w:p>
        </w:tc>
        <w:tc>
          <w:tcPr>
            <w:tcW w:w="491" w:type="pct"/>
            <w:tcBorders>
              <w:top w:val="nil"/>
              <w:left w:val="nil"/>
              <w:bottom w:val="single" w:color="000000" w:sz="4" w:space="0"/>
              <w:right w:val="single" w:color="000000" w:sz="4" w:space="0"/>
            </w:tcBorders>
            <w:shd w:val="clear" w:color="auto" w:fill="auto"/>
            <w:vAlign w:val="center"/>
          </w:tcPr>
          <w:p w14:paraId="5F579B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F59D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食安知识-食品从业人员培训资料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A9DD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抽查考核大纲资料，政策资料，在线学习资料</w:t>
            </w:r>
          </w:p>
        </w:tc>
      </w:tr>
      <w:tr w14:paraId="1E25CC3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3A76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697</w:t>
            </w:r>
          </w:p>
        </w:tc>
        <w:tc>
          <w:tcPr>
            <w:tcW w:w="491" w:type="pct"/>
            <w:tcBorders>
              <w:top w:val="nil"/>
              <w:left w:val="nil"/>
              <w:bottom w:val="single" w:color="000000" w:sz="4" w:space="0"/>
              <w:right w:val="single" w:color="000000" w:sz="4" w:space="0"/>
            </w:tcBorders>
            <w:shd w:val="clear" w:color="auto" w:fill="auto"/>
            <w:vAlign w:val="center"/>
          </w:tcPr>
          <w:p w14:paraId="3DDEA6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9B6B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食安知识-食品安全服务包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7E30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法律法规查阅、政策解读、培训视频学习等</w:t>
            </w:r>
          </w:p>
        </w:tc>
      </w:tr>
      <w:tr w14:paraId="79E205A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18B8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698</w:t>
            </w:r>
          </w:p>
        </w:tc>
        <w:tc>
          <w:tcPr>
            <w:tcW w:w="491" w:type="pct"/>
            <w:tcBorders>
              <w:top w:val="nil"/>
              <w:left w:val="nil"/>
              <w:bottom w:val="single" w:color="000000" w:sz="4" w:space="0"/>
              <w:right w:val="single" w:color="000000" w:sz="4" w:space="0"/>
            </w:tcBorders>
            <w:shd w:val="clear" w:color="auto" w:fill="auto"/>
            <w:vAlign w:val="center"/>
          </w:tcPr>
          <w:p w14:paraId="6E6B8B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E3D3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食安知识-培训视频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2725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平台功能操作指导视频在线查看；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食品安全知识培训视频课件在线查看、回放，并统计用户播放视频时长、观看历史。</w:t>
            </w:r>
          </w:p>
        </w:tc>
      </w:tr>
      <w:tr w14:paraId="019E490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FF01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699</w:t>
            </w:r>
          </w:p>
        </w:tc>
        <w:tc>
          <w:tcPr>
            <w:tcW w:w="491" w:type="pct"/>
            <w:tcBorders>
              <w:top w:val="nil"/>
              <w:left w:val="nil"/>
              <w:bottom w:val="single" w:color="000000" w:sz="4" w:space="0"/>
              <w:right w:val="single" w:color="000000" w:sz="4" w:space="0"/>
            </w:tcBorders>
            <w:shd w:val="clear" w:color="auto" w:fill="auto"/>
            <w:vAlign w:val="center"/>
          </w:tcPr>
          <w:p w14:paraId="47F7C9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EB36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特种设备资源名录-警示案例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8A31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各级监察可该功能将可公开发布的往年特种设备相关的事故和案例分析资料，通过图文和视频等方式，展现以此警醒使用单位、生产单位和普通公众提高特种设备安全风险防范意识，企业在此学习查看。</w:t>
            </w:r>
          </w:p>
        </w:tc>
      </w:tr>
      <w:tr w14:paraId="149177B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634D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700</w:t>
            </w:r>
          </w:p>
        </w:tc>
        <w:tc>
          <w:tcPr>
            <w:tcW w:w="491" w:type="pct"/>
            <w:tcBorders>
              <w:top w:val="nil"/>
              <w:left w:val="nil"/>
              <w:bottom w:val="single" w:color="000000" w:sz="4" w:space="0"/>
              <w:right w:val="single" w:color="000000" w:sz="4" w:space="0"/>
            </w:tcBorders>
            <w:shd w:val="clear" w:color="auto" w:fill="auto"/>
            <w:vAlign w:val="center"/>
          </w:tcPr>
          <w:p w14:paraId="6C96AE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A495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特种设备资源名录-在线学习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16AA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主要展现特种设备的安全标准、检验缺陷、专家分析等内容在线学习功能。</w:t>
            </w:r>
          </w:p>
        </w:tc>
      </w:tr>
      <w:tr w14:paraId="3F826A9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AB66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701</w:t>
            </w:r>
          </w:p>
        </w:tc>
        <w:tc>
          <w:tcPr>
            <w:tcW w:w="491" w:type="pct"/>
            <w:tcBorders>
              <w:top w:val="nil"/>
              <w:left w:val="nil"/>
              <w:bottom w:val="single" w:color="000000" w:sz="4" w:space="0"/>
              <w:right w:val="single" w:color="000000" w:sz="4" w:space="0"/>
            </w:tcBorders>
            <w:shd w:val="clear" w:color="auto" w:fill="auto"/>
            <w:vAlign w:val="center"/>
          </w:tcPr>
          <w:p w14:paraId="699A4C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656B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特种设备资源名录-产品资料库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CC0F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特种设备各类产品的使用说明、操作手册、安全文档等，包含但不限于、文档、图片、音视频等内容形式，可进行文档在线管理，企业可以依据监管需求上传，也可以进行内部文档管理，为专项检查任务提供文档数据服务支持。</w:t>
            </w:r>
          </w:p>
        </w:tc>
      </w:tr>
      <w:tr w14:paraId="5DC146D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40F2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702</w:t>
            </w:r>
          </w:p>
        </w:tc>
        <w:tc>
          <w:tcPr>
            <w:tcW w:w="491" w:type="pct"/>
            <w:tcBorders>
              <w:top w:val="nil"/>
              <w:left w:val="nil"/>
              <w:bottom w:val="single" w:color="000000" w:sz="4" w:space="0"/>
              <w:right w:val="single" w:color="000000" w:sz="4" w:space="0"/>
            </w:tcBorders>
            <w:shd w:val="clear" w:color="auto" w:fill="auto"/>
            <w:vAlign w:val="center"/>
          </w:tcPr>
          <w:p w14:paraId="1B96E2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8270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工业产品企业专享服务包-惠企政策信息接收和管理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2093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接受政府监管端推送来的惠企政策信息。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主要功能包括：系统智能识别信息内容，精准自动匹配相关企业，智能推送相关信息给企业，根据接收情况进行响应反馈。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对企业生产、经营、发展有关的政策文件发布后，经自动匹配行业企业推送至企业用户，企业可以在线查看政策文件。比如，产品质量可靠性创新“最佳实践”的通知推送给企业。</w:t>
            </w:r>
          </w:p>
        </w:tc>
      </w:tr>
      <w:tr w14:paraId="14490D0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C7CF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703</w:t>
            </w:r>
          </w:p>
        </w:tc>
        <w:tc>
          <w:tcPr>
            <w:tcW w:w="491" w:type="pct"/>
            <w:tcBorders>
              <w:top w:val="nil"/>
              <w:left w:val="nil"/>
              <w:bottom w:val="single" w:color="000000" w:sz="4" w:space="0"/>
              <w:right w:val="single" w:color="000000" w:sz="4" w:space="0"/>
            </w:tcBorders>
            <w:shd w:val="clear" w:color="auto" w:fill="auto"/>
            <w:vAlign w:val="center"/>
          </w:tcPr>
          <w:p w14:paraId="3E684F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C3B6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工业产品企业专享服务包-监管信息接收和管理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2D92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督抽查信息推送：监督抽查工作完成后，合格的检测报告自动推送至企业用户，不合格的检测报告待线下送达后自动推送至企业用户。企业用户可以在线查看和下载检测报告，并针对检测报告结果信息线上提出结果异议和复检申请、反馈完成后处理复查整改工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风险监测信息推送：风险监测工作完成后，符合风险监测依据的检测报告自动推送至企业用户，不符合风险监测依据的检测报告待线下确认后自动推送给企业用户。企业用户可以在线查看和下载检测报告，并针对检测结果反馈整改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（3）证后监督检查信息推送：证后监督检查完成后，经企业确认的检查结果自动推送至企业用户，企业可以在线查看证后监督检查结果，反馈整改结果。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（4）监督检查信息推送：监督检查（含专项检查、主体责任落实监管）完成后，经企业确认的检查结果自动推送至企业用户，企业可以在线查看证后监督检查结果，反馈整改结果。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风险排查信息推送：预警系统对产品质量风险信息数据进行采集，结合第三方机构分析研判，确定产品质量安全风险，形成风险隐患排查内容，经自动匹配行业企业推送至企业用户，企业可以在线查看风险隐患排查要求进行自查，并反馈排查情况。相关风险隐患排查内容同步由预警系统推送至监管人员，监管人员按照风险隐患排查要求对企业进行隐患排查，如发现风险经由系统推送至企业进行整改，回访核实风险消除情况。</w:t>
            </w:r>
          </w:p>
        </w:tc>
      </w:tr>
      <w:tr w14:paraId="22A4594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85E5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704</w:t>
            </w:r>
          </w:p>
        </w:tc>
        <w:tc>
          <w:tcPr>
            <w:tcW w:w="491" w:type="pct"/>
            <w:tcBorders>
              <w:top w:val="nil"/>
              <w:left w:val="nil"/>
              <w:bottom w:val="single" w:color="000000" w:sz="4" w:space="0"/>
              <w:right w:val="single" w:color="000000" w:sz="4" w:space="0"/>
            </w:tcBorders>
            <w:shd w:val="clear" w:color="auto" w:fill="auto"/>
            <w:vAlign w:val="center"/>
          </w:tcPr>
          <w:p w14:paraId="18D40A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A1AF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工业产品企业专享服务包-质量技术帮扶服务选用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E307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企业用户查看相关质量帮扶机构或专家的信息。系统详细列出相关质量帮扶机构提供的质量帮扶能力，由企业用户根据自己的需求选择技术机构或专家，沟通获取帮扶服务或技术服务，以达成质量帮扶服务目标。</w:t>
            </w:r>
          </w:p>
        </w:tc>
      </w:tr>
      <w:tr w14:paraId="0123769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02AC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705</w:t>
            </w:r>
          </w:p>
        </w:tc>
        <w:tc>
          <w:tcPr>
            <w:tcW w:w="491" w:type="pct"/>
            <w:tcBorders>
              <w:top w:val="nil"/>
              <w:left w:val="nil"/>
              <w:bottom w:val="single" w:color="000000" w:sz="4" w:space="0"/>
              <w:right w:val="single" w:color="000000" w:sz="4" w:space="0"/>
            </w:tcBorders>
            <w:shd w:val="clear" w:color="auto" w:fill="auto"/>
            <w:vAlign w:val="center"/>
          </w:tcPr>
          <w:p w14:paraId="7FA72A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0A35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市场监管法治云体检报告-基础信息报告模块-规则配置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C296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对法治云体检报告种的基础信息内容涉及的规则进行规则配置。</w:t>
            </w:r>
          </w:p>
        </w:tc>
      </w:tr>
      <w:tr w14:paraId="1A30B6A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89E0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706</w:t>
            </w:r>
          </w:p>
        </w:tc>
        <w:tc>
          <w:tcPr>
            <w:tcW w:w="491" w:type="pct"/>
            <w:tcBorders>
              <w:top w:val="nil"/>
              <w:left w:val="nil"/>
              <w:bottom w:val="single" w:color="000000" w:sz="4" w:space="0"/>
              <w:right w:val="single" w:color="000000" w:sz="4" w:space="0"/>
            </w:tcBorders>
            <w:shd w:val="clear" w:color="auto" w:fill="auto"/>
            <w:vAlign w:val="center"/>
          </w:tcPr>
          <w:p w14:paraId="6C7ACB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E6FB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市场监管法治云体检报告-基础信息报告模块-报告生成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5523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根据规则结合法治云体检专题库对应的数据，生成报告。</w:t>
            </w:r>
          </w:p>
        </w:tc>
      </w:tr>
      <w:tr w14:paraId="10D7933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DBD1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707</w:t>
            </w:r>
          </w:p>
        </w:tc>
        <w:tc>
          <w:tcPr>
            <w:tcW w:w="491" w:type="pct"/>
            <w:tcBorders>
              <w:top w:val="nil"/>
              <w:left w:val="nil"/>
              <w:bottom w:val="single" w:color="000000" w:sz="4" w:space="0"/>
              <w:right w:val="single" w:color="000000" w:sz="4" w:space="0"/>
            </w:tcBorders>
            <w:shd w:val="clear" w:color="auto" w:fill="auto"/>
            <w:vAlign w:val="center"/>
          </w:tcPr>
          <w:p w14:paraId="60F1A1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C4B1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市场监管法治云体检报告-定向版报告模块-规则配置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CEE9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对法治云体检报告种的定向提示和合规建议内容涉及的规则进行规则配置。</w:t>
            </w:r>
          </w:p>
        </w:tc>
      </w:tr>
      <w:tr w14:paraId="0E6EC20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37AA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708</w:t>
            </w:r>
          </w:p>
        </w:tc>
        <w:tc>
          <w:tcPr>
            <w:tcW w:w="491" w:type="pct"/>
            <w:tcBorders>
              <w:top w:val="nil"/>
              <w:left w:val="nil"/>
              <w:bottom w:val="single" w:color="000000" w:sz="4" w:space="0"/>
              <w:right w:val="single" w:color="000000" w:sz="4" w:space="0"/>
            </w:tcBorders>
            <w:shd w:val="clear" w:color="auto" w:fill="auto"/>
            <w:vAlign w:val="center"/>
          </w:tcPr>
          <w:p w14:paraId="2783A5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6AD4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市场监管法治云体检报告-定向版报告模块-智能微调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6D8A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结合数据慧治平台智能化能力，对生成的报告内容进行智能微调，提高定向版报告内容的可读性、准确性。</w:t>
            </w:r>
          </w:p>
        </w:tc>
      </w:tr>
      <w:tr w14:paraId="78C57D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176D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709</w:t>
            </w:r>
          </w:p>
        </w:tc>
        <w:tc>
          <w:tcPr>
            <w:tcW w:w="491" w:type="pct"/>
            <w:tcBorders>
              <w:top w:val="nil"/>
              <w:left w:val="nil"/>
              <w:bottom w:val="single" w:color="000000" w:sz="4" w:space="0"/>
              <w:right w:val="single" w:color="000000" w:sz="4" w:space="0"/>
            </w:tcBorders>
            <w:shd w:val="clear" w:color="auto" w:fill="auto"/>
            <w:vAlign w:val="center"/>
          </w:tcPr>
          <w:p w14:paraId="7FE160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2DA1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市场监管法治云体检报告-定向版报告模块-报告生成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974F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根据规则结合法治云体检专题库对应的数据、智能微调能力，生成定向版相关提示及合规建议报告。</w:t>
            </w:r>
          </w:p>
        </w:tc>
      </w:tr>
      <w:tr w14:paraId="212F7ED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6B0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710</w:t>
            </w:r>
          </w:p>
        </w:tc>
        <w:tc>
          <w:tcPr>
            <w:tcW w:w="491" w:type="pct"/>
            <w:tcBorders>
              <w:top w:val="nil"/>
              <w:left w:val="nil"/>
              <w:bottom w:val="single" w:color="000000" w:sz="4" w:space="0"/>
              <w:right w:val="single" w:color="000000" w:sz="4" w:space="0"/>
            </w:tcBorders>
            <w:shd w:val="clear" w:color="auto" w:fill="auto"/>
            <w:vAlign w:val="center"/>
          </w:tcPr>
          <w:p w14:paraId="649E92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5E4B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市场监管法治云体检报告-普惠版报告模块-规则配置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81EB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对法治云体检报告种的普惠版提示和合规建议内容涉及的规则进行规则配置。</w:t>
            </w:r>
          </w:p>
        </w:tc>
      </w:tr>
      <w:tr w14:paraId="7863C24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22DE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711</w:t>
            </w:r>
          </w:p>
        </w:tc>
        <w:tc>
          <w:tcPr>
            <w:tcW w:w="491" w:type="pct"/>
            <w:tcBorders>
              <w:top w:val="nil"/>
              <w:left w:val="nil"/>
              <w:bottom w:val="single" w:color="000000" w:sz="4" w:space="0"/>
              <w:right w:val="single" w:color="000000" w:sz="4" w:space="0"/>
            </w:tcBorders>
            <w:shd w:val="clear" w:color="auto" w:fill="auto"/>
            <w:vAlign w:val="center"/>
          </w:tcPr>
          <w:p w14:paraId="72CFAA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D2A0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市场监管法治云体检报告-普惠版报告模块-智能微调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552B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结合数据慧治平台智能化能力，对生成的报告内容进行智能微调，提高普惠版报告内容的、准确性。</w:t>
            </w:r>
          </w:p>
        </w:tc>
      </w:tr>
      <w:tr w14:paraId="79C912E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225B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712</w:t>
            </w:r>
          </w:p>
        </w:tc>
        <w:tc>
          <w:tcPr>
            <w:tcW w:w="491" w:type="pct"/>
            <w:tcBorders>
              <w:top w:val="nil"/>
              <w:left w:val="nil"/>
              <w:bottom w:val="single" w:color="000000" w:sz="4" w:space="0"/>
              <w:right w:val="single" w:color="000000" w:sz="4" w:space="0"/>
            </w:tcBorders>
            <w:shd w:val="clear" w:color="auto" w:fill="auto"/>
            <w:vAlign w:val="center"/>
          </w:tcPr>
          <w:p w14:paraId="0F1EAD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EB39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市场监管法治云体检报告-普惠版报告模块-报告生成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0D2E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根据规则结合法治云体检专题库对应的数据、智能微调能力，生成普惠版相关提示及合规建议报告。</w:t>
            </w:r>
          </w:p>
        </w:tc>
      </w:tr>
      <w:tr w14:paraId="42AA9EF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E672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713</w:t>
            </w:r>
          </w:p>
        </w:tc>
        <w:tc>
          <w:tcPr>
            <w:tcW w:w="491" w:type="pct"/>
            <w:tcBorders>
              <w:top w:val="nil"/>
              <w:left w:val="nil"/>
              <w:bottom w:val="single" w:color="000000" w:sz="4" w:space="0"/>
              <w:right w:val="single" w:color="000000" w:sz="4" w:space="0"/>
            </w:tcBorders>
            <w:shd w:val="clear" w:color="auto" w:fill="auto"/>
            <w:vAlign w:val="center"/>
          </w:tcPr>
          <w:p w14:paraId="70D477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01A4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市场监管法治云体检报告-报告固化-报告电子签章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0F1B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调用上海市统一电子签章能力，对报告进行电子签章。</w:t>
            </w:r>
          </w:p>
        </w:tc>
      </w:tr>
      <w:tr w14:paraId="69AFE41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A1C1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714</w:t>
            </w:r>
          </w:p>
        </w:tc>
        <w:tc>
          <w:tcPr>
            <w:tcW w:w="491" w:type="pct"/>
            <w:tcBorders>
              <w:top w:val="nil"/>
              <w:left w:val="nil"/>
              <w:bottom w:val="single" w:color="000000" w:sz="4" w:space="0"/>
              <w:right w:val="single" w:color="000000" w:sz="4" w:space="0"/>
            </w:tcBorders>
            <w:shd w:val="clear" w:color="auto" w:fill="auto"/>
            <w:vAlign w:val="center"/>
          </w:tcPr>
          <w:p w14:paraId="268170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CD79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市场监管法治云体检报告-报告申请-申请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A951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建设通用申请页面，支持嵌入pc端app端。</w:t>
            </w:r>
          </w:p>
        </w:tc>
      </w:tr>
      <w:tr w14:paraId="6C7748C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CD48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715</w:t>
            </w:r>
          </w:p>
        </w:tc>
        <w:tc>
          <w:tcPr>
            <w:tcW w:w="491" w:type="pct"/>
            <w:tcBorders>
              <w:top w:val="nil"/>
              <w:left w:val="nil"/>
              <w:bottom w:val="single" w:color="000000" w:sz="4" w:space="0"/>
              <w:right w:val="single" w:color="000000" w:sz="4" w:space="0"/>
            </w:tcBorders>
            <w:shd w:val="clear" w:color="auto" w:fill="auto"/>
            <w:vAlign w:val="center"/>
          </w:tcPr>
          <w:p w14:paraId="2D56C4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C43B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市场监管法治云体检报告-报告申请-进度查看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25B4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建设通用进度页面，支持嵌入pc端app端。</w:t>
            </w:r>
          </w:p>
        </w:tc>
      </w:tr>
      <w:tr w14:paraId="429E416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2FDF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716</w:t>
            </w:r>
          </w:p>
        </w:tc>
        <w:tc>
          <w:tcPr>
            <w:tcW w:w="491" w:type="pct"/>
            <w:tcBorders>
              <w:top w:val="nil"/>
              <w:left w:val="nil"/>
              <w:bottom w:val="single" w:color="000000" w:sz="4" w:space="0"/>
              <w:right w:val="single" w:color="000000" w:sz="4" w:space="0"/>
            </w:tcBorders>
            <w:shd w:val="clear" w:color="auto" w:fill="auto"/>
            <w:vAlign w:val="center"/>
          </w:tcPr>
          <w:p w14:paraId="42AD39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8C26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市场监管法治云体检报告-报告利用-接口对接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AA20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对接随身办企业云，将报告推送到企业名下。</w:t>
            </w:r>
          </w:p>
        </w:tc>
      </w:tr>
      <w:tr w14:paraId="4D2F7FE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3F58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717</w:t>
            </w:r>
          </w:p>
        </w:tc>
        <w:tc>
          <w:tcPr>
            <w:tcW w:w="491" w:type="pct"/>
            <w:tcBorders>
              <w:top w:val="nil"/>
              <w:left w:val="nil"/>
              <w:bottom w:val="single" w:color="000000" w:sz="4" w:space="0"/>
              <w:right w:val="single" w:color="000000" w:sz="4" w:space="0"/>
            </w:tcBorders>
            <w:shd w:val="clear" w:color="auto" w:fill="auto"/>
            <w:vAlign w:val="center"/>
          </w:tcPr>
          <w:p w14:paraId="353E37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公共服务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F01F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市场监管法治云体检报告-报告利用-报告预览下载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E6CC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金蛇通用报告预览和下载功能页面、支持嵌入pc端app端。。</w:t>
            </w:r>
          </w:p>
        </w:tc>
      </w:tr>
      <w:tr w14:paraId="2D5AF16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4B28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718</w:t>
            </w:r>
          </w:p>
        </w:tc>
        <w:tc>
          <w:tcPr>
            <w:tcW w:w="491" w:type="pct"/>
            <w:tcBorders>
              <w:top w:val="nil"/>
              <w:left w:val="nil"/>
              <w:bottom w:val="single" w:color="000000" w:sz="4" w:space="0"/>
              <w:right w:val="single" w:color="000000" w:sz="4" w:space="0"/>
            </w:tcBorders>
            <w:shd w:val="clear" w:color="auto" w:fill="auto"/>
            <w:vAlign w:val="center"/>
          </w:tcPr>
          <w:p w14:paraId="086701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A11F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监管任务管理（重构）-监管计划制定-监管计划全览-自己发起的监管计划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5581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行政检查分为有计划行政检查和触发式行政检查两类。其中，有计划行政检查包括年度双随机、专项整治、以及重点领域全覆盖检查。有计划行政检查包括计划、方案、任务三个层级。计划是有计划行政检查的第一层，代表整个计划的类型与主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1、根据当前登录用户的权限，处于暂存状态和审批退回状态的可以调整监管计划内容。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2、对于已经审批通过正在进行中的监管计划，调用监管计划详情服务，查看监管计划的内容。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3、若已经制定了监管方案和检查任务，可以继续调用相关服务，查看具体内容。</w:t>
            </w:r>
          </w:p>
        </w:tc>
      </w:tr>
      <w:tr w14:paraId="2AB1F13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EBD6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719</w:t>
            </w:r>
          </w:p>
        </w:tc>
        <w:tc>
          <w:tcPr>
            <w:tcW w:w="491" w:type="pct"/>
            <w:tcBorders>
              <w:top w:val="nil"/>
              <w:left w:val="nil"/>
              <w:bottom w:val="single" w:color="000000" w:sz="4" w:space="0"/>
              <w:right w:val="single" w:color="000000" w:sz="4" w:space="0"/>
            </w:tcBorders>
            <w:shd w:val="clear" w:color="auto" w:fill="auto"/>
            <w:vAlign w:val="center"/>
          </w:tcPr>
          <w:p w14:paraId="368493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2616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监管任务管理（重构）-监管计划制定-监管计划全览-需制定监管方案的监管计划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45AA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对于其它机关/部门交予且需要制定监管方案的监管计划，系统调用监管计划详情服务，查看监管计划的内容。点击制定监管方案按钮，系统发起新监管方案。</w:t>
            </w:r>
          </w:p>
        </w:tc>
      </w:tr>
      <w:tr w14:paraId="60F7566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7F85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720</w:t>
            </w:r>
          </w:p>
        </w:tc>
        <w:tc>
          <w:tcPr>
            <w:tcW w:w="491" w:type="pct"/>
            <w:tcBorders>
              <w:top w:val="nil"/>
              <w:left w:val="nil"/>
              <w:bottom w:val="single" w:color="000000" w:sz="4" w:space="0"/>
              <w:right w:val="single" w:color="000000" w:sz="4" w:space="0"/>
            </w:tcBorders>
            <w:shd w:val="clear" w:color="auto" w:fill="auto"/>
            <w:vAlign w:val="center"/>
          </w:tcPr>
          <w:p w14:paraId="4225D4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5771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监管任务管理（重构）-监管计划制定-监管计划全览-查看监管计划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B94E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1、对于非自己发起的且无需制定监管方案的监管计划，系统调用监管计划详情，查看监管计划的内容。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2、如果已经制定了监管方案和检查任务等，可以继续调用相关接口服务，查看详细内容。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3、提供查看监管计划详细内容的功能。选中一条监管计划后，根据用户权限和所在的机关/部门以及监管计划类型等，系统自动监管计划详情服务，显示该监管计划的详细内容。</w:t>
            </w:r>
          </w:p>
        </w:tc>
      </w:tr>
      <w:tr w14:paraId="002245F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BB78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721</w:t>
            </w:r>
          </w:p>
        </w:tc>
        <w:tc>
          <w:tcPr>
            <w:tcW w:w="491" w:type="pct"/>
            <w:tcBorders>
              <w:top w:val="nil"/>
              <w:left w:val="nil"/>
              <w:bottom w:val="single" w:color="000000" w:sz="4" w:space="0"/>
              <w:right w:val="single" w:color="000000" w:sz="4" w:space="0"/>
            </w:tcBorders>
            <w:shd w:val="clear" w:color="auto" w:fill="auto"/>
            <w:vAlign w:val="center"/>
          </w:tcPr>
          <w:p w14:paraId="321CDF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B4DC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监管任务管理（重构）-监管计划制定-监管计划制定-年度随机抽查计划（检查任务类）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8E1E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监管计划层面，记录各类双随机抽查、专项整治、专业性监管检查等各种有计划工作的总体情况。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1、市局、区局都可以制定监管计划。一个监管计划，可以对应多个实施方案。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2、系统实现对计划的制定，用户制定计划完成后，系统将监管计划纳入到监管计划管理中心，以便进行后续集中管理。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3、采取双随机一公开的抽查和检查方式，在监管过程中随机抽取检查对象，随机选派执法检查人员，并将抽查情况及查处结果及时向社会公开。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4、年度随机抽查计划的内容包括：计划名称、计划年度（默认本年度）、实施时间、计划对外公示、计划依据、工作要求等信息，作为后续落实监管方案的依据。</w:t>
            </w:r>
          </w:p>
        </w:tc>
      </w:tr>
      <w:tr w14:paraId="371687F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E2C5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722</w:t>
            </w:r>
          </w:p>
        </w:tc>
        <w:tc>
          <w:tcPr>
            <w:tcW w:w="491" w:type="pct"/>
            <w:tcBorders>
              <w:top w:val="nil"/>
              <w:left w:val="nil"/>
              <w:bottom w:val="single" w:color="000000" w:sz="4" w:space="0"/>
              <w:right w:val="single" w:color="000000" w:sz="4" w:space="0"/>
            </w:tcBorders>
            <w:shd w:val="clear" w:color="auto" w:fill="auto"/>
            <w:vAlign w:val="center"/>
          </w:tcPr>
          <w:p w14:paraId="3FBA2F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CA36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监管任务管理（重构）-监管计划制定-监管计划制定-年度随机抽查计划（非检查任务类）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878C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除了各业务条线都适用的年度随机抽查计划之外，还有一类特殊的监督抽查类年度随机抽查计划，不是采用监管人员对监管对象进行直接检查（现场或非现场）的方式，而是通过第三方专业检验检测机构服务方式，由其对监管要求的监管对象及其生产或销售产品进行抽样，并由其对产品质量进行检验检测。制定监督抽查类年度随机抽查计划，通过第三方专业检验检测机构服务方式，由其对监管要求的监管对象及其生产或销售产品进行抽样，并由其对产品质量进行检验检测</w:t>
            </w:r>
          </w:p>
        </w:tc>
      </w:tr>
      <w:tr w14:paraId="032B2F7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6A72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723</w:t>
            </w:r>
          </w:p>
        </w:tc>
        <w:tc>
          <w:tcPr>
            <w:tcW w:w="491" w:type="pct"/>
            <w:tcBorders>
              <w:top w:val="nil"/>
              <w:left w:val="nil"/>
              <w:bottom w:val="single" w:color="000000" w:sz="4" w:space="0"/>
              <w:right w:val="single" w:color="000000" w:sz="4" w:space="0"/>
            </w:tcBorders>
            <w:shd w:val="clear" w:color="auto" w:fill="auto"/>
            <w:vAlign w:val="center"/>
          </w:tcPr>
          <w:p w14:paraId="6CB9A6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3177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监管任务管理（重构）-监管计划制定-监管计划制定-专项整治计划（检查任务类）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CD47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是指市场监督管理部门针对行业中某一特定问题或风险进行的集中、深入、全面的检查和整治行动。专项整治计划作为市场监管部门开展各类专项整治工作的依据，具备接收上级或其他部门整治计划来源、统筹制定整治计划、市区所三级整治任务流转督办、整治结果记录分析共享等全流程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专项整治和双随机共同组成综合监管一体化的主要监管业务，专项整治承担除年度双随机抽查、部门联合抽查等计划之外的各类专项监管、专项行动，专项整治也支持采用双随机的方式开展整治任务。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专项整治计划的内容包括：计划名称、来源、实施时间、计划依据、整治工作要求等信息，作为后续落实监管方案的依据。</w:t>
            </w:r>
          </w:p>
        </w:tc>
      </w:tr>
      <w:tr w14:paraId="4F7CFCB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C994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724</w:t>
            </w:r>
          </w:p>
        </w:tc>
        <w:tc>
          <w:tcPr>
            <w:tcW w:w="491" w:type="pct"/>
            <w:tcBorders>
              <w:top w:val="nil"/>
              <w:left w:val="nil"/>
              <w:bottom w:val="single" w:color="000000" w:sz="4" w:space="0"/>
              <w:right w:val="single" w:color="000000" w:sz="4" w:space="0"/>
            </w:tcBorders>
            <w:shd w:val="clear" w:color="auto" w:fill="auto"/>
            <w:vAlign w:val="center"/>
          </w:tcPr>
          <w:p w14:paraId="125752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109E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监管任务管理（重构）-监管计划制定-监管计划制定-专项整治计划（非检查任务类-专项报表类）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A7E8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除了各业务条线都适用的监管人员对监管对象进行直接检查（现场或非现场）的专项整治之外，还有几种特殊的专项整治实施方式。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最常见的就是由接收任务的监管单位报送专项报表或专项清单的形式。</w:t>
            </w:r>
          </w:p>
        </w:tc>
      </w:tr>
      <w:tr w14:paraId="4A1496C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F76D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725</w:t>
            </w:r>
          </w:p>
        </w:tc>
        <w:tc>
          <w:tcPr>
            <w:tcW w:w="491" w:type="pct"/>
            <w:tcBorders>
              <w:top w:val="nil"/>
              <w:left w:val="nil"/>
              <w:bottom w:val="single" w:color="000000" w:sz="4" w:space="0"/>
              <w:right w:val="single" w:color="000000" w:sz="4" w:space="0"/>
            </w:tcBorders>
            <w:shd w:val="clear" w:color="auto" w:fill="auto"/>
            <w:vAlign w:val="center"/>
          </w:tcPr>
          <w:p w14:paraId="171E14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FDFD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监管任务管理（重构）-监管计划制定-监管计划制定-专项整治计划（非检查任务类-文字报告类）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E2D5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由接收任务的监管单位报送专项整治的专题报告；</w:t>
            </w:r>
          </w:p>
        </w:tc>
      </w:tr>
      <w:tr w14:paraId="5C36D40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E889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726</w:t>
            </w:r>
          </w:p>
        </w:tc>
        <w:tc>
          <w:tcPr>
            <w:tcW w:w="491" w:type="pct"/>
            <w:tcBorders>
              <w:top w:val="nil"/>
              <w:left w:val="nil"/>
              <w:bottom w:val="single" w:color="000000" w:sz="4" w:space="0"/>
              <w:right w:val="single" w:color="000000" w:sz="4" w:space="0"/>
            </w:tcBorders>
            <w:shd w:val="clear" w:color="auto" w:fill="auto"/>
            <w:vAlign w:val="center"/>
          </w:tcPr>
          <w:p w14:paraId="7DEC61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627C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监管任务管理（重构）-监管计划制定-监管计划制定-专项整治计划（非检查任务类-网络/广告监测类）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3F9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委托第三方进行网络/广告监测获取样本后，再对样本数据进行分析处理；</w:t>
            </w:r>
          </w:p>
        </w:tc>
      </w:tr>
      <w:tr w14:paraId="29AC12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7134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727</w:t>
            </w:r>
          </w:p>
        </w:tc>
        <w:tc>
          <w:tcPr>
            <w:tcW w:w="491" w:type="pct"/>
            <w:tcBorders>
              <w:top w:val="nil"/>
              <w:left w:val="nil"/>
              <w:bottom w:val="single" w:color="000000" w:sz="4" w:space="0"/>
              <w:right w:val="single" w:color="000000" w:sz="4" w:space="0"/>
            </w:tcBorders>
            <w:shd w:val="clear" w:color="auto" w:fill="auto"/>
            <w:vAlign w:val="center"/>
          </w:tcPr>
          <w:p w14:paraId="17E624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30588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监管任务管理（重构）-监管计划制定-监管计划制定-专项整治计划（非检查任务类-监督抽查类）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4C56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通过第三方专业检验检测机构服务方式，由其对监管要求的监管对象及其生产或销售产品进行抽样，并由其对产品质量进行检验检测及后续处理；</w:t>
            </w:r>
          </w:p>
        </w:tc>
      </w:tr>
      <w:tr w14:paraId="5D8560D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4EB2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728</w:t>
            </w:r>
          </w:p>
        </w:tc>
        <w:tc>
          <w:tcPr>
            <w:tcW w:w="491" w:type="pct"/>
            <w:tcBorders>
              <w:top w:val="nil"/>
              <w:left w:val="nil"/>
              <w:bottom w:val="single" w:color="000000" w:sz="4" w:space="0"/>
              <w:right w:val="single" w:color="000000" w:sz="4" w:space="0"/>
            </w:tcBorders>
            <w:shd w:val="clear" w:color="auto" w:fill="auto"/>
            <w:vAlign w:val="center"/>
          </w:tcPr>
          <w:p w14:paraId="6B27CD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04F5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监管任务管理（重构）-监管计划制定-监管计划制定-专项整治计划（非检查任务类-企业自查类）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3A16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由企业先进行自查，监管部门对企业自查情况进行监督；</w:t>
            </w:r>
          </w:p>
        </w:tc>
      </w:tr>
      <w:tr w14:paraId="31CFF4F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E0D8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729</w:t>
            </w:r>
          </w:p>
        </w:tc>
        <w:tc>
          <w:tcPr>
            <w:tcW w:w="491" w:type="pct"/>
            <w:tcBorders>
              <w:top w:val="nil"/>
              <w:left w:val="nil"/>
              <w:bottom w:val="single" w:color="000000" w:sz="4" w:space="0"/>
              <w:right w:val="single" w:color="000000" w:sz="4" w:space="0"/>
            </w:tcBorders>
            <w:shd w:val="clear" w:color="auto" w:fill="auto"/>
            <w:vAlign w:val="center"/>
          </w:tcPr>
          <w:p w14:paraId="2CCEEF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BB79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监管任务管理（重构）-监管计划制定-监管计划制定-全覆盖监管计划（食品生产经营监督检查）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34EF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以上市场监督管理部门应当按照本级人民政府食品安全年度监督管理计划，综合考虑食品类别、企业规模、管理水平、食品安全状况、风险等级、信用档案记录等因素，编制年度监督检查计划。市场监督管理部门应当每两年对本行政区域内所有食品生产经营者至少进行一次覆盖全部检查要点的监督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区以上市场监督管理部门按照国家市场监督管理总局的规定，根据风险管理的原则，结合食品生产经营者的食品类别、业态规模、风险控制能力、信用状况、监督检查等情况，将食品生产经营者的风险等级从低到高分为A级风险、B级风险、C级风险、D级风险四个等级。市场监督管理部门应当对特殊食品生产者，风险等级为C级、D级的食品生产者，风险等级为D级的食品经营者以及中央厨房、集体用餐配送单位等高风险食品生产经营者实施重点监督检查，并可以根据实际情况增加日常监督检查频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场监督管理部门可以根据工作需要，对通过食品安全抽样检验等发现问题线索的食品生产经营者实施飞行检查，对特殊食品、高风险大宗消费食品生产企业和大型食品经营企业等的质量管理体系运行情况实施体系检查。</w:t>
            </w:r>
          </w:p>
        </w:tc>
      </w:tr>
      <w:tr w14:paraId="754B97D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F57F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730</w:t>
            </w:r>
          </w:p>
        </w:tc>
        <w:tc>
          <w:tcPr>
            <w:tcW w:w="491" w:type="pct"/>
            <w:tcBorders>
              <w:top w:val="nil"/>
              <w:left w:val="nil"/>
              <w:bottom w:val="single" w:color="000000" w:sz="4" w:space="0"/>
              <w:right w:val="single" w:color="000000" w:sz="4" w:space="0"/>
            </w:tcBorders>
            <w:shd w:val="clear" w:color="auto" w:fill="auto"/>
            <w:vAlign w:val="center"/>
          </w:tcPr>
          <w:p w14:paraId="122253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EDA9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监管任务管理（重构）-监管计划制定-监管计划制定-全覆盖监管计划（食品相关产品质量安全监督检查）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976D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对直接接触食品的包装材料等具有较高风险的食品相关产品，按照国家有关工业产品生产许可证管理的规定实施生产许可。食品相关产品生产许可实行告知承诺审批和全覆盖例行检查。</w:t>
            </w:r>
          </w:p>
        </w:tc>
      </w:tr>
      <w:tr w14:paraId="3337BCB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0C49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731</w:t>
            </w:r>
          </w:p>
        </w:tc>
        <w:tc>
          <w:tcPr>
            <w:tcW w:w="491" w:type="pct"/>
            <w:tcBorders>
              <w:top w:val="nil"/>
              <w:left w:val="nil"/>
              <w:bottom w:val="single" w:color="000000" w:sz="4" w:space="0"/>
              <w:right w:val="single" w:color="000000" w:sz="4" w:space="0"/>
            </w:tcBorders>
            <w:shd w:val="clear" w:color="auto" w:fill="auto"/>
            <w:vAlign w:val="center"/>
          </w:tcPr>
          <w:p w14:paraId="227ECA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3998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监管任务管理（重构）-监管计划制定-监管计划制定-全覆盖监管计划（特种设备安全证后监督检查）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A663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市场监督管理部门对其许可的特种设备生产、充装单位和检验、检测机构是否持续保持许可条件、依法从事许可活动实施证后监督检查。</w:t>
            </w:r>
          </w:p>
        </w:tc>
      </w:tr>
      <w:tr w14:paraId="78B8157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50A7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732</w:t>
            </w:r>
          </w:p>
        </w:tc>
        <w:tc>
          <w:tcPr>
            <w:tcW w:w="491" w:type="pct"/>
            <w:tcBorders>
              <w:top w:val="nil"/>
              <w:left w:val="nil"/>
              <w:bottom w:val="single" w:color="000000" w:sz="4" w:space="0"/>
              <w:right w:val="single" w:color="000000" w:sz="4" w:space="0"/>
            </w:tcBorders>
            <w:shd w:val="clear" w:color="auto" w:fill="auto"/>
            <w:vAlign w:val="center"/>
          </w:tcPr>
          <w:p w14:paraId="3D35E7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EF02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监管任务管理（重构）-监管计划制定-监管计划制定-全覆盖监管计划（工业产品生产许可证证后监督检查）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4EE5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以上地方工业产品生产许可证主管部门应当依照《中华人民共和国工业产品生产许可证管理条例》对生产列入目录产品的企业以及核查人员、检验机构及其检验人员的相关活动进行监督检查，对企业实施定期或者不定期的监督检查。</w:t>
            </w:r>
          </w:p>
        </w:tc>
      </w:tr>
      <w:tr w14:paraId="5B73469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1BB2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733</w:t>
            </w:r>
          </w:p>
        </w:tc>
        <w:tc>
          <w:tcPr>
            <w:tcW w:w="491" w:type="pct"/>
            <w:tcBorders>
              <w:top w:val="nil"/>
              <w:left w:val="nil"/>
              <w:bottom w:val="single" w:color="000000" w:sz="4" w:space="0"/>
              <w:right w:val="single" w:color="000000" w:sz="4" w:space="0"/>
            </w:tcBorders>
            <w:shd w:val="clear" w:color="auto" w:fill="auto"/>
            <w:vAlign w:val="center"/>
          </w:tcPr>
          <w:p w14:paraId="468A45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8A19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FAF4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发起用户制定监管计划后，监管计划需要进行审批，以确保监管计划的实施可行性、严谨性。监管计划审批环节，若经办意见是退回修改，系统将监管计划退回到监管计划制定人，重新调整监管计划。若经办意见是同意，系统该监管计划进入到监管计划管理中心进行统一管理。</w:t>
            </w:r>
          </w:p>
        </w:tc>
      </w:tr>
      <w:tr w14:paraId="5445363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67CA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734</w:t>
            </w:r>
          </w:p>
        </w:tc>
        <w:tc>
          <w:tcPr>
            <w:tcW w:w="491" w:type="pct"/>
            <w:tcBorders>
              <w:top w:val="nil"/>
              <w:left w:val="nil"/>
              <w:bottom w:val="single" w:color="000000" w:sz="4" w:space="0"/>
              <w:right w:val="single" w:color="000000" w:sz="4" w:space="0"/>
            </w:tcBorders>
            <w:shd w:val="clear" w:color="auto" w:fill="auto"/>
            <w:vAlign w:val="center"/>
          </w:tcPr>
          <w:p w14:paraId="58D8FA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6FE36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7E45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可以对监管计划进行调整，系统根据用户的身份权限列出如暂存状态、审批退回修状态的监管计划。用户选中某个监管计划后，系统分类调用相关计划的调整功能，实现对计划中内容的调整。用户对监管计划内容调整完成后，系统更新监管计划管理中心该监管计划的内容，该监管计划进入到监管计划审批环节。</w:t>
            </w:r>
          </w:p>
        </w:tc>
      </w:tr>
      <w:tr w14:paraId="6720E92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3D2F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735</w:t>
            </w:r>
          </w:p>
        </w:tc>
        <w:tc>
          <w:tcPr>
            <w:tcW w:w="491" w:type="pct"/>
            <w:tcBorders>
              <w:top w:val="nil"/>
              <w:left w:val="nil"/>
              <w:bottom w:val="single" w:color="000000" w:sz="4" w:space="0"/>
              <w:right w:val="single" w:color="000000" w:sz="4" w:space="0"/>
            </w:tcBorders>
            <w:shd w:val="clear" w:color="auto" w:fill="auto"/>
            <w:vAlign w:val="center"/>
          </w:tcPr>
          <w:p w14:paraId="0C58D2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9386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监管任务管理（重构）-监管计划制定-监管计划办结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A19D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可以主动办结尚在进行中的监管计划，系统根据用户的身份权限列出自己制定的监管计划。用户选中某个监管计划后，系统分类调用相关计划的监管计划详情服务，显示该监管计划的详细信息以及相关的方案和检查任务信息。用户再次确认办结该监管计划后，系统将监管计划管理中心的该监管计划办结。同时，该监管计划涉及的监管方案以及监管方案涉及的检查内容等，系统也将自动调用监管方案办结服务和检查任务终止服务，确保该监管计划的所有工作均已完成。</w:t>
            </w:r>
          </w:p>
        </w:tc>
      </w:tr>
      <w:tr w14:paraId="40555BB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9DBB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736</w:t>
            </w:r>
          </w:p>
        </w:tc>
        <w:tc>
          <w:tcPr>
            <w:tcW w:w="491" w:type="pct"/>
            <w:tcBorders>
              <w:top w:val="nil"/>
              <w:left w:val="nil"/>
              <w:bottom w:val="single" w:color="000000" w:sz="4" w:space="0"/>
              <w:right w:val="single" w:color="000000" w:sz="4" w:space="0"/>
            </w:tcBorders>
            <w:shd w:val="clear" w:color="auto" w:fill="auto"/>
            <w:vAlign w:val="center"/>
          </w:tcPr>
          <w:p w14:paraId="6222EC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D75F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监管任务管理（重构）-监管方案落实-监管方案全览-自己发起的监管方案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713D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监管方案是落实监管计划中针对不同阶段或不同检查对象的各类具化检查要求，包括检查事项（实施清单、检查内容）、监管对象（主体、客体）、监管主体（人员）等。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1、监管方案可由市级、区级市场监督管理部门两级分别进行细化。</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2、根据当前登录用户的权限，系统查询出与之相关的监管方案，缺省条件下只显示当前正在进行中的监管方案，也可以查询全部、已经办结的监管方案。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3、处于暂存状态和审批退回状态的可以调整监管方案内容。对于已经审批通过正在进行中的监管方案，调用监管方案详情服务，查看监管方案的内容。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4、若已经制定了检查任务，可以继续调用相关服务，查看具体内容。</w:t>
            </w:r>
          </w:p>
        </w:tc>
      </w:tr>
      <w:tr w14:paraId="1DFC1B0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AC77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737</w:t>
            </w:r>
          </w:p>
        </w:tc>
        <w:tc>
          <w:tcPr>
            <w:tcW w:w="491" w:type="pct"/>
            <w:tcBorders>
              <w:top w:val="nil"/>
              <w:left w:val="nil"/>
              <w:bottom w:val="single" w:color="000000" w:sz="4" w:space="0"/>
              <w:right w:val="single" w:color="000000" w:sz="4" w:space="0"/>
            </w:tcBorders>
            <w:shd w:val="clear" w:color="auto" w:fill="auto"/>
            <w:vAlign w:val="center"/>
          </w:tcPr>
          <w:p w14:paraId="647961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8EF0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监管任务管理（重构）-监管方案落实-监管方案全览-需制定监管方案的监管计划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9CC3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对于非自己发起的监管方案，系统调用监管方案详情服务，查看监管方案的内容。如果已经制定了检查任务等，可以继续调用相关接口服务，查看详细内容。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提供查看监管方案详细内容的功能。选中一条监管方案后，根据用户权限和所在的机关/部门以及监管方案类型等，系统自动监管计划详情服务，显示该监管计划的详细内容。</w:t>
            </w:r>
          </w:p>
        </w:tc>
      </w:tr>
      <w:tr w14:paraId="1B0A4C1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A51F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738</w:t>
            </w:r>
          </w:p>
        </w:tc>
        <w:tc>
          <w:tcPr>
            <w:tcW w:w="491" w:type="pct"/>
            <w:tcBorders>
              <w:top w:val="nil"/>
              <w:left w:val="nil"/>
              <w:bottom w:val="single" w:color="000000" w:sz="4" w:space="0"/>
              <w:right w:val="single" w:color="000000" w:sz="4" w:space="0"/>
            </w:tcBorders>
            <w:shd w:val="clear" w:color="auto" w:fill="auto"/>
            <w:vAlign w:val="center"/>
          </w:tcPr>
          <w:p w14:paraId="38C884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8286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监管任务管理（重构）-监管方案落实-监管方案制定-年度随机抽查方案——监管方案依据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7BA2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年度随机抽查计划制定监管方案，该方案根据“双随机一公开”的工作要求，需要随机抽取检查对象和随机选派执法检查人员。监管方案制定时，需要选择监管计划，从年度随机抽查计划中选择监管计划，作为制定本监管方案的依据。</w:t>
            </w:r>
          </w:p>
        </w:tc>
      </w:tr>
      <w:tr w14:paraId="797C594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1575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739</w:t>
            </w:r>
          </w:p>
        </w:tc>
        <w:tc>
          <w:tcPr>
            <w:tcW w:w="491" w:type="pct"/>
            <w:tcBorders>
              <w:top w:val="nil"/>
              <w:left w:val="nil"/>
              <w:bottom w:val="single" w:color="000000" w:sz="4" w:space="0"/>
              <w:right w:val="single" w:color="000000" w:sz="4" w:space="0"/>
            </w:tcBorders>
            <w:shd w:val="clear" w:color="auto" w:fill="auto"/>
            <w:vAlign w:val="center"/>
          </w:tcPr>
          <w:p w14:paraId="53377E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0104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监管任务管理（重构）-监管方案落实-监管方案制定-年度随机抽查方案——填报抽查方案概况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0D2C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提供双随机抽查方案录入功能,首先填报抽查方案概况信息。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选择关联计划名称，即当年度的计划，选择后，输入相关的数据项内容，包括填写抽查依据、牵头处室、协同处室（多选）、抽查检查范围、上传方案、抽查人员来源等内容等。抽查人员来源可选择抽查组或人员库的方式进行，主体摇号机关和人员随机选派机关默认，一般由谁制定方案谁进行主体摇号，人员年度双随机选派的工作由区市场监管局进行。</w:t>
            </w:r>
          </w:p>
        </w:tc>
      </w:tr>
      <w:tr w14:paraId="245BCB8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7940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740</w:t>
            </w:r>
          </w:p>
        </w:tc>
        <w:tc>
          <w:tcPr>
            <w:tcW w:w="491" w:type="pct"/>
            <w:tcBorders>
              <w:top w:val="nil"/>
              <w:left w:val="nil"/>
              <w:bottom w:val="single" w:color="000000" w:sz="4" w:space="0"/>
              <w:right w:val="single" w:color="000000" w:sz="4" w:space="0"/>
            </w:tcBorders>
            <w:shd w:val="clear" w:color="auto" w:fill="auto"/>
            <w:vAlign w:val="center"/>
          </w:tcPr>
          <w:p w14:paraId="70A47F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B273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监管任务管理（重构）-监管方案落实-监管方案制定-年度随机抽查方案——监管事项定制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FFE0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对于年度随机抽查监管方案，检查事项和检查内容需从监管事项库查询和选择需要实施检查的检查事项和检查内容。如果监管事项库中无检查事项和检查内容，需在监管要素管理中心的监管事项库中维护。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根据监管计划和监管方案中的内容要求，制定对监管对象主体的检查事项和检查内容。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提供按照业务条线划分的检查事项和检查内容，便于检索定位，支持进行模糊查询和批量选择检查事项，将检查事项添加到检查事项清单中。监管人员在实施检查任务时，根据检查事项和检查内容清单，对监管对象逐一核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（1）设置检查事项范围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抽查类型可选择定向或不定向，定向则是选择具体的抽查事项，选择不定向是指检查所有的抽查事项。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（2）定义抽查检查事项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系统提供抽查检查事项定义功能，支持从监管事项清单的检查实施清单中，选择本次计划需要的抽查事项。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完成抽查检查内容后，进入下一步，填写“检查内容”。选择相应的抽查事项后，页面会显示该事项的具体检查内容，可以点击调整检查内容进行重新选择。</w:t>
            </w:r>
          </w:p>
        </w:tc>
      </w:tr>
      <w:tr w14:paraId="0EDD6A0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9BE3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741</w:t>
            </w:r>
          </w:p>
        </w:tc>
        <w:tc>
          <w:tcPr>
            <w:tcW w:w="491" w:type="pct"/>
            <w:tcBorders>
              <w:top w:val="nil"/>
              <w:left w:val="nil"/>
              <w:bottom w:val="single" w:color="000000" w:sz="4" w:space="0"/>
              <w:right w:val="single" w:color="000000" w:sz="4" w:space="0"/>
            </w:tcBorders>
            <w:shd w:val="clear" w:color="auto" w:fill="auto"/>
            <w:vAlign w:val="center"/>
          </w:tcPr>
          <w:p w14:paraId="2763DC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0FBB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监管任务管理（重构）-监管方案落实-监管方案制定-年度随机抽查方案——监管对象主体抽取形式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8D68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 xml:space="preserve">年度随机抽查的监管方案，对监管对象必须采用随机抽取方式，而且需要设定抽取的比例。监管方案通过审批后，在制定监管方案的机关层面，进行监管对象随机抽取。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设置抽查检查范围：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1、选择随机主体类型、来源。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其中主体类型支持三大类，企业、个体及非企业组织，其中可选择附加库。主体来源，包括主体库和主体名单导入二种情况，选择主体库时，设置主体随机分组及比例，并根据不同的主体过滤条件进行筛选，系统自动生成清单。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（1）本地文件导入，可根据模板导入检查全样本，系统会根据导入的主体信息进行自动比对并导入。导入完成后，提供“样本查看”功能，查看抽查主体的样本。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2）已定义主体清单导入，系统列出“对象名称预制”中的对象名单生成的列表，通过选择已生成的名单完成样本，同时可设置抽查的比例。完成后，可进行样本查看，直接跳过主体随机分组及比例，根据情况可进行其它条件的筛选，也跳过。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2、设定主体随机分组及比例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选择主体库和本地文件导入的方式，需设置主体随机分组及比例，提供默认全部的抽查比例，也可以自定义分组，根据不同的标识，设置不同的抽查比例。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（1）默认分组：随机抽取分组类型包括登记机关、属地机关、行政区划以及整个范围等多种分组。随机比例，可以按照比例抽取，也可以按数量抽取。</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（2）自定义分组：支持按主体类型、对象标签等自定义分组，并设置对应的抽取比例或数量。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3、定义抽查检查条件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根据选择抽查的主体类型，抽查的业务要求，可以设置不同抽查检查（免于抽查）筛选条件，比如今年已抽查过的企业不再抽查等。</w:t>
            </w:r>
          </w:p>
        </w:tc>
      </w:tr>
      <w:tr w14:paraId="4093CB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3873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742</w:t>
            </w:r>
          </w:p>
        </w:tc>
        <w:tc>
          <w:tcPr>
            <w:tcW w:w="491" w:type="pct"/>
            <w:tcBorders>
              <w:top w:val="nil"/>
              <w:left w:val="nil"/>
              <w:bottom w:val="single" w:color="000000" w:sz="4" w:space="0"/>
              <w:right w:val="single" w:color="000000" w:sz="4" w:space="0"/>
            </w:tcBorders>
            <w:shd w:val="clear" w:color="auto" w:fill="auto"/>
            <w:vAlign w:val="center"/>
          </w:tcPr>
          <w:p w14:paraId="13B190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EFAF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监管任务管理（重构）-监管方案落实-监管方案制定-年度随机抽查方案——监管人员抽取形式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22AE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年度随机抽查的监管方案，对监管人员必须采用随机抽取方式。对监管人员的随机抽取，进一步可以采用两种方式，一种是检查组方式，另外一种是监管人员库方式。检查组方式是通过设置至少两名监管人员的检查组，将监管对象主体与检查组随机匹配。监管人员库方式是不设置检查组，直接从监管人员库中为监管对象主体随机分配两名监管人员。</w:t>
            </w:r>
          </w:p>
        </w:tc>
      </w:tr>
      <w:tr w14:paraId="76D43A9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F132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743</w:t>
            </w:r>
          </w:p>
        </w:tc>
        <w:tc>
          <w:tcPr>
            <w:tcW w:w="491" w:type="pct"/>
            <w:tcBorders>
              <w:top w:val="nil"/>
              <w:left w:val="nil"/>
              <w:bottom w:val="single" w:color="000000" w:sz="4" w:space="0"/>
              <w:right w:val="single" w:color="000000" w:sz="4" w:space="0"/>
            </w:tcBorders>
            <w:shd w:val="clear" w:color="auto" w:fill="auto"/>
            <w:vAlign w:val="center"/>
          </w:tcPr>
          <w:p w14:paraId="402E20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B0D5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监管任务管理（重构）-监管方案落实-监管方案制定-专项整治方案——监管方案依据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07BC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旨在解决某个具体问题的深层次问题，展开的一系列有针对性的行动和措施。专项整治的检查对象、汇报结果也存在多样性，完全由相关的业务决定。监管方案制定时，需要选择监管计划，从专项整治计划中选择监管计划，作为制定本监管方案的依据。</w:t>
            </w:r>
          </w:p>
        </w:tc>
      </w:tr>
      <w:tr w14:paraId="229CB9D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D9D9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744</w:t>
            </w:r>
          </w:p>
        </w:tc>
        <w:tc>
          <w:tcPr>
            <w:tcW w:w="491" w:type="pct"/>
            <w:tcBorders>
              <w:top w:val="nil"/>
              <w:left w:val="nil"/>
              <w:bottom w:val="single" w:color="000000" w:sz="4" w:space="0"/>
              <w:right w:val="single" w:color="000000" w:sz="4" w:space="0"/>
            </w:tcBorders>
            <w:shd w:val="clear" w:color="auto" w:fill="auto"/>
            <w:vAlign w:val="center"/>
          </w:tcPr>
          <w:p w14:paraId="2E6F5C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3B05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监管任务管理（重构）-监管方案落实-监管方案制定-专项整治方案——填报专项方案概况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45D8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提供专项整治方案录入功能，录入专项整治（检查任务类）相关的各类数据指标要求。</w:t>
            </w:r>
          </w:p>
        </w:tc>
      </w:tr>
      <w:tr w14:paraId="2DBC648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91B3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745</w:t>
            </w:r>
          </w:p>
        </w:tc>
        <w:tc>
          <w:tcPr>
            <w:tcW w:w="491" w:type="pct"/>
            <w:tcBorders>
              <w:top w:val="nil"/>
              <w:left w:val="nil"/>
              <w:bottom w:val="single" w:color="000000" w:sz="4" w:space="0"/>
              <w:right w:val="single" w:color="000000" w:sz="4" w:space="0"/>
            </w:tcBorders>
            <w:shd w:val="clear" w:color="auto" w:fill="auto"/>
            <w:vAlign w:val="center"/>
          </w:tcPr>
          <w:p w14:paraId="7D9CA2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0878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监管任务管理（重构）-监管方案落实-监管方案制定-专项整治方案——专项监管事项自定义</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F9AF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对于专项整治监管方案，检查事项和检查内容既可以从监管事项库查询和选择需要实施检查的检查事项和检查内容，也可以由监管方案制定人员自行增加符合专项整治工作内容的检查内容。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自行增加符合专项整治工作内容的检查内容类型分为四大类：选择型、数值型、填写型以及是非型，用户可选择对应的类型，进行检查内容的设定。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监管计划和监管方案中的内容要求，制定对监管对象主体的检查事项和检查内容。系统提供按照业务条线划分的检查事项和检查内容，便于检索定位，支持进行模糊查询和批量选择检查事项，将检查事项添加到检查事项清单中。监管人员在实施检查任务时，根据检查事项和检查内容清单，对监管对象逐一核查。</w:t>
            </w:r>
          </w:p>
        </w:tc>
      </w:tr>
      <w:tr w14:paraId="618BA4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6A5A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746</w:t>
            </w:r>
          </w:p>
        </w:tc>
        <w:tc>
          <w:tcPr>
            <w:tcW w:w="491" w:type="pct"/>
            <w:tcBorders>
              <w:top w:val="nil"/>
              <w:left w:val="nil"/>
              <w:bottom w:val="single" w:color="000000" w:sz="4" w:space="0"/>
              <w:right w:val="single" w:color="000000" w:sz="4" w:space="0"/>
            </w:tcBorders>
            <w:shd w:val="clear" w:color="auto" w:fill="auto"/>
            <w:vAlign w:val="center"/>
          </w:tcPr>
          <w:p w14:paraId="1E1437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9712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监管任务管理（重构）-监管方案落实-监管方案制定-专项整治方案——监管对象主体抽取形式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9FF5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专项整治的监管方案，对监管对象可采用随机抽取方式，也可采用圈定监管对象范围方式。圈定监管对象范围方式，无需进行监管对象随机抽取。</w:t>
            </w:r>
          </w:p>
        </w:tc>
      </w:tr>
      <w:tr w14:paraId="1496725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3BD7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747</w:t>
            </w:r>
          </w:p>
        </w:tc>
        <w:tc>
          <w:tcPr>
            <w:tcW w:w="491" w:type="pct"/>
            <w:tcBorders>
              <w:top w:val="nil"/>
              <w:left w:val="nil"/>
              <w:bottom w:val="single" w:color="000000" w:sz="4" w:space="0"/>
              <w:right w:val="single" w:color="000000" w:sz="4" w:space="0"/>
            </w:tcBorders>
            <w:shd w:val="clear" w:color="auto" w:fill="auto"/>
            <w:vAlign w:val="center"/>
          </w:tcPr>
          <w:p w14:paraId="23D597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2E3F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监管任务管理（重构）-监管方案落实-监管方案制定-专项整治方案——监管人员抽取形式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3DBD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专项整治的监管方案，对监管人员可采用随机抽取方式，也可采用属地监管方式。随机抽取方式，同年度随机监管方案中监管人员抽取形式。属地监管方式，是将监管对象主体的检查任务交由属地监管机关实施。</w:t>
            </w:r>
          </w:p>
        </w:tc>
      </w:tr>
      <w:tr w14:paraId="4FF887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ACB6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748</w:t>
            </w:r>
          </w:p>
        </w:tc>
        <w:tc>
          <w:tcPr>
            <w:tcW w:w="491" w:type="pct"/>
            <w:tcBorders>
              <w:top w:val="nil"/>
              <w:left w:val="nil"/>
              <w:bottom w:val="single" w:color="000000" w:sz="4" w:space="0"/>
              <w:right w:val="single" w:color="000000" w:sz="4" w:space="0"/>
            </w:tcBorders>
            <w:shd w:val="clear" w:color="auto" w:fill="auto"/>
            <w:vAlign w:val="center"/>
          </w:tcPr>
          <w:p w14:paraId="7EDB04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5937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监管任务管理（重构）-监管方案落实-监管方案制定-全覆盖监管方案——食品生产经营监督检查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C2E5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全覆盖监管方案，由于专业性强、针对性强、灵活性高的业务特点，需要针对性定制功能。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区以上市场监督管理部门应当按照本级人民政府食品安全年度监督管理计划，综合考虑食品类别、企业规模、管理水平、食品安全状况、风险等级、信用档案记录等因素，编制年度监督检查计划。市场监督管理部门应当每两年对本行政区域内所有食品生产经营者至少进行一次覆盖全部检查要点的监督检查。区以上市场监督管理部门按照国家市场监督管理总局的规定，根据风险管理的原则，结合食品生产经营者的食品类别、业态规模、风险控制能力、信用状况、监督检查等情况，将食品生产经营者的风险等级从低到高分为A级风险、B级风险、C级风险、D级风险四个等级。市场监督管理部门应当对特殊食品生产者，风险等级为C级、D级的食品生产者，风险等级为D级的食品经营者以及中央厨房、集体用餐配送单位等高风险食品生产经营者实施重点监督检查，并可以根据实际情况增加日常监督检查频次。市场监督管理部门可以根据工作需要，对通过食品安全抽样检验等发现问题线索的食品生产经营者实施飞行检查，对特殊食品、高风险大宗消费食品生产企业和大型食品经营企业等的质量管理体系运行情况实施体系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食品生产经营监督检查方案制定包括：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1、监管事项定制：根据监管计划和监管方案中的内容要求，制定对监管对象主体的检查事项和检查内容。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提供按照业务条线划分的检查事项和检查内容，便于检索定位，支持进行模糊查询和批量选择检查事项，将检查事项添加到检查事项清单中。监管人员在实施检查任务时，根据检查事项和检查内容清单，对监管对象逐一核查。用户制定好检查事项后，系统会自动调用检查事项制定接口服务，保存各个检查事项和检查内容，作为本次监管方案中的检查事项清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对象主体抽取形式：区、所两级落实年度全覆盖监管计划，按照年度计划设定的频次，随机产生监管任务，任务的最小执行时间段为周，最大执行时间段为月。全年任务按月均匀分布，根据年度节假日调休作适当优化。同一监管对象的多个任务间隔合理安排。</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监管对象客体落实：全覆盖监管一般都以登记注册事项或行政许可事项有关，监管对象并非直接是市场主体，针对不同业务条线，需要设定相应的监管对象，有的是许可证或备案凭证，也有的是设备种类类别品种或产品类别，需要数据慧治平台基础数据的有力支撑，也免不了在属地监管单位层面数据的有效治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4、监管任务动态调整：针对实施动态分级分类的业务条线或部门，根据等级变化情况动态调整监管任务，等级上升、频次满时自动取消后续监管任务；等级下降、频次需增加时随机添加监管任务。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5、监管任务台账：提供监管任务台账，每个监管对象按1-12月列出任务分布，用不同图标表示任务状态（期内、临期、超期），计划编制人员可根据实际情况增加监管任务。</w:t>
            </w:r>
          </w:p>
        </w:tc>
      </w:tr>
      <w:tr w14:paraId="67F4B97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7339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749</w:t>
            </w:r>
          </w:p>
        </w:tc>
        <w:tc>
          <w:tcPr>
            <w:tcW w:w="491" w:type="pct"/>
            <w:tcBorders>
              <w:top w:val="nil"/>
              <w:left w:val="nil"/>
              <w:bottom w:val="single" w:color="000000" w:sz="4" w:space="0"/>
              <w:right w:val="single" w:color="000000" w:sz="4" w:space="0"/>
            </w:tcBorders>
            <w:shd w:val="clear" w:color="auto" w:fill="auto"/>
            <w:vAlign w:val="center"/>
          </w:tcPr>
          <w:p w14:paraId="3B684C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4410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监管任务管理（重构）-监管方案落实-监管方案制定-全覆盖监管方案——食品相关产品质量安全监督检查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2964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直接接触食品的包装材料等具有较高风险的食品相关产品，按照国家有关工业产品生产许可证管理的规定实施生产许可。食品相关产品生产许可实行告知承诺审批和全覆盖例行检查。食品相关产品质量安全监督检查方案制定包括：监管事项定制、监管对象主体抽取形式、监管对象客体落实、监管任务动态调整、监管任务台账。</w:t>
            </w:r>
          </w:p>
        </w:tc>
      </w:tr>
      <w:tr w14:paraId="48009C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7BB6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750</w:t>
            </w:r>
          </w:p>
        </w:tc>
        <w:tc>
          <w:tcPr>
            <w:tcW w:w="491" w:type="pct"/>
            <w:tcBorders>
              <w:top w:val="nil"/>
              <w:left w:val="nil"/>
              <w:bottom w:val="single" w:color="000000" w:sz="4" w:space="0"/>
              <w:right w:val="single" w:color="000000" w:sz="4" w:space="0"/>
            </w:tcBorders>
            <w:shd w:val="clear" w:color="auto" w:fill="auto"/>
            <w:vAlign w:val="center"/>
          </w:tcPr>
          <w:p w14:paraId="4F2126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C813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监管任务管理（重构）-监管方案落实-监管方案制定-全覆盖监管方案——特种设备安全证后监督检查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8F85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督管理部门对其许可的特种设备生产、充装单位和检验、检测机构是否持续保持许可条件、依法从事许可活动实施证后监督检查。特种设备安全证后监督检查方案制定包括：监管事项定制、监管对象主体抽取形式、监管对象客体落实、监管任务动态调整、监管任务台账。</w:t>
            </w:r>
          </w:p>
        </w:tc>
      </w:tr>
      <w:tr w14:paraId="25B6F25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8176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751</w:t>
            </w:r>
          </w:p>
        </w:tc>
        <w:tc>
          <w:tcPr>
            <w:tcW w:w="491" w:type="pct"/>
            <w:tcBorders>
              <w:top w:val="nil"/>
              <w:left w:val="nil"/>
              <w:bottom w:val="single" w:color="000000" w:sz="4" w:space="0"/>
              <w:right w:val="single" w:color="000000" w:sz="4" w:space="0"/>
            </w:tcBorders>
            <w:shd w:val="clear" w:color="auto" w:fill="auto"/>
            <w:vAlign w:val="center"/>
          </w:tcPr>
          <w:p w14:paraId="339F90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7F73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监管任务管理（重构）-监管方案落实-监管方案制定-全覆盖监管方案——工业产品生产许可证证后监督检查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7835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以上地方工业产品生产许可证主管部门应当依照《中华人民共和国工业产品生产许可证管理条例》对生产列入目录产品的企业以及核查人员、检验机构及其检验人员的相关活动进行监督检查，对企业实施定期或者不定期的监督检查。工业产品生产许可证证后监督检查方案制定包括：监管事项定制、监管对象主体抽取形式、监管对象客体落实、监管任务动态调整、监管任务台账。</w:t>
            </w:r>
          </w:p>
        </w:tc>
      </w:tr>
      <w:tr w14:paraId="08325D0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7AEC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752</w:t>
            </w:r>
          </w:p>
        </w:tc>
        <w:tc>
          <w:tcPr>
            <w:tcW w:w="491" w:type="pct"/>
            <w:tcBorders>
              <w:top w:val="nil"/>
              <w:left w:val="nil"/>
              <w:bottom w:val="single" w:color="000000" w:sz="4" w:space="0"/>
              <w:right w:val="single" w:color="000000" w:sz="4" w:space="0"/>
            </w:tcBorders>
            <w:shd w:val="clear" w:color="auto" w:fill="auto"/>
            <w:vAlign w:val="center"/>
          </w:tcPr>
          <w:p w14:paraId="64D024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0E49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监管任务管理（重构）-监管方案落实-监管方案审批-监管方案复核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2ACE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发起用户制定监管方案后，监管方案需要进行复核，以确保监管方案实施的可行性。监管方案复核环节，若经办意见是退回修改，系统自动将监管方案退回到监管方案制定人，重新调整监管计划。若经办意见是同意，该监管方案进入到监管方案审批环节。</w:t>
            </w:r>
          </w:p>
        </w:tc>
      </w:tr>
      <w:tr w14:paraId="56778A2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284A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753</w:t>
            </w:r>
          </w:p>
        </w:tc>
        <w:tc>
          <w:tcPr>
            <w:tcW w:w="491" w:type="pct"/>
            <w:tcBorders>
              <w:top w:val="nil"/>
              <w:left w:val="nil"/>
              <w:bottom w:val="single" w:color="000000" w:sz="4" w:space="0"/>
              <w:right w:val="single" w:color="000000" w:sz="4" w:space="0"/>
            </w:tcBorders>
            <w:shd w:val="clear" w:color="auto" w:fill="auto"/>
            <w:vAlign w:val="center"/>
          </w:tcPr>
          <w:p w14:paraId="17BB68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AC6A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监管任务管理（重构）-监管方案落实-监管方案审批-监管方案审批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826C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由监管方案复核通过后，监管方案需要进行审批。监管方案审批环节，若经办意见是退回修改，将监管方案退回到监管方案制定人，重新调整监管计划。若经办意见是同意，该监管方案进入到监管方案管理中心进行统一管理。</w:t>
            </w:r>
          </w:p>
        </w:tc>
      </w:tr>
      <w:tr w14:paraId="58C2BB2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FC08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754</w:t>
            </w:r>
          </w:p>
        </w:tc>
        <w:tc>
          <w:tcPr>
            <w:tcW w:w="491" w:type="pct"/>
            <w:tcBorders>
              <w:top w:val="nil"/>
              <w:left w:val="nil"/>
              <w:bottom w:val="single" w:color="000000" w:sz="4" w:space="0"/>
              <w:right w:val="single" w:color="000000" w:sz="4" w:space="0"/>
            </w:tcBorders>
            <w:shd w:val="clear" w:color="auto" w:fill="auto"/>
            <w:vAlign w:val="center"/>
          </w:tcPr>
          <w:p w14:paraId="59D1C8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0160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监管任务管理（重构）-监管方案落实-监管方案审批-监管方案调整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D9FC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可以对监管方案进行调整，系统根据用户的身份权限列出如暂存状态、审批退回修状态的监管方案。用户选中某个监管方案后，系统分类调用相关方案的调整功能，实现对方案中内容的调整。用户对监管方案内容调整完成后，系统自动更新监管方案管理中心该监管方案的内容。</w:t>
            </w:r>
          </w:p>
        </w:tc>
      </w:tr>
      <w:tr w14:paraId="761FF49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9299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755</w:t>
            </w:r>
          </w:p>
        </w:tc>
        <w:tc>
          <w:tcPr>
            <w:tcW w:w="491" w:type="pct"/>
            <w:tcBorders>
              <w:top w:val="nil"/>
              <w:left w:val="nil"/>
              <w:bottom w:val="single" w:color="000000" w:sz="4" w:space="0"/>
              <w:right w:val="single" w:color="000000" w:sz="4" w:space="0"/>
            </w:tcBorders>
            <w:shd w:val="clear" w:color="auto" w:fill="auto"/>
            <w:vAlign w:val="center"/>
          </w:tcPr>
          <w:p w14:paraId="3020C7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A352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监管任务管理（重构）-监管方案落实-监管方案派发-监管方案派发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8F8C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方案在审批通过后，会根据监管方案中检查任务的实施机关/部门，将监管方案自动派给实施机关，市级市场监督管理部门制定的监管方案可以交给同级部门或区级市场监管管理部门，区级监督管理部门可以交给同级部门。系统自动更新监管方案管理中心该监管方案的实施机关。</w:t>
            </w:r>
          </w:p>
        </w:tc>
      </w:tr>
      <w:tr w14:paraId="199C8BD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F801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756</w:t>
            </w:r>
          </w:p>
        </w:tc>
        <w:tc>
          <w:tcPr>
            <w:tcW w:w="491" w:type="pct"/>
            <w:tcBorders>
              <w:top w:val="nil"/>
              <w:left w:val="nil"/>
              <w:bottom w:val="single" w:color="000000" w:sz="4" w:space="0"/>
              <w:right w:val="single" w:color="000000" w:sz="4" w:space="0"/>
            </w:tcBorders>
            <w:shd w:val="clear" w:color="auto" w:fill="auto"/>
            <w:vAlign w:val="center"/>
          </w:tcPr>
          <w:p w14:paraId="3F69FC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088A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监管任务管理（重构）-监管方案落实-监管方案派发-监管方案接收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C84F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级机关或部门，在接收到上级或同级部门下发的监管方案，对监管方案中的内容进行核查，是否是本级机关或部门的工作范围。如果是本级机关或部门的工作范围，接收该监管方案后，根据监管方案中的内容和实施形式，落实检查任务、上报文件材料、汇总数据报表。用户在接收监管方案后，系统自动更新监管方案管理中心该监管方案的状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对于上级机关下发的监管方案，支持对本级机关实施检查任务的监管对象主体的检查事项和检查内容进行补充。通过监管事项定制服务，增加检查任务中的检查事项和检查内容。</w:t>
            </w:r>
          </w:p>
        </w:tc>
      </w:tr>
      <w:tr w14:paraId="5443C22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ADEF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757</w:t>
            </w:r>
          </w:p>
        </w:tc>
        <w:tc>
          <w:tcPr>
            <w:tcW w:w="491" w:type="pct"/>
            <w:tcBorders>
              <w:top w:val="nil"/>
              <w:left w:val="nil"/>
              <w:bottom w:val="single" w:color="000000" w:sz="4" w:space="0"/>
              <w:right w:val="single" w:color="000000" w:sz="4" w:space="0"/>
            </w:tcBorders>
            <w:shd w:val="clear" w:color="auto" w:fill="auto"/>
            <w:vAlign w:val="center"/>
          </w:tcPr>
          <w:p w14:paraId="1CDB41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7082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监管任务管理（重构）-监管方案落实-监管方案派发-监管方案补充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161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区局可以对市局派发的监管方案进行补充。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1、监管事项补充：区局可以从全市统一的监管事项以及区局自定义监管事项中补充监管事项到检查方案中。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2、检查内容补充：区局可以从全市统一的监管事项的检查内容中以及区局自定义监管事项的检查内容中补充检查内容到检查方案中。</w:t>
            </w:r>
          </w:p>
        </w:tc>
      </w:tr>
      <w:tr w14:paraId="108495A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7C42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758</w:t>
            </w:r>
          </w:p>
        </w:tc>
        <w:tc>
          <w:tcPr>
            <w:tcW w:w="491" w:type="pct"/>
            <w:tcBorders>
              <w:top w:val="nil"/>
              <w:left w:val="nil"/>
              <w:bottom w:val="single" w:color="000000" w:sz="4" w:space="0"/>
              <w:right w:val="single" w:color="000000" w:sz="4" w:space="0"/>
            </w:tcBorders>
            <w:shd w:val="clear" w:color="auto" w:fill="auto"/>
            <w:vAlign w:val="center"/>
          </w:tcPr>
          <w:p w14:paraId="280C93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8C41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监管任务管理（重构）-监管方案落实-监管方案派发-监管方案补充审批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C354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本级机关/部门接收的监管方案进行审批，再次核查是否是本级机关或部门的工作范围。如果在监管方案接收时，补充了检查事项和检查内容，对补充内容进行审批。系统自动更新监管方案管理中心该监管方案的状态和实施机关。</w:t>
            </w:r>
          </w:p>
        </w:tc>
      </w:tr>
      <w:tr w14:paraId="1970828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6E50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759</w:t>
            </w:r>
          </w:p>
        </w:tc>
        <w:tc>
          <w:tcPr>
            <w:tcW w:w="491" w:type="pct"/>
            <w:tcBorders>
              <w:top w:val="nil"/>
              <w:left w:val="nil"/>
              <w:bottom w:val="single" w:color="000000" w:sz="4" w:space="0"/>
              <w:right w:val="single" w:color="000000" w:sz="4" w:space="0"/>
            </w:tcBorders>
            <w:shd w:val="clear" w:color="auto" w:fill="auto"/>
            <w:vAlign w:val="center"/>
          </w:tcPr>
          <w:p w14:paraId="280122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9033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监管任务管理（重构）-监管方案落实-监管方案派发-监管方案退回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0F27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级机关或部门，在接收到上级或同级部门下发的监管方案，对监管方案中的内容进行核查，是否是本级机关或部门的工作范围。如果不是本级机关或部门的工作范围，可以将该监管方案退回给下发的机构或部门。用户选择退回监管方案后，输入退回的原因或理由，系统自动更新监管方案管理中心该监管方案的实施机关。</w:t>
            </w:r>
          </w:p>
        </w:tc>
      </w:tr>
      <w:tr w14:paraId="499D536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4CB8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760</w:t>
            </w:r>
          </w:p>
        </w:tc>
        <w:tc>
          <w:tcPr>
            <w:tcW w:w="491" w:type="pct"/>
            <w:tcBorders>
              <w:top w:val="nil"/>
              <w:left w:val="nil"/>
              <w:bottom w:val="single" w:color="000000" w:sz="4" w:space="0"/>
              <w:right w:val="single" w:color="000000" w:sz="4" w:space="0"/>
            </w:tcBorders>
            <w:shd w:val="clear" w:color="auto" w:fill="auto"/>
            <w:vAlign w:val="center"/>
          </w:tcPr>
          <w:p w14:paraId="76476F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9952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监管任务管理（重构）-监管方案落实-监管对象圈定-监管对象名单预先制定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DFE23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提供“检查对象名单预制定”功能，进入相应制定界面，选择主体类型及不同的查询条件，生成包括特定对象范围的检查对象清单，供后续双随机、专项整治等检查方案调用。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针对监管对象库中的各类经营主体（企业、个体、农专）、非企业组织等，按照名称、经营范围、类型、许可证、标签等多种条件维度，进行按各类关键字组合（“同时满足（与）”、“满足其中任意一项（或）”）的方式，预先制定检查对象名单的功能。</w:t>
            </w:r>
          </w:p>
        </w:tc>
      </w:tr>
      <w:tr w14:paraId="7FB788A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94AD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761</w:t>
            </w:r>
          </w:p>
        </w:tc>
        <w:tc>
          <w:tcPr>
            <w:tcW w:w="491" w:type="pct"/>
            <w:tcBorders>
              <w:top w:val="nil"/>
              <w:left w:val="nil"/>
              <w:bottom w:val="single" w:color="000000" w:sz="4" w:space="0"/>
              <w:right w:val="single" w:color="000000" w:sz="4" w:space="0"/>
            </w:tcBorders>
            <w:shd w:val="clear" w:color="auto" w:fill="auto"/>
            <w:vAlign w:val="center"/>
          </w:tcPr>
          <w:p w14:paraId="69DA35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33E9E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监管任务管理（重构）-监管方案落实-监管对象圈定-监管对象名单查询与维护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54AE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主体名单生成后可以进行样本查看。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1、提供本机关已预先生成的检查对象名单的列表清单。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2、选择列表中某项检查对象名单后，可以通过“查看”功能显示该条名单设置的具体明细；通过“样本查看”功能，查看该名单的样本信息。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3、对于在后续方案中未曾使用的对象名称，提供修改与删除功能，如在后续方案中已使用，则只能查看，不能进行修改或删除。</w:t>
            </w:r>
          </w:p>
        </w:tc>
      </w:tr>
      <w:tr w14:paraId="34CC32E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02E0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762</w:t>
            </w:r>
          </w:p>
        </w:tc>
        <w:tc>
          <w:tcPr>
            <w:tcW w:w="491" w:type="pct"/>
            <w:tcBorders>
              <w:top w:val="nil"/>
              <w:left w:val="nil"/>
              <w:bottom w:val="single" w:color="000000" w:sz="4" w:space="0"/>
              <w:right w:val="single" w:color="000000" w:sz="4" w:space="0"/>
            </w:tcBorders>
            <w:shd w:val="clear" w:color="auto" w:fill="auto"/>
            <w:vAlign w:val="center"/>
          </w:tcPr>
          <w:p w14:paraId="6C7E0D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E6F4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监管任务管理（重构）-监管方案落实-监管对象圈定-监管对象范围圈定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3296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监管对象类型是监管方案中组成部分，确定抽查检查的监管对象类型，监管对象分为主体和客体两类：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主体：监管对象主体支持企业、个体工商户和非企业组织。默认情况下是本辖区内的监管对象主体库，但都支持选择附加库。附加库是指未存在于本辖区监管对象主体库但仍需进行抽查检查的监管对象主体，即可检查非本辖区的监管对象主体。导入至附加库的监管对象主体，可自行维护并可在下次抽查检查时使用。特别说明的是，导入至附加库的监管对象主体，不参与日常业务，相关监管信息也不作记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2、监管对象客体：客体类型支持特种设备、食品、药品、特殊食品、化妆品、医疗器械、场地场所等。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3、系统会根据监管方案中选中的监管对象类型，自动调用监管对象类型服务接口，保存用户选择的监管对象主体及附加库或者监管对象客体。</w:t>
            </w:r>
          </w:p>
        </w:tc>
      </w:tr>
      <w:tr w14:paraId="717F83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C8E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763</w:t>
            </w:r>
          </w:p>
        </w:tc>
        <w:tc>
          <w:tcPr>
            <w:tcW w:w="491" w:type="pct"/>
            <w:tcBorders>
              <w:top w:val="nil"/>
              <w:left w:val="nil"/>
              <w:bottom w:val="single" w:color="000000" w:sz="4" w:space="0"/>
              <w:right w:val="single" w:color="000000" w:sz="4" w:space="0"/>
            </w:tcBorders>
            <w:shd w:val="clear" w:color="auto" w:fill="auto"/>
            <w:vAlign w:val="center"/>
          </w:tcPr>
          <w:p w14:paraId="6ED85D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8707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3CA4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通过监管对象主体检索，从辖区内监管对象主体库中，检索出符合要求的监管对象主体，作为抽查检查的监管对象。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5.3.1监管对象主体检索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监管对象主体检索，提供主体名称、类型、登记机关、管辖机关、设立日期、行业类别、经营范围等多种检索条件，可以快速检索到需要的监管对象主体。系统会调用监管对象检索内容接口服务，保存用户选择的检索条件，以便检索出符合抽查检查要求的监管对象主体列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5.3.2监管对象客体检索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监管对象客体检索，提供主体名称、课题名称、类型、登记机关、管辖机关、设立日期、许可时间、行业类别、经营范围等多种检索条件，可以快速检索到需要的监管对象客体。系统会调用监管对象客体检索内容接口服务，保存用户选择的检索条件，以便检索出符合抽查检查要求的监管对象主体列表。</w:t>
            </w:r>
          </w:p>
        </w:tc>
      </w:tr>
      <w:tr w14:paraId="237130C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E332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764</w:t>
            </w:r>
          </w:p>
        </w:tc>
        <w:tc>
          <w:tcPr>
            <w:tcW w:w="491" w:type="pct"/>
            <w:tcBorders>
              <w:top w:val="nil"/>
              <w:left w:val="nil"/>
              <w:bottom w:val="single" w:color="000000" w:sz="4" w:space="0"/>
              <w:right w:val="single" w:color="000000" w:sz="4" w:space="0"/>
            </w:tcBorders>
            <w:shd w:val="clear" w:color="auto" w:fill="auto"/>
            <w:vAlign w:val="center"/>
          </w:tcPr>
          <w:p w14:paraId="7E0A34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91FD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监管任务管理（重构）-监管方案落实-监管对象圈定-监管对象导入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BF78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监管方案中的抽查检查的监管对象主体，支持从监管对象主体库中按照条件进行检索，也支持方案制定部门自行导入监管对象主体。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5.4.1监管对象导入：通过模板，导入监管对象主体，模板中的每条记录以统一社会信用代码或主体名称作为确定与核对监管对象主体的标识，与监管对象主体库中进行匹配，确定导入的监管对象主体的有效性。导入完毕后，会显示每条监管对象主体的导入状态，如已成功匹配或不符合本次业务条件（设立状态是注销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5.4.2监管对象匹配：系统会根据用户提供的模板，读取模板中监管对象主体的统一社会信用代码或主体名称，调用主体对象核对接口服务进行匹配校验，确定监管对象主体的有效性后，将本批次模板中的监管对象主体调用主体对象导入接口服务进入到自定义监管对象主体库中管理。</w:t>
            </w:r>
          </w:p>
        </w:tc>
      </w:tr>
      <w:tr w14:paraId="6054DD6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684B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765</w:t>
            </w:r>
          </w:p>
        </w:tc>
        <w:tc>
          <w:tcPr>
            <w:tcW w:w="491" w:type="pct"/>
            <w:tcBorders>
              <w:top w:val="nil"/>
              <w:left w:val="nil"/>
              <w:bottom w:val="single" w:color="000000" w:sz="4" w:space="0"/>
              <w:right w:val="single" w:color="000000" w:sz="4" w:space="0"/>
            </w:tcBorders>
            <w:shd w:val="clear" w:color="auto" w:fill="auto"/>
            <w:vAlign w:val="center"/>
          </w:tcPr>
          <w:p w14:paraId="6437BD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65A9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监管任务管理（重构）-监管方案落实-监管对象圈定-监管对象过滤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1D04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监管对象，用户可以自定义过滤条件，将满足条件的监管对象排除在本次抽查检查的范围之外，例如：“近一年内已经抽查2次的监管对象”可以将其过滤，避免对监管对象主体过度检查。此项为用户自定义选择项，根据实际工作情况勾选，系统会自动调用主体对象过滤接口服务，查找符合条件的监管对象主体并过滤。</w:t>
            </w:r>
          </w:p>
        </w:tc>
      </w:tr>
      <w:tr w14:paraId="33F2609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BDEE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766</w:t>
            </w:r>
          </w:p>
        </w:tc>
        <w:tc>
          <w:tcPr>
            <w:tcW w:w="491" w:type="pct"/>
            <w:tcBorders>
              <w:top w:val="nil"/>
              <w:left w:val="nil"/>
              <w:bottom w:val="single" w:color="000000" w:sz="4" w:space="0"/>
              <w:right w:val="single" w:color="000000" w:sz="4" w:space="0"/>
            </w:tcBorders>
            <w:shd w:val="clear" w:color="auto" w:fill="auto"/>
            <w:vAlign w:val="center"/>
          </w:tcPr>
          <w:p w14:paraId="3B6F3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237D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监管任务管理（重构）-监管方案落实-监管对象抽取-监管对象抽取分组和比例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9E7B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监管对象抽取比例用来设定监管对象的检查比例，从0%至100%，0%即一个监管对象也不检查，100%即所有的监管对象均检查。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1、监管对象抽取支持按照国家信用分类、登记机关、属地机关、行政区划、行业门类等条件进行分组，每个分组类别可以设定抽查比例数值（0-100）或数量。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2、用户设置各分组的抽取比例后，系统会自动调用抽取比例接口服务，保存用户选择的分组和抽查比例值，以便在落实监管对象时，随机抽取监管对象。</w:t>
            </w:r>
          </w:p>
        </w:tc>
      </w:tr>
      <w:tr w14:paraId="4E29EEF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703F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767</w:t>
            </w:r>
          </w:p>
        </w:tc>
        <w:tc>
          <w:tcPr>
            <w:tcW w:w="491" w:type="pct"/>
            <w:tcBorders>
              <w:top w:val="nil"/>
              <w:left w:val="nil"/>
              <w:bottom w:val="single" w:color="000000" w:sz="4" w:space="0"/>
              <w:right w:val="single" w:color="000000" w:sz="4" w:space="0"/>
            </w:tcBorders>
            <w:shd w:val="clear" w:color="auto" w:fill="auto"/>
            <w:vAlign w:val="center"/>
          </w:tcPr>
          <w:p w14:paraId="11495E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CA44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监管任务管理（重构）-监管方案落实-监管对象抽取-监管对象必查清单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A507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对象必查清单，是本次监管方案中必须实施检查核查的监管对象主体，在落实监管对象的时候，用户可以自行勾选监管对象必查清单，若勾选了必查清单，则需要根据模板要求，将监管对象主体逐条录入到必查清单中，并上传该必查清单文件。系统会自动读取模板中监管对象主体的统一社会信用代码或主体名称，调用主体对象核对接口服务进行匹配校验，确定监管对象主体的有效性后，调用落实监管对象接口服务进入待查监管对象管理中，进行统一管理。</w:t>
            </w:r>
          </w:p>
        </w:tc>
      </w:tr>
      <w:tr w14:paraId="75021C5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C12D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768</w:t>
            </w:r>
          </w:p>
        </w:tc>
        <w:tc>
          <w:tcPr>
            <w:tcW w:w="491" w:type="pct"/>
            <w:tcBorders>
              <w:top w:val="nil"/>
              <w:left w:val="nil"/>
              <w:bottom w:val="single" w:color="000000" w:sz="4" w:space="0"/>
              <w:right w:val="single" w:color="000000" w:sz="4" w:space="0"/>
            </w:tcBorders>
            <w:shd w:val="clear" w:color="auto" w:fill="auto"/>
            <w:vAlign w:val="center"/>
          </w:tcPr>
          <w:p w14:paraId="4309FA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E5E5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监管任务管理（重构）-监管方案落实-监管对象抽取-落实监管对象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A257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落实监管对象是根据监管方案中选择的监管对象类型，对导入或从监管对象主体库中检索出来的监管对象，按照监管对象抽取比例，产生最终的监管对象，每一个监管对象形成一条检查任务。最终形成检查任务的监管对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1、监管对象类型是主体还是客体，需要监管对象类型的服务支持；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2、监管对象的来源是用户自行导入还是从监管对象主体库中检索，需要监管对象主体导入和监管对象主体检索的服务支持；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3、监管对象的数量是按照比例抽取的还是设定数量，需要监管对象抽取比例的服务支持；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4、是否存在监管对象必查清单，若有则需要上传监管对象必查清单文件，需要监管对象必查清单的服务支持。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5、用户在落实监管对象时，根据以上各服务的支持，形成一份最终的监管对象清单，按照登记机关分组显示，也可以通过列表形式显示详细信息，可将监管对象清单导出，作为对外公示的内容。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6、系统自动将监管对象放入待查监管对象管理中，进行统一管理。</w:t>
            </w:r>
          </w:p>
        </w:tc>
      </w:tr>
      <w:tr w14:paraId="33B6BCC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06F5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769</w:t>
            </w:r>
          </w:p>
        </w:tc>
        <w:tc>
          <w:tcPr>
            <w:tcW w:w="491" w:type="pct"/>
            <w:tcBorders>
              <w:top w:val="nil"/>
              <w:left w:val="nil"/>
              <w:bottom w:val="single" w:color="000000" w:sz="4" w:space="0"/>
              <w:right w:val="single" w:color="000000" w:sz="4" w:space="0"/>
            </w:tcBorders>
            <w:shd w:val="clear" w:color="auto" w:fill="auto"/>
            <w:vAlign w:val="center"/>
          </w:tcPr>
          <w:p w14:paraId="3EF5AD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15A2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监管任务管理（重构）-监管方案落实-监管对象抽取-监管对象统计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01B6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在落实监管对象，主体随机抽取完成之后，可以查看抽查结果统计信息和具体对象列表信息。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1、监管对象统计：通过图表结合形式，提供对已抽取的对象的分单位统计功能，市局随机抽取的按区局进行分类，区局随机抽取的按监管所进行分类。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2、监管对象列表：提供已抽取的具体对象列表信息，可查看抽取的主体清单，支持将主体清单打包进行下载，支持设置文件解压密码。</w:t>
            </w:r>
          </w:p>
        </w:tc>
      </w:tr>
      <w:tr w14:paraId="5314DF3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7515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770</w:t>
            </w:r>
          </w:p>
        </w:tc>
        <w:tc>
          <w:tcPr>
            <w:tcW w:w="491" w:type="pct"/>
            <w:tcBorders>
              <w:top w:val="nil"/>
              <w:left w:val="nil"/>
              <w:bottom w:val="single" w:color="000000" w:sz="4" w:space="0"/>
              <w:right w:val="single" w:color="000000" w:sz="4" w:space="0"/>
            </w:tcBorders>
            <w:shd w:val="clear" w:color="auto" w:fill="auto"/>
            <w:vAlign w:val="center"/>
          </w:tcPr>
          <w:p w14:paraId="1ACF6E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DFDC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监管任务管理（重构）-监管方案落实-监管人员抽取-监管人员随机抽取（随机分配）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1664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根据监管计划和监管方案的工作要求，自行选择监管人员抽取模式，需要监管人员抽取模式的服务支持。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监管人员随机分配：通过随机分配的方式，为监管对象主体分配检查组，由检查组的监管人员对监管对象主体实施检查。此种模式不指定监管对象主体实施检查的监管人员，由系统随机抽取检查组。</w:t>
            </w:r>
          </w:p>
        </w:tc>
      </w:tr>
      <w:tr w14:paraId="70461C1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C3E0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771</w:t>
            </w:r>
          </w:p>
        </w:tc>
        <w:tc>
          <w:tcPr>
            <w:tcW w:w="491" w:type="pct"/>
            <w:tcBorders>
              <w:top w:val="nil"/>
              <w:left w:val="nil"/>
              <w:bottom w:val="single" w:color="000000" w:sz="4" w:space="0"/>
              <w:right w:val="single" w:color="000000" w:sz="4" w:space="0"/>
            </w:tcBorders>
            <w:shd w:val="clear" w:color="auto" w:fill="auto"/>
            <w:vAlign w:val="center"/>
          </w:tcPr>
          <w:p w14:paraId="0F896C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02A3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监管任务管理（重构）-监管方案落实-监管人员抽取-监管人员随机抽取（属地分配）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355D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人员属地分配：每个监管对象主体，都有属地监管机关，默认由其属地监管机关/部门的检查组对监管对象实施检查任务，通常情况，属地监管机构/部门的检查组也是由两名监管干部组成，负责实施检查任务。</w:t>
            </w:r>
          </w:p>
        </w:tc>
      </w:tr>
      <w:tr w14:paraId="77285AB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B063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772</w:t>
            </w:r>
          </w:p>
        </w:tc>
        <w:tc>
          <w:tcPr>
            <w:tcW w:w="491" w:type="pct"/>
            <w:tcBorders>
              <w:top w:val="nil"/>
              <w:left w:val="nil"/>
              <w:bottom w:val="single" w:color="000000" w:sz="4" w:space="0"/>
              <w:right w:val="single" w:color="000000" w:sz="4" w:space="0"/>
            </w:tcBorders>
            <w:shd w:val="clear" w:color="auto" w:fill="auto"/>
            <w:vAlign w:val="center"/>
          </w:tcPr>
          <w:p w14:paraId="25EC4B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135F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监管任务管理（重构）-监管方案落实-监管人员抽取-检查任务人员调整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5536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对监管对象主体的检查任务产生后，由检查组内的监管人员对监管对象主体实施检查。但由于某个监管人员的工作调整或其它原因，需要调整该名监管人员所对应的检查任务。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1、检查任务人员调整提供对检查任务中监管人员的调整功能。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2、系统会自动调用监管人员查看接口服务，对监管人员进行校验，校验通过后系统调用检查任务人员调整接口服务，为检查任务设置新的监管人员。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3、用户保存时，系统会对该监管人员的所有检查任务都调整为新的监管人员。</w:t>
            </w:r>
          </w:p>
        </w:tc>
      </w:tr>
      <w:tr w14:paraId="509F81F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2C0E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773</w:t>
            </w:r>
          </w:p>
        </w:tc>
        <w:tc>
          <w:tcPr>
            <w:tcW w:w="491" w:type="pct"/>
            <w:tcBorders>
              <w:top w:val="nil"/>
              <w:left w:val="nil"/>
              <w:bottom w:val="single" w:color="000000" w:sz="4" w:space="0"/>
              <w:right w:val="single" w:color="000000" w:sz="4" w:space="0"/>
            </w:tcBorders>
            <w:shd w:val="clear" w:color="auto" w:fill="auto"/>
            <w:vAlign w:val="center"/>
          </w:tcPr>
          <w:p w14:paraId="4F287E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90CB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监管任务管理（重构）-监管方案落实-监管人员抽取-检查任务人员撤回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CC81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在监管人员对检查任务还未实施之前，可以对实施检查任务的人员撤回，重新指派检查任务的监管人员。系统自动清除该检查任务的实施检查的监管人员。</w:t>
            </w:r>
          </w:p>
        </w:tc>
      </w:tr>
      <w:tr w14:paraId="1237B4C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4A73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774</w:t>
            </w:r>
          </w:p>
        </w:tc>
        <w:tc>
          <w:tcPr>
            <w:tcW w:w="491" w:type="pct"/>
            <w:tcBorders>
              <w:top w:val="nil"/>
              <w:left w:val="nil"/>
              <w:bottom w:val="single" w:color="000000" w:sz="4" w:space="0"/>
              <w:right w:val="single" w:color="000000" w:sz="4" w:space="0"/>
            </w:tcBorders>
            <w:shd w:val="clear" w:color="auto" w:fill="auto"/>
            <w:vAlign w:val="center"/>
          </w:tcPr>
          <w:p w14:paraId="4D4EC4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DF29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监管任务管理（重构）-监管方案落实-监管人员抽取-检查任务人员指派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3506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1、对监管对象主体的检查任务产生后，由检查组内的监管人员对监管对象主体实施检查。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2、由于监管对象主体的特殊性，需要该检查执法种类或拥有专业技能的监管人员实施检查任务。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3、检查任务人员指派提供调整监管对象主体检查实施人员的功能。系统自动为该检查任务指派新的监管人员。</w:t>
            </w:r>
          </w:p>
        </w:tc>
      </w:tr>
      <w:tr w14:paraId="4F17980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1F7C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775</w:t>
            </w:r>
          </w:p>
        </w:tc>
        <w:tc>
          <w:tcPr>
            <w:tcW w:w="491" w:type="pct"/>
            <w:tcBorders>
              <w:top w:val="nil"/>
              <w:left w:val="nil"/>
              <w:bottom w:val="single" w:color="000000" w:sz="4" w:space="0"/>
              <w:right w:val="single" w:color="000000" w:sz="4" w:space="0"/>
            </w:tcBorders>
            <w:shd w:val="clear" w:color="auto" w:fill="auto"/>
            <w:vAlign w:val="center"/>
          </w:tcPr>
          <w:p w14:paraId="18FFDE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0CAD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监管任务管理（重构）-监管方案落实-监管方案办结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5DF1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可以主动办结尚在进行中的监管方案，系统根据用户的身份权限列出自己制定的监管方案。用户选中某个监管方案后，系统分类调用相关方案的监管方案详情服务，显示该监管方案的详细信息和检查任务信息。用户再次确认办结该监管方案后，系统自动将监管方案管理中心的该监管方案办结。同时，该监管方案涉及的检查内容等，系统也将自动调用检查任务终止服务，确保该监管方案的所有工作均已完成。</w:t>
            </w:r>
          </w:p>
        </w:tc>
      </w:tr>
      <w:tr w14:paraId="53FB6F2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2FE0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776</w:t>
            </w:r>
          </w:p>
        </w:tc>
        <w:tc>
          <w:tcPr>
            <w:tcW w:w="491" w:type="pct"/>
            <w:tcBorders>
              <w:top w:val="nil"/>
              <w:left w:val="nil"/>
              <w:bottom w:val="single" w:color="000000" w:sz="4" w:space="0"/>
              <w:right w:val="single" w:color="000000" w:sz="4" w:space="0"/>
            </w:tcBorders>
            <w:shd w:val="clear" w:color="auto" w:fill="auto"/>
            <w:vAlign w:val="center"/>
          </w:tcPr>
          <w:p w14:paraId="62B5B2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9706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E80B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对于监管实施形式是报表上报的专项整治监管方案，实施机关会根据方案制定机关/部门的要求，根据报表的填报要求填报数据、清单或者编写整理汇报材料，上传并返回给方案制定机关/部门汇总。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报表形式，系统可实时对填报的数据进行逐级汇总，区级市场监督管理部门可以查看到根据辖区内各个市场监管所填报数据而自动汇总的区局范围数据，市级市场监督管理部门可以查看到根据各个区局自动汇总的全市范围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1、在制定监管方案时，可根据业务需求，让实施机关通过报表填报的形式，填报各类检查工作情况的数据，如：出动执法人员的人次、检查经营户的户数等，系统会根据填报的数据，自动逐级进行汇总。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2、报表制定时，需要选择一张报表模板，标识出需要填报的数据项。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3、用户报表制定完成后，系统自动将分级报表纳入到分级报表管理中心，以便进行后续集中管理。</w:t>
            </w:r>
          </w:p>
        </w:tc>
      </w:tr>
      <w:tr w14:paraId="0C8D484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E3BE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777</w:t>
            </w:r>
          </w:p>
        </w:tc>
        <w:tc>
          <w:tcPr>
            <w:tcW w:w="491" w:type="pct"/>
            <w:tcBorders>
              <w:top w:val="nil"/>
              <w:left w:val="nil"/>
              <w:bottom w:val="single" w:color="000000" w:sz="4" w:space="0"/>
              <w:right w:val="single" w:color="000000" w:sz="4" w:space="0"/>
            </w:tcBorders>
            <w:shd w:val="clear" w:color="auto" w:fill="auto"/>
            <w:vAlign w:val="center"/>
          </w:tcPr>
          <w:p w14:paraId="0F0A49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ACE6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1855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1、报表分发就是将制定好的分级报表分发给实施机关进行填报。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2、市级市场监督管理部门制定的分级报表可以由本级机关的部门填报，也可以分发至区局市场监督管理部门填报，区局市场监督管理部门可自行填报，也可以继续下发至市场监督管理所进行填报。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3、报表分发后，可以对报表填报的机关/部门进行调整，增加或去除报表填报的机关/部门。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4、用户选择分级报表需要填报的机关/部门后，系统将分级报表分发至相应的机关/部门，进行报表填报。</w:t>
            </w:r>
          </w:p>
        </w:tc>
      </w:tr>
      <w:tr w14:paraId="526D6F4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19EB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778</w:t>
            </w:r>
          </w:p>
        </w:tc>
        <w:tc>
          <w:tcPr>
            <w:tcW w:w="491" w:type="pct"/>
            <w:tcBorders>
              <w:top w:val="nil"/>
              <w:left w:val="nil"/>
              <w:bottom w:val="single" w:color="000000" w:sz="4" w:space="0"/>
              <w:right w:val="single" w:color="000000" w:sz="4" w:space="0"/>
            </w:tcBorders>
            <w:shd w:val="clear" w:color="auto" w:fill="auto"/>
            <w:vAlign w:val="center"/>
          </w:tcPr>
          <w:p w14:paraId="34642B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D87C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3FDF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1、报表填报是报表填报机关/部门，接收上级/本级机关/部门分发的分级报表任务，在收到的报表文件中填写报表数据，完成报表填报工作。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2、对于已经填报完毕的分级报表，可以对报表中填报的数据重新调整后重新上报。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3、用户填写报表数据后，系统自动在分级报表管理中心更新该分级报表纳的填报状态，以便进行报表汇总。</w:t>
            </w:r>
          </w:p>
        </w:tc>
      </w:tr>
      <w:tr w14:paraId="248238B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525E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779</w:t>
            </w:r>
          </w:p>
        </w:tc>
        <w:tc>
          <w:tcPr>
            <w:tcW w:w="491" w:type="pct"/>
            <w:tcBorders>
              <w:top w:val="nil"/>
              <w:left w:val="nil"/>
              <w:bottom w:val="single" w:color="000000" w:sz="4" w:space="0"/>
              <w:right w:val="single" w:color="000000" w:sz="4" w:space="0"/>
            </w:tcBorders>
            <w:shd w:val="clear" w:color="auto" w:fill="auto"/>
            <w:vAlign w:val="center"/>
          </w:tcPr>
          <w:p w14:paraId="32068D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64D2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E75A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1、报表汇总是对已经填报的报表数据进行汇总，汇总成本级机关/部门的汇总表，该汇总表的数据来源于分发的报表填报机关/部门所填报的数据。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2、汇总可逐级进行汇总，比如：区级市场监督管理部门能够汇总辖区内各个市场监管所填报的数据，成为一张本区的报表数据。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3、市级市场监督管理部门能够汇总各个区局的分级报表的数据，成为一张全市的报表数据。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4、报表汇总是系统调出报表填报机关/部门填报的数据，在报表文件中汇总，除了能够显示汇总数据之外，还能够显示填报机关/部门的原始填报数据。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5、系统调用分级报表汇总接口服务，对分级报表管理中心的报表数据进行汇总，形成一张汇总表。</w:t>
            </w:r>
          </w:p>
        </w:tc>
      </w:tr>
      <w:tr w14:paraId="243C33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C68E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780</w:t>
            </w:r>
          </w:p>
        </w:tc>
        <w:tc>
          <w:tcPr>
            <w:tcW w:w="491" w:type="pct"/>
            <w:tcBorders>
              <w:top w:val="nil"/>
              <w:left w:val="nil"/>
              <w:bottom w:val="single" w:color="000000" w:sz="4" w:space="0"/>
              <w:right w:val="single" w:color="000000" w:sz="4" w:space="0"/>
            </w:tcBorders>
            <w:shd w:val="clear" w:color="auto" w:fill="auto"/>
            <w:vAlign w:val="center"/>
          </w:tcPr>
          <w:p w14:paraId="06531C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87B4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21F8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 xml:space="preserve">用户通过报表全览功能在分级报表管理中心检索该用户自己制定的、上级机关/部门分发下来需要填报的各类报表。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1、制定的报表：对于自己制定的报表，可以对报表进行分发、汇总操作。调整报表填报的机关/部门，汇总报表数据。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2、接收的报表：对于分发过来的报表，可以将报表继续分发给其它部门进行填报，也可以对报表进行填报。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3、需填表的报表：对于需要填报的报表，可以查看报表填报的要求，打开报表进行填报。 用户对报表进行检索，系统根据用户提供的检索条件内容，从分级报表管理中心检索出报表数据，以列表形式显示报表信息。</w:t>
            </w:r>
          </w:p>
        </w:tc>
      </w:tr>
      <w:tr w14:paraId="021AFE0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8D56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781</w:t>
            </w:r>
          </w:p>
        </w:tc>
        <w:tc>
          <w:tcPr>
            <w:tcW w:w="491" w:type="pct"/>
            <w:tcBorders>
              <w:top w:val="nil"/>
              <w:left w:val="nil"/>
              <w:bottom w:val="single" w:color="000000" w:sz="4" w:space="0"/>
              <w:right w:val="single" w:color="000000" w:sz="4" w:space="0"/>
            </w:tcBorders>
            <w:shd w:val="clear" w:color="auto" w:fill="auto"/>
            <w:vAlign w:val="center"/>
          </w:tcPr>
          <w:p w14:paraId="2D45FD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1B44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1D38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用户的权限，查看分级报表的填报要求和填报内容信息。系统根据用户提供的报表唯一标识，调用报表查看接口服务，从分级报表管理中心找到该报表信息，显示报表填报要求信息，对于已经填报的报表，支持查看报表填报的数据。</w:t>
            </w:r>
          </w:p>
        </w:tc>
      </w:tr>
      <w:tr w14:paraId="3DE20D7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8F3B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782</w:t>
            </w:r>
          </w:p>
        </w:tc>
        <w:tc>
          <w:tcPr>
            <w:tcW w:w="491" w:type="pct"/>
            <w:tcBorders>
              <w:top w:val="nil"/>
              <w:left w:val="nil"/>
              <w:bottom w:val="single" w:color="000000" w:sz="4" w:space="0"/>
              <w:right w:val="single" w:color="000000" w:sz="4" w:space="0"/>
            </w:tcBorders>
            <w:shd w:val="clear" w:color="auto" w:fill="auto"/>
            <w:vAlign w:val="center"/>
          </w:tcPr>
          <w:p w14:paraId="71D8BD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F785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B604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 xml:space="preserve">报表统计提供随时查看报表进度情况的功能，能够让报表制定的机关/部门随时了解分级报表的填报状态、进度情况。同时提供按照报表填报机关汇总已填报、未填报、逾期填报的报表情况。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 xml:space="preserve">1、报表进度情况：报表制定的机关/部门或者报表分发的机关/部门可以查看每一张报表的填报进度情况，应该填报的机关/部门数量、已经填报的机关/部门数量等。系统会自动调用报表进度统计接口服务，从分级报表管理中心检索出上述信息返回数据。 </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报表填报情况：报表制定的机关/部门或者报表分发的机关/部门能够按照报表填报机关/部门的列表形式，查看每个机关/部门的报表填报情况，如有哪些机关/部门已经填报了，哪些尚未填报，哪些填报的报表是在报表填报期限内，哪些是逾期填报的。系统会自动调用报表填报统计接口服务，从分级报表管理中心检索出上述信息返回数据。对于已经填报的报表，用户点击后，系统会调用报表查看接口服务，查看报表的填报要求和填报数据。</w:t>
            </w:r>
          </w:p>
        </w:tc>
      </w:tr>
      <w:tr w14:paraId="44F198C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2BCA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783</w:t>
            </w:r>
          </w:p>
        </w:tc>
        <w:tc>
          <w:tcPr>
            <w:tcW w:w="491" w:type="pct"/>
            <w:tcBorders>
              <w:top w:val="nil"/>
              <w:left w:val="nil"/>
              <w:bottom w:val="single" w:color="000000" w:sz="4" w:space="0"/>
              <w:right w:val="single" w:color="000000" w:sz="4" w:space="0"/>
            </w:tcBorders>
            <w:shd w:val="clear" w:color="auto" w:fill="auto"/>
            <w:vAlign w:val="center"/>
          </w:tcPr>
          <w:p w14:paraId="3EF9E2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7E69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监管任务管理（重构）-监管方案落实（非检查任务类）-专项整治（专项报表/报告类）落实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ACBD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1、监管方案的制定机关/部门，可以让实施机关提供汇报材料或清单文件，上传到系统中，在监管方案中可以分层级查询到各级监督管理部门上传的材料。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报表清单形式是监管方案中实施形式的一种，随着监管方案的业务流程，审批、下发至实施机关/部门。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2、实施机关/部门，根据监管方案的工作要求，收集、整理、汇总材料，最终形成报告文件或者形成汇总结果清单，将这些结果文件，逐个上传到系统中。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3、系统在用户选择结果文件后，调用文件上传接口服务，自动将文件保存到文件管理中心，以备后续查看。</w:t>
            </w:r>
          </w:p>
        </w:tc>
      </w:tr>
      <w:tr w14:paraId="2AC203A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7EE5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784</w:t>
            </w:r>
          </w:p>
        </w:tc>
        <w:tc>
          <w:tcPr>
            <w:tcW w:w="491" w:type="pct"/>
            <w:tcBorders>
              <w:top w:val="nil"/>
              <w:left w:val="nil"/>
              <w:bottom w:val="single" w:color="000000" w:sz="4" w:space="0"/>
              <w:right w:val="single" w:color="000000" w:sz="4" w:space="0"/>
            </w:tcBorders>
            <w:shd w:val="clear" w:color="auto" w:fill="auto"/>
            <w:vAlign w:val="center"/>
          </w:tcPr>
          <w:p w14:paraId="362AFC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A1A90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监管任务管理（重构）-监管方案落实（非检查任务类）-年度随机抽查（监督抽查类）对接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14A3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年度随机抽查（监督抽查类）：通过第三方专业检验检测机构服务方式，由其对监管要求的监管对象及其生产或销售产品进行抽样，并由其对产品质量进行检验检测及后续处理。在综合监管中实现监督抽查类年度随机抽查计划与产品监督抽查系统的关联对接，以便能在综合监管中统一查询展示监管计划及其执行情况。</w:t>
            </w:r>
          </w:p>
        </w:tc>
      </w:tr>
      <w:tr w14:paraId="17CC61B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11C9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785</w:t>
            </w:r>
          </w:p>
        </w:tc>
        <w:tc>
          <w:tcPr>
            <w:tcW w:w="491" w:type="pct"/>
            <w:tcBorders>
              <w:top w:val="nil"/>
              <w:left w:val="nil"/>
              <w:bottom w:val="single" w:color="000000" w:sz="4" w:space="0"/>
              <w:right w:val="single" w:color="000000" w:sz="4" w:space="0"/>
            </w:tcBorders>
            <w:shd w:val="clear" w:color="auto" w:fill="auto"/>
            <w:vAlign w:val="center"/>
          </w:tcPr>
          <w:p w14:paraId="755F71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9AD7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监管任务管理（重构）-监管方案落实（非检查任务类）-专项整治（监督抽查类）对接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3E5E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监督抽查类）：通过第三方专业检验检测机构服务方式，由其对监管要求的监管对象及其生产或销售产品进行抽样，并由其对产品质量进行检验检测及后续处理。在综合监管中实现监督抽查类专项整治计划与产品监督抽查系统的关联对接，以便能在综合监管中统一查询展示监管计划及其执行情况。</w:t>
            </w:r>
          </w:p>
        </w:tc>
      </w:tr>
      <w:tr w14:paraId="026A98B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CCBB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786</w:t>
            </w:r>
          </w:p>
        </w:tc>
        <w:tc>
          <w:tcPr>
            <w:tcW w:w="491" w:type="pct"/>
            <w:tcBorders>
              <w:top w:val="nil"/>
              <w:left w:val="nil"/>
              <w:bottom w:val="single" w:color="000000" w:sz="4" w:space="0"/>
              <w:right w:val="single" w:color="000000" w:sz="4" w:space="0"/>
            </w:tcBorders>
            <w:shd w:val="clear" w:color="auto" w:fill="auto"/>
            <w:vAlign w:val="center"/>
          </w:tcPr>
          <w:p w14:paraId="47330C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C60F6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监管任务管理（重构）-监管方案落实（非检查任务类）-专项整治（网络/广告监测类）对接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D9BE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网络与广告监测类专项整治，往往不是采用监管人员对监管对象进行直接检查（现场或非现场）的方式，而是针对专项整治的要求，通过第三方专业网络/广告监测服务机构通过技术手段进行监测发现，通过网络监测系统和广告监管系统中的网络监测与广告监测管理功能进行后续处理。在综合监管中实现网络/广告监测类专项整治计划与相关系统直接的关联对接，以便能在综合监管中统一查询展示监管计划及其执行情况。</w:t>
            </w:r>
          </w:p>
        </w:tc>
      </w:tr>
      <w:tr w14:paraId="3961C13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7069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787</w:t>
            </w:r>
          </w:p>
        </w:tc>
        <w:tc>
          <w:tcPr>
            <w:tcW w:w="491" w:type="pct"/>
            <w:tcBorders>
              <w:top w:val="nil"/>
              <w:left w:val="nil"/>
              <w:bottom w:val="single" w:color="000000" w:sz="4" w:space="0"/>
              <w:right w:val="single" w:color="000000" w:sz="4" w:space="0"/>
            </w:tcBorders>
            <w:shd w:val="clear" w:color="auto" w:fill="auto"/>
            <w:vAlign w:val="center"/>
          </w:tcPr>
          <w:p w14:paraId="499EBE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FBDF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监管任务管理（重构）-监管方案落实（非检查任务类）-专项整治（企业自查类）对接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B9CF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项整治（企业自查类）：由企业先进行自查，监管部门对企业自查情况进行监督。在综合监管中实现企业自查类专项整治计划与特种设备相关系统的关联对接，以便能在综合监管中统一查询展示监管计划及其执行情况。</w:t>
            </w:r>
          </w:p>
        </w:tc>
      </w:tr>
      <w:tr w14:paraId="22B0DB7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3E6E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788</w:t>
            </w:r>
          </w:p>
        </w:tc>
        <w:tc>
          <w:tcPr>
            <w:tcW w:w="491" w:type="pct"/>
            <w:tcBorders>
              <w:top w:val="nil"/>
              <w:left w:val="nil"/>
              <w:bottom w:val="single" w:color="000000" w:sz="4" w:space="0"/>
              <w:right w:val="single" w:color="000000" w:sz="4" w:space="0"/>
            </w:tcBorders>
            <w:shd w:val="clear" w:color="auto" w:fill="auto"/>
            <w:vAlign w:val="center"/>
          </w:tcPr>
          <w:p w14:paraId="541CCA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96BB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监管任务管理（重构）-检查任务管理-任务全览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B4AF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任务是分派到具体实施单位（或监管人员）的待检查的具体任务。任务实施，实现国家局、市、区三级监管任务在基层汇聚整合、一体实施，查看各类检查任务明细情况，可以按照检查对象分类查询，方便对检查任务进行统筹调度和安排。</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通过业务条线、主体名称、计划、任务等多维度的查询条件查询已检查或未检查的所有任务，点击“详情”查看任务详细信息。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根据当前登录用户的权限，系统调用检查任务列表服务，查询出与之相关的检查任务，缺省条件下只显示当前正在进行中的检查任务，也可以查询全部、已经办结的检查任务。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当前登录用户的权限，系统调用检查任务列表服务，查询出已经确定监管对象主体但还未分配监管主体人员的检查任务。选中一条检查任务后，系统调用检查任务详情服务，显示该检查任务的详细内容。可以将该检查任务分派给本机关的监管主体人员，可以分派给一个或多个监管主体人员。</w:t>
            </w:r>
          </w:p>
        </w:tc>
      </w:tr>
      <w:tr w14:paraId="26F885E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E02B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789</w:t>
            </w:r>
          </w:p>
        </w:tc>
        <w:tc>
          <w:tcPr>
            <w:tcW w:w="491" w:type="pct"/>
            <w:tcBorders>
              <w:top w:val="nil"/>
              <w:left w:val="nil"/>
              <w:bottom w:val="single" w:color="000000" w:sz="4" w:space="0"/>
              <w:right w:val="single" w:color="000000" w:sz="4" w:space="0"/>
            </w:tcBorders>
            <w:shd w:val="clear" w:color="auto" w:fill="auto"/>
            <w:vAlign w:val="center"/>
          </w:tcPr>
          <w:p w14:paraId="33F9C9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C33B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监管任务管理（重构）-检查任务管理-任务分派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DCA0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确定监管对象主体的检查任务，基层单位可以将检查任务分派给监管主体人员。对于年度随机抽查，由于已经分派了监管主体人员，无需再次分派。对于专项整治、其它专业性监管的检查任务，如消保维权等，可以进一步分派给指定的监管主体人员，由其对监管对象主体进行检查。系统更新检查任务管理中心该检查任务的监管主体人员。一旦确定了监管主体人员，其它人员将不会查看到该检查任务。</w:t>
            </w:r>
          </w:p>
        </w:tc>
      </w:tr>
      <w:tr w14:paraId="15724FE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34EB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790</w:t>
            </w:r>
          </w:p>
        </w:tc>
        <w:tc>
          <w:tcPr>
            <w:tcW w:w="491" w:type="pct"/>
            <w:tcBorders>
              <w:top w:val="nil"/>
              <w:left w:val="nil"/>
              <w:bottom w:val="single" w:color="000000" w:sz="4" w:space="0"/>
              <w:right w:val="single" w:color="000000" w:sz="4" w:space="0"/>
            </w:tcBorders>
            <w:shd w:val="clear" w:color="auto" w:fill="auto"/>
            <w:vAlign w:val="center"/>
          </w:tcPr>
          <w:p w14:paraId="3446A9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E297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监管任务管理（重构）-检查任务管理-任务认领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DFD1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除了双随机模式指定监管人员，以及分派了监管人员的任务，监管任务从上级部门分派到下级部门的时候一般都只分派到所在单位，监管人员可以根据权限自动认领。</w:t>
            </w:r>
          </w:p>
        </w:tc>
      </w:tr>
      <w:tr w14:paraId="1370159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708D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791</w:t>
            </w:r>
          </w:p>
        </w:tc>
        <w:tc>
          <w:tcPr>
            <w:tcW w:w="491" w:type="pct"/>
            <w:tcBorders>
              <w:top w:val="nil"/>
              <w:left w:val="nil"/>
              <w:bottom w:val="single" w:color="000000" w:sz="4" w:space="0"/>
              <w:right w:val="single" w:color="000000" w:sz="4" w:space="0"/>
            </w:tcBorders>
            <w:shd w:val="clear" w:color="auto" w:fill="auto"/>
            <w:vAlign w:val="center"/>
          </w:tcPr>
          <w:p w14:paraId="41F1BB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BA85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监管任务管理（重构）-检查任务管理-任务录入-任务录入通用功能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908C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确定监管对象主体的检查任务，由监管主体人员实施检查，分类调用相关检查任务录入功能，录入检查事项、检查内容和检查结果，实现对检查内容的录入，用户录入检查任务完成后，系统将检查任务纳入到监管计划管理中心，以便进行后续集中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1、检查记录录入以移动端录入为主，PC端补充录入为辅。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2、业务条线的主管部门（市、区两级业务主管部门）可设定是否允许PC端录入检查记录。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3、选择监管对象后，进入监管任务录入界面，可以录入检查信息、陪同专家，也可选择合并这户主体下的其他监管任务。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4、对检查结果信息进行录入，系统将列出监管对象下的许可、设备等信息，用户对具体的检查事项进行逐一录入。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5、录入检查事项页面对具体的检查事项进行是否满足的勾选，以及整体检查结果的勾选，同时记录发现问题、存在的隐患等情况。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6、支持生成、打印、上传相关检查文书。</w:t>
            </w:r>
          </w:p>
        </w:tc>
      </w:tr>
      <w:tr w14:paraId="2F87A5C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F839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792</w:t>
            </w:r>
          </w:p>
        </w:tc>
        <w:tc>
          <w:tcPr>
            <w:tcW w:w="491" w:type="pct"/>
            <w:tcBorders>
              <w:top w:val="nil"/>
              <w:left w:val="nil"/>
              <w:bottom w:val="single" w:color="000000" w:sz="4" w:space="0"/>
              <w:right w:val="single" w:color="000000" w:sz="4" w:space="0"/>
            </w:tcBorders>
            <w:shd w:val="clear" w:color="auto" w:fill="auto"/>
            <w:vAlign w:val="center"/>
          </w:tcPr>
          <w:p w14:paraId="46B0F4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A276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监管任务管理（重构）-检查任务管理-任务录入-双随机检查记录录入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A420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1、根据双随机监管方案生成检查表单页面，录入检查记录，可上传相关留存资料。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2、根据监管事项配套的文书，按文书模板生成文书页面，需要录入相关内容的，生成可编辑页面。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3、同一双随机监管方案产生的任务，检查未发现问题的，可批量录入。</w:t>
            </w:r>
          </w:p>
        </w:tc>
      </w:tr>
      <w:tr w14:paraId="0C8F7CC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F0B8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793</w:t>
            </w:r>
          </w:p>
        </w:tc>
        <w:tc>
          <w:tcPr>
            <w:tcW w:w="491" w:type="pct"/>
            <w:tcBorders>
              <w:top w:val="nil"/>
              <w:left w:val="nil"/>
              <w:bottom w:val="single" w:color="000000" w:sz="4" w:space="0"/>
              <w:right w:val="single" w:color="000000" w:sz="4" w:space="0"/>
            </w:tcBorders>
            <w:shd w:val="clear" w:color="auto" w:fill="auto"/>
            <w:vAlign w:val="center"/>
          </w:tcPr>
          <w:p w14:paraId="0AEEC9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B10C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监管任务管理（重构）-检查任务管理-任务录入-专项整治检查记录录入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3E13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1、检查记录录入以移动端录入为主，PC端补充录入为辅。业务条线的主管部门（市、区两级业务主管部门）和基层所领导可设定是否允许PC端录入检查记录。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专项整治监管方案生成检查表单页面，录入检查记录，可上传相关留存资料。生成专项整治中定制的信息调查表或报表的填报页面，一并录入。根据监管事项配套的文书，按文书模板生成文书页面，需要录入相关内容的，生成可编辑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3、同一专项整治监管方案产生的任务，检查未发现问题的，可批量录入。</w:t>
            </w:r>
          </w:p>
        </w:tc>
      </w:tr>
      <w:tr w14:paraId="707FDBA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B310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794</w:t>
            </w:r>
          </w:p>
        </w:tc>
        <w:tc>
          <w:tcPr>
            <w:tcW w:w="491" w:type="pct"/>
            <w:tcBorders>
              <w:top w:val="nil"/>
              <w:left w:val="nil"/>
              <w:bottom w:val="single" w:color="000000" w:sz="4" w:space="0"/>
              <w:right w:val="single" w:color="000000" w:sz="4" w:space="0"/>
            </w:tcBorders>
            <w:shd w:val="clear" w:color="auto" w:fill="auto"/>
            <w:vAlign w:val="center"/>
          </w:tcPr>
          <w:p w14:paraId="2B8EA9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0650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监管任务管理（重构）-检查任务管理-任务录入-全覆盖监管记录录入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52D3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1、检查记录录入以移动端录入为主，PC端补充录入为辅。业务条线的主管部门（市、区两级业务主管部门）和基层所领导可设定是否允许PC端录入检查记录。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2、根据全覆盖监管事项生成检查表单页面，录入检查记录，可上传相关留存资料。根据监管事项配套的文书，按文书模板生成文书页面，需要录入相关内容的，生成可编辑页面。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3、检查未发现问题的，可批量按设定的默认值录入。</w:t>
            </w:r>
          </w:p>
        </w:tc>
      </w:tr>
      <w:tr w14:paraId="2034B20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1A6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795</w:t>
            </w:r>
          </w:p>
        </w:tc>
        <w:tc>
          <w:tcPr>
            <w:tcW w:w="491" w:type="pct"/>
            <w:tcBorders>
              <w:top w:val="nil"/>
              <w:left w:val="nil"/>
              <w:bottom w:val="single" w:color="000000" w:sz="4" w:space="0"/>
              <w:right w:val="single" w:color="000000" w:sz="4" w:space="0"/>
            </w:tcBorders>
            <w:shd w:val="clear" w:color="auto" w:fill="auto"/>
            <w:vAlign w:val="center"/>
          </w:tcPr>
          <w:p w14:paraId="347408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795D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监管任务管理（重构）-检查任务管理-任务调整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FEDB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可以对检查任务进行调整，系统根据用户的身份权限列出待检查状态的检查任务。用户选中某个检查任务后，系统分类调用相关检查任务的调整功能，实现对检查任务中检查事项、检查内容、检查结果等内容的调整。用户对检查任务的内容调整完成后，系统更新检查任务管理中心该检查任务的内容和检查状态。</w:t>
            </w:r>
          </w:p>
        </w:tc>
      </w:tr>
      <w:tr w14:paraId="57DB203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9D75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796</w:t>
            </w:r>
          </w:p>
        </w:tc>
        <w:tc>
          <w:tcPr>
            <w:tcW w:w="491" w:type="pct"/>
            <w:tcBorders>
              <w:top w:val="nil"/>
              <w:left w:val="nil"/>
              <w:bottom w:val="single" w:color="000000" w:sz="4" w:space="0"/>
              <w:right w:val="single" w:color="000000" w:sz="4" w:space="0"/>
            </w:tcBorders>
            <w:shd w:val="clear" w:color="auto" w:fill="auto"/>
            <w:vAlign w:val="center"/>
          </w:tcPr>
          <w:p w14:paraId="53BE18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D072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监管任务管理（重构）-检查任务管理-检查结果复核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B730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用户需要对检查任务的检查结果再次复核，系统根据用户的身份权限列出待复核状态的检查任务。用户选中某个检查任务后，显示该检查任务的检查事项、检查内容、检查结果、检查人员、检查日期等内容。用户对上述内容确认无误后，系统更新检查任务管理中心该检查任务的状态，该检查任务办结。对检查结果有异议，可以退回。</w:t>
            </w:r>
          </w:p>
        </w:tc>
      </w:tr>
      <w:tr w14:paraId="5A3DFFC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7007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797</w:t>
            </w:r>
          </w:p>
        </w:tc>
        <w:tc>
          <w:tcPr>
            <w:tcW w:w="491" w:type="pct"/>
            <w:tcBorders>
              <w:top w:val="nil"/>
              <w:left w:val="nil"/>
              <w:bottom w:val="single" w:color="000000" w:sz="4" w:space="0"/>
              <w:right w:val="single" w:color="000000" w:sz="4" w:space="0"/>
            </w:tcBorders>
            <w:shd w:val="clear" w:color="auto" w:fill="auto"/>
            <w:vAlign w:val="center"/>
          </w:tcPr>
          <w:p w14:paraId="40DE3B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9806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监管任务管理（重构）-检查任务管理-问题整改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3B3A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提供监管对象、检查日期等条件可以查询出监管任务执行时发现的存在问题需整改的任务，对于问题提供整改功能，点击“整改”按钮录入问题整改的详情信息。</w:t>
            </w:r>
          </w:p>
        </w:tc>
      </w:tr>
      <w:tr w14:paraId="2B80776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896E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798</w:t>
            </w:r>
          </w:p>
        </w:tc>
        <w:tc>
          <w:tcPr>
            <w:tcW w:w="491" w:type="pct"/>
            <w:tcBorders>
              <w:top w:val="nil"/>
              <w:left w:val="nil"/>
              <w:bottom w:val="single" w:color="000000" w:sz="4" w:space="0"/>
              <w:right w:val="single" w:color="000000" w:sz="4" w:space="0"/>
            </w:tcBorders>
            <w:shd w:val="clear" w:color="auto" w:fill="auto"/>
            <w:vAlign w:val="center"/>
          </w:tcPr>
          <w:p w14:paraId="0E721F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412F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监管任务管理（重构）-检查任务管理-隐患治理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CFF8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提供监管对象、检查日期等条件可以查询出监管任务执行时发现的所有的隐患，对于发现的隐患提供治理功能，点击“治理”按钮录入隐患治理的详情信息。</w:t>
            </w:r>
          </w:p>
        </w:tc>
      </w:tr>
      <w:tr w14:paraId="72F9C3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7237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799</w:t>
            </w:r>
          </w:p>
        </w:tc>
        <w:tc>
          <w:tcPr>
            <w:tcW w:w="491" w:type="pct"/>
            <w:tcBorders>
              <w:top w:val="nil"/>
              <w:left w:val="nil"/>
              <w:bottom w:val="single" w:color="000000" w:sz="4" w:space="0"/>
              <w:right w:val="single" w:color="000000" w:sz="4" w:space="0"/>
            </w:tcBorders>
            <w:shd w:val="clear" w:color="auto" w:fill="auto"/>
            <w:vAlign w:val="center"/>
          </w:tcPr>
          <w:p w14:paraId="0AC494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7F1F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监管任务管理（重构）-问题线索处置-问题线索类型清单管理-问题线索类型注册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E255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日常监管工作中或通过投诉举报、专项检查等渠道获取的关于市场秩序、产品质量、食品药品安全、广告宣传、价格违法行为等方面的问题线索将通过问题线索录入和问题线索接入实现问题线索的归集。这些线索会被下发至地方市场监管部门进行调查和处理。为打造问题线索统一处置平台，建立问题线索类型清单，所有问题线索类型接入前需在清单中注册，实现标准化、规范化的问题线索处置流程和配套效能监督机制。</w:t>
            </w:r>
          </w:p>
        </w:tc>
      </w:tr>
      <w:tr w14:paraId="1A3A94F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D713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800</w:t>
            </w:r>
          </w:p>
        </w:tc>
        <w:tc>
          <w:tcPr>
            <w:tcW w:w="491" w:type="pct"/>
            <w:tcBorders>
              <w:top w:val="nil"/>
              <w:left w:val="nil"/>
              <w:bottom w:val="single" w:color="000000" w:sz="4" w:space="0"/>
              <w:right w:val="single" w:color="000000" w:sz="4" w:space="0"/>
            </w:tcBorders>
            <w:shd w:val="clear" w:color="auto" w:fill="auto"/>
            <w:vAlign w:val="center"/>
          </w:tcPr>
          <w:p w14:paraId="40181B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E47A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监管任务管理（重构）-问题线索处置-问题线索接收-问题线索录入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3435C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问题线索录入适用于国家市场监督管理总局（简称市场监管总局）、市政府、区政府、信访等不能与本系统实现直接的数据接入的情况下实现问题线索的交办和移交。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将以问题线索任务单形式，生成供下发核实的任务单。包括：1、基本信息采集；2、问题线索详情采集；3、涉及监管对象的问题采集。</w:t>
            </w:r>
          </w:p>
        </w:tc>
      </w:tr>
      <w:tr w14:paraId="5BDDC2B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7222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801</w:t>
            </w:r>
          </w:p>
        </w:tc>
        <w:tc>
          <w:tcPr>
            <w:tcW w:w="491" w:type="pct"/>
            <w:tcBorders>
              <w:top w:val="nil"/>
              <w:left w:val="nil"/>
              <w:bottom w:val="single" w:color="000000" w:sz="4" w:space="0"/>
              <w:right w:val="single" w:color="000000" w:sz="4" w:space="0"/>
            </w:tcBorders>
            <w:shd w:val="clear" w:color="auto" w:fill="auto"/>
            <w:vAlign w:val="center"/>
          </w:tcPr>
          <w:p w14:paraId="3991F1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FA94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监管任务管理（重构）-问题线索处置-问题线索接入-投诉举报发现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32BF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对接“公众诉求处置平台”，实现投诉举报线索的自动对接。将在12315投诉工单生成后，与本系统对接实现投诉举报办件的接入。</w:t>
            </w:r>
          </w:p>
        </w:tc>
      </w:tr>
      <w:tr w14:paraId="3BC9BC4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83F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802</w:t>
            </w:r>
          </w:p>
        </w:tc>
        <w:tc>
          <w:tcPr>
            <w:tcW w:w="491" w:type="pct"/>
            <w:tcBorders>
              <w:top w:val="nil"/>
              <w:left w:val="nil"/>
              <w:bottom w:val="single" w:color="000000" w:sz="4" w:space="0"/>
              <w:right w:val="single" w:color="000000" w:sz="4" w:space="0"/>
            </w:tcBorders>
            <w:shd w:val="clear" w:color="auto" w:fill="auto"/>
            <w:vAlign w:val="center"/>
          </w:tcPr>
          <w:p w14:paraId="130FB8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21E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监管任务管理（重构）-问题线索处置-问题线索接入-监督抽查发现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EE08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对接“产品质量监督抽查”业务功能，实现对监督抽查类年度双随机、监督抽查类专项整治以及其他产品监督抽查过程中发现问题线索的接入。</w:t>
            </w:r>
          </w:p>
        </w:tc>
      </w:tr>
      <w:tr w14:paraId="0EF8984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496B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803</w:t>
            </w:r>
          </w:p>
        </w:tc>
        <w:tc>
          <w:tcPr>
            <w:tcW w:w="491" w:type="pct"/>
            <w:tcBorders>
              <w:top w:val="nil"/>
              <w:left w:val="nil"/>
              <w:bottom w:val="single" w:color="000000" w:sz="4" w:space="0"/>
              <w:right w:val="single" w:color="000000" w:sz="4" w:space="0"/>
            </w:tcBorders>
            <w:shd w:val="clear" w:color="auto" w:fill="auto"/>
            <w:vAlign w:val="center"/>
          </w:tcPr>
          <w:p w14:paraId="2CA746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4617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监管任务管理（重构）-问题线索处置-问题线索接入-广告监测发现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F1D1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对接“广告监测”业务功能，实现对广告监测类专项整治以及其他广告监测过程中发现问题线索的接入。</w:t>
            </w:r>
          </w:p>
        </w:tc>
      </w:tr>
      <w:tr w14:paraId="64F5EC7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F598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804</w:t>
            </w:r>
          </w:p>
        </w:tc>
        <w:tc>
          <w:tcPr>
            <w:tcW w:w="491" w:type="pct"/>
            <w:tcBorders>
              <w:top w:val="nil"/>
              <w:left w:val="nil"/>
              <w:bottom w:val="single" w:color="000000" w:sz="4" w:space="0"/>
              <w:right w:val="single" w:color="000000" w:sz="4" w:space="0"/>
            </w:tcBorders>
            <w:shd w:val="clear" w:color="auto" w:fill="auto"/>
            <w:vAlign w:val="center"/>
          </w:tcPr>
          <w:p w14:paraId="75D826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4565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监管任务管理（重构）-问题线索处置-问题线索接入-数据监测发现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6042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“数据慧治平台”归集各类监管数据，通过对接已有的数据监测模型，实现以数据为支撑的问题发现。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数据慧治平台承载的现有各个系统的数据模型，均可作为数据监测发现的来源，与本系统实现对接，实现问题线索的接入。</w:t>
            </w:r>
          </w:p>
        </w:tc>
      </w:tr>
      <w:tr w14:paraId="17663A8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7DD8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805</w:t>
            </w:r>
          </w:p>
        </w:tc>
        <w:tc>
          <w:tcPr>
            <w:tcW w:w="491" w:type="pct"/>
            <w:tcBorders>
              <w:top w:val="nil"/>
              <w:left w:val="nil"/>
              <w:bottom w:val="single" w:color="000000" w:sz="4" w:space="0"/>
              <w:right w:val="single" w:color="000000" w:sz="4" w:space="0"/>
            </w:tcBorders>
            <w:shd w:val="clear" w:color="auto" w:fill="auto"/>
            <w:vAlign w:val="center"/>
          </w:tcPr>
          <w:p w14:paraId="7BD468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C12F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监管任务管理（重构）-问题线索处置-问题线索处置-问题线索派发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41B2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问题线索派发将线索按性质和紧急程度分发至相关部门，确保及时响应；问题线索核实通过调查和验证确认线索的真实性和具体情况；问题线索反馈则记录并报告处理结果和采取的措施，确保问题解决的透明度和闭环管理。工作人员对问题线索进行评估、分配和跟踪。</w:t>
            </w:r>
          </w:p>
        </w:tc>
      </w:tr>
      <w:tr w14:paraId="7F62DBD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DFA1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806</w:t>
            </w:r>
          </w:p>
        </w:tc>
        <w:tc>
          <w:tcPr>
            <w:tcW w:w="491" w:type="pct"/>
            <w:tcBorders>
              <w:top w:val="nil"/>
              <w:left w:val="nil"/>
              <w:bottom w:val="single" w:color="000000" w:sz="4" w:space="0"/>
              <w:right w:val="single" w:color="000000" w:sz="4" w:space="0"/>
            </w:tcBorders>
            <w:shd w:val="clear" w:color="auto" w:fill="auto"/>
            <w:vAlign w:val="center"/>
          </w:tcPr>
          <w:p w14:paraId="694F63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A750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监管任务管理（重构）-问题线索处置-问题线索处置-分类分派（首次分派）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C825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分类分派将对问题线索处置落实监管事项和检查的责任人。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1、落实监管事项：对于问题线索将落实监管事项。如果问题线索涉及多个许可或者涉及多部门的管理，则需要落实多个监管检查事项。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通过落实监管事项，将进而明确监管事项子项以及监管检查的内容，为问题线索的核实明确工作的内容。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落实检查责任人：将不同类型的线索分派给相应的部门或专业人员。例如，食品安全问题派发给食品监管部门，特种设备问题派发给设备监管部门。如首次分派不能一次明确任务的责任人，则须由下级部门进行二次分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3、确定处置时限及其他要求：首次分派须设定处理的时限和要求。</w:t>
            </w:r>
          </w:p>
        </w:tc>
      </w:tr>
      <w:tr w14:paraId="469B951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99C2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807</w:t>
            </w:r>
          </w:p>
        </w:tc>
        <w:tc>
          <w:tcPr>
            <w:tcW w:w="491" w:type="pct"/>
            <w:tcBorders>
              <w:top w:val="nil"/>
              <w:left w:val="nil"/>
              <w:bottom w:val="single" w:color="000000" w:sz="4" w:space="0"/>
              <w:right w:val="single" w:color="000000" w:sz="4" w:space="0"/>
            </w:tcBorders>
            <w:shd w:val="clear" w:color="auto" w:fill="auto"/>
            <w:vAlign w:val="center"/>
          </w:tcPr>
          <w:p w14:paraId="3BC362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9934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监管任务管理（重构）-问题线索处置-问题线索处置-区局接收市局下发（二级分派）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7683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对于市局下发的问题线索，存在以下分派情况：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1、区局自行分派：首次分派未确定责任人，由区局安排科室人员作为现场处置的监管人员。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2、区局再次下发分派：首次分派未确定责任人，由区局将问题线索下发至市场监管所，由市场监管所进行第三级分派。</w:t>
            </w:r>
          </w:p>
        </w:tc>
      </w:tr>
      <w:tr w14:paraId="3A8EE6F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B3F7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808</w:t>
            </w:r>
          </w:p>
        </w:tc>
        <w:tc>
          <w:tcPr>
            <w:tcW w:w="491" w:type="pct"/>
            <w:tcBorders>
              <w:top w:val="nil"/>
              <w:left w:val="nil"/>
              <w:bottom w:val="single" w:color="000000" w:sz="4" w:space="0"/>
              <w:right w:val="single" w:color="000000" w:sz="4" w:space="0"/>
            </w:tcBorders>
            <w:shd w:val="clear" w:color="auto" w:fill="auto"/>
            <w:vAlign w:val="center"/>
          </w:tcPr>
          <w:p w14:paraId="68257A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D3F1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监管任务管理（重构）-问题线索处置-问题线索处置-监管所接收区局下发（三级分派）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E523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市场监管所接收区局下发问题线索后，进行任务分派，明确现场处置的监管人员。</w:t>
            </w:r>
          </w:p>
        </w:tc>
      </w:tr>
      <w:tr w14:paraId="7D93EA3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3EBF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809</w:t>
            </w:r>
          </w:p>
        </w:tc>
        <w:tc>
          <w:tcPr>
            <w:tcW w:w="491" w:type="pct"/>
            <w:tcBorders>
              <w:top w:val="nil"/>
              <w:left w:val="nil"/>
              <w:bottom w:val="single" w:color="000000" w:sz="4" w:space="0"/>
              <w:right w:val="single" w:color="000000" w:sz="4" w:space="0"/>
            </w:tcBorders>
            <w:shd w:val="clear" w:color="auto" w:fill="auto"/>
            <w:vAlign w:val="center"/>
          </w:tcPr>
          <w:p w14:paraId="5D3B3B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596F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监管任务管理（重构）-问题线索处置-问题线索处置-问题线索核实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29D3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1、问题线索分析：对于问题线索进行核实,包括：问题线索分析和现场调查取证。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2、现场调查取证：根据监管事项对应的检查内容，执行现场调查取证。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3、根据不同的检查内容，作出现场检查结果。</w:t>
            </w:r>
          </w:p>
        </w:tc>
      </w:tr>
      <w:tr w14:paraId="5A9215E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8CA6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810</w:t>
            </w:r>
          </w:p>
        </w:tc>
        <w:tc>
          <w:tcPr>
            <w:tcW w:w="491" w:type="pct"/>
            <w:tcBorders>
              <w:top w:val="nil"/>
              <w:left w:val="nil"/>
              <w:bottom w:val="single" w:color="000000" w:sz="4" w:space="0"/>
              <w:right w:val="single" w:color="000000" w:sz="4" w:space="0"/>
            </w:tcBorders>
            <w:shd w:val="clear" w:color="auto" w:fill="auto"/>
            <w:vAlign w:val="center"/>
          </w:tcPr>
          <w:p w14:paraId="64D6C6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8632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监管任务管理（重构）-问题线索处置-问题线索处置-问题线索反馈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5ED8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问题线索反馈将核实情况和后续措施反馈给上级部门、相关部门或线索提供的专业监管业务系统，以确保问题得到有效解决并形成闭环管理。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1、核实情况反馈：将对于问题线索核实结果作出反馈。将根据广告、食品安全、产品质量等检查内容不同的检查内容，反馈检查结果。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2、后续措施反馈：将对于问题线索核实后续措施作出反馈。</w:t>
            </w:r>
          </w:p>
        </w:tc>
      </w:tr>
      <w:tr w14:paraId="4282933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6004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811</w:t>
            </w:r>
          </w:p>
        </w:tc>
        <w:tc>
          <w:tcPr>
            <w:tcW w:w="491" w:type="pct"/>
            <w:tcBorders>
              <w:top w:val="nil"/>
              <w:left w:val="nil"/>
              <w:bottom w:val="single" w:color="000000" w:sz="4" w:space="0"/>
              <w:right w:val="single" w:color="000000" w:sz="4" w:space="0"/>
            </w:tcBorders>
            <w:shd w:val="clear" w:color="auto" w:fill="auto"/>
            <w:vAlign w:val="center"/>
          </w:tcPr>
          <w:p w14:paraId="4B9305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48AF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监管任务管理（重构）-问题线索处置-问题线索处置统计分析-线索接收统计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7F44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统计各类线索的接收情况，包括线索来源、线索类型、接收时间等。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1、按来源统计：按投诉举报、双随机、专项整治、各类专项检查、数据监测等来源，统计线索接收情况。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2、按类型统计：按问题线索业务类型统计线索接收情况，包括：食品安全、产品质量、广告违规等。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3、按时间统计：按日、周、月、季度、年统计接收数量。</w:t>
            </w:r>
          </w:p>
        </w:tc>
      </w:tr>
      <w:tr w14:paraId="777DD21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560A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812</w:t>
            </w:r>
          </w:p>
        </w:tc>
        <w:tc>
          <w:tcPr>
            <w:tcW w:w="491" w:type="pct"/>
            <w:tcBorders>
              <w:top w:val="nil"/>
              <w:left w:val="nil"/>
              <w:bottom w:val="single" w:color="000000" w:sz="4" w:space="0"/>
              <w:right w:val="single" w:color="000000" w:sz="4" w:space="0"/>
            </w:tcBorders>
            <w:shd w:val="clear" w:color="auto" w:fill="auto"/>
            <w:vAlign w:val="center"/>
          </w:tcPr>
          <w:p w14:paraId="4DDBF8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E4C9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监管任务管理（重构）-问题线索处置-问题线索处置统计分析-处置进度统计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153A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统计线索处置的进度，包括已处置线索、未处置线索和处置中的线索。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1、按状态统计：按问题线索的处置状态统计进展情况，包括：已处置、未处置、处置中。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2、按时间统计：按各状态分类统计线索的数量和比例。</w:t>
            </w:r>
          </w:p>
        </w:tc>
      </w:tr>
      <w:tr w14:paraId="0F15D31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F1B3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813</w:t>
            </w:r>
          </w:p>
        </w:tc>
        <w:tc>
          <w:tcPr>
            <w:tcW w:w="491" w:type="pct"/>
            <w:tcBorders>
              <w:top w:val="nil"/>
              <w:left w:val="nil"/>
              <w:bottom w:val="single" w:color="000000" w:sz="4" w:space="0"/>
              <w:right w:val="single" w:color="000000" w:sz="4" w:space="0"/>
            </w:tcBorders>
            <w:shd w:val="clear" w:color="auto" w:fill="auto"/>
            <w:vAlign w:val="center"/>
          </w:tcPr>
          <w:p w14:paraId="43885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163C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监管任务管理（重构）-问题线索处置-问题线索处置统计分析-处置结果统计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2C14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统计线索的处置结果，包括线索核实结果、整改措施、处罚决定等。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1、核实结果统计：核实结果：包括：核实属实、不属实、部分属实。现场检查结果：按照现场检查的检查事项（监管事项子项）反馈相应检查结果。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2、整改措施统计：对于问题线索处置后，监管对象落实整改措施的情况进行统计。包括：整改完成、整改中、未整改。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3、处罚决定统计：对于问题线索处置核实，现场检查的结果为作出处罚决定的情形，进行处罚决定类型的统计，包括：罚款、警告、停业整顿等。</w:t>
            </w:r>
          </w:p>
        </w:tc>
      </w:tr>
      <w:tr w14:paraId="098DF43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5089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814</w:t>
            </w:r>
          </w:p>
        </w:tc>
        <w:tc>
          <w:tcPr>
            <w:tcW w:w="491" w:type="pct"/>
            <w:tcBorders>
              <w:top w:val="nil"/>
              <w:left w:val="nil"/>
              <w:bottom w:val="single" w:color="000000" w:sz="4" w:space="0"/>
              <w:right w:val="single" w:color="000000" w:sz="4" w:space="0"/>
            </w:tcBorders>
            <w:shd w:val="clear" w:color="auto" w:fill="auto"/>
            <w:vAlign w:val="center"/>
          </w:tcPr>
          <w:p w14:paraId="53C352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4FD1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监管任务管理（重构）-问题线索处置-问题线索处置统计分析-时效性分析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1FC3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分析线索处置的时效性，评估处置工作的及时性和效率。计算线索从接收到处置完成的时间间隔，按时间段统计处置时效：如1天内、1周内、1月内等进行统计。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评估处置时效的分布和平均值，提供分布图表展示。</w:t>
            </w:r>
          </w:p>
        </w:tc>
      </w:tr>
      <w:tr w14:paraId="5AF737A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DE24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815</w:t>
            </w:r>
          </w:p>
        </w:tc>
        <w:tc>
          <w:tcPr>
            <w:tcW w:w="491" w:type="pct"/>
            <w:tcBorders>
              <w:top w:val="nil"/>
              <w:left w:val="nil"/>
              <w:bottom w:val="single" w:color="000000" w:sz="4" w:space="0"/>
              <w:right w:val="single" w:color="000000" w:sz="4" w:space="0"/>
            </w:tcBorders>
            <w:shd w:val="clear" w:color="auto" w:fill="auto"/>
            <w:vAlign w:val="center"/>
          </w:tcPr>
          <w:p w14:paraId="56211E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9F45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监管任务管理（重构）-问题线索处置-问题线索处置统计分析-趋势分析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4B2C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分析线索数量和类型的变化趋势，发现潜在的监管热点和重点问题。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1、按时间段分析线索数量变化趋势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以时间段，分析问题线索的变化趋势。通过对问题线索的变化趋势进行时间段分析，可以揭示出线索数量和类型在不同时间段内的变化情况。这种分析能够帮助监管部门识别潜在的监管热点和重点问题。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2、按类型分析线索数量变化趋势</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按照问题线索设计的业务类型，分析数量变化趋势。包括：食品安全、产品质量和广告违规等各类专业监管涉及的业务类型。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3、发现潜在的监管热点和重点问题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分析线索数量和类型的变化趋势，发现潜在的监管热点和重点问题。</w:t>
            </w:r>
          </w:p>
        </w:tc>
      </w:tr>
      <w:tr w14:paraId="3EFDE4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1F56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816</w:t>
            </w:r>
          </w:p>
        </w:tc>
        <w:tc>
          <w:tcPr>
            <w:tcW w:w="491" w:type="pct"/>
            <w:tcBorders>
              <w:top w:val="nil"/>
              <w:left w:val="nil"/>
              <w:bottom w:val="single" w:color="000000" w:sz="4" w:space="0"/>
              <w:right w:val="single" w:color="000000" w:sz="4" w:space="0"/>
            </w:tcBorders>
            <w:shd w:val="clear" w:color="auto" w:fill="auto"/>
            <w:vAlign w:val="center"/>
          </w:tcPr>
          <w:p w14:paraId="224D87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4BE4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监管任务管理（重构）-监管执法衔接-案管衔接接口服务-监管发现问题拟立案接口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7E22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构建监管任务、问题线索处置与案件管理系统的无缝对接体系，实现案管有序衔接。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发监管发现问题拟立案接口，实现对包括检查任务、问题线索处置在内的监管任务执行过程中发现问题后拟拟立案的监管任务的进行统一集中管理，以便行政处罚案件系统可以发起调用，获取监管任务信息，开展案源线索管理。</w:t>
            </w:r>
          </w:p>
        </w:tc>
      </w:tr>
      <w:tr w14:paraId="4E1FD0B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324E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817</w:t>
            </w:r>
          </w:p>
        </w:tc>
        <w:tc>
          <w:tcPr>
            <w:tcW w:w="491" w:type="pct"/>
            <w:tcBorders>
              <w:top w:val="nil"/>
              <w:left w:val="nil"/>
              <w:bottom w:val="single" w:color="000000" w:sz="4" w:space="0"/>
              <w:right w:val="single" w:color="000000" w:sz="4" w:space="0"/>
            </w:tcBorders>
            <w:shd w:val="clear" w:color="auto" w:fill="auto"/>
            <w:vAlign w:val="center"/>
          </w:tcPr>
          <w:p w14:paraId="7DFC15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DFCA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监管任务管理（重构）-监管执法衔接-案管衔接接口服务-监管发现问题拟立案维护接口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6E3C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开发监管发现问题拟立案维护接口，当拟立案的监管任务信息发生变化时，实现对集中管理的拟立案监管任务的更新维护，包括信息维护与状态维护等。</w:t>
            </w:r>
          </w:p>
        </w:tc>
      </w:tr>
      <w:tr w14:paraId="7E021B3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5974F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818</w:t>
            </w:r>
          </w:p>
        </w:tc>
        <w:tc>
          <w:tcPr>
            <w:tcW w:w="491" w:type="pct"/>
            <w:tcBorders>
              <w:top w:val="nil"/>
              <w:left w:val="nil"/>
              <w:bottom w:val="single" w:color="000000" w:sz="4" w:space="0"/>
              <w:right w:val="single" w:color="000000" w:sz="4" w:space="0"/>
            </w:tcBorders>
            <w:shd w:val="clear" w:color="auto" w:fill="auto"/>
            <w:vAlign w:val="center"/>
          </w:tcPr>
          <w:p w14:paraId="08C848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9AF8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监管任务管理（重构）-监管执法衔接-案管衔接接口服务-拟立案监管发现问题查询接口（个例）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4722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拟立案监管发现问题查询接口（个例），根据监管问题对应的监管对象名称、统一社会信用代码、对象属地机关等条件，提供查询拟立案监管发现问题的功能，以便行政处罚系统可以查询到具体的监管问题来作为案源线索来源。</w:t>
            </w:r>
          </w:p>
        </w:tc>
      </w:tr>
      <w:tr w14:paraId="289F507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DA69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819</w:t>
            </w:r>
          </w:p>
        </w:tc>
        <w:tc>
          <w:tcPr>
            <w:tcW w:w="491" w:type="pct"/>
            <w:tcBorders>
              <w:top w:val="nil"/>
              <w:left w:val="nil"/>
              <w:bottom w:val="single" w:color="000000" w:sz="4" w:space="0"/>
              <w:right w:val="single" w:color="000000" w:sz="4" w:space="0"/>
            </w:tcBorders>
            <w:shd w:val="clear" w:color="auto" w:fill="auto"/>
            <w:vAlign w:val="center"/>
          </w:tcPr>
          <w:p w14:paraId="231E26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BCA2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监管任务管理（重构）-监管执法衔接-案管衔接接口服务-拟立案监管发现问题查询接口（批量）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A6F2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拟立案监管发现问题查询接口（批量），根据监管问题对应的监管事项、业务条线、发现时间、对象属地机关等条件，提供批量查询拟立案监管发现问题的功能，以便行政处罚系统可以查询到监管问题来作为案源线索来源。</w:t>
            </w:r>
          </w:p>
        </w:tc>
      </w:tr>
      <w:tr w14:paraId="1C862EB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DF4E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820</w:t>
            </w:r>
          </w:p>
        </w:tc>
        <w:tc>
          <w:tcPr>
            <w:tcW w:w="491" w:type="pct"/>
            <w:tcBorders>
              <w:top w:val="nil"/>
              <w:left w:val="nil"/>
              <w:bottom w:val="single" w:color="000000" w:sz="4" w:space="0"/>
              <w:right w:val="single" w:color="000000" w:sz="4" w:space="0"/>
            </w:tcBorders>
            <w:shd w:val="clear" w:color="auto" w:fill="auto"/>
            <w:vAlign w:val="center"/>
          </w:tcPr>
          <w:p w14:paraId="4BC170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0413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监管任务管理（重构）-监管执法衔接-案管衔接接口服务-拟立案监管发现问题案件更新接口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68E0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开发拟立案监管发现问题立案接口，当拟立案监管发现问题经过行政处罚案源登记被正式立案、结案等重要环节更新时，可以通过行政处罚等系统可以调用该接口实时更新拟立案监管发现问题的信息，以便能将案件办理信息与源头的监管发现问题关联起来。</w:t>
            </w:r>
          </w:p>
        </w:tc>
      </w:tr>
      <w:tr w14:paraId="37ACBA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BBB6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821</w:t>
            </w:r>
          </w:p>
        </w:tc>
        <w:tc>
          <w:tcPr>
            <w:tcW w:w="491" w:type="pct"/>
            <w:tcBorders>
              <w:top w:val="nil"/>
              <w:left w:val="nil"/>
              <w:bottom w:val="single" w:color="000000" w:sz="4" w:space="0"/>
              <w:right w:val="single" w:color="000000" w:sz="4" w:space="0"/>
            </w:tcBorders>
            <w:shd w:val="clear" w:color="auto" w:fill="auto"/>
            <w:vAlign w:val="center"/>
          </w:tcPr>
          <w:p w14:paraId="5658A5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E37F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监管任务管理（重构）-监管执法衔接-监管发现问题拟立案对接-检查任务发现问题拟立案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9D11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包括双随机、专项整治、全覆盖监管等各类监管任务执行过程中，当检查结果为“拟立案”时，自动调用“监管发现问题拟立案接口”，将监管发现的问题进行统一管理，以便行政处罚案件系统能将其作为案源线索。</w:t>
            </w:r>
          </w:p>
        </w:tc>
      </w:tr>
      <w:tr w14:paraId="66FC487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8D7E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822</w:t>
            </w:r>
          </w:p>
        </w:tc>
        <w:tc>
          <w:tcPr>
            <w:tcW w:w="491" w:type="pct"/>
            <w:tcBorders>
              <w:top w:val="nil"/>
              <w:left w:val="nil"/>
              <w:bottom w:val="single" w:color="000000" w:sz="4" w:space="0"/>
              <w:right w:val="single" w:color="000000" w:sz="4" w:space="0"/>
            </w:tcBorders>
            <w:shd w:val="clear" w:color="auto" w:fill="auto"/>
            <w:vAlign w:val="center"/>
          </w:tcPr>
          <w:p w14:paraId="67344C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5D6D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监管任务管理（重构）-监管执法衔接-监管发现问题拟立案对接-问题线索处置发现问题拟立案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2D11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包括举报投诉、广告监测、以及其他交办、专办问题线索处置过程中，当检查结果为“拟立案”时，自动调用“监管发现问题拟立案接口”，将问题线索处置确定的问题进行统一管理，以便行政处罚案件系统能将其作为案源线索。</w:t>
            </w:r>
          </w:p>
        </w:tc>
      </w:tr>
      <w:tr w14:paraId="51ACEF6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7543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823</w:t>
            </w:r>
          </w:p>
        </w:tc>
        <w:tc>
          <w:tcPr>
            <w:tcW w:w="491" w:type="pct"/>
            <w:tcBorders>
              <w:top w:val="nil"/>
              <w:left w:val="nil"/>
              <w:bottom w:val="single" w:color="000000" w:sz="4" w:space="0"/>
              <w:right w:val="single" w:color="000000" w:sz="4" w:space="0"/>
            </w:tcBorders>
            <w:shd w:val="clear" w:color="auto" w:fill="auto"/>
            <w:vAlign w:val="center"/>
          </w:tcPr>
          <w:p w14:paraId="68BC43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6EB7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监管任务管理（重构）-监管执法衔接-监管发现问题拟立案维护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7795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在包括问题线索处置在内的监管任务信息发生修改是，当检查结果为“拟立案”或取消“拟立案”是，自动调用“拟立案监管发现问题维护接口”，更新监管发现问题信息。</w:t>
            </w:r>
          </w:p>
        </w:tc>
      </w:tr>
      <w:tr w14:paraId="2F048DF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6A57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824</w:t>
            </w:r>
          </w:p>
        </w:tc>
        <w:tc>
          <w:tcPr>
            <w:tcW w:w="491" w:type="pct"/>
            <w:tcBorders>
              <w:top w:val="nil"/>
              <w:left w:val="nil"/>
              <w:bottom w:val="single" w:color="000000" w:sz="4" w:space="0"/>
              <w:right w:val="single" w:color="000000" w:sz="4" w:space="0"/>
            </w:tcBorders>
            <w:shd w:val="clear" w:color="auto" w:fill="auto"/>
            <w:vAlign w:val="center"/>
          </w:tcPr>
          <w:p w14:paraId="74BC20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431C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监管任务管理（重构）-监管执法衔接-案管衔接记录统计-案管衔接接口调用情况统计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9B1F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提供对案管衔接接口的调用情况统计功能。</w:t>
            </w:r>
          </w:p>
        </w:tc>
      </w:tr>
      <w:tr w14:paraId="3D550FD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C844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825</w:t>
            </w:r>
          </w:p>
        </w:tc>
        <w:tc>
          <w:tcPr>
            <w:tcW w:w="491" w:type="pct"/>
            <w:tcBorders>
              <w:top w:val="nil"/>
              <w:left w:val="nil"/>
              <w:bottom w:val="single" w:color="000000" w:sz="4" w:space="0"/>
              <w:right w:val="single" w:color="000000" w:sz="4" w:space="0"/>
            </w:tcBorders>
            <w:shd w:val="clear" w:color="auto" w:fill="auto"/>
            <w:vAlign w:val="center"/>
          </w:tcPr>
          <w:p w14:paraId="0A0846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9414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监管任务管理（重构）-监管执法衔接-案管衔接记录统计-监管发现问题综合查询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DCDE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提供监管发现问题综合查询功能。</w:t>
            </w:r>
          </w:p>
        </w:tc>
      </w:tr>
      <w:tr w14:paraId="15C4875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4E81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826</w:t>
            </w:r>
          </w:p>
        </w:tc>
        <w:tc>
          <w:tcPr>
            <w:tcW w:w="491" w:type="pct"/>
            <w:tcBorders>
              <w:top w:val="nil"/>
              <w:left w:val="nil"/>
              <w:bottom w:val="single" w:color="000000" w:sz="4" w:space="0"/>
              <w:right w:val="single" w:color="000000" w:sz="4" w:space="0"/>
            </w:tcBorders>
            <w:shd w:val="clear" w:color="auto" w:fill="auto"/>
            <w:vAlign w:val="center"/>
          </w:tcPr>
          <w:p w14:paraId="75CBF5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9AF6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监管任务管理（重构）-监管执法衔接-案管衔接记录统计-检查任务发现问题拟立案统计分析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E816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提供检查任务发现问题拟立案统计分析功能。</w:t>
            </w:r>
          </w:p>
        </w:tc>
      </w:tr>
      <w:tr w14:paraId="6412A50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882C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827</w:t>
            </w:r>
          </w:p>
        </w:tc>
        <w:tc>
          <w:tcPr>
            <w:tcW w:w="491" w:type="pct"/>
            <w:tcBorders>
              <w:top w:val="nil"/>
              <w:left w:val="nil"/>
              <w:bottom w:val="single" w:color="000000" w:sz="4" w:space="0"/>
              <w:right w:val="single" w:color="000000" w:sz="4" w:space="0"/>
            </w:tcBorders>
            <w:shd w:val="clear" w:color="auto" w:fill="auto"/>
            <w:vAlign w:val="center"/>
          </w:tcPr>
          <w:p w14:paraId="16326B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3FEC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监管任务管理（重构）-监管执法衔接-案管衔接记录统计-问题线索处置发现问题拟立案统计分析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6808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提供问题线索处置发现问题拟立案统计分析功能。</w:t>
            </w:r>
          </w:p>
        </w:tc>
      </w:tr>
      <w:tr w14:paraId="7D141EE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519C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828</w:t>
            </w:r>
          </w:p>
        </w:tc>
        <w:tc>
          <w:tcPr>
            <w:tcW w:w="491" w:type="pct"/>
            <w:tcBorders>
              <w:top w:val="nil"/>
              <w:left w:val="nil"/>
              <w:bottom w:val="single" w:color="000000" w:sz="4" w:space="0"/>
              <w:right w:val="single" w:color="000000" w:sz="4" w:space="0"/>
            </w:tcBorders>
            <w:shd w:val="clear" w:color="auto" w:fill="auto"/>
            <w:vAlign w:val="center"/>
          </w:tcPr>
          <w:p w14:paraId="67DEE2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A6D3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监管任务管理（重构）-监管执法衔接-案管衔接记录统计-监管发现问题立案查处情况统计分析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0530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提供监管发现问题立案查处情况统计分析功能。</w:t>
            </w:r>
          </w:p>
        </w:tc>
      </w:tr>
      <w:tr w14:paraId="58F3E62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F277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829</w:t>
            </w:r>
          </w:p>
        </w:tc>
        <w:tc>
          <w:tcPr>
            <w:tcW w:w="491" w:type="pct"/>
            <w:tcBorders>
              <w:top w:val="nil"/>
              <w:left w:val="nil"/>
              <w:bottom w:val="single" w:color="000000" w:sz="4" w:space="0"/>
              <w:right w:val="single" w:color="000000" w:sz="4" w:space="0"/>
            </w:tcBorders>
            <w:shd w:val="clear" w:color="auto" w:fill="auto"/>
            <w:vAlign w:val="center"/>
          </w:tcPr>
          <w:p w14:paraId="7BE360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FB1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监管任务管理（重构）-监管执法衔接-案管衔接记录统计-监管发现问题结案处罚情况统计分析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E6B6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提供监管发现问题结案处罚情况统计分析功能。</w:t>
            </w:r>
          </w:p>
        </w:tc>
      </w:tr>
      <w:tr w14:paraId="4B575CE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D038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830</w:t>
            </w:r>
          </w:p>
        </w:tc>
        <w:tc>
          <w:tcPr>
            <w:tcW w:w="491" w:type="pct"/>
            <w:tcBorders>
              <w:top w:val="nil"/>
              <w:left w:val="nil"/>
              <w:bottom w:val="single" w:color="000000" w:sz="4" w:space="0"/>
              <w:right w:val="single" w:color="000000" w:sz="4" w:space="0"/>
            </w:tcBorders>
            <w:shd w:val="clear" w:color="auto" w:fill="auto"/>
            <w:vAlign w:val="center"/>
          </w:tcPr>
          <w:p w14:paraId="120565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2275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监管任务管理（重构）-监管执法衔接-检查码对接接口服务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03A1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实现在各类业务功能与环节中实现市统一综合执法系统检查码的衔接，需要建立标准的检查码对接接口服务，使得综合监管一体化平台中的检查任务与问题线索可以使用相同的接口服务与市统一综合执法系统进行检查码对接，同时其他业务系统也可以通过该接口实现与检查码的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1、获取检查码接口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2、检查码任务推送接口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3、检查码激活接口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4、检查码任务更新接口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5、检查码检查结果推送接口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6、检查码企业反馈获取接口</w:t>
            </w:r>
          </w:p>
        </w:tc>
      </w:tr>
      <w:tr w14:paraId="520192F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92F2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831</w:t>
            </w:r>
          </w:p>
        </w:tc>
        <w:tc>
          <w:tcPr>
            <w:tcW w:w="491" w:type="pct"/>
            <w:tcBorders>
              <w:top w:val="nil"/>
              <w:left w:val="nil"/>
              <w:bottom w:val="single" w:color="000000" w:sz="4" w:space="0"/>
              <w:right w:val="single" w:color="000000" w:sz="4" w:space="0"/>
            </w:tcBorders>
            <w:shd w:val="clear" w:color="auto" w:fill="auto"/>
            <w:vAlign w:val="center"/>
          </w:tcPr>
          <w:p w14:paraId="2D5F1C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4CAA0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监管任务管理（重构）-监管执法衔接-检查任务检查码对接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8AC0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包括双随机、专项整治、全覆盖监管等各类监管任务执行过程中，按照检查码的总体要求与相关业务明细要求，调用统一检查码对接接口，实现检查码获取、检查码任务推送、检查码激活、检查码任务更新、检查码检查结果推送等。</w:t>
            </w:r>
          </w:p>
        </w:tc>
      </w:tr>
      <w:tr w14:paraId="4E827E3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6FBA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832</w:t>
            </w:r>
          </w:p>
        </w:tc>
        <w:tc>
          <w:tcPr>
            <w:tcW w:w="491" w:type="pct"/>
            <w:tcBorders>
              <w:top w:val="nil"/>
              <w:left w:val="nil"/>
              <w:bottom w:val="single" w:color="000000" w:sz="4" w:space="0"/>
              <w:right w:val="single" w:color="000000" w:sz="4" w:space="0"/>
            </w:tcBorders>
            <w:shd w:val="clear" w:color="auto" w:fill="auto"/>
            <w:vAlign w:val="center"/>
          </w:tcPr>
          <w:p w14:paraId="56540B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4790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监管任务管理（重构）-监管执法衔接-问题线索处置检查码对接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7487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包括举报投诉、广告监测、以及其他交办、专办问题线索处置过程中，按照检查码的总体要求与相关业务明细要求，调用统一检查码对接接口，实现检查码获取、检查码任务推送、检查码激活、检查码任务更新、检查码检查结果推送等。</w:t>
            </w:r>
          </w:p>
        </w:tc>
      </w:tr>
      <w:tr w14:paraId="1DB399E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305C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833</w:t>
            </w:r>
          </w:p>
        </w:tc>
        <w:tc>
          <w:tcPr>
            <w:tcW w:w="491" w:type="pct"/>
            <w:tcBorders>
              <w:top w:val="nil"/>
              <w:left w:val="nil"/>
              <w:bottom w:val="single" w:color="000000" w:sz="4" w:space="0"/>
              <w:right w:val="single" w:color="000000" w:sz="4" w:space="0"/>
            </w:tcBorders>
            <w:shd w:val="clear" w:color="auto" w:fill="auto"/>
            <w:vAlign w:val="center"/>
          </w:tcPr>
          <w:p w14:paraId="7D5092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139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监管任务管理（重构）-监管执法衔接-检查码企业反馈获取与查询统计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51CD2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从市统一综合执法系统获取检查码企业对检查情况的反馈情况，并提供查询与统计功能。</w:t>
            </w:r>
          </w:p>
        </w:tc>
      </w:tr>
      <w:tr w14:paraId="0AD9BF5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2461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834</w:t>
            </w:r>
          </w:p>
        </w:tc>
        <w:tc>
          <w:tcPr>
            <w:tcW w:w="491" w:type="pct"/>
            <w:tcBorders>
              <w:top w:val="nil"/>
              <w:left w:val="nil"/>
              <w:bottom w:val="single" w:color="000000" w:sz="4" w:space="0"/>
              <w:right w:val="single" w:color="000000" w:sz="4" w:space="0"/>
            </w:tcBorders>
            <w:shd w:val="clear" w:color="auto" w:fill="auto"/>
            <w:vAlign w:val="center"/>
          </w:tcPr>
          <w:p w14:paraId="24B4AE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8E5F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监管要素管理（新建）-监管标签库-监管标签分级管理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0070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实现分级标签（市、区两级标签制定）、多维度标签管理、个性化标签配置、功能，实现随标随打功能，在计划制定、任务执行、查询等业务办理时具体体现标签用途。</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1、监管标签维护管理：提供监管标签维护管理功能，实现对标签的新增、修改或者删除、作废、查询等功能。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2、监管标签分级管理：市局管理的标签全市统一使用，区局管理的标签在各区及下属市场监管所范围内使用。监管标签支持市局、区局两级集中维护管理功能。</w:t>
            </w:r>
          </w:p>
        </w:tc>
      </w:tr>
      <w:tr w14:paraId="543F8F0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8D0B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835</w:t>
            </w:r>
          </w:p>
        </w:tc>
        <w:tc>
          <w:tcPr>
            <w:tcW w:w="491" w:type="pct"/>
            <w:tcBorders>
              <w:top w:val="nil"/>
              <w:left w:val="nil"/>
              <w:bottom w:val="single" w:color="000000" w:sz="4" w:space="0"/>
              <w:right w:val="single" w:color="000000" w:sz="4" w:space="0"/>
            </w:tcBorders>
            <w:shd w:val="clear" w:color="auto" w:fill="auto"/>
            <w:vAlign w:val="center"/>
          </w:tcPr>
          <w:p w14:paraId="63F175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2D72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监管要素管理（新建）-监管事项库-监管事项负面清单管理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8D56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面归集“双随机、一公开”监管、全覆盖重点监管、信用监管等监管方式中“免检查”、“免抽查”、“免处罚”等涉及的监管事项，主要包括监管事项名称及代码、监管对象种类及代码、条线及领域标签代码、实施范围、实施期限等内容。</w:t>
            </w:r>
          </w:p>
        </w:tc>
      </w:tr>
      <w:tr w14:paraId="24DF59D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5F1E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836</w:t>
            </w:r>
          </w:p>
        </w:tc>
        <w:tc>
          <w:tcPr>
            <w:tcW w:w="491" w:type="pct"/>
            <w:tcBorders>
              <w:top w:val="nil"/>
              <w:left w:val="nil"/>
              <w:bottom w:val="single" w:color="000000" w:sz="4" w:space="0"/>
              <w:right w:val="single" w:color="000000" w:sz="4" w:space="0"/>
            </w:tcBorders>
            <w:shd w:val="clear" w:color="auto" w:fill="auto"/>
            <w:vAlign w:val="center"/>
          </w:tcPr>
          <w:p w14:paraId="4D17FF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AEB6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监管要素管理（新建）-监管事项库-检查实施清单管理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95F4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类行政检查实施清单，主要包括监管主体、监管事项、监管对象、监管方式、检查内容、检查结果记录、签章等内容。可以通过检查实施清单、适用业务条线、使用范围等条件对检查方案进行查询。点击新增按钮即可新增检查方案。点击修改链接即可对查询出的检查方案进行修改。点击查看按钮即可查看已制定的检查方案。点击删除链接即可将已制定的检查方案删除。</w:t>
            </w:r>
          </w:p>
        </w:tc>
      </w:tr>
      <w:tr w14:paraId="2B41B26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855B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837</w:t>
            </w:r>
          </w:p>
        </w:tc>
        <w:tc>
          <w:tcPr>
            <w:tcW w:w="491" w:type="pct"/>
            <w:tcBorders>
              <w:top w:val="nil"/>
              <w:left w:val="nil"/>
              <w:bottom w:val="single" w:color="000000" w:sz="4" w:space="0"/>
              <w:right w:val="single" w:color="000000" w:sz="4" w:space="0"/>
            </w:tcBorders>
            <w:shd w:val="clear" w:color="auto" w:fill="auto"/>
            <w:vAlign w:val="center"/>
          </w:tcPr>
          <w:p w14:paraId="421DB0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1304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监管要素管理（新建）-监管事项库-检查内容管理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AB1B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对检查实施清单进行分类，梳理出检查类型清单，维护好检查实施事项与检查类型的映射关系。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检查内容根据检查对象设定，检查对象分为监管对象主体本身、许可/备案事项、设施设备、从业人员等，从数据慧治平台绑定数据源，分别定制检查内容。检查内容具体配置项包括适用的检查类型、适用的检查对象、检查记录表数据项、对应的检查要点表、适用的文书种类等。检查记录表需定义数据项及表单结构，每个检查记录表一般都应定义检查结果、采取措施等的标准选项，体现监管行为规范化。针对检查结果，可以基于检查要点表定义自动判定算法，以统一尺度、简化录入。检查记录表的各项定义应支持版本化，以适应业务规则的变化。根据检查记录表的各项定义能自动生成检查记录表录入页面。</w:t>
            </w:r>
          </w:p>
        </w:tc>
      </w:tr>
      <w:tr w14:paraId="4C0A018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66FE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838</w:t>
            </w:r>
          </w:p>
        </w:tc>
        <w:tc>
          <w:tcPr>
            <w:tcW w:w="491" w:type="pct"/>
            <w:tcBorders>
              <w:top w:val="nil"/>
              <w:left w:val="nil"/>
              <w:bottom w:val="single" w:color="000000" w:sz="4" w:space="0"/>
              <w:right w:val="single" w:color="000000" w:sz="4" w:space="0"/>
            </w:tcBorders>
            <w:shd w:val="clear" w:color="auto" w:fill="auto"/>
            <w:vAlign w:val="center"/>
          </w:tcPr>
          <w:p w14:paraId="14450F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6089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监管要素管理（新建）-监管事项库-检查要点表管理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86AF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表项：按各类检查内容动态定义检查项目，采用树形结构组织。可为检查项目设定结果选项。表项的结果选项可与法律法规条款关联。</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表项子集：从现有表项中选取的表项。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表项引用：表项可与其他表项中的表项建立关联关系。</w:t>
            </w:r>
          </w:p>
        </w:tc>
      </w:tr>
      <w:tr w14:paraId="34F8F8A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E966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839</w:t>
            </w:r>
          </w:p>
        </w:tc>
        <w:tc>
          <w:tcPr>
            <w:tcW w:w="491" w:type="pct"/>
            <w:tcBorders>
              <w:top w:val="nil"/>
              <w:left w:val="nil"/>
              <w:bottom w:val="single" w:color="000000" w:sz="4" w:space="0"/>
              <w:right w:val="single" w:color="000000" w:sz="4" w:space="0"/>
            </w:tcBorders>
            <w:shd w:val="clear" w:color="auto" w:fill="auto"/>
            <w:vAlign w:val="center"/>
          </w:tcPr>
          <w:p w14:paraId="330250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E84A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监管要素管理（新建）-监管事项库-文书模板管理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7A25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提供HTML文本编辑器，并提供HTML代码与文档预览切换按钮，在编辑过程中随时切换。文书模板中可引用检查表中的字段。制定餐饮服务环节监督检查及结果记录表等31中文书模板。</w:t>
            </w:r>
          </w:p>
        </w:tc>
      </w:tr>
      <w:tr w14:paraId="5FFE85D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6795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840</w:t>
            </w:r>
          </w:p>
        </w:tc>
        <w:tc>
          <w:tcPr>
            <w:tcW w:w="491" w:type="pct"/>
            <w:tcBorders>
              <w:top w:val="nil"/>
              <w:left w:val="nil"/>
              <w:bottom w:val="single" w:color="000000" w:sz="4" w:space="0"/>
              <w:right w:val="single" w:color="000000" w:sz="4" w:space="0"/>
            </w:tcBorders>
            <w:shd w:val="clear" w:color="auto" w:fill="auto"/>
            <w:vAlign w:val="center"/>
          </w:tcPr>
          <w:p w14:paraId="76EBAF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ADE2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监管要素管理（新建）-监管知识库-法律法规库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E80B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1、法律法规管理：实现法律法规上传、录入、分类、更新维护、以及版本管理等功能。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2、法规条款管理：实现法规的词条、条款、标签标识的管理维护。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3、法规检索查询：实现法律法规的检索查询，以及监管事项与法律法规关联的查询检索。</w:t>
            </w:r>
          </w:p>
        </w:tc>
      </w:tr>
      <w:tr w14:paraId="39C2EE0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6249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841</w:t>
            </w:r>
          </w:p>
        </w:tc>
        <w:tc>
          <w:tcPr>
            <w:tcW w:w="491" w:type="pct"/>
            <w:tcBorders>
              <w:top w:val="nil"/>
              <w:left w:val="nil"/>
              <w:bottom w:val="single" w:color="000000" w:sz="4" w:space="0"/>
              <w:right w:val="single" w:color="000000" w:sz="4" w:space="0"/>
            </w:tcBorders>
            <w:shd w:val="clear" w:color="auto" w:fill="auto"/>
            <w:vAlign w:val="center"/>
          </w:tcPr>
          <w:p w14:paraId="4FAD61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8312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监管要素管理（新建）-监管知识库-监管规则库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638A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1、监管规则管理：实现规则分类、规则上传、规则录入、更新维护、规则版本控制等功能。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2、规则内容管理：实现监管规则的条目、要点、内容、标签标识等管理维护。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3、规则查询检索：实现监管规则的检索查询，以及监管事项与监管规则关联的查询检索。</w:t>
            </w:r>
          </w:p>
        </w:tc>
      </w:tr>
      <w:tr w14:paraId="670DD42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32B9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842</w:t>
            </w:r>
          </w:p>
        </w:tc>
        <w:tc>
          <w:tcPr>
            <w:tcW w:w="491" w:type="pct"/>
            <w:tcBorders>
              <w:top w:val="nil"/>
              <w:left w:val="nil"/>
              <w:bottom w:val="single" w:color="000000" w:sz="4" w:space="0"/>
              <w:right w:val="single" w:color="000000" w:sz="4" w:space="0"/>
            </w:tcBorders>
            <w:shd w:val="clear" w:color="auto" w:fill="auto"/>
            <w:vAlign w:val="center"/>
          </w:tcPr>
          <w:p w14:paraId="62F2AD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EF1A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监管要素管理（新建）-监管知识库-监管案例库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DB24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1、监管案例管理：收集各类市场监管案例，实现录入、分类、解读分析以及法规衔接等功能。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2、案例分类管理：建立案例分类管理，实现对案例可按行业、按监管事项、按法律法规进行分类管理。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3、案例检索查询：通过多角度的查询条件，实现监管案例的检索查询</w:t>
            </w:r>
          </w:p>
        </w:tc>
      </w:tr>
      <w:tr w14:paraId="7458A89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90BF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843</w:t>
            </w:r>
          </w:p>
        </w:tc>
        <w:tc>
          <w:tcPr>
            <w:tcW w:w="491" w:type="pct"/>
            <w:tcBorders>
              <w:top w:val="nil"/>
              <w:left w:val="nil"/>
              <w:bottom w:val="single" w:color="000000" w:sz="4" w:space="0"/>
              <w:right w:val="single" w:color="000000" w:sz="4" w:space="0"/>
            </w:tcBorders>
            <w:shd w:val="clear" w:color="auto" w:fill="auto"/>
            <w:vAlign w:val="center"/>
          </w:tcPr>
          <w:p w14:paraId="03FC2C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5291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监管要素管理（新建）-监管知识库-合指南库库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9DF1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1、合规指南管理：面向经营主体，实现合规指南分类、上传、录入、更新维护、版本控制等功能。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2、指南要求管理：实现合规指南的条目、要求、标签标识等管理维护。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3、指南查询检索：实现监管规则的检索查询，以及监管事项与合规指南关联的查询检索。</w:t>
            </w:r>
          </w:p>
        </w:tc>
      </w:tr>
      <w:tr w14:paraId="34149CD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4949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844</w:t>
            </w:r>
          </w:p>
        </w:tc>
        <w:tc>
          <w:tcPr>
            <w:tcW w:w="491" w:type="pct"/>
            <w:tcBorders>
              <w:top w:val="nil"/>
              <w:left w:val="nil"/>
              <w:bottom w:val="single" w:color="000000" w:sz="4" w:space="0"/>
              <w:right w:val="single" w:color="000000" w:sz="4" w:space="0"/>
            </w:tcBorders>
            <w:shd w:val="clear" w:color="auto" w:fill="auto"/>
            <w:vAlign w:val="center"/>
          </w:tcPr>
          <w:p w14:paraId="7E9A81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5888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监管要素管理（新建）-监管对象库-监管对象目录-市场主体法人对象库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6977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更好地将贴合日常监管实际需要，在综合监管体系中建立监管对象目录的体系，从市场监管领域几百种不同的监管对象分类中，选取能形成稳定数据来源与保障机制的常用监管对象进行编目，并结合后台监管对象专题库建设，分门别类地提供监管对象数据支撑。监管对象库涵盖市场主体对象库、其他法人组织对象库、自然人对象库以及相关人员库、特种设备对象库、商品/产品对象库、许可资质库和经营行为库等。本期将基于数据慧治平台，构建综合监管一体化平台的监管对象目录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市场主体法人对象是指在市场经济中从事生产经营活动的各类企业和个体工商户。</w:t>
            </w:r>
          </w:p>
        </w:tc>
      </w:tr>
      <w:tr w14:paraId="17B6C3B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D212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845</w:t>
            </w:r>
          </w:p>
        </w:tc>
        <w:tc>
          <w:tcPr>
            <w:tcW w:w="491" w:type="pct"/>
            <w:tcBorders>
              <w:top w:val="nil"/>
              <w:left w:val="nil"/>
              <w:bottom w:val="single" w:color="000000" w:sz="4" w:space="0"/>
              <w:right w:val="single" w:color="000000" w:sz="4" w:space="0"/>
            </w:tcBorders>
            <w:shd w:val="clear" w:color="auto" w:fill="auto"/>
            <w:vAlign w:val="center"/>
          </w:tcPr>
          <w:p w14:paraId="372C6B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3569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监管要素管理（新建）-监管对象库-监管对象标签-监管对象自动标签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2C47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监管标签库中的标签设置，按照业务规则，基于登记注册、行政许可、行政检查、行政处罚等与监管对象相关的数据资源中，提取各类监管对象与监管标签对应规则，利用数据数据慧治平台的数据能力，后台实现对各类监管对象的自动打标签功能。</w:t>
            </w:r>
          </w:p>
        </w:tc>
      </w:tr>
      <w:tr w14:paraId="36DF46B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7EE5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846</w:t>
            </w:r>
          </w:p>
        </w:tc>
        <w:tc>
          <w:tcPr>
            <w:tcW w:w="491" w:type="pct"/>
            <w:tcBorders>
              <w:top w:val="nil"/>
              <w:left w:val="nil"/>
              <w:bottom w:val="single" w:color="000000" w:sz="4" w:space="0"/>
              <w:right w:val="single" w:color="000000" w:sz="4" w:space="0"/>
            </w:tcBorders>
            <w:shd w:val="clear" w:color="auto" w:fill="auto"/>
            <w:vAlign w:val="center"/>
          </w:tcPr>
          <w:p w14:paraId="744864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326F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监管要素管理（新建）-监管对象库-监管对象标签-监管对象手动标签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DB58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按照用户身份权限，为市局、区局、市场所人员提供各自管辖范围内容的各类监管对象的手动打标签功能，实现对监管对象标签的灵活管理。</w:t>
            </w:r>
          </w:p>
        </w:tc>
      </w:tr>
      <w:tr w14:paraId="4F4B729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A801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847</w:t>
            </w:r>
          </w:p>
        </w:tc>
        <w:tc>
          <w:tcPr>
            <w:tcW w:w="491" w:type="pct"/>
            <w:tcBorders>
              <w:top w:val="nil"/>
              <w:left w:val="nil"/>
              <w:bottom w:val="single" w:color="000000" w:sz="4" w:space="0"/>
              <w:right w:val="single" w:color="000000" w:sz="4" w:space="0"/>
            </w:tcBorders>
            <w:shd w:val="clear" w:color="auto" w:fill="auto"/>
            <w:vAlign w:val="center"/>
          </w:tcPr>
          <w:p w14:paraId="7E5B73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6B63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监管要素管理（新建）-监管对象库-监管对象查询-主体查询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DC8E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通过主体、设备、许可的基本信息及监管单位标签等条件对主体对象进行查询或进入高级筛选对主体对象进行更详细的筛选</w:t>
            </w:r>
          </w:p>
        </w:tc>
      </w:tr>
      <w:tr w14:paraId="34813C7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76FB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848</w:t>
            </w:r>
          </w:p>
        </w:tc>
        <w:tc>
          <w:tcPr>
            <w:tcW w:w="491" w:type="pct"/>
            <w:tcBorders>
              <w:top w:val="nil"/>
              <w:left w:val="nil"/>
              <w:bottom w:val="single" w:color="000000" w:sz="4" w:space="0"/>
              <w:right w:val="single" w:color="000000" w:sz="4" w:space="0"/>
            </w:tcBorders>
            <w:shd w:val="clear" w:color="auto" w:fill="auto"/>
            <w:vAlign w:val="center"/>
          </w:tcPr>
          <w:p w14:paraId="1BA1A4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321E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监管要素管理（新建）-监管对象库-监管对象查询-行政许可查询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CF6C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通过许可类型、许可证号、监管单位、发证日期、许可状态对行政许可对象进行筛选查询，也可进入高级筛选页面进行更详细的条件对行政许可对象进行筛选</w:t>
            </w:r>
          </w:p>
        </w:tc>
      </w:tr>
      <w:tr w14:paraId="1F62A11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CF896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849</w:t>
            </w:r>
          </w:p>
        </w:tc>
        <w:tc>
          <w:tcPr>
            <w:tcW w:w="491" w:type="pct"/>
            <w:tcBorders>
              <w:top w:val="nil"/>
              <w:left w:val="nil"/>
              <w:bottom w:val="single" w:color="000000" w:sz="4" w:space="0"/>
              <w:right w:val="single" w:color="000000" w:sz="4" w:space="0"/>
            </w:tcBorders>
            <w:shd w:val="clear" w:color="auto" w:fill="auto"/>
            <w:vAlign w:val="center"/>
          </w:tcPr>
          <w:p w14:paraId="47BC9D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EA1F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监管要素管理（新建）-监管对象库-监管对象查询-特种设备查询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BA19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通过特种设备对象基本信息、监管单位、使用状态及下次检验日期对特种设备对象进行筛选查询，也可进入高级筛选页面进行更详细的条件对特种设备对象进行筛选</w:t>
            </w:r>
          </w:p>
        </w:tc>
      </w:tr>
      <w:tr w14:paraId="01295FE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C9C4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850</w:t>
            </w:r>
          </w:p>
        </w:tc>
        <w:tc>
          <w:tcPr>
            <w:tcW w:w="491" w:type="pct"/>
            <w:tcBorders>
              <w:top w:val="nil"/>
              <w:left w:val="nil"/>
              <w:bottom w:val="single" w:color="000000" w:sz="4" w:space="0"/>
              <w:right w:val="single" w:color="000000" w:sz="4" w:space="0"/>
            </w:tcBorders>
            <w:shd w:val="clear" w:color="auto" w:fill="auto"/>
            <w:vAlign w:val="center"/>
          </w:tcPr>
          <w:p w14:paraId="488D96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CEA3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监管要素管理（新建）-监管对象库-对象监管单位调整-市场主体监管单位调整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5738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过主体、设备、许可的基本信息及监管单位标签等条件对主体对象进行查询</w:t>
            </w:r>
          </w:p>
        </w:tc>
      </w:tr>
      <w:tr w14:paraId="7100EBF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5079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851</w:t>
            </w:r>
          </w:p>
        </w:tc>
        <w:tc>
          <w:tcPr>
            <w:tcW w:w="491" w:type="pct"/>
            <w:tcBorders>
              <w:top w:val="nil"/>
              <w:left w:val="nil"/>
              <w:bottom w:val="single" w:color="000000" w:sz="4" w:space="0"/>
              <w:right w:val="single" w:color="000000" w:sz="4" w:space="0"/>
            </w:tcBorders>
            <w:shd w:val="clear" w:color="auto" w:fill="auto"/>
            <w:vAlign w:val="center"/>
          </w:tcPr>
          <w:p w14:paraId="495235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D12F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监管要素管理（新建）-监管对象库-对象监管单位接收-经营主体监管单位接收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107F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通过主体、设备、许可的基本信息及监管单位标签等条件对主体对象进行查询</w:t>
            </w:r>
          </w:p>
        </w:tc>
      </w:tr>
      <w:tr w14:paraId="6461BA0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6A5E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852</w:t>
            </w:r>
          </w:p>
        </w:tc>
        <w:tc>
          <w:tcPr>
            <w:tcW w:w="491" w:type="pct"/>
            <w:tcBorders>
              <w:top w:val="nil"/>
              <w:left w:val="nil"/>
              <w:bottom w:val="single" w:color="000000" w:sz="4" w:space="0"/>
              <w:right w:val="single" w:color="000000" w:sz="4" w:space="0"/>
            </w:tcBorders>
            <w:shd w:val="clear" w:color="auto" w:fill="auto"/>
            <w:vAlign w:val="center"/>
          </w:tcPr>
          <w:p w14:paraId="4AC835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AA67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监管要素管理（新建）-监管对象库-对象主动认领-许可对象主动认领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612F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通过单位名称、许可证号、发证日期、许可状态、许可地址、许可类型对没有监管单位的行政许可对象进行筛选查询</w:t>
            </w:r>
          </w:p>
        </w:tc>
      </w:tr>
      <w:tr w14:paraId="3E8E2DF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2B6D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853</w:t>
            </w:r>
          </w:p>
        </w:tc>
        <w:tc>
          <w:tcPr>
            <w:tcW w:w="491" w:type="pct"/>
            <w:tcBorders>
              <w:top w:val="nil"/>
              <w:left w:val="nil"/>
              <w:bottom w:val="single" w:color="000000" w:sz="4" w:space="0"/>
              <w:right w:val="single" w:color="000000" w:sz="4" w:space="0"/>
            </w:tcBorders>
            <w:shd w:val="clear" w:color="auto" w:fill="auto"/>
            <w:vAlign w:val="center"/>
          </w:tcPr>
          <w:p w14:paraId="610DD2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5198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监管要素管理（新建）-监管人员库-监管组管理-匹配监管对象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504C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通过主体名称，统一社会信用代码/注册号，监管单位，主体状态，经营范围条件精准查询待匹配对象。</w:t>
            </w:r>
          </w:p>
        </w:tc>
      </w:tr>
      <w:tr w14:paraId="48550E5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85BC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854</w:t>
            </w:r>
          </w:p>
        </w:tc>
        <w:tc>
          <w:tcPr>
            <w:tcW w:w="491" w:type="pct"/>
            <w:tcBorders>
              <w:top w:val="nil"/>
              <w:left w:val="nil"/>
              <w:bottom w:val="single" w:color="000000" w:sz="4" w:space="0"/>
              <w:right w:val="single" w:color="000000" w:sz="4" w:space="0"/>
            </w:tcBorders>
            <w:shd w:val="clear" w:color="auto" w:fill="auto"/>
            <w:vAlign w:val="center"/>
          </w:tcPr>
          <w:p w14:paraId="78AC22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BD71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监管要素管理（新建）-监管人员库-专家库-专家查询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AD52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提供相关专家信息的查询功能。</w:t>
            </w:r>
          </w:p>
        </w:tc>
      </w:tr>
      <w:tr w14:paraId="7D87219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152C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855</w:t>
            </w:r>
          </w:p>
        </w:tc>
        <w:tc>
          <w:tcPr>
            <w:tcW w:w="491" w:type="pct"/>
            <w:tcBorders>
              <w:top w:val="nil"/>
              <w:left w:val="nil"/>
              <w:bottom w:val="single" w:color="000000" w:sz="4" w:space="0"/>
              <w:right w:val="single" w:color="000000" w:sz="4" w:space="0"/>
            </w:tcBorders>
            <w:shd w:val="clear" w:color="auto" w:fill="auto"/>
            <w:vAlign w:val="center"/>
          </w:tcPr>
          <w:p w14:paraId="01506A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1267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监管要素管理（新建）-监管人员库-专家库-专家新增/维护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1F30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提供相关专家信息的新增功能。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提供相应专家信息的修改或删除功能。</w:t>
            </w:r>
          </w:p>
        </w:tc>
      </w:tr>
      <w:tr w14:paraId="7BF3DFD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2161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856</w:t>
            </w:r>
          </w:p>
        </w:tc>
        <w:tc>
          <w:tcPr>
            <w:tcW w:w="491" w:type="pct"/>
            <w:tcBorders>
              <w:top w:val="nil"/>
              <w:left w:val="nil"/>
              <w:bottom w:val="single" w:color="000000" w:sz="4" w:space="0"/>
              <w:right w:val="single" w:color="000000" w:sz="4" w:space="0"/>
            </w:tcBorders>
            <w:shd w:val="clear" w:color="auto" w:fill="auto"/>
            <w:vAlign w:val="center"/>
          </w:tcPr>
          <w:p w14:paraId="4F96C6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4F2A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预警监控管理（新建）-业务信息综合预警-业务信息综合预警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295D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具体监管对象需要监管人员日常加强关注的业务预警信息，比如：建议重点关注的检查连续发现问题、许可风险等级增幅过大、被立案调查主体、智能监管线索、许可临期、许可过期、设备超期未检等需重点关注的监管方向，基于“业务信息预警中心”提供的信息汇聚与组织配置功能，通过业务预警统计与列表的方式，在综合监管一体化平台中，集中展示给有需要的监管人员，实现靶向性监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业务信息预警一览先可分类列出用户关注的业务信息预警目录及统计数值，通过点击数值可以展示相关的预警列表。</w:t>
            </w:r>
          </w:p>
        </w:tc>
      </w:tr>
      <w:tr w14:paraId="4CBD5F0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DF49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857</w:t>
            </w:r>
          </w:p>
        </w:tc>
        <w:tc>
          <w:tcPr>
            <w:tcW w:w="491" w:type="pct"/>
            <w:tcBorders>
              <w:top w:val="nil"/>
              <w:left w:val="nil"/>
              <w:bottom w:val="single" w:color="000000" w:sz="4" w:space="0"/>
              <w:right w:val="single" w:color="000000" w:sz="4" w:space="0"/>
            </w:tcBorders>
            <w:shd w:val="clear" w:color="auto" w:fill="auto"/>
            <w:vAlign w:val="center"/>
          </w:tcPr>
          <w:p w14:paraId="7203FF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736C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预警监控管理（新建）-业务信息综合预警-业务预警综合处置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1C2B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业务信息综合预警的分为以下情况：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1、对接年度双随机、专项整治工作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在专项整治中，支持将业务信息预警清单作为年度双随机、专项整治监管对象的选取条件。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2、预警转问题线索，支持各类智能化监管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外开放接口，供各类业务功能调用业务信息预警，由各类业务应用，结合实际业务需求和相关管理制度，形成对业务信息预警的转换模型，将满足业务条件的业务信息预警，通过规范的业务流程，转换成需要一线人员实地核实的“问题线索”，通过“问题线索处理”流程将业务信息预警转换成实质监管检查行为以及可能的行政处罚行为，形成监管闭环。预警转问题线索后，在预警记录名下，同步记录预警转问题线索后的下发、接收、处理情况。</w:t>
            </w:r>
          </w:p>
        </w:tc>
      </w:tr>
      <w:tr w14:paraId="1A7E6FB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F3A3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858</w:t>
            </w:r>
          </w:p>
        </w:tc>
        <w:tc>
          <w:tcPr>
            <w:tcW w:w="491" w:type="pct"/>
            <w:tcBorders>
              <w:top w:val="nil"/>
              <w:left w:val="nil"/>
              <w:bottom w:val="single" w:color="000000" w:sz="4" w:space="0"/>
              <w:right w:val="single" w:color="000000" w:sz="4" w:space="0"/>
            </w:tcBorders>
            <w:shd w:val="clear" w:color="auto" w:fill="auto"/>
            <w:vAlign w:val="center"/>
          </w:tcPr>
          <w:p w14:paraId="78C402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A824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预警监控管理（新建）-业务信息综合预警-预警信息应用场景-监管所工作台预警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9216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提供结合用户身份，展示相关预警信息的前台界面；在监管所工作台中展示预警（显示预警事项及数量等概况），并支持进一步下钻。</w:t>
            </w:r>
          </w:p>
        </w:tc>
      </w:tr>
      <w:tr w14:paraId="1F72BFC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9024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859</w:t>
            </w:r>
          </w:p>
        </w:tc>
        <w:tc>
          <w:tcPr>
            <w:tcW w:w="491" w:type="pct"/>
            <w:tcBorders>
              <w:top w:val="nil"/>
              <w:left w:val="nil"/>
              <w:bottom w:val="single" w:color="000000" w:sz="4" w:space="0"/>
              <w:right w:val="single" w:color="000000" w:sz="4" w:space="0"/>
            </w:tcBorders>
            <w:shd w:val="clear" w:color="auto" w:fill="auto"/>
            <w:vAlign w:val="center"/>
          </w:tcPr>
          <w:p w14:paraId="57D839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3406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预警监控管理（新建）-业务信息综合预警-预警信息应用场景-监管所预警定制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EE2E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监管所预警定制通过做减法的方式，缺省全部显示，各监管所可以通过配置不展示部分预警事项。</w:t>
            </w:r>
          </w:p>
        </w:tc>
      </w:tr>
      <w:tr w14:paraId="73BA4C6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32ED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860</w:t>
            </w:r>
          </w:p>
        </w:tc>
        <w:tc>
          <w:tcPr>
            <w:tcW w:w="491" w:type="pct"/>
            <w:tcBorders>
              <w:top w:val="nil"/>
              <w:left w:val="nil"/>
              <w:bottom w:val="single" w:color="000000" w:sz="4" w:space="0"/>
              <w:right w:val="single" w:color="000000" w:sz="4" w:space="0"/>
            </w:tcBorders>
            <w:shd w:val="clear" w:color="auto" w:fill="auto"/>
            <w:vAlign w:val="center"/>
          </w:tcPr>
          <w:p w14:paraId="0CD810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FD12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预警监控管理（新建）-业务信息预警中心-预警事项管理注册-预警事项管理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C828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业务信息预警中心，将根据业务推演与信息挖掘提炼的潜在预警信息，统一推送给相关监管单位（人员）查看，由其根据业务需要自主开展对监管对象的指导与处置。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实现预警事项相关定义功能：预警统一编码、预警事项名录管理、预警事项来源设置（包括业务系统提炼、数据慧治成果、系统对接接入、人工录入维护等)、预警事项类型管理、预警对象类型管理、预警业务说明、更新频率要求设置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2、预警事项维护：提供对各类预警事项的修改维护功能。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3、预警事项停用：提供对预警事项的停用与恢复功能。提供对预警事项的删除功能。按照业务规则，对于达到一定调用数量的预警事项不予删除。</w:t>
            </w:r>
          </w:p>
        </w:tc>
      </w:tr>
      <w:tr w14:paraId="1C9D343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1196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861</w:t>
            </w:r>
          </w:p>
        </w:tc>
        <w:tc>
          <w:tcPr>
            <w:tcW w:w="491" w:type="pct"/>
            <w:tcBorders>
              <w:top w:val="nil"/>
              <w:left w:val="nil"/>
              <w:bottom w:val="single" w:color="000000" w:sz="4" w:space="0"/>
              <w:right w:val="single" w:color="000000" w:sz="4" w:space="0"/>
            </w:tcBorders>
            <w:shd w:val="clear" w:color="auto" w:fill="auto"/>
            <w:vAlign w:val="center"/>
          </w:tcPr>
          <w:p w14:paraId="36D34E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6634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预警监控管理（新建）-业务信息预警中心-预警事项管理注册-事项服务注册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EC41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基于统一的业务信息预警中心，统一聚合各种来源、不同形式的业务预警信息。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预警事项注册接入，对预警事项列表要素进行设置，根据预警事项类型、预警对象类型，配置不同预警事项对应的预警信息（要素）列表，包括标准要素配置、个性要素配置、动态要素配置以及其他要素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2、预警事项服务配置：配置该预警事项对应的实时查询服务，配置该预警事项对应的后台批量更新服务。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3、预警服务对象配置：配置每个预警事项的可以开放服务的机构层级，包括市局、区局、监管所。配置每个预警事项的可以开放服务的业务条线，如注册、食品、特种、产品、计量、消保等。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4、事项相关分类管理：提供事项相关分类管理：对预警统一编码的规则要求、预警来源分类、预警类型分类、服务条线分类等进行管理。</w:t>
            </w:r>
          </w:p>
        </w:tc>
      </w:tr>
      <w:tr w14:paraId="455F302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EA08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862</w:t>
            </w:r>
          </w:p>
        </w:tc>
        <w:tc>
          <w:tcPr>
            <w:tcW w:w="491" w:type="pct"/>
            <w:tcBorders>
              <w:top w:val="nil"/>
              <w:left w:val="nil"/>
              <w:bottom w:val="single" w:color="000000" w:sz="4" w:space="0"/>
              <w:right w:val="single" w:color="000000" w:sz="4" w:space="0"/>
            </w:tcBorders>
            <w:shd w:val="clear" w:color="auto" w:fill="auto"/>
            <w:vAlign w:val="center"/>
          </w:tcPr>
          <w:p w14:paraId="0E4429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0B1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预警监控管理（新建）-业务信息预警中心-预警事项管理注册-预警事项查询统计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BDCC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提供按名称、层级、条线、条件组合、预警更新情况查询预警事项的功能。根据定义时间、名称、类型等提供对预警事项的各类统计功能。</w:t>
            </w:r>
          </w:p>
        </w:tc>
      </w:tr>
      <w:tr w14:paraId="4BF1DA1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C6F3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863</w:t>
            </w:r>
          </w:p>
        </w:tc>
        <w:tc>
          <w:tcPr>
            <w:tcW w:w="491" w:type="pct"/>
            <w:tcBorders>
              <w:top w:val="nil"/>
              <w:left w:val="nil"/>
              <w:bottom w:val="single" w:color="000000" w:sz="4" w:space="0"/>
              <w:right w:val="single" w:color="000000" w:sz="4" w:space="0"/>
            </w:tcBorders>
            <w:shd w:val="clear" w:color="auto" w:fill="auto"/>
            <w:vAlign w:val="center"/>
          </w:tcPr>
          <w:p w14:paraId="3E7768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F8DC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预警监控管理（新建）-业务信息预警中心-预警信息服务接口-预警维护服务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2CC7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提供预警信息后台维护相关服务，包括：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1、各预警事项数据生成时，调用更新相关预警清单信息的服务。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2、记录预警更新情况的服务。</w:t>
            </w:r>
          </w:p>
        </w:tc>
      </w:tr>
      <w:tr w14:paraId="3701C96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47EC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864</w:t>
            </w:r>
          </w:p>
        </w:tc>
        <w:tc>
          <w:tcPr>
            <w:tcW w:w="491" w:type="pct"/>
            <w:tcBorders>
              <w:top w:val="nil"/>
              <w:left w:val="nil"/>
              <w:bottom w:val="single" w:color="000000" w:sz="4" w:space="0"/>
              <w:right w:val="single" w:color="000000" w:sz="4" w:space="0"/>
            </w:tcBorders>
            <w:shd w:val="clear" w:color="auto" w:fill="auto"/>
            <w:vAlign w:val="center"/>
          </w:tcPr>
          <w:p w14:paraId="1A3BB1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245F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预警监控管理（新建）-业务警示监控中心-警示监控综合设置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6627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警示监控场景编码：业务警示监控中心，按统一模式接入、管理各类业务对象（及其干系人）的被监控信息，开放接口实现这些监控信息在各类业务办理过程中的规范警示与控制。提供对警示监控应用场景的编码管理，对每个应用警示监控的业务场景进行分别编码。不同应用警示监控的场景，如新申请食品生产许可证，使用一个独立的场景编码。警示监控场景编码分多级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警示监控对象编码：提供对警示监控应用场景中的业务对象进行编码，对每个应用警示监控的业务场景中每个涉及警示监控的业务对象进行分别编码。不同应用警示监控场景中的不同监管对象，使用一个明确的场景对象编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警示监控分类编码：提供对警示监控来源分类的编码管理，对每个产生警示监控的业务源头进行分别编码。不同来源的警示监控，如对正被立案调查的当事人监控，使用一个独立的分类编码。警示监控分类编码分多级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警示监控匹配设置：针对每个不同编码的警示监控分类，通过设置功能，明确该类警示监控适用于哪些警示监控应用场景的哪些警示场景对象。针对每个不同编码的警示监控应用场景，细分场景名下的各类业务对象，设置各业务对象已设置的警示监控分类。</w:t>
            </w:r>
          </w:p>
        </w:tc>
      </w:tr>
      <w:tr w14:paraId="101A2B6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9900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865</w:t>
            </w:r>
          </w:p>
        </w:tc>
        <w:tc>
          <w:tcPr>
            <w:tcW w:w="491" w:type="pct"/>
            <w:tcBorders>
              <w:top w:val="nil"/>
              <w:left w:val="nil"/>
              <w:bottom w:val="single" w:color="000000" w:sz="4" w:space="0"/>
              <w:right w:val="single" w:color="000000" w:sz="4" w:space="0"/>
            </w:tcBorders>
            <w:shd w:val="clear" w:color="auto" w:fill="auto"/>
            <w:vAlign w:val="center"/>
          </w:tcPr>
          <w:p w14:paraId="3AB577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C8C2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预警监控管理（新建）-业务警示监控中心-警示监控在线管理-警示监控在线录入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DDA5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警示监控主要针对开展新业务的业务对象，包括组织与个人。其中组织又包括了市场主体和其他组织。对系统设置中明确可以人工录入的警示监控分类，提供人工录入警示监控对象信息的功能。</w:t>
            </w:r>
          </w:p>
        </w:tc>
      </w:tr>
      <w:tr w14:paraId="54DEE9E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00A2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866</w:t>
            </w:r>
          </w:p>
        </w:tc>
        <w:tc>
          <w:tcPr>
            <w:tcW w:w="491" w:type="pct"/>
            <w:tcBorders>
              <w:top w:val="nil"/>
              <w:left w:val="nil"/>
              <w:bottom w:val="single" w:color="000000" w:sz="4" w:space="0"/>
              <w:right w:val="single" w:color="000000" w:sz="4" w:space="0"/>
            </w:tcBorders>
            <w:shd w:val="clear" w:color="auto" w:fill="auto"/>
            <w:vAlign w:val="center"/>
          </w:tcPr>
          <w:p w14:paraId="4E67FC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40EE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预警监控管理（新建）-业务警示监控中心-警示监控在线管理-警示监控在线修改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192C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对于人工录入或允许修改的警示监控分类，提供警示监控信息的在线修改功能。对于人工录入或允许解除的警示监控分类，提供警示监控信息的在线解除功能。</w:t>
            </w:r>
          </w:p>
        </w:tc>
      </w:tr>
      <w:tr w14:paraId="31C392C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C02B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867</w:t>
            </w:r>
          </w:p>
        </w:tc>
        <w:tc>
          <w:tcPr>
            <w:tcW w:w="491" w:type="pct"/>
            <w:tcBorders>
              <w:top w:val="nil"/>
              <w:left w:val="nil"/>
              <w:bottom w:val="single" w:color="000000" w:sz="4" w:space="0"/>
              <w:right w:val="single" w:color="000000" w:sz="4" w:space="0"/>
            </w:tcBorders>
            <w:shd w:val="clear" w:color="auto" w:fill="auto"/>
            <w:vAlign w:val="center"/>
          </w:tcPr>
          <w:p w14:paraId="155256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D3D7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预警监控管理（新建）-业务警示监控中心-警示监控查询服务接口-市场主体警示监控查询服务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0513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提供按市场主体、自然人、其他组织，提供按对象、以及对象+当前业务场景+对象编码查询警示预警的查询服务，包括信息查询接口（无界面）、信息查询接口（网页版界面）、信息查询接口（移动H5版界面）。</w:t>
            </w:r>
          </w:p>
        </w:tc>
      </w:tr>
      <w:tr w14:paraId="22F9E90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E289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868</w:t>
            </w:r>
          </w:p>
        </w:tc>
        <w:tc>
          <w:tcPr>
            <w:tcW w:w="491" w:type="pct"/>
            <w:tcBorders>
              <w:top w:val="nil"/>
              <w:left w:val="nil"/>
              <w:bottom w:val="single" w:color="000000" w:sz="4" w:space="0"/>
              <w:right w:val="single" w:color="000000" w:sz="4" w:space="0"/>
            </w:tcBorders>
            <w:shd w:val="clear" w:color="auto" w:fill="auto"/>
            <w:vAlign w:val="center"/>
          </w:tcPr>
          <w:p w14:paraId="2BB555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A279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预警监控管理（新建）-业务警示监控中心-警示监控查询统计-警示监控分类查询与统计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0F60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围绕警示监控的分类、场景、监控信息提供查询统计功能。</w:t>
            </w:r>
          </w:p>
        </w:tc>
      </w:tr>
      <w:tr w14:paraId="7F4B442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6EBA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869</w:t>
            </w:r>
          </w:p>
        </w:tc>
        <w:tc>
          <w:tcPr>
            <w:tcW w:w="491" w:type="pct"/>
            <w:tcBorders>
              <w:top w:val="nil"/>
              <w:left w:val="nil"/>
              <w:bottom w:val="single" w:color="000000" w:sz="4" w:space="0"/>
              <w:right w:val="single" w:color="000000" w:sz="4" w:space="0"/>
            </w:tcBorders>
            <w:shd w:val="clear" w:color="auto" w:fill="auto"/>
            <w:vAlign w:val="center"/>
          </w:tcPr>
          <w:p w14:paraId="7AFA2B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72CA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预警监控管理（新建）-业务警示监控中心-警示监控查询统计-警示监控应用统计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D465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提供警示监控应用情况分类统计功能。</w:t>
            </w:r>
          </w:p>
        </w:tc>
      </w:tr>
      <w:tr w14:paraId="2491AFC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8259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870</w:t>
            </w:r>
          </w:p>
        </w:tc>
        <w:tc>
          <w:tcPr>
            <w:tcW w:w="491" w:type="pct"/>
            <w:tcBorders>
              <w:top w:val="nil"/>
              <w:left w:val="nil"/>
              <w:bottom w:val="single" w:color="000000" w:sz="4" w:space="0"/>
              <w:right w:val="single" w:color="000000" w:sz="4" w:space="0"/>
            </w:tcBorders>
            <w:shd w:val="clear" w:color="auto" w:fill="auto"/>
            <w:vAlign w:val="center"/>
          </w:tcPr>
          <w:p w14:paraId="74A782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44AC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监管效能管理（新建）-综合监管搜索-监管数据资源汇聚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A9F1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归集综合监管一体化相关数据资源：归集监管事项清单信息，包括监管事项目录清单、行政检查实施清单、监管事项负面清单；归集监管对象人员信息，包括监管人员信息、监管对象信息等；归集计划任务实施信息，包括监管计划任务、监管实施过程、后续执法情况等；归集问题风险预警信息，包括任务问题线索来源，信用风险分级分类，业务风险预警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建立综合监管数据资源目录管理规则，对一体化平台管理的各类监管信息资源进行分类分级整理，将所有数据按类别、级别编辑一套完整、简洁、易用的数据检索目录。</w:t>
            </w:r>
          </w:p>
        </w:tc>
      </w:tr>
      <w:tr w14:paraId="695870A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1246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871</w:t>
            </w:r>
          </w:p>
        </w:tc>
        <w:tc>
          <w:tcPr>
            <w:tcW w:w="491" w:type="pct"/>
            <w:tcBorders>
              <w:top w:val="nil"/>
              <w:left w:val="nil"/>
              <w:bottom w:val="single" w:color="000000" w:sz="4" w:space="0"/>
              <w:right w:val="single" w:color="000000" w:sz="4" w:space="0"/>
            </w:tcBorders>
            <w:shd w:val="clear" w:color="auto" w:fill="auto"/>
            <w:vAlign w:val="center"/>
          </w:tcPr>
          <w:p w14:paraId="4C1947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C914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监管效能管理（新建）-综合监管搜索-提供便捷查询方式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2FAE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一体化平台各类用户的业务搜索需求，提供数据按目录查询功能，同时提供关键字查询、模糊查询、组合查询和全文检索等多种查询方式，满足对监管数据的查询检索服务需求。设计搜索界面，要模拟用户检索习惯，尽可能简化指令输入，最大限度节省用户的查询耗时和精力。</w:t>
            </w:r>
          </w:p>
        </w:tc>
      </w:tr>
      <w:tr w14:paraId="297BD89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E5C4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872</w:t>
            </w:r>
          </w:p>
        </w:tc>
        <w:tc>
          <w:tcPr>
            <w:tcW w:w="491" w:type="pct"/>
            <w:tcBorders>
              <w:top w:val="nil"/>
              <w:left w:val="nil"/>
              <w:bottom w:val="single" w:color="000000" w:sz="4" w:space="0"/>
              <w:right w:val="single" w:color="000000" w:sz="4" w:space="0"/>
            </w:tcBorders>
            <w:shd w:val="clear" w:color="auto" w:fill="auto"/>
            <w:vAlign w:val="center"/>
          </w:tcPr>
          <w:p w14:paraId="09B23C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D812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监管效能管理（新建）-综合监管搜索-提供丰富搜索结果</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4CE1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搜索结果要内容广阔、全面、完整、准确，页面内各项结果内容之间要尽可能关联穿透，搜索结果页面模块罗列要具备一定视觉逻辑和美感，界面效果要贴合用户监管业务场景感受。</w:t>
            </w:r>
          </w:p>
        </w:tc>
      </w:tr>
      <w:tr w14:paraId="1371B5D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304C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873</w:t>
            </w:r>
          </w:p>
        </w:tc>
        <w:tc>
          <w:tcPr>
            <w:tcW w:w="491" w:type="pct"/>
            <w:tcBorders>
              <w:top w:val="nil"/>
              <w:left w:val="nil"/>
              <w:bottom w:val="single" w:color="000000" w:sz="4" w:space="0"/>
              <w:right w:val="single" w:color="000000" w:sz="4" w:space="0"/>
            </w:tcBorders>
            <w:shd w:val="clear" w:color="auto" w:fill="auto"/>
            <w:vAlign w:val="center"/>
          </w:tcPr>
          <w:p w14:paraId="4AE9B7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36A0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监管效能管理（新建）-综合监管搜索-经营主体监管概览-经营主体基本与关联情况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B90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方便监管人员快速掌握监管对象相关监管信息，以经营主体为中心，汇聚该经营主体与综合监管密切相关的各类信息，形成经营主体监管概况概览。概况显示经营主体基本情况以及相关的客体、人员等情况，包括经营主体基本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、经营主体客体情况、经营主体人员情况。</w:t>
            </w:r>
          </w:p>
        </w:tc>
      </w:tr>
      <w:tr w14:paraId="07C189A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5AA5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874</w:t>
            </w:r>
          </w:p>
        </w:tc>
        <w:tc>
          <w:tcPr>
            <w:tcW w:w="491" w:type="pct"/>
            <w:tcBorders>
              <w:top w:val="nil"/>
              <w:left w:val="nil"/>
              <w:bottom w:val="single" w:color="000000" w:sz="4" w:space="0"/>
              <w:right w:val="single" w:color="000000" w:sz="4" w:space="0"/>
            </w:tcBorders>
            <w:shd w:val="clear" w:color="auto" w:fill="auto"/>
            <w:vAlign w:val="center"/>
          </w:tcPr>
          <w:p w14:paraId="0C8034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7280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监管效能管理（新建）-综合监管搜索-经营主体监管概览-经营主体监管与处罚情况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A883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概况显示经营主体相关的综合监管计划任务情况，以及被行政处罚查询情况，包括经营主体相关监管计划及方案；经营主体相关监管任务情况（包括已检查与未检查）；经营主体相关形成处罚情况。</w:t>
            </w:r>
          </w:p>
        </w:tc>
      </w:tr>
      <w:tr w14:paraId="3E5342D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CB52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875</w:t>
            </w:r>
          </w:p>
        </w:tc>
        <w:tc>
          <w:tcPr>
            <w:tcW w:w="491" w:type="pct"/>
            <w:tcBorders>
              <w:top w:val="nil"/>
              <w:left w:val="nil"/>
              <w:bottom w:val="single" w:color="000000" w:sz="4" w:space="0"/>
              <w:right w:val="single" w:color="000000" w:sz="4" w:space="0"/>
            </w:tcBorders>
            <w:shd w:val="clear" w:color="auto" w:fill="auto"/>
            <w:vAlign w:val="center"/>
          </w:tcPr>
          <w:p w14:paraId="612973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388F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监管效能管理（新建）-综合监管搜索-经营主体监管概览-经营主体预警与信用情况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E56B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概况显示经营主体相关的预警与信用情况，包括经营主体相关预警提示、经营主体相关信用风险分类情况、经营主体相关失信惩戒情况。同时，通过经营主体监管概览，还可以关联打开该经营主体相关的“一企一档”及“企业特征画像”。</w:t>
            </w:r>
          </w:p>
        </w:tc>
      </w:tr>
      <w:tr w14:paraId="0EE79AE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381D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876</w:t>
            </w:r>
          </w:p>
        </w:tc>
        <w:tc>
          <w:tcPr>
            <w:tcW w:w="491" w:type="pct"/>
            <w:tcBorders>
              <w:top w:val="nil"/>
              <w:left w:val="nil"/>
              <w:bottom w:val="single" w:color="000000" w:sz="4" w:space="0"/>
              <w:right w:val="single" w:color="000000" w:sz="4" w:space="0"/>
            </w:tcBorders>
            <w:shd w:val="clear" w:color="auto" w:fill="auto"/>
            <w:vAlign w:val="center"/>
          </w:tcPr>
          <w:p w14:paraId="52C9F6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058E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监管效能管理（新建）-监管待办日历-监管待办-计划制定待办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3936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对于市、区的业务领导，关注上级交办的监管计划和本级的监管计划制定与审批等。</w:t>
            </w:r>
          </w:p>
        </w:tc>
      </w:tr>
      <w:tr w14:paraId="19AB282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2D5E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877</w:t>
            </w:r>
          </w:p>
        </w:tc>
        <w:tc>
          <w:tcPr>
            <w:tcW w:w="491" w:type="pct"/>
            <w:tcBorders>
              <w:top w:val="nil"/>
              <w:left w:val="nil"/>
              <w:bottom w:val="single" w:color="000000" w:sz="4" w:space="0"/>
              <w:right w:val="single" w:color="000000" w:sz="4" w:space="0"/>
            </w:tcBorders>
            <w:shd w:val="clear" w:color="auto" w:fill="auto"/>
            <w:vAlign w:val="center"/>
          </w:tcPr>
          <w:p w14:paraId="7588F6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6D8C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监管效能管理（新建）-监管待办日历-监管待办-方案落实待办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B0B8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对于所长与业务领导，关注上级交办的监管计划和本级的监管计划相关的检查方案的落实与流转</w:t>
            </w:r>
          </w:p>
        </w:tc>
      </w:tr>
      <w:tr w14:paraId="451E5B8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2F90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878</w:t>
            </w:r>
          </w:p>
        </w:tc>
        <w:tc>
          <w:tcPr>
            <w:tcW w:w="491" w:type="pct"/>
            <w:tcBorders>
              <w:top w:val="nil"/>
              <w:left w:val="nil"/>
              <w:bottom w:val="single" w:color="000000" w:sz="4" w:space="0"/>
              <w:right w:val="single" w:color="000000" w:sz="4" w:space="0"/>
            </w:tcBorders>
            <w:shd w:val="clear" w:color="auto" w:fill="auto"/>
            <w:vAlign w:val="center"/>
          </w:tcPr>
          <w:p w14:paraId="79C814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D7ED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监管效能管理（新建）-监管待办日历-监管待办-任务实施待办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C943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对于监管人员，关注需要执行的具体监管检查任务，以及监管实施后续的问题整改或者隐患治理等跟进任务</w:t>
            </w:r>
          </w:p>
        </w:tc>
      </w:tr>
      <w:tr w14:paraId="07EA6B0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8AA5C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879</w:t>
            </w:r>
          </w:p>
        </w:tc>
        <w:tc>
          <w:tcPr>
            <w:tcW w:w="491" w:type="pct"/>
            <w:tcBorders>
              <w:top w:val="nil"/>
              <w:left w:val="nil"/>
              <w:bottom w:val="single" w:color="000000" w:sz="4" w:space="0"/>
              <w:right w:val="single" w:color="000000" w:sz="4" w:space="0"/>
            </w:tcBorders>
            <w:shd w:val="clear" w:color="auto" w:fill="auto"/>
            <w:vAlign w:val="center"/>
          </w:tcPr>
          <w:p w14:paraId="7AAC85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7748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监管效能管理（新建）-监管待办日历-监管日历-监管日历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2B58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智能监管日历综合运用大数据技术，汇聚当前监管人员相关的检查任务</w:t>
            </w:r>
          </w:p>
        </w:tc>
      </w:tr>
      <w:tr w14:paraId="04E2A19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1924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880</w:t>
            </w:r>
          </w:p>
        </w:tc>
        <w:tc>
          <w:tcPr>
            <w:tcW w:w="491" w:type="pct"/>
            <w:tcBorders>
              <w:top w:val="nil"/>
              <w:left w:val="nil"/>
              <w:bottom w:val="single" w:color="000000" w:sz="4" w:space="0"/>
              <w:right w:val="single" w:color="000000" w:sz="4" w:space="0"/>
            </w:tcBorders>
            <w:shd w:val="clear" w:color="auto" w:fill="auto"/>
            <w:vAlign w:val="center"/>
          </w:tcPr>
          <w:p w14:paraId="2A95EE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E35E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监管效能管理（新建）-监管待办日历-监管日历-日历地图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A0E7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支持将选中日期的待检查对象集中展示在电子地图上的功能，以方便监管人员对监管工作进行智能规划</w:t>
            </w:r>
          </w:p>
        </w:tc>
      </w:tr>
      <w:tr w14:paraId="0DCFB05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5E0E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881</w:t>
            </w:r>
          </w:p>
        </w:tc>
        <w:tc>
          <w:tcPr>
            <w:tcW w:w="491" w:type="pct"/>
            <w:tcBorders>
              <w:top w:val="nil"/>
              <w:left w:val="nil"/>
              <w:bottom w:val="single" w:color="000000" w:sz="4" w:space="0"/>
              <w:right w:val="single" w:color="000000" w:sz="4" w:space="0"/>
            </w:tcBorders>
            <w:shd w:val="clear" w:color="auto" w:fill="auto"/>
            <w:vAlign w:val="center"/>
          </w:tcPr>
          <w:p w14:paraId="044FB2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861E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监管效能管理（新建）-监管待办日历-监管日历-日程调整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5DCE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监管人员也可以通过监管日历，调整监管任务的拟执行时间</w:t>
            </w:r>
          </w:p>
        </w:tc>
      </w:tr>
      <w:tr w14:paraId="368420D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AD2D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882</w:t>
            </w:r>
          </w:p>
        </w:tc>
        <w:tc>
          <w:tcPr>
            <w:tcW w:w="491" w:type="pct"/>
            <w:tcBorders>
              <w:top w:val="nil"/>
              <w:left w:val="nil"/>
              <w:bottom w:val="single" w:color="000000" w:sz="4" w:space="0"/>
              <w:right w:val="single" w:color="000000" w:sz="4" w:space="0"/>
            </w:tcBorders>
            <w:shd w:val="clear" w:color="auto" w:fill="auto"/>
            <w:vAlign w:val="center"/>
          </w:tcPr>
          <w:p w14:paraId="55B082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9CE3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监管效能管理（新建）-监管督办催办-综合监管督办-督办申请</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C7A7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输入督办的要求，并且选择一条被督办的事项，被督办的事项可以是监管方案、具体的检查任务或者其它监管方面的业务，要求被督办事项的执行人给予关注和回复</w:t>
            </w:r>
          </w:p>
        </w:tc>
      </w:tr>
      <w:tr w14:paraId="04FC856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5EC14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883</w:t>
            </w:r>
          </w:p>
        </w:tc>
        <w:tc>
          <w:tcPr>
            <w:tcW w:w="491" w:type="pct"/>
            <w:tcBorders>
              <w:top w:val="nil"/>
              <w:left w:val="nil"/>
              <w:bottom w:val="single" w:color="000000" w:sz="4" w:space="0"/>
              <w:right w:val="single" w:color="000000" w:sz="4" w:space="0"/>
            </w:tcBorders>
            <w:shd w:val="clear" w:color="auto" w:fill="auto"/>
            <w:vAlign w:val="center"/>
          </w:tcPr>
          <w:p w14:paraId="4CC7F3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C9FC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监管效能管理（新建）-监管工作分析-监管计划综合分析-计划开展综合分析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E359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基于监管对象、监管机关、执行时间等组合条件，提供针对计划开展情况的综合分析功能</w:t>
            </w:r>
          </w:p>
        </w:tc>
      </w:tr>
      <w:tr w14:paraId="53572DA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977B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884</w:t>
            </w:r>
          </w:p>
        </w:tc>
        <w:tc>
          <w:tcPr>
            <w:tcW w:w="491" w:type="pct"/>
            <w:tcBorders>
              <w:top w:val="nil"/>
              <w:left w:val="nil"/>
              <w:bottom w:val="single" w:color="000000" w:sz="4" w:space="0"/>
              <w:right w:val="single" w:color="000000" w:sz="4" w:space="0"/>
            </w:tcBorders>
            <w:shd w:val="clear" w:color="auto" w:fill="auto"/>
            <w:vAlign w:val="center"/>
          </w:tcPr>
          <w:p w14:paraId="5C60C3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308A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监管效能管理（新建）-监管工作分析-监管计划综合分析-计划执行综合分析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389F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基于监管对象、监管机关、执行时间等组合条件，提供针对计划执行情况的综合分析功能</w:t>
            </w:r>
          </w:p>
        </w:tc>
      </w:tr>
      <w:tr w14:paraId="662E1D4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8014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885</w:t>
            </w:r>
          </w:p>
        </w:tc>
        <w:tc>
          <w:tcPr>
            <w:tcW w:w="491" w:type="pct"/>
            <w:tcBorders>
              <w:top w:val="nil"/>
              <w:left w:val="nil"/>
              <w:bottom w:val="single" w:color="000000" w:sz="4" w:space="0"/>
              <w:right w:val="single" w:color="000000" w:sz="4" w:space="0"/>
            </w:tcBorders>
            <w:shd w:val="clear" w:color="auto" w:fill="auto"/>
            <w:vAlign w:val="center"/>
          </w:tcPr>
          <w:p w14:paraId="169788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537E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监管效能管理（新建）-监管工作分析-监管任务综合分析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2FBB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基于监管对象、监管机关、执行时间等组合条件，提供监管任务的综合分析功能，包括按条线、按单位、按时间多视角分析任务的执行情况</w:t>
            </w:r>
          </w:p>
        </w:tc>
      </w:tr>
      <w:tr w14:paraId="16309C9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26D1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886</w:t>
            </w:r>
          </w:p>
        </w:tc>
        <w:tc>
          <w:tcPr>
            <w:tcW w:w="491" w:type="pct"/>
            <w:tcBorders>
              <w:top w:val="nil"/>
              <w:left w:val="nil"/>
              <w:bottom w:val="single" w:color="000000" w:sz="4" w:space="0"/>
              <w:right w:val="single" w:color="000000" w:sz="4" w:space="0"/>
            </w:tcBorders>
            <w:shd w:val="clear" w:color="auto" w:fill="auto"/>
            <w:vAlign w:val="center"/>
          </w:tcPr>
          <w:p w14:paraId="7635E8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31D4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监管效能管理（新建）-监管工作分析-监管工作绩效统计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AF1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1、监管工作绩效统计表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以报表方式展示各区、监管所、监管干部的监管工作统计汇总情况。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2、监管工作绩效图表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以图表方式展示绩效评估情况，查看监管单位和监管人员绩效评估情况。实现区局、监管所、监管干部三个层级的监管效能。</w:t>
            </w:r>
          </w:p>
        </w:tc>
      </w:tr>
      <w:tr w14:paraId="2FCD275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F42D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887</w:t>
            </w:r>
          </w:p>
        </w:tc>
        <w:tc>
          <w:tcPr>
            <w:tcW w:w="491" w:type="pct"/>
            <w:tcBorders>
              <w:top w:val="nil"/>
              <w:left w:val="nil"/>
              <w:bottom w:val="single" w:color="000000" w:sz="4" w:space="0"/>
              <w:right w:val="single" w:color="000000" w:sz="4" w:space="0"/>
            </w:tcBorders>
            <w:shd w:val="clear" w:color="auto" w:fill="auto"/>
            <w:vAlign w:val="center"/>
          </w:tcPr>
          <w:p w14:paraId="6F913F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4E0E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监管效能管理（新建）-监管工作分析-条线分类统计分析-食品生产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8120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为重点领域全覆盖监管的细化管理与概况掌握需求，定制细分领域的监管工作统计分析图表，提供可视化服务。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1、监管对象底数查询和统计分析：对食品生产许可证、食品小作坊准产证等食品生产类许可信息进行查询和统计分析。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2、监管记录查询和统计分析：多条件组合查询和查看食品生产领域监管记录。以“一张统计总表”方式统计食品生产领域监管情况。</w:t>
            </w:r>
          </w:p>
        </w:tc>
      </w:tr>
      <w:tr w14:paraId="14832B2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6A00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888</w:t>
            </w:r>
          </w:p>
        </w:tc>
        <w:tc>
          <w:tcPr>
            <w:tcW w:w="491" w:type="pct"/>
            <w:tcBorders>
              <w:top w:val="nil"/>
              <w:left w:val="nil"/>
              <w:bottom w:val="single" w:color="000000" w:sz="4" w:space="0"/>
              <w:right w:val="single" w:color="000000" w:sz="4" w:space="0"/>
            </w:tcBorders>
            <w:shd w:val="clear" w:color="auto" w:fill="auto"/>
            <w:vAlign w:val="center"/>
          </w:tcPr>
          <w:p w14:paraId="39A9CE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69F8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监管效能管理（新建）-监管工作分析-条线分类统计分析-食品经营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6179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对象底数查询和统计分析：对食品经营许可证、酒类商品经营许可证、小餐饮备案、专业贮存/运输食品备案、仅销售预包装食品备案等食品经营类许可或备案信息进行查询和统计分析。2、监管记录查询和统计分析：多条件组合查询和查看食品经营领域监管记录。以“一张统计总表”方式统计食品经营领域监管情况</w:t>
            </w:r>
          </w:p>
        </w:tc>
      </w:tr>
      <w:tr w14:paraId="5F32D41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1BCD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889</w:t>
            </w:r>
          </w:p>
        </w:tc>
        <w:tc>
          <w:tcPr>
            <w:tcW w:w="491" w:type="pct"/>
            <w:tcBorders>
              <w:top w:val="nil"/>
              <w:left w:val="nil"/>
              <w:bottom w:val="single" w:color="000000" w:sz="4" w:space="0"/>
              <w:right w:val="single" w:color="000000" w:sz="4" w:space="0"/>
            </w:tcBorders>
            <w:shd w:val="clear" w:color="auto" w:fill="auto"/>
            <w:vAlign w:val="center"/>
          </w:tcPr>
          <w:p w14:paraId="50B473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D0BF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监管效能管理（新建）-监管工作分析-条线分类统计分析-特殊食品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4752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对象底数查询和统计分析：对特殊食品生产许可证、特殊食品经营许可证等特殊食品类许可信息进行查询和统计分析。2、监管记录查询和统计分析：多条件组合查询和查看特殊食品生产经营领域监管记录。以“一张统计总表”方式统计特殊食品生产经营领域监管情况</w:t>
            </w:r>
          </w:p>
        </w:tc>
      </w:tr>
      <w:tr w14:paraId="698CC2A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BFED5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890</w:t>
            </w:r>
          </w:p>
        </w:tc>
        <w:tc>
          <w:tcPr>
            <w:tcW w:w="491" w:type="pct"/>
            <w:tcBorders>
              <w:top w:val="nil"/>
              <w:left w:val="nil"/>
              <w:bottom w:val="single" w:color="000000" w:sz="4" w:space="0"/>
              <w:right w:val="single" w:color="000000" w:sz="4" w:space="0"/>
            </w:tcBorders>
            <w:shd w:val="clear" w:color="auto" w:fill="auto"/>
            <w:vAlign w:val="center"/>
          </w:tcPr>
          <w:p w14:paraId="3A6412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30CA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监管效能管理（新建）-监管工作分析-条线分类统计分析-特种设备</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D3E1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对象底数查询和统计分析：对特种设备生产许可证等特种设备类许可信息进行查询和统计分析。对特种设备进行多条件组合查询和统计分析。对特种设备作业人员进行多条件组合查询和统计分析。2、监管记录查询和统计分析：多条件组合查询和查看特种设备安全领域监管记录。以“一张统计总表”方式统计特种设备安全领域监管情况</w:t>
            </w:r>
          </w:p>
        </w:tc>
      </w:tr>
      <w:tr w14:paraId="55B071B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15A6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891</w:t>
            </w:r>
          </w:p>
        </w:tc>
        <w:tc>
          <w:tcPr>
            <w:tcW w:w="491" w:type="pct"/>
            <w:tcBorders>
              <w:top w:val="nil"/>
              <w:left w:val="nil"/>
              <w:bottom w:val="single" w:color="000000" w:sz="4" w:space="0"/>
              <w:right w:val="single" w:color="000000" w:sz="4" w:space="0"/>
            </w:tcBorders>
            <w:shd w:val="clear" w:color="auto" w:fill="auto"/>
            <w:vAlign w:val="center"/>
          </w:tcPr>
          <w:p w14:paraId="51B041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C279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监管效能管理（新建）-监管工作分析-条线分类统计分析-产品质量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CC53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对象底数查询和统计分析：对重要工业产品生产许可证、食品相关产品生产许可证等产品质量类许可信息进行查询和统计分析。2、监管记录查询和统计分析：多条件组合查询和查看产品质量领域监管记录。以“一张统计总表”方式统计产品质量领域监管情况</w:t>
            </w:r>
          </w:p>
        </w:tc>
      </w:tr>
      <w:tr w14:paraId="47DB4CF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0694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892</w:t>
            </w:r>
          </w:p>
        </w:tc>
        <w:tc>
          <w:tcPr>
            <w:tcW w:w="491" w:type="pct"/>
            <w:tcBorders>
              <w:top w:val="nil"/>
              <w:left w:val="nil"/>
              <w:bottom w:val="single" w:color="000000" w:sz="4" w:space="0"/>
              <w:right w:val="single" w:color="000000" w:sz="4" w:space="0"/>
            </w:tcBorders>
            <w:shd w:val="clear" w:color="auto" w:fill="auto"/>
            <w:vAlign w:val="center"/>
          </w:tcPr>
          <w:p w14:paraId="30752C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2A27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监管效能管理（新建）-监管工作分析-条线分类统计分析-检验检测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2837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对象底数查询和统计分析：对检验检测机构资质认定等检验检测类资质信息进行查询和统计分析。2、监管记录查询和统计分析：多条件组合查询和查看检验检测领域监管记录。以“一张统计总表”方式统计检验检测领域监管情况</w:t>
            </w:r>
          </w:p>
        </w:tc>
      </w:tr>
      <w:tr w14:paraId="57B568D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246F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893</w:t>
            </w:r>
          </w:p>
        </w:tc>
        <w:tc>
          <w:tcPr>
            <w:tcW w:w="491" w:type="pct"/>
            <w:tcBorders>
              <w:top w:val="nil"/>
              <w:left w:val="nil"/>
              <w:bottom w:val="single" w:color="000000" w:sz="4" w:space="0"/>
              <w:right w:val="single" w:color="000000" w:sz="4" w:space="0"/>
            </w:tcBorders>
            <w:shd w:val="clear" w:color="auto" w:fill="auto"/>
            <w:vAlign w:val="center"/>
          </w:tcPr>
          <w:p w14:paraId="67DA58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91C7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监管效能管理（新建）-监管效能评估-监管效能评估-监管效能评估总体情况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8E00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按市、区、队/所，多维度展示监管效能评估总体情况</w:t>
            </w:r>
          </w:p>
        </w:tc>
      </w:tr>
      <w:tr w14:paraId="73F5B45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82F6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894</w:t>
            </w:r>
          </w:p>
        </w:tc>
        <w:tc>
          <w:tcPr>
            <w:tcW w:w="491" w:type="pct"/>
            <w:tcBorders>
              <w:top w:val="nil"/>
              <w:left w:val="nil"/>
              <w:bottom w:val="single" w:color="000000" w:sz="4" w:space="0"/>
              <w:right w:val="single" w:color="000000" w:sz="4" w:space="0"/>
            </w:tcBorders>
            <w:shd w:val="clear" w:color="auto" w:fill="auto"/>
            <w:vAlign w:val="center"/>
          </w:tcPr>
          <w:p w14:paraId="6C4172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DA31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监管效能管理（新建）-监管效能评估-监管人员压力指数-压力指数总体情况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A5A6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可按市、区、队/所，多维度展示监管人员压力情况。</w:t>
            </w:r>
          </w:p>
        </w:tc>
      </w:tr>
      <w:tr w14:paraId="08F0BEC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146F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895</w:t>
            </w:r>
          </w:p>
        </w:tc>
        <w:tc>
          <w:tcPr>
            <w:tcW w:w="491" w:type="pct"/>
            <w:tcBorders>
              <w:top w:val="nil"/>
              <w:left w:val="nil"/>
              <w:bottom w:val="single" w:color="000000" w:sz="4" w:space="0"/>
              <w:right w:val="single" w:color="000000" w:sz="4" w:space="0"/>
            </w:tcBorders>
            <w:shd w:val="clear" w:color="auto" w:fill="auto"/>
            <w:vAlign w:val="center"/>
          </w:tcPr>
          <w:p w14:paraId="0F0A6C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FE64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监管智慧赋能（新建）-适度检查智能研判-开发适度检查研判功能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6807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针对特定检查对象的适度检查研判功能，针对拟列入双随机、专项整治、全覆盖检查等检查计划的检查对象，根据适度检查研判标准，结合该监管对象的信用状况、历史被检查情况、已被列入检查计划情况等，研判该监管对象是否存在“过度检查”的情况。</w:t>
            </w:r>
          </w:p>
        </w:tc>
      </w:tr>
      <w:tr w14:paraId="5C67EBF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D2BE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896</w:t>
            </w:r>
          </w:p>
        </w:tc>
        <w:tc>
          <w:tcPr>
            <w:tcW w:w="491" w:type="pct"/>
            <w:tcBorders>
              <w:top w:val="nil"/>
              <w:left w:val="nil"/>
              <w:bottom w:val="single" w:color="000000" w:sz="4" w:space="0"/>
              <w:right w:val="single" w:color="000000" w:sz="4" w:space="0"/>
            </w:tcBorders>
            <w:shd w:val="clear" w:color="auto" w:fill="auto"/>
            <w:vAlign w:val="center"/>
          </w:tcPr>
          <w:p w14:paraId="2DED38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8D06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监管智慧赋能（新建）-适度检查智能研判-开发适度检查研判接口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46B3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建立适度检查研判接口，在前端监管计划方案制定环节调用，通过当前检查计划类型、当前监管对象类型、当前监管对象身份等信息，检查当前监管对象是否添加到新的检查计划中。</w:t>
            </w:r>
          </w:p>
        </w:tc>
      </w:tr>
      <w:tr w14:paraId="59A7CE7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D401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897</w:t>
            </w:r>
          </w:p>
        </w:tc>
        <w:tc>
          <w:tcPr>
            <w:tcW w:w="491" w:type="pct"/>
            <w:tcBorders>
              <w:top w:val="nil"/>
              <w:left w:val="nil"/>
              <w:bottom w:val="single" w:color="000000" w:sz="4" w:space="0"/>
              <w:right w:val="single" w:color="000000" w:sz="4" w:space="0"/>
            </w:tcBorders>
            <w:shd w:val="clear" w:color="auto" w:fill="auto"/>
            <w:vAlign w:val="center"/>
          </w:tcPr>
          <w:p w14:paraId="7556E4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799B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监管智慧赋能（新建）-任务合并智能提醒-任务提醒时间范围设置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44DB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场监管领域业务条线多、监管类型多，难免会由于各种因素造成需要对同一监管对象的多次检查。为便利监管人员安排检查工作，将相同时段内涉及同一监管人员、同一监管对象的不同条线双随机、专项整治、全覆盖监管、问题线索处理等任务进行研判提示，以便监管人员能合理安排，一次上门、多次检查，避免因监管人员多次上门给经营主体带来的不便。设置可合并任务的时间范围，设置默认值，可按照行政区划进行调整</w:t>
            </w:r>
          </w:p>
        </w:tc>
      </w:tr>
      <w:tr w14:paraId="026F236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A8C3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898</w:t>
            </w:r>
          </w:p>
        </w:tc>
        <w:tc>
          <w:tcPr>
            <w:tcW w:w="491" w:type="pct"/>
            <w:tcBorders>
              <w:top w:val="nil"/>
              <w:left w:val="nil"/>
              <w:bottom w:val="single" w:color="000000" w:sz="4" w:space="0"/>
              <w:right w:val="single" w:color="000000" w:sz="4" w:space="0"/>
            </w:tcBorders>
            <w:shd w:val="clear" w:color="auto" w:fill="auto"/>
            <w:vAlign w:val="center"/>
          </w:tcPr>
          <w:p w14:paraId="065D69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A977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监管智慧赋能（新建）-任务合并智能提醒-监管对象同期任务提醒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488D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示检查人员，在时间范围内，检查对象为同阶段内重复的提示，批量提示：在产生随机抽取出清单之后，根据对象清单进行智能重查检查，并将重复检查的对象以清单方式展示；单个提示：提供单个企业的查询接口，提示是否存在重查情况。</w:t>
            </w:r>
          </w:p>
        </w:tc>
      </w:tr>
      <w:tr w14:paraId="2079869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ADD0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899</w:t>
            </w:r>
          </w:p>
        </w:tc>
        <w:tc>
          <w:tcPr>
            <w:tcW w:w="491" w:type="pct"/>
            <w:tcBorders>
              <w:top w:val="nil"/>
              <w:left w:val="nil"/>
              <w:bottom w:val="single" w:color="000000" w:sz="4" w:space="0"/>
              <w:right w:val="single" w:color="000000" w:sz="4" w:space="0"/>
            </w:tcBorders>
            <w:shd w:val="clear" w:color="auto" w:fill="auto"/>
            <w:vAlign w:val="center"/>
          </w:tcPr>
          <w:p w14:paraId="333127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C5BC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监管智慧赋能（新建）-任务合并智能提醒-监管人员同期任务提醒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ECF4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针对检查人员角度进行智能研判，提示检查人员，在时间范围内的多项检查任务提示。</w:t>
            </w:r>
          </w:p>
        </w:tc>
      </w:tr>
      <w:tr w14:paraId="1DF73AF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2D28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900</w:t>
            </w:r>
          </w:p>
        </w:tc>
        <w:tc>
          <w:tcPr>
            <w:tcW w:w="491" w:type="pct"/>
            <w:tcBorders>
              <w:top w:val="nil"/>
              <w:left w:val="nil"/>
              <w:bottom w:val="single" w:color="000000" w:sz="4" w:space="0"/>
              <w:right w:val="single" w:color="000000" w:sz="4" w:space="0"/>
            </w:tcBorders>
            <w:shd w:val="clear" w:color="auto" w:fill="auto"/>
            <w:vAlign w:val="center"/>
          </w:tcPr>
          <w:p w14:paraId="6C70A6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C2D9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监管智慧赋能（新建）-现场探测智慧赋能-现场风险预警服务-现场风险探测模型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1566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中端现场检查环节，根据“现场风险探测预警清单”，将现场情况与后台监管对象相关数据进行比对，主动对监管对象进行风险预警查询并提醒风险预警具体情况。对可以在现场各类行政检查过程中，同步进行现场风险探测的预警进行清单化管理。在集成现有风险预警模型、汇聚现有风险预警线索数据的基础上，建设风险探测能力更强的现场交互式风险探测模型，支撑“平战结合”风险探测模式，现场检查前定期发布预警线索，现场检查中实时交互式风险探测，现场检查后跟踪防范风险复发，促进风险预警实现业务闭环。</w:t>
            </w:r>
          </w:p>
        </w:tc>
      </w:tr>
      <w:tr w14:paraId="3B54524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9CC5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901</w:t>
            </w:r>
          </w:p>
        </w:tc>
        <w:tc>
          <w:tcPr>
            <w:tcW w:w="491" w:type="pct"/>
            <w:tcBorders>
              <w:top w:val="nil"/>
              <w:left w:val="nil"/>
              <w:bottom w:val="single" w:color="000000" w:sz="4" w:space="0"/>
              <w:right w:val="single" w:color="000000" w:sz="4" w:space="0"/>
            </w:tcBorders>
            <w:shd w:val="clear" w:color="auto" w:fill="auto"/>
            <w:vAlign w:val="center"/>
          </w:tcPr>
          <w:p w14:paraId="094C08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EC2B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监管智慧赋能（新建）-现场探测智慧赋能-现场风险预警服务-现场风险探测报告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5412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针对当前监管对象主体，进行现场风险探测预警，并形成线程风险探测报告，可以智能动态生产PDF文件，并支持打印功能。</w:t>
            </w:r>
          </w:p>
        </w:tc>
      </w:tr>
      <w:tr w14:paraId="2F120AD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E5C7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902</w:t>
            </w:r>
          </w:p>
        </w:tc>
        <w:tc>
          <w:tcPr>
            <w:tcW w:w="491" w:type="pct"/>
            <w:tcBorders>
              <w:top w:val="nil"/>
              <w:left w:val="nil"/>
              <w:bottom w:val="single" w:color="000000" w:sz="4" w:space="0"/>
              <w:right w:val="single" w:color="000000" w:sz="4" w:space="0"/>
            </w:tcBorders>
            <w:shd w:val="clear" w:color="auto" w:fill="auto"/>
            <w:vAlign w:val="center"/>
          </w:tcPr>
          <w:p w14:paraId="0624A6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1E78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监管智慧赋能（新建）-现场探测智慧赋能-监管工具集成服务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FEFB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集成市场监管相关的现场探测与识别工具，包括：过度包装智能识别工具集成，广告内容智能识别功能集成，集成“随申码”扫码功能，同时支持对食安码、特设码、市场主体身份码等市场监管领域的扫码功能。</w:t>
            </w:r>
          </w:p>
        </w:tc>
      </w:tr>
      <w:tr w14:paraId="43EE9D0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365F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903</w:t>
            </w:r>
          </w:p>
        </w:tc>
        <w:tc>
          <w:tcPr>
            <w:tcW w:w="491" w:type="pct"/>
            <w:tcBorders>
              <w:top w:val="nil"/>
              <w:left w:val="nil"/>
              <w:bottom w:val="single" w:color="000000" w:sz="4" w:space="0"/>
              <w:right w:val="single" w:color="000000" w:sz="4" w:space="0"/>
            </w:tcBorders>
            <w:shd w:val="clear" w:color="auto" w:fill="auto"/>
            <w:vAlign w:val="center"/>
          </w:tcPr>
          <w:p w14:paraId="5AF7AE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ECEB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监管智慧赋能（新建）-监管信息智能预填-标签辅助提取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086A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在监管任务制定环节，结合监管标签库设置，使用OCR技术从WORD文件、扫描图片等上传附件中，提取匹配任务标签关键字，辅助监管人员制定监管方案。</w:t>
            </w:r>
          </w:p>
        </w:tc>
      </w:tr>
      <w:tr w14:paraId="3014E99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0B75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904</w:t>
            </w:r>
          </w:p>
        </w:tc>
        <w:tc>
          <w:tcPr>
            <w:tcW w:w="491" w:type="pct"/>
            <w:tcBorders>
              <w:top w:val="nil"/>
              <w:left w:val="nil"/>
              <w:bottom w:val="single" w:color="000000" w:sz="4" w:space="0"/>
              <w:right w:val="single" w:color="000000" w:sz="4" w:space="0"/>
            </w:tcBorders>
            <w:shd w:val="clear" w:color="auto" w:fill="auto"/>
            <w:vAlign w:val="center"/>
          </w:tcPr>
          <w:p w14:paraId="36AA8C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E2AC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监管智慧赋能（新建）-监管信息智能预填-检查人员预填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1393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填算法配置：对于指定检查人员的检查任务，根据检查任务的种类进行预填算法的设置，包括：根据上次同类型任务的人员分配自动延续分配；根据多次同类型任务的人员分配进行倾向性延续分配；根据上次同类型任务并且相同检查对象的人员分配自动延续分配等。预填接口：在任务分配场景，提供预填接口供检查任务调用，根据预填算法自动反馈预填检查人员。</w:t>
            </w:r>
          </w:p>
        </w:tc>
      </w:tr>
      <w:tr w14:paraId="1908EEF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51A0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905</w:t>
            </w:r>
          </w:p>
        </w:tc>
        <w:tc>
          <w:tcPr>
            <w:tcW w:w="491" w:type="pct"/>
            <w:tcBorders>
              <w:top w:val="nil"/>
              <w:left w:val="nil"/>
              <w:bottom w:val="single" w:color="000000" w:sz="4" w:space="0"/>
              <w:right w:val="single" w:color="000000" w:sz="4" w:space="0"/>
            </w:tcBorders>
            <w:shd w:val="clear" w:color="auto" w:fill="auto"/>
            <w:vAlign w:val="center"/>
          </w:tcPr>
          <w:p w14:paraId="2F7A5D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5FD7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监管智慧赋能（新建）-监管信息智能预填-检查对象预填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E3B0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预填算法配置：对于指定检查对象的检查任务，根据检查任务的种类进行预填算法的设置，包括：根据上次同类型任务的检查对象分配自动延续分配；根据多次同类型任务的检查对象分配进行倾向性延续分配等。预填接口：在任务分配场景，提供预填接口供检查任务调用，根据预填算法自动反馈预填检查对象。</w:t>
            </w:r>
          </w:p>
        </w:tc>
      </w:tr>
      <w:tr w14:paraId="757EE4C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C532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906</w:t>
            </w:r>
          </w:p>
        </w:tc>
        <w:tc>
          <w:tcPr>
            <w:tcW w:w="491" w:type="pct"/>
            <w:tcBorders>
              <w:top w:val="nil"/>
              <w:left w:val="nil"/>
              <w:bottom w:val="single" w:color="000000" w:sz="4" w:space="0"/>
              <w:right w:val="single" w:color="000000" w:sz="4" w:space="0"/>
            </w:tcBorders>
            <w:shd w:val="clear" w:color="auto" w:fill="auto"/>
            <w:vAlign w:val="center"/>
          </w:tcPr>
          <w:p w14:paraId="562019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8373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监管智慧赋能（新建）-监管信息智能预填-结果智能预填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FD67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结果智能预填（上一次）：根据上一次检查结果，进行本次检查结果的自动预填。结果智能预填（符合项）：在检查内容方面，自动进行本次检查内容的符合项预填。</w:t>
            </w:r>
          </w:p>
        </w:tc>
      </w:tr>
      <w:tr w14:paraId="58620F0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01CC3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907</w:t>
            </w:r>
          </w:p>
        </w:tc>
        <w:tc>
          <w:tcPr>
            <w:tcW w:w="491" w:type="pct"/>
            <w:tcBorders>
              <w:top w:val="nil"/>
              <w:left w:val="nil"/>
              <w:bottom w:val="single" w:color="000000" w:sz="4" w:space="0"/>
              <w:right w:val="single" w:color="000000" w:sz="4" w:space="0"/>
            </w:tcBorders>
            <w:shd w:val="clear" w:color="auto" w:fill="auto"/>
            <w:vAlign w:val="center"/>
          </w:tcPr>
          <w:p w14:paraId="0A7D1C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B143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监管智慧赋能（新建）-监管信息智能预填-支持语音录入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8A86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以数据慧治平台为支撑，实现对语音识别录入的接口调用，实现在现场检查环节中的语音录入，自动转换为文字输入。</w:t>
            </w:r>
          </w:p>
        </w:tc>
      </w:tr>
      <w:tr w14:paraId="471446A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E6A3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908</w:t>
            </w:r>
          </w:p>
        </w:tc>
        <w:tc>
          <w:tcPr>
            <w:tcW w:w="491" w:type="pct"/>
            <w:tcBorders>
              <w:top w:val="nil"/>
              <w:left w:val="nil"/>
              <w:bottom w:val="single" w:color="000000" w:sz="4" w:space="0"/>
              <w:right w:val="single" w:color="000000" w:sz="4" w:space="0"/>
            </w:tcBorders>
            <w:shd w:val="clear" w:color="auto" w:fill="auto"/>
            <w:vAlign w:val="center"/>
          </w:tcPr>
          <w:p w14:paraId="5F27EF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20D7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监管智慧赋能（新建）-综合监管算法模型-监管效能评估模型-建立监管效能评估指标体系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016F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建立监管效能评估指标体系，针对监管部门（主要是对市场监管所）履职情况、风险预警处置、投诉举报处理、网络</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应急处置等一级指标，包括履职到位率、协同响应度、监管时效性等二级指标。</w:t>
            </w:r>
          </w:p>
        </w:tc>
      </w:tr>
      <w:tr w14:paraId="5A10894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E66A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909</w:t>
            </w:r>
          </w:p>
        </w:tc>
        <w:tc>
          <w:tcPr>
            <w:tcW w:w="491" w:type="pct"/>
            <w:tcBorders>
              <w:top w:val="nil"/>
              <w:left w:val="nil"/>
              <w:bottom w:val="single" w:color="000000" w:sz="4" w:space="0"/>
              <w:right w:val="single" w:color="000000" w:sz="4" w:space="0"/>
            </w:tcBorders>
            <w:shd w:val="clear" w:color="auto" w:fill="auto"/>
            <w:vAlign w:val="center"/>
          </w:tcPr>
          <w:p w14:paraId="758DA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220F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监管智慧赋能（新建）-综合监管算法模型-监管效能评估模型-汇聚监管效能评估相关数据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C96A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指标体系的评估对象主要为市、区、所等各市场监管部门。指标体系设计过程中考虑以定量数据为主，定性评价为补充，以一体化平台监管信息资源库的数据源为主，以其他渠道上报数据和自主采集验证数据为补充。相关指标要结合该部门监管对象数量、监管行业特点等情况进行归一化处理，体现指标设置公平性。</w:t>
            </w:r>
          </w:p>
        </w:tc>
      </w:tr>
      <w:tr w14:paraId="0B6E7CE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6E96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910</w:t>
            </w:r>
          </w:p>
        </w:tc>
        <w:tc>
          <w:tcPr>
            <w:tcW w:w="491" w:type="pct"/>
            <w:tcBorders>
              <w:top w:val="nil"/>
              <w:left w:val="nil"/>
              <w:bottom w:val="single" w:color="000000" w:sz="4" w:space="0"/>
              <w:right w:val="single" w:color="000000" w:sz="4" w:space="0"/>
            </w:tcBorders>
            <w:shd w:val="clear" w:color="auto" w:fill="auto"/>
            <w:vAlign w:val="center"/>
          </w:tcPr>
          <w:p w14:paraId="788E7B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2CE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监管智慧赋能（新建）-综合监管算法模型-监管效能评估模型-建设监管效能评估模型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E626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围绕监管效能评估指标体系中定义的各类指标，按照不同维度、不同主题对监管部门的监管效能进行定量评估，形成各监管部门的得分汇总，按照优、良、中、及格、差等五个等级进行效能等级评定，并通过可视化的方式进行展示。</w:t>
            </w:r>
          </w:p>
        </w:tc>
      </w:tr>
      <w:tr w14:paraId="1F86315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B96F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911</w:t>
            </w:r>
          </w:p>
        </w:tc>
        <w:tc>
          <w:tcPr>
            <w:tcW w:w="491" w:type="pct"/>
            <w:tcBorders>
              <w:top w:val="nil"/>
              <w:left w:val="nil"/>
              <w:bottom w:val="single" w:color="000000" w:sz="4" w:space="0"/>
              <w:right w:val="single" w:color="000000" w:sz="4" w:space="0"/>
            </w:tcBorders>
            <w:shd w:val="clear" w:color="auto" w:fill="auto"/>
            <w:vAlign w:val="center"/>
          </w:tcPr>
          <w:p w14:paraId="6D0597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8B38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食品安全风险动态排查-食品安全风险数据-</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风险信息整合及研判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0DD3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1、根据</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信息生成食品安全风险数据。支持掌握食品安全</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数据，包括</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关联的食品企业名称、</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关键词、</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日期、所属区域等字段。支持查看</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详细信息。市、区、监管所可查看本辖区的</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信息及未分配区域的</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2、各区可对风险数据进行研判处理，支持标记研判周期、环节等多维字段。</w:t>
            </w:r>
          </w:p>
        </w:tc>
      </w:tr>
      <w:tr w14:paraId="38068B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1E83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912</w:t>
            </w:r>
          </w:p>
        </w:tc>
        <w:tc>
          <w:tcPr>
            <w:tcW w:w="491" w:type="pct"/>
            <w:tcBorders>
              <w:top w:val="nil"/>
              <w:left w:val="nil"/>
              <w:bottom w:val="single" w:color="000000" w:sz="4" w:space="0"/>
              <w:right w:val="single" w:color="000000" w:sz="4" w:space="0"/>
            </w:tcBorders>
            <w:shd w:val="clear" w:color="auto" w:fill="auto"/>
            <w:vAlign w:val="center"/>
          </w:tcPr>
          <w:p w14:paraId="7FBA1D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1192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食品安全风险动态排查-食品安全风险数据-食品追溯风险信息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73A70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调用食品追溯食品安全风险数据汇聚生成食品追溯风险信息。支持通过企业名称、许可备案号、统一社会信用代码等字段匹配食品安全风险数据。风险数据包括以下几种类型：应追溯未追溯，未履行进货查验（原无证经营），特食超范围，违法添加剂，长江禁渔风险，抽检不合格产品追溯，填报不规范，大宗商品临期/过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2.支持追溯风险信息查询。支持根据企业名称、所属区域、日期、风险类型等字段进行搜索查询，以列表形式展示搜索结果，支持查看风险详细信息。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3.各区可对风险数据进行研判处理，支持标记研判周期、环节等多维字段。</w:t>
            </w:r>
          </w:p>
        </w:tc>
      </w:tr>
      <w:tr w14:paraId="36E7E1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3469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913</w:t>
            </w:r>
          </w:p>
        </w:tc>
        <w:tc>
          <w:tcPr>
            <w:tcW w:w="491" w:type="pct"/>
            <w:tcBorders>
              <w:top w:val="nil"/>
              <w:left w:val="nil"/>
              <w:bottom w:val="single" w:color="000000" w:sz="4" w:space="0"/>
              <w:right w:val="single" w:color="000000" w:sz="4" w:space="0"/>
            </w:tcBorders>
            <w:shd w:val="clear" w:color="auto" w:fill="auto"/>
            <w:vAlign w:val="center"/>
          </w:tcPr>
          <w:p w14:paraId="6BC448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12FE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食品安全风险动态排查-食品安全风险数据-包保督导风险信息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B99D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1.调用属地责任信息生成包保督导风险数据。通过许可备案号进行食品安全风险数据匹配，获取督导发现问题信息。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2.数据支持查询搜索，内容包括企业名称、所属区域、日期、风险问题清单项、风险问题描述等字段。可查看风险详细信息。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3.各区可对风险数据进行研判处理，支持标记研判周期、环节等多维字段。</w:t>
            </w:r>
          </w:p>
        </w:tc>
      </w:tr>
      <w:tr w14:paraId="58E5F2D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D4C3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914</w:t>
            </w:r>
          </w:p>
        </w:tc>
        <w:tc>
          <w:tcPr>
            <w:tcW w:w="491" w:type="pct"/>
            <w:tcBorders>
              <w:top w:val="nil"/>
              <w:left w:val="nil"/>
              <w:bottom w:val="single" w:color="000000" w:sz="4" w:space="0"/>
              <w:right w:val="single" w:color="000000" w:sz="4" w:space="0"/>
            </w:tcBorders>
            <w:shd w:val="clear" w:color="auto" w:fill="auto"/>
            <w:vAlign w:val="center"/>
          </w:tcPr>
          <w:p w14:paraId="15679D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1533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食品安全风险动态排查-食品安全风险数据-视频巡查风险信息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609F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1.调用属地责任信息生成包保督导风险数据。通过许可备案号进行食品安全风险数据匹配，获取督导发现问题信息。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2.数据支持查询搜索，内容包括企业名称、所属区域、日期、风险问题清单项、风险问题描述等字段。可查看风险详细信息。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3.各区可对风险数据进行研判处理，支持标记研判周期、环节等多维字段。</w:t>
            </w:r>
          </w:p>
        </w:tc>
      </w:tr>
      <w:tr w14:paraId="07B3CB7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A204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915</w:t>
            </w:r>
          </w:p>
        </w:tc>
        <w:tc>
          <w:tcPr>
            <w:tcW w:w="491" w:type="pct"/>
            <w:tcBorders>
              <w:top w:val="nil"/>
              <w:left w:val="nil"/>
              <w:bottom w:val="single" w:color="000000" w:sz="4" w:space="0"/>
              <w:right w:val="single" w:color="000000" w:sz="4" w:space="0"/>
            </w:tcBorders>
            <w:shd w:val="clear" w:color="auto" w:fill="auto"/>
            <w:vAlign w:val="center"/>
          </w:tcPr>
          <w:p w14:paraId="4A9B95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C16D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食品安全风险动态排查-食品安全风险数据-其他风险信息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82DF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1.根据数据清洗结果生成其他风险信息库，支持根据日期、所属企业等字段查询调用，支持查看详情。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2.其他风险信息支持通过表格导入的方式汇聚，可通过下载模板进行风险信息的导入，系统反馈导入结果并告知失败原因。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3.各区可对风险数据进行研判处理，支持标记研判周期、环节等多维字段。</w:t>
            </w:r>
          </w:p>
        </w:tc>
      </w:tr>
      <w:tr w14:paraId="21287D7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79080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916</w:t>
            </w:r>
          </w:p>
        </w:tc>
        <w:tc>
          <w:tcPr>
            <w:tcW w:w="491" w:type="pct"/>
            <w:tcBorders>
              <w:top w:val="nil"/>
              <w:left w:val="nil"/>
              <w:bottom w:val="single" w:color="000000" w:sz="4" w:space="0"/>
              <w:right w:val="single" w:color="000000" w:sz="4" w:space="0"/>
            </w:tcBorders>
            <w:shd w:val="clear" w:color="auto" w:fill="auto"/>
            <w:vAlign w:val="center"/>
          </w:tcPr>
          <w:p w14:paraId="1D8F14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238E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食品安全风险动态排查-风险研判数据-其他风险信息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156D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1、风险研判数据的归集和调用。支持通过研判周期、环节等多维字段调用风险研判数据。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2.以列表形式展示各周期的风险问题数据，支持通过上报周期查询对应的信息。点击周期可查看本周期风险研判信息。可查看风险研判详细信息。</w:t>
            </w:r>
          </w:p>
        </w:tc>
      </w:tr>
      <w:tr w14:paraId="74E0FD8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6204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917</w:t>
            </w:r>
          </w:p>
        </w:tc>
        <w:tc>
          <w:tcPr>
            <w:tcW w:w="491" w:type="pct"/>
            <w:tcBorders>
              <w:top w:val="nil"/>
              <w:left w:val="nil"/>
              <w:bottom w:val="single" w:color="000000" w:sz="4" w:space="0"/>
              <w:right w:val="single" w:color="000000" w:sz="4" w:space="0"/>
            </w:tcBorders>
            <w:shd w:val="clear" w:color="auto" w:fill="auto"/>
            <w:vAlign w:val="center"/>
          </w:tcPr>
          <w:p w14:paraId="305F7D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5C6F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食品安全风险动态排查-风险会商数据-其他风险信息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71F3F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1.风险会商数据的归集和调用。支持通过风险会商周期、企业名称、所属区域等字段查询调用风险会商数据。可查看会商详细信息。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2.会商数据为市级会商结果数据。</w:t>
            </w:r>
          </w:p>
        </w:tc>
      </w:tr>
      <w:tr w14:paraId="2B7F396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6C4A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918</w:t>
            </w:r>
          </w:p>
        </w:tc>
        <w:tc>
          <w:tcPr>
            <w:tcW w:w="491" w:type="pct"/>
            <w:tcBorders>
              <w:top w:val="nil"/>
              <w:left w:val="nil"/>
              <w:bottom w:val="single" w:color="000000" w:sz="4" w:space="0"/>
              <w:right w:val="single" w:color="000000" w:sz="4" w:space="0"/>
            </w:tcBorders>
            <w:shd w:val="clear" w:color="auto" w:fill="auto"/>
            <w:vAlign w:val="center"/>
          </w:tcPr>
          <w:p w14:paraId="337B1A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AFFB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食品安全风险动态排查-风险闭环处理-其他风险信息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E53AF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1.待闭环风险数据的归集，支持通过风险研判周期等多维字段进行未闭环风险数据的查询，支持查看未闭环风险详细信息。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2.未闭环风险问题处置，各级监管机构可对本机构的风险问题进行闭环情况登记，并修改风险问题处置状态等信息。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3、生成未闭环风险数据的预警提示信息。</w:t>
            </w:r>
          </w:p>
        </w:tc>
      </w:tr>
      <w:tr w14:paraId="4297068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C90D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919</w:t>
            </w:r>
          </w:p>
        </w:tc>
        <w:tc>
          <w:tcPr>
            <w:tcW w:w="491" w:type="pct"/>
            <w:tcBorders>
              <w:top w:val="nil"/>
              <w:left w:val="nil"/>
              <w:bottom w:val="single" w:color="000000" w:sz="4" w:space="0"/>
              <w:right w:val="single" w:color="000000" w:sz="4" w:space="0"/>
            </w:tcBorders>
            <w:shd w:val="clear" w:color="auto" w:fill="auto"/>
            <w:vAlign w:val="center"/>
          </w:tcPr>
          <w:p w14:paraId="1E0CBB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893E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食品安全风险动态排查-风险数据多维筛选分析-其他风险信息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2CE6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1、通过图表样式展示按时间维度的数据变化情况；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2、支持按辖区、业务类型、闭环情况等字段进行筛选展示</w:t>
            </w:r>
          </w:p>
        </w:tc>
      </w:tr>
      <w:tr w14:paraId="54F8258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E20A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920</w:t>
            </w:r>
          </w:p>
        </w:tc>
        <w:tc>
          <w:tcPr>
            <w:tcW w:w="491" w:type="pct"/>
            <w:tcBorders>
              <w:top w:val="nil"/>
              <w:left w:val="nil"/>
              <w:bottom w:val="single" w:color="000000" w:sz="4" w:space="0"/>
              <w:right w:val="single" w:color="000000" w:sz="4" w:space="0"/>
            </w:tcBorders>
            <w:shd w:val="clear" w:color="auto" w:fill="auto"/>
            <w:vAlign w:val="center"/>
          </w:tcPr>
          <w:p w14:paraId="18A9CB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FC61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食品安全风险动态排查-辖区上报实时动态分析-其他风险信息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29A05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支持各级监管机构查看下辖机构的数据上报情况，包括不同类型数据的上报进展，该事项的联系人员信息等，以掌握数据上报工作进展</w:t>
            </w:r>
          </w:p>
        </w:tc>
      </w:tr>
      <w:tr w14:paraId="00B5BCA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C3BD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921</w:t>
            </w:r>
          </w:p>
        </w:tc>
        <w:tc>
          <w:tcPr>
            <w:tcW w:w="491" w:type="pct"/>
            <w:tcBorders>
              <w:top w:val="nil"/>
              <w:left w:val="nil"/>
              <w:bottom w:val="single" w:color="000000" w:sz="4" w:space="0"/>
              <w:right w:val="single" w:color="000000" w:sz="4" w:space="0"/>
            </w:tcBorders>
            <w:shd w:val="clear" w:color="auto" w:fill="auto"/>
            <w:vAlign w:val="center"/>
          </w:tcPr>
          <w:p w14:paraId="463C3B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FB964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食品安全风险动态排查-风险问题按辖区分析-其他风险信息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4719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1、支持查看各辖区不同渠道风险统计数据。可通过风险研判周期查看该期不同渠道累计和当期新增的风险问题数据。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2、支持查看各辖区风险问题发现和闭环情况统计数据。可查看当前周期的累计和本期新增的风险问题数据，包括各区风险报送数、风险研判数、风险会商结果数、风险闭环数，风险闭环率等。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3、支持查看各辖区不同领域风险问题统计数据。可查看当前周期的累计和本期新增的不同领域的风险问题数据。</w:t>
            </w:r>
          </w:p>
        </w:tc>
      </w:tr>
      <w:tr w14:paraId="76B45FA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13B4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922</w:t>
            </w:r>
          </w:p>
        </w:tc>
        <w:tc>
          <w:tcPr>
            <w:tcW w:w="491" w:type="pct"/>
            <w:tcBorders>
              <w:top w:val="nil"/>
              <w:left w:val="nil"/>
              <w:bottom w:val="single" w:color="000000" w:sz="4" w:space="0"/>
              <w:right w:val="single" w:color="000000" w:sz="4" w:space="0"/>
            </w:tcBorders>
            <w:shd w:val="clear" w:color="auto" w:fill="auto"/>
            <w:vAlign w:val="center"/>
          </w:tcPr>
          <w:p w14:paraId="2A0EDD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5555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食品安全风险动态排查-风险问题按所属领域统计-其他风险信息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BAA7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统计不同领域的风险问题信息。包括不同渠道的对应领域风险问题数据。支持统计当期新增数据、累计数据的分析。</w:t>
            </w:r>
          </w:p>
        </w:tc>
      </w:tr>
      <w:tr w14:paraId="220546E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C73A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923</w:t>
            </w:r>
          </w:p>
        </w:tc>
        <w:tc>
          <w:tcPr>
            <w:tcW w:w="491" w:type="pct"/>
            <w:tcBorders>
              <w:top w:val="nil"/>
              <w:left w:val="nil"/>
              <w:bottom w:val="single" w:color="000000" w:sz="4" w:space="0"/>
              <w:right w:val="single" w:color="000000" w:sz="4" w:space="0"/>
            </w:tcBorders>
            <w:shd w:val="clear" w:color="auto" w:fill="auto"/>
            <w:vAlign w:val="center"/>
          </w:tcPr>
          <w:p w14:paraId="760CD1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4D12E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食品非现场监管-视频预警-人员违规行为AI预警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F877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对生产关键工序点位的视频监控，结合AI智能手段如机器学习算法实现行为识别，自动发现未戴帽子、未戴口罩、动物入侵、吸烟等违规行为，通过视频监测抓拍食品加工场所不合规行为，形成记录，生成AI智能风险，为风险进行实时预警推送、闭环处置管理，提高监管效能，规避感染风险。</w:t>
            </w:r>
          </w:p>
        </w:tc>
      </w:tr>
      <w:tr w14:paraId="02030A4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7E9A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924</w:t>
            </w:r>
          </w:p>
        </w:tc>
        <w:tc>
          <w:tcPr>
            <w:tcW w:w="491" w:type="pct"/>
            <w:tcBorders>
              <w:top w:val="nil"/>
              <w:left w:val="nil"/>
              <w:bottom w:val="single" w:color="000000" w:sz="4" w:space="0"/>
              <w:right w:val="single" w:color="000000" w:sz="4" w:space="0"/>
            </w:tcBorders>
            <w:shd w:val="clear" w:color="auto" w:fill="auto"/>
            <w:vAlign w:val="center"/>
          </w:tcPr>
          <w:p w14:paraId="770A9C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2057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食品非现场监管-实时视频监控-阳光工厂</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D5D2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生产企业视频监控接入可视化查看和管理</w:t>
            </w:r>
          </w:p>
        </w:tc>
      </w:tr>
      <w:tr w14:paraId="05D6097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AD5F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925</w:t>
            </w:r>
          </w:p>
        </w:tc>
        <w:tc>
          <w:tcPr>
            <w:tcW w:w="491" w:type="pct"/>
            <w:tcBorders>
              <w:top w:val="nil"/>
              <w:left w:val="nil"/>
              <w:bottom w:val="single" w:color="000000" w:sz="4" w:space="0"/>
              <w:right w:val="single" w:color="000000" w:sz="4" w:space="0"/>
            </w:tcBorders>
            <w:shd w:val="clear" w:color="auto" w:fill="auto"/>
            <w:vAlign w:val="center"/>
          </w:tcPr>
          <w:p w14:paraId="1B27C7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2772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食品非现场监管-实时视频监控-特殊食品生产企业视频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7209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特殊食品生产企业视频监控接入和管理</w:t>
            </w:r>
          </w:p>
        </w:tc>
      </w:tr>
      <w:tr w14:paraId="4BBDCEE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34F9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926</w:t>
            </w:r>
          </w:p>
        </w:tc>
        <w:tc>
          <w:tcPr>
            <w:tcW w:w="491" w:type="pct"/>
            <w:tcBorders>
              <w:top w:val="nil"/>
              <w:left w:val="nil"/>
              <w:bottom w:val="single" w:color="000000" w:sz="4" w:space="0"/>
              <w:right w:val="single" w:color="000000" w:sz="4" w:space="0"/>
            </w:tcBorders>
            <w:shd w:val="clear" w:color="auto" w:fill="auto"/>
            <w:vAlign w:val="center"/>
          </w:tcPr>
          <w:p w14:paraId="2E57B8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4FB0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食品非现场监管-实时视频监控-互联网+明厨亮灶-数据共享API</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3699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提供互联网+明厨亮灶企业清单共享，提供互联网+明厨亮灶视频共享；提供互联网+明厨亮灶AI预警信息共享。</w:t>
            </w:r>
          </w:p>
        </w:tc>
      </w:tr>
      <w:tr w14:paraId="79403AF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B67D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927</w:t>
            </w:r>
          </w:p>
        </w:tc>
        <w:tc>
          <w:tcPr>
            <w:tcW w:w="491" w:type="pct"/>
            <w:tcBorders>
              <w:top w:val="nil"/>
              <w:left w:val="nil"/>
              <w:bottom w:val="single" w:color="000000" w:sz="4" w:space="0"/>
              <w:right w:val="single" w:color="000000" w:sz="4" w:space="0"/>
            </w:tcBorders>
            <w:shd w:val="clear" w:color="auto" w:fill="auto"/>
            <w:vAlign w:val="center"/>
          </w:tcPr>
          <w:p w14:paraId="32F4E4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FA82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价格监测分析-涉企收费类投诉举报分析-对接现有投诉举报平台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640C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在共治平台中嵌入12345投诉举报平台的查询链接，方便用户直接访问和查询相关信息。</w:t>
            </w:r>
          </w:p>
        </w:tc>
      </w:tr>
      <w:tr w14:paraId="1BE3199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2376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928</w:t>
            </w:r>
          </w:p>
        </w:tc>
        <w:tc>
          <w:tcPr>
            <w:tcW w:w="491" w:type="pct"/>
            <w:tcBorders>
              <w:top w:val="nil"/>
              <w:left w:val="nil"/>
              <w:bottom w:val="single" w:color="000000" w:sz="4" w:space="0"/>
              <w:right w:val="single" w:color="000000" w:sz="4" w:space="0"/>
            </w:tcBorders>
            <w:shd w:val="clear" w:color="auto" w:fill="auto"/>
            <w:vAlign w:val="center"/>
          </w:tcPr>
          <w:p w14:paraId="5B8C3C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00F9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价格监测分析-涉企收费类投诉举报分析-涉企收费统计分析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61AA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利用图表展示涉企收费的统计数据，如投诉数量、类型分布等。</w:t>
            </w:r>
          </w:p>
        </w:tc>
      </w:tr>
      <w:tr w14:paraId="02849B6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59DE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929</w:t>
            </w:r>
          </w:p>
        </w:tc>
        <w:tc>
          <w:tcPr>
            <w:tcW w:w="491" w:type="pct"/>
            <w:tcBorders>
              <w:top w:val="nil"/>
              <w:left w:val="nil"/>
              <w:bottom w:val="single" w:color="000000" w:sz="4" w:space="0"/>
              <w:right w:val="single" w:color="000000" w:sz="4" w:space="0"/>
            </w:tcBorders>
            <w:shd w:val="clear" w:color="auto" w:fill="auto"/>
            <w:vAlign w:val="center"/>
          </w:tcPr>
          <w:p w14:paraId="7CAEE9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4C47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广告监测-广告监测线索对接-违法广告线索自动分派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542E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1、违法广告线索自动分派：充分利用人工智能技术，实现广告线索自动分派、线索交派及办理的相关流程。例如：根据广告经营单位所在区，自动分派至该区级市场监督管理部门进行处理。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2、违法广告线索人工纠偏：对于自动分派的广告线索能够进行人工纠偏，重新分派至正确监管部门进行处理。</w:t>
            </w:r>
          </w:p>
        </w:tc>
      </w:tr>
      <w:tr w14:paraId="60C3574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49A5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930</w:t>
            </w:r>
          </w:p>
        </w:tc>
        <w:tc>
          <w:tcPr>
            <w:tcW w:w="491" w:type="pct"/>
            <w:tcBorders>
              <w:top w:val="nil"/>
              <w:left w:val="nil"/>
              <w:bottom w:val="single" w:color="000000" w:sz="4" w:space="0"/>
              <w:right w:val="single" w:color="000000" w:sz="4" w:space="0"/>
            </w:tcBorders>
            <w:shd w:val="clear" w:color="auto" w:fill="auto"/>
            <w:vAlign w:val="center"/>
          </w:tcPr>
          <w:p w14:paraId="084D51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3A40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责任监督管理-食品企业主体责任管理-主体责任底数清单管理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CD4B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对企业主体责任底数清单进行维护，可按餐饮、特食、生产、销售不同企业类型设置监管内、监管外，设置是否食品安全总监企业。</w:t>
            </w:r>
          </w:p>
        </w:tc>
      </w:tr>
      <w:tr w14:paraId="46198D1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F736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931</w:t>
            </w:r>
          </w:p>
        </w:tc>
        <w:tc>
          <w:tcPr>
            <w:tcW w:w="491" w:type="pct"/>
            <w:tcBorders>
              <w:top w:val="nil"/>
              <w:left w:val="nil"/>
              <w:bottom w:val="single" w:color="000000" w:sz="4" w:space="0"/>
              <w:right w:val="single" w:color="000000" w:sz="4" w:space="0"/>
            </w:tcBorders>
            <w:shd w:val="clear" w:color="auto" w:fill="auto"/>
            <w:vAlign w:val="center"/>
          </w:tcPr>
          <w:p w14:paraId="66E157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EAA8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责任监督管理-食品企业主体责任管理-重点公共餐饮两员设置统计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56E1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计重点公共餐饮两员设置情况，以列表形式展示，字段包括单位名称、食品经营许可证号、经营地址、发证机关、日常监管机构、主体业态明细、食品安全总监姓名/联系方式、食品安全员姓名/联系方式、备注。</w:t>
            </w:r>
          </w:p>
        </w:tc>
      </w:tr>
      <w:tr w14:paraId="3BF92E2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4765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932</w:t>
            </w:r>
          </w:p>
        </w:tc>
        <w:tc>
          <w:tcPr>
            <w:tcW w:w="491" w:type="pct"/>
            <w:tcBorders>
              <w:top w:val="nil"/>
              <w:left w:val="nil"/>
              <w:bottom w:val="single" w:color="000000" w:sz="4" w:space="0"/>
              <w:right w:val="single" w:color="000000" w:sz="4" w:space="0"/>
            </w:tcBorders>
            <w:shd w:val="clear" w:color="auto" w:fill="auto"/>
            <w:vAlign w:val="center"/>
          </w:tcPr>
          <w:p w14:paraId="171D3C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B989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责任监督管理-特种设备企业主体责任管理-事故管理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D275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突发事件：对特种设备事故的突发事件快速上报与核实的相关管理。包括事故上报、事故查询、事故发生事件录入、消息报送、现场取证。2、事故调查：对上报的事故信息根据事故编号、事故单位、所属地区进行查询，查询事故相关的基本信息、事故调查处理流程，并能对查询的事故进行调查终止，最终对该起事故形成调查闭环。</w:t>
            </w:r>
          </w:p>
        </w:tc>
      </w:tr>
      <w:tr w14:paraId="6D3453B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6BC8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933</w:t>
            </w:r>
          </w:p>
        </w:tc>
        <w:tc>
          <w:tcPr>
            <w:tcW w:w="491" w:type="pct"/>
            <w:tcBorders>
              <w:top w:val="nil"/>
              <w:left w:val="nil"/>
              <w:bottom w:val="single" w:color="000000" w:sz="4" w:space="0"/>
              <w:right w:val="single" w:color="000000" w:sz="4" w:space="0"/>
            </w:tcBorders>
            <w:shd w:val="clear" w:color="auto" w:fill="auto"/>
            <w:vAlign w:val="center"/>
          </w:tcPr>
          <w:p w14:paraId="7EFFB9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764C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责任监督管理-特种设备企业主体责任管理-事故管理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70C4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1.完成事故应急处置后，技术人员将事故详细信息：包括发生事故特种设备类型、数量、发生地点、所属行业、发生原因、分析结果等在移动端上进行录入反馈；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2.系统自动生成事故案例提交审核后进行归档，录入特种设备事故案例数据库，提供调阅。</w:t>
            </w:r>
          </w:p>
        </w:tc>
      </w:tr>
      <w:tr w14:paraId="3C69434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7C7D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934</w:t>
            </w:r>
          </w:p>
        </w:tc>
        <w:tc>
          <w:tcPr>
            <w:tcW w:w="491" w:type="pct"/>
            <w:tcBorders>
              <w:top w:val="nil"/>
              <w:left w:val="nil"/>
              <w:bottom w:val="single" w:color="000000" w:sz="4" w:space="0"/>
              <w:right w:val="single" w:color="000000" w:sz="4" w:space="0"/>
            </w:tcBorders>
            <w:shd w:val="clear" w:color="auto" w:fill="auto"/>
            <w:vAlign w:val="center"/>
          </w:tcPr>
          <w:p w14:paraId="41ED58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62F8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责任监督管理-特种设备企业主体责任管理-事故管理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DC24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承压类设备、机电类设备和综合类设备三个分类建立专家子库，导入技术专家的分类名单信息、专业类别领域、主要研究方向、姓名、联系方式、所属单位、行政职务、专业技术职称和参与事故处置的相关经历等信息，可依据账号权限对技术专家信息查询。</w:t>
            </w:r>
          </w:p>
        </w:tc>
      </w:tr>
      <w:tr w14:paraId="4B9919E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4733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935</w:t>
            </w:r>
          </w:p>
        </w:tc>
        <w:tc>
          <w:tcPr>
            <w:tcW w:w="491" w:type="pct"/>
            <w:tcBorders>
              <w:top w:val="nil"/>
              <w:left w:val="nil"/>
              <w:bottom w:val="single" w:color="000000" w:sz="4" w:space="0"/>
              <w:right w:val="single" w:color="000000" w:sz="4" w:space="0"/>
            </w:tcBorders>
            <w:shd w:val="clear" w:color="auto" w:fill="auto"/>
            <w:vAlign w:val="center"/>
          </w:tcPr>
          <w:p w14:paraId="1F7DF9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DC48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责任监督管理-特种设备企业主体责任管理-事故管理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CEB2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1.调用设备：应急处置装备包括人身安全防护设备、现场勘验仪器、应急物资等。该内容详细列出应急处置装备数量信息，并对装备进行信息管理；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2.对应预案：根据发生事故的特种设备大类进行分类，制订各类特种设备突发事故处置预案，并不断更新完善。根据以上方案建立事故救援对应预案数据库，以备方案调用。</w:t>
            </w:r>
          </w:p>
        </w:tc>
      </w:tr>
      <w:tr w14:paraId="043CBEC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B8315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936</w:t>
            </w:r>
          </w:p>
        </w:tc>
        <w:tc>
          <w:tcPr>
            <w:tcW w:w="491" w:type="pct"/>
            <w:tcBorders>
              <w:top w:val="nil"/>
              <w:left w:val="nil"/>
              <w:bottom w:val="single" w:color="000000" w:sz="4" w:space="0"/>
              <w:right w:val="single" w:color="000000" w:sz="4" w:space="0"/>
            </w:tcBorders>
            <w:shd w:val="clear" w:color="auto" w:fill="auto"/>
            <w:vAlign w:val="center"/>
          </w:tcPr>
          <w:p w14:paraId="7ECD2E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84B7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责任监督管理-特种设备企业主体责任管理-事故管理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8C37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1.按特种设备事故情况类型进行数据统计，可查询和导出；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2.根据模板统计导出季度和年度报表。</w:t>
            </w:r>
          </w:p>
        </w:tc>
      </w:tr>
      <w:tr w14:paraId="4698AC2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705B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937</w:t>
            </w:r>
          </w:p>
        </w:tc>
        <w:tc>
          <w:tcPr>
            <w:tcW w:w="491" w:type="pct"/>
            <w:tcBorders>
              <w:top w:val="nil"/>
              <w:left w:val="nil"/>
              <w:bottom w:val="single" w:color="000000" w:sz="4" w:space="0"/>
              <w:right w:val="single" w:color="000000" w:sz="4" w:space="0"/>
            </w:tcBorders>
            <w:shd w:val="clear" w:color="auto" w:fill="auto"/>
            <w:vAlign w:val="center"/>
          </w:tcPr>
          <w:p w14:paraId="5660B0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60D9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责任监督管理-特种设备企业主体责任管理-特种设备作业过程监管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766F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1.接收检验检测机构现场检验检测作业过程信息，包括：检验检测机构现场扫码签到后上传的过程照片或视频，现场检验检测人员信息以及检验检测过程描述等信息；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2.对检验检测机构提交的特殊场地如防爆场所无需现场过程扫码签到的申请监管。</w:t>
            </w:r>
          </w:p>
        </w:tc>
      </w:tr>
      <w:tr w14:paraId="47A4D6D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11ED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938</w:t>
            </w:r>
          </w:p>
        </w:tc>
        <w:tc>
          <w:tcPr>
            <w:tcW w:w="491" w:type="pct"/>
            <w:tcBorders>
              <w:top w:val="nil"/>
              <w:left w:val="nil"/>
              <w:bottom w:val="single" w:color="000000" w:sz="4" w:space="0"/>
              <w:right w:val="single" w:color="000000" w:sz="4" w:space="0"/>
            </w:tcBorders>
            <w:shd w:val="clear" w:color="auto" w:fill="auto"/>
            <w:vAlign w:val="center"/>
          </w:tcPr>
          <w:p w14:paraId="4CD4E9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16D0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责任监督管理-特种设备企业主体责任管理-特种设备作业过程监管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57C8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1.接收维保单位现场维保作业的过程信息，包括：现场维保作业人员信息、各类设备必传事项照片或者视频，现场维保情况描述等信息，为监管人员提供过程作业监管；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2.为避免虚假维保，对于特殊场所不能带手机现场扫码签到人脸识别的场地，接收维保上传的资料申报，应用于监管随时抽查核实。</w:t>
            </w:r>
          </w:p>
        </w:tc>
      </w:tr>
      <w:tr w14:paraId="43D2574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D34C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939</w:t>
            </w:r>
          </w:p>
        </w:tc>
        <w:tc>
          <w:tcPr>
            <w:tcW w:w="491" w:type="pct"/>
            <w:tcBorders>
              <w:top w:val="nil"/>
              <w:left w:val="nil"/>
              <w:bottom w:val="single" w:color="000000" w:sz="4" w:space="0"/>
              <w:right w:val="single" w:color="000000" w:sz="4" w:space="0"/>
            </w:tcBorders>
            <w:shd w:val="clear" w:color="auto" w:fill="auto"/>
            <w:vAlign w:val="center"/>
          </w:tcPr>
          <w:p w14:paraId="5A2F71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1DC5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责任监督管理-工业产品企业主体责任管理-企业主体责任落实统计分析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3FAC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分析汇总全市主体责任落实检查情况，按照企业责任监管单位进行汇总，支持层级下钻，市级可以下钻到区局，区局可下钻到监管所，统计维度：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Ø总体情况：监管对象库(家)、责任主体库(家)、责任主体库占比、强制性认证产品(家)、强制性国标产品(家)、工业产品生产许可证产品(家)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Ø检查情况汇总：已检查、待检查、检查合格、检查不合格、关停企业、拒检企业、涉嫌违法企业、检查不合格、关停、拒检、涉嫌违法企业清单。</w:t>
            </w:r>
          </w:p>
        </w:tc>
      </w:tr>
      <w:tr w14:paraId="3F630ED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6B14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940</w:t>
            </w:r>
          </w:p>
        </w:tc>
        <w:tc>
          <w:tcPr>
            <w:tcW w:w="491" w:type="pct"/>
            <w:tcBorders>
              <w:top w:val="nil"/>
              <w:left w:val="nil"/>
              <w:bottom w:val="single" w:color="000000" w:sz="4" w:space="0"/>
              <w:right w:val="single" w:color="000000" w:sz="4" w:space="0"/>
            </w:tcBorders>
            <w:shd w:val="clear" w:color="auto" w:fill="auto"/>
            <w:vAlign w:val="center"/>
          </w:tcPr>
          <w:p w14:paraId="61F8F7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4AEA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责任监督管理-工业产品企业主体责任管理-企业主体责任落实统计分析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0E4B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分析汇总全市主体责任落实情况，按照企业责任监管单位进行汇总，支持层级下钻，市级可以下钻到区局，区局可下钻到监管所，统计维度：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Ø总体情况：监管对象库(家)、责任主体库(家)、责任主体库占比、强制性认证产品(家)、强制性国标产品(家)、工业产品生产许可证产品(家)。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Ø生产企业(家)：总计、A级、B级、C级、D级。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Ø批发企业(家)：总计、A级、B级、C级、D级。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Ø零售企业(家)：总计、A级、B级、C级、D级。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Ø三员配置情况：企业负责人、质量安全总监、质量安全员</w:t>
            </w:r>
          </w:p>
        </w:tc>
      </w:tr>
      <w:tr w14:paraId="55DFB6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3C25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941</w:t>
            </w:r>
          </w:p>
        </w:tc>
        <w:tc>
          <w:tcPr>
            <w:tcW w:w="491" w:type="pct"/>
            <w:tcBorders>
              <w:top w:val="nil"/>
              <w:left w:val="nil"/>
              <w:bottom w:val="single" w:color="000000" w:sz="4" w:space="0"/>
              <w:right w:val="single" w:color="000000" w:sz="4" w:space="0"/>
            </w:tcBorders>
            <w:shd w:val="clear" w:color="auto" w:fill="auto"/>
            <w:vAlign w:val="center"/>
          </w:tcPr>
          <w:p w14:paraId="5C782C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471B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责任监督管理-工业产品企业主体责任管理-落实主体责任监管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F4D0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推进工业产品生产和销售单位落实质量安全主体责任实施方案》对生产单位和销售单位落实质量安全主体责任情况进行检查。利用《监管任务清单（生产单位类）》《监管任务清单（销售单位类）》进行检查。对纳入主体责任库企业进行监管，查看企业是否按照要求完成落实企业主体责任要求并在系统中进行填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系统实现可基于法人库存量法人主体数据，按照主体编号自动获取主体信息。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本平台主体信息登记完成后，应建立与法人库等基础库之间的数据同步服务，在法人库等基础库之主体信息更新时，也可以同步至本平台，保持数据的一致性。</w:t>
            </w:r>
          </w:p>
        </w:tc>
      </w:tr>
      <w:tr w14:paraId="61D089A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695C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942</w:t>
            </w:r>
          </w:p>
        </w:tc>
        <w:tc>
          <w:tcPr>
            <w:tcW w:w="491" w:type="pct"/>
            <w:tcBorders>
              <w:top w:val="nil"/>
              <w:left w:val="nil"/>
              <w:bottom w:val="single" w:color="000000" w:sz="4" w:space="0"/>
              <w:right w:val="single" w:color="000000" w:sz="4" w:space="0"/>
            </w:tcBorders>
            <w:shd w:val="clear" w:color="auto" w:fill="auto"/>
            <w:vAlign w:val="center"/>
          </w:tcPr>
          <w:p w14:paraId="1F1D4B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D802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责任监督管理-工业产品企业主体责任管理-主体责任监管数据推送服务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E81D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按照总局提供的数据接口，将本平台的主体责任监管数据对接至总局平台。</w:t>
            </w:r>
          </w:p>
        </w:tc>
      </w:tr>
      <w:tr w14:paraId="23269EA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3D97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943</w:t>
            </w:r>
          </w:p>
        </w:tc>
        <w:tc>
          <w:tcPr>
            <w:tcW w:w="491" w:type="pct"/>
            <w:tcBorders>
              <w:top w:val="nil"/>
              <w:left w:val="nil"/>
              <w:bottom w:val="single" w:color="000000" w:sz="4" w:space="0"/>
              <w:right w:val="single" w:color="000000" w:sz="4" w:space="0"/>
            </w:tcBorders>
            <w:shd w:val="clear" w:color="auto" w:fill="auto"/>
            <w:vAlign w:val="center"/>
          </w:tcPr>
          <w:p w14:paraId="0DF815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5B31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责任监督管理-工业产品企业主体责任管理-设置质量管理人员</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9402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企业纳入主体责任库后，监管人员可对企业负责人、企业质量安全总监、企业质量安全员信息进行维护。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Ø维护主体责任库企业负责人，录入信息项：姓名、电话，如果企业负责人发生变更，需要在系统中进行维护。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Ø维护主体责任库企业质量安全总监，录入信息项：姓名、电话，如果企业质量安全总监发生变更，需要在系统中进行维护。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Ø维护主体责任库企业质量安全员，录入信息项：姓名、电话，如果企业质量安全员发生变更，需要在系统中进行维护。</w:t>
            </w:r>
          </w:p>
        </w:tc>
      </w:tr>
      <w:tr w14:paraId="49BFA9D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A220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944</w:t>
            </w:r>
          </w:p>
        </w:tc>
        <w:tc>
          <w:tcPr>
            <w:tcW w:w="491" w:type="pct"/>
            <w:tcBorders>
              <w:top w:val="nil"/>
              <w:left w:val="nil"/>
              <w:bottom w:val="single" w:color="000000" w:sz="4" w:space="0"/>
              <w:right w:val="single" w:color="000000" w:sz="4" w:space="0"/>
            </w:tcBorders>
            <w:shd w:val="clear" w:color="auto" w:fill="auto"/>
            <w:vAlign w:val="center"/>
          </w:tcPr>
          <w:p w14:paraId="35D471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256D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责任监督管理-工业产品企业主体责任管理-企业规模核查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DE43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提供企业规模核查核查功能，核查信息项：经营地址、从业人员、营业收入、企业领域、企业产品等信息，支持对核查信息项进行更新维护。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Ø领域类型选择：获取企业类型并显示。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Ø从业人员选择：根据企业领域类型，展示不同从业人员区间选择。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Ø营业收入选择：根据企业领域类型，展示不同营业收入区间选择。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Ø自动判断企业类型：根据企业领域类型、从业人员、营业收入自动判断企业级别：A、B、C、D。</w:t>
            </w:r>
          </w:p>
        </w:tc>
      </w:tr>
      <w:tr w14:paraId="0921F9A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E335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945</w:t>
            </w:r>
          </w:p>
        </w:tc>
        <w:tc>
          <w:tcPr>
            <w:tcW w:w="491" w:type="pct"/>
            <w:tcBorders>
              <w:top w:val="nil"/>
              <w:left w:val="nil"/>
              <w:bottom w:val="single" w:color="000000" w:sz="4" w:space="0"/>
              <w:right w:val="single" w:color="000000" w:sz="4" w:space="0"/>
            </w:tcBorders>
            <w:shd w:val="clear" w:color="auto" w:fill="auto"/>
            <w:vAlign w:val="center"/>
          </w:tcPr>
          <w:p w14:paraId="1F7E05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92D8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责任监督管理-食品包保督导属地责任管理-属地责任管理（监管端）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92DC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1.包保主体筛选查询，支持按照业务类型、级别、辖区等进行查询，以列表形式展示主体信息；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2.支持查看包保主体详细信息，包括主体基本信息、包保干部信息、督导记录、产品抽检情况、追溯发现风险线索、抽查考核信息提示、监督检查异常信息等内容。</w:t>
            </w:r>
          </w:p>
        </w:tc>
      </w:tr>
      <w:tr w14:paraId="7FB99C0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7396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946</w:t>
            </w:r>
          </w:p>
        </w:tc>
        <w:tc>
          <w:tcPr>
            <w:tcW w:w="491" w:type="pct"/>
            <w:tcBorders>
              <w:top w:val="nil"/>
              <w:left w:val="nil"/>
              <w:bottom w:val="single" w:color="000000" w:sz="4" w:space="0"/>
              <w:right w:val="single" w:color="000000" w:sz="4" w:space="0"/>
            </w:tcBorders>
            <w:shd w:val="clear" w:color="auto" w:fill="auto"/>
            <w:vAlign w:val="center"/>
          </w:tcPr>
          <w:p w14:paraId="2851FE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9A37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责任监督管理-食品包保督导属地责任管理-属地责任管理（监管端）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5785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1.支持食药安办端转交过来的待核实状态的主体信息进行核实，设置疑似信息为长期停产停业、失联、正常等状态或忽略预警信息。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2.疑似信息设置为正常后，主体状态设置为在产在营。疑似信息设置为长期停产停业、失联等非包保状态，则移除出干部的包保范围。</w:t>
            </w:r>
          </w:p>
        </w:tc>
      </w:tr>
      <w:tr w14:paraId="151E745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A49F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947</w:t>
            </w:r>
          </w:p>
        </w:tc>
        <w:tc>
          <w:tcPr>
            <w:tcW w:w="491" w:type="pct"/>
            <w:tcBorders>
              <w:top w:val="nil"/>
              <w:left w:val="nil"/>
              <w:bottom w:val="single" w:color="000000" w:sz="4" w:space="0"/>
              <w:right w:val="single" w:color="000000" w:sz="4" w:space="0"/>
            </w:tcBorders>
            <w:shd w:val="clear" w:color="auto" w:fill="auto"/>
            <w:vAlign w:val="center"/>
          </w:tcPr>
          <w:p w14:paraId="5C88BA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737C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责任监督管理-食品包保督导属地责任管理-属地责任管理（监管端）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8D69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1.监管机构需要处理的督导记录信息，支持对待办问题的查询和筛选，以列表形式展示督导问题，可点击查看督导问题详细信息。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2.可进行督导问题信息进行监管处置情况的信息登记。</w:t>
            </w:r>
          </w:p>
        </w:tc>
      </w:tr>
      <w:tr w14:paraId="1506F00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C6211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948</w:t>
            </w:r>
          </w:p>
        </w:tc>
        <w:tc>
          <w:tcPr>
            <w:tcW w:w="491" w:type="pct"/>
            <w:tcBorders>
              <w:top w:val="nil"/>
              <w:left w:val="nil"/>
              <w:bottom w:val="single" w:color="000000" w:sz="4" w:space="0"/>
              <w:right w:val="single" w:color="000000" w:sz="4" w:space="0"/>
            </w:tcBorders>
            <w:shd w:val="clear" w:color="auto" w:fill="auto"/>
            <w:vAlign w:val="center"/>
          </w:tcPr>
          <w:p w14:paraId="693461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8E81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责任监督管理-食品包保督导属地责任管理-属地责任管理（监管端）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068A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1.督导记录查询：包保任务发现问题查询筛选，支持通过干部层级、所属辖区等字段进行信息筛选，以列表形式展示督导记录信息，点击可查看督导记录详细信息。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2.任务清单项查询：对督导问题的任务清单项进行查询。支持通过任务清单项、所属辖区进行筛选，以列表形式展示发现问题等任务清单项信息，点击可查看任务清单项详细信息。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3.展示督导记录及任务清单项的汇总数据，督导记录统计未发现问题、未闭环、已闭环数据；任务清单项统计未闭环、已闭环数据。</w:t>
            </w:r>
          </w:p>
        </w:tc>
      </w:tr>
      <w:tr w14:paraId="65B3E43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3205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949</w:t>
            </w:r>
          </w:p>
        </w:tc>
        <w:tc>
          <w:tcPr>
            <w:tcW w:w="491" w:type="pct"/>
            <w:tcBorders>
              <w:top w:val="nil"/>
              <w:left w:val="nil"/>
              <w:bottom w:val="single" w:color="000000" w:sz="4" w:space="0"/>
              <w:right w:val="single" w:color="000000" w:sz="4" w:space="0"/>
            </w:tcBorders>
            <w:shd w:val="clear" w:color="auto" w:fill="auto"/>
            <w:vAlign w:val="center"/>
          </w:tcPr>
          <w:p w14:paraId="080C76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1D6D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0E89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可新增包保干部信息，包括姓名、性别、出生年月、所属辖区、包保干部编号、包保干部层级、单位名称、干部职务级别、干部职务名称、手机号码、邮箱。包保干部编号根据所属区域行政区划代码和0和5位数字组成，干部编号需做重复校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2.可修改干部的相关信息，干部的级别修改需校验是否有包保关系，如有包保关系系统自动提示需解绑包保关系方可修改。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3.干部在岗状态变更,可编辑干部的在岗和离岗状态，干部设置离岗时系统自动校验是否有包保关系，如有包保关系则干部离岗后系统自动解除包保关系。</w:t>
            </w:r>
          </w:p>
        </w:tc>
      </w:tr>
      <w:tr w14:paraId="5AF1438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460F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950</w:t>
            </w:r>
          </w:p>
        </w:tc>
        <w:tc>
          <w:tcPr>
            <w:tcW w:w="491" w:type="pct"/>
            <w:tcBorders>
              <w:top w:val="nil"/>
              <w:left w:val="nil"/>
              <w:bottom w:val="single" w:color="000000" w:sz="4" w:space="0"/>
              <w:right w:val="single" w:color="000000" w:sz="4" w:space="0"/>
            </w:tcBorders>
            <w:shd w:val="clear" w:color="auto" w:fill="auto"/>
            <w:vAlign w:val="center"/>
          </w:tcPr>
          <w:p w14:paraId="37C8E5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16D4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E032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1.包保干部信息查询和展示，支持通过干部层级、所属区域、在岗状态等进行筛选，可展示干部相关列表信息。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2.支持根据干部的督导情况进行各季度干部的督导工作完成情况进行筛选查看，干部包保的所有主体都有督导记录，干部为完成督导。</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3.展示干部的督导档案和个人信息情况，包括干部督导责任清单、任务清单信息，干部基本信息，干部包保主体信息等。</w:t>
            </w:r>
          </w:p>
        </w:tc>
      </w:tr>
      <w:tr w14:paraId="4198B57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B997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951</w:t>
            </w:r>
          </w:p>
        </w:tc>
        <w:tc>
          <w:tcPr>
            <w:tcW w:w="491" w:type="pct"/>
            <w:tcBorders>
              <w:top w:val="nil"/>
              <w:left w:val="nil"/>
              <w:bottom w:val="single" w:color="000000" w:sz="4" w:space="0"/>
              <w:right w:val="single" w:color="000000" w:sz="4" w:space="0"/>
            </w:tcBorders>
            <w:shd w:val="clear" w:color="auto" w:fill="auto"/>
            <w:vAlign w:val="center"/>
          </w:tcPr>
          <w:p w14:paraId="0EFC69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620F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0A42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1、信息上达：干部督导发现包保主体的经营状态异常时，可通过填报督导记录进行信息的传达，并可根据登记的主体状态填写督导记录，无需填写多余信息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2、信息中转：食药安办可根据督导记录数据进行信息分流或直接处理；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3、信息处理：监管机构核实信息情况，按实际情况进行包保主体信息的登记管理，系统根据业务情况逐层校验，全面更新数据</w:t>
            </w:r>
          </w:p>
        </w:tc>
      </w:tr>
      <w:tr w14:paraId="43B5991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75CA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952</w:t>
            </w:r>
          </w:p>
        </w:tc>
        <w:tc>
          <w:tcPr>
            <w:tcW w:w="491" w:type="pct"/>
            <w:tcBorders>
              <w:top w:val="nil"/>
              <w:left w:val="nil"/>
              <w:bottom w:val="single" w:color="000000" w:sz="4" w:space="0"/>
              <w:right w:val="single" w:color="000000" w:sz="4" w:space="0"/>
            </w:tcBorders>
            <w:shd w:val="clear" w:color="auto" w:fill="auto"/>
            <w:vAlign w:val="center"/>
          </w:tcPr>
          <w:p w14:paraId="33D732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BFA1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978A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1、监管机构可对安全人员信息的增删改查；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2、包保干部可查询或直接对所包保主体的安全人员信息进行增删改查；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3、包保干部填报督导记录可在安全人员的任务清单项中增删改安全人员信息</w:t>
            </w:r>
          </w:p>
        </w:tc>
      </w:tr>
      <w:tr w14:paraId="09FD8C6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BE07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953</w:t>
            </w:r>
          </w:p>
        </w:tc>
        <w:tc>
          <w:tcPr>
            <w:tcW w:w="491" w:type="pct"/>
            <w:tcBorders>
              <w:top w:val="nil"/>
              <w:left w:val="nil"/>
              <w:bottom w:val="single" w:color="000000" w:sz="4" w:space="0"/>
              <w:right w:val="single" w:color="000000" w:sz="4" w:space="0"/>
            </w:tcBorders>
            <w:shd w:val="clear" w:color="auto" w:fill="auto"/>
            <w:vAlign w:val="center"/>
          </w:tcPr>
          <w:p w14:paraId="1D4203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89BBC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9025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处置问题时，可选填现场检查情况信息和立案查处情况信息。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1）现场检查情况信息：市场监督部门是否开展现场监督检查、监督检查表附件、检查是否发现问题；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立案查处情况信息：是否行政立案、是否结案、违法事实认定及相关法律依据、是否处罚、是否警告、没收非法所得金额、是否没收违法生产经营的食品、是否没收违法生产经营的工具、设备、原料等物、罚款、是否责令停产停业、是否吊销许可证、行政处罚通知书附件</w:t>
            </w:r>
          </w:p>
        </w:tc>
      </w:tr>
      <w:tr w14:paraId="67C5A76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013B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954</w:t>
            </w:r>
          </w:p>
        </w:tc>
        <w:tc>
          <w:tcPr>
            <w:tcW w:w="491" w:type="pct"/>
            <w:tcBorders>
              <w:top w:val="nil"/>
              <w:left w:val="nil"/>
              <w:bottom w:val="single" w:color="000000" w:sz="4" w:space="0"/>
              <w:right w:val="single" w:color="000000" w:sz="4" w:space="0"/>
            </w:tcBorders>
            <w:shd w:val="clear" w:color="auto" w:fill="auto"/>
            <w:vAlign w:val="center"/>
          </w:tcPr>
          <w:p w14:paraId="4D58E6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842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1F67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1.可查询包保主体详细信息，包括主体的基本信息、包保干部信息、督导记录信息；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2.支持根据主体是否有督导记录进行筛选查看，注册型企业按照本年是否有督导记录进行筛选查看，非注册型企业对应季度须有督导记录。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3.支持对主体的产品抽检信息进行查询查看，可筛选有产品抽检记录的主体信息。主体是否有产品抽检记录按照被抽检对象和标记的产品生产企业两个维度进行统计。</w:t>
            </w:r>
          </w:p>
        </w:tc>
      </w:tr>
      <w:tr w14:paraId="508FAEC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B3D8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955</w:t>
            </w:r>
          </w:p>
        </w:tc>
        <w:tc>
          <w:tcPr>
            <w:tcW w:w="491" w:type="pct"/>
            <w:tcBorders>
              <w:top w:val="nil"/>
              <w:left w:val="nil"/>
              <w:bottom w:val="single" w:color="000000" w:sz="4" w:space="0"/>
              <w:right w:val="single" w:color="000000" w:sz="4" w:space="0"/>
            </w:tcBorders>
            <w:shd w:val="clear" w:color="auto" w:fill="auto"/>
            <w:vAlign w:val="center"/>
          </w:tcPr>
          <w:p w14:paraId="228C89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79D6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3746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1.对接许可库和法人库，获取小餐饮、小作坊、生产、经营、预包装备案等主体信息，获取主体的证照信息；设置定时更新机制，定期更新证照信息；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2.页面展示为设置为包保主体的许可备案证照信息，支持通过证件状态、证照类型进行信息筛选，并以列表展示证照信息，点击可查看证照详细信息。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3.支持导出未设置包保主体的证照信息，各区可下载对应辖区的证照信息。</w:t>
            </w:r>
          </w:p>
        </w:tc>
      </w:tr>
      <w:tr w14:paraId="4963D9F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33160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956</w:t>
            </w:r>
          </w:p>
        </w:tc>
        <w:tc>
          <w:tcPr>
            <w:tcW w:w="491" w:type="pct"/>
            <w:tcBorders>
              <w:top w:val="nil"/>
              <w:left w:val="nil"/>
              <w:bottom w:val="single" w:color="000000" w:sz="4" w:space="0"/>
              <w:right w:val="single" w:color="000000" w:sz="4" w:space="0"/>
            </w:tcBorders>
            <w:shd w:val="clear" w:color="auto" w:fill="auto"/>
            <w:vAlign w:val="center"/>
          </w:tcPr>
          <w:p w14:paraId="085149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8B0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B6BC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导入包保主体,可根据导出的证照信息进行相关信息的维护，并导入维护后的信息生成包保主体。导入需校验主体业务类型、主体级别、所属辖区、包保干部、是否注册型企业、负责人联系电话等信息。导入成功和失败均返回结果信息，可下载文档查看错误原因。支持异步信息处理，保障大量数据可正常处理。</w:t>
            </w:r>
          </w:p>
        </w:tc>
      </w:tr>
      <w:tr w14:paraId="63A7654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AD2D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957</w:t>
            </w:r>
          </w:p>
        </w:tc>
        <w:tc>
          <w:tcPr>
            <w:tcW w:w="491" w:type="pct"/>
            <w:tcBorders>
              <w:top w:val="nil"/>
              <w:left w:val="nil"/>
              <w:bottom w:val="single" w:color="000000" w:sz="4" w:space="0"/>
              <w:right w:val="single" w:color="000000" w:sz="4" w:space="0"/>
            </w:tcBorders>
            <w:shd w:val="clear" w:color="auto" w:fill="auto"/>
            <w:vAlign w:val="center"/>
          </w:tcPr>
          <w:p w14:paraId="0CBD02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07C1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9600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疑似一址多证（旧证）：根据主体许可证属于同一个统一社会信用代码和生产经营地址进行一址多证信息预警，并设置许可地址发证日期较小的主体为疑似一址多证（旧证）信息，主体生产经营地址变更则触发预警机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疑似长期停产停业：根据督导记录状态和主体状态进行长期停产停业信息预警，主体状态为临时停产停业，且连续四个季度的督导记录中经营状态为已停业的，主体设为疑似长期停产停业，主体状态为临时停产停业且主体督导记录中经营状态为正常的，主体状态自动变更为在产在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3.疑似过期主体：根据主体所属许可备案状态进行疑似已过期信息预警，系统定期检测主体所属许可备案状态，状态为已过期则直接进行疑似已过期预警。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4.疑似信息的流转处置：根据主体所属许可备案状态进行疑似已过期信息预警，系统定期检测主体所属许可备案状态，状态为已过期则直接进行疑似已过期预警。</w:t>
            </w:r>
          </w:p>
        </w:tc>
      </w:tr>
      <w:tr w14:paraId="0198429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E5DA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958</w:t>
            </w:r>
          </w:p>
        </w:tc>
        <w:tc>
          <w:tcPr>
            <w:tcW w:w="491" w:type="pct"/>
            <w:tcBorders>
              <w:top w:val="nil"/>
              <w:left w:val="nil"/>
              <w:bottom w:val="single" w:color="000000" w:sz="4" w:space="0"/>
              <w:right w:val="single" w:color="000000" w:sz="4" w:space="0"/>
            </w:tcBorders>
            <w:shd w:val="clear" w:color="auto" w:fill="auto"/>
            <w:vAlign w:val="center"/>
          </w:tcPr>
          <w:p w14:paraId="37EE86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AA93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F4D4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1.集中展示无包保关系的包保主体信息，支持主体级别、所属区域、逾期时长进行信息筛选，列表展示未包保主体信息，点击可查看主体基本信息、产品抽检情况等；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2.可支持批量导出待包保主体和包保干部信息，各级食药安办机构可进行待包保主体的包保关系信息维护；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3.可通过Excel导入批量设置主体的包保关系，导入时校验包保干部相关逻辑，所绑干部需在岗、与主体级别/所属行政区划一致；返回导入结果信息，以供查看失败具体原因。</w:t>
            </w:r>
          </w:p>
        </w:tc>
      </w:tr>
      <w:tr w14:paraId="5190DF4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3F55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959</w:t>
            </w:r>
          </w:p>
        </w:tc>
        <w:tc>
          <w:tcPr>
            <w:tcW w:w="491" w:type="pct"/>
            <w:tcBorders>
              <w:top w:val="nil"/>
              <w:left w:val="nil"/>
              <w:bottom w:val="single" w:color="000000" w:sz="4" w:space="0"/>
              <w:right w:val="single" w:color="000000" w:sz="4" w:space="0"/>
            </w:tcBorders>
            <w:shd w:val="clear" w:color="auto" w:fill="auto"/>
            <w:vAlign w:val="center"/>
          </w:tcPr>
          <w:p w14:paraId="1DCC57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4A37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1324B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1.支持查看包保干部提交的督导记录信息，可通过企业名称、干部姓名进行信息查询，以列表形式展示待处理督导记录信息，可查看督导记录中待处理督导任务项信息；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2.可根据干部提交的督导问题情况和主体所属区域等信息转交督导问题给对应的监管机构，以供监管机构进行跟踪处理。</w:t>
            </w:r>
          </w:p>
        </w:tc>
      </w:tr>
      <w:tr w14:paraId="712B44F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D1F7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960</w:t>
            </w:r>
          </w:p>
        </w:tc>
        <w:tc>
          <w:tcPr>
            <w:tcW w:w="491" w:type="pct"/>
            <w:tcBorders>
              <w:top w:val="nil"/>
              <w:left w:val="nil"/>
              <w:bottom w:val="single" w:color="000000" w:sz="4" w:space="0"/>
              <w:right w:val="single" w:color="000000" w:sz="4" w:space="0"/>
            </w:tcBorders>
            <w:shd w:val="clear" w:color="auto" w:fill="auto"/>
            <w:vAlign w:val="center"/>
          </w:tcPr>
          <w:p w14:paraId="3B0B85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0B5E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305B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1.督导记录的查询筛选，可通过督导日期、干部层级、所属区域、督导记录状态进行筛选，以列表形式展示督导记录信息，点击可查看督导记录详情。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2.督导问题相信信息查询筛选，可通过督导任务清单、所属辖区等进行筛选，以列表新食展示督导问题信息，点击可查督导问题详细信息。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3.督导记录和督导问题的筛选均展示汇总数据，督导记录包括已闭环、未闭环、已停业汇总数据，督导问题包括未闭环、已闭环汇总数据。</w:t>
            </w:r>
          </w:p>
        </w:tc>
      </w:tr>
      <w:tr w14:paraId="479E8B4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0136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961</w:t>
            </w:r>
          </w:p>
        </w:tc>
        <w:tc>
          <w:tcPr>
            <w:tcW w:w="491" w:type="pct"/>
            <w:tcBorders>
              <w:top w:val="nil"/>
              <w:left w:val="nil"/>
              <w:bottom w:val="single" w:color="000000" w:sz="4" w:space="0"/>
              <w:right w:val="single" w:color="000000" w:sz="4" w:space="0"/>
            </w:tcBorders>
            <w:shd w:val="clear" w:color="auto" w:fill="auto"/>
            <w:vAlign w:val="center"/>
          </w:tcPr>
          <w:p w14:paraId="5D9034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2E95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3343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集中处理批量导入导出的数据任务，包括证照信息的导出任务、批量新增包保主体的数据处理任务。展示任务处理进展情况，可支持下载导出数据处理结果。包括批量新增主体的错误信息反馈，每条处理失败数据展示失败结果。</w:t>
            </w:r>
          </w:p>
        </w:tc>
      </w:tr>
      <w:tr w14:paraId="51C0E92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520C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962</w:t>
            </w:r>
          </w:p>
        </w:tc>
        <w:tc>
          <w:tcPr>
            <w:tcW w:w="491" w:type="pct"/>
            <w:tcBorders>
              <w:top w:val="nil"/>
              <w:left w:val="nil"/>
              <w:bottom w:val="single" w:color="000000" w:sz="4" w:space="0"/>
              <w:right w:val="single" w:color="000000" w:sz="4" w:space="0"/>
            </w:tcBorders>
            <w:shd w:val="clear" w:color="auto" w:fill="auto"/>
            <w:vAlign w:val="center"/>
          </w:tcPr>
          <w:p w14:paraId="6EA511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ADD5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D2C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学校型主体的信息标记管理：根据主体业态进行标记处理，主体业态的更新需同步更新标记；2、学校型包保主体的数据管理：支持各辖区查询、下载、使用包保主体信息，进行信息更新管理；3、包保学校型主体的包保干部数据管理：支持各辖区查询、下载和使用包保了学校型主体的干部数据；</w:t>
            </w:r>
          </w:p>
        </w:tc>
      </w:tr>
      <w:tr w14:paraId="2A9BB00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BE4A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963</w:t>
            </w:r>
          </w:p>
        </w:tc>
        <w:tc>
          <w:tcPr>
            <w:tcW w:w="491" w:type="pct"/>
            <w:tcBorders>
              <w:top w:val="nil"/>
              <w:left w:val="nil"/>
              <w:bottom w:val="single" w:color="000000" w:sz="4" w:space="0"/>
              <w:right w:val="single" w:color="000000" w:sz="4" w:space="0"/>
            </w:tcBorders>
            <w:shd w:val="clear" w:color="auto" w:fill="auto"/>
            <w:vAlign w:val="center"/>
          </w:tcPr>
          <w:p w14:paraId="4F4954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3E4F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82F2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包保主体因证件变更导致数据断层，支持包保主体接续新老证，关联督导记录、风险问题、安全人员等数据，便于包保干部、监管机构、食药安办查询数据</w:t>
            </w:r>
          </w:p>
        </w:tc>
      </w:tr>
      <w:tr w14:paraId="62AA13B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BD6B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964</w:t>
            </w:r>
          </w:p>
        </w:tc>
        <w:tc>
          <w:tcPr>
            <w:tcW w:w="491" w:type="pct"/>
            <w:tcBorders>
              <w:top w:val="nil"/>
              <w:left w:val="nil"/>
              <w:bottom w:val="single" w:color="000000" w:sz="4" w:space="0"/>
              <w:right w:val="single" w:color="000000" w:sz="4" w:space="0"/>
            </w:tcBorders>
            <w:shd w:val="clear" w:color="auto" w:fill="auto"/>
            <w:vAlign w:val="center"/>
          </w:tcPr>
          <w:p w14:paraId="4ACE9E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391F2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0B1E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居村对本辖区包保督导数据查询，便于了解本辖区的属地责任包保督导工作情况，包括：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1、包保干部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2、包保主体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3、风险问题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4、督导进展等</w:t>
            </w:r>
          </w:p>
        </w:tc>
      </w:tr>
      <w:tr w14:paraId="4B75230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C31A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965</w:t>
            </w:r>
          </w:p>
        </w:tc>
        <w:tc>
          <w:tcPr>
            <w:tcW w:w="491" w:type="pct"/>
            <w:tcBorders>
              <w:top w:val="nil"/>
              <w:left w:val="nil"/>
              <w:bottom w:val="single" w:color="000000" w:sz="4" w:space="0"/>
              <w:right w:val="single" w:color="000000" w:sz="4" w:space="0"/>
            </w:tcBorders>
            <w:shd w:val="clear" w:color="auto" w:fill="auto"/>
            <w:vAlign w:val="center"/>
          </w:tcPr>
          <w:p w14:paraId="24DCF4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ACD9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288B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1.情况交流：该栏目主要展示被国务院食安办、市食药安办录用的有关经验做法类信息（含本市或外省市），也展示本市各级食药安办、监管机构和包保干部的工作经验或者体会。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2.典型案例：该栏目展示推进落实属地管理责任的典型工作案例。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启示：该栏目展示相关</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，启发包保干部带着问题开展督导。</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4.百问百答：该栏目展示市食药安办落实食品安全“两个责任”工作专班对有关包保督导工作中所遇到的问题的解答，供全市各级食药安办、监管机构和包保干部查阅。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5.联系方式：该栏目展示各级食药安办、监管机构的联系电话，便于快速查找和便捷联系。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6.培训教程：该栏目展示落实属地管理责任的培训资料，包括音频视频资料、书面学习资料、系统操作指南等内容。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7.工作提示：该栏目可查看市食药安办下发的“工作提示”。</w:t>
            </w:r>
          </w:p>
        </w:tc>
      </w:tr>
      <w:tr w14:paraId="66D8AA6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CD88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966</w:t>
            </w:r>
          </w:p>
        </w:tc>
        <w:tc>
          <w:tcPr>
            <w:tcW w:w="491" w:type="pct"/>
            <w:tcBorders>
              <w:top w:val="nil"/>
              <w:left w:val="nil"/>
              <w:bottom w:val="single" w:color="000000" w:sz="4" w:space="0"/>
              <w:right w:val="single" w:color="000000" w:sz="4" w:space="0"/>
            </w:tcBorders>
            <w:shd w:val="clear" w:color="auto" w:fill="auto"/>
            <w:vAlign w:val="center"/>
          </w:tcPr>
          <w:p w14:paraId="52F6AE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90A7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7425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工作进展实时动态管理，每日工作进展情况列表展示；2、主体责任数据填报管理，各区和填报或编辑食品生产经营主体底数、培训宣贯情况、配备安全人员情况、制定食品安全总监职责情况、制定食品安全员手册情况、建立日管控制度情况、建立周排查制度情况、建立月调度制度情况、主要工作举措、存在的问题和对策建议等情况；3、属地责任数据填报管理：各区可填报或编辑属地责任落实情况。</w:t>
            </w:r>
          </w:p>
        </w:tc>
      </w:tr>
      <w:tr w14:paraId="5944B86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0D72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967</w:t>
            </w:r>
          </w:p>
        </w:tc>
        <w:tc>
          <w:tcPr>
            <w:tcW w:w="491" w:type="pct"/>
            <w:tcBorders>
              <w:top w:val="nil"/>
              <w:left w:val="nil"/>
              <w:bottom w:val="single" w:color="000000" w:sz="4" w:space="0"/>
              <w:right w:val="single" w:color="000000" w:sz="4" w:space="0"/>
            </w:tcBorders>
            <w:shd w:val="clear" w:color="auto" w:fill="auto"/>
            <w:vAlign w:val="center"/>
          </w:tcPr>
          <w:p w14:paraId="1BFEDB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3A31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9C17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1.对食药安办的督查统计，统计对各级是要安办的督查情况，包括督查总数、发现问题数、问题整改数、问题整改率等。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2.对干部的督查统计，统计对干部的督查情况，包括督查总数、发现问题数、问题整改数、问题整改率等。</w:t>
            </w:r>
          </w:p>
        </w:tc>
      </w:tr>
      <w:tr w14:paraId="037C316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6384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968</w:t>
            </w:r>
          </w:p>
        </w:tc>
        <w:tc>
          <w:tcPr>
            <w:tcW w:w="491" w:type="pct"/>
            <w:tcBorders>
              <w:top w:val="nil"/>
              <w:left w:val="nil"/>
              <w:bottom w:val="single" w:color="000000" w:sz="4" w:space="0"/>
              <w:right w:val="single" w:color="000000" w:sz="4" w:space="0"/>
            </w:tcBorders>
            <w:shd w:val="clear" w:color="auto" w:fill="auto"/>
            <w:vAlign w:val="center"/>
          </w:tcPr>
          <w:p w14:paraId="50D7C7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1437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949D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体现属地责任一周工作进展情况，包括干部督导情况、主体内督导情况、发现问题情况等模块；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需体现本周进展和截止本周的进展情况统计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支持查询历史各周数据情况。</w:t>
            </w:r>
          </w:p>
        </w:tc>
      </w:tr>
      <w:tr w14:paraId="480B149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7FC5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969</w:t>
            </w:r>
          </w:p>
        </w:tc>
        <w:tc>
          <w:tcPr>
            <w:tcW w:w="491" w:type="pct"/>
            <w:tcBorders>
              <w:top w:val="nil"/>
              <w:left w:val="nil"/>
              <w:bottom w:val="single" w:color="000000" w:sz="4" w:space="0"/>
              <w:right w:val="single" w:color="000000" w:sz="4" w:space="0"/>
            </w:tcBorders>
            <w:shd w:val="clear" w:color="auto" w:fill="auto"/>
            <w:vAlign w:val="center"/>
          </w:tcPr>
          <w:p w14:paraId="16B6BF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EA5F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539F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包保干部分析：对不同级别、不同状态包保干部数据进行分析，支持穿透展示各区不同街镇的数据，展示各街镇不同居村的数据。2、包保主体分析：对不同级别、不同状态包保主体数据进行分析，支持穿透展示各区不同街镇的数据，展示各街镇不同居村的数据。对不同业务类型、不同级别的包保主体数据进行分析，支持穿透展示各区不同街镇的数据，展示各街镇不同居村的数据。3、包保比例分析：对不同层级干部的主体包保比例数据进行分析。支持穿透展示各区不同街镇的数据，展示各街镇不同居村的数据。</w:t>
            </w:r>
          </w:p>
        </w:tc>
      </w:tr>
      <w:tr w14:paraId="7FC6F97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21B9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970</w:t>
            </w:r>
          </w:p>
        </w:tc>
        <w:tc>
          <w:tcPr>
            <w:tcW w:w="491" w:type="pct"/>
            <w:tcBorders>
              <w:top w:val="nil"/>
              <w:left w:val="nil"/>
              <w:bottom w:val="single" w:color="000000" w:sz="4" w:space="0"/>
              <w:right w:val="single" w:color="000000" w:sz="4" w:space="0"/>
            </w:tcBorders>
            <w:shd w:val="clear" w:color="auto" w:fill="auto"/>
            <w:vAlign w:val="center"/>
          </w:tcPr>
          <w:p w14:paraId="64D72D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F026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F846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1.待处置督导问题情况：支持查看各区、各所监管机构对发现问题的督导记录的处置情况，包括发现问题数、未处置数、处置率等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2.待处置疑似信息情况：支持查看各区、各监管所疑似主体处置情况，包括待处置疑似主体数，待处置疑似长期停产停业数、待处置一址多证（旧证）数。</w:t>
            </w:r>
          </w:p>
        </w:tc>
      </w:tr>
      <w:tr w14:paraId="07B6D95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5C7F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971</w:t>
            </w:r>
          </w:p>
        </w:tc>
        <w:tc>
          <w:tcPr>
            <w:tcW w:w="491" w:type="pct"/>
            <w:tcBorders>
              <w:top w:val="nil"/>
              <w:left w:val="nil"/>
              <w:bottom w:val="single" w:color="000000" w:sz="4" w:space="0"/>
              <w:right w:val="single" w:color="000000" w:sz="4" w:space="0"/>
            </w:tcBorders>
            <w:shd w:val="clear" w:color="auto" w:fill="auto"/>
            <w:vAlign w:val="center"/>
          </w:tcPr>
          <w:p w14:paraId="6A9534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03B0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A96C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未完成督导干部分析：展示辖区所有干部的督导进展情况。包括干部的包保主体数、督导完成主体数、督导完成率等。干部的主体督导按照该主体是否有督导记录进行分析，以便满足主体中途转换干部的情况的分析。支持根据辖区进行干部信息的筛选分析。支持导出干部名单。2、待闭环督导问题提醒：停留的环节分析，包括食药安办待转交、监管待处置、干部待处置三个环节。支持穿透展示各区、街镇、居村的数据变化情况。3、干部问题处置分析：当前包保干部有未闭环督导问题的名单分析，以便各级食药安办了解未闭环督导问题的干部信息，可进行问题跟进。支持穿透展示各区、街镇、居村的数据变化情况。支持导出干部名单。</w:t>
            </w:r>
          </w:p>
        </w:tc>
      </w:tr>
      <w:tr w14:paraId="5F96C62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BD5A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972</w:t>
            </w:r>
          </w:p>
        </w:tc>
        <w:tc>
          <w:tcPr>
            <w:tcW w:w="491" w:type="pct"/>
            <w:tcBorders>
              <w:top w:val="nil"/>
              <w:left w:val="nil"/>
              <w:bottom w:val="single" w:color="000000" w:sz="4" w:space="0"/>
              <w:right w:val="single" w:color="000000" w:sz="4" w:space="0"/>
            </w:tcBorders>
            <w:shd w:val="clear" w:color="auto" w:fill="auto"/>
            <w:vAlign w:val="center"/>
          </w:tcPr>
          <w:p w14:paraId="574087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9F66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1CEC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干部督导进展分析：支持穿透展示各区不同街镇的数据，展示各街镇不同居村的数据。包括包保干部数、督导完成干部数、干部督导完成率等。支持根据季度进行分析，历史季度数据按照固化数据展示。固化数据不随干部增删改查的变化而变化。2、主体督导进展分析：按主体级别分析。对包保主体的督导进展数据进行分析。支持穿透展示各区不同街镇的数据，展示各街镇不同居村的数据。包括包保主体数、完成督导的主体数、主体督导完成率。按照主体级别进行分析。支持根据季度进行分析，历史季度数据按照固化数据展示。固化数据不随干部增删改查的变化而变化。按主体业务类型分析。对生产、经营、小餐饮、小作坊、交易市场、预包装、其他等不同类型主体督导进展进行分析。包括主体数、督导完成主体数、主体督导完成率。支持根据季度进行分析，历史季度数据按照固化数据展示。固化数据不随干部增删改查的变化而变化。"</w:t>
            </w:r>
          </w:p>
        </w:tc>
      </w:tr>
      <w:tr w14:paraId="4A9723B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3D37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973</w:t>
            </w:r>
          </w:p>
        </w:tc>
        <w:tc>
          <w:tcPr>
            <w:tcW w:w="491" w:type="pct"/>
            <w:tcBorders>
              <w:top w:val="nil"/>
              <w:left w:val="nil"/>
              <w:bottom w:val="single" w:color="000000" w:sz="4" w:space="0"/>
              <w:right w:val="single" w:color="000000" w:sz="4" w:space="0"/>
            </w:tcBorders>
            <w:shd w:val="clear" w:color="auto" w:fill="auto"/>
            <w:vAlign w:val="center"/>
          </w:tcPr>
          <w:p w14:paraId="6581B9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A933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2CC5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1.按督导记录分析：分析各区、街镇、村居的督导记录发现问题数量、处置数量、处置比率等。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2.按主体分析：按照主体维度分析发现问题的主体数，支持查看各区、各街道、各居村的包保主体问题发现情况。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3.按任务清单项分析：按发现问题的任务清单项进行分析，汇聚分析各类条目发现问题数量，处置数据、处置比率等。</w:t>
            </w:r>
          </w:p>
        </w:tc>
      </w:tr>
      <w:tr w14:paraId="6EA915F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417D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974</w:t>
            </w:r>
          </w:p>
        </w:tc>
        <w:tc>
          <w:tcPr>
            <w:tcW w:w="491" w:type="pct"/>
            <w:tcBorders>
              <w:top w:val="nil"/>
              <w:left w:val="nil"/>
              <w:bottom w:val="single" w:color="000000" w:sz="4" w:space="0"/>
              <w:right w:val="single" w:color="000000" w:sz="4" w:space="0"/>
            </w:tcBorders>
            <w:shd w:val="clear" w:color="auto" w:fill="auto"/>
            <w:vAlign w:val="center"/>
          </w:tcPr>
          <w:p w14:paraId="228680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CFA64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E455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工作质量指标包括主体更新情况分析、干部更新情况分析、包保处置速度分析、问题处置速度分析、包保督导问题发现率、管理机构工作效能指数。</w:t>
            </w:r>
          </w:p>
        </w:tc>
      </w:tr>
      <w:tr w14:paraId="759C613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BD22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975</w:t>
            </w:r>
          </w:p>
        </w:tc>
        <w:tc>
          <w:tcPr>
            <w:tcW w:w="491" w:type="pct"/>
            <w:tcBorders>
              <w:top w:val="nil"/>
              <w:left w:val="nil"/>
              <w:bottom w:val="single" w:color="000000" w:sz="4" w:space="0"/>
              <w:right w:val="single" w:color="000000" w:sz="4" w:space="0"/>
            </w:tcBorders>
            <w:shd w:val="clear" w:color="auto" w:fill="auto"/>
            <w:vAlign w:val="center"/>
          </w:tcPr>
          <w:p w14:paraId="5DD09E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6124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责任监督管理-食品包保督导属地责任管理-属地责任管理（食安办端）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CDC8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支持分析属地责任工作进展情况；支持分析主体责任落实情况；支持查看每日各区的数据上报情况；支持导入每日分析数据。</w:t>
            </w:r>
          </w:p>
        </w:tc>
      </w:tr>
      <w:tr w14:paraId="5F2EDD6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4B77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976</w:t>
            </w:r>
          </w:p>
        </w:tc>
        <w:tc>
          <w:tcPr>
            <w:tcW w:w="491" w:type="pct"/>
            <w:tcBorders>
              <w:top w:val="nil"/>
              <w:left w:val="nil"/>
              <w:bottom w:val="single" w:color="000000" w:sz="4" w:space="0"/>
              <w:right w:val="single" w:color="000000" w:sz="4" w:space="0"/>
            </w:tcBorders>
            <w:shd w:val="clear" w:color="auto" w:fill="auto"/>
            <w:vAlign w:val="center"/>
          </w:tcPr>
          <w:p w14:paraId="693018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2923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责任监督管理-食品包保督导属地责任管理-包保督导成果成效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484F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通过包保督导工作开展，上海市食品主体动态、发现问题、问题闭环、通过督导发现问题立案等成果成效信息呈现</w:t>
            </w:r>
          </w:p>
        </w:tc>
      </w:tr>
      <w:tr w14:paraId="6CAB138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EFF1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977</w:t>
            </w:r>
          </w:p>
        </w:tc>
        <w:tc>
          <w:tcPr>
            <w:tcW w:w="491" w:type="pct"/>
            <w:tcBorders>
              <w:top w:val="nil"/>
              <w:left w:val="nil"/>
              <w:bottom w:val="single" w:color="000000" w:sz="4" w:space="0"/>
              <w:right w:val="single" w:color="000000" w:sz="4" w:space="0"/>
            </w:tcBorders>
            <w:shd w:val="clear" w:color="auto" w:fill="auto"/>
            <w:vAlign w:val="center"/>
          </w:tcPr>
          <w:p w14:paraId="471D74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00C84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责任监督管理-食品包保督导属地责任管理-对接总局数据接口开发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4EE4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食品生产主体数据、食品经营主体数据、小作坊数据、小餐饮数据、预包装数据、交易市场、其他经营者等数据按照总局入库要求进行数据汇聚，设置前置库，并定期更新前置库数据，以便总局进行数据拉取。</w:t>
            </w:r>
          </w:p>
        </w:tc>
      </w:tr>
      <w:tr w14:paraId="4A18932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1A45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978</w:t>
            </w:r>
          </w:p>
        </w:tc>
        <w:tc>
          <w:tcPr>
            <w:tcW w:w="491" w:type="pct"/>
            <w:tcBorders>
              <w:top w:val="nil"/>
              <w:left w:val="nil"/>
              <w:bottom w:val="single" w:color="000000" w:sz="4" w:space="0"/>
              <w:right w:val="single" w:color="000000" w:sz="4" w:space="0"/>
            </w:tcBorders>
            <w:shd w:val="clear" w:color="auto" w:fill="auto"/>
            <w:vAlign w:val="center"/>
          </w:tcPr>
          <w:p w14:paraId="5CE5E6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B836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责任监督管理-食品包保督导属地责任管理-基层减负体系系统接口开发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80BDC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获取干部统一管理信息。对接基层减负体系系统，实现用户单点登录，支持从基层减负体系系统中直接登录属地责任干部端、农村集体聚餐系统干部端入口，功能页面实现内嵌</w:t>
            </w:r>
          </w:p>
        </w:tc>
      </w:tr>
      <w:tr w14:paraId="1D94E79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D1B3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979</w:t>
            </w:r>
          </w:p>
        </w:tc>
        <w:tc>
          <w:tcPr>
            <w:tcW w:w="491" w:type="pct"/>
            <w:tcBorders>
              <w:top w:val="nil"/>
              <w:left w:val="nil"/>
              <w:bottom w:val="single" w:color="000000" w:sz="4" w:space="0"/>
              <w:right w:val="single" w:color="000000" w:sz="4" w:space="0"/>
            </w:tcBorders>
            <w:shd w:val="clear" w:color="auto" w:fill="auto"/>
            <w:vAlign w:val="center"/>
          </w:tcPr>
          <w:p w14:paraId="26D982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17F5B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责任监督管理-特种设备属地责任管理-属地责任监管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F225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设备的属地机关，增补属地机关调整的流程化管理，形成所/队与区局之间的申请与审核流程。选择设备后划转属地监管部门，进行属地划转：此类情况多针对于固定式特种设备，因填报错误、市场所管理区域划分变化等情况需要进行同区域内市场监管所之间的划转。</w:t>
            </w:r>
          </w:p>
        </w:tc>
      </w:tr>
      <w:tr w14:paraId="359D319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85F7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980</w:t>
            </w:r>
          </w:p>
        </w:tc>
        <w:tc>
          <w:tcPr>
            <w:tcW w:w="491" w:type="pct"/>
            <w:tcBorders>
              <w:top w:val="nil"/>
              <w:left w:val="nil"/>
              <w:bottom w:val="single" w:color="000000" w:sz="4" w:space="0"/>
              <w:right w:val="single" w:color="000000" w:sz="4" w:space="0"/>
            </w:tcBorders>
            <w:shd w:val="clear" w:color="auto" w:fill="auto"/>
            <w:vAlign w:val="center"/>
          </w:tcPr>
          <w:p w14:paraId="526DC3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04B6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责任监督管理-特种设备属地责任管理-监督检验报告审核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7CD9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1.接收特种设备检验管理系统提交的监督检验报告数据信息，根据业务规则监察用户人工审核监督检验报告数据信息，并进行审核确认或驳回（驳回写明驳回原因）；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2.审核确认通过后将结果返回特种设备检验管理系统，同时将结果提交到行政审批许可系统，行政审批许可系统将该报告对应生成的注册代码返回；</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3.形成监督检验报告信息上传查询功能，通过监督检验业务类型（首次监督检验、改造监督检验）、设备种类、上传确认状态、设备业务办理状态、使用单位名称、上传日期等条件查询对应的设备清单。</w:t>
            </w:r>
          </w:p>
        </w:tc>
      </w:tr>
      <w:tr w14:paraId="6E7B590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84EB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981</w:t>
            </w:r>
          </w:p>
        </w:tc>
        <w:tc>
          <w:tcPr>
            <w:tcW w:w="491" w:type="pct"/>
            <w:tcBorders>
              <w:top w:val="nil"/>
              <w:left w:val="nil"/>
              <w:bottom w:val="single" w:color="000000" w:sz="4" w:space="0"/>
              <w:right w:val="single" w:color="000000" w:sz="4" w:space="0"/>
            </w:tcBorders>
            <w:shd w:val="clear" w:color="auto" w:fill="auto"/>
            <w:vAlign w:val="center"/>
          </w:tcPr>
          <w:p w14:paraId="084DCE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F7E0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责任监督管理-特种设备属地责任管理-定检检验报告对比确认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6CDD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比对业务规则管理：接收特种设备检验管理系统提交的定期检验报告数据信息，并于该设备上一份合格的检验报告数据进行系统自动比对，根据设备种类的不同、属地管理要求的不同，形成不同的比对业务规则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规则系统自动进行特种设备定期检验检测报告数据比对，比对通过系统自动确认，并将结果返回特种设备检验管理系统；比对不通过驳回，驳回自动说明不通过内容，并将驳回信息返回特种设备检验管理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3.形成定期检验报告信息上传查询功能，通过定期检验检测业务类型（定期检验、维修检验）、设备种类、自动更新时间、上传时间、上传确认状态等条件查询对应的设备清单。</w:t>
            </w:r>
          </w:p>
        </w:tc>
      </w:tr>
      <w:tr w14:paraId="11752A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12A1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982</w:t>
            </w:r>
          </w:p>
        </w:tc>
        <w:tc>
          <w:tcPr>
            <w:tcW w:w="491" w:type="pct"/>
            <w:tcBorders>
              <w:top w:val="nil"/>
              <w:left w:val="nil"/>
              <w:bottom w:val="single" w:color="000000" w:sz="4" w:space="0"/>
              <w:right w:val="single" w:color="000000" w:sz="4" w:space="0"/>
            </w:tcBorders>
            <w:shd w:val="clear" w:color="auto" w:fill="auto"/>
            <w:vAlign w:val="center"/>
          </w:tcPr>
          <w:p w14:paraId="1EBE3A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D723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责任监督管理-特种设备属地责任管理-定期检验延期备案审核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819D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设备发证机关接收特种设备检验检测协同提交的检验机构设备延期检验申请，单台或者批量对申请的检验延期进行备案、回退，并将审核结果返回至特种设备检验检测协同形成闭环。审核通过后，设备自动在当前下次检验日期上加一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2.形成延期检验数据上传查询功能，通过上传检验机构、上传日期、备案结论等条件查询设备清单。</w:t>
            </w:r>
          </w:p>
        </w:tc>
      </w:tr>
      <w:tr w14:paraId="2ABFE53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ECF7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983</w:t>
            </w:r>
          </w:p>
        </w:tc>
        <w:tc>
          <w:tcPr>
            <w:tcW w:w="491" w:type="pct"/>
            <w:tcBorders>
              <w:top w:val="nil"/>
              <w:left w:val="nil"/>
              <w:bottom w:val="single" w:color="000000" w:sz="4" w:space="0"/>
              <w:right w:val="single" w:color="000000" w:sz="4" w:space="0"/>
            </w:tcBorders>
            <w:shd w:val="clear" w:color="auto" w:fill="auto"/>
            <w:vAlign w:val="center"/>
          </w:tcPr>
          <w:p w14:paraId="5BE572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C58E3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责任监督管理-特种设备属地责任管理-外地检验报告确认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144C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外地检验的设备需要到本来办理使用登记业务，通过三种方式接收外地检验报告信息，包含与外地检验检测机构数据对接，外地检验检测机构通过特种设备检验检测协同录入外地检验报告信息、上传报告扫描件，使用单位通过政企协同录入地检验检测报告信息、上传报告扫描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2.通过到本地平台录入的数据信息需要设备所属区域的监察用户在本系统中进行报告确认，确认通过后将结果返回到对应系统；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3.同时将确认通过的结果和外地检验报告基础信息提交到行政审批许可系统；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4.形成外地检验报告数据查询功能，通过检验机构名称、设备种类、检验日期、使用单位名称等条件查询设备清单。</w:t>
            </w:r>
          </w:p>
        </w:tc>
      </w:tr>
      <w:tr w14:paraId="3A89C0C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C92E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984</w:t>
            </w:r>
          </w:p>
        </w:tc>
        <w:tc>
          <w:tcPr>
            <w:tcW w:w="491" w:type="pct"/>
            <w:tcBorders>
              <w:top w:val="nil"/>
              <w:left w:val="nil"/>
              <w:bottom w:val="single" w:color="000000" w:sz="4" w:space="0"/>
              <w:right w:val="single" w:color="000000" w:sz="4" w:space="0"/>
            </w:tcBorders>
            <w:shd w:val="clear" w:color="auto" w:fill="auto"/>
            <w:vAlign w:val="center"/>
          </w:tcPr>
          <w:p w14:paraId="26FC20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6482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食品安全举报奖励-举报奖励申请登记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F62F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1.历史审计记录查询，支持通过申请日期等字段进行筛选查询，以列表形式展示搜索结果。点击可查看申请记录详细信息，包括基本信息、各类证明文件、资料投递情况等。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2.在线登记申请记录，区局食药安办机构可在收集举报奖励申请信息后，在系统中登记举报奖励申请信息。</w:t>
            </w:r>
          </w:p>
        </w:tc>
      </w:tr>
      <w:tr w14:paraId="6322115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B58C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985</w:t>
            </w:r>
          </w:p>
        </w:tc>
        <w:tc>
          <w:tcPr>
            <w:tcW w:w="491" w:type="pct"/>
            <w:tcBorders>
              <w:top w:val="nil"/>
              <w:left w:val="nil"/>
              <w:bottom w:val="single" w:color="000000" w:sz="4" w:space="0"/>
              <w:right w:val="single" w:color="000000" w:sz="4" w:space="0"/>
            </w:tcBorders>
            <w:shd w:val="clear" w:color="auto" w:fill="auto"/>
            <w:vAlign w:val="center"/>
          </w:tcPr>
          <w:p w14:paraId="3CE76D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65E5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食品安全举报奖励-举报奖励登记一般程序的审核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3180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1.审核信息筛选查询，支持通过审核状态、申报单位名称等多维字段进行筛选查询，以列表形式展示筛选结果，点击可查看申请记录详细信息。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2.区局管理人员审核，各区工作人员登记信息后，区局业务负责人进行信息初步审核，审核通过或审核驳回，驳回需填原因。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3.市级举报奖励业务牵头部门、业务处室相关部门分别审核，审核通过和审核驳回，驳回需填原因。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4.区局、市局（食药安办端、业务处室端）数据权限区分，区局看本区数据，市局食药安办看全部数据，业务处室看本业务端数据。</w:t>
            </w:r>
          </w:p>
        </w:tc>
      </w:tr>
      <w:tr w14:paraId="27D55F7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FFFB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986</w:t>
            </w:r>
          </w:p>
        </w:tc>
        <w:tc>
          <w:tcPr>
            <w:tcW w:w="491" w:type="pct"/>
            <w:tcBorders>
              <w:top w:val="nil"/>
              <w:left w:val="nil"/>
              <w:bottom w:val="single" w:color="000000" w:sz="4" w:space="0"/>
              <w:right w:val="single" w:color="000000" w:sz="4" w:space="0"/>
            </w:tcBorders>
            <w:shd w:val="clear" w:color="auto" w:fill="auto"/>
            <w:vAlign w:val="center"/>
          </w:tcPr>
          <w:p w14:paraId="736786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9AD8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食品安全举报奖励-专项资金使用审核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7F1F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生成专项资金审核表单，包括拟发放奖金类型、拟申请奖金金额、相关案件具体承办单位、举报人姓名、举报人证件号码、举报人联系方式提出单位账号信息等。支持举报奖励专项资金申请信息进行多部门和人员的审核，支持审核通过或驳回，填写驳回原因等。</w:t>
            </w:r>
          </w:p>
        </w:tc>
      </w:tr>
      <w:tr w14:paraId="5E34C62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BBA2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987</w:t>
            </w:r>
          </w:p>
        </w:tc>
        <w:tc>
          <w:tcPr>
            <w:tcW w:w="491" w:type="pct"/>
            <w:tcBorders>
              <w:top w:val="nil"/>
              <w:left w:val="nil"/>
              <w:bottom w:val="single" w:color="000000" w:sz="4" w:space="0"/>
              <w:right w:val="single" w:color="000000" w:sz="4" w:space="0"/>
            </w:tcBorders>
            <w:shd w:val="clear" w:color="auto" w:fill="auto"/>
            <w:vAlign w:val="center"/>
          </w:tcPr>
          <w:p w14:paraId="1C61B0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CF84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食品安全举报奖励-申请进展查询及信息补录管理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0E50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支持查看举报奖励申请的最新进展，区局和监管所根据上级审核反馈结果进行信息补录。</w:t>
            </w:r>
          </w:p>
        </w:tc>
      </w:tr>
      <w:tr w14:paraId="6DF680E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A1AD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988</w:t>
            </w:r>
          </w:p>
        </w:tc>
        <w:tc>
          <w:tcPr>
            <w:tcW w:w="491" w:type="pct"/>
            <w:tcBorders>
              <w:top w:val="nil"/>
              <w:left w:val="nil"/>
              <w:bottom w:val="single" w:color="000000" w:sz="4" w:space="0"/>
              <w:right w:val="single" w:color="000000" w:sz="4" w:space="0"/>
            </w:tcBorders>
            <w:shd w:val="clear" w:color="auto" w:fill="auto"/>
            <w:vAlign w:val="center"/>
          </w:tcPr>
          <w:p w14:paraId="3A8881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CAB8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食品安全举报奖励-通知书生成和下载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0FCB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系统自动生成制式举报奖励发放通知书，内部包括奖金金额、案件相关信息、举报人姓名、举报人证件号码等信息，支持下载通知书。</w:t>
            </w:r>
          </w:p>
        </w:tc>
      </w:tr>
      <w:tr w14:paraId="0B6B25B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BB8E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989</w:t>
            </w:r>
          </w:p>
        </w:tc>
        <w:tc>
          <w:tcPr>
            <w:tcW w:w="491" w:type="pct"/>
            <w:tcBorders>
              <w:top w:val="nil"/>
              <w:left w:val="nil"/>
              <w:bottom w:val="single" w:color="000000" w:sz="4" w:space="0"/>
              <w:right w:val="single" w:color="000000" w:sz="4" w:space="0"/>
            </w:tcBorders>
            <w:shd w:val="clear" w:color="auto" w:fill="auto"/>
            <w:vAlign w:val="center"/>
          </w:tcPr>
          <w:p w14:paraId="4A6454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0217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食品安全举报奖励-奖金发放记录管理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3E70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系统根据相关信息生成奖金发放记录，食药安办管理人员可登记奖金发放情况，支持展示奖金发放记录详细信息。</w:t>
            </w:r>
          </w:p>
        </w:tc>
      </w:tr>
      <w:tr w14:paraId="60310A7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91BD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990</w:t>
            </w:r>
          </w:p>
        </w:tc>
        <w:tc>
          <w:tcPr>
            <w:tcW w:w="491" w:type="pct"/>
            <w:tcBorders>
              <w:top w:val="nil"/>
              <w:left w:val="nil"/>
              <w:bottom w:val="single" w:color="000000" w:sz="4" w:space="0"/>
              <w:right w:val="single" w:color="000000" w:sz="4" w:space="0"/>
            </w:tcBorders>
            <w:shd w:val="clear" w:color="auto" w:fill="auto"/>
            <w:vAlign w:val="center"/>
          </w:tcPr>
          <w:p w14:paraId="7A3144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2B72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食品安全举报奖励-简易程序的举报奖励流程管理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C63D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简易程序的启动：举报事项有较大社会影响，且经有关食品安全监管部门立案调查,有充分证据证明举报行为符合本办法规定应当给予举报奖励的,食品安全监管部门可以在案件调查终结时，启动简易程序根据案件货值金额等具体情况，对举报人给予不低于200元的先行奖励。系统支持简易程序的信息登记，举报奖励金额的预警管理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2、简易程序的权利告知管理：监管部门在批准案件调查终结之日起5日内,告知符合奖励条件的举报人予以先行奖励。系统支持登记告知情况。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简易程序的内部审核：监管部门应当在举报人提出先行奖励意愿之日起20日内，在线登记简易程序的举报奖励信息，并上传举报原始记录复印件、举报受理记录复印件、立案审批文书、案件调查终结审批文书、奖励告知书及送达证明等材料，报市级食品安全监管相关部门进行审核；</w:t>
            </w:r>
          </w:p>
        </w:tc>
      </w:tr>
      <w:tr w14:paraId="0C5319B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6C85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991</w:t>
            </w:r>
          </w:p>
        </w:tc>
        <w:tc>
          <w:tcPr>
            <w:tcW w:w="491" w:type="pct"/>
            <w:tcBorders>
              <w:top w:val="nil"/>
              <w:left w:val="nil"/>
              <w:bottom w:val="single" w:color="000000" w:sz="4" w:space="0"/>
              <w:right w:val="single" w:color="000000" w:sz="4" w:space="0"/>
            </w:tcBorders>
            <w:shd w:val="clear" w:color="auto" w:fill="auto"/>
            <w:vAlign w:val="center"/>
          </w:tcPr>
          <w:p w14:paraId="623DDD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645C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食品安全举报奖励-特殊奖励的附加程序管理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3A22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对奖励金额大于10万元(含10万元)的较大金额食品安全举报奖励资金使用，除按照本办法规定的一般程序进行审核外，还需经市食品药品安全委员会批准。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系统支持标记特殊奖励的举报奖励信息，自动预警并生成特殊奖励附加程序。</w:t>
            </w:r>
          </w:p>
        </w:tc>
      </w:tr>
      <w:tr w14:paraId="479FA8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B0DEA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992</w:t>
            </w:r>
          </w:p>
        </w:tc>
        <w:tc>
          <w:tcPr>
            <w:tcW w:w="491" w:type="pct"/>
            <w:tcBorders>
              <w:top w:val="nil"/>
              <w:left w:val="nil"/>
              <w:bottom w:val="single" w:color="000000" w:sz="4" w:space="0"/>
              <w:right w:val="single" w:color="000000" w:sz="4" w:space="0"/>
            </w:tcBorders>
            <w:shd w:val="clear" w:color="auto" w:fill="auto"/>
            <w:vAlign w:val="center"/>
          </w:tcPr>
          <w:p w14:paraId="0FD7EE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D25F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食品安全举报奖励-数据源连接投诉举报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AF21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登记举报奖励数据时连接投诉举报数据，可选择投诉举报信息进行举报奖信息登记，减少数据填写工作量，增加数据关联。</w:t>
            </w:r>
          </w:p>
        </w:tc>
      </w:tr>
      <w:tr w14:paraId="724F46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102D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993</w:t>
            </w:r>
          </w:p>
        </w:tc>
        <w:tc>
          <w:tcPr>
            <w:tcW w:w="491" w:type="pct"/>
            <w:tcBorders>
              <w:top w:val="nil"/>
              <w:left w:val="nil"/>
              <w:bottom w:val="single" w:color="000000" w:sz="4" w:space="0"/>
              <w:right w:val="single" w:color="000000" w:sz="4" w:space="0"/>
            </w:tcBorders>
            <w:shd w:val="clear" w:color="auto" w:fill="auto"/>
            <w:vAlign w:val="center"/>
          </w:tcPr>
          <w:p w14:paraId="2EB958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832B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食品安全举报奖励-举报奖励工作进展分析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E1DA4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1.支持对各区举报奖励信息进行分析，可筛选不同日期范围的举报奖励情况。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2.支持按照业务分类进行审核进展分析，支持各业务处室查看本部门审核进展情况。</w:t>
            </w:r>
          </w:p>
        </w:tc>
      </w:tr>
      <w:tr w14:paraId="2A602E4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59AF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994</w:t>
            </w:r>
          </w:p>
        </w:tc>
        <w:tc>
          <w:tcPr>
            <w:tcW w:w="491" w:type="pct"/>
            <w:tcBorders>
              <w:top w:val="nil"/>
              <w:left w:val="nil"/>
              <w:bottom w:val="single" w:color="000000" w:sz="4" w:space="0"/>
              <w:right w:val="single" w:color="000000" w:sz="4" w:space="0"/>
            </w:tcBorders>
            <w:shd w:val="clear" w:color="auto" w:fill="auto"/>
            <w:vAlign w:val="center"/>
          </w:tcPr>
          <w:p w14:paraId="19B94D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DFB4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包保督导（干部端）-干部完善相关信息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10A3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包保干部对个人基本信息、责任清单信息完善。干部首次登录需完善必填信息方可进入系统。信息发生变更时可进行修改。</w:t>
            </w:r>
          </w:p>
        </w:tc>
      </w:tr>
      <w:tr w14:paraId="07BA84A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DBEE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995</w:t>
            </w:r>
          </w:p>
        </w:tc>
        <w:tc>
          <w:tcPr>
            <w:tcW w:w="491" w:type="pct"/>
            <w:tcBorders>
              <w:top w:val="nil"/>
              <w:left w:val="nil"/>
              <w:bottom w:val="single" w:color="000000" w:sz="4" w:space="0"/>
              <w:right w:val="single" w:color="000000" w:sz="4" w:space="0"/>
            </w:tcBorders>
            <w:shd w:val="clear" w:color="auto" w:fill="auto"/>
            <w:vAlign w:val="center"/>
          </w:tcPr>
          <w:p w14:paraId="7E4CF7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BC40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包保督导（干部端）-我的包保主体</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0061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1.干部包保主体信息查询。支持对主体信息进行搜索查询。展示包保主体的相关信息，包括主体基本信息、主体级别、主体类型、产品抽检情况、追溯发现风险线索、抽查考核预警、监督检查预警等相关信息。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2.对注册型和非注册型企业的督导情况进行提醒，注册型企业当年无督导记录则进行督导提醒，非注册性企业根据本季度是否有督导记录进行督导提醒。包保主体根据是否有督导提醒进行优先排序展示。</w:t>
            </w:r>
          </w:p>
        </w:tc>
      </w:tr>
      <w:tr w14:paraId="34437D1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7F47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996</w:t>
            </w:r>
          </w:p>
        </w:tc>
        <w:tc>
          <w:tcPr>
            <w:tcW w:w="491" w:type="pct"/>
            <w:tcBorders>
              <w:top w:val="nil"/>
              <w:left w:val="nil"/>
              <w:bottom w:val="single" w:color="000000" w:sz="4" w:space="0"/>
              <w:right w:val="single" w:color="000000" w:sz="4" w:space="0"/>
            </w:tcBorders>
            <w:shd w:val="clear" w:color="auto" w:fill="auto"/>
            <w:vAlign w:val="center"/>
          </w:tcPr>
          <w:p w14:paraId="42EC44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FABE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包保督导（干部端）-主体风险模型应用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6AF4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分辨包保主体高风险发生时间：生成企业综合风险指数和各月风险指数，以便包保干部分辨包保主体的高风险时间段。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指导包保干部进行重点督导：根据包保主体的风险指数确定督导方式（是否一定要现场督导）、督导频率、重点时间段加强督导等。</w:t>
            </w:r>
          </w:p>
        </w:tc>
      </w:tr>
      <w:tr w14:paraId="26A6AA6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23D1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997</w:t>
            </w:r>
          </w:p>
        </w:tc>
        <w:tc>
          <w:tcPr>
            <w:tcW w:w="491" w:type="pct"/>
            <w:tcBorders>
              <w:top w:val="nil"/>
              <w:left w:val="nil"/>
              <w:bottom w:val="single" w:color="000000" w:sz="4" w:space="0"/>
              <w:right w:val="single" w:color="000000" w:sz="4" w:space="0"/>
            </w:tcBorders>
            <w:shd w:val="clear" w:color="auto" w:fill="auto"/>
            <w:vAlign w:val="center"/>
          </w:tcPr>
          <w:p w14:paraId="251F46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E2D2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包保督导（干部端）-学校型主体管理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B786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系统自动根据三级主体类型对特定分类的主体进行学校主体的标签标记，并支持干部在填报非学校型主体的督导记录时，学校相关的任务清单是否发现问题时默认为未涉及且不允许干部修改。</w:t>
            </w:r>
          </w:p>
        </w:tc>
      </w:tr>
      <w:tr w14:paraId="5B357C5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E336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998</w:t>
            </w:r>
          </w:p>
        </w:tc>
        <w:tc>
          <w:tcPr>
            <w:tcW w:w="491" w:type="pct"/>
            <w:tcBorders>
              <w:top w:val="nil"/>
              <w:left w:val="nil"/>
              <w:bottom w:val="single" w:color="000000" w:sz="4" w:space="0"/>
              <w:right w:val="single" w:color="000000" w:sz="4" w:space="0"/>
            </w:tcBorders>
            <w:shd w:val="clear" w:color="auto" w:fill="auto"/>
            <w:vAlign w:val="center"/>
          </w:tcPr>
          <w:p w14:paraId="41B2E3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D537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包保督导（干部端）-待跟进督导记录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D1E4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对发现问题且未形成闭环的督导记录进行集中展示，提醒干部进行督导进展情况跟进和处理。可查看督导问题进展情况详细信息。</w:t>
            </w:r>
          </w:p>
        </w:tc>
      </w:tr>
      <w:tr w14:paraId="76D036A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F120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999</w:t>
            </w:r>
          </w:p>
        </w:tc>
        <w:tc>
          <w:tcPr>
            <w:tcW w:w="491" w:type="pct"/>
            <w:tcBorders>
              <w:top w:val="nil"/>
              <w:left w:val="nil"/>
              <w:bottom w:val="single" w:color="000000" w:sz="4" w:space="0"/>
              <w:right w:val="single" w:color="000000" w:sz="4" w:space="0"/>
            </w:tcBorders>
            <w:shd w:val="clear" w:color="auto" w:fill="auto"/>
            <w:vAlign w:val="center"/>
          </w:tcPr>
          <w:p w14:paraId="167D8B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5774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包保督导（干部端）-督导记录填报管理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0C02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1.在线填报督导记录、跟进督导记录监管处置结果。填报内容包括督导基本情况、任务清单检查结果。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2.任务清单检查需登记是否发现问题，是否现场整改，是否需要提交监管机构等。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3.非学校类的督导记录填报自动对学校相关的任务清单设置为未涉及。</w:t>
            </w:r>
          </w:p>
        </w:tc>
      </w:tr>
      <w:tr w14:paraId="5B2C7BE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CED7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1000</w:t>
            </w:r>
          </w:p>
        </w:tc>
        <w:tc>
          <w:tcPr>
            <w:tcW w:w="491" w:type="pct"/>
            <w:tcBorders>
              <w:top w:val="nil"/>
              <w:left w:val="nil"/>
              <w:bottom w:val="single" w:color="000000" w:sz="4" w:space="0"/>
              <w:right w:val="single" w:color="000000" w:sz="4" w:space="0"/>
            </w:tcBorders>
            <w:shd w:val="clear" w:color="auto" w:fill="auto"/>
            <w:vAlign w:val="center"/>
          </w:tcPr>
          <w:p w14:paraId="162D3F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EC1B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包保督导（干部端）-督导记录管理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CE513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支持查询和管理干部填报的督导记录信息。支持按照督导日期、所属区域进行查询。系统根据查询结果展示相关信息。点击可查看督导记录进展及督导详细信息。对未闭环的督导记录，可进行修改。</w:t>
            </w:r>
          </w:p>
        </w:tc>
      </w:tr>
      <w:tr w14:paraId="51F68CB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99A7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1001</w:t>
            </w:r>
          </w:p>
        </w:tc>
        <w:tc>
          <w:tcPr>
            <w:tcW w:w="491" w:type="pct"/>
            <w:tcBorders>
              <w:top w:val="nil"/>
              <w:left w:val="nil"/>
              <w:bottom w:val="single" w:color="000000" w:sz="4" w:space="0"/>
              <w:right w:val="single" w:color="000000" w:sz="4" w:space="0"/>
            </w:tcBorders>
            <w:shd w:val="clear" w:color="auto" w:fill="auto"/>
            <w:vAlign w:val="center"/>
          </w:tcPr>
          <w:p w14:paraId="25CE0C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D456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包保督导（干部端）-注册型企业督导填报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FB76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1、包保干部督导时发现企业为注册型，填写督导记录时选择为注册型企业，任务项自动默认为“不涉及”；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2、督导记录流转至食安办端，食安办可选择转交监管机构；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3、监管机构核实情况后，标记包保主体为注册型企业；</w:t>
            </w:r>
          </w:p>
        </w:tc>
      </w:tr>
      <w:tr w14:paraId="5FCA46C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8218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1002</w:t>
            </w:r>
          </w:p>
        </w:tc>
        <w:tc>
          <w:tcPr>
            <w:tcW w:w="491" w:type="pct"/>
            <w:tcBorders>
              <w:top w:val="nil"/>
              <w:left w:val="nil"/>
              <w:bottom w:val="single" w:color="000000" w:sz="4" w:space="0"/>
              <w:right w:val="single" w:color="000000" w:sz="4" w:space="0"/>
            </w:tcBorders>
            <w:shd w:val="clear" w:color="auto" w:fill="auto"/>
            <w:vAlign w:val="center"/>
          </w:tcPr>
          <w:p w14:paraId="6C026B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F04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包保督导（干部端）-一键快速填报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26E2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1、一键填报不涉及，包保主体未经营食品时，督导记录可选择一键填报不涉及，任务清单项默认为“不涉及”；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2、一键填报未发现问题，包保主体未发现任何问题时，督导记录可选择一键填报不涉及，任务清单项默认为“是”；</w:t>
            </w:r>
          </w:p>
        </w:tc>
      </w:tr>
      <w:tr w14:paraId="41E1A82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09CA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1003</w:t>
            </w:r>
          </w:p>
        </w:tc>
        <w:tc>
          <w:tcPr>
            <w:tcW w:w="491" w:type="pct"/>
            <w:tcBorders>
              <w:top w:val="nil"/>
              <w:left w:val="nil"/>
              <w:bottom w:val="single" w:color="000000" w:sz="4" w:space="0"/>
              <w:right w:val="single" w:color="000000" w:sz="4" w:space="0"/>
            </w:tcBorders>
            <w:shd w:val="clear" w:color="auto" w:fill="auto"/>
            <w:vAlign w:val="center"/>
          </w:tcPr>
          <w:p w14:paraId="089B66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AA68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包保督导（干部端）-问题答疑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7775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包保干部可填写疑问，设置由食药安办或监管机构回复，系统自动派发问题信息给对应的机构，生成机构待办事项，相关机构回复后，干部可查看解答情况；</w:t>
            </w:r>
          </w:p>
        </w:tc>
      </w:tr>
      <w:tr w14:paraId="30AD95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FC9E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1004</w:t>
            </w:r>
          </w:p>
        </w:tc>
        <w:tc>
          <w:tcPr>
            <w:tcW w:w="491" w:type="pct"/>
            <w:tcBorders>
              <w:top w:val="nil"/>
              <w:left w:val="nil"/>
              <w:bottom w:val="single" w:color="000000" w:sz="4" w:space="0"/>
              <w:right w:val="single" w:color="000000" w:sz="4" w:space="0"/>
            </w:tcBorders>
            <w:shd w:val="clear" w:color="auto" w:fill="auto"/>
            <w:vAlign w:val="center"/>
          </w:tcPr>
          <w:p w14:paraId="5E653F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3BEC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包保督导（干部端）-经典案例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DEB4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食药安办机构可填写经典案例信息，包保干部可在线查看案例信息</w:t>
            </w:r>
          </w:p>
        </w:tc>
      </w:tr>
      <w:tr w14:paraId="0147AA1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4BA1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1005</w:t>
            </w:r>
          </w:p>
        </w:tc>
        <w:tc>
          <w:tcPr>
            <w:tcW w:w="491" w:type="pct"/>
            <w:tcBorders>
              <w:top w:val="nil"/>
              <w:left w:val="nil"/>
              <w:bottom w:val="single" w:color="000000" w:sz="4" w:space="0"/>
              <w:right w:val="single" w:color="000000" w:sz="4" w:space="0"/>
            </w:tcBorders>
            <w:shd w:val="clear" w:color="auto" w:fill="auto"/>
            <w:vAlign w:val="center"/>
          </w:tcPr>
          <w:p w14:paraId="0686C4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242A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包保督导（干部端）-督查整改管理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866E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被督查信息的查询查看。对需要进行整改的内容，可在线填报整改内容，包括整改图片或附件资料等。</w:t>
            </w:r>
          </w:p>
        </w:tc>
      </w:tr>
      <w:tr w14:paraId="601C643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553E6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1006</w:t>
            </w:r>
          </w:p>
        </w:tc>
        <w:tc>
          <w:tcPr>
            <w:tcW w:w="491" w:type="pct"/>
            <w:tcBorders>
              <w:top w:val="nil"/>
              <w:left w:val="nil"/>
              <w:bottom w:val="single" w:color="000000" w:sz="4" w:space="0"/>
              <w:right w:val="single" w:color="000000" w:sz="4" w:space="0"/>
            </w:tcBorders>
            <w:shd w:val="clear" w:color="auto" w:fill="auto"/>
            <w:vAlign w:val="center"/>
          </w:tcPr>
          <w:p w14:paraId="6EBCC4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C309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包保督导（干部端）-包保督导异常管理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443E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我的包保主体根据是否有未督导主体进行数量提示、待跟进督导记录根据待跟进督导记录进行数量提示、督查整改根据是否有需要跟进的督查记录数量进行数量提示。包保干部可点击提示信息进行业务处理。</w:t>
            </w:r>
          </w:p>
        </w:tc>
      </w:tr>
      <w:tr w14:paraId="3E50EA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3E8D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1007</w:t>
            </w:r>
          </w:p>
        </w:tc>
        <w:tc>
          <w:tcPr>
            <w:tcW w:w="491" w:type="pct"/>
            <w:tcBorders>
              <w:top w:val="nil"/>
              <w:left w:val="nil"/>
              <w:bottom w:val="single" w:color="000000" w:sz="4" w:space="0"/>
              <w:right w:val="single" w:color="000000" w:sz="4" w:space="0"/>
            </w:tcBorders>
            <w:shd w:val="clear" w:color="auto" w:fill="auto"/>
            <w:vAlign w:val="center"/>
          </w:tcPr>
          <w:p w14:paraId="46CCB4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3E2F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包保督导（干部端）-干部培训信息登记管理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BE37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干部可对培训信息进行记录管理，支持登记培训记录、培训时长、培训内容等，以便进行培训统计</w:t>
            </w:r>
          </w:p>
        </w:tc>
      </w:tr>
      <w:tr w14:paraId="1EAC292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3DE8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1008</w:t>
            </w:r>
          </w:p>
        </w:tc>
        <w:tc>
          <w:tcPr>
            <w:tcW w:w="491" w:type="pct"/>
            <w:tcBorders>
              <w:top w:val="nil"/>
              <w:left w:val="nil"/>
              <w:bottom w:val="single" w:color="000000" w:sz="4" w:space="0"/>
              <w:right w:val="single" w:color="000000" w:sz="4" w:space="0"/>
            </w:tcBorders>
            <w:shd w:val="clear" w:color="auto" w:fill="auto"/>
            <w:vAlign w:val="center"/>
          </w:tcPr>
          <w:p w14:paraId="7F0E85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1896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各区食品安全考核-区材料上报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46DD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查看各项考核评价内容，评议考核指标，评分细则，评价方式。区材料上报。</w:t>
            </w:r>
          </w:p>
        </w:tc>
      </w:tr>
      <w:tr w14:paraId="18A510B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B48D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1009</w:t>
            </w:r>
          </w:p>
        </w:tc>
        <w:tc>
          <w:tcPr>
            <w:tcW w:w="491" w:type="pct"/>
            <w:tcBorders>
              <w:top w:val="nil"/>
              <w:left w:val="nil"/>
              <w:bottom w:val="single" w:color="000000" w:sz="4" w:space="0"/>
              <w:right w:val="single" w:color="000000" w:sz="4" w:space="0"/>
            </w:tcBorders>
            <w:shd w:val="clear" w:color="auto" w:fill="auto"/>
            <w:vAlign w:val="center"/>
          </w:tcPr>
          <w:p w14:paraId="22A8EF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03DD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各区食品安全考核-评议考核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59C9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专家下载各区上传的材料， 如有打分必须填写打分说明。默认分每题后台设定。针对区材料缺失或错误，可线上提交补填说明。</w:t>
            </w:r>
          </w:p>
        </w:tc>
      </w:tr>
      <w:tr w14:paraId="6BAEC12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7E56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1010</w:t>
            </w:r>
          </w:p>
        </w:tc>
        <w:tc>
          <w:tcPr>
            <w:tcW w:w="491" w:type="pct"/>
            <w:tcBorders>
              <w:top w:val="nil"/>
              <w:left w:val="nil"/>
              <w:bottom w:val="single" w:color="000000" w:sz="4" w:space="0"/>
              <w:right w:val="single" w:color="000000" w:sz="4" w:space="0"/>
            </w:tcBorders>
            <w:shd w:val="clear" w:color="auto" w:fill="auto"/>
            <w:vAlign w:val="center"/>
          </w:tcPr>
          <w:p w14:paraId="7CDAA3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AC930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各区食品安全考核-区材料补填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5695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需要补充材料的考核项用特殊颜色标记，可查看专家要求，根据要求提交新材料</w:t>
            </w:r>
          </w:p>
        </w:tc>
      </w:tr>
      <w:tr w14:paraId="34B097F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35A1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1011</w:t>
            </w:r>
          </w:p>
        </w:tc>
        <w:tc>
          <w:tcPr>
            <w:tcW w:w="491" w:type="pct"/>
            <w:tcBorders>
              <w:top w:val="nil"/>
              <w:left w:val="nil"/>
              <w:bottom w:val="single" w:color="000000" w:sz="4" w:space="0"/>
              <w:right w:val="single" w:color="000000" w:sz="4" w:space="0"/>
            </w:tcBorders>
            <w:shd w:val="clear" w:color="auto" w:fill="auto"/>
            <w:vAlign w:val="center"/>
          </w:tcPr>
          <w:p w14:paraId="668686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D009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各区食品安全考核-评议复核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1654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针对各区补充的材料进行评定，确保每个区每项都必须完成打分。</w:t>
            </w:r>
          </w:p>
        </w:tc>
      </w:tr>
      <w:tr w14:paraId="092B746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C36A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1012</w:t>
            </w:r>
          </w:p>
        </w:tc>
        <w:tc>
          <w:tcPr>
            <w:tcW w:w="491" w:type="pct"/>
            <w:tcBorders>
              <w:top w:val="nil"/>
              <w:left w:val="nil"/>
              <w:bottom w:val="single" w:color="000000" w:sz="4" w:space="0"/>
              <w:right w:val="single" w:color="000000" w:sz="4" w:space="0"/>
            </w:tcBorders>
            <w:shd w:val="clear" w:color="auto" w:fill="auto"/>
            <w:vAlign w:val="center"/>
          </w:tcPr>
          <w:p w14:paraId="64DD57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700D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各区食品安全考核-考核进程管理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D107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食安办管理员可设定评议项，复核专家打分，设定材料上报和专家考核时间段</w:t>
            </w:r>
          </w:p>
        </w:tc>
      </w:tr>
      <w:tr w14:paraId="0FB0477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1DA6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1013</w:t>
            </w:r>
          </w:p>
        </w:tc>
        <w:tc>
          <w:tcPr>
            <w:tcW w:w="491" w:type="pct"/>
            <w:tcBorders>
              <w:top w:val="nil"/>
              <w:left w:val="nil"/>
              <w:bottom w:val="single" w:color="000000" w:sz="4" w:space="0"/>
              <w:right w:val="single" w:color="000000" w:sz="4" w:space="0"/>
            </w:tcBorders>
            <w:shd w:val="clear" w:color="auto" w:fill="auto"/>
            <w:vAlign w:val="center"/>
          </w:tcPr>
          <w:p w14:paraId="0380CC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27D6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各区食品安全考核-考核结果公示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5C58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评定结束后开启，显示本区总得分，单项得分，以及最后评定结果，评定说明。</w:t>
            </w:r>
          </w:p>
        </w:tc>
      </w:tr>
      <w:tr w14:paraId="30C4405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B256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1014</w:t>
            </w:r>
          </w:p>
        </w:tc>
        <w:tc>
          <w:tcPr>
            <w:tcW w:w="491" w:type="pct"/>
            <w:tcBorders>
              <w:top w:val="nil"/>
              <w:left w:val="nil"/>
              <w:bottom w:val="single" w:color="000000" w:sz="4" w:space="0"/>
              <w:right w:val="single" w:color="000000" w:sz="4" w:space="0"/>
            </w:tcBorders>
            <w:shd w:val="clear" w:color="auto" w:fill="auto"/>
            <w:vAlign w:val="center"/>
          </w:tcPr>
          <w:p w14:paraId="6CB7F3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F6DC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各区食品安全考核-食安办成员综合管理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78FE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区信息基础管理，区管理员管理，专家管理权限。</w:t>
            </w:r>
          </w:p>
        </w:tc>
      </w:tr>
      <w:tr w14:paraId="30C3D8C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E5D0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1015</w:t>
            </w:r>
          </w:p>
        </w:tc>
        <w:tc>
          <w:tcPr>
            <w:tcW w:w="491" w:type="pct"/>
            <w:tcBorders>
              <w:top w:val="nil"/>
              <w:left w:val="nil"/>
              <w:bottom w:val="single" w:color="000000" w:sz="4" w:space="0"/>
              <w:right w:val="single" w:color="000000" w:sz="4" w:space="0"/>
            </w:tcBorders>
            <w:shd w:val="clear" w:color="auto" w:fill="auto"/>
            <w:vAlign w:val="center"/>
          </w:tcPr>
          <w:p w14:paraId="528932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6FB2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特种设备技术支撑-检验检测机构管理-单位基本信息-外地发证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1AF2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检验检测机构数据增补采集：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外地发证：外地检验检测机构基本信息、证书信息，可到系统录入检验检测机构基本信息、证书信息信息等，需提交监察进行审核确认，确认通过后完成机构备案。此类机构相关信息可进行新增、编辑、删除。</w:t>
            </w:r>
          </w:p>
        </w:tc>
      </w:tr>
      <w:tr w14:paraId="07A5F4A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46002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1016</w:t>
            </w:r>
          </w:p>
        </w:tc>
        <w:tc>
          <w:tcPr>
            <w:tcW w:w="491" w:type="pct"/>
            <w:tcBorders>
              <w:top w:val="nil"/>
              <w:left w:val="nil"/>
              <w:bottom w:val="single" w:color="000000" w:sz="4" w:space="0"/>
              <w:right w:val="single" w:color="000000" w:sz="4" w:space="0"/>
            </w:tcBorders>
            <w:shd w:val="clear" w:color="auto" w:fill="auto"/>
            <w:vAlign w:val="center"/>
          </w:tcPr>
          <w:p w14:paraId="525AB7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3C5E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特种设备技术支撑-检验检测机构管理-单位基本信息-标准对接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F366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提供对外对接统一标准，外地检验检测机构可通过系统实现系统数据对接。</w:t>
            </w:r>
          </w:p>
        </w:tc>
      </w:tr>
      <w:tr w14:paraId="4E43863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A656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1017</w:t>
            </w:r>
          </w:p>
        </w:tc>
        <w:tc>
          <w:tcPr>
            <w:tcW w:w="491" w:type="pct"/>
            <w:tcBorders>
              <w:top w:val="nil"/>
              <w:left w:val="nil"/>
              <w:bottom w:val="single" w:color="000000" w:sz="4" w:space="0"/>
              <w:right w:val="single" w:color="000000" w:sz="4" w:space="0"/>
            </w:tcBorders>
            <w:shd w:val="clear" w:color="auto" w:fill="auto"/>
            <w:vAlign w:val="center"/>
          </w:tcPr>
          <w:p w14:paraId="7C3EEA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C9B8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特种设备技术支撑-检验检测机构管理-单位基本信息-本地发证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B19F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补录许可证以外的关于检验检测机构相关信息内容，包括如：机构经济类型、机构级别、机构性质、单位开始工作日期、单位总人数、技术负责人等。</w:t>
            </w:r>
          </w:p>
        </w:tc>
      </w:tr>
      <w:tr w14:paraId="768DBCE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8004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1018</w:t>
            </w:r>
          </w:p>
        </w:tc>
        <w:tc>
          <w:tcPr>
            <w:tcW w:w="491" w:type="pct"/>
            <w:tcBorders>
              <w:top w:val="nil"/>
              <w:left w:val="nil"/>
              <w:bottom w:val="single" w:color="000000" w:sz="4" w:space="0"/>
              <w:right w:val="single" w:color="000000" w:sz="4" w:space="0"/>
            </w:tcBorders>
            <w:shd w:val="clear" w:color="auto" w:fill="auto"/>
            <w:vAlign w:val="center"/>
          </w:tcPr>
          <w:p w14:paraId="3D2869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603F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特种设备技术支撑-检验检测人员管理-检验检测人员信息-人员备案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70FC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人员信息采集：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对外地发证的检验检测人员信息、检验师、检验检测人员执业注册证，根据单位归属地为条件通过数据对接方式获取本市特种检验检测人员相关信息，包括：人员基本信息、人员所属单位信息、人员证书信息等。</w:t>
            </w:r>
          </w:p>
        </w:tc>
      </w:tr>
      <w:tr w14:paraId="1AAA16C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9574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1019</w:t>
            </w:r>
          </w:p>
        </w:tc>
        <w:tc>
          <w:tcPr>
            <w:tcW w:w="491" w:type="pct"/>
            <w:tcBorders>
              <w:top w:val="nil"/>
              <w:left w:val="nil"/>
              <w:bottom w:val="single" w:color="000000" w:sz="4" w:space="0"/>
              <w:right w:val="single" w:color="000000" w:sz="4" w:space="0"/>
            </w:tcBorders>
            <w:shd w:val="clear" w:color="auto" w:fill="auto"/>
            <w:vAlign w:val="center"/>
          </w:tcPr>
          <w:p w14:paraId="1E9DEA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336A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特种设备技术支撑-检验检测人员管理-检验检测人员信息-信息查询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890C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提供检验检测人员相关信息查询功能，如包含：根据人员身份证号码查询人员基本信息、人员证书信息，根据人员证书类型（首次、复证、换证）查询某个时间段内发证的人员清单等。</w:t>
            </w:r>
          </w:p>
        </w:tc>
      </w:tr>
      <w:tr w14:paraId="3C84B6F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39A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1020</w:t>
            </w:r>
          </w:p>
        </w:tc>
        <w:tc>
          <w:tcPr>
            <w:tcW w:w="491" w:type="pct"/>
            <w:tcBorders>
              <w:top w:val="nil"/>
              <w:left w:val="nil"/>
              <w:bottom w:val="single" w:color="000000" w:sz="4" w:space="0"/>
              <w:right w:val="single" w:color="000000" w:sz="4" w:space="0"/>
            </w:tcBorders>
            <w:shd w:val="clear" w:color="auto" w:fill="auto"/>
            <w:vAlign w:val="center"/>
          </w:tcPr>
          <w:p w14:paraId="613EF2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E036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特种设备技术支撑-检验检测人员管理-人员持证统计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8752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1.统计检验检测人员、无损检测人员、作业人员分别对应的各类设备持证数和年增长量，支撑按时间条件查询。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2.根据三类不同人员对应的模板统计导出季度和年度报表。</w:t>
            </w:r>
          </w:p>
        </w:tc>
      </w:tr>
      <w:tr w14:paraId="48B40F4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6B36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1021</w:t>
            </w:r>
          </w:p>
        </w:tc>
        <w:tc>
          <w:tcPr>
            <w:tcW w:w="491" w:type="pct"/>
            <w:tcBorders>
              <w:top w:val="nil"/>
              <w:left w:val="nil"/>
              <w:bottom w:val="single" w:color="000000" w:sz="4" w:space="0"/>
              <w:right w:val="single" w:color="000000" w:sz="4" w:space="0"/>
            </w:tcBorders>
            <w:shd w:val="clear" w:color="auto" w:fill="auto"/>
            <w:vAlign w:val="center"/>
          </w:tcPr>
          <w:p w14:paraId="0E2555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4211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特种设备技术支撑-检验检测设备管理-设备基本信息管理-设备信息维护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6A6D1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设备种类、设备对应使用单位、设备安装地址等信息进行查询、导出。为检验检测机构提供本机构检验检测的设备基本信息数据台账管理，对非必要办理使用登记变更，但数据与实际情况不一致的信息进行修改维护，包括：出厂日期、控制柜编号、设备安装详细地点、设备使用场所、老旧设备状况、设备用途等。</w:t>
            </w:r>
          </w:p>
        </w:tc>
      </w:tr>
      <w:tr w14:paraId="70312F0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BB05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1022</w:t>
            </w:r>
          </w:p>
        </w:tc>
        <w:tc>
          <w:tcPr>
            <w:tcW w:w="491" w:type="pct"/>
            <w:tcBorders>
              <w:top w:val="nil"/>
              <w:left w:val="nil"/>
              <w:bottom w:val="single" w:color="000000" w:sz="4" w:space="0"/>
              <w:right w:val="single" w:color="000000" w:sz="4" w:space="0"/>
            </w:tcBorders>
            <w:shd w:val="clear" w:color="auto" w:fill="auto"/>
            <w:vAlign w:val="center"/>
          </w:tcPr>
          <w:p w14:paraId="27D8E4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B1BB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特种设备技术支撑-检验检测业务管理-检验报告上报-报告信息录入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68D7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录入外地检验检测机构出具的检验检测报告数据，按本市各种类设备检验检测报告模板要求制定上传报告数据标准，并提供批量导入检验检测报告数据功能。</w:t>
            </w:r>
          </w:p>
        </w:tc>
      </w:tr>
      <w:tr w14:paraId="30DB41D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E566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1023</w:t>
            </w:r>
          </w:p>
        </w:tc>
        <w:tc>
          <w:tcPr>
            <w:tcW w:w="491" w:type="pct"/>
            <w:tcBorders>
              <w:top w:val="nil"/>
              <w:left w:val="nil"/>
              <w:bottom w:val="single" w:color="000000" w:sz="4" w:space="0"/>
              <w:right w:val="single" w:color="000000" w:sz="4" w:space="0"/>
            </w:tcBorders>
            <w:shd w:val="clear" w:color="auto" w:fill="auto"/>
            <w:vAlign w:val="center"/>
          </w:tcPr>
          <w:p w14:paraId="609DD3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CC65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特种设备技术支撑-检验检测业务管理-检验报告上报-报告上传审核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4BED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根据设备注册代码或检验检测机构名称查询已录入外地检验检测报告数据的信息，并对应录入的数据上传外地检验检测报告书面扫描件，系统将扫描件提交给监察审核确认。</w:t>
            </w:r>
          </w:p>
        </w:tc>
      </w:tr>
      <w:tr w14:paraId="5B37923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79CF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1024</w:t>
            </w:r>
          </w:p>
        </w:tc>
        <w:tc>
          <w:tcPr>
            <w:tcW w:w="491" w:type="pct"/>
            <w:tcBorders>
              <w:top w:val="nil"/>
              <w:left w:val="nil"/>
              <w:bottom w:val="single" w:color="000000" w:sz="4" w:space="0"/>
              <w:right w:val="single" w:color="000000" w:sz="4" w:space="0"/>
            </w:tcBorders>
            <w:shd w:val="clear" w:color="auto" w:fill="auto"/>
            <w:vAlign w:val="center"/>
          </w:tcPr>
          <w:p w14:paraId="6A0794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CE9C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特种设备技术支撑-检验检测业务管理-检验延期管理-延期检验备案审核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46CD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审核企业提交的检验检测机构设备延期检验备案申请，审核完成后提交监察进行审批。审核通过后，设备下次检验日期自动向后延期。审核不通过，需录入回退原因反馈给检验机构。</w:t>
            </w:r>
          </w:p>
        </w:tc>
      </w:tr>
      <w:tr w14:paraId="69F5F79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F07F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1025</w:t>
            </w:r>
          </w:p>
        </w:tc>
        <w:tc>
          <w:tcPr>
            <w:tcW w:w="491" w:type="pct"/>
            <w:tcBorders>
              <w:top w:val="nil"/>
              <w:left w:val="nil"/>
              <w:bottom w:val="single" w:color="000000" w:sz="4" w:space="0"/>
              <w:right w:val="single" w:color="000000" w:sz="4" w:space="0"/>
            </w:tcBorders>
            <w:shd w:val="clear" w:color="auto" w:fill="auto"/>
            <w:vAlign w:val="center"/>
          </w:tcPr>
          <w:p w14:paraId="0E47DF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63BA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特种设备技术支撑-检验检测业务管理-检验延期管理-延期检验备案查询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F23C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根据设备注册代码、检验检测机构、申请延期备案日期等条件进行查询，实现对某一台设备或某一个时间段内该设备申请的延期备案详情。</w:t>
            </w:r>
          </w:p>
        </w:tc>
      </w:tr>
      <w:tr w14:paraId="5D2B468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2933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1026</w:t>
            </w:r>
          </w:p>
        </w:tc>
        <w:tc>
          <w:tcPr>
            <w:tcW w:w="491" w:type="pct"/>
            <w:tcBorders>
              <w:top w:val="nil"/>
              <w:left w:val="nil"/>
              <w:bottom w:val="single" w:color="000000" w:sz="4" w:space="0"/>
              <w:right w:val="single" w:color="000000" w:sz="4" w:space="0"/>
            </w:tcBorders>
            <w:shd w:val="clear" w:color="auto" w:fill="auto"/>
            <w:vAlign w:val="center"/>
          </w:tcPr>
          <w:p w14:paraId="73B708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D42C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特种设备技术支撑-检验检测业务管理-压力管道年报确认管理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C607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1.接收企业上传的管道信息并确认，将确认后的数据上传管道信息给监管查看。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2.对上传的管道数据形成数据汇总。</w:t>
            </w:r>
          </w:p>
        </w:tc>
      </w:tr>
      <w:tr w14:paraId="1F32495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3D4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1027</w:t>
            </w:r>
          </w:p>
        </w:tc>
        <w:tc>
          <w:tcPr>
            <w:tcW w:w="491" w:type="pct"/>
            <w:tcBorders>
              <w:top w:val="nil"/>
              <w:left w:val="nil"/>
              <w:bottom w:val="single" w:color="000000" w:sz="4" w:space="0"/>
              <w:right w:val="single" w:color="000000" w:sz="4" w:space="0"/>
            </w:tcBorders>
            <w:shd w:val="clear" w:color="auto" w:fill="auto"/>
            <w:vAlign w:val="center"/>
          </w:tcPr>
          <w:p w14:paraId="2B1942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2295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特种设备技术支撑-风险评估管理-安全评估报告管理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CFCE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为检验检测机构提供两种模式的安全评估报告数据信息管理：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1.录入特种设备的安全评估报告信息，系统自动生成安全评估报告PDF，支持批量导入报告基础信息数据、支持用户上传安全评估报告功能；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2.并能对已有安全评估报告进行查询和导出PDF功能。报告完成后上传监察。</w:t>
            </w:r>
          </w:p>
        </w:tc>
      </w:tr>
      <w:tr w14:paraId="61402C3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345F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1028</w:t>
            </w:r>
          </w:p>
        </w:tc>
        <w:tc>
          <w:tcPr>
            <w:tcW w:w="491" w:type="pct"/>
            <w:tcBorders>
              <w:top w:val="nil"/>
              <w:left w:val="nil"/>
              <w:bottom w:val="single" w:color="000000" w:sz="4" w:space="0"/>
              <w:right w:val="single" w:color="000000" w:sz="4" w:space="0"/>
            </w:tcBorders>
            <w:shd w:val="clear" w:color="auto" w:fill="auto"/>
            <w:vAlign w:val="center"/>
          </w:tcPr>
          <w:p w14:paraId="5F447E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AFE9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特种设备技术支撑-风险评估管理-设备风险评估管理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4955D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根据评估结果，确定特种设备的检验检测重点和方向、安全等级和使用期限，并对检验检测结果进行分析。</w:t>
            </w:r>
          </w:p>
        </w:tc>
      </w:tr>
      <w:tr w14:paraId="4C152E2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ED87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1029</w:t>
            </w:r>
          </w:p>
        </w:tc>
        <w:tc>
          <w:tcPr>
            <w:tcW w:w="491" w:type="pct"/>
            <w:tcBorders>
              <w:top w:val="nil"/>
              <w:left w:val="nil"/>
              <w:bottom w:val="single" w:color="000000" w:sz="4" w:space="0"/>
              <w:right w:val="single" w:color="000000" w:sz="4" w:space="0"/>
            </w:tcBorders>
            <w:shd w:val="clear" w:color="auto" w:fill="auto"/>
            <w:vAlign w:val="center"/>
          </w:tcPr>
          <w:p w14:paraId="347749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3E37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特种设备技术支撑-风险评估管理-安全评估设备统计-按隐患分析统计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F397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1.安全评估风险等级统计：根据安全评估报告按年份、评估设备类型、评估设备场所等进行风险等级统计分析。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2.安全评估隐患统计：对安全评估结论为：改造、更新、重大修理的电梯进行统计，形成隐患占比率排名。</w:t>
            </w:r>
          </w:p>
        </w:tc>
      </w:tr>
      <w:tr w14:paraId="3B61412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97A1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1030</w:t>
            </w:r>
          </w:p>
        </w:tc>
        <w:tc>
          <w:tcPr>
            <w:tcW w:w="491" w:type="pct"/>
            <w:tcBorders>
              <w:top w:val="nil"/>
              <w:left w:val="nil"/>
              <w:bottom w:val="single" w:color="000000" w:sz="4" w:space="0"/>
              <w:right w:val="single" w:color="000000" w:sz="4" w:space="0"/>
            </w:tcBorders>
            <w:shd w:val="clear" w:color="auto" w:fill="auto"/>
            <w:vAlign w:val="center"/>
          </w:tcPr>
          <w:p w14:paraId="4B0DFD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C7E6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经营者集中审查-经营者集中案件信息管理-经营者集中案件录入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E759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经营者集中简易案件反垄断申报表》中所列条款，对于总局转交的非结构化申报材料，提供业务人员录入功能，实现对经营者集中简易案件申报表中涉及的各类信息的全面录入，包括交易信息、申报依据、申请使用简易审查程序的理由、参与集中的经营者基本信息、参与交易的其他经营者、集中交易概况、集中对相关市场竞争状况的影响、相关市场行业协会信息、交易是否需要中国政府其他部门审批、本项交易的合规性及集中各方在中国境内的合规性、交易是否需要在其他国家/地区申报和其他需要说明的情况，以及申报人承诺和相关附件等框架和案件填报信息。</w:t>
            </w:r>
          </w:p>
        </w:tc>
      </w:tr>
      <w:tr w14:paraId="0F9BD51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0DD4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1031</w:t>
            </w:r>
          </w:p>
        </w:tc>
        <w:tc>
          <w:tcPr>
            <w:tcW w:w="491" w:type="pct"/>
            <w:tcBorders>
              <w:top w:val="nil"/>
              <w:left w:val="nil"/>
              <w:bottom w:val="single" w:color="000000" w:sz="4" w:space="0"/>
              <w:right w:val="single" w:color="000000" w:sz="4" w:space="0"/>
            </w:tcBorders>
            <w:shd w:val="clear" w:color="auto" w:fill="auto"/>
            <w:vAlign w:val="center"/>
          </w:tcPr>
          <w:p w14:paraId="36B06A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E5A3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经营者集中审查-经营者集中案件信息管理-经营者集中行业分类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CF81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建立经营者集中行业分类功能，根据国民经济行业分类法，对相关产品/服务建立广义词库，使每一案件可根据所涉产品归类为某一个或多个行业分类。</w:t>
            </w:r>
          </w:p>
        </w:tc>
      </w:tr>
      <w:tr w14:paraId="50453AC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4ADE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1032</w:t>
            </w:r>
          </w:p>
        </w:tc>
        <w:tc>
          <w:tcPr>
            <w:tcW w:w="491" w:type="pct"/>
            <w:tcBorders>
              <w:top w:val="nil"/>
              <w:left w:val="nil"/>
              <w:bottom w:val="single" w:color="000000" w:sz="4" w:space="0"/>
              <w:right w:val="single" w:color="000000" w:sz="4" w:space="0"/>
            </w:tcBorders>
            <w:shd w:val="clear" w:color="auto" w:fill="auto"/>
            <w:vAlign w:val="center"/>
          </w:tcPr>
          <w:p w14:paraId="1B4973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E509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经营者集中审查-经营者集中案件信息管理-经营者集中案件查询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9A23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实现经营者集中案件查询功能，可按照不同维度，查询包括申报者名称、行政区划、地址、行业分类、新设/合并企业所在地、规模、市场份额等各项信息。</w:t>
            </w:r>
          </w:p>
        </w:tc>
      </w:tr>
      <w:tr w14:paraId="0146364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EC1F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1033</w:t>
            </w:r>
          </w:p>
        </w:tc>
        <w:tc>
          <w:tcPr>
            <w:tcW w:w="491" w:type="pct"/>
            <w:tcBorders>
              <w:top w:val="nil"/>
              <w:left w:val="nil"/>
              <w:bottom w:val="single" w:color="000000" w:sz="4" w:space="0"/>
              <w:right w:val="single" w:color="000000" w:sz="4" w:space="0"/>
            </w:tcBorders>
            <w:shd w:val="clear" w:color="auto" w:fill="auto"/>
            <w:vAlign w:val="center"/>
          </w:tcPr>
          <w:p w14:paraId="1F81A1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2945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经营者集中审查-经营者集中综合智库管理-政务基础信息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4A45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经营者集中案件相关的主要行业（如私募、电动汽车），建立经营者集中综合智库，对来自政府部门、行业协会、资讯平台和咨询平台的各类信息进行采集录入管理功能。经营者集中案件相关的政务信息，主要关注重点行业龙头企业的相关信息，主要包括：企业设立时间、注册地/住所、组织形式、设立和重要变更情况、主要业务、经营范围、最终控制人和股权结构等基本概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提供对重点行业龙头企业基本信息的录入功能。对于本市重点行业龙头企业，可以通过与数据慧治中心的企业库对接的方式，可以获取注册登记信息。</w:t>
            </w:r>
          </w:p>
        </w:tc>
      </w:tr>
      <w:tr w14:paraId="394B23F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9DA9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1034</w:t>
            </w:r>
          </w:p>
        </w:tc>
        <w:tc>
          <w:tcPr>
            <w:tcW w:w="491" w:type="pct"/>
            <w:tcBorders>
              <w:top w:val="nil"/>
              <w:left w:val="nil"/>
              <w:bottom w:val="single" w:color="000000" w:sz="4" w:space="0"/>
              <w:right w:val="single" w:color="000000" w:sz="4" w:space="0"/>
            </w:tcBorders>
            <w:shd w:val="clear" w:color="auto" w:fill="auto"/>
            <w:vAlign w:val="center"/>
          </w:tcPr>
          <w:p w14:paraId="247E32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6751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经营者集中审查-经营者集中综合智库管理-行业统计数据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AF61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案件相关的行业统计数据，主要关注包括各类行业协会发布的周期性指数报告、各类指数释义、指标值和数据解析等统计数据，以此为市场数据参考。提供对市场（产品）核心统计的录入与报告上传功能。</w:t>
            </w:r>
          </w:p>
        </w:tc>
      </w:tr>
      <w:tr w14:paraId="3B4BD55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B0C2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1035</w:t>
            </w:r>
          </w:p>
        </w:tc>
        <w:tc>
          <w:tcPr>
            <w:tcW w:w="491" w:type="pct"/>
            <w:tcBorders>
              <w:top w:val="nil"/>
              <w:left w:val="nil"/>
              <w:bottom w:val="single" w:color="000000" w:sz="4" w:space="0"/>
              <w:right w:val="single" w:color="000000" w:sz="4" w:space="0"/>
            </w:tcBorders>
            <w:shd w:val="clear" w:color="auto" w:fill="auto"/>
            <w:vAlign w:val="center"/>
          </w:tcPr>
          <w:p w14:paraId="220F8E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D80B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经营者集中审查-经营者集中综合智库管理-行业咨询信息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4392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案件相关的行业咨询信息，主要关注下载行业发展报告，获取产业信息等数据，如艾瑞网公开提供的各类新经济行业领域的相关市场研究报告，产业信息网公开提供的实体经济数据、行业分析和研究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提供对行业市场份额数据的录入与行业发展报告的上传功能。</w:t>
            </w:r>
          </w:p>
        </w:tc>
      </w:tr>
      <w:tr w14:paraId="5C2D037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4524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1036</w:t>
            </w:r>
          </w:p>
        </w:tc>
        <w:tc>
          <w:tcPr>
            <w:tcW w:w="491" w:type="pct"/>
            <w:tcBorders>
              <w:top w:val="nil"/>
              <w:left w:val="nil"/>
              <w:bottom w:val="single" w:color="000000" w:sz="4" w:space="0"/>
              <w:right w:val="single" w:color="000000" w:sz="4" w:space="0"/>
            </w:tcBorders>
            <w:shd w:val="clear" w:color="auto" w:fill="auto"/>
            <w:vAlign w:val="center"/>
          </w:tcPr>
          <w:p w14:paraId="62A0E64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AEC8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经营者集中审查-经营者集中案件智能审查-案件审查辅助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430B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案件智能审查根据主动收集的相关市场、相关产品/服务、市场份额等关键综合智库数据，用于辅助审查人员对新发起案件开展合规审查。审查人员调用综合智库中数据对新发起案件中数据进行验证，验证通过则以新发起案件的填报数据作为审查依据；验证不通过则调用匹配验证系统中数据作为审查依据。</w:t>
            </w:r>
          </w:p>
        </w:tc>
      </w:tr>
      <w:tr w14:paraId="71C730E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EB0F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1037</w:t>
            </w:r>
          </w:p>
        </w:tc>
        <w:tc>
          <w:tcPr>
            <w:tcW w:w="491" w:type="pct"/>
            <w:tcBorders>
              <w:top w:val="nil"/>
              <w:left w:val="nil"/>
              <w:bottom w:val="single" w:color="000000" w:sz="4" w:space="0"/>
              <w:right w:val="single" w:color="000000" w:sz="4" w:space="0"/>
            </w:tcBorders>
            <w:shd w:val="clear" w:color="auto" w:fill="auto"/>
            <w:vAlign w:val="center"/>
          </w:tcPr>
          <w:p w14:paraId="65B5D3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8D7A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经营者集中审查-经营者集中案件智能审查-案件审查决定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9540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审查人员根据新发起案件中，有关新设/合并企业的相关产品/服务市场份额的最终认定作为审核依据，做出审查通过、不通过或其他审查结论。</w:t>
            </w:r>
          </w:p>
        </w:tc>
      </w:tr>
      <w:tr w14:paraId="2A37E07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ABE3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1038</w:t>
            </w:r>
          </w:p>
        </w:tc>
        <w:tc>
          <w:tcPr>
            <w:tcW w:w="491" w:type="pct"/>
            <w:tcBorders>
              <w:top w:val="nil"/>
              <w:left w:val="nil"/>
              <w:bottom w:val="single" w:color="000000" w:sz="4" w:space="0"/>
              <w:right w:val="single" w:color="000000" w:sz="4" w:space="0"/>
            </w:tcBorders>
            <w:shd w:val="clear" w:color="auto" w:fill="auto"/>
            <w:vAlign w:val="center"/>
          </w:tcPr>
          <w:p w14:paraId="3A3A56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27CC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经营者集中审查-经营者集中案件智能审查-案件审查报告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0E207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审查结论，系统可自动生成初步审查报告。通过对大量简易案件申请表和审查报告结构分析，设计报告模板，标记各类动态指标；通过添加路径实现数据自动匹配；此外，采用开放式内容编辑和文档排版功能，满足工作人员修改需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审查人员可调用历史报告，对初步审查报告进行修改，形成最终审查报告。初步审查报告和最终审查报告均可实现自动导出。</w:t>
            </w:r>
          </w:p>
        </w:tc>
      </w:tr>
      <w:tr w14:paraId="5ADBEE7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AA21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1039</w:t>
            </w:r>
          </w:p>
        </w:tc>
        <w:tc>
          <w:tcPr>
            <w:tcW w:w="491" w:type="pct"/>
            <w:tcBorders>
              <w:top w:val="nil"/>
              <w:left w:val="nil"/>
              <w:bottom w:val="single" w:color="000000" w:sz="4" w:space="0"/>
              <w:right w:val="single" w:color="000000" w:sz="4" w:space="0"/>
            </w:tcBorders>
            <w:shd w:val="clear" w:color="auto" w:fill="auto"/>
            <w:vAlign w:val="center"/>
          </w:tcPr>
          <w:p w14:paraId="65C491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1FF7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经营者集中审查-经营者集中案件预警分析-经营者集中案件可视化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5D92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实现对经营者集中案件信息的可视化功能，以各类图、表统计和展示，主要包括：1、以企业为入口，生成与其所有产品相关的案件情况；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2、以产品/服务为入口，生成与该产品/服务相关的企业或行政区划案件情况；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3、特定产品/服务的主要竞争者排名和上下游企业排名图像；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4、不同行政区划案件数量；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5、不同产品/服务类别案件数量以及其他组合统计结果。</w:t>
            </w:r>
          </w:p>
        </w:tc>
      </w:tr>
      <w:tr w14:paraId="6980C8C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5811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1040</w:t>
            </w:r>
          </w:p>
        </w:tc>
        <w:tc>
          <w:tcPr>
            <w:tcW w:w="491" w:type="pct"/>
            <w:tcBorders>
              <w:top w:val="nil"/>
              <w:left w:val="nil"/>
              <w:bottom w:val="single" w:color="000000" w:sz="4" w:space="0"/>
              <w:right w:val="single" w:color="000000" w:sz="4" w:space="0"/>
            </w:tcBorders>
            <w:shd w:val="clear" w:color="auto" w:fill="auto"/>
            <w:vAlign w:val="center"/>
          </w:tcPr>
          <w:p w14:paraId="47B04D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981C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经营者集中审查-经营者集中案件预警分析-经营者集中产业链画像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867D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针对每个经营者集中案件中相关产业链，形成贯穿其股东、上下游、相关市场等完整产业链的画像。</w:t>
            </w:r>
          </w:p>
        </w:tc>
      </w:tr>
      <w:tr w14:paraId="08306C3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A49A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1041</w:t>
            </w:r>
          </w:p>
        </w:tc>
        <w:tc>
          <w:tcPr>
            <w:tcW w:w="491" w:type="pct"/>
            <w:tcBorders>
              <w:top w:val="nil"/>
              <w:left w:val="nil"/>
              <w:bottom w:val="single" w:color="000000" w:sz="4" w:space="0"/>
              <w:right w:val="single" w:color="000000" w:sz="4" w:space="0"/>
            </w:tcBorders>
            <w:shd w:val="clear" w:color="auto" w:fill="auto"/>
            <w:vAlign w:val="center"/>
          </w:tcPr>
          <w:p w14:paraId="21B49B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C19C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企业信用信息公示（升级）-年报精细化管理-年报主体精细化分类模型-分类的模型算法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8CF2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基于年报主体精细化管理的指标组成，以及各类对接数据，建设年报主体精细化分类算法模型，根据算法模型汇聚计算各企业的分类结果，训练构建年报主体精细化分类算法。</w:t>
            </w:r>
          </w:p>
        </w:tc>
      </w:tr>
      <w:tr w14:paraId="49C948D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B470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1042</w:t>
            </w:r>
          </w:p>
        </w:tc>
        <w:tc>
          <w:tcPr>
            <w:tcW w:w="491" w:type="pct"/>
            <w:tcBorders>
              <w:top w:val="nil"/>
              <w:left w:val="nil"/>
              <w:bottom w:val="single" w:color="000000" w:sz="4" w:space="0"/>
              <w:right w:val="single" w:color="000000" w:sz="4" w:space="0"/>
            </w:tcBorders>
            <w:shd w:val="clear" w:color="auto" w:fill="auto"/>
            <w:vAlign w:val="center"/>
          </w:tcPr>
          <w:p w14:paraId="59503F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993C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企业信用信息公示（升级）-年报精细化管理-年报主体精细化分类模型-分类结果计算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BD3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根据分类模型算法，计算得出年报主体指标结果，按照相关法规，动态调整年报主体的分类结果，等级包括：主动申报类(A类)、引导帮扶类(B类)、重点关注类(C类)、异常清退类(D类)。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分类因素应包含：A类：1.年报行为规范2.大型企业/上市公司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B类：1、新设企业 2、国有/集体企业 3、分支机构 4、其他企业-近3年均按时年报但报送时间不规律的其他企业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C类：1、补报年报 2、纳税/收入异常3、不良失信记录4、法定代表人变更频繁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5、中介代报 6、歇业企业</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D类：1、连续2年未年报 2、全零申报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分类等级根据模型算法的结果动态调整。针对系统自动测算结果信息，部分信息可开放动态调整入口，对不实信息或误报信息可进行调整并修改分类，最终生成相对客观合理的分类结果。</w:t>
            </w:r>
          </w:p>
        </w:tc>
      </w:tr>
      <w:tr w14:paraId="55C9802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FC22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1043</w:t>
            </w:r>
          </w:p>
        </w:tc>
        <w:tc>
          <w:tcPr>
            <w:tcW w:w="491" w:type="pct"/>
            <w:tcBorders>
              <w:top w:val="nil"/>
              <w:left w:val="nil"/>
              <w:bottom w:val="single" w:color="000000" w:sz="4" w:space="0"/>
              <w:right w:val="single" w:color="000000" w:sz="4" w:space="0"/>
            </w:tcBorders>
            <w:shd w:val="clear" w:color="auto" w:fill="auto"/>
            <w:vAlign w:val="center"/>
          </w:tcPr>
          <w:p w14:paraId="68C6F2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62A7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企业信用信息公示（升级）-年报精细化管理-年报主体精细化分类模型-分类的应用方向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D3AE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年报主体精细化分类结果查询应用：支持年报主体精细化分类结果信息查询管理，可通过企业名称、统一码、所属辖区、所属经济小区、所属监管组等多维字段进行年报主体精细化分类结果信息查询，并可查看企业分类结果集支撑信息等详细信息。2、年报主体精细化分类统计分析：全市年报主体分类结果雷达图分布情况分析、全市年报主体分类结果综合分类统计、各区年报主体分类结果综合分类得分统计等。从不同维度提供年报主体精细化分类结果分析。3、标准查询接口：结合用户单位、部门、权限等信息，提供所属区域年报主体精细化分类结果数据、并支持在线导出或离线导出功能。建设分类结果数据等标准查询接口，支撑各类专业领域数据应用。</w:t>
            </w:r>
          </w:p>
        </w:tc>
      </w:tr>
      <w:tr w14:paraId="3853F2E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45C7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1044</w:t>
            </w:r>
          </w:p>
        </w:tc>
        <w:tc>
          <w:tcPr>
            <w:tcW w:w="491" w:type="pct"/>
            <w:tcBorders>
              <w:top w:val="nil"/>
              <w:left w:val="nil"/>
              <w:bottom w:val="single" w:color="000000" w:sz="4" w:space="0"/>
              <w:right w:val="single" w:color="000000" w:sz="4" w:space="0"/>
            </w:tcBorders>
            <w:shd w:val="clear" w:color="auto" w:fill="auto"/>
            <w:vAlign w:val="center"/>
          </w:tcPr>
          <w:p w14:paraId="45FC00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AE46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企业信用信息公示（升级）-年报精细化管理-年报数据质量（零值率)智能研判模型-年报数据质量（零值率)智能研判模型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C5A4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模型输出：识别出零值率年报主体的真实性，输出可能存在问题的年报主体，用于后续监管。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年报数据质量（零值率)智能研判功能，需要结合实际业务要求、业务数据实情、以及各类研判模型，有机组合、合理调用各类研判模型，形成高效合规的智能研判整体功能体系。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利用人工智能AI、语义分析等技术手段对监管人员对问题的反馈结果进行深度学习，进一步优化算法模型。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（模型数据来源：市场主体年报数据、市场主体投资数据、许可数据、投诉举报数据、行政处罚数据、网络监测数据、食品追溯数据）</w:t>
            </w:r>
          </w:p>
        </w:tc>
      </w:tr>
      <w:tr w14:paraId="170A8AA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998E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1045</w:t>
            </w:r>
          </w:p>
        </w:tc>
        <w:tc>
          <w:tcPr>
            <w:tcW w:w="491" w:type="pct"/>
            <w:tcBorders>
              <w:top w:val="nil"/>
              <w:left w:val="nil"/>
              <w:bottom w:val="single" w:color="000000" w:sz="4" w:space="0"/>
              <w:right w:val="single" w:color="000000" w:sz="4" w:space="0"/>
            </w:tcBorders>
            <w:shd w:val="clear" w:color="auto" w:fill="auto"/>
            <w:vAlign w:val="center"/>
          </w:tcPr>
          <w:p w14:paraId="28ECAE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EF03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企业信用信息公示（升级）-年报精细化管理-年报数据质量（零值率)智能研判模型-年报数据质量（零值率)智能研判综合评估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55A7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汇总各类研判模型的研判结果，综合评估形成当前年报数据质量（零值率)研判结果。</w:t>
            </w:r>
          </w:p>
        </w:tc>
      </w:tr>
      <w:tr w14:paraId="10DDEC6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769A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1046</w:t>
            </w:r>
          </w:p>
        </w:tc>
        <w:tc>
          <w:tcPr>
            <w:tcW w:w="491" w:type="pct"/>
            <w:tcBorders>
              <w:top w:val="nil"/>
              <w:left w:val="nil"/>
              <w:bottom w:val="single" w:color="000000" w:sz="4" w:space="0"/>
              <w:right w:val="single" w:color="000000" w:sz="4" w:space="0"/>
            </w:tcBorders>
            <w:shd w:val="clear" w:color="auto" w:fill="auto"/>
            <w:vAlign w:val="center"/>
          </w:tcPr>
          <w:p w14:paraId="0321BF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C9D4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企业信用信息公示（升级）-年报精细化管理-年报数据质量问题管理-质量问题通用处理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EC14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基于数据质量（零值率)智能研判模型输出的结果，按管辖机关自动分配。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监管人员可对问题进行反馈处理。支持录入处理结果和退回。</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支持问题类型拓展。</w:t>
            </w:r>
          </w:p>
        </w:tc>
      </w:tr>
      <w:tr w14:paraId="0551996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CC1CF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1047</w:t>
            </w:r>
          </w:p>
        </w:tc>
        <w:tc>
          <w:tcPr>
            <w:tcW w:w="491" w:type="pct"/>
            <w:tcBorders>
              <w:top w:val="nil"/>
              <w:left w:val="nil"/>
              <w:bottom w:val="single" w:color="000000" w:sz="4" w:space="0"/>
              <w:right w:val="single" w:color="000000" w:sz="4" w:space="0"/>
            </w:tcBorders>
            <w:shd w:val="clear" w:color="auto" w:fill="auto"/>
            <w:vAlign w:val="center"/>
          </w:tcPr>
          <w:p w14:paraId="223C9D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749B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企业信用信息公示（升级）-年报精细化管理-年报数据质量问题管理-质量问题通用查询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68E1F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对质量问题和问题的处理结果进行查询。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支持问题类型拓展。</w:t>
            </w:r>
          </w:p>
        </w:tc>
      </w:tr>
      <w:tr w14:paraId="5AAD879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7756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1048</w:t>
            </w:r>
          </w:p>
        </w:tc>
        <w:tc>
          <w:tcPr>
            <w:tcW w:w="491" w:type="pct"/>
            <w:tcBorders>
              <w:top w:val="nil"/>
              <w:left w:val="nil"/>
              <w:bottom w:val="single" w:color="000000" w:sz="4" w:space="0"/>
              <w:right w:val="single" w:color="000000" w:sz="4" w:space="0"/>
            </w:tcBorders>
            <w:shd w:val="clear" w:color="auto" w:fill="auto"/>
            <w:vAlign w:val="center"/>
          </w:tcPr>
          <w:p w14:paraId="4B2DAC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4D2F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企业信用信息公示（升级）-年报精细化管理-年报数据质量问题管理-质量问题处理结果反哺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3217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按照预定规则，生成问题处理结果反哺数据。反馈年报数据质量（零值率)智能研判模型，持续优化年报数据质量（零值率)智能研判模型。</w:t>
            </w:r>
          </w:p>
        </w:tc>
      </w:tr>
      <w:tr w14:paraId="7458371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3817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1049</w:t>
            </w:r>
          </w:p>
        </w:tc>
        <w:tc>
          <w:tcPr>
            <w:tcW w:w="491" w:type="pct"/>
            <w:tcBorders>
              <w:top w:val="nil"/>
              <w:left w:val="nil"/>
              <w:bottom w:val="single" w:color="000000" w:sz="4" w:space="0"/>
              <w:right w:val="single" w:color="000000" w:sz="4" w:space="0"/>
            </w:tcBorders>
            <w:shd w:val="clear" w:color="auto" w:fill="auto"/>
            <w:vAlign w:val="center"/>
          </w:tcPr>
          <w:p w14:paraId="58EA93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2FDE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企业信用信息公示（升级）-年报精细化管理-年报月度名单管理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8592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月度规则管理：根据年报分类结果,主体状态结合历年年报时间等数据，根据规则设定主体应年报月份，生成月度应年报主体清单。支持对月度年报率进行管理。2、月度年报展示：根据月度应年报主体和主体实际年报情况，生成月度年报展示页面，包含：应年报主题数、已年报主题数、精准年报主题数、期望年报率、实际年报率等。为持续优化年报精细化管理提供数据支撑。</w:t>
            </w:r>
          </w:p>
        </w:tc>
      </w:tr>
      <w:tr w14:paraId="7FD90BA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7460A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1050</w:t>
            </w:r>
          </w:p>
        </w:tc>
        <w:tc>
          <w:tcPr>
            <w:tcW w:w="491" w:type="pct"/>
            <w:tcBorders>
              <w:top w:val="nil"/>
              <w:left w:val="nil"/>
              <w:bottom w:val="single" w:color="000000" w:sz="4" w:space="0"/>
              <w:right w:val="single" w:color="000000" w:sz="4" w:space="0"/>
            </w:tcBorders>
            <w:shd w:val="clear" w:color="auto" w:fill="auto"/>
            <w:vAlign w:val="center"/>
          </w:tcPr>
          <w:p w14:paraId="551663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E88F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企业信用信息公示（升级）-年报精细化管理-年报催报管理-年报联系方式管理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D3BB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企业年报联系人的采集（填报人信息采集），归纳汇集年报联系人历史及变更信息，用于当第一联系人失联时可以通过历史联系人信息进行追踪联系到相关企业。可以按年度给企业指定联系人用于接收催报信息。</w:t>
            </w:r>
          </w:p>
        </w:tc>
      </w:tr>
      <w:tr w14:paraId="7D88E15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9FFD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1051</w:t>
            </w:r>
          </w:p>
        </w:tc>
        <w:tc>
          <w:tcPr>
            <w:tcW w:w="491" w:type="pct"/>
            <w:tcBorders>
              <w:top w:val="nil"/>
              <w:left w:val="nil"/>
              <w:bottom w:val="single" w:color="000000" w:sz="4" w:space="0"/>
              <w:right w:val="single" w:color="000000" w:sz="4" w:space="0"/>
            </w:tcBorders>
            <w:shd w:val="clear" w:color="auto" w:fill="auto"/>
            <w:vAlign w:val="center"/>
          </w:tcPr>
          <w:p w14:paraId="48B9B6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A89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企业信用信息公示（升级）-年报精细化管理-年报催报管理-智能催报清单算法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EE14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设智能催报清单算法，基于年报数据、年报精细化分类情况、月度年报主体清单、预定的催报规则。生成多种催报结果。同时纳入短信催报和智能外呼的结果，综合生成符合各种催报场景的催报清单。（场景：初期提醒、中期催促、后期集中催报）</w:t>
            </w:r>
          </w:p>
        </w:tc>
      </w:tr>
      <w:tr w14:paraId="763F663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73A46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1052</w:t>
            </w:r>
          </w:p>
        </w:tc>
        <w:tc>
          <w:tcPr>
            <w:tcW w:w="491" w:type="pct"/>
            <w:tcBorders>
              <w:top w:val="nil"/>
              <w:left w:val="nil"/>
              <w:bottom w:val="single" w:color="000000" w:sz="4" w:space="0"/>
              <w:right w:val="single" w:color="000000" w:sz="4" w:space="0"/>
            </w:tcBorders>
            <w:shd w:val="clear" w:color="auto" w:fill="auto"/>
            <w:vAlign w:val="center"/>
          </w:tcPr>
          <w:p w14:paraId="61A369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0386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企业信用信息公示（升级）-年报精细化管理-年报催报管理-短信催报管理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47D8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系统提短信催报管理功能，关联催报算法的结果，进行催报。并提供催报记录查询与统计分析。支持设置短信催报频度及短信内容。</w:t>
            </w:r>
          </w:p>
        </w:tc>
      </w:tr>
      <w:tr w14:paraId="5B45A5E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402A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1053</w:t>
            </w:r>
          </w:p>
        </w:tc>
        <w:tc>
          <w:tcPr>
            <w:tcW w:w="491" w:type="pct"/>
            <w:tcBorders>
              <w:top w:val="nil"/>
              <w:left w:val="nil"/>
              <w:bottom w:val="single" w:color="000000" w:sz="4" w:space="0"/>
              <w:right w:val="single" w:color="000000" w:sz="4" w:space="0"/>
            </w:tcBorders>
            <w:shd w:val="clear" w:color="auto" w:fill="auto"/>
            <w:vAlign w:val="center"/>
          </w:tcPr>
          <w:p w14:paraId="2DBD02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26E7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企业信用信息公示（升级）-年报精细化管理-外省迁入对接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7FFE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1、对接总局一体化平台接口 ：对接总局一体化办公平台数据上传和数据下载接口，将外省市迁入本市的企业的年报数据下载下来、本市迁往外省市的企业的年报数据上报到总局一体化平台。2、外省市迁入企业年报管理 ：增加外省市迁入企业年报管理功能：可对外省市迁入的企业进行年报授权，授权后，可以在上海参加指定年度的年报。支持查看总局一体化平台年报数据下载情况，年报详情。3、外省市迁入企业年报数据应用：将总局一体化平台的年报数据导入到外网年报填报系统中，进行匹配兼容处理，处理后企业可以外网登录年报系统查看在外省市填写的年报。同时接入年报授权模块，授权后，可以修改企业在外省市填写的年报。</w:t>
            </w:r>
          </w:p>
        </w:tc>
      </w:tr>
      <w:tr w14:paraId="5CD1956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F9C4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1054</w:t>
            </w:r>
          </w:p>
        </w:tc>
        <w:tc>
          <w:tcPr>
            <w:tcW w:w="491" w:type="pct"/>
            <w:tcBorders>
              <w:top w:val="nil"/>
              <w:left w:val="nil"/>
              <w:bottom w:val="single" w:color="000000" w:sz="4" w:space="0"/>
              <w:right w:val="single" w:color="000000" w:sz="4" w:space="0"/>
            </w:tcBorders>
            <w:shd w:val="clear" w:color="auto" w:fill="auto"/>
            <w:vAlign w:val="center"/>
          </w:tcPr>
          <w:p w14:paraId="1DE668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3B45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企业信用信息公示（升级）-年报精细化管理-精细化年报汇总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E289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数据计算：基于年报精细化管理数据和年报数据，生成年报分类进度数据；外省市迁入企业年报统计数据；催报情况统计数据；大型企业、海关企业、外资企业、特种设备生产企业、重点领域企业年报进度数据；年报精细化管理分类年报进度数据；2、精细化管理展示：建设年报精细化管理展示页面，包括年报分类展示；年报分类进度展示；外省市迁入企业年报统计展示；催报情况展示；大型企业、海关企业、外资企业、特种设备生产企业、重点领域企业年报进度展示。支持按管辖机关展示不同层级的精细化管理成果。</w:t>
            </w:r>
          </w:p>
        </w:tc>
      </w:tr>
      <w:tr w14:paraId="121ADAE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5D37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1055</w:t>
            </w:r>
          </w:p>
        </w:tc>
        <w:tc>
          <w:tcPr>
            <w:tcW w:w="491" w:type="pct"/>
            <w:tcBorders>
              <w:top w:val="nil"/>
              <w:left w:val="nil"/>
              <w:bottom w:val="single" w:color="000000" w:sz="4" w:space="0"/>
              <w:right w:val="single" w:color="000000" w:sz="4" w:space="0"/>
            </w:tcBorders>
            <w:shd w:val="clear" w:color="auto" w:fill="auto"/>
            <w:vAlign w:val="center"/>
          </w:tcPr>
          <w:p w14:paraId="6619CF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479B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企业信用信息公示（升级）-年报精细化管理-未年报企业清单管理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1C349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未年报企业清单生成：企业年报期间，按市场所生成未年报企业清单，生成xlsx文件，存储一定期限供调用查看。2、未年报企业清单检索：为辅助市场监管人员，通过企业类型、设立时间、企业规模、行业类别多条件定制化检索企业年报填报情况，辅助监管单位及时做出催报方案，有效提高单位年报率。3、未年报企业清单下载：为辅助监督检查人员，对未及时填报年报的企业，重点开展日常监管活动提供数据支撑。4、未年报企业详情：为市场监管人员提供便捷的未年报企业基本信息、经营、抽查检查、行政处罚企业、联络员信息查看能力。</w:t>
            </w:r>
          </w:p>
        </w:tc>
      </w:tr>
      <w:tr w14:paraId="7299AAA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4D8D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1056</w:t>
            </w:r>
          </w:p>
        </w:tc>
        <w:tc>
          <w:tcPr>
            <w:tcW w:w="491" w:type="pct"/>
            <w:tcBorders>
              <w:top w:val="nil"/>
              <w:left w:val="nil"/>
              <w:bottom w:val="single" w:color="000000" w:sz="4" w:space="0"/>
              <w:right w:val="single" w:color="000000" w:sz="4" w:space="0"/>
            </w:tcBorders>
            <w:shd w:val="clear" w:color="auto" w:fill="auto"/>
            <w:vAlign w:val="center"/>
          </w:tcPr>
          <w:p w14:paraId="594A1F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BA1954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企业信用信息公示（升级）-年报精细化管理-企业年报率管理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E815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市场所企业年报率生成：企业年报期间，每日通过任务调度管理，按企业内资、外资、农专、常驻代表机构类型计算、分析市场所年报率。2、市场所企业年报率追溯：对每日产生的市场所年报率，提供历史查档能力，按企业内资、外资、农专、常驻代表机构类型、计算时间提供可视化的页面。3、企业年报率环比同比可视化：按企业内资、外资、农专、常驻代表机构类型多维度提供可视化年报率趋势分析，并提供环比同比图表展现。</w:t>
            </w:r>
          </w:p>
        </w:tc>
      </w:tr>
      <w:tr w14:paraId="2EE79BF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3567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1057</w:t>
            </w:r>
          </w:p>
        </w:tc>
        <w:tc>
          <w:tcPr>
            <w:tcW w:w="491" w:type="pct"/>
            <w:tcBorders>
              <w:top w:val="nil"/>
              <w:left w:val="nil"/>
              <w:bottom w:val="single" w:color="000000" w:sz="4" w:space="0"/>
              <w:right w:val="single" w:color="000000" w:sz="4" w:space="0"/>
            </w:tcBorders>
            <w:shd w:val="clear" w:color="auto" w:fill="auto"/>
            <w:vAlign w:val="center"/>
          </w:tcPr>
          <w:p w14:paraId="77D8D2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13AF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企业信用信息公示（升级）-年报精细化管理-个体年报管理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2EF7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市场所个体年报率生成：个体年报期间，每日通过任务调度管理，按各监管机关单位计算、分析市场所年报率。2、市场所个体年路径生成：个体年报按监管单位对小程序/APP、电子营业执照、PC端生成路径。3、个体年报率可视化：对年度产生的市场所年报率，提供可视化的页面。4、个体年报功能调整：国家企业信用信息公示系统始终开放个体工商户年报通道。对补报年度报告的个体工商户实施自动取消异常标记，不设置审批程序。</w:t>
            </w:r>
          </w:p>
        </w:tc>
      </w:tr>
      <w:tr w14:paraId="6DB987B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576C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1058</w:t>
            </w:r>
          </w:p>
        </w:tc>
        <w:tc>
          <w:tcPr>
            <w:tcW w:w="491" w:type="pct"/>
            <w:tcBorders>
              <w:top w:val="nil"/>
              <w:left w:val="nil"/>
              <w:bottom w:val="single" w:color="000000" w:sz="4" w:space="0"/>
              <w:right w:val="single" w:color="000000" w:sz="4" w:space="0"/>
            </w:tcBorders>
            <w:shd w:val="clear" w:color="auto" w:fill="auto"/>
            <w:vAlign w:val="center"/>
          </w:tcPr>
          <w:p w14:paraId="62E100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E7EC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企业信用信息公示（升级）-年报精细化管理-经营异常名录分析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6B76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生成经营异常名录报表数据：制定经营异常名录报表调度任务，按企业类型、行业、监管单位多个维度生成生成经营异常名录报表数据。2、经营异常名录分析可视化：对市场监管人员提供经营异常名录报表数据的可视化能力，满足监管人员多视角、多维度的图表展现形式。</w:t>
            </w:r>
          </w:p>
        </w:tc>
      </w:tr>
      <w:tr w14:paraId="0BD7166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9756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1059</w:t>
            </w:r>
          </w:p>
        </w:tc>
        <w:tc>
          <w:tcPr>
            <w:tcW w:w="491" w:type="pct"/>
            <w:tcBorders>
              <w:top w:val="nil"/>
              <w:left w:val="nil"/>
              <w:bottom w:val="single" w:color="000000" w:sz="4" w:space="0"/>
              <w:right w:val="single" w:color="000000" w:sz="4" w:space="0"/>
            </w:tcBorders>
            <w:shd w:val="clear" w:color="auto" w:fill="auto"/>
            <w:vAlign w:val="center"/>
          </w:tcPr>
          <w:p w14:paraId="25D9D9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826C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企业信用信息公示（升级）-年报精细化管理-严重违法名单分析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7C8A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生成严重违法名单报表数据：制定严重违法名单报表调度任务，按企业类型、行业、监管单位多个维度生成生成严重违法名单报表数据。2、严重违法名单分析可视化：对市场监管人员提供严重违法名单报表数据的可视化能力，满足监管人员多视角、多维度的图表展现形式。3、完善经营异常名录和严重违法企业名单的统计功能：按要求修改经营异常名录、严重违法企业名单相关文书。</w:t>
            </w:r>
          </w:p>
        </w:tc>
      </w:tr>
      <w:tr w14:paraId="0A5E34B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845D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1060</w:t>
            </w:r>
          </w:p>
        </w:tc>
        <w:tc>
          <w:tcPr>
            <w:tcW w:w="491" w:type="pct"/>
            <w:tcBorders>
              <w:top w:val="nil"/>
              <w:left w:val="nil"/>
              <w:bottom w:val="single" w:color="000000" w:sz="4" w:space="0"/>
              <w:right w:val="single" w:color="000000" w:sz="4" w:space="0"/>
            </w:tcBorders>
            <w:shd w:val="clear" w:color="auto" w:fill="auto"/>
            <w:vAlign w:val="center"/>
          </w:tcPr>
          <w:p w14:paraId="51F9E0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33D0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企业信用信息公示（升级）-年报精细化管理-年报精准授权</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0C180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实现年报精准帮扶，解决老企业年报难问题。对存在的部分老企业无法办理三证合一，无法取得CA或电子营业执照。建设年报精准授权功能，在确认企业真实身份后，为企业生成年检专属填报年报窗口（url），通过短信方式发送给申请人，企业申请人可以通过专属填报年报窗口在规定时间内完成年报填报。</w:t>
            </w:r>
          </w:p>
        </w:tc>
      </w:tr>
      <w:tr w14:paraId="5107217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B18C3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1061</w:t>
            </w:r>
          </w:p>
        </w:tc>
        <w:tc>
          <w:tcPr>
            <w:tcW w:w="491" w:type="pct"/>
            <w:tcBorders>
              <w:top w:val="nil"/>
              <w:left w:val="nil"/>
              <w:bottom w:val="single" w:color="000000" w:sz="4" w:space="0"/>
              <w:right w:val="single" w:color="000000" w:sz="4" w:space="0"/>
            </w:tcBorders>
            <w:shd w:val="clear" w:color="auto" w:fill="auto"/>
            <w:vAlign w:val="center"/>
          </w:tcPr>
          <w:p w14:paraId="601A2E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770C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移动监管个性化首页-个性化首页／置顶功能-电子亮证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3839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监管人员使用亮证功能表明监管执法身份。证件类型分为行政执法证、特种设备安全监察员证。</w:t>
            </w:r>
          </w:p>
        </w:tc>
      </w:tr>
      <w:tr w14:paraId="2926380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9C90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1062</w:t>
            </w:r>
          </w:p>
        </w:tc>
        <w:tc>
          <w:tcPr>
            <w:tcW w:w="491" w:type="pct"/>
            <w:tcBorders>
              <w:top w:val="nil"/>
              <w:left w:val="nil"/>
              <w:bottom w:val="single" w:color="000000" w:sz="4" w:space="0"/>
              <w:right w:val="single" w:color="000000" w:sz="4" w:space="0"/>
            </w:tcBorders>
            <w:shd w:val="clear" w:color="auto" w:fill="auto"/>
            <w:vAlign w:val="center"/>
          </w:tcPr>
          <w:p w14:paraId="264D36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3C38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移动监管个性化首页-个性化首页／置顶功能-扫一扫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4CB0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扫“企业码”、“特设码”等。扫“企业码”后，显示监管对象主体一界面，并提供发起监督检查、查看待办监管任务清单等快捷按钮。扫“特设码”后，显示特种设备一界面，并提供发起对使用单位的监督检查、查看待办使用单位监管任务清单等快捷按钮。</w:t>
            </w:r>
          </w:p>
        </w:tc>
      </w:tr>
      <w:tr w14:paraId="3C324D7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4042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1063</w:t>
            </w:r>
          </w:p>
        </w:tc>
        <w:tc>
          <w:tcPr>
            <w:tcW w:w="491" w:type="pct"/>
            <w:tcBorders>
              <w:top w:val="nil"/>
              <w:left w:val="nil"/>
              <w:bottom w:val="single" w:color="000000" w:sz="4" w:space="0"/>
              <w:right w:val="single" w:color="000000" w:sz="4" w:space="0"/>
            </w:tcBorders>
            <w:shd w:val="clear" w:color="auto" w:fill="auto"/>
            <w:vAlign w:val="center"/>
          </w:tcPr>
          <w:p w14:paraId="4E4F9F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AC49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移动监管个性化首页-个性化首页／置顶功能-现场新建任务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877F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发起监督检查，根据实际情况，新建全覆盖监管或问题线索处置类型的监管任务。分别根据全覆盖监管方案、问题线索类型清单提供向导式界面，完成任务新建过程。新建任务后，直接进入监管任务录入过程。</w:t>
            </w:r>
          </w:p>
        </w:tc>
      </w:tr>
      <w:tr w14:paraId="3BB67CF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D319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1064</w:t>
            </w:r>
          </w:p>
        </w:tc>
        <w:tc>
          <w:tcPr>
            <w:tcW w:w="491" w:type="pct"/>
            <w:tcBorders>
              <w:top w:val="nil"/>
              <w:left w:val="nil"/>
              <w:bottom w:val="single" w:color="000000" w:sz="4" w:space="0"/>
              <w:right w:val="single" w:color="000000" w:sz="4" w:space="0"/>
            </w:tcBorders>
            <w:shd w:val="clear" w:color="auto" w:fill="auto"/>
            <w:vAlign w:val="center"/>
          </w:tcPr>
          <w:p w14:paraId="6D80C8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9F37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移动监管个性化首页-待办事项-监管任务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72E06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年、月列出当前监管任务清单，提供多种视图，可筛选业务条线、检查实施类型、任务类型、检查类型、监管主体单位、监管人员、任务执行状态、监管对象标签等，在列出当年、月计划监管任务的基础上，列入延期至当年、月仍未执行的监管任务。列出当前累积的待整改问题清单、待治理隐患清单，可筛选业务条线、监管主体单位、监管人员、整改/治理状态等。点击任务，显示任务计划信息，可进入任务执行界面。</w:t>
            </w:r>
          </w:p>
        </w:tc>
      </w:tr>
      <w:tr w14:paraId="79306D1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E506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1065</w:t>
            </w:r>
          </w:p>
        </w:tc>
        <w:tc>
          <w:tcPr>
            <w:tcW w:w="491" w:type="pct"/>
            <w:tcBorders>
              <w:top w:val="nil"/>
              <w:left w:val="nil"/>
              <w:bottom w:val="single" w:color="000000" w:sz="4" w:space="0"/>
              <w:right w:val="single" w:color="000000" w:sz="4" w:space="0"/>
            </w:tcBorders>
            <w:shd w:val="clear" w:color="auto" w:fill="auto"/>
            <w:vAlign w:val="center"/>
          </w:tcPr>
          <w:p w14:paraId="0725A6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73E8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移动监管个性化首页-待办事项-特种设备超期核查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BCE8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年、月列出当前待核查超期特种设备，可筛选核查状态、属地监管主体、设备种类类别品种等，在列出当年、月待核查超期设备的基础上，置顶列入延期至当年、月仍未核查的超期设备。点击超期设备，显示设备超期信息，可进入核查记录录入界面。</w:t>
            </w:r>
          </w:p>
        </w:tc>
      </w:tr>
      <w:tr w14:paraId="5C353606">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D6B9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1066</w:t>
            </w:r>
          </w:p>
        </w:tc>
        <w:tc>
          <w:tcPr>
            <w:tcW w:w="491" w:type="pct"/>
            <w:tcBorders>
              <w:top w:val="nil"/>
              <w:left w:val="nil"/>
              <w:bottom w:val="single" w:color="000000" w:sz="4" w:space="0"/>
              <w:right w:val="single" w:color="000000" w:sz="4" w:space="0"/>
            </w:tcBorders>
            <w:shd w:val="clear" w:color="auto" w:fill="auto"/>
            <w:vAlign w:val="center"/>
          </w:tcPr>
          <w:p w14:paraId="359BB2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15D2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移动监管个性化首页-待办事项-报表填报事项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48C8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列出下派的统计调查、业务排摸报表填报事项，移动端录入。</w:t>
            </w:r>
          </w:p>
        </w:tc>
      </w:tr>
      <w:tr w14:paraId="5248E88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667A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1067</w:t>
            </w:r>
          </w:p>
        </w:tc>
        <w:tc>
          <w:tcPr>
            <w:tcW w:w="491" w:type="pct"/>
            <w:tcBorders>
              <w:top w:val="nil"/>
              <w:left w:val="nil"/>
              <w:bottom w:val="single" w:color="000000" w:sz="4" w:space="0"/>
              <w:right w:val="single" w:color="000000" w:sz="4" w:space="0"/>
            </w:tcBorders>
            <w:shd w:val="clear" w:color="auto" w:fill="auto"/>
            <w:vAlign w:val="center"/>
          </w:tcPr>
          <w:p w14:paraId="768185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F7E5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移动监管个性化首页-提醒事项-近期专项提醒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3856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按业务条线列出近期专项清单，点击查看专项详情。</w:t>
            </w:r>
          </w:p>
        </w:tc>
      </w:tr>
      <w:tr w14:paraId="673BC97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0CDC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1068</w:t>
            </w:r>
          </w:p>
        </w:tc>
        <w:tc>
          <w:tcPr>
            <w:tcW w:w="491" w:type="pct"/>
            <w:tcBorders>
              <w:top w:val="nil"/>
              <w:left w:val="nil"/>
              <w:bottom w:val="single" w:color="000000" w:sz="4" w:space="0"/>
              <w:right w:val="single" w:color="000000" w:sz="4" w:space="0"/>
            </w:tcBorders>
            <w:shd w:val="clear" w:color="auto" w:fill="auto"/>
            <w:vAlign w:val="center"/>
          </w:tcPr>
          <w:p w14:paraId="5277F9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9F2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移动监管个性化首页-监测信息-监测预警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EE40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接入智能驾驶舱、应用场景推送的动态监测预警信息，辅助监管人员开展靶向监管。按业务条线列出各类监测事项预警清单，点击查看预警详情。可对涉及的监管对象主体发起监管任务。</w:t>
            </w:r>
          </w:p>
        </w:tc>
      </w:tr>
      <w:tr w14:paraId="3C471C4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AD7A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1069</w:t>
            </w:r>
          </w:p>
        </w:tc>
        <w:tc>
          <w:tcPr>
            <w:tcW w:w="491" w:type="pct"/>
            <w:tcBorders>
              <w:top w:val="nil"/>
              <w:left w:val="nil"/>
              <w:bottom w:val="single" w:color="000000" w:sz="4" w:space="0"/>
              <w:right w:val="single" w:color="000000" w:sz="4" w:space="0"/>
            </w:tcBorders>
            <w:shd w:val="clear" w:color="auto" w:fill="auto"/>
            <w:vAlign w:val="center"/>
          </w:tcPr>
          <w:p w14:paraId="494091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2487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移动监管个性化首页-监测信息-触发式监管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7428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数据慧治平台的大数据手段，业务条线可设定监管底线和监测预警机制，一旦监管对象触碰监管底线，即作出告警，监管人员可对涉及的监管对象主体发起监管任务。可设定的监管底线如企业被列入异常经营、法定代表人被列入失信被执行人、监督抽检不合格、举报查实等风险预警情形，可设置预警阈值。</w:t>
            </w:r>
          </w:p>
        </w:tc>
      </w:tr>
      <w:tr w14:paraId="684D563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1492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1070</w:t>
            </w:r>
          </w:p>
        </w:tc>
        <w:tc>
          <w:tcPr>
            <w:tcW w:w="491" w:type="pct"/>
            <w:tcBorders>
              <w:top w:val="nil"/>
              <w:left w:val="nil"/>
              <w:bottom w:val="single" w:color="000000" w:sz="4" w:space="0"/>
              <w:right w:val="single" w:color="000000" w:sz="4" w:space="0"/>
            </w:tcBorders>
            <w:shd w:val="clear" w:color="auto" w:fill="auto"/>
            <w:vAlign w:val="center"/>
          </w:tcPr>
          <w:p w14:paraId="233E85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9DB3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移动监管个性化首页-统计信息-监管进度统计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EBAC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分业务条线展示当前监管进度。</w:t>
            </w:r>
          </w:p>
        </w:tc>
      </w:tr>
      <w:tr w14:paraId="31EAC4B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F0B0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1071</w:t>
            </w:r>
          </w:p>
        </w:tc>
        <w:tc>
          <w:tcPr>
            <w:tcW w:w="491" w:type="pct"/>
            <w:tcBorders>
              <w:top w:val="nil"/>
              <w:left w:val="nil"/>
              <w:bottom w:val="single" w:color="000000" w:sz="4" w:space="0"/>
              <w:right w:val="single" w:color="000000" w:sz="4" w:space="0"/>
            </w:tcBorders>
            <w:shd w:val="clear" w:color="auto" w:fill="auto"/>
            <w:vAlign w:val="center"/>
          </w:tcPr>
          <w:p w14:paraId="219FC9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F002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移动监管个性化首页-统计信息-任务执行统计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7A6B7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按业务条线、监管事项、监管主体单位、时间等多维度组合对监管计划和执行情况作对照统计，用适用的统计图表直观展示。其中，时间维度可按年、按半年、按季度、按月或指定日期段统计。</w:t>
            </w:r>
          </w:p>
        </w:tc>
      </w:tr>
      <w:tr w14:paraId="125C7A7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68923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1072</w:t>
            </w:r>
          </w:p>
        </w:tc>
        <w:tc>
          <w:tcPr>
            <w:tcW w:w="491" w:type="pct"/>
            <w:tcBorders>
              <w:top w:val="nil"/>
              <w:left w:val="nil"/>
              <w:bottom w:val="single" w:color="000000" w:sz="4" w:space="0"/>
              <w:right w:val="single" w:color="000000" w:sz="4" w:space="0"/>
            </w:tcBorders>
            <w:shd w:val="clear" w:color="auto" w:fill="auto"/>
            <w:vAlign w:val="center"/>
          </w:tcPr>
          <w:p w14:paraId="262E62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9261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移动监管个性化首页-统计信息-发现问题统计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B4D50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多条件组合统计监管发现问题情况，组合条件包括监管事项、检查要点表及版本、时间段、监管主体单位、监管对象标签等。统计结果按检查要点表检查项目和结果选项列出，并统计问题占比。</w:t>
            </w:r>
          </w:p>
        </w:tc>
      </w:tr>
      <w:tr w14:paraId="49F371B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D28D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1073</w:t>
            </w:r>
          </w:p>
        </w:tc>
        <w:tc>
          <w:tcPr>
            <w:tcW w:w="491" w:type="pct"/>
            <w:tcBorders>
              <w:top w:val="nil"/>
              <w:left w:val="nil"/>
              <w:bottom w:val="single" w:color="000000" w:sz="4" w:space="0"/>
              <w:right w:val="single" w:color="000000" w:sz="4" w:space="0"/>
            </w:tcBorders>
            <w:shd w:val="clear" w:color="auto" w:fill="auto"/>
            <w:vAlign w:val="center"/>
          </w:tcPr>
          <w:p w14:paraId="289DA7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3D55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移动监管个性化首页-统计信息-经营状态统计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31725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多条件组合统计监管对象经营状态情况，监管对象的经营状态在录入监管任务检查记录时采集，分为营业、停业、短期停产、长期停产等。组合条件包括业务条线、时间段、监管主体单位、监管对象标签等。</w:t>
            </w:r>
          </w:p>
        </w:tc>
      </w:tr>
      <w:tr w14:paraId="3B01C67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B5EC8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1074</w:t>
            </w:r>
          </w:p>
        </w:tc>
        <w:tc>
          <w:tcPr>
            <w:tcW w:w="491" w:type="pct"/>
            <w:tcBorders>
              <w:top w:val="nil"/>
              <w:left w:val="nil"/>
              <w:bottom w:val="single" w:color="000000" w:sz="4" w:space="0"/>
              <w:right w:val="single" w:color="000000" w:sz="4" w:space="0"/>
            </w:tcBorders>
            <w:shd w:val="clear" w:color="auto" w:fill="auto"/>
            <w:vAlign w:val="center"/>
          </w:tcPr>
          <w:p w14:paraId="1E44B7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D5143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移动监管个性化首页-统计信息-风险分级管控统计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18589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分业务条线查看当前风险源数、分级数、管控措施数等。</w:t>
            </w:r>
          </w:p>
        </w:tc>
      </w:tr>
      <w:tr w14:paraId="3B38843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2897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1075</w:t>
            </w:r>
          </w:p>
        </w:tc>
        <w:tc>
          <w:tcPr>
            <w:tcW w:w="491" w:type="pct"/>
            <w:tcBorders>
              <w:top w:val="nil"/>
              <w:left w:val="nil"/>
              <w:bottom w:val="single" w:color="000000" w:sz="4" w:space="0"/>
              <w:right w:val="single" w:color="000000" w:sz="4" w:space="0"/>
            </w:tcBorders>
            <w:shd w:val="clear" w:color="auto" w:fill="auto"/>
            <w:vAlign w:val="center"/>
          </w:tcPr>
          <w:p w14:paraId="06453D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9471E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移动监管个性化首页-统计信息-隐患排查治理统计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7212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分业务条线查看当前发现风险隐患问题数、分级数、整改率。</w:t>
            </w:r>
          </w:p>
        </w:tc>
      </w:tr>
      <w:tr w14:paraId="6AFCBF1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34C5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1076</w:t>
            </w:r>
          </w:p>
        </w:tc>
        <w:tc>
          <w:tcPr>
            <w:tcW w:w="491" w:type="pct"/>
            <w:tcBorders>
              <w:top w:val="nil"/>
              <w:left w:val="nil"/>
              <w:bottom w:val="single" w:color="000000" w:sz="4" w:space="0"/>
              <w:right w:val="single" w:color="000000" w:sz="4" w:space="0"/>
            </w:tcBorders>
            <w:shd w:val="clear" w:color="auto" w:fill="auto"/>
            <w:vAlign w:val="center"/>
          </w:tcPr>
          <w:p w14:paraId="3D79C3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3C65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移动监管个性化首页-统计信息-主体责任落实统计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20DE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分业务条线查看监管对象主体责任落实情况。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日管控统计：查看当日日管控户数、覆盖率、检查记录数。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周排查统计：查看当周周排查户数、覆盖率、治理报告数。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月调度统计：查看当月月调度户数、覆盖率、会议纪要数。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年内审统计：查看当年年内审户数、覆盖率、汇总报告数。</w:t>
            </w:r>
          </w:p>
        </w:tc>
      </w:tr>
      <w:tr w14:paraId="2318E90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3C7A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1077</w:t>
            </w:r>
          </w:p>
        </w:tc>
        <w:tc>
          <w:tcPr>
            <w:tcW w:w="491" w:type="pct"/>
            <w:tcBorders>
              <w:top w:val="nil"/>
              <w:left w:val="nil"/>
              <w:bottom w:val="single" w:color="000000" w:sz="4" w:space="0"/>
              <w:right w:val="single" w:color="000000" w:sz="4" w:space="0"/>
            </w:tcBorders>
            <w:shd w:val="clear" w:color="auto" w:fill="auto"/>
            <w:vAlign w:val="center"/>
          </w:tcPr>
          <w:p w14:paraId="1427E4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758F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移动监管个性化首页-稳健连接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FC4CB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终端通过4G/5G网络连接到服务器，网络连通时，启用连线模式，由服务器验证用户；无法连接到网络时，则由本地验证，启用离线运行模式，本地缓存检查数据，在此过程中，不断检测网络，一旦连通，即登录到服务器，将缓存数据提交给服务器。根据网络状况，系统可能在离线模式和连线模式间不断切换。</w:t>
            </w:r>
          </w:p>
        </w:tc>
      </w:tr>
      <w:tr w14:paraId="12E900E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DB030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1078</w:t>
            </w:r>
          </w:p>
        </w:tc>
        <w:tc>
          <w:tcPr>
            <w:tcW w:w="491" w:type="pct"/>
            <w:tcBorders>
              <w:top w:val="nil"/>
              <w:left w:val="nil"/>
              <w:bottom w:val="single" w:color="000000" w:sz="4" w:space="0"/>
              <w:right w:val="single" w:color="000000" w:sz="4" w:space="0"/>
            </w:tcBorders>
            <w:shd w:val="clear" w:color="auto" w:fill="auto"/>
            <w:vAlign w:val="center"/>
          </w:tcPr>
          <w:p w14:paraId="3B2FFD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2D1E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监管任务智能化管理-任务合并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E89D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按监管对象主体归并不同业务条线、检查实施事项、任务类型、检查类型等的监管任务，作出任务可合并的提示，由监管人员决定是否合并执行和录入检查记录。任务合并不影响任务类型统计。</w:t>
            </w:r>
          </w:p>
        </w:tc>
      </w:tr>
      <w:tr w14:paraId="492BEC0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D45F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1079</w:t>
            </w:r>
          </w:p>
        </w:tc>
        <w:tc>
          <w:tcPr>
            <w:tcW w:w="491" w:type="pct"/>
            <w:tcBorders>
              <w:top w:val="nil"/>
              <w:left w:val="nil"/>
              <w:bottom w:val="single" w:color="000000" w:sz="4" w:space="0"/>
              <w:right w:val="single" w:color="000000" w:sz="4" w:space="0"/>
            </w:tcBorders>
            <w:shd w:val="clear" w:color="auto" w:fill="auto"/>
            <w:vAlign w:val="center"/>
          </w:tcPr>
          <w:p w14:paraId="616B48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BCA71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监管任务智能化管理-任务优先级</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64E1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按照“风险+信用”分级分类等在待办事项、提醒事项等模块中确定监管任务列出的优先级，优先级高的先执行。</w:t>
            </w:r>
          </w:p>
        </w:tc>
      </w:tr>
      <w:tr w14:paraId="660E664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509A9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1080</w:t>
            </w:r>
          </w:p>
        </w:tc>
        <w:tc>
          <w:tcPr>
            <w:tcW w:w="491" w:type="pct"/>
            <w:tcBorders>
              <w:top w:val="nil"/>
              <w:left w:val="nil"/>
              <w:bottom w:val="single" w:color="000000" w:sz="4" w:space="0"/>
              <w:right w:val="single" w:color="000000" w:sz="4" w:space="0"/>
            </w:tcBorders>
            <w:shd w:val="clear" w:color="auto" w:fill="auto"/>
            <w:vAlign w:val="center"/>
          </w:tcPr>
          <w:p w14:paraId="4EBA28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BAB6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监管任执行与记录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0886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实现标准化的监管任务执行记录录入过程。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1、开始检查；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2、检查记录（按检查对象录入）；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3、汇总处置；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4、提交完结。</w:t>
            </w:r>
          </w:p>
        </w:tc>
      </w:tr>
      <w:tr w14:paraId="4C1037B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764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1081</w:t>
            </w:r>
          </w:p>
        </w:tc>
        <w:tc>
          <w:tcPr>
            <w:tcW w:w="491" w:type="pct"/>
            <w:tcBorders>
              <w:top w:val="nil"/>
              <w:left w:val="nil"/>
              <w:bottom w:val="single" w:color="000000" w:sz="4" w:space="0"/>
              <w:right w:val="single" w:color="000000" w:sz="4" w:space="0"/>
            </w:tcBorders>
            <w:shd w:val="clear" w:color="auto" w:fill="auto"/>
            <w:vAlign w:val="center"/>
          </w:tcPr>
          <w:p w14:paraId="4285C2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9177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操作便利化辅助功能-减少打字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AE7D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提供相关措施，尽可能减少打字，方便信息录入。优化信息录入顺序，尽可能填入默认值，关联字段自动填入值，字段内容配好选项。检查记录表可一键复制上次检查数据。</w:t>
            </w:r>
          </w:p>
        </w:tc>
      </w:tr>
      <w:tr w14:paraId="60BDC02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3545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1082</w:t>
            </w:r>
          </w:p>
        </w:tc>
        <w:tc>
          <w:tcPr>
            <w:tcW w:w="491" w:type="pct"/>
            <w:tcBorders>
              <w:top w:val="nil"/>
              <w:left w:val="nil"/>
              <w:bottom w:val="single" w:color="000000" w:sz="4" w:space="0"/>
              <w:right w:val="single" w:color="000000" w:sz="4" w:space="0"/>
            </w:tcBorders>
            <w:shd w:val="clear" w:color="auto" w:fill="auto"/>
            <w:vAlign w:val="center"/>
          </w:tcPr>
          <w:p w14:paraId="07BD4A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EDF9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操作便利化辅助功能-知识辅助</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8A39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针对检查项目，设置关联的监管知识库条目、外系统资源链接、参考富文本内容等，帮助快速获取所需信息，辅助决断。</w:t>
            </w:r>
          </w:p>
        </w:tc>
      </w:tr>
      <w:tr w14:paraId="1D6AF8D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82C3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1083</w:t>
            </w:r>
          </w:p>
        </w:tc>
        <w:tc>
          <w:tcPr>
            <w:tcW w:w="491" w:type="pct"/>
            <w:tcBorders>
              <w:top w:val="nil"/>
              <w:left w:val="nil"/>
              <w:bottom w:val="single" w:color="000000" w:sz="4" w:space="0"/>
              <w:right w:val="single" w:color="000000" w:sz="4" w:space="0"/>
            </w:tcBorders>
            <w:shd w:val="clear" w:color="auto" w:fill="auto"/>
            <w:vAlign w:val="center"/>
          </w:tcPr>
          <w:p w14:paraId="3586C2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DDE6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操作便利化辅助功能-自动检查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4DDD6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基于数据慧治平台能力按检查项目定制问题发现算法，检查前可一键自动检查，排查潜在问题和隐患，指导本次检查重点。</w:t>
            </w:r>
          </w:p>
        </w:tc>
      </w:tr>
      <w:tr w14:paraId="38407B00">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D80F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1084</w:t>
            </w:r>
          </w:p>
        </w:tc>
        <w:tc>
          <w:tcPr>
            <w:tcW w:w="491" w:type="pct"/>
            <w:tcBorders>
              <w:top w:val="nil"/>
              <w:left w:val="nil"/>
              <w:bottom w:val="single" w:color="000000" w:sz="4" w:space="0"/>
              <w:right w:val="single" w:color="000000" w:sz="4" w:space="0"/>
            </w:tcBorders>
            <w:shd w:val="clear" w:color="auto" w:fill="auto"/>
            <w:vAlign w:val="center"/>
          </w:tcPr>
          <w:p w14:paraId="1AE481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48CF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操作便利化辅助功能-语音输入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34E91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对所有需打字的字段，均支持语音输入。</w:t>
            </w:r>
          </w:p>
        </w:tc>
      </w:tr>
      <w:tr w14:paraId="4D5F45E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BB83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1085</w:t>
            </w:r>
          </w:p>
        </w:tc>
        <w:tc>
          <w:tcPr>
            <w:tcW w:w="491" w:type="pct"/>
            <w:tcBorders>
              <w:top w:val="nil"/>
              <w:left w:val="nil"/>
              <w:bottom w:val="single" w:color="000000" w:sz="4" w:space="0"/>
              <w:right w:val="single" w:color="000000" w:sz="4" w:space="0"/>
            </w:tcBorders>
            <w:shd w:val="clear" w:color="auto" w:fill="auto"/>
            <w:vAlign w:val="center"/>
          </w:tcPr>
          <w:p w14:paraId="60A8BB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4281C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全程电子化操作功能-电子定位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1E4B0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监管人员现场检查时，辅助完成监管对象（主体、客体）空间位置定位。执行记录录入界面提供“我已到现场”按钮，点击按钮自动更新监管对象主体位置。</w:t>
            </w:r>
          </w:p>
        </w:tc>
      </w:tr>
      <w:tr w14:paraId="12E3B27B">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B0A30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1086</w:t>
            </w:r>
          </w:p>
        </w:tc>
        <w:tc>
          <w:tcPr>
            <w:tcW w:w="491" w:type="pct"/>
            <w:tcBorders>
              <w:top w:val="nil"/>
              <w:left w:val="nil"/>
              <w:bottom w:val="single" w:color="000000" w:sz="4" w:space="0"/>
              <w:right w:val="single" w:color="000000" w:sz="4" w:space="0"/>
            </w:tcBorders>
            <w:shd w:val="clear" w:color="auto" w:fill="auto"/>
            <w:vAlign w:val="center"/>
          </w:tcPr>
          <w:p w14:paraId="310589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C84C3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全程电子化操作功能-电子影像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55CE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强化取证留痕，支持拍照、录音、录像、文件导入等多种方式，一键固证对时间戳、位置戳、文件本身三方面作数字签名，取证更规范，确保留痕文件的法律效力。</w:t>
            </w:r>
          </w:p>
        </w:tc>
      </w:tr>
      <w:tr w14:paraId="655772B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442C5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1087</w:t>
            </w:r>
          </w:p>
        </w:tc>
        <w:tc>
          <w:tcPr>
            <w:tcW w:w="491" w:type="pct"/>
            <w:tcBorders>
              <w:top w:val="nil"/>
              <w:left w:val="nil"/>
              <w:bottom w:val="single" w:color="000000" w:sz="4" w:space="0"/>
              <w:right w:val="single" w:color="000000" w:sz="4" w:space="0"/>
            </w:tcBorders>
            <w:shd w:val="clear" w:color="auto" w:fill="auto"/>
            <w:vAlign w:val="center"/>
          </w:tcPr>
          <w:p w14:paraId="50A21D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63B7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全程电子化操作功能-电子签名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8AAE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推广使用电子签名，监管人员在手机屏幕上手签后自动生成数字签名。一次签名、多处使用：签一次名后，后续自动调用前一次签名。</w:t>
            </w:r>
          </w:p>
        </w:tc>
      </w:tr>
      <w:tr w14:paraId="5DE912D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D813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1088</w:t>
            </w:r>
          </w:p>
        </w:tc>
        <w:tc>
          <w:tcPr>
            <w:tcW w:w="491" w:type="pct"/>
            <w:tcBorders>
              <w:top w:val="nil"/>
              <w:left w:val="nil"/>
              <w:bottom w:val="single" w:color="000000" w:sz="4" w:space="0"/>
              <w:right w:val="single" w:color="000000" w:sz="4" w:space="0"/>
            </w:tcBorders>
            <w:shd w:val="clear" w:color="auto" w:fill="auto"/>
            <w:vAlign w:val="center"/>
          </w:tcPr>
          <w:p w14:paraId="0A653A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88822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全程电子化操作功能-电子文书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A1C4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对所有制作的文书文件进行数字签名，系统内存一份电子文书。需要加盖监管部门印章的，使用上海市统一电子印章系统进行电子签章。</w:t>
            </w:r>
          </w:p>
        </w:tc>
      </w:tr>
      <w:tr w14:paraId="662D2BC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855A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1089</w:t>
            </w:r>
          </w:p>
        </w:tc>
        <w:tc>
          <w:tcPr>
            <w:tcW w:w="491" w:type="pct"/>
            <w:tcBorders>
              <w:top w:val="nil"/>
              <w:left w:val="nil"/>
              <w:bottom w:val="single" w:color="000000" w:sz="4" w:space="0"/>
              <w:right w:val="single" w:color="000000" w:sz="4" w:space="0"/>
            </w:tcBorders>
            <w:shd w:val="clear" w:color="auto" w:fill="auto"/>
            <w:vAlign w:val="center"/>
          </w:tcPr>
          <w:p w14:paraId="03DEDC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B876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A279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（1）将“检查码”作为电子送达或监管信息公示的途径。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（2）将电子文书、取证文件经由短信推送被检查人，被检查人按自愿原则对监管结果作出在线确认。在线确认亦支持使用电子签名。</w:t>
            </w:r>
          </w:p>
        </w:tc>
      </w:tr>
      <w:tr w14:paraId="32BEA23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F55C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1090</w:t>
            </w:r>
          </w:p>
        </w:tc>
        <w:tc>
          <w:tcPr>
            <w:tcW w:w="491" w:type="pct"/>
            <w:tcBorders>
              <w:top w:val="nil"/>
              <w:left w:val="nil"/>
              <w:bottom w:val="single" w:color="000000" w:sz="4" w:space="0"/>
              <w:right w:val="single" w:color="000000" w:sz="4" w:space="0"/>
            </w:tcBorders>
            <w:shd w:val="clear" w:color="auto" w:fill="auto"/>
            <w:vAlign w:val="center"/>
          </w:tcPr>
          <w:p w14:paraId="78EDEA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A5905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全程电子化操作功能-电子考试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2822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针对特种设备使用单位安全总监和安全员考试、特种设备生产单位质量安全总监和质量安全员考试，支持在线考试。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（1）现场考试：监管人员现场一键自动出题，生成“考试码”，被考人使用手机扫码打开电子试卷，当场答题，考试结果即时反馈。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（2）在线补考：考试不合格申请补考的，监管人员远程一键自动出题，将“考试码”通过短信、微信等方式发送补考人。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（3）考试结果处理：对补考不合格的，作出补考不合格者不得继续任职的告知，并记录在案，后续监管时可查阅。</w:t>
            </w:r>
          </w:p>
        </w:tc>
      </w:tr>
      <w:tr w14:paraId="12A7BC2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611A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1091</w:t>
            </w:r>
          </w:p>
        </w:tc>
        <w:tc>
          <w:tcPr>
            <w:tcW w:w="491" w:type="pct"/>
            <w:tcBorders>
              <w:top w:val="nil"/>
              <w:left w:val="nil"/>
              <w:bottom w:val="single" w:color="000000" w:sz="4" w:space="0"/>
              <w:right w:val="single" w:color="000000" w:sz="4" w:space="0"/>
            </w:tcBorders>
            <w:shd w:val="clear" w:color="auto" w:fill="auto"/>
            <w:vAlign w:val="center"/>
          </w:tcPr>
          <w:p w14:paraId="664D0A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48A52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监管手段创新支持-非现场监管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8DDE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支持以下监管场景：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（1）物联非现场：明厨亮灶、智慧电梯等远程视频接入，提供配套的监管内容规则。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（2）部分人员非现场：实现PC端/大屏端（后端）与移动端的视频连线，后端人员指挥、指导现场人员执行监管任务。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（3）远程非现场：移动端向被检查人发送“检查码”链接，被检查人点开链接与监管人员视频连线，听从监管人员指令配合完成监管任务。</w:t>
            </w:r>
          </w:p>
        </w:tc>
      </w:tr>
      <w:tr w14:paraId="04E5BBC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E8F6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1092</w:t>
            </w:r>
          </w:p>
        </w:tc>
        <w:tc>
          <w:tcPr>
            <w:tcW w:w="491" w:type="pct"/>
            <w:tcBorders>
              <w:top w:val="nil"/>
              <w:left w:val="nil"/>
              <w:bottom w:val="single" w:color="000000" w:sz="4" w:space="0"/>
              <w:right w:val="single" w:color="000000" w:sz="4" w:space="0"/>
            </w:tcBorders>
            <w:shd w:val="clear" w:color="auto" w:fill="auto"/>
            <w:vAlign w:val="center"/>
          </w:tcPr>
          <w:p w14:paraId="4F560A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DC30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监管手段创新支持-穿透式监管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436C9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监管对象一类一界面的基础上，通过监管对象身份码（统一社会信用代码、设备注册代码、人员身份证号等）构建界面之间的链接，结合监管标签库构建网状图谱，通过数据下钻、串联、透视等方式，贯穿市场监管全链条、全环节、全要素，对监管对象主体及其相关客体进行追根溯源式信息展示。</w:t>
            </w:r>
          </w:p>
        </w:tc>
      </w:tr>
      <w:tr w14:paraId="28D2064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61F8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1093</w:t>
            </w:r>
          </w:p>
        </w:tc>
        <w:tc>
          <w:tcPr>
            <w:tcW w:w="491" w:type="pct"/>
            <w:tcBorders>
              <w:top w:val="nil"/>
              <w:left w:val="nil"/>
              <w:bottom w:val="single" w:color="000000" w:sz="4" w:space="0"/>
              <w:right w:val="single" w:color="000000" w:sz="4" w:space="0"/>
            </w:tcBorders>
            <w:shd w:val="clear" w:color="auto" w:fill="auto"/>
            <w:vAlign w:val="center"/>
          </w:tcPr>
          <w:p w14:paraId="558118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8804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监管要素展示维护-数据采集维护功能-监管对象打标签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294F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随时随地对监管对象主体、客体打监管标签。</w:t>
            </w:r>
          </w:p>
        </w:tc>
      </w:tr>
      <w:tr w14:paraId="0451C49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474B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1094</w:t>
            </w:r>
          </w:p>
        </w:tc>
        <w:tc>
          <w:tcPr>
            <w:tcW w:w="491" w:type="pct"/>
            <w:tcBorders>
              <w:top w:val="nil"/>
              <w:left w:val="nil"/>
              <w:bottom w:val="single" w:color="000000" w:sz="4" w:space="0"/>
              <w:right w:val="single" w:color="000000" w:sz="4" w:space="0"/>
            </w:tcBorders>
            <w:shd w:val="clear" w:color="auto" w:fill="auto"/>
            <w:vAlign w:val="center"/>
          </w:tcPr>
          <w:p w14:paraId="762848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8373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监管要素展示维护-数据采集维护功能-信息纠错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F2AF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监管人员发现监管对象主体、行政许可、特种设备、检验检测等信息与实际不一致时，可提交纠错信息。纠错信息由后台数据纠错接口统一推送数据的源头系统处理。</w:t>
            </w:r>
          </w:p>
        </w:tc>
      </w:tr>
      <w:tr w14:paraId="78FEAF7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EFF0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1095</w:t>
            </w:r>
          </w:p>
        </w:tc>
        <w:tc>
          <w:tcPr>
            <w:tcW w:w="491" w:type="pct"/>
            <w:tcBorders>
              <w:top w:val="nil"/>
              <w:left w:val="nil"/>
              <w:bottom w:val="single" w:color="000000" w:sz="4" w:space="0"/>
              <w:right w:val="single" w:color="000000" w:sz="4" w:space="0"/>
            </w:tcBorders>
            <w:shd w:val="clear" w:color="auto" w:fill="auto"/>
            <w:vAlign w:val="center"/>
          </w:tcPr>
          <w:p w14:paraId="42DAC7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226D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监管要素展示维护-监管对象库查阅-一框式检索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9E108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对系统内各种信息对象实施一框式检索，支持全文检索。</w:t>
            </w:r>
          </w:p>
        </w:tc>
      </w:tr>
      <w:tr w14:paraId="0311B917">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9E52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1096</w:t>
            </w:r>
          </w:p>
        </w:tc>
        <w:tc>
          <w:tcPr>
            <w:tcW w:w="491" w:type="pct"/>
            <w:tcBorders>
              <w:top w:val="nil"/>
              <w:left w:val="nil"/>
              <w:bottom w:val="single" w:color="000000" w:sz="4" w:space="0"/>
              <w:right w:val="single" w:color="000000" w:sz="4" w:space="0"/>
            </w:tcBorders>
            <w:shd w:val="clear" w:color="auto" w:fill="auto"/>
            <w:vAlign w:val="center"/>
          </w:tcPr>
          <w:p w14:paraId="1DDA81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A7B4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监管要素展示维护-监管对象库查阅-高级检索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BF46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分门别类常用信息资源高级检索，根据信息资源类型提供多条件组合检索。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包括但不限于以下内容：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（1）法人库信息检索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（2）登记库信息检索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（3）各类许可信息检索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（4）各类备案信息检索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（5）特种设备信息检索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（6）明厨亮灶视频设备信息检索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（7）户外广告设施信息检索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（8）从业人员信息检索</w:t>
            </w:r>
          </w:p>
        </w:tc>
      </w:tr>
      <w:tr w14:paraId="6D872D82">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F64E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1097</w:t>
            </w:r>
          </w:p>
        </w:tc>
        <w:tc>
          <w:tcPr>
            <w:tcW w:w="491" w:type="pct"/>
            <w:tcBorders>
              <w:top w:val="nil"/>
              <w:left w:val="nil"/>
              <w:bottom w:val="single" w:color="000000" w:sz="4" w:space="0"/>
              <w:right w:val="single" w:color="000000" w:sz="4" w:space="0"/>
            </w:tcBorders>
            <w:shd w:val="clear" w:color="auto" w:fill="auto"/>
            <w:vAlign w:val="center"/>
          </w:tcPr>
          <w:p w14:paraId="593004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2060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监管要素展示维护-监管对象库查阅-一类一界面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1180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对监管对象，基于数据慧治平台能力设计并展示“一类一界面”，全面整合相关信息。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包括但不限于以下内容：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（1）监管对象主体一界面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（2）特种设备一界面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（3）计量器具一界面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（4）从业人员一界面</w:t>
            </w:r>
          </w:p>
        </w:tc>
      </w:tr>
      <w:tr w14:paraId="51CE423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E9C9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1098</w:t>
            </w:r>
          </w:p>
        </w:tc>
        <w:tc>
          <w:tcPr>
            <w:tcW w:w="491" w:type="pct"/>
            <w:tcBorders>
              <w:top w:val="nil"/>
              <w:left w:val="nil"/>
              <w:bottom w:val="single" w:color="000000" w:sz="4" w:space="0"/>
              <w:right w:val="single" w:color="000000" w:sz="4" w:space="0"/>
            </w:tcBorders>
            <w:shd w:val="clear" w:color="auto" w:fill="auto"/>
            <w:vAlign w:val="center"/>
          </w:tcPr>
          <w:p w14:paraId="24EF24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47B0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监管要素展示维护-监管主体库展示-监管组织体系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531E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监管组织体系（部门、人员）采用树形结构直观展示，便于通讯联系。集成即时通信功能。</w:t>
            </w:r>
          </w:p>
        </w:tc>
      </w:tr>
      <w:tr w14:paraId="766DEF7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CE71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1099</w:t>
            </w:r>
          </w:p>
        </w:tc>
        <w:tc>
          <w:tcPr>
            <w:tcW w:w="491" w:type="pct"/>
            <w:tcBorders>
              <w:top w:val="nil"/>
              <w:left w:val="nil"/>
              <w:bottom w:val="single" w:color="000000" w:sz="4" w:space="0"/>
              <w:right w:val="single" w:color="000000" w:sz="4" w:space="0"/>
            </w:tcBorders>
            <w:shd w:val="clear" w:color="auto" w:fill="auto"/>
            <w:vAlign w:val="center"/>
          </w:tcPr>
          <w:p w14:paraId="3AECA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75A4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监管要素展示维护-监管主体库展示-工作群组管理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3403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支持创建工作群组，从组织体系树中选择人员快速创建群组。配套群组内消息对话界面。</w:t>
            </w:r>
          </w:p>
        </w:tc>
      </w:tr>
      <w:tr w14:paraId="03758B7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28979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1100</w:t>
            </w:r>
          </w:p>
        </w:tc>
        <w:tc>
          <w:tcPr>
            <w:tcW w:w="491" w:type="pct"/>
            <w:tcBorders>
              <w:top w:val="nil"/>
              <w:left w:val="nil"/>
              <w:bottom w:val="single" w:color="000000" w:sz="4" w:space="0"/>
              <w:right w:val="single" w:color="000000" w:sz="4" w:space="0"/>
            </w:tcBorders>
            <w:shd w:val="clear" w:color="auto" w:fill="auto"/>
            <w:vAlign w:val="center"/>
          </w:tcPr>
          <w:p w14:paraId="1F0933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FDF3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监管要素展示维护-监管知识库查阅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F7A57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提供法律法规、规章制度、技术规程等分类检索、全文检索、关联检索。</w:t>
            </w:r>
          </w:p>
        </w:tc>
      </w:tr>
      <w:tr w14:paraId="72FB364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74D6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1101</w:t>
            </w:r>
          </w:p>
        </w:tc>
        <w:tc>
          <w:tcPr>
            <w:tcW w:w="491" w:type="pct"/>
            <w:tcBorders>
              <w:top w:val="nil"/>
              <w:left w:val="nil"/>
              <w:bottom w:val="single" w:color="000000" w:sz="4" w:space="0"/>
              <w:right w:val="single" w:color="000000" w:sz="4" w:space="0"/>
            </w:tcBorders>
            <w:shd w:val="clear" w:color="auto" w:fill="auto"/>
            <w:vAlign w:val="center"/>
          </w:tcPr>
          <w:p w14:paraId="5058F7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01647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移动应用集成衔接-监管执法衔接-案件线索推送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B2C9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检查发现问题需要行政立案的，按执法系统接口规范收集整理线索数据并推送。</w:t>
            </w:r>
          </w:p>
        </w:tc>
      </w:tr>
      <w:tr w14:paraId="4C57F8C3">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5DAA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1102</w:t>
            </w:r>
          </w:p>
        </w:tc>
        <w:tc>
          <w:tcPr>
            <w:tcW w:w="491" w:type="pct"/>
            <w:tcBorders>
              <w:top w:val="nil"/>
              <w:left w:val="nil"/>
              <w:bottom w:val="single" w:color="000000" w:sz="4" w:space="0"/>
              <w:right w:val="single" w:color="000000" w:sz="4" w:space="0"/>
            </w:tcBorders>
            <w:shd w:val="clear" w:color="auto" w:fill="auto"/>
            <w:vAlign w:val="center"/>
          </w:tcPr>
          <w:p w14:paraId="66512B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04A6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“一件事”体系管理-法律法规和职责分工管理-功能集成接口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7BCC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依托本市“互联网+监管”系统，围绕机动车检验机构综合监管“一件事”和餐饮业综合监管“一件事”，提供市场监管及其他相关部门相关法律法规和“三定”职责分工的录入、维护及集中展示功能。</w:t>
            </w:r>
          </w:p>
        </w:tc>
      </w:tr>
      <w:tr w14:paraId="78AE07D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EF23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1103</w:t>
            </w:r>
          </w:p>
        </w:tc>
        <w:tc>
          <w:tcPr>
            <w:tcW w:w="491" w:type="pct"/>
            <w:tcBorders>
              <w:top w:val="nil"/>
              <w:left w:val="nil"/>
              <w:bottom w:val="single" w:color="000000" w:sz="4" w:space="0"/>
              <w:right w:val="single" w:color="000000" w:sz="4" w:space="0"/>
            </w:tcBorders>
            <w:shd w:val="clear" w:color="auto" w:fill="auto"/>
            <w:vAlign w:val="center"/>
          </w:tcPr>
          <w:p w14:paraId="2225B3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7028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“一件事”体系管理-各部门监管重点事项清单管理-功能集成接口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CBACB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在“一件事”体系中对市场监管及相关部门围绕机动车检验检测机构、餐饮业综合监管的事项的标注，并提供相关事项的统一集中展示功能。</w:t>
            </w:r>
          </w:p>
        </w:tc>
      </w:tr>
      <w:tr w14:paraId="0FF43C8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7701D7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1104</w:t>
            </w:r>
          </w:p>
        </w:tc>
        <w:tc>
          <w:tcPr>
            <w:tcW w:w="491" w:type="pct"/>
            <w:tcBorders>
              <w:top w:val="nil"/>
              <w:left w:val="nil"/>
              <w:bottom w:val="single" w:color="000000" w:sz="4" w:space="0"/>
              <w:right w:val="single" w:color="000000" w:sz="4" w:space="0"/>
            </w:tcBorders>
            <w:shd w:val="clear" w:color="auto" w:fill="auto"/>
            <w:vAlign w:val="center"/>
          </w:tcPr>
          <w:p w14:paraId="332683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A093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“一件事”体系管理-机动车检验机构对象库管理-建立机动车检验检测机构识别模型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387B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建立机动车检验检测机构识别模型，支持从全市市场监管行政许可的检验检测机构资质认定证书中，根据检验检测机构资质认定的能力项目以及依据标准，筛选过滤与机动车检验检测相关的证书。</w:t>
            </w:r>
          </w:p>
        </w:tc>
      </w:tr>
      <w:tr w14:paraId="14E845C4">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C1E0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1105</w:t>
            </w:r>
          </w:p>
        </w:tc>
        <w:tc>
          <w:tcPr>
            <w:tcW w:w="491" w:type="pct"/>
            <w:tcBorders>
              <w:top w:val="nil"/>
              <w:left w:val="nil"/>
              <w:bottom w:val="single" w:color="000000" w:sz="4" w:space="0"/>
              <w:right w:val="single" w:color="000000" w:sz="4" w:space="0"/>
            </w:tcBorders>
            <w:shd w:val="clear" w:color="auto" w:fill="auto"/>
            <w:vAlign w:val="center"/>
          </w:tcPr>
          <w:p w14:paraId="53C7CA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B3AE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“一件事”体系管理-机动车检验机构对象库管理-建立机动车检验检测机构数据更新同步机制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4179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通过数据共享对接，基于机动车检验检测机构识别模型，实现市场监管行政许可的检验检测机构资质认定证书的定期抽取与同步更新机制，实现机动车检验检测机构综合监管“一件事”的监管对象的自动维护。</w:t>
            </w:r>
          </w:p>
        </w:tc>
      </w:tr>
      <w:tr w14:paraId="5733774C">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C93E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1106</w:t>
            </w:r>
          </w:p>
        </w:tc>
        <w:tc>
          <w:tcPr>
            <w:tcW w:w="491" w:type="pct"/>
            <w:tcBorders>
              <w:top w:val="nil"/>
              <w:left w:val="nil"/>
              <w:bottom w:val="single" w:color="000000" w:sz="4" w:space="0"/>
              <w:right w:val="single" w:color="000000" w:sz="4" w:space="0"/>
            </w:tcBorders>
            <w:shd w:val="clear" w:color="auto" w:fill="auto"/>
            <w:vAlign w:val="center"/>
          </w:tcPr>
          <w:p w14:paraId="1C728D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1A9853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“一件事”体系管理-机动车检验机构对象库管理-支持机动车检验检测机构的分级分类标签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6956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能在机动车检验检测机构对象库名录基础上，通过打标签的形式，支持对通用企业信用风险分类、专业信用风险分级分类标识，以便通过标签支持在双随机中提高高风险检验检测机构的抽查比例。</w:t>
            </w:r>
          </w:p>
        </w:tc>
      </w:tr>
      <w:tr w14:paraId="7F667C1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7478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1107</w:t>
            </w:r>
          </w:p>
        </w:tc>
        <w:tc>
          <w:tcPr>
            <w:tcW w:w="491" w:type="pct"/>
            <w:tcBorders>
              <w:top w:val="nil"/>
              <w:left w:val="nil"/>
              <w:bottom w:val="single" w:color="000000" w:sz="4" w:space="0"/>
              <w:right w:val="single" w:color="000000" w:sz="4" w:space="0"/>
            </w:tcBorders>
            <w:shd w:val="clear" w:color="auto" w:fill="auto"/>
            <w:vAlign w:val="center"/>
          </w:tcPr>
          <w:p w14:paraId="4B3AC5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BA9C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“一件事”体系管理-各部门检查人员库管理-联合对象库总览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0CFD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依托本市“互联网+监管”系统，实现各部门检查人员信息的录入与标识。</w:t>
            </w:r>
          </w:p>
        </w:tc>
      </w:tr>
      <w:tr w14:paraId="167EEDAF">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B3F8C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1108</w:t>
            </w:r>
          </w:p>
        </w:tc>
        <w:tc>
          <w:tcPr>
            <w:tcW w:w="491" w:type="pct"/>
            <w:tcBorders>
              <w:top w:val="nil"/>
              <w:left w:val="nil"/>
              <w:bottom w:val="single" w:color="000000" w:sz="4" w:space="0"/>
              <w:right w:val="single" w:color="000000" w:sz="4" w:space="0"/>
            </w:tcBorders>
            <w:shd w:val="clear" w:color="auto" w:fill="auto"/>
            <w:vAlign w:val="center"/>
          </w:tcPr>
          <w:p w14:paraId="285B52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85E1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2B3A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本市“互联网+监管”系统中“联合抽查”功能体系，提供制定机动车检验机构综合监管“一件事”联合抽查工作方案制定的功能。只有机动车检验检测机构综合监管相关部门才能作为方案制定部门，协同部门限于方案制定部门之外的其他三个部门。</w:t>
            </w:r>
          </w:p>
        </w:tc>
      </w:tr>
      <w:tr w14:paraId="26656F5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7116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1109</w:t>
            </w:r>
          </w:p>
        </w:tc>
        <w:tc>
          <w:tcPr>
            <w:tcW w:w="491" w:type="pct"/>
            <w:tcBorders>
              <w:top w:val="nil"/>
              <w:left w:val="nil"/>
              <w:bottom w:val="single" w:color="000000" w:sz="4" w:space="0"/>
              <w:right w:val="single" w:color="000000" w:sz="4" w:space="0"/>
            </w:tcBorders>
            <w:shd w:val="clear" w:color="auto" w:fill="auto"/>
            <w:vAlign w:val="center"/>
          </w:tcPr>
          <w:p w14:paraId="737A55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3FE6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686E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检查内容限于各部门监管重点事项清单，可以从中按照检查内容，自动合并生成机动车检验领域标准化检查单。</w:t>
            </w:r>
          </w:p>
        </w:tc>
      </w:tr>
      <w:tr w14:paraId="242D79C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6E04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1110</w:t>
            </w:r>
          </w:p>
        </w:tc>
        <w:tc>
          <w:tcPr>
            <w:tcW w:w="491" w:type="pct"/>
            <w:tcBorders>
              <w:top w:val="nil"/>
              <w:left w:val="nil"/>
              <w:bottom w:val="single" w:color="000000" w:sz="4" w:space="0"/>
              <w:right w:val="single" w:color="000000" w:sz="4" w:space="0"/>
            </w:tcBorders>
            <w:shd w:val="clear" w:color="auto" w:fill="auto"/>
            <w:vAlign w:val="center"/>
          </w:tcPr>
          <w:p w14:paraId="43A9A1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AD21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FB49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主体随机抽取的范围，改从机动车检验检测机构对象库抽取；支持针对工作方案中监管对象的在线导入功能。</w:t>
            </w:r>
          </w:p>
        </w:tc>
      </w:tr>
      <w:tr w14:paraId="4FD905A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FA547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1111</w:t>
            </w:r>
          </w:p>
        </w:tc>
        <w:tc>
          <w:tcPr>
            <w:tcW w:w="491" w:type="pct"/>
            <w:tcBorders>
              <w:top w:val="nil"/>
              <w:left w:val="nil"/>
              <w:bottom w:val="single" w:color="000000" w:sz="4" w:space="0"/>
              <w:right w:val="single" w:color="000000" w:sz="4" w:space="0"/>
            </w:tcBorders>
            <w:shd w:val="clear" w:color="auto" w:fill="auto"/>
            <w:vAlign w:val="center"/>
          </w:tcPr>
          <w:p w14:paraId="02B2A1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F70B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81CE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支持基于机动车检验检测机构对象库上标注信息的差异化抽取；</w:t>
            </w:r>
          </w:p>
        </w:tc>
      </w:tr>
      <w:tr w14:paraId="2497066A">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BB0A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1112</w:t>
            </w:r>
          </w:p>
        </w:tc>
        <w:tc>
          <w:tcPr>
            <w:tcW w:w="491" w:type="pct"/>
            <w:tcBorders>
              <w:top w:val="nil"/>
              <w:left w:val="nil"/>
              <w:bottom w:val="single" w:color="000000" w:sz="4" w:space="0"/>
              <w:right w:val="single" w:color="000000" w:sz="4" w:space="0"/>
            </w:tcBorders>
            <w:shd w:val="clear" w:color="auto" w:fill="auto"/>
            <w:vAlign w:val="center"/>
          </w:tcPr>
          <w:p w14:paraId="49A0BF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DEC76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B9455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主体名单确认的范围，限于机动车检验检测机构对象库；</w:t>
            </w:r>
          </w:p>
        </w:tc>
      </w:tr>
      <w:tr w14:paraId="5CE9E0D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DDD0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1113</w:t>
            </w:r>
          </w:p>
        </w:tc>
        <w:tc>
          <w:tcPr>
            <w:tcW w:w="491" w:type="pct"/>
            <w:tcBorders>
              <w:top w:val="nil"/>
              <w:left w:val="nil"/>
              <w:bottom w:val="single" w:color="000000" w:sz="4" w:space="0"/>
              <w:right w:val="single" w:color="000000" w:sz="4" w:space="0"/>
            </w:tcBorders>
            <w:shd w:val="clear" w:color="auto" w:fill="auto"/>
            <w:vAlign w:val="center"/>
          </w:tcPr>
          <w:p w14:paraId="689A36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2461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B3E1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在支持随机抽查检查人员的同时，支持对检查人员的人工匹配调整。</w:t>
            </w:r>
          </w:p>
        </w:tc>
      </w:tr>
      <w:tr w14:paraId="5018E5F9">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36480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1114</w:t>
            </w:r>
          </w:p>
        </w:tc>
        <w:tc>
          <w:tcPr>
            <w:tcW w:w="491" w:type="pct"/>
            <w:tcBorders>
              <w:top w:val="nil"/>
              <w:left w:val="nil"/>
              <w:bottom w:val="single" w:color="000000" w:sz="4" w:space="0"/>
              <w:right w:val="single" w:color="000000" w:sz="4" w:space="0"/>
            </w:tcBorders>
            <w:shd w:val="clear" w:color="auto" w:fill="auto"/>
            <w:vAlign w:val="center"/>
          </w:tcPr>
          <w:p w14:paraId="119D2F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6417D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70311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基于现有“联合抽查”结果录入与复核功能，实现机动车检验检测机构综合监管“一件事”的结果录入与复核。</w:t>
            </w:r>
          </w:p>
        </w:tc>
      </w:tr>
      <w:tr w14:paraId="73E0479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3B63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1115</w:t>
            </w:r>
          </w:p>
        </w:tc>
        <w:tc>
          <w:tcPr>
            <w:tcW w:w="491" w:type="pct"/>
            <w:tcBorders>
              <w:top w:val="nil"/>
              <w:left w:val="nil"/>
              <w:bottom w:val="single" w:color="000000" w:sz="4" w:space="0"/>
              <w:right w:val="single" w:color="000000" w:sz="4" w:space="0"/>
            </w:tcBorders>
            <w:shd w:val="clear" w:color="auto" w:fill="auto"/>
            <w:vAlign w:val="center"/>
          </w:tcPr>
          <w:p w14:paraId="0F60B6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C3F03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“一件事”工作开展-“一件事”联合检查-联合抽查结果录入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7F39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新建开发联合抽查结果录入移动端轻应用功能，实现监管人员在现场远程录入机动车检验检测机构综合监管“一件事”的“联合抽查”结果的功能。</w:t>
            </w:r>
          </w:p>
        </w:tc>
      </w:tr>
      <w:tr w14:paraId="3E2C566D">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E2784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1116</w:t>
            </w:r>
          </w:p>
        </w:tc>
        <w:tc>
          <w:tcPr>
            <w:tcW w:w="491" w:type="pct"/>
            <w:tcBorders>
              <w:top w:val="nil"/>
              <w:left w:val="nil"/>
              <w:bottom w:val="single" w:color="000000" w:sz="4" w:space="0"/>
              <w:right w:val="single" w:color="000000" w:sz="4" w:space="0"/>
            </w:tcBorders>
            <w:shd w:val="clear" w:color="auto" w:fill="auto"/>
            <w:vAlign w:val="center"/>
          </w:tcPr>
          <w:p w14:paraId="4D09C38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9DD2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“一件事”工作开展-“一件事”专项整治-专项检查方案制定</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93F5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依托本市“互联网+监管”系统中“专项整治”功能体系，升级改造实现对机动车检验机构综合监管“一件事”专项整治的专项检查方案制定特色功能的支持。</w:t>
            </w:r>
          </w:p>
        </w:tc>
      </w:tr>
      <w:tr w14:paraId="708E35D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FC6C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1117</w:t>
            </w:r>
          </w:p>
        </w:tc>
        <w:tc>
          <w:tcPr>
            <w:tcW w:w="491" w:type="pct"/>
            <w:tcBorders>
              <w:top w:val="nil"/>
              <w:left w:val="nil"/>
              <w:bottom w:val="single" w:color="000000" w:sz="4" w:space="0"/>
              <w:right w:val="single" w:color="000000" w:sz="4" w:space="0"/>
            </w:tcBorders>
            <w:shd w:val="clear" w:color="auto" w:fill="auto"/>
            <w:vAlign w:val="center"/>
          </w:tcPr>
          <w:p w14:paraId="7FDF94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5B9D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“一件事”工作开展-“一件事”专项整治-专项检查结果录入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A36C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依托本市“互联网+监管”系统中“专项整治”功能体系，升级改造实现对机动车检验机构综合监管“一件事”专项整治的专项检查结果录入（包括PC端、移动端）特色功能的支持。</w:t>
            </w:r>
          </w:p>
        </w:tc>
      </w:tr>
      <w:tr w14:paraId="622E4BB8">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B379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1118</w:t>
            </w:r>
          </w:p>
        </w:tc>
        <w:tc>
          <w:tcPr>
            <w:tcW w:w="491" w:type="pct"/>
            <w:tcBorders>
              <w:top w:val="nil"/>
              <w:left w:val="nil"/>
              <w:bottom w:val="single" w:color="000000" w:sz="4" w:space="0"/>
              <w:right w:val="single" w:color="000000" w:sz="4" w:space="0"/>
            </w:tcBorders>
            <w:shd w:val="clear" w:color="auto" w:fill="auto"/>
            <w:vAlign w:val="center"/>
          </w:tcPr>
          <w:p w14:paraId="724916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02D8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机动车检验检测“一件事”共享公示-“一件事”业务总览-专项检查结果录入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2727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提供机动车检验检测机构综合监管“一件事”业务总览，包括：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1、监管对象，各区、各类机动车检验检测机构数量分布。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2、待办任务，包括正在执行的联合抽查、专项整治方案数量，未检查的联合抽查、专项整治任务数量。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3、业务办理，按照时间维度、区域维度的联合抽查、专项整治检查任务实施情况分布。</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4、部门工作，按部门开展的联合抽查、专项整治方案数量与检查任务。</w:t>
            </w:r>
          </w:p>
        </w:tc>
      </w:tr>
      <w:tr w14:paraId="5B149945">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1BBB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1119</w:t>
            </w:r>
          </w:p>
        </w:tc>
        <w:tc>
          <w:tcPr>
            <w:tcW w:w="491" w:type="pct"/>
            <w:tcBorders>
              <w:top w:val="nil"/>
              <w:left w:val="nil"/>
              <w:bottom w:val="single" w:color="000000" w:sz="4" w:space="0"/>
              <w:right w:val="single" w:color="000000" w:sz="4" w:space="0"/>
            </w:tcBorders>
            <w:shd w:val="clear" w:color="auto" w:fill="auto"/>
            <w:vAlign w:val="center"/>
          </w:tcPr>
          <w:p w14:paraId="34030E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48E4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机动车检验检测“一件事”共享公示-“一件事”业务查询-专项检查结果录入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78F9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实现机动车检验机构综合监管“一件事”业务查询功能，不同层级不同部门的人员根据身份与权限查询不同的信息。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“一件事”业务查询，包括抽查方案查询、抽查主体查询、抽查结果查询以及专项检查查询。</w:t>
            </w:r>
          </w:p>
        </w:tc>
      </w:tr>
      <w:tr w14:paraId="16CA97D1">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48DD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1120</w:t>
            </w:r>
          </w:p>
        </w:tc>
        <w:tc>
          <w:tcPr>
            <w:tcW w:w="491" w:type="pct"/>
            <w:tcBorders>
              <w:top w:val="nil"/>
              <w:left w:val="nil"/>
              <w:bottom w:val="single" w:color="000000" w:sz="4" w:space="0"/>
              <w:right w:val="single" w:color="000000" w:sz="4" w:space="0"/>
            </w:tcBorders>
            <w:shd w:val="clear" w:color="auto" w:fill="auto"/>
            <w:vAlign w:val="center"/>
          </w:tcPr>
          <w:p w14:paraId="46721D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EA2B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机动车检验检测“一件事”共享公示-“一件事”统计分析-专项检查结果录入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8649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实现机动车检验机构综合监管“一件事”相关统计分析，不同层级不同部门的人员根据身份与权限统计不同的信息。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“一件事”统计分析，包括按类型（联合抽查、专项整治）、按部门、按事项、按结果、按对象、按区域等的各类统计分析。</w:t>
            </w:r>
          </w:p>
        </w:tc>
      </w:tr>
      <w:tr w14:paraId="0D04829E">
        <w:tblPrEx>
          <w:tblCellMar>
            <w:top w:w="0" w:type="dxa"/>
            <w:left w:w="108" w:type="dxa"/>
            <w:bottom w:w="0" w:type="dxa"/>
            <w:right w:w="108" w:type="dxa"/>
          </w:tblCellMar>
        </w:tblPrEx>
        <w:trPr>
          <w:trHeight w:val="28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2EEB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1121</w:t>
            </w:r>
          </w:p>
        </w:tc>
        <w:tc>
          <w:tcPr>
            <w:tcW w:w="491" w:type="pct"/>
            <w:tcBorders>
              <w:top w:val="nil"/>
              <w:left w:val="nil"/>
              <w:bottom w:val="single" w:color="000000" w:sz="4" w:space="0"/>
              <w:right w:val="single" w:color="000000" w:sz="4" w:space="0"/>
            </w:tcBorders>
            <w:shd w:val="clear" w:color="auto" w:fill="auto"/>
            <w:vAlign w:val="center"/>
          </w:tcPr>
          <w:p w14:paraId="241E4D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综合监管</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837BE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机动车检验检测“一件事”共享公示-“一件事”数据共享-专项检查结果录入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3554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建立统一标准规范要求，依托市大数据资源共享平台汇聚数据，实现市市场监管局、市公安局、市生态环境局、市道路运输管理局围绕机动车检验检测机构综合监管“一件事”的数据交换共享，包括：行政检查、行政处罚、行政强制等数据，有力支撑风险预警、综合监管、联合惩戒等工作。</w:t>
            </w:r>
          </w:p>
        </w:tc>
      </w:tr>
      <w:tr w14:paraId="2FDCDC6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1397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1122</w:t>
            </w:r>
          </w:p>
        </w:tc>
        <w:tc>
          <w:tcPr>
            <w:tcW w:w="491" w:type="pct"/>
            <w:tcBorders>
              <w:top w:val="nil"/>
              <w:left w:val="nil"/>
              <w:bottom w:val="single" w:color="000000" w:sz="4" w:space="0"/>
              <w:right w:val="single" w:color="000000" w:sz="4" w:space="0"/>
            </w:tcBorders>
            <w:shd w:val="clear" w:color="auto" w:fill="auto"/>
            <w:vAlign w:val="center"/>
          </w:tcPr>
          <w:p w14:paraId="67B93A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7F665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认证签章-身份认证及电子签章集成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28E15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电子认证：通过调用市局统一身份认证系统or一网通办的电子认证统一服务接口，实现移动端电子认证。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人脸认证：通过调用市局统一身份认证系统or一网通办的活体检测刷脸统一服务接口，实现移动端人脸认证。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电子签章功能集成：①个人数字章领取：实名身份认证通过后，利用个人数字章领取功能领域个人电子章，设置电子章密码等。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②电子签章：签章前进行身份便捷认证，手机验证码、刷脸活体检测验证及电子章密码输入后系统完成签章功能，需要签章的文件，调用签章服务器，服务器返回防篡改、基本重要信息、电子证书信息、及签章留痕，系统提前设置好签章位置，签署到指定位置，完成电子签章操作，完成当场处罚决定书、在线审核审批立案、调查终结、处罚建议、行政处罚告知书、行政处罚听证告知书、行政处罚决定书、不予行政处罚决定书等相关电子签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详细签章流程见方案。</w:t>
            </w:r>
          </w:p>
        </w:tc>
      </w:tr>
      <w:tr w14:paraId="2130A52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FFEE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1123</w:t>
            </w:r>
          </w:p>
        </w:tc>
        <w:tc>
          <w:tcPr>
            <w:tcW w:w="491" w:type="pct"/>
            <w:tcBorders>
              <w:top w:val="nil"/>
              <w:left w:val="nil"/>
              <w:bottom w:val="single" w:color="000000" w:sz="4" w:space="0"/>
              <w:right w:val="single" w:color="000000" w:sz="4" w:space="0"/>
            </w:tcBorders>
            <w:shd w:val="clear" w:color="auto" w:fill="auto"/>
            <w:vAlign w:val="center"/>
          </w:tcPr>
          <w:p w14:paraId="6365D1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1461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现场处罚-证照扫描</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E325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调用OCR识别，提供证照扫描功能，承办人通过手机扫描执法对象相关证照，获取执法对象信息，同时承办人通过手机扫电子营业执照，获取执法对象的法人相关的信息。OCR主要调用慧治平台的OCR能力来支撑证照扫描。</w:t>
            </w:r>
          </w:p>
        </w:tc>
      </w:tr>
      <w:tr w14:paraId="40181FB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3C3A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1124</w:t>
            </w:r>
          </w:p>
        </w:tc>
        <w:tc>
          <w:tcPr>
            <w:tcW w:w="491" w:type="pct"/>
            <w:tcBorders>
              <w:top w:val="nil"/>
              <w:left w:val="nil"/>
              <w:bottom w:val="single" w:color="000000" w:sz="4" w:space="0"/>
              <w:right w:val="single" w:color="000000" w:sz="4" w:space="0"/>
            </w:tcBorders>
            <w:shd w:val="clear" w:color="auto" w:fill="auto"/>
            <w:vAlign w:val="center"/>
          </w:tcPr>
          <w:p w14:paraId="3BA509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673B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现场处罚-案发定位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67E0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系统提供案发定位功能；系统通过调用慧治平台的地理信息定位服务，利用GIS技术实现案发定位，支持区划补填，街道补填，能够自动获取所在区、街道的案发地理信息，方便执法人员办案操作。</w:t>
            </w:r>
          </w:p>
        </w:tc>
      </w:tr>
      <w:tr w14:paraId="4E37B0C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88488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1125</w:t>
            </w:r>
          </w:p>
        </w:tc>
        <w:tc>
          <w:tcPr>
            <w:tcW w:w="491" w:type="pct"/>
            <w:tcBorders>
              <w:top w:val="nil"/>
              <w:left w:val="nil"/>
              <w:bottom w:val="single" w:color="000000" w:sz="4" w:space="0"/>
              <w:right w:val="single" w:color="000000" w:sz="4" w:space="0"/>
            </w:tcBorders>
            <w:shd w:val="clear" w:color="auto" w:fill="auto"/>
            <w:vAlign w:val="center"/>
          </w:tcPr>
          <w:p w14:paraId="0F65BC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FAE5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现场处罚-当事人基本信息采集及校对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4A5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当事人基本信息：系统通过数据慧治平台获取个体工商户、企业的基本信息。当事人为企业，基本信息包括企业注册号、统一信用代码、单位名称、法定代表人、证件类型、企业类型、注册地址、注册地址行政区，注册金额等；当事人为自然人，基本信包括姓名、国籍、证件类型、性别、工作单位、住所行政区、住所地址、联系电话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当事人基本信息校对：依据法人库、人口库等实现自然人、企业、其他组织等类型当事人证件信息的校对功能。对信息是否准确、缺漏、是否符合标准等进行校对。</w:t>
            </w:r>
          </w:p>
        </w:tc>
      </w:tr>
      <w:tr w14:paraId="6367B2A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8564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1126</w:t>
            </w:r>
          </w:p>
        </w:tc>
        <w:tc>
          <w:tcPr>
            <w:tcW w:w="491" w:type="pct"/>
            <w:tcBorders>
              <w:top w:val="nil"/>
              <w:left w:val="nil"/>
              <w:bottom w:val="single" w:color="000000" w:sz="4" w:space="0"/>
              <w:right w:val="single" w:color="000000" w:sz="4" w:space="0"/>
            </w:tcBorders>
            <w:shd w:val="clear" w:color="auto" w:fill="auto"/>
            <w:vAlign w:val="center"/>
          </w:tcPr>
          <w:p w14:paraId="1D6616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7515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现场处罚-处罚决定书在线生成及校对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6B471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处罚决定书在线生成：系统提供处罚决定文书在线生成功能；系统基于处罚决定书通用模版，通过调用慧治平台标准化的基础信息数据库获取当事人基础信息、处罚信息，在线生成处罚决定书，包括但不局限于当事人基础信息填写，当事人处罚信息填写生成，通用文书内容模版生成等；同时集成NTKO软件，实现轻阅读，高性能，快预览电子处罚决定书，生成PDF电子版本，同时调用全能应用电子签章工具，实现CA电子文书转换，可信数字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处罚决定书校对：基于业务规则针对处罚决定书的部分内容进行在线校对。</w:t>
            </w:r>
          </w:p>
        </w:tc>
      </w:tr>
      <w:tr w14:paraId="37C5F60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3CA3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1127</w:t>
            </w:r>
          </w:p>
        </w:tc>
        <w:tc>
          <w:tcPr>
            <w:tcW w:w="491" w:type="pct"/>
            <w:tcBorders>
              <w:top w:val="nil"/>
              <w:left w:val="nil"/>
              <w:bottom w:val="single" w:color="000000" w:sz="4" w:space="0"/>
              <w:right w:val="single" w:color="000000" w:sz="4" w:space="0"/>
            </w:tcBorders>
            <w:shd w:val="clear" w:color="auto" w:fill="auto"/>
            <w:vAlign w:val="center"/>
          </w:tcPr>
          <w:p w14:paraId="5D481E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C28E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现场调查-询问笔录-案件关联</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E8BD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笔录信息与案件关联。实现与案件库相关案件关联，为询问笔录相关信息、文书生成提供支撑。</w:t>
            </w:r>
          </w:p>
        </w:tc>
      </w:tr>
      <w:tr w14:paraId="27918C5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7B55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1128</w:t>
            </w:r>
          </w:p>
        </w:tc>
        <w:tc>
          <w:tcPr>
            <w:tcW w:w="491" w:type="pct"/>
            <w:tcBorders>
              <w:top w:val="nil"/>
              <w:left w:val="nil"/>
              <w:bottom w:val="single" w:color="000000" w:sz="4" w:space="0"/>
              <w:right w:val="single" w:color="000000" w:sz="4" w:space="0"/>
            </w:tcBorders>
            <w:shd w:val="clear" w:color="auto" w:fill="auto"/>
            <w:vAlign w:val="center"/>
          </w:tcPr>
          <w:p w14:paraId="568C51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21EC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现场调查-询问笔录-笔录模板配置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765B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对笔录进行扫描记录，对笔录扫描后形成相关的内容进行识别和记录。按照对所有笔录的扫描记录，生成统一模版库。</w:t>
            </w:r>
          </w:p>
        </w:tc>
      </w:tr>
      <w:tr w14:paraId="71ED8CE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5C20A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1129</w:t>
            </w:r>
          </w:p>
        </w:tc>
        <w:tc>
          <w:tcPr>
            <w:tcW w:w="491" w:type="pct"/>
            <w:tcBorders>
              <w:top w:val="nil"/>
              <w:left w:val="nil"/>
              <w:bottom w:val="single" w:color="000000" w:sz="4" w:space="0"/>
              <w:right w:val="single" w:color="000000" w:sz="4" w:space="0"/>
            </w:tcBorders>
            <w:shd w:val="clear" w:color="auto" w:fill="auto"/>
            <w:vAlign w:val="center"/>
          </w:tcPr>
          <w:p w14:paraId="500669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0698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现场调查-询问笔录-语音转换处理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18C2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调用慧治平台人工智能能力，实现语音转换文字，辅助生成问答补录。可将执法询问的记录、笔记、总结等音频转写为文字，进行内容记录、展示。</w:t>
            </w:r>
          </w:p>
        </w:tc>
      </w:tr>
      <w:tr w14:paraId="6B628C9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143F5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1130</w:t>
            </w:r>
          </w:p>
        </w:tc>
        <w:tc>
          <w:tcPr>
            <w:tcW w:w="491" w:type="pct"/>
            <w:tcBorders>
              <w:top w:val="nil"/>
              <w:left w:val="nil"/>
              <w:bottom w:val="single" w:color="000000" w:sz="4" w:space="0"/>
              <w:right w:val="single" w:color="000000" w:sz="4" w:space="0"/>
            </w:tcBorders>
            <w:shd w:val="clear" w:color="auto" w:fill="auto"/>
            <w:vAlign w:val="center"/>
          </w:tcPr>
          <w:p w14:paraId="672C34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D90A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现场调查-询问笔录-语义分析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65ED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调用慧治平台人工智能能力，语义分析问答内容，智能补填问答。基于文本挖掘、自然语言处理、概念关系词典等技术向用户推荐相关法律规章及相关条文、咨询问答信息等。</w:t>
            </w:r>
          </w:p>
        </w:tc>
      </w:tr>
      <w:tr w14:paraId="050E4A5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B7CF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1131</w:t>
            </w:r>
          </w:p>
        </w:tc>
        <w:tc>
          <w:tcPr>
            <w:tcW w:w="491" w:type="pct"/>
            <w:tcBorders>
              <w:top w:val="nil"/>
              <w:left w:val="nil"/>
              <w:bottom w:val="single" w:color="000000" w:sz="4" w:space="0"/>
              <w:right w:val="single" w:color="000000" w:sz="4" w:space="0"/>
            </w:tcBorders>
            <w:shd w:val="clear" w:color="auto" w:fill="auto"/>
            <w:vAlign w:val="center"/>
          </w:tcPr>
          <w:p w14:paraId="2C8FE6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8A3A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现场调查-询问笔录-规范提醒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EF57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通过笔录模板，联想生成笔录文书，达到规范化。支持按照相关规范要求形成笔录文书，当达不到相关规范要求的时候自动提醒相关不规范信息，并重新处理。</w:t>
            </w:r>
          </w:p>
        </w:tc>
      </w:tr>
      <w:tr w14:paraId="405339A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46BA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1132</w:t>
            </w:r>
          </w:p>
        </w:tc>
        <w:tc>
          <w:tcPr>
            <w:tcW w:w="491" w:type="pct"/>
            <w:tcBorders>
              <w:top w:val="nil"/>
              <w:left w:val="nil"/>
              <w:bottom w:val="single" w:color="000000" w:sz="4" w:space="0"/>
              <w:right w:val="single" w:color="000000" w:sz="4" w:space="0"/>
            </w:tcBorders>
            <w:shd w:val="clear" w:color="auto" w:fill="auto"/>
            <w:vAlign w:val="center"/>
          </w:tcPr>
          <w:p w14:paraId="04738A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F9D2D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现场调查-询问笔录-笔录文书辅助生成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D909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支持笔录文书辅助生成，根据相关笔录模版库，在线实现笔录文书生成，并支持对生成文书进行调整，同时支持调用电子签章，实现电子签名盖章等功能，生成最终笔录文书。</w:t>
            </w:r>
          </w:p>
        </w:tc>
      </w:tr>
      <w:tr w14:paraId="6DAB68E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D6D5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1133</w:t>
            </w:r>
          </w:p>
        </w:tc>
        <w:tc>
          <w:tcPr>
            <w:tcW w:w="491" w:type="pct"/>
            <w:tcBorders>
              <w:top w:val="nil"/>
              <w:left w:val="nil"/>
              <w:bottom w:val="single" w:color="000000" w:sz="4" w:space="0"/>
              <w:right w:val="single" w:color="000000" w:sz="4" w:space="0"/>
            </w:tcBorders>
            <w:shd w:val="clear" w:color="auto" w:fill="auto"/>
            <w:vAlign w:val="center"/>
          </w:tcPr>
          <w:p w14:paraId="73B6DA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DB48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现场调查-现场检查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85DE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在线记录现场检查信息，含检查情况，日期，人员及结果信息，采集后，固证存证。</w:t>
            </w:r>
          </w:p>
        </w:tc>
      </w:tr>
      <w:tr w14:paraId="49D2E40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E36B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1134</w:t>
            </w:r>
          </w:p>
        </w:tc>
        <w:tc>
          <w:tcPr>
            <w:tcW w:w="491" w:type="pct"/>
            <w:tcBorders>
              <w:top w:val="nil"/>
              <w:left w:val="nil"/>
              <w:bottom w:val="single" w:color="000000" w:sz="4" w:space="0"/>
              <w:right w:val="single" w:color="000000" w:sz="4" w:space="0"/>
            </w:tcBorders>
            <w:shd w:val="clear" w:color="auto" w:fill="auto"/>
            <w:vAlign w:val="center"/>
          </w:tcPr>
          <w:p w14:paraId="26A7F5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771F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在线审批-立案管理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FFD6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完成立案管理的移动端页面开发，包括立案申请、不立案申请、合并立案申请、办案机构审核、审核机构初审、审核机构负责人审核、会审申请、会审审核、立案审批等功能页面。</w:t>
            </w:r>
          </w:p>
        </w:tc>
      </w:tr>
      <w:tr w14:paraId="6BD122C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82A9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1135</w:t>
            </w:r>
          </w:p>
        </w:tc>
        <w:tc>
          <w:tcPr>
            <w:tcW w:w="491" w:type="pct"/>
            <w:tcBorders>
              <w:top w:val="nil"/>
              <w:left w:val="nil"/>
              <w:bottom w:val="single" w:color="000000" w:sz="4" w:space="0"/>
              <w:right w:val="single" w:color="000000" w:sz="4" w:space="0"/>
            </w:tcBorders>
            <w:shd w:val="clear" w:color="auto" w:fill="auto"/>
            <w:vAlign w:val="center"/>
          </w:tcPr>
          <w:p w14:paraId="41B6EF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216A1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在线审批-行政处罚决定送达-当场送达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6EFE2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市监工作人员将行政处罚决定书送达责任现场，在宣告后当场交付当事人，当事人签收行政处罚决定书，并签字确认送达回报予以确认，对需要当场执行的予以当场执行。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由受送达人在送达回证上注明签收日期，并签名或者盖章，受送达人在送达回证上注明的签收日期为送达日期。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受送达人是自然人的，本人不在时交其同住成年家属签收；受送达人是法人或者其他组织的，由法人的法定代表人、其他组织的主要负责人或者该法人、其他组织负责收件的人签收；受送达人有代理人的，可以送交其代理人签收；受送达人已向市场监督管理部门指定代收人的，送交代收人签收。受送达人的同住成年家属，法人或者其他组织负责收件的人，代理人或者代收人在送达回证上签收的日期为送达日期。</w:t>
            </w:r>
          </w:p>
        </w:tc>
      </w:tr>
      <w:tr w14:paraId="6DA55C8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3074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1136</w:t>
            </w:r>
          </w:p>
        </w:tc>
        <w:tc>
          <w:tcPr>
            <w:tcW w:w="491" w:type="pct"/>
            <w:tcBorders>
              <w:top w:val="nil"/>
              <w:left w:val="nil"/>
              <w:bottom w:val="single" w:color="000000" w:sz="4" w:space="0"/>
              <w:right w:val="single" w:color="000000" w:sz="4" w:space="0"/>
            </w:tcBorders>
            <w:shd w:val="clear" w:color="auto" w:fill="auto"/>
            <w:vAlign w:val="center"/>
          </w:tcPr>
          <w:p w14:paraId="4AF519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7DF0A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在线审批-行政处罚决定送达-非直接现场送达及确认地址送达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9A1F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非直接现场送达：市监工作人员将行政处罚决定书送达责任现场，如当事人不在场，则在七个工作日内以采取邮寄送达或者委托当地市场监督管理部门、转交其他部门代为送达。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邮寄送达的，以回执上注明的收件日期为送达日期；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委托、转交送达的，受送达人的签收日期为送达日期。"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确认地址送达：按照受送达人签署送达地址确认书的地址信息，市监部门将执法文书送达至受送达人确认的地址，即视为送达。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受送达人送达地址发生变更的，应当及时书面告知市场监督管理部门；未及时告知的，市场监督管理部门按原地址送达，视为依法送达。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因受送达人提供的送达地址不准确、送达地址变更未书面告知市场监督管理部门，导致执法文书未能被受送达人实际接收的，直接送达的，执法文书留在该地址之日为送达之日；邮寄送达的，执法文书被退回之日为送达之日。</w:t>
            </w:r>
          </w:p>
        </w:tc>
      </w:tr>
      <w:tr w14:paraId="37E255F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BDCAD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1137</w:t>
            </w:r>
          </w:p>
        </w:tc>
        <w:tc>
          <w:tcPr>
            <w:tcW w:w="491" w:type="pct"/>
            <w:tcBorders>
              <w:top w:val="nil"/>
              <w:left w:val="nil"/>
              <w:bottom w:val="single" w:color="000000" w:sz="4" w:space="0"/>
              <w:right w:val="single" w:color="000000" w:sz="4" w:space="0"/>
            </w:tcBorders>
            <w:shd w:val="clear" w:color="auto" w:fill="auto"/>
            <w:vAlign w:val="center"/>
          </w:tcPr>
          <w:p w14:paraId="5C09FF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8E0D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在线审批-行政处罚决定送达-电子送达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A3FB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事先征得当事人同意，并由当事人在送达地址确认书中予以确认，可以采用手机短信、传真、电子邮件、即时通讯账号等能够确认其收悉的电子方式送达执法文书，电子送达到达受送达人特定系统的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市场监督管理部门通过拍照、截屏、录音、录像等方式予以记录。</w:t>
            </w:r>
          </w:p>
        </w:tc>
      </w:tr>
      <w:tr w14:paraId="5606CE4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08F2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1138</w:t>
            </w:r>
          </w:p>
        </w:tc>
        <w:tc>
          <w:tcPr>
            <w:tcW w:w="491" w:type="pct"/>
            <w:tcBorders>
              <w:top w:val="nil"/>
              <w:left w:val="nil"/>
              <w:bottom w:val="single" w:color="000000" w:sz="4" w:space="0"/>
              <w:right w:val="single" w:color="000000" w:sz="4" w:space="0"/>
            </w:tcBorders>
            <w:shd w:val="clear" w:color="auto" w:fill="auto"/>
            <w:vAlign w:val="center"/>
          </w:tcPr>
          <w:p w14:paraId="4F573E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08454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在线审批-行政处罚决定送达-拒收送达、公告送达、送达签收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576D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拒收送达：受送达人（当事人）或者其同住成年家属拒绝签收的，市场监督管理部门可以邀请有关基层组织或者所在单位的代表到场，说明情况，在送达回证上载明拒收事由和日期，由送达人、见证人签名或者以其他方式确认，将执法文书留在受送达人的住所；也可以将执法文书留在受送达人的住所，并采取拍照、录像等方式记录送达过程，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公告送达：由于受送达人下落不明或者采取其它方式无法送达的，可在市场监督管理部门公告栏和受送达人住所地张贴公告，或在在报纸或者市场监督管理部门门户网站等刊登公告。自公告发布之日起经过三十日，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采用公告送达方式的，在案件材料中载明原因和经过。在市场监督管理部门公告栏和受送达人住所地张贴公告的，应当采取拍照、录像等方式记录张贴过程。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送达签收：对于当场送达的，当事人在送达回证上注明签收日期，并签名或者盖章。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对于非现场送达的，由受送达人或其亲属、委托人、代收人在送达回证上注明签收日期，并签名或者盖章。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对于无签收的其它送达方式，按照规定的送达处理方式完成送达签收处理。</w:t>
            </w:r>
          </w:p>
        </w:tc>
      </w:tr>
      <w:tr w14:paraId="3126A0F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250D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1139</w:t>
            </w:r>
          </w:p>
        </w:tc>
        <w:tc>
          <w:tcPr>
            <w:tcW w:w="491" w:type="pct"/>
            <w:tcBorders>
              <w:top w:val="nil"/>
              <w:left w:val="nil"/>
              <w:bottom w:val="single" w:color="000000" w:sz="4" w:space="0"/>
              <w:right w:val="single" w:color="000000" w:sz="4" w:space="0"/>
            </w:tcBorders>
            <w:shd w:val="clear" w:color="auto" w:fill="auto"/>
            <w:vAlign w:val="center"/>
          </w:tcPr>
          <w:p w14:paraId="4E795F2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14564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在线审批-执行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2374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完成执行管理的移动端页面开发，决定执行 ：行政处罚决定依法作出后，当事人当在行政处罚决定书载明的期限内予以履行。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逾期处理 ：当事人逾期不缴纳罚款的，市场监督管理部门可以每日按罚款数额的百分之三加处罚款，加处罚款的数额不得超出罚款的数额。</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强制执行：当事人在法定期限内不申请行政复议或者提起行政诉讼，又不履行行政处罚决定，且在收到催告书十个工作日后仍不履行行政处罚决定的，市场监督管理部门可以在期限届满之日起三个月内依法申请人民法院强制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对市场监督管理部门批准延期、分期缴纳罚款的，到期仍未交的，申请人民法院强制执行的期限，自暂缓或者分期缴纳罚款期限结束之日起计算。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执行记录 ：市场监督管理部门依法以文字、音像等形式，对行政处罚的执行等进行全过程记录，规范登记执行信息记录，相关证明材料作为信息登记记录的附件一并提交保存。</w:t>
            </w:r>
          </w:p>
        </w:tc>
      </w:tr>
      <w:tr w14:paraId="10B2D05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F9B9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1140</w:t>
            </w:r>
          </w:p>
        </w:tc>
        <w:tc>
          <w:tcPr>
            <w:tcW w:w="491" w:type="pct"/>
            <w:tcBorders>
              <w:top w:val="nil"/>
              <w:left w:val="nil"/>
              <w:bottom w:val="single" w:color="000000" w:sz="4" w:space="0"/>
              <w:right w:val="single" w:color="000000" w:sz="4" w:space="0"/>
            </w:tcBorders>
            <w:shd w:val="clear" w:color="auto" w:fill="auto"/>
            <w:vAlign w:val="center"/>
          </w:tcPr>
          <w:p w14:paraId="544411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26632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在线审批-数据修改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5A186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办案机构负责人对案件承办人提交的申请进行初审，审查数据修改申请表是否合规、证明材料是否齐全，确认无误后提交市场监管局业务科（处）室，由业务科（处）室负责人进行审核。完成立数据修改的移动端页面开发，包括：数据修改初审、接受、分派、派转、审核、数据修改审核、数据修改审批和数据修改等环节。</w:t>
            </w:r>
          </w:p>
        </w:tc>
      </w:tr>
      <w:tr w14:paraId="597B636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F092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1141</w:t>
            </w:r>
          </w:p>
        </w:tc>
        <w:tc>
          <w:tcPr>
            <w:tcW w:w="491" w:type="pct"/>
            <w:tcBorders>
              <w:top w:val="nil"/>
              <w:left w:val="nil"/>
              <w:bottom w:val="single" w:color="000000" w:sz="4" w:space="0"/>
              <w:right w:val="single" w:color="000000" w:sz="4" w:space="0"/>
            </w:tcBorders>
            <w:shd w:val="clear" w:color="auto" w:fill="auto"/>
            <w:vAlign w:val="center"/>
          </w:tcPr>
          <w:p w14:paraId="4630DE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BD9FE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在线审批-交办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05C5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审核 ：市局处室接受下级区局申请，由市局处室负责人指定具体经办人具体办理，市级处室经办人依据申请和工作规范草拟交办文书，提处室负责人审核，审核通过后提交市局会审。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会审申请：市局会审处室接受交办文书，由市局会审处室负责人指定具体会审经办人具体办理，市级会审处室经办人依据申请和工作规范对业务处室提交的草拟交办文书提供会审意见或建议，连同草拟交办文书一并提交会审处室负责人审核，审核通过后，提交市局领导审批。不通过则退回至业务处室经办人继续修改草拟交办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批：市局机关负责人（领导）对会审处室提交的交办文书进行审批，获批后立即更新申请状态为审批通过，通过后，业务处室经办人根据草拟交办文书、会审意见和建议形成正式交办文书下发交办给下级（区）业务科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不予批准通过则签署意见并反馈审批提醒服务给业务处室经办人再行完善草拟交办文书重新提交会审，对不予通过审批的做退回处理，并填写退回意见。"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交办承接：区市监局办案业务科室依照交办文书承接上级交办案件，根据案件办理规定执行。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区级市场监督管理部门对依据监督检查职权或者上级交办等途径发现的违法行为线索，自发现线索或者收到材料之日起十五个工作日内予以核查，由区市场监督管理部门负责人决定是否立案；特殊情况下，经市场监督管理部门负责人批准，可以延长十五个工作日。法律、法规、规章另有规定的除外。</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对案件侦办过程中的检测、检验、检疫、鉴定以及权利人辨认或者鉴别等所需时间，不计入规定期限。</w:t>
            </w:r>
          </w:p>
        </w:tc>
      </w:tr>
      <w:tr w14:paraId="393C54A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A0CC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1142</w:t>
            </w:r>
          </w:p>
        </w:tc>
        <w:tc>
          <w:tcPr>
            <w:tcW w:w="491" w:type="pct"/>
            <w:tcBorders>
              <w:top w:val="nil"/>
              <w:left w:val="nil"/>
              <w:bottom w:val="single" w:color="000000" w:sz="4" w:space="0"/>
              <w:right w:val="single" w:color="000000" w:sz="4" w:space="0"/>
            </w:tcBorders>
            <w:shd w:val="clear" w:color="auto" w:fill="auto"/>
            <w:vAlign w:val="center"/>
          </w:tcPr>
          <w:p w14:paraId="4CC37E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C998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在线审批-处罚请示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DF729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处罚请示审核：办案机构负责人可以对交办文书进行审核，可以选择审核通过或者退回，填写修改意见，支持提请会审。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请示会审申请：审核机构负责人提请会审后，由会审经办人查看文书内容，提出会审意见和建议报会审机构负责人审核，会审机构负责人可以提出修改意见退回给审核机构负责人或者提出会审意见，提请会审的发起人继续报审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机关科（处）室负责人审核：机关科（室）负责人查看文书及审核意见，负责人可以选择同意或者退回给承办人。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请示审批：会审通过后市级机关负责人根据市级处室负责人、市级会审处室经办人和市级会审科处室负责人对处罚公示文书的会审意见，通过查看区级科（处）室提交的轻松文件和市级处室经办人草拟交办文书内容是否符合法规要求，决定是否对处罚进行公示；对于不符合要求可以退回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处罚请示处理批复情况：公示处罚审批通过后承办人查看处理批复情况。</w:t>
            </w:r>
          </w:p>
        </w:tc>
      </w:tr>
      <w:tr w14:paraId="1E59694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87E8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1143</w:t>
            </w:r>
          </w:p>
        </w:tc>
        <w:tc>
          <w:tcPr>
            <w:tcW w:w="491" w:type="pct"/>
            <w:tcBorders>
              <w:top w:val="nil"/>
              <w:left w:val="nil"/>
              <w:bottom w:val="single" w:color="000000" w:sz="4" w:space="0"/>
              <w:right w:val="single" w:color="000000" w:sz="4" w:space="0"/>
            </w:tcBorders>
            <w:shd w:val="clear" w:color="auto" w:fill="auto"/>
            <w:vAlign w:val="center"/>
          </w:tcPr>
          <w:p w14:paraId="2AE09B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5BCED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在线审批-拍卖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E6BF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拍卖初审：办案机构负责人查看承办人提交的拍卖申请，可以选择退回，填写修改意见，无修改意见则选择报送机关科（处）室负责人审核。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拍卖审核：机关科（处）室负责人查看承办人提交的申请信息和办案机构负责人填写审核信息，可以选择同意流转到办案机关负责人审批或者选择退回给承办人，支持填写修改意见。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拍卖审批：办案机关负责人查看承办人提交的申请信息、办案机构负责人的初审信息以及机关科（处）室负责人的审核信息，办案机关负责人可以选择同意或者不同意结束流程，该流程所有节点的相关人员可以查看审批结果。</w:t>
            </w:r>
          </w:p>
        </w:tc>
      </w:tr>
      <w:tr w14:paraId="209A633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2987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1144</w:t>
            </w:r>
          </w:p>
        </w:tc>
        <w:tc>
          <w:tcPr>
            <w:tcW w:w="491" w:type="pct"/>
            <w:tcBorders>
              <w:top w:val="nil"/>
              <w:left w:val="nil"/>
              <w:bottom w:val="single" w:color="000000" w:sz="4" w:space="0"/>
              <w:right w:val="single" w:color="000000" w:sz="4" w:space="0"/>
            </w:tcBorders>
            <w:shd w:val="clear" w:color="auto" w:fill="auto"/>
            <w:vAlign w:val="center"/>
          </w:tcPr>
          <w:p w14:paraId="3F4187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F5800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在线审批-销毁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83E14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销毁初审：办案机构负责人查看承办人提交的数据信息，可以选择退回，填写修改意见，无修改意见则选择报送机关科（处）室负责人审核。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销毁审核：机关科（处）室负责人查看承办人提交的申请信息和办案机构负责人填写审核信息，可以选择同意流转到办案机关负责人审批或者选择退回给承办人，支持填写修改意见。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销毁审批：办案机关负责人查看承办人提交的申请信息、办案机构负责人的初审信息以及机关科（处）室负责人的审核信息，办案机关负责人可以选择同意或者不同意结束流程，该流程所有节点的相关人员可以查看审批结果。</w:t>
            </w:r>
          </w:p>
        </w:tc>
      </w:tr>
      <w:tr w14:paraId="21F90E2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DDDEC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1145</w:t>
            </w:r>
          </w:p>
        </w:tc>
        <w:tc>
          <w:tcPr>
            <w:tcW w:w="491" w:type="pct"/>
            <w:tcBorders>
              <w:top w:val="nil"/>
              <w:left w:val="nil"/>
              <w:bottom w:val="single" w:color="000000" w:sz="4" w:space="0"/>
              <w:right w:val="single" w:color="000000" w:sz="4" w:space="0"/>
            </w:tcBorders>
            <w:shd w:val="clear" w:color="auto" w:fill="auto"/>
            <w:vAlign w:val="center"/>
          </w:tcPr>
          <w:p w14:paraId="25B9A1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861A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在线审批-其他流程有关事项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BE0C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其他流程有关事项初审 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其他流程有关事项审核 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其他流程有关事项审批 办案机关负责人查看承办人提交的申请信息、办案机构负责人的初审信息以及机关科（处）室负责人的审核信息，办案机关负责人可以选择同意或者不同意结束流程，该流程所有节点的相关人员可以查看审批结果。</w:t>
            </w:r>
          </w:p>
        </w:tc>
      </w:tr>
      <w:tr w14:paraId="13478CF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A0EF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1146</w:t>
            </w:r>
          </w:p>
        </w:tc>
        <w:tc>
          <w:tcPr>
            <w:tcW w:w="491" w:type="pct"/>
            <w:tcBorders>
              <w:top w:val="nil"/>
              <w:left w:val="nil"/>
              <w:bottom w:val="single" w:color="000000" w:sz="4" w:space="0"/>
              <w:right w:val="single" w:color="000000" w:sz="4" w:space="0"/>
            </w:tcBorders>
            <w:shd w:val="clear" w:color="auto" w:fill="auto"/>
            <w:vAlign w:val="center"/>
          </w:tcPr>
          <w:p w14:paraId="3B0242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CCFB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在线审批-其他文书送达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D43D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文书线上签收 收件人员签收文书后，反馈给承办人员文书签收成功。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文书打印 文书如在规定时间范围内未签收，系统默认签收失败，则流程自动流转到未线下送达。承办人可以选择文书打印功能，打印文书。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线下送达结果记录 承办人填写线下送达的相关信息，上传送达证明文件。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开启公告送达 如线下无法送达，则系统开启公告送达审批流程，公告送达审批通过审批人员可以选择线下公告或者线上公告容推送到网站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线下送达（打印） 支持打印公告内容，记录公告栏张贴的相关信息，如张贴人员、张贴时间等。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线上公告 系统将公告推送至市局门户网站，通过市局门户网站前台进行集中展示。</w:t>
            </w:r>
          </w:p>
        </w:tc>
      </w:tr>
      <w:tr w14:paraId="5F261DD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AF704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1147</w:t>
            </w:r>
          </w:p>
        </w:tc>
        <w:tc>
          <w:tcPr>
            <w:tcW w:w="491" w:type="pct"/>
            <w:tcBorders>
              <w:top w:val="nil"/>
              <w:left w:val="nil"/>
              <w:bottom w:val="single" w:color="000000" w:sz="4" w:space="0"/>
              <w:right w:val="single" w:color="000000" w:sz="4" w:space="0"/>
            </w:tcBorders>
            <w:shd w:val="clear" w:color="auto" w:fill="auto"/>
            <w:vAlign w:val="center"/>
          </w:tcPr>
          <w:p w14:paraId="316201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7CFCD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在线审批-分延期在线审核审批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08D0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分期缴款在线申请 发起分期缴款在线申请功能，市场局在线处理，发起分期缴款审批，通知流程，同意即可分期交付。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延期缴款在线申请 发起延期缴款在线申请功能，市场局在线处理，发起延期缴款审批，通知流程，同意即可延期交付。</w:t>
            </w:r>
          </w:p>
        </w:tc>
      </w:tr>
      <w:tr w14:paraId="52AC4D0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452B6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1148</w:t>
            </w:r>
          </w:p>
        </w:tc>
        <w:tc>
          <w:tcPr>
            <w:tcW w:w="491" w:type="pct"/>
            <w:tcBorders>
              <w:top w:val="nil"/>
              <w:left w:val="nil"/>
              <w:bottom w:val="single" w:color="000000" w:sz="4" w:space="0"/>
              <w:right w:val="single" w:color="000000" w:sz="4" w:space="0"/>
            </w:tcBorders>
            <w:shd w:val="clear" w:color="auto" w:fill="auto"/>
            <w:vAlign w:val="center"/>
          </w:tcPr>
          <w:p w14:paraId="043E11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28C3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消息通知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E8A9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支持展示所有消息，业务人员第一时间知晓重要信息；实现重要预警信息集中展示，告警，实现各环节未审批超期预警功能，同web端一样。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消息提醒分为预警提醒及系统消息通知，制定消息算法，配置各类消息，集中调用消息程序，包含消息触发时间与条件，消息发送方，消息接收方，消息通知内容，消息反馈，消息读取留痕等功能，多端集成适配。</w:t>
            </w:r>
          </w:p>
        </w:tc>
      </w:tr>
      <w:tr w14:paraId="5D4B55B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148F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1149</w:t>
            </w:r>
          </w:p>
        </w:tc>
        <w:tc>
          <w:tcPr>
            <w:tcW w:w="491" w:type="pct"/>
            <w:tcBorders>
              <w:top w:val="nil"/>
              <w:left w:val="nil"/>
              <w:bottom w:val="single" w:color="000000" w:sz="4" w:space="0"/>
              <w:right w:val="single" w:color="000000" w:sz="4" w:space="0"/>
            </w:tcBorders>
            <w:shd w:val="clear" w:color="auto" w:fill="auto"/>
            <w:vAlign w:val="center"/>
          </w:tcPr>
          <w:p w14:paraId="2ADEF3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63867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数据查询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E0F6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查看：支持历史案件查看，支持按照案件名称、时间、类别建设检索并显示检索结果，相关人员可查看所有案件列表及详情。点击相关的案件列表可详细查看历史案件的具体信息内容，方便执法人员了解相关信息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现场调查查看：询问笔录、抽样取证、协助调查及其他相关证据查看。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在线审核审批查看：立案审核审批、调查终结审核审批、处罚建议审核审批、处罚决定审核审批、结案审核审批及有关事项审核审批的详细信息内容检索与查看。</w:t>
            </w:r>
          </w:p>
        </w:tc>
      </w:tr>
      <w:tr w14:paraId="406649D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2337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1150</w:t>
            </w:r>
          </w:p>
        </w:tc>
        <w:tc>
          <w:tcPr>
            <w:tcW w:w="491" w:type="pct"/>
            <w:tcBorders>
              <w:top w:val="nil"/>
              <w:left w:val="nil"/>
              <w:bottom w:val="single" w:color="000000" w:sz="4" w:space="0"/>
              <w:right w:val="single" w:color="000000" w:sz="4" w:space="0"/>
            </w:tcBorders>
            <w:shd w:val="clear" w:color="auto" w:fill="auto"/>
            <w:vAlign w:val="center"/>
          </w:tcPr>
          <w:p w14:paraId="1816E4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4154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智能辅助-智能辅助助填</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4587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依据不同类型实现基础信息，违法行为等信息助填，模板由机器辅助生成，在线制作模板等方式。</w:t>
            </w:r>
          </w:p>
        </w:tc>
      </w:tr>
      <w:tr w14:paraId="562C74A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2C3F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1151</w:t>
            </w:r>
          </w:p>
        </w:tc>
        <w:tc>
          <w:tcPr>
            <w:tcW w:w="491" w:type="pct"/>
            <w:tcBorders>
              <w:top w:val="nil"/>
              <w:left w:val="nil"/>
              <w:bottom w:val="single" w:color="000000" w:sz="4" w:space="0"/>
              <w:right w:val="single" w:color="000000" w:sz="4" w:space="0"/>
            </w:tcBorders>
            <w:shd w:val="clear" w:color="auto" w:fill="auto"/>
            <w:vAlign w:val="center"/>
          </w:tcPr>
          <w:p w14:paraId="4F85A7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8AA3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智能辅助-案件期限预测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2AF32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在案件办理过程中，实现期限预测，线索处理、案件办理期限、送达期限、执行期限等的期限预警预测能力。</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一般案件，线索办理时限：15个工作日，可延期，可暂停恢复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案件办理时限：90个自然日，可延期，可暂停恢复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公示时限：处罚决定签发完成第7个工作日自动公示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强制措施时限：根据强制措施的法条，一般是15天或者30天，可延期批量案件。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案件办理时限：90个自然日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听证告知：30个自然日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处罚决定送达告知：30个自然日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责令改正通知（仅常驻代表机构吊证案件有）：30个自然日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公示时限：处罚决定签发完成第7个工作日自动公示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2506855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283F41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1152</w:t>
            </w:r>
          </w:p>
        </w:tc>
        <w:tc>
          <w:tcPr>
            <w:tcW w:w="491" w:type="pct"/>
            <w:tcBorders>
              <w:top w:val="nil"/>
              <w:left w:val="nil"/>
              <w:bottom w:val="single" w:color="000000" w:sz="4" w:space="0"/>
              <w:right w:val="single" w:color="000000" w:sz="4" w:space="0"/>
            </w:tcBorders>
            <w:shd w:val="clear" w:color="auto" w:fill="auto"/>
            <w:vAlign w:val="center"/>
          </w:tcPr>
          <w:p w14:paraId="1B383D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917A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智能辅助-智能推荐调用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245C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慧治平台训练的能力或者模型，在执法移动端完成展现和应用页面的开发以及能力调用。支撑的智能化能力调用包括类案推荐、违法行为推荐、热点专项政治执法活动推荐、标签推荐、询问笔录补全策略推送等移动端的智能化应用。</w:t>
            </w:r>
          </w:p>
        </w:tc>
      </w:tr>
      <w:tr w14:paraId="31B669B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3559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1153</w:t>
            </w:r>
          </w:p>
        </w:tc>
        <w:tc>
          <w:tcPr>
            <w:tcW w:w="491" w:type="pct"/>
            <w:tcBorders>
              <w:top w:val="nil"/>
              <w:left w:val="nil"/>
              <w:bottom w:val="single" w:color="000000" w:sz="4" w:space="0"/>
              <w:right w:val="single" w:color="000000" w:sz="4" w:space="0"/>
            </w:tcBorders>
            <w:shd w:val="clear" w:color="auto" w:fill="auto"/>
            <w:vAlign w:val="center"/>
          </w:tcPr>
          <w:p w14:paraId="47AEFC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147A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与随申办对接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ABED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账号对接：与一网通办、随申办单点对接，法人及自然人登录。打通相关账号信息，方便用户只需要登录一次就可以访问所有相互信任的应用系统。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多终端对接实施：支持三端服务（PC端/APP/小程序），实现PC端，移动端、小程序端适用程序开发。满足相关技术框架、指标、服务对接内容。</w:t>
            </w:r>
          </w:p>
        </w:tc>
      </w:tr>
      <w:tr w14:paraId="65CBA10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E020B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1154</w:t>
            </w:r>
          </w:p>
        </w:tc>
        <w:tc>
          <w:tcPr>
            <w:tcW w:w="491" w:type="pct"/>
            <w:tcBorders>
              <w:top w:val="nil"/>
              <w:left w:val="nil"/>
              <w:bottom w:val="single" w:color="000000" w:sz="4" w:space="0"/>
              <w:right w:val="single" w:color="000000" w:sz="4" w:space="0"/>
            </w:tcBorders>
            <w:shd w:val="clear" w:color="auto" w:fill="auto"/>
            <w:vAlign w:val="center"/>
          </w:tcPr>
          <w:p w14:paraId="6F825F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9FB9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认证签章-身份认证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AF01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自然人身份认证：依据人员类型不同，采用三要素姓名、身份证号、手机短信验证码的方式或者采用银行四要素姓名、身份证号、银行卡预留手机号验证码的方式初步认证，最后采用活体检测刷脸方式进行认证。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人员类型包括中华人民共和国居民身份证，外国（地区）护照，港澳居民来往内地通行证，台湾居民来往大陆通行证，外国人永久居留身份证，港澳居民居住证，台湾居民居住证等。"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法人身份认证：本市及外省市企业、其他组织等采用四要素，法定代表人（个人）或者四要素，经办人，企业授权书的方式初步认证，最后利用无感操作完成法人身份认证。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四要素包括企业名称、企业社会信用代码、注册地址、法定代表人，如果是企业则采用总局电子营业执照无感知认证。</w:t>
            </w:r>
          </w:p>
        </w:tc>
      </w:tr>
      <w:tr w14:paraId="013FA73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FECCF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1155</w:t>
            </w:r>
          </w:p>
        </w:tc>
        <w:tc>
          <w:tcPr>
            <w:tcW w:w="491" w:type="pct"/>
            <w:tcBorders>
              <w:top w:val="nil"/>
              <w:left w:val="nil"/>
              <w:bottom w:val="single" w:color="000000" w:sz="4" w:space="0"/>
              <w:right w:val="single" w:color="000000" w:sz="4" w:space="0"/>
            </w:tcBorders>
            <w:shd w:val="clear" w:color="auto" w:fill="auto"/>
            <w:vAlign w:val="center"/>
          </w:tcPr>
          <w:p w14:paraId="4AD797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ED2C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认证签章-电子签章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4E35B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个人数字章领取：实名身份认证通过后，利用个人数字章领取功能领域个人电子章，设置电子章密码等。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送达回证签章：签章前进行身份便捷认证，手机验证码、刷脸活体检测验证及电子章密码输入后系统完成签章功能，需要签章的文件，调用签章服务器，服务器返回防篡改、基本重要信息、电子证书信息、及签章留痕，系统提前设置好签章位置，签署到指定位置，完成电子签章操作完成行政处罚告知书、行政处罚听证告知书、行政处罚决定书、不予行政处罚决定书的送达回证电子签章。</w:t>
            </w:r>
          </w:p>
        </w:tc>
      </w:tr>
      <w:tr w14:paraId="7817F99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FE3C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1156</w:t>
            </w:r>
          </w:p>
        </w:tc>
        <w:tc>
          <w:tcPr>
            <w:tcW w:w="491" w:type="pct"/>
            <w:tcBorders>
              <w:top w:val="nil"/>
              <w:left w:val="nil"/>
              <w:bottom w:val="single" w:color="000000" w:sz="4" w:space="0"/>
              <w:right w:val="single" w:color="000000" w:sz="4" w:space="0"/>
            </w:tcBorders>
            <w:shd w:val="clear" w:color="auto" w:fill="auto"/>
            <w:vAlign w:val="center"/>
          </w:tcPr>
          <w:p w14:paraId="116B6B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0630F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在线反馈-签收管理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9173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行政处罚告知书签收查看 ：一般程序处理案件调查终结报告审批通过，系统会生成给予当事人处罚的行政处罚告知书，需要当事人签收确认；系统提供行政处罚告知书签收查看功能；当事人通过一网通办的身份认证通过之后，可以点击查看行政处罚告知书具体内容，告知书具体内容包括编号、当事人信息、处罚事实、理由、依据、处罚金额、当事人权利、联系人、联系电话等信息；当事人查看行政处罚告知文书后，并通过系统反馈是否申请陈述、申辩。</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处罚听证告知书签收查看：当事人申请一般程序处理案的听证，系统会生成行政处罚听证告知书，需要当事人签收确认；系统提供支持行政处罚听证告知书查看功能；当事人通过一网通办身份认证后，可以查看行政处罚听证告知通知及文书；行政处罚听证告知书具体内容，主要包括当事人信息、联系地址、统一社会信用、处罚事实、理由、依据、处罚金额、当事人听证的权利等；当事人查看行政处罚听证告知书后，当事人查看行政处罚听证告知文书后，需要通过系统反馈是否申请听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行政处罚决定书送达签收 ：当事人在一般程序处理案件的听证/复合无异议或放弃申请听证/复核后，系统会生成持行政处罚决定书，通过认证的行政处罚决定书，经办人电子签章确认后，系统会通知当事人。当事人可以在系统待办中选择“待行政处罚决定书送达”，填写送达时间、送达方式等送达详情，系统提交完成告知送达环节。系统支持系统消息、短信、邮件相关消息送达，接收处理，当事人电子认证后，实现接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不予处罚决定书送达签收 经办人对一般程序处理案件进行现场调查取证，对不符合行政处罚要求的案件，系统会生成不予处罚决定书，需要当事人签收；经办人电子签章确认不予处罚决定后，系统会通知当事人；当事人可以在系统待办中选择“不予行政处罚决定书送达”，当事人可以查看不予行政处罚文书，确认无误后电子签章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延期/分期缴纳罚款通知书签收处理及查看：支持延期/分期缴纳罚款通知书接受功能，市场局相关的用户在完成告知送达环节后，支持当事人对相关延期/分期缴纳罚款通知书接收功能，支持一网通办PC端/随申办APP/随申办小程序接收，当事人通过电子认证后，实现延期/分期缴纳罚款通知书接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加处罚款决定书签收处理及查看：支持加处罚款决定书接受功能，市场局相关的用户在完成告知送达环节后，支持当事人对加处罚决定书接收功能，支持一网通办PC端/随申办APP/随申办小程序接收，当事人通过电子认证后，实现加处罚款决定书接收。</w:t>
            </w:r>
          </w:p>
        </w:tc>
      </w:tr>
      <w:tr w14:paraId="3E599C2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CF41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1157</w:t>
            </w:r>
          </w:p>
        </w:tc>
        <w:tc>
          <w:tcPr>
            <w:tcW w:w="491" w:type="pct"/>
            <w:tcBorders>
              <w:top w:val="nil"/>
              <w:left w:val="nil"/>
              <w:bottom w:val="single" w:color="000000" w:sz="4" w:space="0"/>
              <w:right w:val="single" w:color="000000" w:sz="4" w:space="0"/>
            </w:tcBorders>
            <w:shd w:val="clear" w:color="auto" w:fill="auto"/>
            <w:vAlign w:val="center"/>
          </w:tcPr>
          <w:p w14:paraId="0C1144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D71BA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在线反馈-默认执行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EFD81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行政处罚告知书默认执行 ：行政处罚告知书签收功能，自收到本告知书之日起三个工作日内，未行使陈述、申辩权，视为放弃此权利，系统自动关闭申请功能。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行政处罚听证告知书默认执行：行政处罚告知书签收功能，自收到本告知书之日起三个工作日内，未行使陈述、申辩权，未要求举行听证的，视为放弃此权利，系统自动关闭申请功能。</w:t>
            </w:r>
          </w:p>
        </w:tc>
      </w:tr>
      <w:tr w14:paraId="55922B8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C8D2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1158</w:t>
            </w:r>
          </w:p>
        </w:tc>
        <w:tc>
          <w:tcPr>
            <w:tcW w:w="491" w:type="pct"/>
            <w:tcBorders>
              <w:top w:val="nil"/>
              <w:left w:val="nil"/>
              <w:bottom w:val="single" w:color="000000" w:sz="4" w:space="0"/>
              <w:right w:val="single" w:color="000000" w:sz="4" w:space="0"/>
            </w:tcBorders>
            <w:shd w:val="clear" w:color="auto" w:fill="auto"/>
            <w:vAlign w:val="center"/>
          </w:tcPr>
          <w:p w14:paraId="492CFC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D425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在线反馈-听证复核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A39B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复核申请：当事人对案件的处罚（一般程序处理案件）有疑异，可以申请复核案件；系统提供申请复核功能；系统通过法律知识图谱解构案情全貌，告知当事申请复核相关说明及内容，当事人通过一网通办提出复核申请，并登记陈述、申辩的信息。当事人提出异议，法制部门在充分听取当事人的意见后，对当事人提出的事实、理由和证据进行复核。当事人提出的事实、理由或者证据成立的，市场监督局应予以采纳，作出更改行政处罚决定、重新作出处罚决定的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听证申请：支持申请听证功能，法律知识图谱解构案情全貌，告知当事申请听证相关说明及内容，提出申请听证。当事人在收到听证告知书的时限内提出听证申请，办案机关的法制机构应受理并向当事人制发听证通知书。听证举行后，法制机构应在系统中记录听证情况，并将听证笔录交办案机构附案卷。</w:t>
            </w:r>
          </w:p>
        </w:tc>
      </w:tr>
      <w:tr w14:paraId="3073DB9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39D08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1159</w:t>
            </w:r>
          </w:p>
        </w:tc>
        <w:tc>
          <w:tcPr>
            <w:tcW w:w="491" w:type="pct"/>
            <w:tcBorders>
              <w:top w:val="nil"/>
              <w:left w:val="nil"/>
              <w:bottom w:val="single" w:color="000000" w:sz="4" w:space="0"/>
              <w:right w:val="single" w:color="000000" w:sz="4" w:space="0"/>
            </w:tcBorders>
            <w:shd w:val="clear" w:color="auto" w:fill="auto"/>
            <w:vAlign w:val="center"/>
          </w:tcPr>
          <w:p w14:paraId="1A49C5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2C26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在线反馈-分延期在线办理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CF22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分期缴款在线申请 当事人通过一网通办发起分期缴款在线申请，并登记分期交款相关信息，市监局审批通过之后，当事人可以看到分期缴纳审批通过信息。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延期缴款在线申请 当事人通过一网通办发起延期缴款在线申请，并登记延期缴款相关信息，市监局审批通过之后，当事人可以看到延期缴款审批通过信息。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分期缴款在线办理 小额及大额罚款，支持分期交付，根据分期申请生成对应支付清单，支持在线支付，并通过对接银行，直接生成电子票据，同时数据进行回传，完成分期缴款在线办理。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延期缴款在线办理 小额及大额罚款，根据延期的期限，重新生成电子支付码，在线支付，对接银行，直接生成电子票据，同时数据进行回传，完成分期缴款在线办理。</w:t>
            </w:r>
          </w:p>
        </w:tc>
      </w:tr>
      <w:tr w14:paraId="1FD853E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7BBF5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1160</w:t>
            </w:r>
          </w:p>
        </w:tc>
        <w:tc>
          <w:tcPr>
            <w:tcW w:w="491" w:type="pct"/>
            <w:tcBorders>
              <w:top w:val="nil"/>
              <w:left w:val="nil"/>
              <w:bottom w:val="single" w:color="000000" w:sz="4" w:space="0"/>
              <w:right w:val="single" w:color="000000" w:sz="4" w:space="0"/>
            </w:tcBorders>
            <w:shd w:val="clear" w:color="auto" w:fill="auto"/>
            <w:vAlign w:val="center"/>
          </w:tcPr>
          <w:p w14:paraId="30B926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113D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缴纳支付-罚款支付缴纳-缴纳支付须知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74A4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系统提供缴纳支付须知，当事人预览后方可缴纳罚款。当事人通过预览缴纳须知，获取相关权利事项、缴纳事项内容、缴纳操作步骤等信息，方便当事人顺利的缴纳罚款。</w:t>
            </w:r>
          </w:p>
        </w:tc>
      </w:tr>
      <w:tr w14:paraId="6B95E65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180A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1161</w:t>
            </w:r>
          </w:p>
        </w:tc>
        <w:tc>
          <w:tcPr>
            <w:tcW w:w="491" w:type="pct"/>
            <w:tcBorders>
              <w:top w:val="nil"/>
              <w:left w:val="nil"/>
              <w:bottom w:val="single" w:color="000000" w:sz="4" w:space="0"/>
              <w:right w:val="single" w:color="000000" w:sz="4" w:space="0"/>
            </w:tcBorders>
            <w:shd w:val="clear" w:color="auto" w:fill="auto"/>
            <w:vAlign w:val="center"/>
          </w:tcPr>
          <w:p w14:paraId="3A54F0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93D2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缴纳支付-罚款支付缴纳-在线支付功能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EF18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小额及大额罚款，当事人需要根据处罚决定书的罚款额度，通过系统进行线上支付罚款；系统通过对接银行，直接生成电子票据，并进行数据回传，完成缴款支付返款操作。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系统缴纳相关说明引导，完成缴款失败等功能指导。</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支付15分钟内有效，超时重新支付。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缴费人通过线上支付，包含业务办理，支付处理、支付信息、确认支付、通过支付结果、日终上送票据信息、票据系统、算动全额体现，核销、清单、上缴国库等，如果未完成支付，则实现已退款操作，如果已支付成功的是不允许撤销，需要发起退款，支付结果，10分钟一次，共3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集中汇款业务，执收单位进行集中汇款、上传集中汇款票据信息、集中汇款码通知、预开具电子缴款书、提交预开具的缴款书信息、获取开具的电子缴款书、打印电子缴款书、银行缴款、查询缴款信息、缴款确认、银行打印回执等，完成集中汇款。</w:t>
            </w:r>
          </w:p>
        </w:tc>
      </w:tr>
      <w:tr w14:paraId="35206A9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B1F7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1162</w:t>
            </w:r>
          </w:p>
        </w:tc>
        <w:tc>
          <w:tcPr>
            <w:tcW w:w="491" w:type="pct"/>
            <w:tcBorders>
              <w:top w:val="nil"/>
              <w:left w:val="nil"/>
              <w:bottom w:val="single" w:color="000000" w:sz="4" w:space="0"/>
              <w:right w:val="single" w:color="000000" w:sz="4" w:space="0"/>
            </w:tcBorders>
            <w:shd w:val="clear" w:color="auto" w:fill="auto"/>
            <w:vAlign w:val="center"/>
          </w:tcPr>
          <w:p w14:paraId="7663C7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DE9B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缴纳支付-罚款支付缴纳-多途径在线全额支付</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30A81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全额支付，调用在线支付功能。</w:t>
            </w:r>
          </w:p>
        </w:tc>
      </w:tr>
      <w:tr w14:paraId="0DB1775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A69D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1163</w:t>
            </w:r>
          </w:p>
        </w:tc>
        <w:tc>
          <w:tcPr>
            <w:tcW w:w="491" w:type="pct"/>
            <w:tcBorders>
              <w:top w:val="nil"/>
              <w:left w:val="nil"/>
              <w:bottom w:val="single" w:color="000000" w:sz="4" w:space="0"/>
              <w:right w:val="single" w:color="000000" w:sz="4" w:space="0"/>
            </w:tcBorders>
            <w:shd w:val="clear" w:color="auto" w:fill="auto"/>
            <w:vAlign w:val="center"/>
          </w:tcPr>
          <w:p w14:paraId="0DF794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0F71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缴纳支付-罚款支付缴纳-多途径在线分延期支付</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90DE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分延期支付，调用后台计算情况，完成分延期支付。</w:t>
            </w:r>
          </w:p>
        </w:tc>
      </w:tr>
      <w:tr w14:paraId="5E6AF51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C3B9D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1164</w:t>
            </w:r>
          </w:p>
        </w:tc>
        <w:tc>
          <w:tcPr>
            <w:tcW w:w="491" w:type="pct"/>
            <w:tcBorders>
              <w:top w:val="nil"/>
              <w:left w:val="nil"/>
              <w:bottom w:val="single" w:color="000000" w:sz="4" w:space="0"/>
              <w:right w:val="single" w:color="000000" w:sz="4" w:space="0"/>
            </w:tcBorders>
            <w:shd w:val="clear" w:color="auto" w:fill="auto"/>
            <w:vAlign w:val="center"/>
          </w:tcPr>
          <w:p w14:paraId="46214B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4C68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缴纳支付-罚款支付缴纳-线下支付功能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45D7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系统缴纳罚款流程智能引导，支持线下银行缴纳，系统下载电子交换书，实现银行缴纳。</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电子交换书15天内完成支付，超时重新申请。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支付包含车理业务获取缴款码，预开具电子缴款书，提交开具的缴款书信息，获取开具的电子缴款书，打印电子缴款书、银行缴款、查询缴款信息、缴款确认、银行打印回执、缴款成功通过、监制电子缴款书，下载电子电子缴款书等，完成线下缴款。</w:t>
            </w:r>
          </w:p>
        </w:tc>
      </w:tr>
      <w:tr w14:paraId="09D022F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496E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1165</w:t>
            </w:r>
          </w:p>
        </w:tc>
        <w:tc>
          <w:tcPr>
            <w:tcW w:w="491" w:type="pct"/>
            <w:tcBorders>
              <w:top w:val="nil"/>
              <w:left w:val="nil"/>
              <w:bottom w:val="single" w:color="000000" w:sz="4" w:space="0"/>
              <w:right w:val="single" w:color="000000" w:sz="4" w:space="0"/>
            </w:tcBorders>
            <w:shd w:val="clear" w:color="auto" w:fill="auto"/>
            <w:vAlign w:val="center"/>
          </w:tcPr>
          <w:p w14:paraId="441CAF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8750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消息通知-消息通知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2F97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消息通知模板设置：支持消息通知功能，系统实现消息通知的实时对接，实现新消息通知，并根据消息推送对象，选择相应组别或者对象进行推送。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行政处罚类告知  "支持2类行政处罚类告知，以提醒方式查看具体情况，支持PC端、移动端和小程序端三端服务。支持以不同消息（系统消息、短信、邮件）提醒方式告知当事人，当事人可以通过PC端、移动端和小程序端查看具体告知内容。具体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l 行政处罚告知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l 行政处罚听证告知"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决定书类送达：支持4类决定书送达功能，包括行政处罚决定书、不予行政处罚决定书、延期/分期缴纳罚款、加处罚决定书送达。支持通过电子认证的行政书送达，通知当事人，依据消息通知模板配置通知内容。支持系统消息、短信、邮件方式的消息送达，当事人接收相关行政处罚类决定书。系统支持市场局相关的用户通过送达功能，完成填写送达时间、送达方式等送达详情后，提交系统，完成告知送达环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听证通知书：举行听证，召开听正的，认证的听证通知书，电子签章后，通知当事人,消息送达。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消息提醒模板设置 行政处罚告知后，申请复核/听证的，或处罚决定书/不予行政处罚通过书，申请复议/诉讼的，根据不同时限，实现提醒。文书签收提醒，如不查看相关通知书的，提醒查看。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行政复议提醒 收到本通知书之日起六十日内向人民政府或者有关单位申请行政复议提醒功能。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行政诉讼提醒 在六个月内依法向法院提起行政诉讼提醒功能。支持按照相应的提醒周期设置实现定期提醒当事人。</w:t>
            </w:r>
          </w:p>
        </w:tc>
      </w:tr>
      <w:tr w14:paraId="65BF8CB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DAEB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1166</w:t>
            </w:r>
          </w:p>
        </w:tc>
        <w:tc>
          <w:tcPr>
            <w:tcW w:w="491" w:type="pct"/>
            <w:tcBorders>
              <w:top w:val="nil"/>
              <w:left w:val="nil"/>
              <w:bottom w:val="single" w:color="000000" w:sz="4" w:space="0"/>
              <w:right w:val="single" w:color="000000" w:sz="4" w:space="0"/>
            </w:tcBorders>
            <w:shd w:val="clear" w:color="auto" w:fill="auto"/>
            <w:vAlign w:val="center"/>
          </w:tcPr>
          <w:p w14:paraId="3996B6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E62D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数据查询-查询检索-案件办理情况查看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6A29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案件办理情况查看：根据多维条件查询，完成处罚告知、处罚决定的通知，反馈情况，支付情况等，实现全部留痕。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送达回证签章查询：自然人电子章、法人电子章查看及已完成行政处罚告知、行政处罚法听证告知、处罚决定送达回证签章查看。</w:t>
            </w:r>
          </w:p>
        </w:tc>
      </w:tr>
      <w:tr w14:paraId="11ED22F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8570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1167</w:t>
            </w:r>
          </w:p>
        </w:tc>
        <w:tc>
          <w:tcPr>
            <w:tcW w:w="491" w:type="pct"/>
            <w:tcBorders>
              <w:top w:val="nil"/>
              <w:left w:val="nil"/>
              <w:bottom w:val="single" w:color="000000" w:sz="4" w:space="0"/>
              <w:right w:val="single" w:color="000000" w:sz="4" w:space="0"/>
            </w:tcBorders>
            <w:shd w:val="clear" w:color="auto" w:fill="auto"/>
            <w:vAlign w:val="center"/>
          </w:tcPr>
          <w:p w14:paraId="1A2909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4FFF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文书查看-权限控制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04B0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文书下载：下载各类文书，文书支持单一及批量下载，支持短信、邮件等下载，当事人通过链接等方式实现文书下载功能。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下载留痕：查看追踪等。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权限控制：按需求设定文书查看的权限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文书核验真伪：电子文书在线核验 现在电子文书核验文书的真伪</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打印版本二维码核验：打印版本二维码核验核验文书的真伪</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副本水印与码内容，便于追踪</w:t>
            </w:r>
          </w:p>
        </w:tc>
      </w:tr>
      <w:tr w14:paraId="673C9A7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62AE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1168</w:t>
            </w:r>
          </w:p>
        </w:tc>
        <w:tc>
          <w:tcPr>
            <w:tcW w:w="491" w:type="pct"/>
            <w:tcBorders>
              <w:top w:val="nil"/>
              <w:left w:val="nil"/>
              <w:bottom w:val="single" w:color="000000" w:sz="4" w:space="0"/>
              <w:right w:val="single" w:color="000000" w:sz="4" w:space="0"/>
            </w:tcBorders>
            <w:shd w:val="clear" w:color="auto" w:fill="auto"/>
            <w:vAlign w:val="center"/>
          </w:tcPr>
          <w:p w14:paraId="51D569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4D77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统一案源管理-一般程序案件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E1B7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完成该流程的重构、指标项的添加、修改、页面开发、签章签名、业务数据规则校验、数据预填等。具体包括如下：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1、增设线索登记识别处理环节，为外部提供的案源信息进行确认管理，合格的实施转入登记，对不合格的实施退回处理。1、线索处理：线索登记（增设） "增设线索登记识别处理环节，为外部提供的案源信息进行确认管理，合格的实施转入登记，对不合格的实施退回处理。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线索登记支持外部系统对接和自行录入等方式。"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2、合并立案（增加）：在线索处理环节，增加案件承办人线索处理后，在立案/不予立案审批之外增加合并立案审批处理业务种类处理程序。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线索延长办理改造：对线索延长业务办理处理流程进行调整，将原有承办人员、办案机构负责人（初审）、机关科（处）室负责人（审核）、办案机关负责人（审批）的逐级退回处理调整为支持直接退回下级各级处理模式。也即是，办案机关负责人可以将线索延长申请直接退回承办人员、办案机构负责人、机关科（处）室负责人，机关科（处）室负责人直接退回承办人员、办案机构负责人，不再按照申请审核审批顺序逐级退回，其它维持不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线索期限暂停改造：对线索期限暂停业务办理处理流程进行调整，将原有承办人员、办案机构负责人（初审）、机关科（处）室负责人（审核）、办案机关负责人（审批）的逐级退回处理调整为支持直接退回下级各级处理模式。也即是，办案机关负责人可以将线索期限暂停申请直接退回承办人员、办案机构负责人、机关科（处）室负责人，机关科（处）室负责人直接退回承办人员、办案机构负责人，不再按照申请审核审批顺序逐级退回，其它维持不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线索期限恢复改造：对线索期限恢复业务办理处理流程进行调整，将原有承办人员、办案机构负责人（初审）、机关科（处）室负责人（审核）、办案机关负责人（审批）的逐级退回处理调整为支持直接退回下级各级处理模式。也即是，办案机关负责人可以将线索期限恢复申请直接退回承办人员、办案机构负责人、机关科（处）室负责人，机关科（处）室负责人直接退回承办人员、办案机构负责人，不再按照申请审核审批顺序逐级退回，其它维持不变。</w:t>
            </w:r>
          </w:p>
        </w:tc>
      </w:tr>
      <w:tr w14:paraId="5CF9347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FF31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1169</w:t>
            </w:r>
          </w:p>
        </w:tc>
        <w:tc>
          <w:tcPr>
            <w:tcW w:w="491" w:type="pct"/>
            <w:tcBorders>
              <w:top w:val="nil"/>
              <w:left w:val="nil"/>
              <w:bottom w:val="single" w:color="000000" w:sz="4" w:space="0"/>
              <w:right w:val="single" w:color="000000" w:sz="4" w:space="0"/>
            </w:tcBorders>
            <w:shd w:val="clear" w:color="auto" w:fill="auto"/>
            <w:vAlign w:val="center"/>
          </w:tcPr>
          <w:p w14:paraId="4B1928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2061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统一案源管理-简易程序案件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4227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完成该流程的重构、指标项的添加、修改、页面开发、签章签名、业务数据规则校验、数据预填等。具体包括如下：现场笔录核查：执法人员对笔录内容进行审核，并电子签字签章确认。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现场笔录当事人确认：当事人对承办人制作的文书内容进行核对，确保无误后电子签字确认。</w:t>
            </w:r>
          </w:p>
        </w:tc>
      </w:tr>
      <w:tr w14:paraId="32DBD29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5DEB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1170</w:t>
            </w:r>
          </w:p>
        </w:tc>
        <w:tc>
          <w:tcPr>
            <w:tcW w:w="491" w:type="pct"/>
            <w:tcBorders>
              <w:top w:val="nil"/>
              <w:left w:val="nil"/>
              <w:bottom w:val="single" w:color="000000" w:sz="4" w:space="0"/>
              <w:right w:val="single" w:color="000000" w:sz="4" w:space="0"/>
            </w:tcBorders>
            <w:shd w:val="clear" w:color="auto" w:fill="auto"/>
            <w:vAlign w:val="center"/>
          </w:tcPr>
          <w:p w14:paraId="311BCCA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8698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行政处罚统一案件管理-一般程序案件-立案/不予立案审批改造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9D05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设案件会审：在原有审批环节增设会审科（处）室会审，承担原有机关科（处）室与办案机关负责人之间从机关科（处）室审核到审批的业务交互往来，会审环节分为会审科（处）室经办人、会审科（处）室负责人两个角色。</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拆业务初审：在原有机关科（处）室处理环节，将机关科（处）室业务审核处理分拆为机关科（处）室工作人员、机关科（处）室负责人两个角色承担，机关科（处）室工作人员负责初审、初审过后提交机关科（处）室负责人审核，审核通过后，提交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对于会审环节的退回处理，由机关科（处）室工作人员负责会后续处理。"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审批通过（调整）：调整审批通过业务转接点，将原有立案审批通过后转入“调查终结报告” 调整为“调查中。</w:t>
            </w:r>
          </w:p>
        </w:tc>
      </w:tr>
      <w:tr w14:paraId="0C5F448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2A6C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1171</w:t>
            </w:r>
          </w:p>
        </w:tc>
        <w:tc>
          <w:tcPr>
            <w:tcW w:w="491" w:type="pct"/>
            <w:tcBorders>
              <w:top w:val="nil"/>
              <w:left w:val="nil"/>
              <w:bottom w:val="single" w:color="000000" w:sz="4" w:space="0"/>
              <w:right w:val="single" w:color="000000" w:sz="4" w:space="0"/>
            </w:tcBorders>
            <w:shd w:val="clear" w:color="auto" w:fill="auto"/>
            <w:vAlign w:val="center"/>
          </w:tcPr>
          <w:p w14:paraId="14802B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0B11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行政处罚统一案件管理-一般程序案件-终结报告审批改造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BD83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核（增设）：调整终结报告审批业务处理流程，将原有办案机构内一个环节执行完成的终结报告审批业务流程调整为办案机构申请、机关科（处）室审核、会审机关科（处）室审核、办案机关负责人审批四个业务处理环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办案机构提交《终结报告》后增设机关科（处）室审核业务环节，机关科（处）室工作人员接受案件承办机构提交的《终结报告》进行初审审核，并接收会审机关科（处）室反馈意见，再次初审，初审过后交机关科（处）室审核，审核确认后 向上提交会审机关科（处）室审核。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会审审核（增设）：在机关科（处）室提交《终结报告》后增设会审机关科（处）室审核业务环节，会审机关科（处）室工作人员接受机关科（处）室审核提交的《终结报告》进行初审审核，初审过后交会审机关科（处）室审核，审核确认通过后 向办案机关负责人提交审批。对未通过的，会审机关科（处）室提供审核意见，反馈至机关科（处）室工作人员再行初审。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负责人审批（增设）：增设机关负责人审批业务处理环节，将原由办案机构承担的终结处理移给机关负责人，机关负责人对通过会审机关科（处）室审核的《终结报告》进行审批，审批结果后续处理去向维持不变。</w:t>
            </w:r>
          </w:p>
        </w:tc>
      </w:tr>
      <w:tr w14:paraId="6C3D091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D397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1172</w:t>
            </w:r>
          </w:p>
        </w:tc>
        <w:tc>
          <w:tcPr>
            <w:tcW w:w="491" w:type="pct"/>
            <w:tcBorders>
              <w:top w:val="nil"/>
              <w:left w:val="nil"/>
              <w:bottom w:val="single" w:color="000000" w:sz="4" w:space="0"/>
              <w:right w:val="single" w:color="000000" w:sz="4" w:space="0"/>
            </w:tcBorders>
            <w:shd w:val="clear" w:color="auto" w:fill="auto"/>
            <w:vAlign w:val="center"/>
          </w:tcPr>
          <w:p w14:paraId="7966E6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B525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行政处罚统一案件管理-一般程序案件-行政处罚（听证）告知改造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7EBD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告知线上送达：确定送达文书、对象以线上直接方式送达行政处罚（听证）告知，当事人线上签收确认成功后，转办案机关法制机构做”听证“和”复核“处理。不需要听证的经审核确认后反馈结果；对于当事人线上签收不成功的，则转入告知线下送达方式完成业务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告知线下送达：市监工作人员将行政处罚（听证）告知书送达责任现场，当场交付当事人，由受送达人在送达回证上注明签收日期，并签名或者盖章，受送达人在送达回证上注明的签收日期为送达日期。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告知公告送达：对于线上线下无法送达的，进入公告文书审批采用公告送达方式，公告送达可分为线上和线下两种模式。</w:t>
            </w:r>
          </w:p>
        </w:tc>
      </w:tr>
      <w:tr w14:paraId="1F938DC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C93E9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1173</w:t>
            </w:r>
          </w:p>
        </w:tc>
        <w:tc>
          <w:tcPr>
            <w:tcW w:w="491" w:type="pct"/>
            <w:tcBorders>
              <w:top w:val="nil"/>
              <w:left w:val="nil"/>
              <w:bottom w:val="single" w:color="000000" w:sz="4" w:space="0"/>
              <w:right w:val="single" w:color="000000" w:sz="4" w:space="0"/>
            </w:tcBorders>
            <w:shd w:val="clear" w:color="auto" w:fill="auto"/>
            <w:vAlign w:val="center"/>
          </w:tcPr>
          <w:p w14:paraId="516E6A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0394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行政处罚统一案件管理-一般程序案件-听证改造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6FAE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调整行政处罚听证承办单位，由办案机关法制机构替代原来的机关科（处）室负责人，调整行政处罚听证的业务处理流程，将原有业务受理调整为听证安排。</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对于公开听证的，增加市局办案机关法制机构审核环节。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主要针对情节复杂或者重大违法行为给予行政处罚的案件，在市场监督管理部门负责人作出行政处罚的决定之前，由从事行政处罚决定法制审核的人员进行法制审核，主要包括：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（一）涉及重大公共利益的；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（二）直接关系当事人或者第三人重大权益，经过听证程序的；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（三）案件情况疑难复杂、涉及多个法律关系的；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（四）法律、法规规定应当进行法制审核的其他情形。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法制审核放在在听证程序结束后。</w:t>
            </w:r>
          </w:p>
        </w:tc>
      </w:tr>
      <w:tr w14:paraId="1C9946B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B2E8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1174</w:t>
            </w:r>
          </w:p>
        </w:tc>
        <w:tc>
          <w:tcPr>
            <w:tcW w:w="491" w:type="pct"/>
            <w:tcBorders>
              <w:top w:val="nil"/>
              <w:left w:val="nil"/>
              <w:bottom w:val="single" w:color="000000" w:sz="4" w:space="0"/>
              <w:right w:val="single" w:color="000000" w:sz="4" w:space="0"/>
            </w:tcBorders>
            <w:shd w:val="clear" w:color="auto" w:fill="auto"/>
            <w:vAlign w:val="center"/>
          </w:tcPr>
          <w:p w14:paraId="3C7D35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A8CB0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行政处罚统一案件管理-一般程序案件-复核改造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575D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调整行政处罚复核承办单位，由办案机关法制机构替代原来的机关科（处）室负责人，业务处理流程维持不变。</w:t>
            </w:r>
          </w:p>
        </w:tc>
      </w:tr>
      <w:tr w14:paraId="5BA9F0F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3B8F1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1175</w:t>
            </w:r>
          </w:p>
        </w:tc>
        <w:tc>
          <w:tcPr>
            <w:tcW w:w="491" w:type="pct"/>
            <w:tcBorders>
              <w:top w:val="nil"/>
              <w:left w:val="nil"/>
              <w:bottom w:val="single" w:color="000000" w:sz="4" w:space="0"/>
              <w:right w:val="single" w:color="000000" w:sz="4" w:space="0"/>
            </w:tcBorders>
            <w:shd w:val="clear" w:color="auto" w:fill="auto"/>
            <w:vAlign w:val="center"/>
          </w:tcPr>
          <w:p w14:paraId="6AEE05D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627B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行政处罚统一案件管理-一般程序案件-行政处罚决定审批流程改造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3BA1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增设案件会审：在原有审批环节增设会审科（处）室会审，承担原有机关科（处）室与办案机关负责人之间从机关科（处）室审核到审批的业务交互往来，会审环节分为会审科（处）室经办人、会审科（处）室负责人两个角色。</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拆业务初审：在原有机关科（处）室处理环节，将机关科（处）室业务审核处理分拆为机关科（处）室工作人员、机关科（处）室负责人两个角色承担，机关科（处）室工作人员负责初审、初审过后提交机关科（处）室负责人审核，审核通过后，提交会审。对于会审环节的退回处理，由机关科（处）室工作人员负责会后续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会审审核（增设）：在机关科（处）室提交《终结报告》后增设会审机关科（处）室审核业务环节，会审机关科（处）室工作人员接受机关科（处）室审核提交的《终结报告》进行初审审核，初审过后交会审机关科（处）室审核，审核确认通过后 向办案机关负责人提交审批。对未通过的，会审机关科（处）室提供审核意见，反馈至机关科（处）室工作人员再行初审。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审批通过（调整）：调整审批通过业务转接点，将原有立案审批通过后转入“调查终结报告” 调整为“调查中”。</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增设调查条件 案件承办人在编制行政处罚决定书前，增设对证据材料是否齐全和符合性的判断，如不符合条件，则转至案件调查进行材料补充或重新调查处理，待条件完全符合后再编制行政处罚决定书。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回退调整：调整原有业务未通过回退处理流程，由原来的逐级倒序依次回退，调着为直接回退至各级业务处理点，具体：办案机关负责人对行政处罚决定书未通过审批的做退回修改处理，办案机关负责人可直接回退至案件机构承办人、案件机构负责人、机关科（处）室负责人，机关科（处）室负责人可将审批案退回机关科（处）室工作人员。</w:t>
            </w:r>
          </w:p>
        </w:tc>
      </w:tr>
      <w:tr w14:paraId="260AFCF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18EAD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1176</w:t>
            </w:r>
          </w:p>
        </w:tc>
        <w:tc>
          <w:tcPr>
            <w:tcW w:w="491" w:type="pct"/>
            <w:tcBorders>
              <w:top w:val="nil"/>
              <w:left w:val="nil"/>
              <w:bottom w:val="single" w:color="000000" w:sz="4" w:space="0"/>
              <w:right w:val="single" w:color="000000" w:sz="4" w:space="0"/>
            </w:tcBorders>
            <w:shd w:val="clear" w:color="auto" w:fill="auto"/>
            <w:vAlign w:val="center"/>
          </w:tcPr>
          <w:p w14:paraId="79A757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D384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行政处罚统一案件管理-一般程序案件-案件延期改造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A0C0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回退调整：对案件延期业务办理处理流程进行调整，将原有承办人员、办案机构负责人（初审）、机关科（处）室负责人（审核）、办案机关负责人（审批）的逐级退回处理调整为支持直接退回下级各级处理模式。也即是对案件延期业务办理处理流程进行调整，将原有承办人员、办案机构负责人（初审）、机关科（处）室负责人（审核）、办案机关负责人（审批）的逐级退回处理调整为支持直接退回下级各级处理模式。也即是，办案机关负责人可以将线索期限恢复申请直接退回承办人员、办案机构负责人、机关科（处）室负责人，机关科（处）室负责人直接退回承办人员、办案机构负责人，不再按照申请审核审批顺序逐级退回，其它维持不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期限延长（取消）：案件延期审批通过后，直接由办案机关负责人确认，取消由承办人再行期限延长处理环节和确认环节。</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业务确定调整：将原有案件承办人承担的延期确认转至办案机关负责人审批确认。</w:t>
            </w:r>
          </w:p>
        </w:tc>
      </w:tr>
      <w:tr w14:paraId="5A567C9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E96673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1177</w:t>
            </w:r>
          </w:p>
        </w:tc>
        <w:tc>
          <w:tcPr>
            <w:tcW w:w="491" w:type="pct"/>
            <w:tcBorders>
              <w:top w:val="nil"/>
              <w:left w:val="nil"/>
              <w:bottom w:val="single" w:color="000000" w:sz="4" w:space="0"/>
              <w:right w:val="single" w:color="000000" w:sz="4" w:space="0"/>
            </w:tcBorders>
            <w:shd w:val="clear" w:color="auto" w:fill="auto"/>
            <w:vAlign w:val="center"/>
          </w:tcPr>
          <w:p w14:paraId="3B0295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3303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行政处罚统一案件管理-一般程序案件-继续延长办案期限改造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1A20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回退调整：对案件延期业务办理处理流程进行调整，将原有承办人员、办案机构负责人（初审）、机关科（处）室负责人（审核）、办案机关负责人（审批）的逐级退回处理调整为支持直接退回下级各级处理模式。也即是对案件延期业务办理处理流程进行调整，将原有承办人员、办案机构负责人（初审）、机关科（处）室负责人（审核）、办案机关负责人（审批）的逐级退回处理调整为支持直接退回下级各级处理模式。也即是，办案机关负责人可以将线索期限恢复申请直接退回承办人员、办案机构负责人、机关科（处）室负责人，机关科（处）室负责人直接退回承办人员、办案机构负责人，不再按照申请审核审批顺序逐级退回，其它维持不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业务确定调整：将原有办案机关负责人承担的审批确认转至由案件承办人做延期最终确认。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增设集体讨论结果：继续延长办案期限的审批，涉及到需要办案机关负责人集体讨论审批通过的，由案件承办人做集体讨论情况的补录，补录后直接由案件承办人做业务确认。</w:t>
            </w:r>
          </w:p>
        </w:tc>
      </w:tr>
      <w:tr w14:paraId="751789D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2F6C3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1178</w:t>
            </w:r>
          </w:p>
        </w:tc>
        <w:tc>
          <w:tcPr>
            <w:tcW w:w="491" w:type="pct"/>
            <w:tcBorders>
              <w:top w:val="nil"/>
              <w:left w:val="nil"/>
              <w:bottom w:val="single" w:color="000000" w:sz="4" w:space="0"/>
              <w:right w:val="single" w:color="000000" w:sz="4" w:space="0"/>
            </w:tcBorders>
            <w:shd w:val="clear" w:color="auto" w:fill="auto"/>
            <w:vAlign w:val="center"/>
          </w:tcPr>
          <w:p w14:paraId="0FC0E2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CED5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行政处罚统一案件管理-一般程序案件-办案期限暂停改造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E242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案件期限暂停审批流程整改：办案期限暂停审批环节中，办案机构负责人、机关科（处）室负责人、办案机关负责人点击退回功能时，流程全部统一退回给承办人员。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增加调用电子签章功能：根据全程电子化要求，在办案期限暂停申请、初审、审核、审批环节相关负责人可以调用电子签章完成用印。</w:t>
            </w:r>
          </w:p>
        </w:tc>
      </w:tr>
      <w:tr w14:paraId="295CA45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0F40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1179</w:t>
            </w:r>
          </w:p>
        </w:tc>
        <w:tc>
          <w:tcPr>
            <w:tcW w:w="491" w:type="pct"/>
            <w:tcBorders>
              <w:top w:val="nil"/>
              <w:left w:val="nil"/>
              <w:bottom w:val="single" w:color="000000" w:sz="4" w:space="0"/>
              <w:right w:val="single" w:color="000000" w:sz="4" w:space="0"/>
            </w:tcBorders>
            <w:shd w:val="clear" w:color="auto" w:fill="auto"/>
            <w:vAlign w:val="center"/>
          </w:tcPr>
          <w:p w14:paraId="1B26F7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F3BC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行政处罚统一案件管理-一般程序案件-办案期限恢复改造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8AEA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案件期限恢复审批流程整改：办案期限恢复审批环节中，办案机构负责人、机关科（处）室负责人、办案机关负责人点击退回功能时，流程全部统一退回给承办人员。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增加调用电子签章功能：根据全程电子化要求，在办案期限恢复申请、初审、审核、审批环节相关负责人可以调用电子签章完成用印。</w:t>
            </w:r>
          </w:p>
        </w:tc>
      </w:tr>
      <w:tr w14:paraId="51321D5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21A4A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1180</w:t>
            </w:r>
          </w:p>
        </w:tc>
        <w:tc>
          <w:tcPr>
            <w:tcW w:w="491" w:type="pct"/>
            <w:tcBorders>
              <w:top w:val="nil"/>
              <w:left w:val="nil"/>
              <w:bottom w:val="single" w:color="000000" w:sz="4" w:space="0"/>
              <w:right w:val="single" w:color="000000" w:sz="4" w:space="0"/>
            </w:tcBorders>
            <w:shd w:val="clear" w:color="auto" w:fill="auto"/>
            <w:vAlign w:val="center"/>
          </w:tcPr>
          <w:p w14:paraId="25B235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B6F3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行政处罚统一案件管理-一般程序案件-线索/案件变更办案机构改造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971C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线索/案件变更办案机构审批流程整改：线索/案件变更办案机构审批环节中，办案机构负责人、机关科（处）室负责人、办案机关负责人点击退回功能时，流程全部统一退回给承办人员。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增加调用电子签章功能：根据全程电子化要求，在线索/案件变更办案机构申请、初审、审核、审批环节相关负责人可以调用电子签章完成用印。</w:t>
            </w:r>
          </w:p>
        </w:tc>
      </w:tr>
      <w:tr w14:paraId="4E17C3F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A9C45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1181</w:t>
            </w:r>
          </w:p>
        </w:tc>
        <w:tc>
          <w:tcPr>
            <w:tcW w:w="491" w:type="pct"/>
            <w:tcBorders>
              <w:top w:val="nil"/>
              <w:left w:val="nil"/>
              <w:bottom w:val="single" w:color="000000" w:sz="4" w:space="0"/>
              <w:right w:val="single" w:color="000000" w:sz="4" w:space="0"/>
            </w:tcBorders>
            <w:shd w:val="clear" w:color="auto" w:fill="auto"/>
            <w:vAlign w:val="center"/>
          </w:tcPr>
          <w:p w14:paraId="282B05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9002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行政处罚统一案件管理-一般程序案件-案件终止调查改造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0CC70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案件终止调查审批流程整改：案件终止调查审批环节中，办案机构负责人、机关科（处）室负责人、办案机关负责人点击退回功能时，流程全部统一退回给承办人员。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增加调用电子签章功能：根据全程电子化要求，在案件终止调查申请、初审、审核、审批环节相关负责人可以调用电子签章完成用印。</w:t>
            </w:r>
          </w:p>
        </w:tc>
      </w:tr>
      <w:tr w14:paraId="3422928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C6F3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1182</w:t>
            </w:r>
          </w:p>
        </w:tc>
        <w:tc>
          <w:tcPr>
            <w:tcW w:w="491" w:type="pct"/>
            <w:tcBorders>
              <w:top w:val="nil"/>
              <w:left w:val="nil"/>
              <w:bottom w:val="single" w:color="000000" w:sz="4" w:space="0"/>
              <w:right w:val="single" w:color="000000" w:sz="4" w:space="0"/>
            </w:tcBorders>
            <w:shd w:val="clear" w:color="auto" w:fill="auto"/>
            <w:vAlign w:val="center"/>
          </w:tcPr>
          <w:p w14:paraId="6B882F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9407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行政处罚统一案件管理-一般程序案件-案件中止调查改造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F11E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案件中止调查审批流程整改：案件中止调查审批环节中，办案机构负责人、机关科（处）室负责人、办案机关负责人点击退回功能时，流程全部统一退回给承办人员。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增加调用电子签章功能：根据全程电子化要求，在案件中止调查申请、初审、审核、审批环节相关负责人可以调用电子签章完成用印。</w:t>
            </w:r>
          </w:p>
        </w:tc>
      </w:tr>
      <w:tr w14:paraId="2682BA1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5B58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1183</w:t>
            </w:r>
          </w:p>
        </w:tc>
        <w:tc>
          <w:tcPr>
            <w:tcW w:w="491" w:type="pct"/>
            <w:tcBorders>
              <w:top w:val="nil"/>
              <w:left w:val="nil"/>
              <w:bottom w:val="single" w:color="000000" w:sz="4" w:space="0"/>
              <w:right w:val="single" w:color="000000" w:sz="4" w:space="0"/>
            </w:tcBorders>
            <w:shd w:val="clear" w:color="auto" w:fill="auto"/>
            <w:vAlign w:val="center"/>
          </w:tcPr>
          <w:p w14:paraId="245DEC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3C57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行政处罚统一案件管理-一般程序案件-案件恢复调查改造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02CD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案件恢复调查审批流程整改：案件恢复调查审批环节中，办案机构负责人、机关科（处）室负责人、办案机关负责人点击退回功能时，流程全部统一退回给承办人员。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增加调用电子签章功能：根据全程电子化要求，在案件恢复调查申请、初审、审核、审批环节相关负责人可以调用电子签章完成用印。</w:t>
            </w:r>
          </w:p>
        </w:tc>
      </w:tr>
      <w:tr w14:paraId="6E42754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02A73F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1184</w:t>
            </w:r>
          </w:p>
        </w:tc>
        <w:tc>
          <w:tcPr>
            <w:tcW w:w="491" w:type="pct"/>
            <w:tcBorders>
              <w:top w:val="nil"/>
              <w:left w:val="nil"/>
              <w:bottom w:val="single" w:color="000000" w:sz="4" w:space="0"/>
              <w:right w:val="single" w:color="000000" w:sz="4" w:space="0"/>
            </w:tcBorders>
            <w:shd w:val="clear" w:color="auto" w:fill="auto"/>
            <w:vAlign w:val="center"/>
          </w:tcPr>
          <w:p w14:paraId="77B013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8E1C7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行政处罚统一案件管理-一般程序案件-暂缓公示改造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B1F64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暂缓公示审批流程整改：暂缓公示审批环节中，办案机构负责人、机关科（处）室负责人、办案机关负责人点击退回功能时，流程全部统一退回给承办人员。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增加调用电子签章功能：根据全程电子化要求，在暂缓公示申请、初审、审核、审批环节相关负责人可以调用电子签章完成用印。</w:t>
            </w:r>
          </w:p>
        </w:tc>
      </w:tr>
      <w:tr w14:paraId="46519B5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69B3E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1185</w:t>
            </w:r>
          </w:p>
        </w:tc>
        <w:tc>
          <w:tcPr>
            <w:tcW w:w="491" w:type="pct"/>
            <w:tcBorders>
              <w:top w:val="nil"/>
              <w:left w:val="nil"/>
              <w:bottom w:val="single" w:color="000000" w:sz="4" w:space="0"/>
              <w:right w:val="single" w:color="000000" w:sz="4" w:space="0"/>
            </w:tcBorders>
            <w:shd w:val="clear" w:color="auto" w:fill="auto"/>
            <w:vAlign w:val="center"/>
          </w:tcPr>
          <w:p w14:paraId="0CB0F6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FC85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行政处罚统一案件管理-一般程序案件-强制措施审批改造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9AAF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强制措施审批流程整改：强制措施审批环节中，办案机构负责人、机关科（处）室负责人、办案机关负责人点击退回功能时，流程全部统一退回给承办人员。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增加相关文书送达流程：当办案机关负责人审批同意后，增加一个相关文书送达的流程，该流程完成后再到记录执行情况。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增加调用电子签章功能：根据全程电子化要求，在强制措施申请、初审、审核、审批环节相关负责人可以调用电子签章完成用印。</w:t>
            </w:r>
          </w:p>
        </w:tc>
      </w:tr>
      <w:tr w14:paraId="407666A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3C24F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1186</w:t>
            </w:r>
          </w:p>
        </w:tc>
        <w:tc>
          <w:tcPr>
            <w:tcW w:w="491" w:type="pct"/>
            <w:tcBorders>
              <w:top w:val="nil"/>
              <w:left w:val="nil"/>
              <w:bottom w:val="single" w:color="000000" w:sz="4" w:space="0"/>
              <w:right w:val="single" w:color="000000" w:sz="4" w:space="0"/>
            </w:tcBorders>
            <w:shd w:val="clear" w:color="auto" w:fill="auto"/>
            <w:vAlign w:val="center"/>
          </w:tcPr>
          <w:p w14:paraId="106145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EBEB9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行政处罚统一案件管理-一般程序案件-强制措施延期审批改造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5CC7A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强制措施延期审批流程整改：强制措施延期审批环节中，办案机构负责人、机关科（处）室负责人、办案机关负责人点击退回功能时，流程全部统一退回给承办人员。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增加相关文书送达流程：当办案机关负责人审批同意后，增加一个相关文书送达的流程，该流程完成后再到记录执行情况。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增加调用电子签章功能：根据全程电子化要求，在强制措施延期申请、初审、审核、审批环节相关负责人可以调用电子签章完成用印。</w:t>
            </w:r>
          </w:p>
        </w:tc>
      </w:tr>
      <w:tr w14:paraId="4D9C22B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4D22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1187</w:t>
            </w:r>
          </w:p>
        </w:tc>
        <w:tc>
          <w:tcPr>
            <w:tcW w:w="491" w:type="pct"/>
            <w:tcBorders>
              <w:top w:val="nil"/>
              <w:left w:val="nil"/>
              <w:bottom w:val="single" w:color="000000" w:sz="4" w:space="0"/>
              <w:right w:val="single" w:color="000000" w:sz="4" w:space="0"/>
            </w:tcBorders>
            <w:shd w:val="clear" w:color="auto" w:fill="auto"/>
            <w:vAlign w:val="center"/>
          </w:tcPr>
          <w:p w14:paraId="3F2069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8C5F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行政处罚统一案件管理-一般程序案件-解除强制措施审批改造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940FF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解除强制措施审批改造：解除强制措施审批流程整改 解除强制措施审批环节中，办案机构负责人、机关科（处）室负责人、办案机关负责人点击退回功能时，流程全部统一退回给承办人员。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增加相关文书送达流程：当办案机关负责人审批同意后，增加一个相关文书送达的流程，该流程完成后再到记录执行情况。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增加调用电子签章功能：根据全程电子化要求，在解除强制措施申请、初审、审核、审批环节相关负责人可以调用电子签章完成用印。</w:t>
            </w:r>
          </w:p>
        </w:tc>
      </w:tr>
      <w:tr w14:paraId="0B480C4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EC0B0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1188</w:t>
            </w:r>
          </w:p>
        </w:tc>
        <w:tc>
          <w:tcPr>
            <w:tcW w:w="491" w:type="pct"/>
            <w:tcBorders>
              <w:top w:val="nil"/>
              <w:left w:val="nil"/>
              <w:bottom w:val="single" w:color="000000" w:sz="4" w:space="0"/>
              <w:right w:val="single" w:color="000000" w:sz="4" w:space="0"/>
            </w:tcBorders>
            <w:shd w:val="clear" w:color="auto" w:fill="auto"/>
            <w:vAlign w:val="center"/>
          </w:tcPr>
          <w:p w14:paraId="6F713D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4101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行政处罚统一案件管理-一般程序案件-协助调查改造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6D819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协助调查审批流程整改：协助调查审批环节中，办案机构负责人、机关科（处）室负责人、办案机关负责人点击退回功能时，流程全部统一退回给承办人员。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增加机关科（处）室负责人审核功能：机关科室（处）负责人可以查看报审的材料，选择同意流程进入到办案机关负责人审批，选择退回则填写退回意见，流程退回到承办人。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增加办案机关负责人审批功能 ：增加办案机关负责人审批同意后生成正式的协助调查函，相关文书进入到相关文书送达的审批流程；选择不同意可以结束本次协助调查申请流程；选择退回则填写修改意见，流程直接退回到承办人。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增加相关文书送达流程：当办案机关负责人审批同意后，增加一个相关文书送达的流程，该流程完成后再到记录执行情况。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增加调用电子签章功能：根据全程电子化要求，在案件终止调查申请、初审、审核、审批环节相关负责人可以调用电子签章完成用印。</w:t>
            </w:r>
          </w:p>
        </w:tc>
      </w:tr>
      <w:tr w14:paraId="23C453B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60B05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1189</w:t>
            </w:r>
          </w:p>
        </w:tc>
        <w:tc>
          <w:tcPr>
            <w:tcW w:w="491" w:type="pct"/>
            <w:tcBorders>
              <w:top w:val="nil"/>
              <w:left w:val="nil"/>
              <w:bottom w:val="single" w:color="000000" w:sz="4" w:space="0"/>
              <w:right w:val="single" w:color="000000" w:sz="4" w:space="0"/>
            </w:tcBorders>
            <w:shd w:val="clear" w:color="auto" w:fill="auto"/>
            <w:vAlign w:val="center"/>
          </w:tcPr>
          <w:p w14:paraId="4FE21B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4670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行政处罚统一案件管理-一般程序案件-案件恢复调查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9566D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恢复调查申请：案件承办人在确认案件中止调查的原因消除后，立即提出恢复调查申请，填写恢复调查申请表，附上中止调查的原因消除证明材料，一并提交办案机构负责人，由办案机构负责人进行审核审查。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包括以下情形的中止调查的原因消除：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（一）行政处罚决定须以相关案件的裁判结果或者其他行政决定为依据，而相关案件尚未审结或者其他行政决定尚未作出的；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（二）涉及法律适用等问题，需要送请有权机关作出解释或者确认的；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（三）因不可抗力致使案件暂时无法调查的；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（四）因当事人下落不明致使案件暂时无法调查的；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（五）其他应当中止调查的情形。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初审：办案机构负责人对案件承办人提交的申请进行初审，审查恢复调查申请表是否合规、中止调查的原因消除证明材料是否齐全，确认无误后提交市场监管局业务科（处）室，由业务科（处）室负责人进行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审核：①接受：业务科（处）室对机构工作人员依据业务分派工作安排提交的业务申请按照工作要求实施接受处理。②分派：按照工作规定或领导指派，将具体申请案分派给具体业务承接人。③派转：由于工作安排或者其它原因对分派任务做出调整的，由承接人将分派的工作实施退回处理，科（处）室领导依照新的工作调整安排将申请案重新分派给业务承接人。④审核：业务承接人对初审通过的申请案进行审核处理，核实申请与核实材料，必要时实施情况真实性进行核实，确认以下中止调查的原因已经消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审核确认：市监局业务科（处）室负责人对经过审核的申请案进行确认，签署确定后，提交给办案机关业务负责人（市监局领导）进行审批。对不能确定的做退回处理。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申请审批：办案机关负责人对通过机构初审、业务科（处）室审核通过的业务申请进行审批，获批后立即更新案件调查状态，从中止改为正常，不予批准通过则则签署意见并反馈审批提醒服务给案件承办人，对不予通过审批的做退回处理，并填写退回意见。</w:t>
            </w:r>
          </w:p>
        </w:tc>
      </w:tr>
      <w:tr w14:paraId="48C75F5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CBC6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1190</w:t>
            </w:r>
          </w:p>
        </w:tc>
        <w:tc>
          <w:tcPr>
            <w:tcW w:w="491" w:type="pct"/>
            <w:tcBorders>
              <w:top w:val="nil"/>
              <w:left w:val="nil"/>
              <w:bottom w:val="single" w:color="000000" w:sz="4" w:space="0"/>
              <w:right w:val="single" w:color="000000" w:sz="4" w:space="0"/>
            </w:tcBorders>
            <w:shd w:val="clear" w:color="auto" w:fill="auto"/>
            <w:vAlign w:val="center"/>
          </w:tcPr>
          <w:p w14:paraId="4D94B3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C869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行政处罚统一案件管理-一般程序案件-新增行政处罚决定送达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F7CFB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当场送达：市监工作人员将行政处罚决定书送达责任现场，在宣告后当场交付当事人，当事人签收行政处罚决定书，并签字确认送达回报予以确认，对需要当场执行的予以当场执行。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由受送达人在送达回证上注明签收日期，并签名或者盖章，受送达人在送达回证上注明的签收日期为送达日期。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受送达人是自然人的，本人不在时交其同住成年家属签收；受送达人是法人或者其他组织的，由法人的法定代表人、其他组织的主要负责人或者该法人、其他组织负责收件的人签收；受送达人有代理人的，可以送交其代理人签收；受送达人已向市场监督管理部门指定代收人的，送交代收人签收。受送达人的同住成年家属，法人或者其他组织负责收件的人，代理人或者代收人在送达回证上签收的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非直接现场送达：市监工作人员将行政处罚决定书送达责任现场，如当事人不在场，则在七个工作日内以采取邮寄送达或者委托当地市场监督管理部门、转交其他部门代为送达。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邮寄送达的，以回执上注明的收件日期为送达日期；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委托、转交送达的，受送达人的签收日期为送达日期。"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确认地址送达：按照受送达人签署送达地址确认书的地址信息，市监部门将执法文书送达至受送达人确认的地址，即视为送达。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受送达人送达地址发生变更的，应当及时书面告知市场监督管理部门；未及时告知的，市场监督管理部门按原地址送达，视为依法送达。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因受送达人提供的送达地址不准确、送达地址变更未书面告知市场监督管理部门，导致执法文书未能被受送达人实际接收的，直接送达的，执法文书留在该地址之日为送达之日；邮寄送达的，执法文书被退回之日为送达之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电子送达 ：事先征得当事人同意，并由当事人在送达地址确认书中予以确认，可以采用手机短信、传真、电子邮件、即时通讯账号等能够确认其收悉的电子方式送达执法文书，电子送达到达受送达人特定系统的日期为送达日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市场监督管理部门通过拍照、截屏、录音、录像等方式予以记录。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拒收送达：受送达人（当事人）或者其同住成年家属拒绝签收的，市场监督管理部门可以邀请有关基层组织或者所在单位的代表到场，说明情况，在送达回证上载明拒收事由和日期，由送达人、见证人签名或者以其他方式确认，将执法文书留在受送达人的住所；也可以将执法文书留在受送达人的住所，并采取拍照、录像等方式记录送达过程，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公告送达：由于受送达人下落不明或者采取其它方式无法送达的，可在市场监督管理部门公告栏和受送达人住所地张贴公告，或在在报纸或者市场监督管理部门门户网站等刊登公告。自公告发布之日起经过三十日，即视为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采用公告送达方式的，在案件材料中载明原因和经过。在市场监督管理部门公告栏和受送达人住所地张贴公告的，应当采取拍照、录像等方式记录张贴过程。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送达签收：对于当场送达的，当事人在送达回证上注明签收日期，并签名或者盖章。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对于非现场送达的，由受送达人或其亲属、委托人、代收人在送达回证上注明签收日期，并签名或者盖章。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对于无签收的其它送达方式，按照规定的送达处理方式完成送达签收处理。</w:t>
            </w:r>
          </w:p>
        </w:tc>
      </w:tr>
      <w:tr w14:paraId="4C39D0E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A264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1191</w:t>
            </w:r>
          </w:p>
        </w:tc>
        <w:tc>
          <w:tcPr>
            <w:tcW w:w="491" w:type="pct"/>
            <w:tcBorders>
              <w:top w:val="nil"/>
              <w:left w:val="nil"/>
              <w:bottom w:val="single" w:color="000000" w:sz="4" w:space="0"/>
              <w:right w:val="single" w:color="000000" w:sz="4" w:space="0"/>
            </w:tcBorders>
            <w:shd w:val="clear" w:color="auto" w:fill="auto"/>
            <w:vAlign w:val="center"/>
          </w:tcPr>
          <w:p w14:paraId="2805BD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52DB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行政处罚统一案件管理-一般程序案件-新增数据修改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8AB3C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申请：案件承办人在确认案件数据存在缺陷或错误，立即依法依规提出数据修改申请，填写数据修改申请表，附上相关证据证明材料，一并提交办案机构负责人，由办案机构负责人进行审核审查。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业务初审：办案机构负责人对案件承办人提交的申请进行初审，审查数据修改申请表是否合规、证明材料是否齐全，确认无误后提交市场监管局业务科（处）室，由业务科（处）室负责人进行审核。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审核：①接受：业务科（处）室对机构工作人员依据业务分派工作安排提交的业务申请按照工作要求实施接受处理。②分派：按照工作规定或领导指派，将具体申请案分派给具体业务承接人。③派转：由于工作安排或者其它原因对分派任务做出调整的，由承接人将分派的工作实施退回处理，科（处）室领导依照新的工作调整安排将申请案重新分派给业务承接人。④审核：业务承接人对初审通过的申请案进行审核处理，核实申请与核实证明材料，必要时实施情况真实性进行核实，确认数据修改的理由支持。业务承接人完成业务审核后，提交结果给市监局业务科（处）室负责人。⑤审核确认：市监局业务科（处）室负责人对经过审核的申请案进行确认，签署确定后，提交给办案机关业务负责人（市监局领导）进行审批。对不能确定的做退回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审批：办案机关负责人对通过机构初审、业务科（处）室审核通过的业务申请进行审批，获批后立即提醒响应承办人，不予批准通过则签署意见并反馈审批提醒服务给案件承办人，对不予通过审批的做退回处理，并填写退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数据修改：对于数据修改申请审批通过的，由成本人实施数据修改，并提交保存，经过负责人核对后正式确认生效，系统对相关数据修改进行历史记录。</w:t>
            </w:r>
          </w:p>
        </w:tc>
      </w:tr>
      <w:tr w14:paraId="36EB88D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0F12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1192</w:t>
            </w:r>
          </w:p>
        </w:tc>
        <w:tc>
          <w:tcPr>
            <w:tcW w:w="491" w:type="pct"/>
            <w:tcBorders>
              <w:top w:val="nil"/>
              <w:left w:val="nil"/>
              <w:bottom w:val="single" w:color="000000" w:sz="4" w:space="0"/>
              <w:right w:val="single" w:color="000000" w:sz="4" w:space="0"/>
            </w:tcBorders>
            <w:shd w:val="clear" w:color="auto" w:fill="auto"/>
            <w:vAlign w:val="center"/>
          </w:tcPr>
          <w:p w14:paraId="1A51B5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BCB1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行政处罚统一案件管理-一般程序案件-新增交办</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0F6CB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区级科室申请：市局科室依照业务管辖，对归属下级部门办理的案件，或者协商由下级（区级）承办的案件，经沟通协调同意后确定具体下级承接部门（具体区局），由区级科室按照协商或指定结果提出承办申请，填写申请表，附上相关材料，一并提交办案科室负责人，由办案机构负责人进行审核审查，审核无误后向上级部门（市局处室）提交申请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审核 ：市局处室接受下级区局申请，由市局处室负责人指定具体经办人具体办理，市级处室经办人依据申请和工作规范草拟交办文书，提处室负责人审核，审核通过后提交市局会审。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会审：市局会审处室接受交办文书，由市局会审处室负责人指定具体会审经办人具体办理，市级会审处室经办人依据申请和工作规范对业务处室提交的草拟交办文书提供会审意见或建议，连同草拟交办文书一并提交会审处室负责人审核，审核通过后，提交市局领导审批。不通过则退回至业务处室经办人继续修改草拟交办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审批：市局机关负责人（领导）对会审处室提交的交办文书进行审批，获批后立即更新申请状态为审批通过，通过后，业务处室经办人根据草拟交办文书、会审意见和建议形成正式交办文书下发交办给下级（区）业务科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不予批准通过则签署意见并反馈审批提醒服务给业务处室经办人再行完善草拟交办文书重新提交会审，对不予通过审批的做退回处理，并填写退回意见。"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交办承接：区市监局办案业务科室依照交办文书承接上级交办案件，根据案件办理规定执行。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区级市场监督管理部门对依据监督检查职权或者上级交办等途径发现的违法行为线索，自发现线索或者收到材料之日起十五个工作日内予以核查，由区市场监督管理部门负责人决定是否立案；特殊情况下，经市场监督管理部门负责人批准，可以延长十五个工作日。法律、法规、规章另有规定的除外。对案件侦办过程中的检测、检验、检疫、鉴定以及权利人辨认或者鉴别等所需时间，不计入规定期限。</w:t>
            </w:r>
          </w:p>
        </w:tc>
      </w:tr>
      <w:tr w14:paraId="0AA9404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ED3E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1193</w:t>
            </w:r>
          </w:p>
        </w:tc>
        <w:tc>
          <w:tcPr>
            <w:tcW w:w="491" w:type="pct"/>
            <w:tcBorders>
              <w:top w:val="nil"/>
              <w:left w:val="nil"/>
              <w:bottom w:val="single" w:color="000000" w:sz="4" w:space="0"/>
              <w:right w:val="single" w:color="000000" w:sz="4" w:space="0"/>
            </w:tcBorders>
            <w:shd w:val="clear" w:color="auto" w:fill="auto"/>
            <w:vAlign w:val="center"/>
          </w:tcPr>
          <w:p w14:paraId="1C81B1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67A88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行政处罚统一案件管理-一般程序案件-新增处罚请示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DAEC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草拟交办文书：承办人可以线上草拟交办文书，支持打印，暂存，报送办案机构负责人审核。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办案机构审核：办案机构负责人可以对交办文书进行审核，可以选择审核通过或者退回，填写修改意见，支持提请会审。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书会审：审核机构负责人提请会审后，由会审经办人查看文书内容，提出会审意见和建议报会审机构负责人审核，会审机构负责人可以提出修改意见退回给审核机构负责人或者提出会审意见，提请会审的发起人继续报审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机关科（处）室负责人审核：机关科（室）负责人查看文书及审核意见，负责人可以选择同意或者退回给承办人。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处理批复情况：承办人查看处理批复情况，支持打印、生成文书。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调用电子签章：根据全程电子化要求，在区级科（处）室提交请示文件、草拟交办文书、审核、会审、审批环节相关负责人可以调用电子签章完成用印。</w:t>
            </w:r>
          </w:p>
        </w:tc>
      </w:tr>
      <w:tr w14:paraId="73A85E7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140E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1194</w:t>
            </w:r>
          </w:p>
        </w:tc>
        <w:tc>
          <w:tcPr>
            <w:tcW w:w="491" w:type="pct"/>
            <w:tcBorders>
              <w:top w:val="nil"/>
              <w:left w:val="nil"/>
              <w:bottom w:val="single" w:color="000000" w:sz="4" w:space="0"/>
              <w:right w:val="single" w:color="000000" w:sz="4" w:space="0"/>
            </w:tcBorders>
            <w:shd w:val="clear" w:color="auto" w:fill="auto"/>
            <w:vAlign w:val="center"/>
          </w:tcPr>
          <w:p w14:paraId="0E7696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6E87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行政处罚统一案件管理-一般程序案件-新增拍卖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49EA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承办人申请：承办人员发起拍卖流程申请，填写拍卖相关信息，支持打印、暂存，提交办案机构负责人初审。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办案机构负责人初审：办案机构负责人查看承办人提交的数据信息，可以选择退回，填写修改意见，无修改意见则选择报送机关科（处）室负责人审核。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关负责人审批：办案机关负责人查看承办人提交的申请信息、办案机构负责人的初审信息以及机关科（处）室负责人的审核信息，办案机关负责人可以选择同意或者不同意结束流程，该流程所有节点的相关人员可以查看审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调用电子签章：根据全程电子化要求，在拍卖申请、初审、审核、审批环节相关负责人可以调用电子签章完成用印。</w:t>
            </w:r>
          </w:p>
        </w:tc>
      </w:tr>
      <w:tr w14:paraId="37E99BB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3BD6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1195</w:t>
            </w:r>
          </w:p>
        </w:tc>
        <w:tc>
          <w:tcPr>
            <w:tcW w:w="491" w:type="pct"/>
            <w:tcBorders>
              <w:top w:val="nil"/>
              <w:left w:val="nil"/>
              <w:bottom w:val="single" w:color="000000" w:sz="4" w:space="0"/>
              <w:right w:val="single" w:color="000000" w:sz="4" w:space="0"/>
            </w:tcBorders>
            <w:shd w:val="clear" w:color="auto" w:fill="auto"/>
            <w:vAlign w:val="center"/>
          </w:tcPr>
          <w:p w14:paraId="1B90FD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5288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行政处罚统一案件管理-一般程序案件-新增销毁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D3B52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承办人申请：承办人员发起销毁流程申请，填写销毁相关信息，支持打印、暂存，提交办案机构负责人初审。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办案机构负责人初审：办案机构负责人查看承办人提交的数据信息，可以选择退回，填写修改意见，无修改意见则选择报送机关科（处）室负责人审核。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关负责人审批：办案机关负责人查看承办人提交的申请信息、办案机构负责人的初审信息以及机关科（处）室负责人的审核信息，办案机关负责人可以选择同意或者不同意结束流程，该流程所有节点的相关人员可以查看审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调用电子签章：根据全程电子化要求，在销毁申请、初审、审核、审批环节相关负责人可以调用电子签章完成用印。</w:t>
            </w:r>
          </w:p>
        </w:tc>
      </w:tr>
      <w:tr w14:paraId="5FD3F8A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070C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1196</w:t>
            </w:r>
          </w:p>
        </w:tc>
        <w:tc>
          <w:tcPr>
            <w:tcW w:w="491" w:type="pct"/>
            <w:tcBorders>
              <w:top w:val="nil"/>
              <w:left w:val="nil"/>
              <w:bottom w:val="single" w:color="000000" w:sz="4" w:space="0"/>
              <w:right w:val="single" w:color="000000" w:sz="4" w:space="0"/>
            </w:tcBorders>
            <w:shd w:val="clear" w:color="auto" w:fill="auto"/>
            <w:vAlign w:val="center"/>
          </w:tcPr>
          <w:p w14:paraId="6166296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4E8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行政处罚统一案件管理-一般程序案件-新增其他流程有关事项审批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B7342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承办人申请：承办人员发起其他流程申请，填写需要审批的相关信息，支持打印、暂存，提交办案机构负责人初审。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办案机构负责人初审：办案机构负责人查看承办人提交的数据信息，可以选择退回，填写修改意见，无修改意见则选择报送机关科（处）室负责人审核。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关负责人审批：办案机关负责人查看承办人提交的申请信息、办案机构负责人的初审信息以及机关科（处）室负责人的审核信息，办案机关负责人可以选择同意或者不同意结束流程，该流程所有节点的相关人员可以查看审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调用电子签章：根据全程电子化要求，在其他流程有关事项审批申请、初审、审核、审批环节相关负责人可以调用电子签章完成用印。</w:t>
            </w:r>
          </w:p>
        </w:tc>
      </w:tr>
      <w:tr w14:paraId="7791A6C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F69D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1197</w:t>
            </w:r>
          </w:p>
        </w:tc>
        <w:tc>
          <w:tcPr>
            <w:tcW w:w="491" w:type="pct"/>
            <w:tcBorders>
              <w:top w:val="nil"/>
              <w:left w:val="nil"/>
              <w:bottom w:val="single" w:color="000000" w:sz="4" w:space="0"/>
              <w:right w:val="single" w:color="000000" w:sz="4" w:space="0"/>
            </w:tcBorders>
            <w:shd w:val="clear" w:color="auto" w:fill="auto"/>
            <w:vAlign w:val="center"/>
          </w:tcPr>
          <w:p w14:paraId="4CFE22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7640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行政处罚统一案件管理-一般程序案件-新增其他文书送达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F825F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文书送达：承办人员可以选择送达对象、送达文书、送达方式，支持线上送达或者线下送达。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线上签收：收件人员签收文书后，反馈给承办人员文书签收成功。</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文书打印：文书如在规定时间范围内未签收，系统默认签收失败，则流程自动流转到未线下送达。承办人可以选择文书打印功能，打印文书。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线下送达结果记录：填写线下送达的相关信息，如邮寄信息、直接送达信息、委托送达信息。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开启公告送达 如线下无法送达，则系统开启公告送达审批流程，审批人员可以选择线下公告或者线上公告容推送到网站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线下送达（打印）：支持打印公告内容，记录公告栏张贴的相关信息，如张贴人员、张贴时间等。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线上公告：网站接受系统推送的公告内容自动更新到网站页面。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调用电子签章：根据全程电子化要求，在其他文书送达、签收等环节相关负责人可以调用电子签章完成用印。</w:t>
            </w:r>
          </w:p>
        </w:tc>
      </w:tr>
      <w:tr w14:paraId="41058C4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9B76C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1198</w:t>
            </w:r>
          </w:p>
        </w:tc>
        <w:tc>
          <w:tcPr>
            <w:tcW w:w="491" w:type="pct"/>
            <w:tcBorders>
              <w:top w:val="nil"/>
              <w:left w:val="nil"/>
              <w:bottom w:val="single" w:color="000000" w:sz="4" w:space="0"/>
              <w:right w:val="single" w:color="000000" w:sz="4" w:space="0"/>
            </w:tcBorders>
            <w:shd w:val="clear" w:color="auto" w:fill="auto"/>
            <w:vAlign w:val="center"/>
          </w:tcPr>
          <w:p w14:paraId="7CC530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ED52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行政处罚统一案件管理-一般程序案件-线索立案类文书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7B58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前系统线索立案环节依据文书模板NTKO工具编辑制定相关文书，在线纸质打印，相关领导意见系统审核审批，纸质文书同步实体签字盖章，完成各类线索立案类文书纸质归档。本次需要完成线索立案类文书、调查取证类文书、强制措施实施和解除类文书、协助调查检测及协助类文书、调查终结类文书、处罚/听证告知类文书、处罚决定类文书生成，，完成调查取证类文书纸质归档。本次需要支持7种调查取证类电子文书生成，全面实现全程网办和文书全程电子流转，并调用全能应用电子签章工具，实现电子签名、CA电子文书转换，可信数字文书生成，形成电子文书。</w:t>
            </w:r>
          </w:p>
        </w:tc>
      </w:tr>
      <w:tr w14:paraId="3E83B9C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E2AE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1199</w:t>
            </w:r>
          </w:p>
        </w:tc>
        <w:tc>
          <w:tcPr>
            <w:tcW w:w="491" w:type="pct"/>
            <w:tcBorders>
              <w:top w:val="nil"/>
              <w:left w:val="nil"/>
              <w:bottom w:val="single" w:color="000000" w:sz="4" w:space="0"/>
              <w:right w:val="single" w:color="000000" w:sz="4" w:space="0"/>
            </w:tcBorders>
            <w:shd w:val="clear" w:color="auto" w:fill="auto"/>
            <w:vAlign w:val="center"/>
          </w:tcPr>
          <w:p w14:paraId="6F52D4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7B49C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行政处罚统一案件管理-一般程序案件-立案环节指标项增设与修订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E79D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次立案环节提质改造主要涉及针对总局、市级相关新的数据标准进行提质改造。执法业务领域：立案环节新增执法业务领域字段，通过选择违法行为时自动对应执法业务领域领域。指定管辖信息增设，移送信息、交办信息、调查信息、协助信息、审核信息、处罚信息，物品信息，强制措施信息等指标项的增设与修订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7197540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E7AE9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1200</w:t>
            </w:r>
          </w:p>
        </w:tc>
        <w:tc>
          <w:tcPr>
            <w:tcW w:w="491" w:type="pct"/>
            <w:tcBorders>
              <w:top w:val="nil"/>
              <w:left w:val="nil"/>
              <w:bottom w:val="single" w:color="000000" w:sz="4" w:space="0"/>
              <w:right w:val="single" w:color="000000" w:sz="4" w:space="0"/>
            </w:tcBorders>
            <w:shd w:val="clear" w:color="auto" w:fill="auto"/>
            <w:vAlign w:val="center"/>
          </w:tcPr>
          <w:p w14:paraId="2C57D8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24EA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行政处罚统一案件管理-一般程序案件-行政处罚决定书指标项增设与修订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46A7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本次需要根据总局和市局相关标准要求，实现行政处罚决定书提质改造。新增字段，处罚决定理由，内容为违法行为名称。补充调查处理类型字段，选择给予处罚或者移送等情形为调查终结，选择其他处理类型为调查终止，予以结案。无中止调查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验证抽样物品，新增型号规格、标称商标、保质期、标称生产者、标称价格、生产日期或出厂批号、产品执行标准编号、标称存储条件、生产许可证编号、标称产品等级、包装方式、抽样方式、抽取样品过程、样品封样情况、样品储存条件、受委托抽样人员、受委托抽样日期 采集项。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检测、检验、检疫、鉴定：在调查环节中，增加调查事项，“检测、检验、检疫、鉴定”，采集项包括：受委托单位、委托类型、委托事项、委托日期、文书编号、样品名称、规格/型号、等级、生产日期/批号、适用标准或者规则、样品数量、检验项目、备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46324E9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8019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1201</w:t>
            </w:r>
          </w:p>
        </w:tc>
        <w:tc>
          <w:tcPr>
            <w:tcW w:w="491" w:type="pct"/>
            <w:tcBorders>
              <w:top w:val="nil"/>
              <w:left w:val="nil"/>
              <w:bottom w:val="single" w:color="000000" w:sz="4" w:space="0"/>
              <w:right w:val="single" w:color="000000" w:sz="4" w:space="0"/>
            </w:tcBorders>
            <w:shd w:val="clear" w:color="auto" w:fill="auto"/>
            <w:vAlign w:val="center"/>
          </w:tcPr>
          <w:p w14:paraId="2E5335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93A70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行政处罚统一案件管理-简易程序案件-处罚决定书管理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03C89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处罚决定书在线生成：系统提供处罚决定文书在线生成功能；系统基于处罚决定书通用模版，通过调用慧治平台标准化的基础信息数据库获取当事人基础信息、处罚信息，在线生成处罚决定书，包括但不局限于当事人基础信息填写，当事人处罚信息填写生成，通用文书内容模版生成等；同时集成NTKO软件，实现轻阅读，高性能，快预览电子处罚决定书，生成PDF电子版本，同时调用全能应用电子签章工具，实现CA电子文书转换，可信数字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处罚决定书修改内容：系统提供处罚决定书修改内容的校对功能，承办人可以根据案件实际情况，调整罚款金额，违法事实等信息，确保最终生成的处罚决定书符合案件实际情况；之后提交执法人员审核确认。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处罚决定书签章申请 承办人制作好处罚决定书，之后发起处罚决定书签章申请。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处罚决定书审核：根据法规要求，结合案件实际情况，承办人员对处罚决定书内容进行审核，并电子签字签章确认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处罚决定书送达申请：执法人员审核好处罚决定书后，发起处罚决定书送达申请。</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处罚决定书送达登记：承办人通过系统接收执法人员发起处罚决定书送达，并登记送达方式；承办人若选择线上送达，系统会将处罚决定书推送给当事人。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线上送达提醒 当事人线上接收行政处罚书并签章确认，之后系统会提醒承办人处罚决定书已送达。</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打印处罚决定书：承办人若选择线下送达，可以打印处罚决定书，并签章确认。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线下送达登记：承办人线下完成处罚决定书送达之后通过系统登记线下已送达，并上传处罚决定书已送达证明材料。</w:t>
            </w:r>
          </w:p>
        </w:tc>
      </w:tr>
      <w:tr w14:paraId="0C4BE7A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2FD26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1202</w:t>
            </w:r>
          </w:p>
        </w:tc>
        <w:tc>
          <w:tcPr>
            <w:tcW w:w="491" w:type="pct"/>
            <w:tcBorders>
              <w:top w:val="nil"/>
              <w:left w:val="nil"/>
              <w:bottom w:val="single" w:color="000000" w:sz="4" w:space="0"/>
              <w:right w:val="single" w:color="000000" w:sz="4" w:space="0"/>
            </w:tcBorders>
            <w:shd w:val="clear" w:color="auto" w:fill="auto"/>
            <w:vAlign w:val="center"/>
          </w:tcPr>
          <w:p w14:paraId="14B934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0130B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行政处罚统一执行管理流程设计-一般程序案件升级改造-新增执行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9B92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决定执行：行政处罚决定依法作出后，当事人当在行政处罚决定书载明的期限内予以履行。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罚款上交：办案人员当场收缴的罚款，自收缴罚款之日起二个工作日内交至所在市场监督管理部门。在水上当场收缴的罚款，自抵岸之日起二个工作日内交至所在市场监督管理部门，并对罚款上交进行记录核对，更新执行状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市场监督管理部门在二个工作日内将罚款缴付指定银行，并记录缴付记录同时更新状态为已缴付。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延期缴纳罚款：当事人确有经济困难，需要延期或者分期缴纳罚款的，由当事人提出书面申请。经市场监督管理部门负责人批准，同意当事人暂缓或者分期缴纳罚款的，市场监督管理部门以书面告知当事人暂缓或者分期的期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逾期处理：当事人逾期不缴纳罚款的，市场监督管理部门可以每日按罚款数额的百分之三加处罚款，加处罚款的数额不得超出罚款的数额。</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强制执行：当事人在法定期限内不申请行政复议或者提起行政诉讼，又不履行行政处罚决定，且在收到催告书十个工作日后仍不履行行政处罚决定的，市场监督管理部门可以在期限届满之日起三个月内依法申请人民法院强制执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对市场监督管理部门批准延期、分期缴纳罚款的，到期仍未交的，申请人民法院强制执行的期限，自暂缓或者分期缴纳罚款期限结束之日起计算。</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执行记录：市场监督管理部门依法以文字、音像等形式，对行政处罚的执行等进行全过程记录，规范登记执行信息记录，相关证明材料作为信息登记记录的附件一并提交保存。</w:t>
            </w:r>
          </w:p>
        </w:tc>
      </w:tr>
      <w:tr w14:paraId="0866338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0316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1203</w:t>
            </w:r>
          </w:p>
        </w:tc>
        <w:tc>
          <w:tcPr>
            <w:tcW w:w="491" w:type="pct"/>
            <w:tcBorders>
              <w:top w:val="nil"/>
              <w:left w:val="nil"/>
              <w:bottom w:val="single" w:color="000000" w:sz="4" w:space="0"/>
              <w:right w:val="single" w:color="000000" w:sz="4" w:space="0"/>
            </w:tcBorders>
            <w:shd w:val="clear" w:color="auto" w:fill="auto"/>
            <w:vAlign w:val="center"/>
          </w:tcPr>
          <w:p w14:paraId="2C7DAA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C0A88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行政处罚统一执行管理流程设计-一般程序案件升级改造-新增拍卖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2BBF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承办人申请 承办人员发起拍卖流程申请，填写拍卖相关信息，支持打印、暂存，提交办案机构负责人初审。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办案机构负责人初审 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 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办案机关负责人审批 办案机关负责人查看承办人提交的申请信息、办案机构负责人的初审信息以及机关科（处）室负责人的审核信息，办案机关负责人可以选择同意或者不同意结束流程，该流程所有节点的相关人员可以查看审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 根据全程电子化要求，在拍卖申请、初审、审核、审批环节相关负责人可以调用电子签章完成用印。</w:t>
            </w:r>
          </w:p>
        </w:tc>
      </w:tr>
      <w:tr w14:paraId="632BCC3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D3CB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1204</w:t>
            </w:r>
          </w:p>
        </w:tc>
        <w:tc>
          <w:tcPr>
            <w:tcW w:w="491" w:type="pct"/>
            <w:tcBorders>
              <w:top w:val="nil"/>
              <w:left w:val="nil"/>
              <w:bottom w:val="single" w:color="000000" w:sz="4" w:space="0"/>
              <w:right w:val="single" w:color="000000" w:sz="4" w:space="0"/>
            </w:tcBorders>
            <w:shd w:val="clear" w:color="auto" w:fill="auto"/>
            <w:vAlign w:val="center"/>
          </w:tcPr>
          <w:p w14:paraId="7F3FAC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B685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行政处罚统一执行管理流程设计-一般程序案件升级改造-新增销毁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2658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承办人申请 承办人员发起销毁流程申请，填写销毁相关信息，支持打印、暂存，提交办案机构负责人初审。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办案机构负责人初审 办案机构负责人查看承办人提交的数据信息，可以选择退回，填写修改意见，无修改意见则选择报送机关科（处）室负责人审核。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机关科（处）室负责人审核 机关科（处）室负责人查看承办人提交的申请信息和办案机构负责人填写审核信息，可以选择同意流转到办案机关负责人审批或者选择退回给承办人，支持填写修改意见。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办案机关负责人审批 办案机关负责人查看承办人提交的申请信息、办案机构负责人的初审信息以及机关科（处）室负责人的审核信息，办案机关负责人可以选择同意或者不同意结束流程，该流程所有节点的相关人员可以查看审批结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调用电子签章 根据全程电子化要求，在销毁申请、初审、审核、审批环节相关负责人可以调用电子签章完成用印。</w:t>
            </w:r>
          </w:p>
        </w:tc>
      </w:tr>
      <w:tr w14:paraId="4FC9927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46EB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1205</w:t>
            </w:r>
          </w:p>
        </w:tc>
        <w:tc>
          <w:tcPr>
            <w:tcW w:w="491" w:type="pct"/>
            <w:tcBorders>
              <w:top w:val="nil"/>
              <w:left w:val="nil"/>
              <w:bottom w:val="single" w:color="000000" w:sz="4" w:space="0"/>
              <w:right w:val="single" w:color="000000" w:sz="4" w:space="0"/>
            </w:tcBorders>
            <w:shd w:val="clear" w:color="auto" w:fill="auto"/>
            <w:vAlign w:val="center"/>
          </w:tcPr>
          <w:p w14:paraId="15BB94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837DB1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行政处罚统一执行管理流程设计-简易程序案件功能升级改造和新增功能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DD3F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机构备案：承办人完成案件的线上or线下送达，之后发起报请备案，结构负责人接收报请备案，审核内容是否合规，并签字确认，之后交机关备案；若办案机构负责人不同意报请备案，系统无法生成缴纳罚款的支付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机关备案：机关科（处）室接收备案信息，确定内容是否合规，并电子签字确认；机关科（处）室若不同意备案，系统无法生成缴纳罚款的支付单。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支付订单生成：在线转译当事人相关信息、违法行为、处罚种类、缴款信息调用集成统一支付平台，生成支付订单。系统生成支付订单码，当事可以通过人扫码完成简易程序案件的罚款的缴纳。</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支付提醒：承办人可以选择处罚订单，查看当事人是否完成完成处罚款缴纳。</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简易程序案件电子文书辅助生成：简易程序案件文书 目前简易程序案件类文书仅支持在线生成，线下纸质打印，完成各类文书纸质归档。本次需要支持简易程序类案件电子文书生成，全面实现全程网办和文书全程电子流转，并调用全能应用电子签章工具，实现电子签名、CA电子文书转换，可信数字文书生成，形成电子文书。</w:t>
            </w:r>
          </w:p>
        </w:tc>
      </w:tr>
      <w:tr w14:paraId="6296EDA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03F1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1206</w:t>
            </w:r>
          </w:p>
        </w:tc>
        <w:tc>
          <w:tcPr>
            <w:tcW w:w="491" w:type="pct"/>
            <w:tcBorders>
              <w:top w:val="nil"/>
              <w:left w:val="nil"/>
              <w:bottom w:val="single" w:color="000000" w:sz="4" w:space="0"/>
              <w:right w:val="single" w:color="000000" w:sz="4" w:space="0"/>
            </w:tcBorders>
            <w:shd w:val="clear" w:color="auto" w:fill="auto"/>
            <w:vAlign w:val="center"/>
          </w:tcPr>
          <w:p w14:paraId="495311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DC39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行政处罚统一执行管理流程设计-批量吊照（证）案件升级改造和新增功能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8E63C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批量吊照（证）案件升级改造:①办案机关审批：新增办案机关审批。办案机关负责人的审批环节是确保案件处理合法性的关键。审批过程中，需对结案文书的各项内容进行严格把关，确保案件处理结果的公正性。②全案办结、在线制作 审批同意后，进入全案办结在线制作环节，承办人员负责全案办结材料在线制作，确认无误后报档案人员审核。③档案审核。档案人员接收承办人员提交的全案办结材料，并依照批量吊照（证）案件的结案归档要求对归档材料内容的完整性、合法性等进行审核，确认无误后选择归档操作我，完成批量吊照（证）案件的档案归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批量吊照（证）案件电子文书辅助生成：本次需要支持结案审批表生成，全面实现全程网办和文书全程电子流转，并调用全能应用电子签章工具，实现电子签名、CA电子文书转换，可信数字文书生成，形成电子文书，并支持所有文书预览及签章功能。</w:t>
            </w:r>
          </w:p>
        </w:tc>
      </w:tr>
      <w:tr w14:paraId="2B32DF4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29405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1207</w:t>
            </w:r>
          </w:p>
        </w:tc>
        <w:tc>
          <w:tcPr>
            <w:tcW w:w="491" w:type="pct"/>
            <w:tcBorders>
              <w:top w:val="nil"/>
              <w:left w:val="nil"/>
              <w:bottom w:val="single" w:color="000000" w:sz="4" w:space="0"/>
              <w:right w:val="single" w:color="000000" w:sz="4" w:space="0"/>
            </w:tcBorders>
            <w:shd w:val="clear" w:color="auto" w:fill="auto"/>
            <w:vAlign w:val="center"/>
          </w:tcPr>
          <w:p w14:paraId="70964D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32B5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行政处罚统一执行管理流程设计-反垄断案件升级改造和新增功能-申请和执行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573F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申请：作为经济反垄断执行的首要环节，需承担起案件审查、证据收集、材料整理等重要任务。确保案件处理的公正性和效率性。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执行:根据相关法律法规和案件情况，制定具体的执行方案。这包括但不限于调查取证、听取当事人意见、作出执行决定等。在执行过程中，承办人员应严格遵守法定程序，确保执行活动的合法性和有效性。</w:t>
            </w:r>
          </w:p>
        </w:tc>
      </w:tr>
      <w:tr w14:paraId="4B1D2B0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9ABDA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1208</w:t>
            </w:r>
          </w:p>
        </w:tc>
        <w:tc>
          <w:tcPr>
            <w:tcW w:w="491" w:type="pct"/>
            <w:tcBorders>
              <w:top w:val="nil"/>
              <w:left w:val="nil"/>
              <w:bottom w:val="single" w:color="000000" w:sz="4" w:space="0"/>
              <w:right w:val="single" w:color="000000" w:sz="4" w:space="0"/>
            </w:tcBorders>
            <w:shd w:val="clear" w:color="auto" w:fill="auto"/>
            <w:vAlign w:val="center"/>
          </w:tcPr>
          <w:p w14:paraId="30DC77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F00D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行政处罚统一执行管理流程设计-反垄断案件升级改造和新增功能-结案</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8302C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结案录入:记录案件的处理过程和结果，确保信息的真实性和完整性。录入的内容包括案件基本情况、执行过程、执行结果等，为后续审校工作提供基础数据。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负责人审核:对录入的信息进行审校。审校过程中，负责人需对案件的处理逻辑、法律适用、证据材料等方面进行仔细核查，确保案件处理的合法性和合理性。若发现问题，负责人应及时提出并指导承办人员进行修改和完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全案办结归档记录:办结归档记录阶段。将案件相关文件、资料进行分类、整理，并按照规定的归档要求进行存放。归档记录供查阅、借鉴。</w:t>
            </w:r>
          </w:p>
        </w:tc>
      </w:tr>
      <w:tr w14:paraId="38668B6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0948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1209</w:t>
            </w:r>
          </w:p>
        </w:tc>
        <w:tc>
          <w:tcPr>
            <w:tcW w:w="491" w:type="pct"/>
            <w:tcBorders>
              <w:top w:val="nil"/>
              <w:left w:val="nil"/>
              <w:bottom w:val="single" w:color="000000" w:sz="4" w:space="0"/>
              <w:right w:val="single" w:color="000000" w:sz="4" w:space="0"/>
            </w:tcBorders>
            <w:shd w:val="clear" w:color="auto" w:fill="auto"/>
            <w:vAlign w:val="center"/>
          </w:tcPr>
          <w:p w14:paraId="343D60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B9CD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证据管理-智能提取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00FC7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基于视频甄别技术的提智，现场执法视频和录音的智能化信息提取，帮助快速理解，完成智审。</w:t>
            </w:r>
          </w:p>
        </w:tc>
      </w:tr>
      <w:tr w14:paraId="204169B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FF47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1210</w:t>
            </w:r>
          </w:p>
        </w:tc>
        <w:tc>
          <w:tcPr>
            <w:tcW w:w="491" w:type="pct"/>
            <w:tcBorders>
              <w:top w:val="nil"/>
              <w:left w:val="nil"/>
              <w:bottom w:val="single" w:color="000000" w:sz="4" w:space="0"/>
              <w:right w:val="single" w:color="000000" w:sz="4" w:space="0"/>
            </w:tcBorders>
            <w:shd w:val="clear" w:color="auto" w:fill="auto"/>
            <w:vAlign w:val="center"/>
          </w:tcPr>
          <w:p w14:paraId="6C6C01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68DB0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证据管理-智能审批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C54D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领导查看有效证据实现智审。将案件相关的证据、处理流程、情况等综合展示，领导查看有效证据实现智审。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1A71E54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88288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1211</w:t>
            </w:r>
          </w:p>
        </w:tc>
        <w:tc>
          <w:tcPr>
            <w:tcW w:w="491" w:type="pct"/>
            <w:tcBorders>
              <w:top w:val="nil"/>
              <w:left w:val="nil"/>
              <w:bottom w:val="single" w:color="000000" w:sz="4" w:space="0"/>
              <w:right w:val="single" w:color="000000" w:sz="4" w:space="0"/>
            </w:tcBorders>
            <w:shd w:val="clear" w:color="auto" w:fill="auto"/>
            <w:vAlign w:val="center"/>
          </w:tcPr>
          <w:p w14:paraId="12CC8D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5C21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证据管理-证据编目与检索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57CA9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集成编目，多维度编目，与案件，承办人关联，多维度检索等。</w:t>
            </w:r>
          </w:p>
        </w:tc>
      </w:tr>
      <w:tr w14:paraId="7DFF46F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74CF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1212</w:t>
            </w:r>
          </w:p>
        </w:tc>
        <w:tc>
          <w:tcPr>
            <w:tcW w:w="491" w:type="pct"/>
            <w:tcBorders>
              <w:top w:val="nil"/>
              <w:left w:val="nil"/>
              <w:bottom w:val="single" w:color="000000" w:sz="4" w:space="0"/>
              <w:right w:val="single" w:color="000000" w:sz="4" w:space="0"/>
            </w:tcBorders>
            <w:shd w:val="clear" w:color="auto" w:fill="auto"/>
            <w:vAlign w:val="center"/>
          </w:tcPr>
          <w:p w14:paraId="024070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1738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签名用印-执法电子签章集成与服务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CC485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集成电子签章能力，集成文书生成工具，支持实现在线电子签名。通过电子签名，实现所有流程文书的可信数字签名应用。各业务环节可调用该能力，实现电子签章。集成调用CA文书认证功能，实现电子签名相关各方提供真实性、可靠性的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集成电子用印权限管理，不同人员分配不同印章，审批通过后，系统自动调用盖章处理；集成印章配置，不同单位涉及不同用章（执法专用章与公章），配置用印章情况，系统自动调用使用。</w:t>
            </w:r>
          </w:p>
        </w:tc>
      </w:tr>
      <w:tr w14:paraId="47D6286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52F9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1213</w:t>
            </w:r>
          </w:p>
        </w:tc>
        <w:tc>
          <w:tcPr>
            <w:tcW w:w="491" w:type="pct"/>
            <w:tcBorders>
              <w:top w:val="nil"/>
              <w:left w:val="nil"/>
              <w:bottom w:val="single" w:color="000000" w:sz="4" w:space="0"/>
              <w:right w:val="single" w:color="000000" w:sz="4" w:space="0"/>
            </w:tcBorders>
            <w:shd w:val="clear" w:color="auto" w:fill="auto"/>
            <w:vAlign w:val="center"/>
          </w:tcPr>
          <w:p w14:paraId="1B3106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C05A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签名用印-执法电子签章-移动SDK-于移动证书应用服务端接口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86D65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通过接口实现与移动证书服务端的对接，完成密钥协同运算。</w:t>
            </w:r>
          </w:p>
        </w:tc>
      </w:tr>
      <w:tr w14:paraId="1B8446C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D9CB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1214</w:t>
            </w:r>
          </w:p>
        </w:tc>
        <w:tc>
          <w:tcPr>
            <w:tcW w:w="491" w:type="pct"/>
            <w:tcBorders>
              <w:top w:val="nil"/>
              <w:left w:val="nil"/>
              <w:bottom w:val="single" w:color="000000" w:sz="4" w:space="0"/>
              <w:right w:val="single" w:color="000000" w:sz="4" w:space="0"/>
            </w:tcBorders>
            <w:shd w:val="clear" w:color="auto" w:fill="auto"/>
            <w:vAlign w:val="center"/>
          </w:tcPr>
          <w:p w14:paraId="2767327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06F24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签名用印-执法电子签章-市场监管移动端证书管理及认证系统-证书签发</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89E7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与上海CA数字证书认证系统对接，提供签发证书的能力。与移动端SDK协作产生签名密钥对，面向移动端SDK提供数字证书新办、证书延期、证书变更、证书补办、证书撤销、证书详情等接口功能，</w:t>
            </w:r>
          </w:p>
        </w:tc>
      </w:tr>
      <w:tr w14:paraId="1DF90EB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C9B98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1215</w:t>
            </w:r>
          </w:p>
        </w:tc>
        <w:tc>
          <w:tcPr>
            <w:tcW w:w="491" w:type="pct"/>
            <w:tcBorders>
              <w:top w:val="nil"/>
              <w:left w:val="nil"/>
              <w:bottom w:val="single" w:color="000000" w:sz="4" w:space="0"/>
              <w:right w:val="single" w:color="000000" w:sz="4" w:space="0"/>
            </w:tcBorders>
            <w:shd w:val="clear" w:color="auto" w:fill="auto"/>
            <w:vAlign w:val="center"/>
          </w:tcPr>
          <w:p w14:paraId="38339B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F02A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签名用印-执法电子签章-市场监管移动端证书管理及认证系统-印章管理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A7FF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面向移动端SDK提供用户手写签名采集服务，支持手写笔迹采集模式，提供印章申请、印章作废、印章详情、印章列表等功能。</w:t>
            </w:r>
          </w:p>
        </w:tc>
      </w:tr>
      <w:tr w14:paraId="2626804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B6B7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1216</w:t>
            </w:r>
          </w:p>
        </w:tc>
        <w:tc>
          <w:tcPr>
            <w:tcW w:w="491" w:type="pct"/>
            <w:tcBorders>
              <w:top w:val="nil"/>
              <w:left w:val="nil"/>
              <w:bottom w:val="single" w:color="000000" w:sz="4" w:space="0"/>
              <w:right w:val="single" w:color="000000" w:sz="4" w:space="0"/>
            </w:tcBorders>
            <w:shd w:val="clear" w:color="auto" w:fill="auto"/>
            <w:vAlign w:val="center"/>
          </w:tcPr>
          <w:p w14:paraId="5AA7EA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D08E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签名用印-执法电子签章-市场监管移动端证书管理及认证系统-证书应用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F5CF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提供与移动端SDK协作执行签名等任务，包括数字签名、扫码签名、签名验签。二维码扫码服务包括生成二维码、获取二维码内容、扫码结果推送等具体功能。</w:t>
            </w:r>
          </w:p>
        </w:tc>
      </w:tr>
      <w:tr w14:paraId="5DF73A7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13D3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1217</w:t>
            </w:r>
          </w:p>
        </w:tc>
        <w:tc>
          <w:tcPr>
            <w:tcW w:w="491" w:type="pct"/>
            <w:tcBorders>
              <w:top w:val="nil"/>
              <w:left w:val="nil"/>
              <w:bottom w:val="single" w:color="000000" w:sz="4" w:space="0"/>
              <w:right w:val="single" w:color="000000" w:sz="4" w:space="0"/>
            </w:tcBorders>
            <w:shd w:val="clear" w:color="auto" w:fill="auto"/>
            <w:vAlign w:val="center"/>
          </w:tcPr>
          <w:p w14:paraId="499DEA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A3D96D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签名用印-执法电子签章-市场监管移动端证书管理及认证系统-应用管理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D0BD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支持对应用信息进行管理、提供增加应用信息、查询应用、查看应用详情等功能呢</w:t>
            </w:r>
          </w:p>
        </w:tc>
      </w:tr>
      <w:tr w14:paraId="19D5142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8B11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1218</w:t>
            </w:r>
          </w:p>
        </w:tc>
        <w:tc>
          <w:tcPr>
            <w:tcW w:w="491" w:type="pct"/>
            <w:tcBorders>
              <w:top w:val="nil"/>
              <w:left w:val="nil"/>
              <w:bottom w:val="single" w:color="000000" w:sz="4" w:space="0"/>
              <w:right w:val="single" w:color="000000" w:sz="4" w:space="0"/>
            </w:tcBorders>
            <w:shd w:val="clear" w:color="auto" w:fill="auto"/>
            <w:vAlign w:val="center"/>
          </w:tcPr>
          <w:p w14:paraId="223855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4054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签名用印-执法电子签章-市场监管移动执法签署服务系统-事件证书发放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E8CB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场景签章中的用户发放事件证书，完成电子签章。事件证书发放之前，需要展示订户协议，明确事件证书的使用规范，用户预览并确认后，对用户进行身份核验，确保身份的真实性，核验通过后，发放事件证书用于电子签署</w:t>
            </w:r>
          </w:p>
        </w:tc>
      </w:tr>
      <w:tr w14:paraId="1F5652F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73A7D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1219</w:t>
            </w:r>
          </w:p>
        </w:tc>
        <w:tc>
          <w:tcPr>
            <w:tcW w:w="491" w:type="pct"/>
            <w:tcBorders>
              <w:top w:val="nil"/>
              <w:left w:val="nil"/>
              <w:bottom w:val="single" w:color="000000" w:sz="4" w:space="0"/>
              <w:right w:val="single" w:color="000000" w:sz="4" w:space="0"/>
            </w:tcBorders>
            <w:shd w:val="clear" w:color="auto" w:fill="auto"/>
            <w:vAlign w:val="center"/>
          </w:tcPr>
          <w:p w14:paraId="55F9A9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5E8BC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签名用印-执法电子签章-市场监管移动执法签署服务系统-意愿认证功能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A70AC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进行电子签署之前，需要对用户进行意愿认证，来确认用户的真实身份，保障用户的真实意愿。提供人脸识别认证功能，对签署人身份进行确认。</w:t>
            </w:r>
          </w:p>
        </w:tc>
      </w:tr>
      <w:tr w14:paraId="385607C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DB95D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1220</w:t>
            </w:r>
          </w:p>
        </w:tc>
        <w:tc>
          <w:tcPr>
            <w:tcW w:w="491" w:type="pct"/>
            <w:tcBorders>
              <w:top w:val="nil"/>
              <w:left w:val="nil"/>
              <w:bottom w:val="single" w:color="000000" w:sz="4" w:space="0"/>
              <w:right w:val="single" w:color="000000" w:sz="4" w:space="0"/>
            </w:tcBorders>
            <w:shd w:val="clear" w:color="auto" w:fill="auto"/>
            <w:vAlign w:val="center"/>
          </w:tcPr>
          <w:p w14:paraId="5B51DC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96E4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签名用印-执法电子签章-市场监管移动执法签署服务系统-手写签名功能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DB949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提供手写签名功能，展示待签署文档内容，采集用户手写签名图片，并对用户完成身份核验，来实现用户的手写签名。</w:t>
            </w:r>
          </w:p>
        </w:tc>
      </w:tr>
      <w:tr w14:paraId="6B2FE32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77623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1221</w:t>
            </w:r>
          </w:p>
        </w:tc>
        <w:tc>
          <w:tcPr>
            <w:tcW w:w="491" w:type="pct"/>
            <w:tcBorders>
              <w:top w:val="nil"/>
              <w:left w:val="nil"/>
              <w:bottom w:val="single" w:color="000000" w:sz="4" w:space="0"/>
              <w:right w:val="single" w:color="000000" w:sz="4" w:space="0"/>
            </w:tcBorders>
            <w:shd w:val="clear" w:color="auto" w:fill="auto"/>
            <w:vAlign w:val="center"/>
          </w:tcPr>
          <w:p w14:paraId="6A326D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A04E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签名用印-执法电子签章-市场监管移动执法签署服务系统-签署服务能力</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DF0E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 自然人批量签章：针对自然人用户，使用事件证书，生成个人姓名红印，进行批量签章；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 法人批量签章：针对法人用户，使用电子营业执照小程序进行盖章；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 自然人手写签名：针对自然人用户，采集手写签名图片，使用事件证书进行手写签名；</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 静默签署服务：面向业务系统提供静默签署接口，业务系统调用接口对文档进行坐标定位签署、关键字定位签署等，适用于更多无具体场景业务；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 UKEY签署服务：企业用户或公务人员，使用一证通UKEY进行电子签章，系统展示待签署文档信息，获取印章图片，完成UKEY电子签章；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6) 合成电子签署文档：对PDF、生成的签名值、印章图片等进行合章操作，合成完成电子签署的PDF签章文档。</w:t>
            </w:r>
          </w:p>
        </w:tc>
      </w:tr>
      <w:tr w14:paraId="26C28E8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2A7D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1222</w:t>
            </w:r>
          </w:p>
        </w:tc>
        <w:tc>
          <w:tcPr>
            <w:tcW w:w="491" w:type="pct"/>
            <w:tcBorders>
              <w:top w:val="nil"/>
              <w:left w:val="nil"/>
              <w:bottom w:val="single" w:color="000000" w:sz="4" w:space="0"/>
              <w:right w:val="single" w:color="000000" w:sz="4" w:space="0"/>
            </w:tcBorders>
            <w:shd w:val="clear" w:color="auto" w:fill="auto"/>
            <w:vAlign w:val="center"/>
          </w:tcPr>
          <w:p w14:paraId="242431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B8581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签名用印-执法电子签章-市场监管移动执法签署服务系统-单位证书管理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BD007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在签章系统的初始化配置中对证书进行托管，满足一个用户对应多个印章（印章由印模图片+数字证书组成）的需求。</w:t>
            </w:r>
          </w:p>
        </w:tc>
      </w:tr>
      <w:tr w14:paraId="3A76B06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E18F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1223</w:t>
            </w:r>
          </w:p>
        </w:tc>
        <w:tc>
          <w:tcPr>
            <w:tcW w:w="491" w:type="pct"/>
            <w:tcBorders>
              <w:top w:val="nil"/>
              <w:left w:val="nil"/>
              <w:bottom w:val="single" w:color="000000" w:sz="4" w:space="0"/>
              <w:right w:val="single" w:color="000000" w:sz="4" w:space="0"/>
            </w:tcBorders>
            <w:shd w:val="clear" w:color="auto" w:fill="auto"/>
            <w:vAlign w:val="center"/>
          </w:tcPr>
          <w:p w14:paraId="3850DA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E007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签名用印-执法电子签章-市场监管移动执法签署服务系统-系统管理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90E38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系统管理是系统初始化时，使电子签章系统正常工作的相关用户、应用系统、权限、证书等相关配置管理功能。</w:t>
            </w:r>
          </w:p>
        </w:tc>
      </w:tr>
      <w:tr w14:paraId="3F314B1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5A35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1224</w:t>
            </w:r>
          </w:p>
        </w:tc>
        <w:tc>
          <w:tcPr>
            <w:tcW w:w="491" w:type="pct"/>
            <w:tcBorders>
              <w:top w:val="nil"/>
              <w:left w:val="nil"/>
              <w:bottom w:val="single" w:color="000000" w:sz="4" w:space="0"/>
              <w:right w:val="single" w:color="000000" w:sz="4" w:space="0"/>
            </w:tcBorders>
            <w:shd w:val="clear" w:color="auto" w:fill="auto"/>
            <w:vAlign w:val="center"/>
          </w:tcPr>
          <w:p w14:paraId="7DD4F0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1508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签名用印-执法电子签章-市场监管移动执法签署服务系统-签章管理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F9E0C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印模管理：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添加印章：提交印章图片，申请印章制作，同时印模进入印模库。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印章管理：对印章图片进行删除、编辑、修改等操作。</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策略管理：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对印章权限进行管理，生成盖章策略，策略包含证书、印章和应用系统、盖章方式（关键字定位、坐标定位、鼠标定位），策略把应用系统、印章图片、证书进行绑定。</w:t>
            </w:r>
          </w:p>
        </w:tc>
      </w:tr>
      <w:tr w14:paraId="5354B1E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19D9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1225</w:t>
            </w:r>
          </w:p>
        </w:tc>
        <w:tc>
          <w:tcPr>
            <w:tcW w:w="491" w:type="pct"/>
            <w:tcBorders>
              <w:top w:val="nil"/>
              <w:left w:val="nil"/>
              <w:bottom w:val="single" w:color="000000" w:sz="4" w:space="0"/>
              <w:right w:val="single" w:color="000000" w:sz="4" w:space="0"/>
            </w:tcBorders>
            <w:shd w:val="clear" w:color="auto" w:fill="auto"/>
            <w:vAlign w:val="center"/>
          </w:tcPr>
          <w:p w14:paraId="37B5A1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0A32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签名用印-执法电子签章-市场监管移动执法签署服务系统-PDF盖章功能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43926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能支持PDF文档自动盖章和批量盖章，即通过签章服务的接口，应用系统将PDF文档传给签章服务器，在服务器端完成盖章，再通过接口返回给应用系统。</w:t>
            </w:r>
          </w:p>
        </w:tc>
      </w:tr>
      <w:tr w14:paraId="62C2FA5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3959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1226</w:t>
            </w:r>
          </w:p>
        </w:tc>
        <w:tc>
          <w:tcPr>
            <w:tcW w:w="491" w:type="pct"/>
            <w:tcBorders>
              <w:top w:val="nil"/>
              <w:left w:val="nil"/>
              <w:bottom w:val="single" w:color="000000" w:sz="4" w:space="0"/>
              <w:right w:val="single" w:color="000000" w:sz="4" w:space="0"/>
            </w:tcBorders>
            <w:shd w:val="clear" w:color="auto" w:fill="auto"/>
            <w:vAlign w:val="center"/>
          </w:tcPr>
          <w:p w14:paraId="7A29D1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50EF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签名用印-执法电子签章-非税签名验签系统-身份认证功能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10C0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实现基于数字证书的身份认证，支持不同CA 的证书验证，提供CRL/OCSP 等多种方式的证书有效性验证。</w:t>
            </w:r>
          </w:p>
        </w:tc>
      </w:tr>
      <w:tr w14:paraId="71B0E89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D0A5C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1227</w:t>
            </w:r>
          </w:p>
        </w:tc>
        <w:tc>
          <w:tcPr>
            <w:tcW w:w="491" w:type="pct"/>
            <w:tcBorders>
              <w:top w:val="nil"/>
              <w:left w:val="nil"/>
              <w:bottom w:val="single" w:color="000000" w:sz="4" w:space="0"/>
              <w:right w:val="single" w:color="000000" w:sz="4" w:space="0"/>
            </w:tcBorders>
            <w:shd w:val="clear" w:color="auto" w:fill="auto"/>
            <w:vAlign w:val="center"/>
          </w:tcPr>
          <w:p w14:paraId="419A00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C2342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签名用印-执法电子签章-非税签名验签系统-数据签名与签名验证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BF87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提供PKCS1/PKCS7 attach/PKCS7 detach/XMLSign 等多种格式的数字签名和数字签名验证功能。</w:t>
            </w:r>
          </w:p>
        </w:tc>
      </w:tr>
      <w:tr w14:paraId="048DAB0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AD8BC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1228</w:t>
            </w:r>
          </w:p>
        </w:tc>
        <w:tc>
          <w:tcPr>
            <w:tcW w:w="491" w:type="pct"/>
            <w:tcBorders>
              <w:top w:val="nil"/>
              <w:left w:val="nil"/>
              <w:bottom w:val="single" w:color="000000" w:sz="4" w:space="0"/>
              <w:right w:val="single" w:color="000000" w:sz="4" w:space="0"/>
            </w:tcBorders>
            <w:shd w:val="clear" w:color="auto" w:fill="auto"/>
            <w:vAlign w:val="center"/>
          </w:tcPr>
          <w:p w14:paraId="57B909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0B81C6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签名用印-执法电子签章-非税签名验签系统-数字信封及有效性验证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26C6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1、对数据进行加密传输，只有指定的信封接收者可以解密数据。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2、提供CRL/OCSP 等多种方式的证书有效性验证。</w:t>
            </w:r>
          </w:p>
        </w:tc>
      </w:tr>
      <w:tr w14:paraId="0C15056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9E7F1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1229</w:t>
            </w:r>
          </w:p>
        </w:tc>
        <w:tc>
          <w:tcPr>
            <w:tcW w:w="491" w:type="pct"/>
            <w:tcBorders>
              <w:top w:val="nil"/>
              <w:left w:val="nil"/>
              <w:bottom w:val="single" w:color="000000" w:sz="4" w:space="0"/>
              <w:right w:val="single" w:color="000000" w:sz="4" w:space="0"/>
            </w:tcBorders>
            <w:shd w:val="clear" w:color="auto" w:fill="auto"/>
            <w:vAlign w:val="center"/>
          </w:tcPr>
          <w:p w14:paraId="6227DA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007E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签名用印-执法电子签章-非税签名验签系统-文件签名与验证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FA15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对文件提供数字签名和数字签名验证功能。</w:t>
            </w:r>
          </w:p>
        </w:tc>
      </w:tr>
      <w:tr w14:paraId="6440D37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7D6EE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1230</w:t>
            </w:r>
          </w:p>
        </w:tc>
        <w:tc>
          <w:tcPr>
            <w:tcW w:w="491" w:type="pct"/>
            <w:tcBorders>
              <w:top w:val="nil"/>
              <w:left w:val="nil"/>
              <w:bottom w:val="single" w:color="000000" w:sz="4" w:space="0"/>
              <w:right w:val="single" w:color="000000" w:sz="4" w:space="0"/>
            </w:tcBorders>
            <w:shd w:val="clear" w:color="auto" w:fill="auto"/>
            <w:vAlign w:val="center"/>
          </w:tcPr>
          <w:p w14:paraId="701555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7E4D2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签名用印-执法电子签章-非税签名验签系统-双证书支持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6254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1、支持即签名证书和加密证书的双证书认证体系。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2、支持拥有多个站点证书，不同的服务可以拥有不同的站点证书。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3、单个SVS服务可支持验证不同CA的用户证书，且无需任何设置。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4、支持国内商密厂商产品数字证书及CA运营商标准。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5、可设置多个独立的SVS服务，通过服务端口的不同区分不同应用环境下的验签服务。</w:t>
            </w:r>
          </w:p>
        </w:tc>
      </w:tr>
      <w:tr w14:paraId="7271C28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5FE5A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1231</w:t>
            </w:r>
          </w:p>
        </w:tc>
        <w:tc>
          <w:tcPr>
            <w:tcW w:w="491" w:type="pct"/>
            <w:tcBorders>
              <w:top w:val="nil"/>
              <w:left w:val="nil"/>
              <w:bottom w:val="single" w:color="000000" w:sz="4" w:space="0"/>
              <w:right w:val="single" w:color="000000" w:sz="4" w:space="0"/>
            </w:tcBorders>
            <w:shd w:val="clear" w:color="auto" w:fill="auto"/>
            <w:vAlign w:val="center"/>
          </w:tcPr>
          <w:p w14:paraId="29D801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EB28F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签名用印-执法电子签章-非税签名验签系统-签名原文证书验证</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33B9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1、支持原始数据、摘要数据的数字签名验证。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2、支持单纯验证签名用的数字证书有效性。（有效期、可信证书链、黑名单等）</w:t>
            </w:r>
          </w:p>
        </w:tc>
      </w:tr>
      <w:tr w14:paraId="3507BC8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4146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1232</w:t>
            </w:r>
          </w:p>
        </w:tc>
        <w:tc>
          <w:tcPr>
            <w:tcW w:w="491" w:type="pct"/>
            <w:tcBorders>
              <w:top w:val="nil"/>
              <w:left w:val="nil"/>
              <w:bottom w:val="single" w:color="000000" w:sz="4" w:space="0"/>
              <w:right w:val="single" w:color="000000" w:sz="4" w:space="0"/>
            </w:tcBorders>
            <w:shd w:val="clear" w:color="auto" w:fill="auto"/>
            <w:vAlign w:val="center"/>
          </w:tcPr>
          <w:p w14:paraId="10473F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85668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签名用印-执法电子签章-非税签名验签系统-web管理控制台模块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E31E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基于WEB形式的图形管理控制界面，可对设备完成全部管理、维护、监控等操作。支持数字证书登录及验证码功能。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2、可根据管理员实际角色来设置对应的管理权限，如不可修改操作但可查看系统信息等。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 提供日志查看、条件过滤、导出等功能。</w:t>
            </w:r>
          </w:p>
        </w:tc>
      </w:tr>
      <w:tr w14:paraId="3F4AA5E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4D8F1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1233</w:t>
            </w:r>
          </w:p>
        </w:tc>
        <w:tc>
          <w:tcPr>
            <w:tcW w:w="491" w:type="pct"/>
            <w:tcBorders>
              <w:top w:val="nil"/>
              <w:left w:val="nil"/>
              <w:bottom w:val="single" w:color="000000" w:sz="4" w:space="0"/>
              <w:right w:val="single" w:color="000000" w:sz="4" w:space="0"/>
            </w:tcBorders>
            <w:shd w:val="clear" w:color="auto" w:fill="auto"/>
            <w:vAlign w:val="center"/>
          </w:tcPr>
          <w:p w14:paraId="11A9D6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B9E21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签名用印-执法电子签章-非税签名验签系统-中央集群加日志审计模块</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81168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1、支持多设备相互热备，同时提供自动回切、热备分组、配置同步等功能。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2、可以通过配合Unitrust Load Director负载均衡服务器实现集群负载均衡。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3、可以将签名验签设备注册到中央集群管理服务器.管理员可以通过中央集群管理服务器进行监控其他已注册设备的运行状态，同时能轻松统一管理站点证书、服务配置等。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4、支持签名验签日志审计服务器及SYSLOG协议的第三方日志设计服务器。</w:t>
            </w:r>
          </w:p>
        </w:tc>
      </w:tr>
      <w:tr w14:paraId="72262EA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DCAFC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1234</w:t>
            </w:r>
          </w:p>
        </w:tc>
        <w:tc>
          <w:tcPr>
            <w:tcW w:w="491" w:type="pct"/>
            <w:tcBorders>
              <w:top w:val="nil"/>
              <w:left w:val="nil"/>
              <w:bottom w:val="single" w:color="000000" w:sz="4" w:space="0"/>
              <w:right w:val="single" w:color="000000" w:sz="4" w:space="0"/>
            </w:tcBorders>
            <w:shd w:val="clear" w:color="auto" w:fill="auto"/>
            <w:vAlign w:val="center"/>
          </w:tcPr>
          <w:p w14:paraId="5F33C7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84D7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质量考评-效能评估-算法绘制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5941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依据需求，自绘制模型算法，利用慧治平台底座基础架构，慧治效能模型，以执法人员办案及时率、执法人员案件完成率等多维度设置。</w:t>
            </w:r>
          </w:p>
        </w:tc>
      </w:tr>
      <w:tr w14:paraId="58F605C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DD92F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1235</w:t>
            </w:r>
          </w:p>
        </w:tc>
        <w:tc>
          <w:tcPr>
            <w:tcW w:w="491" w:type="pct"/>
            <w:tcBorders>
              <w:top w:val="nil"/>
              <w:left w:val="nil"/>
              <w:bottom w:val="single" w:color="000000" w:sz="4" w:space="0"/>
              <w:right w:val="single" w:color="000000" w:sz="4" w:space="0"/>
            </w:tcBorders>
            <w:shd w:val="clear" w:color="auto" w:fill="auto"/>
            <w:vAlign w:val="center"/>
          </w:tcPr>
          <w:p w14:paraId="4FFAC3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1D63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质量考评-效能评估-权重配置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C8943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指标体系各级指标项的初始权重通过德尔菲打分法计算，多维度计算，权重配置。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79C225B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48C3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1236</w:t>
            </w:r>
          </w:p>
        </w:tc>
        <w:tc>
          <w:tcPr>
            <w:tcW w:w="491" w:type="pct"/>
            <w:tcBorders>
              <w:top w:val="nil"/>
              <w:left w:val="nil"/>
              <w:bottom w:val="single" w:color="000000" w:sz="4" w:space="0"/>
              <w:right w:val="single" w:color="000000" w:sz="4" w:space="0"/>
            </w:tcBorders>
            <w:shd w:val="clear" w:color="auto" w:fill="auto"/>
            <w:vAlign w:val="center"/>
          </w:tcPr>
          <w:p w14:paraId="0F8ED8F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255F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质量考评-效能评估-执法人员绩效评估考核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CDBC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定期进行绩效评估分析，根据绩效评估指标进行数据汇总处理，依据评估模型生成绩效评估分析报告。</w:t>
            </w:r>
          </w:p>
        </w:tc>
      </w:tr>
      <w:tr w14:paraId="3CCC362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82DDD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1237</w:t>
            </w:r>
          </w:p>
        </w:tc>
        <w:tc>
          <w:tcPr>
            <w:tcW w:w="491" w:type="pct"/>
            <w:tcBorders>
              <w:top w:val="nil"/>
              <w:left w:val="nil"/>
              <w:bottom w:val="single" w:color="000000" w:sz="4" w:space="0"/>
              <w:right w:val="single" w:color="000000" w:sz="4" w:space="0"/>
            </w:tcBorders>
            <w:shd w:val="clear" w:color="auto" w:fill="auto"/>
            <w:vAlign w:val="center"/>
          </w:tcPr>
          <w:p w14:paraId="028FF5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B87C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质量考评-评估申报及审批-集体评估申报添加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B8F8A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对每个项目选择案号，填写申报分值。</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申报界面每添加一条个案记录，报表自动汇总该案件对应的案件号、案件名称、结案时间、适用条款、罚没金额、办案所队等信息。不用参评单位再手工输入。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“总分值”“项目分值”会依据“核准分值”自动调整。有上下限分值要求的，达到上下限后，“项目分值”不予变动。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共计25个项目，每个项目查询搜索条件依据业务场景配置不同，每项加减分系统自动计算，累计加减分系统自动限制，预测分值系统评估等。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每个项目集中提醒，案件管辖，期限管理，强制措施，涉案物品，列严管理，错案控制，国家赔偿，专案查办，行刑衔接，闭环处置，关联案件，首次适用，重要类型，公平竞争，维护稳定，重大影响，示范引领采用多条件查询案件导入，导入条件依据业务场景不同进行公共查询与个性查询条件配置，公共查询含案件名称，适用程序，结案时间，违法行为等，案件管辖、督办案件系统匹配操作，自动计算加减分值，期限管理，执行管理、处罚公示、减费降负按规则系统自动计算案件数及分值，数字执法、廉洁办案、人才培养支持在线编辑器撰写内容上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提供修改与删除申报功能。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1AB150D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458C8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1238</w:t>
            </w:r>
          </w:p>
        </w:tc>
        <w:tc>
          <w:tcPr>
            <w:tcW w:w="491" w:type="pct"/>
            <w:tcBorders>
              <w:top w:val="nil"/>
              <w:left w:val="nil"/>
              <w:bottom w:val="single" w:color="000000" w:sz="4" w:space="0"/>
              <w:right w:val="single" w:color="000000" w:sz="4" w:space="0"/>
            </w:tcBorders>
            <w:shd w:val="clear" w:color="auto" w:fill="auto"/>
            <w:vAlign w:val="center"/>
          </w:tcPr>
          <w:p w14:paraId="642C9F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EFBAB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质量考评-评估申报及审批-集体评估汇总审核</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F706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汇总编辑审核功能，汇总每个所/队是否上报及上报详细情况，得到总预测分值及项目分值，同时人工采集编辑器撰写内容项目，确认后上报审核。</w:t>
            </w:r>
          </w:p>
        </w:tc>
      </w:tr>
      <w:tr w14:paraId="0CE2890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F76E9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1239</w:t>
            </w:r>
          </w:p>
        </w:tc>
        <w:tc>
          <w:tcPr>
            <w:tcW w:w="491" w:type="pct"/>
            <w:tcBorders>
              <w:top w:val="nil"/>
              <w:left w:val="nil"/>
              <w:bottom w:val="single" w:color="000000" w:sz="4" w:space="0"/>
              <w:right w:val="single" w:color="000000" w:sz="4" w:space="0"/>
            </w:tcBorders>
            <w:shd w:val="clear" w:color="auto" w:fill="auto"/>
            <w:vAlign w:val="center"/>
          </w:tcPr>
          <w:p w14:paraId="2FDE14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C4BE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质量考评-评估申报及审批-集体评估汇总申诉</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7D2CB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市局核准后，反馈给各区队，在规定时间内完成各项目申诉，重新经过审核审批提交至市局再次核准，系统申诉记录留痕处理。</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若超过规定期限，视为无申诉，系统自动结束申诉。</w:t>
            </w:r>
          </w:p>
        </w:tc>
      </w:tr>
      <w:tr w14:paraId="53CA36E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AF21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1240</w:t>
            </w:r>
          </w:p>
        </w:tc>
        <w:tc>
          <w:tcPr>
            <w:tcW w:w="491" w:type="pct"/>
            <w:tcBorders>
              <w:top w:val="nil"/>
              <w:left w:val="nil"/>
              <w:bottom w:val="single" w:color="000000" w:sz="4" w:space="0"/>
              <w:right w:val="single" w:color="000000" w:sz="4" w:space="0"/>
            </w:tcBorders>
            <w:shd w:val="clear" w:color="auto" w:fill="auto"/>
            <w:vAlign w:val="center"/>
          </w:tcPr>
          <w:p w14:paraId="7EAE2D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219D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质量考评-评估申报及审批-个体评估申报添加</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AAA0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各参评单位进入个体评估子模块后，可以通过查询的方式，在本单位下属部门与人员名单中，选定本次拟选定申报的所、队或个人。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经选定，系统生成个体基础数据，即汇总该所、队、人上一年度办结案件数、罚没款、办案周期、长期未结案数等数据，并生成办结案件的明细表。明细表中包含案件号、案件名称、结案时间、适用条款、罚没金额、执行金额。</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在系统自动生成个体基础数据的基础上，以编辑器工具支持文件内容编写,下增推荐理由撰写界面，即文字输入推荐详细理由（800字以内）。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自模块自动根据个体基础数据与推荐理由，生成个体的申报文本材料。确认后，线上推送到市局竞争处。</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具体详见方案。</w:t>
            </w:r>
          </w:p>
        </w:tc>
      </w:tr>
      <w:tr w14:paraId="4789311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AA5B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1241</w:t>
            </w:r>
          </w:p>
        </w:tc>
        <w:tc>
          <w:tcPr>
            <w:tcW w:w="491" w:type="pct"/>
            <w:tcBorders>
              <w:top w:val="nil"/>
              <w:left w:val="nil"/>
              <w:bottom w:val="single" w:color="000000" w:sz="4" w:space="0"/>
              <w:right w:val="single" w:color="000000" w:sz="4" w:space="0"/>
            </w:tcBorders>
            <w:shd w:val="clear" w:color="auto" w:fill="auto"/>
            <w:vAlign w:val="center"/>
          </w:tcPr>
          <w:p w14:paraId="1583F2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20CEE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质量考评-评估申报及审批-评估申报审批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3619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该功能由各参评单位使用。运用自动化执法评估模块，自每年根据填报配置时间开展年度集中申报。申报结束后，申报功能自动关闭，只保留预览的功能。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部门负责人、区局业务处室负责人及相关局领导进行评估申报查看及审批，支持退回重报等，25项目详情列表展示及预测分值展示。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71E3CB0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2DC2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1242</w:t>
            </w:r>
          </w:p>
        </w:tc>
        <w:tc>
          <w:tcPr>
            <w:tcW w:w="491" w:type="pct"/>
            <w:tcBorders>
              <w:top w:val="nil"/>
              <w:left w:val="nil"/>
              <w:bottom w:val="single" w:color="000000" w:sz="4" w:space="0"/>
              <w:right w:val="single" w:color="000000" w:sz="4" w:space="0"/>
            </w:tcBorders>
            <w:shd w:val="clear" w:color="auto" w:fill="auto"/>
            <w:vAlign w:val="center"/>
          </w:tcPr>
          <w:p w14:paraId="779B1F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52421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质量考评-评估申报及审批-市局核准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62844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市局核准25项目，对每项目每条数据申报的分值进行核准，记录每项目每条数据“核准分值”，系统自动计划分值，设置申诉期限提交反馈或上报领导。</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支持多次核准，系统留痕处理。</w:t>
            </w:r>
          </w:p>
        </w:tc>
      </w:tr>
      <w:tr w14:paraId="55E4302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F1B1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1243</w:t>
            </w:r>
          </w:p>
        </w:tc>
        <w:tc>
          <w:tcPr>
            <w:tcW w:w="491" w:type="pct"/>
            <w:tcBorders>
              <w:top w:val="nil"/>
              <w:left w:val="nil"/>
              <w:bottom w:val="single" w:color="000000" w:sz="4" w:space="0"/>
              <w:right w:val="single" w:color="000000" w:sz="4" w:space="0"/>
            </w:tcBorders>
            <w:shd w:val="clear" w:color="auto" w:fill="auto"/>
            <w:vAlign w:val="center"/>
          </w:tcPr>
          <w:p w14:paraId="353263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249D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质量考评-评估申报及审批-业务会审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CBA65E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审核各参评单位提交的整体报表。对上报的所有申报记录进行核准。对于需要调整分值的申报记录，在“核准分值”中予以修改；对于不予认可的申报记录，在“核准分值”中归零，并填写“核准意见”。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“总分值”“项目分值”会依据“核准分值”自动调整。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利用评估情况报告表中业务领域筛选条线情况查看会审。</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64EC085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18FF5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1244</w:t>
            </w:r>
          </w:p>
        </w:tc>
        <w:tc>
          <w:tcPr>
            <w:tcW w:w="491" w:type="pct"/>
            <w:tcBorders>
              <w:top w:val="nil"/>
              <w:left w:val="nil"/>
              <w:bottom w:val="single" w:color="000000" w:sz="4" w:space="0"/>
              <w:right w:val="single" w:color="000000" w:sz="4" w:space="0"/>
            </w:tcBorders>
            <w:shd w:val="clear" w:color="auto" w:fill="auto"/>
            <w:vAlign w:val="center"/>
          </w:tcPr>
          <w:p w14:paraId="1008BA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9E29B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质量考评-查询统计-评估查询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72EC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评估查询：提供多条件查询，不同角色查询列表不同，年度、单位等条件查询各办案单位申报评估总体与详情情况。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评估情况汇总表统计：年度执法办案质量评估情况汇总表，依据审核与会审意见，在模块中，在不删除参评单位申报记录的基础上，调整相关申报记录，输入调整理由，形成最终报表，体现最终得分。评估对象总体得分排名展示，有无效申报及申报成功率展示，支持25个项目单独得分及排名展示，实现年度情况汇总，支持在线导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评估情况报告表统计：年度执法办案质量评估报告详细表，25个项目总体情况展示及详情情况展示，含业务领域，案件号，案件名称，结案时间，适用条款，罚没金额、申报分值，核准分值等列表展示，支持在线导出。</w:t>
            </w:r>
          </w:p>
        </w:tc>
      </w:tr>
      <w:tr w14:paraId="33F3940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E08F27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1245</w:t>
            </w:r>
          </w:p>
        </w:tc>
        <w:tc>
          <w:tcPr>
            <w:tcW w:w="491" w:type="pct"/>
            <w:tcBorders>
              <w:top w:val="nil"/>
              <w:left w:val="nil"/>
              <w:bottom w:val="single" w:color="000000" w:sz="4" w:space="0"/>
              <w:right w:val="single" w:color="000000" w:sz="4" w:space="0"/>
            </w:tcBorders>
            <w:shd w:val="clear" w:color="auto" w:fill="auto"/>
            <w:vAlign w:val="center"/>
          </w:tcPr>
          <w:p w14:paraId="484B42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4AF4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质量考评-业务配置-填报时间配置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8F7E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配置每年度申报开始与申报截至日期，配置完成后，申报入口自动匹配提醒，如果配置不更新，次年按原有配置执行。</w:t>
            </w:r>
          </w:p>
        </w:tc>
      </w:tr>
      <w:tr w14:paraId="30F15EE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2822F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1246</w:t>
            </w:r>
          </w:p>
        </w:tc>
        <w:tc>
          <w:tcPr>
            <w:tcW w:w="491" w:type="pct"/>
            <w:tcBorders>
              <w:top w:val="nil"/>
              <w:left w:val="nil"/>
              <w:bottom w:val="single" w:color="000000" w:sz="4" w:space="0"/>
              <w:right w:val="single" w:color="000000" w:sz="4" w:space="0"/>
            </w:tcBorders>
            <w:shd w:val="clear" w:color="auto" w:fill="auto"/>
            <w:vAlign w:val="center"/>
          </w:tcPr>
          <w:p w14:paraId="777096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57F8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质量考评-业务配置-执法强度基准配置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EC93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配置每年各评估对象基准分值，可一键复制上一年度数据，辅助配置，如果配置不更新，次年按原有配置执行。</w:t>
            </w:r>
          </w:p>
        </w:tc>
      </w:tr>
      <w:tr w14:paraId="5D39BCE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D280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1247</w:t>
            </w:r>
          </w:p>
        </w:tc>
        <w:tc>
          <w:tcPr>
            <w:tcW w:w="491" w:type="pct"/>
            <w:tcBorders>
              <w:top w:val="nil"/>
              <w:left w:val="nil"/>
              <w:bottom w:val="single" w:color="000000" w:sz="4" w:space="0"/>
              <w:right w:val="single" w:color="000000" w:sz="4" w:space="0"/>
            </w:tcBorders>
            <w:shd w:val="clear" w:color="auto" w:fill="auto"/>
            <w:vAlign w:val="center"/>
          </w:tcPr>
          <w:p w14:paraId="449F9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AB026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质量考评-业务配置-督办件登记导入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2C651B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督办件登记导入功能，系统提供操作指南，包括模板下载上传文件，预览上传数据列表，含文号、办案机关、审批日期、批复名称等，执行导入，成功提醒等功能，完成督办件登记导入。</w:t>
            </w:r>
          </w:p>
        </w:tc>
      </w:tr>
      <w:tr w14:paraId="7254A3F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1111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1248</w:t>
            </w:r>
          </w:p>
        </w:tc>
        <w:tc>
          <w:tcPr>
            <w:tcW w:w="491" w:type="pct"/>
            <w:tcBorders>
              <w:top w:val="nil"/>
              <w:left w:val="nil"/>
              <w:bottom w:val="single" w:color="000000" w:sz="4" w:space="0"/>
              <w:right w:val="single" w:color="000000" w:sz="4" w:space="0"/>
            </w:tcBorders>
            <w:shd w:val="clear" w:color="auto" w:fill="auto"/>
            <w:vAlign w:val="center"/>
          </w:tcPr>
          <w:p w14:paraId="28E8D44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23E62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质量考评-业务配置-交办管辖登记导入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4161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交办管辖登记导入功能，系统提供操作指南，包括模板下载上传文件，预览上传数据列表，执行导入，成功提醒等功能，完成交办管辖登记导入。</w:t>
            </w:r>
          </w:p>
        </w:tc>
      </w:tr>
      <w:tr w14:paraId="122D7E7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223F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1249</w:t>
            </w:r>
          </w:p>
        </w:tc>
        <w:tc>
          <w:tcPr>
            <w:tcW w:w="491" w:type="pct"/>
            <w:tcBorders>
              <w:top w:val="nil"/>
              <w:left w:val="nil"/>
              <w:bottom w:val="single" w:color="000000" w:sz="4" w:space="0"/>
              <w:right w:val="single" w:color="000000" w:sz="4" w:space="0"/>
            </w:tcBorders>
            <w:shd w:val="clear" w:color="auto" w:fill="auto"/>
            <w:vAlign w:val="center"/>
          </w:tcPr>
          <w:p w14:paraId="20D8A7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9980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质量考评-业务配置-自绘算法</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5F63A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依据需求，自绘制模型算法，利用慧治平台底座基础架构，慧治评查模型，评查标准配置，满足业务需求。</w:t>
            </w:r>
          </w:p>
        </w:tc>
      </w:tr>
      <w:tr w14:paraId="2C9E92F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659342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1250</w:t>
            </w:r>
          </w:p>
        </w:tc>
        <w:tc>
          <w:tcPr>
            <w:tcW w:w="491" w:type="pct"/>
            <w:tcBorders>
              <w:top w:val="nil"/>
              <w:left w:val="nil"/>
              <w:bottom w:val="single" w:color="000000" w:sz="4" w:space="0"/>
              <w:right w:val="single" w:color="000000" w:sz="4" w:space="0"/>
            </w:tcBorders>
            <w:shd w:val="clear" w:color="auto" w:fill="auto"/>
            <w:vAlign w:val="center"/>
          </w:tcPr>
          <w:p w14:paraId="5733B5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5BB8C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质量考评-全景展示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1145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市/区/所队纵向，全业务领域横向，纵横交错展示。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管理展示，过程管理，多面性的展示，纵横交错，广告，食品等业务条线，市区所等执法过程期限管理，调用期限配置，实现线索立案，立案决定，调查实施，暂停延期，结案等过程办件情况展示，统一对接到市局管理工作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与市局工作台统一集成对接。</w:t>
            </w:r>
          </w:p>
        </w:tc>
      </w:tr>
      <w:tr w14:paraId="2FD8009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A79F9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1251</w:t>
            </w:r>
          </w:p>
        </w:tc>
        <w:tc>
          <w:tcPr>
            <w:tcW w:w="491" w:type="pct"/>
            <w:tcBorders>
              <w:top w:val="nil"/>
              <w:left w:val="nil"/>
              <w:bottom w:val="single" w:color="000000" w:sz="4" w:space="0"/>
              <w:right w:val="single" w:color="000000" w:sz="4" w:space="0"/>
            </w:tcBorders>
            <w:shd w:val="clear" w:color="auto" w:fill="auto"/>
            <w:vAlign w:val="center"/>
          </w:tcPr>
          <w:p w14:paraId="1462E5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0F8FE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质量考评-过程管理-期限管理配置调整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56E6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实现一般程序案件、批量程序案件的线索办理时限、案件办理时限、公示时限、强制措施时限、听证告知期限、处罚决定送达告知、责令改正通知等时限调整。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配置包含线索办理时限（暂停，延期）、案件办理时限（暂停，延期）、强制措施（延长、解除）、公示时限、听证告知、处罚决定送达告知、责令改正通知（仅常驻代表机构吊证案件有）。</w:t>
            </w:r>
          </w:p>
        </w:tc>
      </w:tr>
      <w:tr w14:paraId="3E9074B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C9ACE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1252</w:t>
            </w:r>
          </w:p>
        </w:tc>
        <w:tc>
          <w:tcPr>
            <w:tcW w:w="491" w:type="pct"/>
            <w:tcBorders>
              <w:top w:val="nil"/>
              <w:left w:val="nil"/>
              <w:bottom w:val="single" w:color="000000" w:sz="4" w:space="0"/>
              <w:right w:val="single" w:color="000000" w:sz="4" w:space="0"/>
            </w:tcBorders>
            <w:shd w:val="clear" w:color="auto" w:fill="auto"/>
            <w:vAlign w:val="center"/>
          </w:tcPr>
          <w:p w14:paraId="29E5BA0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D1F1C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质量考评-过程管理-期限管理时限预警模型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8E7E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创建时限预警模型，根据配置的期限，实现各业务环节预警功能。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依据期限配置，在案件办理过程中，实现期限预测，线索处理、案件办理期限、送达期限、执行期限等的期限预警预测能力。</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线索办理时限、案件办理时限、公示时限、强制措施时限、听证告知、处罚决定送达告知、常驻代表机构吊证案件责令改正通知时限，多环节业务时限暂停、时间延期等多复杂业务场景时，利用期限算法模型，实现案件时限预警。</w:t>
            </w:r>
          </w:p>
        </w:tc>
      </w:tr>
      <w:tr w14:paraId="325CC50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DB60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1253</w:t>
            </w:r>
          </w:p>
        </w:tc>
        <w:tc>
          <w:tcPr>
            <w:tcW w:w="491" w:type="pct"/>
            <w:tcBorders>
              <w:top w:val="nil"/>
              <w:left w:val="nil"/>
              <w:bottom w:val="single" w:color="000000" w:sz="4" w:space="0"/>
              <w:right w:val="single" w:color="000000" w:sz="4" w:space="0"/>
            </w:tcBorders>
            <w:shd w:val="clear" w:color="auto" w:fill="auto"/>
            <w:vAlign w:val="center"/>
          </w:tcPr>
          <w:p w14:paraId="692193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831D76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质量考评-过程管理-提示提醒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226A8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依据过程管理规则，配置触发条件，提示内容，提示方式，如短信，邮件等方式。</w:t>
            </w:r>
          </w:p>
        </w:tc>
      </w:tr>
      <w:tr w14:paraId="01888F4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BFEB8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1254</w:t>
            </w:r>
          </w:p>
        </w:tc>
        <w:tc>
          <w:tcPr>
            <w:tcW w:w="491" w:type="pct"/>
            <w:tcBorders>
              <w:top w:val="nil"/>
              <w:left w:val="nil"/>
              <w:bottom w:val="single" w:color="000000" w:sz="4" w:space="0"/>
              <w:right w:val="single" w:color="000000" w:sz="4" w:space="0"/>
            </w:tcBorders>
            <w:shd w:val="clear" w:color="auto" w:fill="auto"/>
            <w:vAlign w:val="center"/>
          </w:tcPr>
          <w:p w14:paraId="65E646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E2E36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质量考评-趋势预判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DCFA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分类案件数量与罚没款走势：按业务领域、业务分类等，计算案件数量与罚没款走势分析。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罚没款偏离均值预警：罚没款偏离均值预警，利用模型分析技术，分析该类案件偏离警示。</w:t>
            </w:r>
          </w:p>
        </w:tc>
      </w:tr>
      <w:tr w14:paraId="5B3FF66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EDF3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1255</w:t>
            </w:r>
          </w:p>
        </w:tc>
        <w:tc>
          <w:tcPr>
            <w:tcW w:w="491" w:type="pct"/>
            <w:tcBorders>
              <w:top w:val="nil"/>
              <w:left w:val="nil"/>
              <w:bottom w:val="single" w:color="000000" w:sz="4" w:space="0"/>
              <w:right w:val="single" w:color="000000" w:sz="4" w:space="0"/>
            </w:tcBorders>
            <w:shd w:val="clear" w:color="auto" w:fill="auto"/>
            <w:vAlign w:val="center"/>
          </w:tcPr>
          <w:p w14:paraId="39AA465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45914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规范管理-标签管理-标签管理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727D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实现对标签信息的新增，实现个性化标签配置、多维度标签管理功能，同时标签赋予各个功能标签标注，实现随标随打功能，在执法、查询等业务办理时具体体现。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自定义设置标签，个性化标签配置。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通过监管标签实现对业态相同、行业相同、规模相同等因素分类。</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打破传统功能操作方式，便捷操作。</w:t>
            </w:r>
          </w:p>
        </w:tc>
      </w:tr>
      <w:tr w14:paraId="2B31E99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FDBDD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1256</w:t>
            </w:r>
          </w:p>
        </w:tc>
        <w:tc>
          <w:tcPr>
            <w:tcW w:w="491" w:type="pct"/>
            <w:tcBorders>
              <w:top w:val="nil"/>
              <w:left w:val="nil"/>
              <w:bottom w:val="single" w:color="000000" w:sz="4" w:space="0"/>
              <w:right w:val="single" w:color="000000" w:sz="4" w:space="0"/>
            </w:tcBorders>
            <w:shd w:val="clear" w:color="auto" w:fill="auto"/>
            <w:vAlign w:val="center"/>
          </w:tcPr>
          <w:p w14:paraId="70DABC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75BF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规范管理-标签管理-标签智能标注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A43EE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标签智能标注：自动标签标注，通过智能辅助工具，实现对各类执法的自动标签标注功能，标签辅助标注功能，同时提供纠正标注功能。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标签人工标注：通过监管标签实现对种类案件，等因素类似监管对象的分类，实现执法标签直播营销、涉医美、长江禁鱼等标签标记，实现人工标记。</w:t>
            </w:r>
          </w:p>
        </w:tc>
      </w:tr>
      <w:tr w14:paraId="2AB2F22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4DB2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1257</w:t>
            </w:r>
          </w:p>
        </w:tc>
        <w:tc>
          <w:tcPr>
            <w:tcW w:w="491" w:type="pct"/>
            <w:tcBorders>
              <w:top w:val="nil"/>
              <w:left w:val="nil"/>
              <w:bottom w:val="single" w:color="000000" w:sz="4" w:space="0"/>
              <w:right w:val="single" w:color="000000" w:sz="4" w:space="0"/>
            </w:tcBorders>
            <w:shd w:val="clear" w:color="auto" w:fill="auto"/>
            <w:vAlign w:val="center"/>
          </w:tcPr>
          <w:p w14:paraId="56F9AEB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3B069E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规范管理-涉案物品-强制措施涉案物品纳入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DB074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强制措施涉案物品录入，录入物品情况，物品名称，场所，单位，数量等，记录保管责任人情况。</w:t>
            </w:r>
          </w:p>
        </w:tc>
      </w:tr>
      <w:tr w14:paraId="07B7830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E00A7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1258</w:t>
            </w:r>
          </w:p>
        </w:tc>
        <w:tc>
          <w:tcPr>
            <w:tcW w:w="491" w:type="pct"/>
            <w:tcBorders>
              <w:top w:val="nil"/>
              <w:left w:val="nil"/>
              <w:bottom w:val="single" w:color="000000" w:sz="4" w:space="0"/>
              <w:right w:val="single" w:color="000000" w:sz="4" w:space="0"/>
            </w:tcBorders>
            <w:shd w:val="clear" w:color="auto" w:fill="auto"/>
            <w:vAlign w:val="center"/>
          </w:tcPr>
          <w:p w14:paraId="6A1FD6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82F9E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规范管理-涉案物品-物品保管责任人管理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BB264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物品仓库管理，处理所在物品情况，没收、拍卖、销毁等，自动计算物品数量等。</w:t>
            </w:r>
          </w:p>
        </w:tc>
      </w:tr>
      <w:tr w14:paraId="4F474D7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2B51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1259</w:t>
            </w:r>
          </w:p>
        </w:tc>
        <w:tc>
          <w:tcPr>
            <w:tcW w:w="491" w:type="pct"/>
            <w:tcBorders>
              <w:top w:val="nil"/>
              <w:left w:val="nil"/>
              <w:bottom w:val="single" w:color="000000" w:sz="4" w:space="0"/>
              <w:right w:val="single" w:color="000000" w:sz="4" w:space="0"/>
            </w:tcBorders>
            <w:shd w:val="clear" w:color="auto" w:fill="auto"/>
            <w:vAlign w:val="center"/>
          </w:tcPr>
          <w:p w14:paraId="66EB3B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96096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规范管理-涉案物品-没收物品处置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98C1D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没收物品处置环节，直接没收物品情况，实现物品处理。</w:t>
            </w:r>
          </w:p>
        </w:tc>
      </w:tr>
      <w:tr w14:paraId="2F89C2E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D72AD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1260</w:t>
            </w:r>
          </w:p>
        </w:tc>
        <w:tc>
          <w:tcPr>
            <w:tcW w:w="491" w:type="pct"/>
            <w:tcBorders>
              <w:top w:val="nil"/>
              <w:left w:val="nil"/>
              <w:bottom w:val="single" w:color="000000" w:sz="4" w:space="0"/>
              <w:right w:val="single" w:color="000000" w:sz="4" w:space="0"/>
            </w:tcBorders>
            <w:shd w:val="clear" w:color="auto" w:fill="auto"/>
            <w:vAlign w:val="center"/>
          </w:tcPr>
          <w:p w14:paraId="337A1C8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A604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规范管理-涉案物品-拍卖物品处置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20B1D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拍卖物品处置环节，拍卖审批通过后，对记录物品处置情况，物品仓库中心自动计算，清整。</w:t>
            </w:r>
          </w:p>
        </w:tc>
      </w:tr>
      <w:tr w14:paraId="02E1F64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306217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1261</w:t>
            </w:r>
          </w:p>
        </w:tc>
        <w:tc>
          <w:tcPr>
            <w:tcW w:w="491" w:type="pct"/>
            <w:tcBorders>
              <w:top w:val="nil"/>
              <w:left w:val="nil"/>
              <w:bottom w:val="single" w:color="000000" w:sz="4" w:space="0"/>
              <w:right w:val="single" w:color="000000" w:sz="4" w:space="0"/>
            </w:tcBorders>
            <w:shd w:val="clear" w:color="auto" w:fill="auto"/>
            <w:vAlign w:val="center"/>
          </w:tcPr>
          <w:p w14:paraId="2D3E58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BDCB0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规范管理-涉案物品-销毁物品处置</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5E90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销毁物品处置环节，销毁审批通过后，对记录物品处置情况，物品仓库中心自动计算，清整。</w:t>
            </w:r>
          </w:p>
        </w:tc>
      </w:tr>
      <w:tr w14:paraId="1D14EA9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B1AD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1262</w:t>
            </w:r>
          </w:p>
        </w:tc>
        <w:tc>
          <w:tcPr>
            <w:tcW w:w="491" w:type="pct"/>
            <w:tcBorders>
              <w:top w:val="nil"/>
              <w:left w:val="nil"/>
              <w:bottom w:val="single" w:color="000000" w:sz="4" w:space="0"/>
              <w:right w:val="single" w:color="000000" w:sz="4" w:space="0"/>
            </w:tcBorders>
            <w:shd w:val="clear" w:color="auto" w:fill="auto"/>
            <w:vAlign w:val="center"/>
          </w:tcPr>
          <w:p w14:paraId="086476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298AF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规范管理-涉案物品-结案查验物品处理情况提醒</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C5D1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案件结案时，如果有物资未及时处理的，查验物品处理情况。</w:t>
            </w:r>
          </w:p>
        </w:tc>
      </w:tr>
      <w:tr w14:paraId="06B63D4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777D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1263</w:t>
            </w:r>
          </w:p>
        </w:tc>
        <w:tc>
          <w:tcPr>
            <w:tcW w:w="491" w:type="pct"/>
            <w:tcBorders>
              <w:top w:val="nil"/>
              <w:left w:val="nil"/>
              <w:bottom w:val="single" w:color="000000" w:sz="4" w:space="0"/>
              <w:right w:val="single" w:color="000000" w:sz="4" w:space="0"/>
            </w:tcBorders>
            <w:shd w:val="clear" w:color="auto" w:fill="auto"/>
            <w:vAlign w:val="center"/>
          </w:tcPr>
          <w:p w14:paraId="711619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7E97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规范管理-涉案物品-物品检索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3C6A5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多维度按人、按物、按案件，多条件检索。</w:t>
            </w:r>
          </w:p>
        </w:tc>
      </w:tr>
      <w:tr w14:paraId="03BFC37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59EC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1264</w:t>
            </w:r>
          </w:p>
        </w:tc>
        <w:tc>
          <w:tcPr>
            <w:tcW w:w="491" w:type="pct"/>
            <w:tcBorders>
              <w:top w:val="nil"/>
              <w:left w:val="nil"/>
              <w:bottom w:val="single" w:color="000000" w:sz="4" w:space="0"/>
              <w:right w:val="single" w:color="000000" w:sz="4" w:space="0"/>
            </w:tcBorders>
            <w:shd w:val="clear" w:color="auto" w:fill="auto"/>
            <w:vAlign w:val="center"/>
          </w:tcPr>
          <w:p w14:paraId="4CCE8E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B2F14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规范管理-行刑衔接-实现行刑衔接提示功能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829B98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根据总局要求，采用实时上报，业务协同，API技术接口对接。在行政处罚系统案件办理过程中，系统能对办案人员进行是否涉嫌犯罪需要移送司法机关的提示，由办案人员确认是否申请移送。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69A3806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EBB82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1265</w:t>
            </w:r>
          </w:p>
        </w:tc>
        <w:tc>
          <w:tcPr>
            <w:tcW w:w="491" w:type="pct"/>
            <w:tcBorders>
              <w:top w:val="nil"/>
              <w:left w:val="nil"/>
              <w:bottom w:val="single" w:color="000000" w:sz="4" w:space="0"/>
              <w:right w:val="single" w:color="000000" w:sz="4" w:space="0"/>
            </w:tcBorders>
            <w:shd w:val="clear" w:color="auto" w:fill="auto"/>
            <w:vAlign w:val="center"/>
          </w:tcPr>
          <w:p w14:paraId="2A98BDD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B8B61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规范管理-行刑衔接-实现行刑衔接审批功能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92EF6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根据总局要求，采用实时上报，业务协同，API技术接口对接。在行政处罚系统案件办理过程中，办案部门能在系统里对办案人员提出的移送司法机关申请进行审核和批准。</w:t>
            </w:r>
          </w:p>
        </w:tc>
      </w:tr>
      <w:tr w14:paraId="6BF3677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0811A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1266</w:t>
            </w:r>
          </w:p>
        </w:tc>
        <w:tc>
          <w:tcPr>
            <w:tcW w:w="491" w:type="pct"/>
            <w:tcBorders>
              <w:top w:val="nil"/>
              <w:left w:val="nil"/>
              <w:bottom w:val="single" w:color="000000" w:sz="4" w:space="0"/>
              <w:right w:val="single" w:color="000000" w:sz="4" w:space="0"/>
            </w:tcBorders>
            <w:shd w:val="clear" w:color="auto" w:fill="auto"/>
            <w:vAlign w:val="center"/>
          </w:tcPr>
          <w:p w14:paraId="33CF49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235CD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规范管理-行刑衔接-实现行刑衔接监督功能</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16EF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涉及行刑衔接的案件由行政处罚系统推送至行刑衔接管理部门和相关业务处室，对案件移送或不移送的结果进行监督，发现不符合法律法规要求的，可以启动办案部门重新复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56A8480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3D670F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1267</w:t>
            </w:r>
          </w:p>
        </w:tc>
        <w:tc>
          <w:tcPr>
            <w:tcW w:w="491" w:type="pct"/>
            <w:tcBorders>
              <w:top w:val="nil"/>
              <w:left w:val="nil"/>
              <w:bottom w:val="single" w:color="000000" w:sz="4" w:space="0"/>
              <w:right w:val="single" w:color="000000" w:sz="4" w:space="0"/>
            </w:tcBorders>
            <w:shd w:val="clear" w:color="auto" w:fill="auto"/>
            <w:vAlign w:val="center"/>
          </w:tcPr>
          <w:p w14:paraId="04B7A6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7AFA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规范管理-行刑衔接-实现行刑衔接违法标识更新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EDB7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根据总局要求，采用实时上报，业务协同，API技术接口对接。由业务处室在行政处罚系统中根据法律法规的更新，对系统违法行为标识进行更新。</w:t>
            </w:r>
          </w:p>
        </w:tc>
      </w:tr>
      <w:tr w14:paraId="4F4051A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DF6B1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1268</w:t>
            </w:r>
          </w:p>
        </w:tc>
        <w:tc>
          <w:tcPr>
            <w:tcW w:w="491" w:type="pct"/>
            <w:tcBorders>
              <w:top w:val="nil"/>
              <w:left w:val="nil"/>
              <w:bottom w:val="single" w:color="000000" w:sz="4" w:space="0"/>
              <w:right w:val="single" w:color="000000" w:sz="4" w:space="0"/>
            </w:tcBorders>
            <w:shd w:val="clear" w:color="auto" w:fill="auto"/>
            <w:vAlign w:val="center"/>
          </w:tcPr>
          <w:p w14:paraId="661D11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424E2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规范管理-行刑衔接-上传行刑衔接违材料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0169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责任科室接收行刑衔接的公安立案报告，办理结果，并将其上传至系统，作为补充材料，可以不归档。</w:t>
            </w:r>
          </w:p>
        </w:tc>
      </w:tr>
      <w:tr w14:paraId="5274EE6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189C0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1269</w:t>
            </w:r>
          </w:p>
        </w:tc>
        <w:tc>
          <w:tcPr>
            <w:tcW w:w="491" w:type="pct"/>
            <w:tcBorders>
              <w:top w:val="nil"/>
              <w:left w:val="nil"/>
              <w:bottom w:val="single" w:color="000000" w:sz="4" w:space="0"/>
              <w:right w:val="single" w:color="000000" w:sz="4" w:space="0"/>
            </w:tcBorders>
            <w:shd w:val="clear" w:color="auto" w:fill="auto"/>
            <w:vAlign w:val="center"/>
          </w:tcPr>
          <w:p w14:paraId="4CAE7F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54BA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规范管理-行刑衔接-行刑衔接提示模版管理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7646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系统提供行刑衔接匹配模型和算法功能，责任科室根据刑法等法规要求，针对案件类型（食品、知识产权）通过系统配置行政处罚案件转刑事案件规则、提示语。</w:t>
            </w:r>
          </w:p>
        </w:tc>
      </w:tr>
      <w:tr w14:paraId="3774FB1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EA3F0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1270</w:t>
            </w:r>
          </w:p>
        </w:tc>
        <w:tc>
          <w:tcPr>
            <w:tcW w:w="491" w:type="pct"/>
            <w:tcBorders>
              <w:top w:val="nil"/>
              <w:left w:val="nil"/>
              <w:bottom w:val="single" w:color="000000" w:sz="4" w:space="0"/>
              <w:right w:val="single" w:color="000000" w:sz="4" w:space="0"/>
            </w:tcBorders>
            <w:shd w:val="clear" w:color="auto" w:fill="auto"/>
            <w:vAlign w:val="center"/>
          </w:tcPr>
          <w:p w14:paraId="3781D5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AF8B6D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规范管理-我的关注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28B5C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重点关注：重点关注也是公开关注，在案件被关注后，会在办案人员端显示关注人。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保密关注：默默关注也是保密关注功能为在案件被关注后，不会在办案人员端显示关注人。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流程：市局的督办件在案件里面设施勾选，能查询到哪些案件属于督办案件（年度，案件状态，违法行为类型）；在督办案件的处罚告知和作出处罚决定前，跳出提示框，提醒承办人要向督办部门汇报案件情况；案件立案后每过三个月有提示框跳出，提醒承办人员注意办案进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多维检索：关注案件将在专门的案件关注板块展示，该板块有3个子版块，分别为默默关注板块、重点关注板块，被关注板块。分别展示自己相关的案件。</w:t>
            </w:r>
          </w:p>
        </w:tc>
      </w:tr>
      <w:tr w14:paraId="352B21A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D2A0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1271</w:t>
            </w:r>
          </w:p>
        </w:tc>
        <w:tc>
          <w:tcPr>
            <w:tcW w:w="491" w:type="pct"/>
            <w:tcBorders>
              <w:top w:val="nil"/>
              <w:left w:val="nil"/>
              <w:bottom w:val="single" w:color="000000" w:sz="4" w:space="0"/>
              <w:right w:val="single" w:color="000000" w:sz="4" w:space="0"/>
            </w:tcBorders>
            <w:shd w:val="clear" w:color="auto" w:fill="auto"/>
            <w:vAlign w:val="center"/>
          </w:tcPr>
          <w:p w14:paraId="345FFB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14B37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规范管理-送达管理-所有送达文书在线制作</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DA099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在线制作送达通知相关文书，在线签章及打印。</w:t>
            </w:r>
          </w:p>
        </w:tc>
      </w:tr>
      <w:tr w14:paraId="4343306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2B6AD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1272</w:t>
            </w:r>
          </w:p>
        </w:tc>
        <w:tc>
          <w:tcPr>
            <w:tcW w:w="491" w:type="pct"/>
            <w:tcBorders>
              <w:top w:val="nil"/>
              <w:left w:val="nil"/>
              <w:bottom w:val="single" w:color="000000" w:sz="4" w:space="0"/>
              <w:right w:val="single" w:color="000000" w:sz="4" w:space="0"/>
            </w:tcBorders>
            <w:shd w:val="clear" w:color="auto" w:fill="auto"/>
            <w:vAlign w:val="center"/>
          </w:tcPr>
          <w:p w14:paraId="452A08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8A04E0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规范管理-送达管理-线上送达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DE4D2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线上送达，直接线上送达。</w:t>
            </w:r>
          </w:p>
        </w:tc>
      </w:tr>
      <w:tr w14:paraId="3C0EF35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A3D7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1273</w:t>
            </w:r>
          </w:p>
        </w:tc>
        <w:tc>
          <w:tcPr>
            <w:tcW w:w="491" w:type="pct"/>
            <w:tcBorders>
              <w:top w:val="nil"/>
              <w:left w:val="nil"/>
              <w:bottom w:val="single" w:color="000000" w:sz="4" w:space="0"/>
              <w:right w:val="single" w:color="000000" w:sz="4" w:space="0"/>
            </w:tcBorders>
            <w:shd w:val="clear" w:color="auto" w:fill="auto"/>
            <w:vAlign w:val="center"/>
          </w:tcPr>
          <w:p w14:paraId="3F8390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57CB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规范管理-送达管理-送达地址管理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42936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对送达地址进行管理，线上与线下送达切换等。</w:t>
            </w:r>
          </w:p>
        </w:tc>
      </w:tr>
      <w:tr w14:paraId="4385339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996E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1274</w:t>
            </w:r>
          </w:p>
        </w:tc>
        <w:tc>
          <w:tcPr>
            <w:tcW w:w="491" w:type="pct"/>
            <w:tcBorders>
              <w:top w:val="nil"/>
              <w:left w:val="nil"/>
              <w:bottom w:val="single" w:color="000000" w:sz="4" w:space="0"/>
              <w:right w:val="single" w:color="000000" w:sz="4" w:space="0"/>
            </w:tcBorders>
            <w:shd w:val="clear" w:color="auto" w:fill="auto"/>
            <w:vAlign w:val="center"/>
          </w:tcPr>
          <w:p w14:paraId="2D2C2DB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2E1D0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规范管理-送达管理-送达签收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14C2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如线上送达未按规定时间进行签收的，及时转线下，本功能提醒及转办理。</w:t>
            </w:r>
          </w:p>
        </w:tc>
      </w:tr>
      <w:tr w14:paraId="1290C46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18F9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1275</w:t>
            </w:r>
          </w:p>
        </w:tc>
        <w:tc>
          <w:tcPr>
            <w:tcW w:w="491" w:type="pct"/>
            <w:tcBorders>
              <w:top w:val="nil"/>
              <w:left w:val="nil"/>
              <w:bottom w:val="single" w:color="000000" w:sz="4" w:space="0"/>
              <w:right w:val="single" w:color="000000" w:sz="4" w:space="0"/>
            </w:tcBorders>
            <w:shd w:val="clear" w:color="auto" w:fill="auto"/>
            <w:vAlign w:val="center"/>
          </w:tcPr>
          <w:p w14:paraId="2126A9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343CB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规范管理-送达管理-公告送达</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E8DD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针对找不到被执行人，需要通过公告方式完成送达操作。由责任科室发起公告送达申请，并经领导审核确认，之后执法人员通过将送达文书推送至网站，并通过网站进行展示。</w:t>
            </w:r>
          </w:p>
        </w:tc>
      </w:tr>
      <w:tr w14:paraId="6D0FBC0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CC7F1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1276</w:t>
            </w:r>
          </w:p>
        </w:tc>
        <w:tc>
          <w:tcPr>
            <w:tcW w:w="491" w:type="pct"/>
            <w:tcBorders>
              <w:top w:val="nil"/>
              <w:left w:val="nil"/>
              <w:bottom w:val="single" w:color="000000" w:sz="4" w:space="0"/>
              <w:right w:val="single" w:color="000000" w:sz="4" w:space="0"/>
            </w:tcBorders>
            <w:shd w:val="clear" w:color="auto" w:fill="auto"/>
            <w:vAlign w:val="center"/>
          </w:tcPr>
          <w:p w14:paraId="7E3441A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C6F1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规范管理-送达管理-多维检索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C2A47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检索所有送达文书，按文书、案件等情况检索。</w:t>
            </w:r>
          </w:p>
        </w:tc>
      </w:tr>
      <w:tr w14:paraId="5E0CEE6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FAD87F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1277</w:t>
            </w:r>
          </w:p>
        </w:tc>
        <w:tc>
          <w:tcPr>
            <w:tcW w:w="491" w:type="pct"/>
            <w:tcBorders>
              <w:top w:val="nil"/>
              <w:left w:val="nil"/>
              <w:bottom w:val="single" w:color="000000" w:sz="4" w:space="0"/>
              <w:right w:val="single" w:color="000000" w:sz="4" w:space="0"/>
            </w:tcBorders>
            <w:shd w:val="clear" w:color="auto" w:fill="auto"/>
            <w:vAlign w:val="center"/>
          </w:tcPr>
          <w:p w14:paraId="0F4557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240B4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规范管理-执行管理-缴纳罚款情况</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65F8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对全全额支付、分延期金额支付进行查看、管理。</w:t>
            </w:r>
          </w:p>
        </w:tc>
      </w:tr>
      <w:tr w14:paraId="48956E2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121C02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1278</w:t>
            </w:r>
          </w:p>
        </w:tc>
        <w:tc>
          <w:tcPr>
            <w:tcW w:w="491" w:type="pct"/>
            <w:tcBorders>
              <w:top w:val="nil"/>
              <w:left w:val="nil"/>
              <w:bottom w:val="single" w:color="000000" w:sz="4" w:space="0"/>
              <w:right w:val="single" w:color="000000" w:sz="4" w:space="0"/>
            </w:tcBorders>
            <w:shd w:val="clear" w:color="auto" w:fill="auto"/>
            <w:vAlign w:val="center"/>
          </w:tcPr>
          <w:p w14:paraId="76D471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F0003F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规范管理-执行管理-与上海非税收入管理信息系统对接-对接一般缴款获取缴款码接口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A5C57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对接该接口，通过此接口从非税系统获取一般缴款模式的缴款码。同一业务流水号不能重复获取缴款码。</w:t>
            </w:r>
          </w:p>
        </w:tc>
      </w:tr>
      <w:tr w14:paraId="367C394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7AF94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1279</w:t>
            </w:r>
          </w:p>
        </w:tc>
        <w:tc>
          <w:tcPr>
            <w:tcW w:w="491" w:type="pct"/>
            <w:tcBorders>
              <w:top w:val="nil"/>
              <w:left w:val="nil"/>
              <w:bottom w:val="single" w:color="000000" w:sz="4" w:space="0"/>
              <w:right w:val="single" w:color="000000" w:sz="4" w:space="0"/>
            </w:tcBorders>
            <w:shd w:val="clear" w:color="auto" w:fill="auto"/>
            <w:vAlign w:val="center"/>
          </w:tcPr>
          <w:p w14:paraId="15E787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5038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规范管理-执行管理-与上海非税收入管理信息系统对接-对接预开具电子缴款书信息提交接口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69A3F5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提交预开具的电子缴款书信息至非税系统。</w:t>
            </w:r>
          </w:p>
        </w:tc>
      </w:tr>
      <w:tr w14:paraId="738300CE">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AE48B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1280</w:t>
            </w:r>
          </w:p>
        </w:tc>
        <w:tc>
          <w:tcPr>
            <w:tcW w:w="491" w:type="pct"/>
            <w:tcBorders>
              <w:top w:val="nil"/>
              <w:left w:val="nil"/>
              <w:bottom w:val="single" w:color="000000" w:sz="4" w:space="0"/>
              <w:right w:val="single" w:color="000000" w:sz="4" w:space="0"/>
            </w:tcBorders>
            <w:shd w:val="clear" w:color="auto" w:fill="auto"/>
            <w:vAlign w:val="center"/>
          </w:tcPr>
          <w:p w14:paraId="77293C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FDEDD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规范管理-执行管理-与上海非税收入管理信息系统对接-对接缴费结果查询接口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9934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通过此接口查询电子缴款书的缴费状态。</w:t>
            </w:r>
          </w:p>
        </w:tc>
      </w:tr>
      <w:tr w14:paraId="7D482E4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C2E6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1281</w:t>
            </w:r>
          </w:p>
        </w:tc>
        <w:tc>
          <w:tcPr>
            <w:tcW w:w="491" w:type="pct"/>
            <w:tcBorders>
              <w:top w:val="nil"/>
              <w:left w:val="nil"/>
              <w:bottom w:val="single" w:color="000000" w:sz="4" w:space="0"/>
              <w:right w:val="single" w:color="000000" w:sz="4" w:space="0"/>
            </w:tcBorders>
            <w:shd w:val="clear" w:color="auto" w:fill="auto"/>
            <w:vAlign w:val="center"/>
          </w:tcPr>
          <w:p w14:paraId="670D07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ED76E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规范管理-执行管理-与上海非税收入管理信息系统对接-对接集中汇缴文件上传接口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5F684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上传集中汇缴开具的电子缴款书对应的现金收缴的票据信息。</w:t>
            </w:r>
          </w:p>
        </w:tc>
      </w:tr>
      <w:tr w14:paraId="71213C4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5251D5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1282</w:t>
            </w:r>
          </w:p>
        </w:tc>
        <w:tc>
          <w:tcPr>
            <w:tcW w:w="491" w:type="pct"/>
            <w:tcBorders>
              <w:top w:val="nil"/>
              <w:left w:val="nil"/>
              <w:bottom w:val="single" w:color="000000" w:sz="4" w:space="0"/>
              <w:right w:val="single" w:color="000000" w:sz="4" w:space="0"/>
            </w:tcBorders>
            <w:shd w:val="clear" w:color="auto" w:fill="auto"/>
            <w:vAlign w:val="center"/>
          </w:tcPr>
          <w:p w14:paraId="0BE32C4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52791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规范管理-执行管理-与上海非税收入管理信息系统对接-开发集中汇缴缴款码通知接收接口（单位业务系统提供）</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A10C9F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集中汇缴文件处理成功后，非税会将集中汇缴的缴款码及预开具电子缴款书相关的信息通过此接口通知单位业务系统。单位业务系统收到通知后可开具集中汇缴的电子缴款书。单位系统需要提供接收通知的服务地址。非税系统访问单位系统提供的通知接收接口时，如果单位业务系统接收失败，会间隔5 分钟再次通知，通知3 次后仍不成功，则不再通知。</w:t>
            </w:r>
          </w:p>
        </w:tc>
      </w:tr>
      <w:tr w14:paraId="59E5D51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1191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1283</w:t>
            </w:r>
          </w:p>
        </w:tc>
        <w:tc>
          <w:tcPr>
            <w:tcW w:w="491" w:type="pct"/>
            <w:tcBorders>
              <w:top w:val="nil"/>
              <w:left w:val="nil"/>
              <w:bottom w:val="single" w:color="000000" w:sz="4" w:space="0"/>
              <w:right w:val="single" w:color="000000" w:sz="4" w:space="0"/>
            </w:tcBorders>
            <w:shd w:val="clear" w:color="auto" w:fill="auto"/>
            <w:vAlign w:val="center"/>
          </w:tcPr>
          <w:p w14:paraId="74175A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EFF9B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规范管理-执行管理-与上海非税收入管理信息系统对接-对接集中汇缴缴款码查询接口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EB74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查询集中汇缴文件上件后的处理结果，并获取缴款码及预开具电子缴款书相关的信息。</w:t>
            </w:r>
          </w:p>
        </w:tc>
      </w:tr>
      <w:tr w14:paraId="45C00FE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2DEC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1284</w:t>
            </w:r>
          </w:p>
        </w:tc>
        <w:tc>
          <w:tcPr>
            <w:tcW w:w="491" w:type="pct"/>
            <w:tcBorders>
              <w:top w:val="nil"/>
              <w:left w:val="nil"/>
              <w:bottom w:val="single" w:color="000000" w:sz="4" w:space="0"/>
              <w:right w:val="single" w:color="000000" w:sz="4" w:space="0"/>
            </w:tcBorders>
            <w:shd w:val="clear" w:color="auto" w:fill="auto"/>
            <w:vAlign w:val="center"/>
          </w:tcPr>
          <w:p w14:paraId="39DE016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E830E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规范管理-执行管理-与上海非税收入管理信息系统对接-开发银行缴款成功通知接收接口（单位业务系统提供）</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AA98E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对于采用一般缴款模式的线下单位，缴款人在非税代理银行完成缴款后，非税系统会将缴款成功信息通知到单位系统，单位系统收到缴款成功通知后，需要调用单位开票管理器生成完整电子缴款书接口。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对于采用集中缴款模式的线下单位，执收单位缴款人在非税代理银行完成缴款后，非税系统将缴款成功信息通知到单位系统后，单位系统收到缴款成功通知后，不需要调用单位开票管理器生成完整电子缴款书接口。单位系统需要提供接收通知的服务地址。非税系统访问单位系统提供的通知接收接口时，如果单位业务系统接收失败，会间隔5 分钟再次通知，通知3 次后仍不成功，则不再通知。</w:t>
            </w:r>
          </w:p>
        </w:tc>
      </w:tr>
      <w:tr w14:paraId="53B6CB2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42F6D5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1285</w:t>
            </w:r>
          </w:p>
        </w:tc>
        <w:tc>
          <w:tcPr>
            <w:tcW w:w="491" w:type="pct"/>
            <w:tcBorders>
              <w:top w:val="nil"/>
              <w:left w:val="nil"/>
              <w:bottom w:val="single" w:color="000000" w:sz="4" w:space="0"/>
              <w:right w:val="single" w:color="000000" w:sz="4" w:space="0"/>
            </w:tcBorders>
            <w:shd w:val="clear" w:color="auto" w:fill="auto"/>
            <w:vAlign w:val="center"/>
          </w:tcPr>
          <w:p w14:paraId="5A8324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42510B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规范管理-执行管理-与上海非税收入管理信息系统对接-对接预开具的电子缴款书缴费信息废止接口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CFE52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单位系统从非税获取到的缴款码对应的缴费如果通过现金或移动支付进行了收缴，则执收单位可通过此接口将原缴款码进行废止，避免单位通过此缴款码去银行缴费，造成重复缴费的情况。</w:t>
            </w:r>
          </w:p>
        </w:tc>
      </w:tr>
      <w:tr w14:paraId="0ED502F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9B9C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1286</w:t>
            </w:r>
          </w:p>
        </w:tc>
        <w:tc>
          <w:tcPr>
            <w:tcW w:w="491" w:type="pct"/>
            <w:tcBorders>
              <w:top w:val="nil"/>
              <w:left w:val="nil"/>
              <w:bottom w:val="single" w:color="000000" w:sz="4" w:space="0"/>
              <w:right w:val="single" w:color="000000" w:sz="4" w:space="0"/>
            </w:tcBorders>
            <w:shd w:val="clear" w:color="auto" w:fill="auto"/>
            <w:vAlign w:val="center"/>
          </w:tcPr>
          <w:p w14:paraId="3AD8B9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75BED3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规范管理-执行管理-与上海非税收入管理信息系统对接-对接单位收费项目及标准档信息查询接口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A772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通过此接口可查询执收单位可开具的收费项目及收费标准档信息。</w:t>
            </w:r>
          </w:p>
        </w:tc>
      </w:tr>
      <w:tr w14:paraId="26CEE3F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CDFA1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1287</w:t>
            </w:r>
          </w:p>
        </w:tc>
        <w:tc>
          <w:tcPr>
            <w:tcW w:w="491" w:type="pct"/>
            <w:tcBorders>
              <w:top w:val="nil"/>
              <w:left w:val="nil"/>
              <w:bottom w:val="single" w:color="000000" w:sz="4" w:space="0"/>
              <w:right w:val="single" w:color="000000" w:sz="4" w:space="0"/>
            </w:tcBorders>
            <w:shd w:val="clear" w:color="auto" w:fill="auto"/>
            <w:vAlign w:val="center"/>
          </w:tcPr>
          <w:p w14:paraId="4A533B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2C6D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规范管理-执行管理-与上海非税收入管理信息系统对接-对接密钥（ACCESS_KEY）更新接口</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6E7D7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非税系统每个月1 号凌晨0 至1 点之间更新单位访问非税系统的密钥，单位系统需在每个月1 号的凌晨1 点后更新非税访问密钥。以便能够正常调用相关业务接口。</w:t>
            </w:r>
          </w:p>
        </w:tc>
      </w:tr>
      <w:tr w14:paraId="2158C66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A0C4F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1288</w:t>
            </w:r>
          </w:p>
        </w:tc>
        <w:tc>
          <w:tcPr>
            <w:tcW w:w="491" w:type="pct"/>
            <w:tcBorders>
              <w:top w:val="nil"/>
              <w:left w:val="nil"/>
              <w:bottom w:val="single" w:color="000000" w:sz="4" w:space="0"/>
              <w:right w:val="single" w:color="000000" w:sz="4" w:space="0"/>
            </w:tcBorders>
            <w:shd w:val="clear" w:color="auto" w:fill="auto"/>
            <w:vAlign w:val="center"/>
          </w:tcPr>
          <w:p w14:paraId="7565DE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01982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规范管理-执行管理-与“一网通办” 统一公共支付平台接口对接服务</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A3D6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单位系统完成与“一网通办” 统一公共支付平台的接口对接，对接的接口如下：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接口对接申请签名密钥 key</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支付接口（线上）</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支付接口（用户被扫）</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支付接口（微信、支付宝小程序）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订单撤销接口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退款接口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查询接口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消息通知接口（异步通知）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文件下载通知接口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文件上传接口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文件下载接口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票据文件处理结果通知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查询票据文件处理结果</w:t>
            </w:r>
          </w:p>
        </w:tc>
      </w:tr>
      <w:tr w14:paraId="4EC376D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5BF86E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1289</w:t>
            </w:r>
          </w:p>
        </w:tc>
        <w:tc>
          <w:tcPr>
            <w:tcW w:w="491" w:type="pct"/>
            <w:tcBorders>
              <w:top w:val="nil"/>
              <w:left w:val="nil"/>
              <w:bottom w:val="single" w:color="000000" w:sz="4" w:space="0"/>
              <w:right w:val="single" w:color="000000" w:sz="4" w:space="0"/>
            </w:tcBorders>
            <w:shd w:val="clear" w:color="auto" w:fill="auto"/>
            <w:vAlign w:val="center"/>
          </w:tcPr>
          <w:p w14:paraId="7FA6211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34FF7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规范管理-执行管理-开具电子缴款书</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DC662A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为线下送达缴纳罚款情况，预开具电子缴款书。</w:t>
            </w:r>
          </w:p>
        </w:tc>
      </w:tr>
      <w:tr w14:paraId="411508F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BB2C53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1290</w:t>
            </w:r>
          </w:p>
        </w:tc>
        <w:tc>
          <w:tcPr>
            <w:tcW w:w="491" w:type="pct"/>
            <w:tcBorders>
              <w:top w:val="nil"/>
              <w:left w:val="nil"/>
              <w:bottom w:val="single" w:color="000000" w:sz="4" w:space="0"/>
              <w:right w:val="single" w:color="000000" w:sz="4" w:space="0"/>
            </w:tcBorders>
            <w:shd w:val="clear" w:color="auto" w:fill="auto"/>
            <w:vAlign w:val="center"/>
          </w:tcPr>
          <w:p w14:paraId="544572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73ED63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规范管理-执行管理-分延期处理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0AC67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分延期审批，按审批流程处理办理，提供快捷办理入口；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分延期金额算法规则配置，分延期金额自动计算与推送等。</w:t>
            </w:r>
          </w:p>
        </w:tc>
      </w:tr>
      <w:tr w14:paraId="6275E6D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F04D75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1291</w:t>
            </w:r>
          </w:p>
        </w:tc>
        <w:tc>
          <w:tcPr>
            <w:tcW w:w="491" w:type="pct"/>
            <w:tcBorders>
              <w:top w:val="nil"/>
              <w:left w:val="nil"/>
              <w:bottom w:val="single" w:color="000000" w:sz="4" w:space="0"/>
              <w:right w:val="single" w:color="000000" w:sz="4" w:space="0"/>
            </w:tcBorders>
            <w:shd w:val="clear" w:color="auto" w:fill="auto"/>
            <w:vAlign w:val="center"/>
          </w:tcPr>
          <w:p w14:paraId="57C73E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C284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规范管理-执行管理-强制执行</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E5232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提供强制执行办理入口，实现审批流程。</w:t>
            </w:r>
          </w:p>
        </w:tc>
      </w:tr>
      <w:tr w14:paraId="639051A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0263D9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1292</w:t>
            </w:r>
          </w:p>
        </w:tc>
        <w:tc>
          <w:tcPr>
            <w:tcW w:w="491" w:type="pct"/>
            <w:tcBorders>
              <w:top w:val="nil"/>
              <w:left w:val="nil"/>
              <w:bottom w:val="single" w:color="000000" w:sz="4" w:space="0"/>
              <w:right w:val="single" w:color="000000" w:sz="4" w:space="0"/>
            </w:tcBorders>
            <w:shd w:val="clear" w:color="auto" w:fill="auto"/>
            <w:vAlign w:val="center"/>
          </w:tcPr>
          <w:p w14:paraId="3615C8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CB915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规范管理-典型案例-典型案例申报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38795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典型案例申报功能，执法人员搜索办结的案件，标记典型案件，填写相关说明，实现典型案例申报。</w:t>
            </w:r>
          </w:p>
        </w:tc>
      </w:tr>
      <w:tr w14:paraId="64D3A62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98A33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1293</w:t>
            </w:r>
          </w:p>
        </w:tc>
        <w:tc>
          <w:tcPr>
            <w:tcW w:w="491" w:type="pct"/>
            <w:tcBorders>
              <w:top w:val="nil"/>
              <w:left w:val="nil"/>
              <w:bottom w:val="single" w:color="000000" w:sz="4" w:space="0"/>
              <w:right w:val="single" w:color="000000" w:sz="4" w:space="0"/>
            </w:tcBorders>
            <w:shd w:val="clear" w:color="auto" w:fill="auto"/>
            <w:vAlign w:val="center"/>
          </w:tcPr>
          <w:p w14:paraId="24B98B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D37307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规范管理-典型案例-典型案例审批</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4B32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典型案例申批功能，领导审阅典型案例申报，完成审批。</w:t>
            </w:r>
          </w:p>
        </w:tc>
      </w:tr>
      <w:tr w14:paraId="36E81B8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9AFF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1294</w:t>
            </w:r>
          </w:p>
        </w:tc>
        <w:tc>
          <w:tcPr>
            <w:tcW w:w="491" w:type="pct"/>
            <w:tcBorders>
              <w:top w:val="nil"/>
              <w:left w:val="nil"/>
              <w:bottom w:val="single" w:color="000000" w:sz="4" w:space="0"/>
              <w:right w:val="single" w:color="000000" w:sz="4" w:space="0"/>
            </w:tcBorders>
            <w:shd w:val="clear" w:color="auto" w:fill="auto"/>
            <w:vAlign w:val="center"/>
          </w:tcPr>
          <w:p w14:paraId="235784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F8C990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规范管理-典型案例-典型案例查询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D8B01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通过多条件，实现典型案例查询与详情展示功能。</w:t>
            </w:r>
          </w:p>
        </w:tc>
      </w:tr>
      <w:tr w14:paraId="14C0D76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74D44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1295</w:t>
            </w:r>
          </w:p>
        </w:tc>
        <w:tc>
          <w:tcPr>
            <w:tcW w:w="491" w:type="pct"/>
            <w:tcBorders>
              <w:top w:val="nil"/>
              <w:left w:val="nil"/>
              <w:bottom w:val="single" w:color="000000" w:sz="4" w:space="0"/>
              <w:right w:val="single" w:color="000000" w:sz="4" w:space="0"/>
            </w:tcBorders>
            <w:shd w:val="clear" w:color="auto" w:fill="auto"/>
            <w:vAlign w:val="center"/>
          </w:tcPr>
          <w:p w14:paraId="7A0141A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D414A1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业务协同-线索对接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CC3207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前行政处罚与执法监督系统中的统一案源管理的案源线索处理中，案源接入只实现了和流通追溯系统、广告系统和监管抽查业务系统的案源接入。本次需要增加与新建的投诉举报、综合监管等统一对接，实现转案源的统一处理，增加多业务协同能力。同时还需要升级辅助线案分类功能。同时需要开发标准接口，供后续业务系统调用该标准接口实现与案件系统的对接。</w:t>
            </w:r>
          </w:p>
        </w:tc>
      </w:tr>
      <w:tr w14:paraId="41F1ADD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514A5E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1296</w:t>
            </w:r>
          </w:p>
        </w:tc>
        <w:tc>
          <w:tcPr>
            <w:tcW w:w="491" w:type="pct"/>
            <w:tcBorders>
              <w:top w:val="nil"/>
              <w:left w:val="nil"/>
              <w:bottom w:val="single" w:color="000000" w:sz="4" w:space="0"/>
              <w:right w:val="single" w:color="000000" w:sz="4" w:space="0"/>
            </w:tcBorders>
            <w:shd w:val="clear" w:color="auto" w:fill="auto"/>
            <w:vAlign w:val="center"/>
          </w:tcPr>
          <w:p w14:paraId="442D18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10C56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业务协同-总局统一执法平台对接-对接线索立案过程信息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16F32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根据提质改造指标项，包含执法业务领域字段，编制调查终结报告环节可修改，审核审批详情查看页面可查看，领域范围，市场准入案件、不正当竞争案件、侵害消费者权益案件、价格案件、产品质量案件、垄断案件、合同案件、拍卖案件、招投标案件、专利案件、商标案件、广告案件、直销案件、传销案件、网络商品交易案件、食品安全案件、特种设备案件、计量案件、标准案件、认证案件、认可与检验检测案件、药械化妆品案件、无证无照经营案件、无合法来源案件、其他案件等，完成线索立案过程信息共享，含立案基本信息，当事人基本信息，违法行为等信息共享。</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按照总局要求，实现案件编号编码规则，a.立案编号要用9位机构代码表示；b.分类码，实现行政处罚案件、行政复议案件、行政诉讼案件、行政赔偿案件的不同；c.登记日期格式定义；d.流水号4位数字表示。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5956934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FA630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1297</w:t>
            </w:r>
          </w:p>
        </w:tc>
        <w:tc>
          <w:tcPr>
            <w:tcW w:w="491" w:type="pct"/>
            <w:tcBorders>
              <w:top w:val="nil"/>
              <w:left w:val="nil"/>
              <w:bottom w:val="single" w:color="000000" w:sz="4" w:space="0"/>
              <w:right w:val="single" w:color="000000" w:sz="4" w:space="0"/>
            </w:tcBorders>
            <w:shd w:val="clear" w:color="auto" w:fill="auto"/>
            <w:vAlign w:val="center"/>
          </w:tcPr>
          <w:p w14:paraId="5591F9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C307D8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业务协同-总局统一执法平台对接-对接处罚过程信息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4CB8B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总局要求，采用实时上报，业务协同，API技术接口对接。根据提质改造指标项，包含法定代表人（负责人），举报人情况录入功能，选择单位时，填写法定代表人姓名，选择人员时，填写姓名，其他联系方式：可不填。</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指定管辖信息：添加是否指定管辖（选中，补充填写管辖单位、指定管辖单位，指定日期），线索登记阶段（可以填写），线索处理环节（可修改）。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移送原因、日期：案件移送申请补充 移送原因、移送日期 字段。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交办日期：案件来源选上级交办时添加 交办日期  字段。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终结报告环节补充调查处理类型字段，选择给予处罚或者移送等情形为调查终结，选择其他处理类型为调查终止，予以结案。无中止调查情形。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完成立案信息，调查信息，当事人信息，定性依据/处罚依据、处罚事实等相关信息共享。</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按照总局要求，实现处罚依据编码规则，a.以“|“分隔多条法律法规；b.每条法律法规从头取第一组书名号及其中的内容为法律法规名称；c.每条法律法规从第一组书名号后的第一组“第X条”为条数，书名号、条数间允许有空格或“/"分隔，但不允许有其他字符分隔；d.每条法律法规在第一组“第X条”后的“第X款”为款数，条、款间允许有空格或“/"分隔，但不允许有其他字符分隔；e.每条法律法规在第一组“第X款”后的“第X项”为项数，款、项间允许有空格或“/"分隔，但不允许有其他字符分隔，存在“第X款第X项”的情况；f.每条法律法规在第一组“第X项”后为法律法规具体内容，如无“第X项”则在“第X款”后为具体内容，如无“第X款”则在“第X条”后为具体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159E2C9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5BF17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1298</w:t>
            </w:r>
          </w:p>
        </w:tc>
        <w:tc>
          <w:tcPr>
            <w:tcW w:w="491" w:type="pct"/>
            <w:tcBorders>
              <w:top w:val="nil"/>
              <w:left w:val="nil"/>
              <w:bottom w:val="single" w:color="000000" w:sz="4" w:space="0"/>
              <w:right w:val="single" w:color="000000" w:sz="4" w:space="0"/>
            </w:tcBorders>
            <w:shd w:val="clear" w:color="auto" w:fill="auto"/>
            <w:vAlign w:val="center"/>
          </w:tcPr>
          <w:p w14:paraId="074C30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E16A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业务协同-总局统一执法平台对接-稽查协办对接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2CDA0C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总局的协查协办发起协查接口、协查协办上传协查材料接口、协查协办下载协查材料接口、协查协办撤回协查接口、协查协办接收协查信息确认接口、协查协办获取协查件信息接口、协查协办提交协查办理结果接口、协查协办延长办理时限接口以及一协查协办待办理协查案件协查列表等9类接口，完成市局执法案件系统与总局执法案件系统的对接。具体的开发工作量包括明确接口需要实现的功能和数据交换的格式；设计接口的协议、数据格式、请求和响应的结构；根据设计文档，开发接口的逻辑，包括请求处理、数据解析、业务逻辑处理和响应生成；设计和实现异常处理机制，确保接口在遇到错误时能够给出合适的反馈；接口测试联调、版本控制等开发内容。</w:t>
            </w:r>
          </w:p>
        </w:tc>
      </w:tr>
      <w:tr w14:paraId="1D91453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207F9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1299</w:t>
            </w:r>
          </w:p>
        </w:tc>
        <w:tc>
          <w:tcPr>
            <w:tcW w:w="491" w:type="pct"/>
            <w:tcBorders>
              <w:top w:val="nil"/>
              <w:left w:val="nil"/>
              <w:bottom w:val="single" w:color="000000" w:sz="4" w:space="0"/>
              <w:right w:val="single" w:color="000000" w:sz="4" w:space="0"/>
            </w:tcBorders>
            <w:shd w:val="clear" w:color="auto" w:fill="auto"/>
            <w:vAlign w:val="center"/>
          </w:tcPr>
          <w:p w14:paraId="29CB46D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669FD3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业务协同-总局统一执法平台对接-执法助手对接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B2460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调用总局提供的智能助手主体行政处罚案件查询接口、智能助手适用法条推荐接口、智能助手适用违法行为种类案件查询接口、智能助手类案查询接口、智能助手裁量推荐接口、智能助手案件详情数据接口以及案件详情界面接口，实现与总局的执法助手的对接。具体的开发工作量包括明确接口需要实现的功能和数据交换的格式；设计接口的协议、数据格式、请求和响应的结构；根据设计文档，开发接口的逻辑，包括请求处理、数据解析、业务逻辑处理和响应生成；设计和实现异常处理机制，确保接口在遇到错误时能够给出合适的反馈；接口测试联调、版本控制等开发内容。</w:t>
            </w:r>
          </w:p>
        </w:tc>
      </w:tr>
      <w:tr w14:paraId="2941478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9195E1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1300</w:t>
            </w:r>
          </w:p>
        </w:tc>
        <w:tc>
          <w:tcPr>
            <w:tcW w:w="491" w:type="pct"/>
            <w:tcBorders>
              <w:top w:val="nil"/>
              <w:left w:val="nil"/>
              <w:bottom w:val="single" w:color="000000" w:sz="4" w:space="0"/>
              <w:right w:val="single" w:color="000000" w:sz="4" w:space="0"/>
            </w:tcBorders>
            <w:shd w:val="clear" w:color="auto" w:fill="auto"/>
            <w:vAlign w:val="center"/>
          </w:tcPr>
          <w:p w14:paraId="0D3B960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1F6BC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业务协同-总局统一执法平台对接-对接结案归档过程信息</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197D7D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采用实时上报，业务协同，API技术接口对接。结案提质改造，新增业务需求指标项，处罚决定理由，内容为违法行为名称。</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补充调查处理类型字段，选择给予处罚或者移送等情形为调查终结，选择其他处理类型为调查终止，予以结案。无中止调查情形。</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验证抽样物品，新增型号规格、标称商标、保质期、标称生产者、标称价格、生产日期或出厂批号、产品执行标准编号、标称存储条件、生产许可证编号、标称产品等级、包装方式、抽样方式、抽取样品过程、样品封样情况、样品储存条件、受委托抽样人员、受委托抽样日期 采集项。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检测、检验、检疫、鉴定：在调查环节中，增加调查事项，“检测、检验、检疫、鉴定”，采集项包括：受委托单位、委托类型、委托事项、委托日期、文书编号、样品名称、规格/型号、等级、生产日期/批号、适用标准或者规则、样品数量、检验项目、备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共享立案信息、当事人信息、处罚信息、结案等信息。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279ED93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860C9E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1301</w:t>
            </w:r>
          </w:p>
        </w:tc>
        <w:tc>
          <w:tcPr>
            <w:tcW w:w="491" w:type="pct"/>
            <w:tcBorders>
              <w:top w:val="nil"/>
              <w:left w:val="nil"/>
              <w:bottom w:val="single" w:color="000000" w:sz="4" w:space="0"/>
              <w:right w:val="single" w:color="000000" w:sz="4" w:space="0"/>
            </w:tcBorders>
            <w:shd w:val="clear" w:color="auto" w:fill="auto"/>
            <w:vAlign w:val="center"/>
          </w:tcPr>
          <w:p w14:paraId="442E52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02298F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业务协同-电子证据对接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A52DA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与所有电子证据收集系统对接，整理证据目录，关联案件。</w:t>
            </w:r>
          </w:p>
        </w:tc>
      </w:tr>
      <w:tr w14:paraId="51B549F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0092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1302</w:t>
            </w:r>
          </w:p>
        </w:tc>
        <w:tc>
          <w:tcPr>
            <w:tcW w:w="491" w:type="pct"/>
            <w:tcBorders>
              <w:top w:val="nil"/>
              <w:left w:val="nil"/>
              <w:bottom w:val="single" w:color="000000" w:sz="4" w:space="0"/>
              <w:right w:val="single" w:color="000000" w:sz="4" w:space="0"/>
            </w:tcBorders>
            <w:shd w:val="clear" w:color="auto" w:fill="auto"/>
            <w:vAlign w:val="center"/>
          </w:tcPr>
          <w:p w14:paraId="74FAC84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3E2403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业务协同-电子档案对接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9C6FBC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与全程电子档案管理与互联网利用服务系统对接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需要实现与全程电子档案管理与互联网利用服务系统对接。采用多方案存储方式，将行政处罚与执法监督相关电子卷宗按照全程电子档案管理与互联网利用服务系统对接要求实现电子档案归档信息对接，实现电子档案发送、校验、接受、校验、归档及查询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55008DB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E493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1303</w:t>
            </w:r>
          </w:p>
        </w:tc>
        <w:tc>
          <w:tcPr>
            <w:tcW w:w="491" w:type="pct"/>
            <w:tcBorders>
              <w:top w:val="nil"/>
              <w:left w:val="nil"/>
              <w:bottom w:val="single" w:color="000000" w:sz="4" w:space="0"/>
              <w:right w:val="single" w:color="000000" w:sz="4" w:space="0"/>
            </w:tcBorders>
            <w:shd w:val="clear" w:color="auto" w:fill="auto"/>
            <w:vAlign w:val="center"/>
          </w:tcPr>
          <w:p w14:paraId="05FC7E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2883A8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电子卷宗-电子卷宗档案制定-一般程序案件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F3951B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标一般程序案件归档都是通过人工和线下方式进行，相关文书线下各个节点审核审批签名流转和盖章后，实现对一般程序案件全部纸质文档进行卷宗归档整理，包括人工记录一般程序案件全案办结、归档信息，包括立卷人、归档日期、保管期限、归档号等信息。本次需要实现全面电子卷宗归档应用，实现改造系统自动调用卷宗模板，实现所有电子文书的自动排版，电子档案查看，信息确认后，后台实现电子档案移交对接。</w:t>
            </w:r>
          </w:p>
        </w:tc>
      </w:tr>
      <w:tr w14:paraId="5487D44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149237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1304</w:t>
            </w:r>
          </w:p>
        </w:tc>
        <w:tc>
          <w:tcPr>
            <w:tcW w:w="491" w:type="pct"/>
            <w:tcBorders>
              <w:top w:val="nil"/>
              <w:left w:val="nil"/>
              <w:bottom w:val="single" w:color="000000" w:sz="4" w:space="0"/>
              <w:right w:val="single" w:color="000000" w:sz="4" w:space="0"/>
            </w:tcBorders>
            <w:shd w:val="clear" w:color="auto" w:fill="auto"/>
            <w:vAlign w:val="center"/>
          </w:tcPr>
          <w:p w14:paraId="3DE21D0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7FF0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电子卷宗-电子卷宗档案制定-简易程序案件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532AF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标简易程序案件归档都是通过人工和线下方式进行，相关文书线下各个节点审核审批签名流转和盖章后，实现对简易程序案件全部纸质文档进行卷宗归档整理，包括人工记录简易程序案件全案办结、归档信息，包括立卷人、归档日期、保管期限、归档号等信息。本次需要实现全面电子卷宗归档应用，实现改造系统自动调用卷宗模板，实现所有电子文书的自动排版，电子档案查看，信息确认后，后台实现电子档案移交对接。</w:t>
            </w:r>
          </w:p>
        </w:tc>
      </w:tr>
      <w:tr w14:paraId="2E455AC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E6A0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1305</w:t>
            </w:r>
          </w:p>
        </w:tc>
        <w:tc>
          <w:tcPr>
            <w:tcW w:w="491" w:type="pct"/>
            <w:tcBorders>
              <w:top w:val="nil"/>
              <w:left w:val="nil"/>
              <w:bottom w:val="single" w:color="000000" w:sz="4" w:space="0"/>
              <w:right w:val="single" w:color="000000" w:sz="4" w:space="0"/>
            </w:tcBorders>
            <w:shd w:val="clear" w:color="auto" w:fill="auto"/>
            <w:vAlign w:val="center"/>
          </w:tcPr>
          <w:p w14:paraId="1FACD9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452FC9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电子卷宗-电子卷宗档案制定-批量吊照（证）案件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55162B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标批量吊照（证）案件归档都是通过人工和线下方式进行，相关文书线下各个节点审核审批签名流转和盖章后，实现对批量吊照（证）案件全部纸质文档进行卷宗归档整理，包括人工记录批量吊照（证）案件全案办结、归档信息，包括立卷人、归档日期、保管期限、归档号等信息。本次需要实现全面电子卷宗归档应用，实现改造系统自动调用卷宗模板，实现所有电子文书的自动排版，电子档案查看，信息确认后，后台实现电子档案移交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2E4EE60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5B768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1306</w:t>
            </w:r>
          </w:p>
        </w:tc>
        <w:tc>
          <w:tcPr>
            <w:tcW w:w="491" w:type="pct"/>
            <w:tcBorders>
              <w:top w:val="nil"/>
              <w:left w:val="nil"/>
              <w:bottom w:val="single" w:color="000000" w:sz="4" w:space="0"/>
              <w:right w:val="single" w:color="000000" w:sz="4" w:space="0"/>
            </w:tcBorders>
            <w:shd w:val="clear" w:color="auto" w:fill="auto"/>
            <w:vAlign w:val="center"/>
          </w:tcPr>
          <w:p w14:paraId="582318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573988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电子卷宗-电子卷宗档案制定-反垄断案件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EAF189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标反垄断案件归档都是通过人工和线下方式进行，相关文书线下各个节点审核审批签名流转和盖章后，实现对反垄断案件全部纸质文档进行卷宗归档整理，包括人工记录反垄断全案办结、归档信息，包括立卷人、归档日期、保管期限、归档号等信息。本次需要实现全面电子卷宗归档应用，实现改造系统自动调用卷宗模板，实现所有电子文书的自动排版，电子档案查看，信息确认后，后台实现电子档案移交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3C3F3E8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DC0CA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1307</w:t>
            </w:r>
          </w:p>
        </w:tc>
        <w:tc>
          <w:tcPr>
            <w:tcW w:w="491" w:type="pct"/>
            <w:tcBorders>
              <w:top w:val="nil"/>
              <w:left w:val="nil"/>
              <w:bottom w:val="single" w:color="000000" w:sz="4" w:space="0"/>
              <w:right w:val="single" w:color="000000" w:sz="4" w:space="0"/>
            </w:tcBorders>
            <w:shd w:val="clear" w:color="auto" w:fill="auto"/>
            <w:vAlign w:val="center"/>
          </w:tcPr>
          <w:p w14:paraId="4BDD9E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015C9A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电子卷宗-电子卷宗档案制定-常驻代表机构</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EE5AD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目标常驻代表机构案件归档都是通过人工和线下方式进行，相关文书线下各个节点审核审批签名流转和盖章后，实现对常驻代表机构案件全部纸质文档进行卷宗归档整理，包括人工记录常驻代表机构案件全案办结、归档信息，包括立卷人、归档日期、保管期限、归档号等信息。本次需要实现全面电子卷宗归档应用，实现改造系统自动调用卷宗模板，实现所有电子文书的自动排版，电子档案查看，信息确认后，后台实现电子档案移交对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39BD5E9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4DBD9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1308</w:t>
            </w:r>
          </w:p>
        </w:tc>
        <w:tc>
          <w:tcPr>
            <w:tcW w:w="491" w:type="pct"/>
            <w:tcBorders>
              <w:top w:val="nil"/>
              <w:left w:val="nil"/>
              <w:bottom w:val="single" w:color="000000" w:sz="4" w:space="0"/>
              <w:right w:val="single" w:color="000000" w:sz="4" w:space="0"/>
            </w:tcBorders>
            <w:shd w:val="clear" w:color="auto" w:fill="auto"/>
            <w:vAlign w:val="center"/>
          </w:tcPr>
          <w:p w14:paraId="7E703FA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3478B3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电子卷宗-电子卷宗模板管理-电子卷宗模板管理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AB3AB3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电子卷宗模板管理，实现对一般程序案件、批量程序案件，反垄断案件，常驻代表机构案件的卷宗模板管理功能。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5E427D2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0E1898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1309</w:t>
            </w:r>
          </w:p>
        </w:tc>
        <w:tc>
          <w:tcPr>
            <w:tcW w:w="491" w:type="pct"/>
            <w:tcBorders>
              <w:top w:val="nil"/>
              <w:left w:val="nil"/>
              <w:bottom w:val="single" w:color="000000" w:sz="4" w:space="0"/>
              <w:right w:val="single" w:color="000000" w:sz="4" w:space="0"/>
            </w:tcBorders>
            <w:shd w:val="clear" w:color="auto" w:fill="auto"/>
            <w:vAlign w:val="center"/>
          </w:tcPr>
          <w:p w14:paraId="576540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25CEE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电子卷宗-电子卷宗模板管理-电子卷宗排版管理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2241B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对实现对一般程序案件、批量程序案件，反垄断案件，常驻代表机构案件的电子文书进行管理功能，电子卷宗装订成册，排版等。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423C73B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7C7A46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1310</w:t>
            </w:r>
          </w:p>
        </w:tc>
        <w:tc>
          <w:tcPr>
            <w:tcW w:w="491" w:type="pct"/>
            <w:tcBorders>
              <w:top w:val="nil"/>
              <w:left w:val="nil"/>
              <w:bottom w:val="single" w:color="000000" w:sz="4" w:space="0"/>
              <w:right w:val="single" w:color="000000" w:sz="4" w:space="0"/>
            </w:tcBorders>
            <w:shd w:val="clear" w:color="auto" w:fill="auto"/>
            <w:vAlign w:val="center"/>
          </w:tcPr>
          <w:p w14:paraId="00FA9A2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8F7728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电子卷宗-电子卷宗模板管理-与全程电子档案管理与互联网利用服务系统对接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7F161A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需要实现与全程电子档案管理与互联网利用服务系统对接。将行政处罚与执法监督相关电子卷宗按照全程电子档案管理与互联网利用服务系统对接要求实现电子档案归档信息对接，实现电子档案发送、校验、接受、校验、归档及查询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414E028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2FF1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1311</w:t>
            </w:r>
          </w:p>
        </w:tc>
        <w:tc>
          <w:tcPr>
            <w:tcW w:w="491" w:type="pct"/>
            <w:tcBorders>
              <w:top w:val="nil"/>
              <w:left w:val="nil"/>
              <w:bottom w:val="single" w:color="000000" w:sz="4" w:space="0"/>
              <w:right w:val="single" w:color="000000" w:sz="4" w:space="0"/>
            </w:tcBorders>
            <w:shd w:val="clear" w:color="auto" w:fill="auto"/>
            <w:vAlign w:val="center"/>
          </w:tcPr>
          <w:p w14:paraId="5E40253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E09B7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电子卷宗-卷宗组建-电子文书标注</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CB971C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文书标注内容，修改重点内容，实现电子文书标记标注功能。</w:t>
            </w:r>
          </w:p>
        </w:tc>
      </w:tr>
      <w:tr w14:paraId="64D3667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8C3FA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1312</w:t>
            </w:r>
          </w:p>
        </w:tc>
        <w:tc>
          <w:tcPr>
            <w:tcW w:w="491" w:type="pct"/>
            <w:tcBorders>
              <w:top w:val="nil"/>
              <w:left w:val="nil"/>
              <w:bottom w:val="single" w:color="000000" w:sz="4" w:space="0"/>
              <w:right w:val="single" w:color="000000" w:sz="4" w:space="0"/>
            </w:tcBorders>
            <w:shd w:val="clear" w:color="auto" w:fill="auto"/>
            <w:vAlign w:val="center"/>
          </w:tcPr>
          <w:p w14:paraId="4161FB0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6E7EB1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电子卷宗-卷宗组建-文书核验真伪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A33EB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文书核验真伪，电子文书在线核验，打印版本二维码核验，核验情况包含文件内容，下载情况及原始文档哈西值等。</w:t>
            </w:r>
          </w:p>
        </w:tc>
      </w:tr>
      <w:tr w14:paraId="6E0FF3A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D0F84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1313</w:t>
            </w:r>
          </w:p>
        </w:tc>
        <w:tc>
          <w:tcPr>
            <w:tcW w:w="491" w:type="pct"/>
            <w:tcBorders>
              <w:top w:val="nil"/>
              <w:left w:val="nil"/>
              <w:bottom w:val="single" w:color="000000" w:sz="4" w:space="0"/>
              <w:right w:val="single" w:color="000000" w:sz="4" w:space="0"/>
            </w:tcBorders>
            <w:shd w:val="clear" w:color="auto" w:fill="auto"/>
            <w:vAlign w:val="center"/>
          </w:tcPr>
          <w:p w14:paraId="774DB59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B3C51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电子卷宗-卷宗组建-文书副本权限控制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40F67D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依据权限控制，实现副本生成。</w:t>
            </w:r>
          </w:p>
        </w:tc>
      </w:tr>
      <w:tr w14:paraId="6D903F0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0254B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1314</w:t>
            </w:r>
          </w:p>
        </w:tc>
        <w:tc>
          <w:tcPr>
            <w:tcW w:w="491" w:type="pct"/>
            <w:tcBorders>
              <w:top w:val="nil"/>
              <w:left w:val="nil"/>
              <w:bottom w:val="single" w:color="000000" w:sz="4" w:space="0"/>
              <w:right w:val="single" w:color="000000" w:sz="4" w:space="0"/>
            </w:tcBorders>
            <w:shd w:val="clear" w:color="auto" w:fill="auto"/>
            <w:vAlign w:val="center"/>
          </w:tcPr>
          <w:p w14:paraId="757983D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C3BD5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电子卷宗-卷宗组建-证据对接归集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42FA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包含证据对接，证据归集卷宗等。</w:t>
            </w:r>
          </w:p>
        </w:tc>
      </w:tr>
      <w:tr w14:paraId="6A2882C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1CE39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1315</w:t>
            </w:r>
          </w:p>
        </w:tc>
        <w:tc>
          <w:tcPr>
            <w:tcW w:w="491" w:type="pct"/>
            <w:tcBorders>
              <w:top w:val="nil"/>
              <w:left w:val="nil"/>
              <w:bottom w:val="single" w:color="000000" w:sz="4" w:space="0"/>
              <w:right w:val="single" w:color="000000" w:sz="4" w:space="0"/>
            </w:tcBorders>
            <w:shd w:val="clear" w:color="auto" w:fill="auto"/>
            <w:vAlign w:val="center"/>
          </w:tcPr>
          <w:p w14:paraId="6F7BBE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957E2D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电子卷宗-多维检索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BA5FEB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按条件搜索卷宗与详细内容。</w:t>
            </w:r>
          </w:p>
        </w:tc>
      </w:tr>
      <w:tr w14:paraId="12ECD87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F2DC1C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1316</w:t>
            </w:r>
          </w:p>
        </w:tc>
        <w:tc>
          <w:tcPr>
            <w:tcW w:w="491" w:type="pct"/>
            <w:tcBorders>
              <w:top w:val="nil"/>
              <w:left w:val="nil"/>
              <w:bottom w:val="single" w:color="000000" w:sz="4" w:space="0"/>
              <w:right w:val="single" w:color="000000" w:sz="4" w:space="0"/>
            </w:tcBorders>
            <w:shd w:val="clear" w:color="auto" w:fill="auto"/>
            <w:vAlign w:val="center"/>
          </w:tcPr>
          <w:p w14:paraId="097056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5BCBA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电子卷宗-卷宗副本-副本下载和打印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4F57E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卷宗副本下载，复议诉讼等需要可生成相应的副本。副本打印，自动生成副本，副本码生成，同时实现可追溯控制。</w:t>
            </w:r>
          </w:p>
        </w:tc>
      </w:tr>
      <w:tr w14:paraId="17B780B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33A38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1317</w:t>
            </w:r>
          </w:p>
        </w:tc>
        <w:tc>
          <w:tcPr>
            <w:tcW w:w="491" w:type="pct"/>
            <w:tcBorders>
              <w:top w:val="nil"/>
              <w:left w:val="nil"/>
              <w:bottom w:val="single" w:color="000000" w:sz="4" w:space="0"/>
              <w:right w:val="single" w:color="000000" w:sz="4" w:space="0"/>
            </w:tcBorders>
            <w:shd w:val="clear" w:color="auto" w:fill="auto"/>
            <w:vAlign w:val="center"/>
          </w:tcPr>
          <w:p w14:paraId="0BA416A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105F0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电子卷宗-卷宗副本-扫码验证真伪</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BE7D3D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包含文件内容，下载情况及原始文档哈西值等。</w:t>
            </w:r>
          </w:p>
        </w:tc>
      </w:tr>
      <w:tr w14:paraId="0F10F36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5D154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1318</w:t>
            </w:r>
          </w:p>
        </w:tc>
        <w:tc>
          <w:tcPr>
            <w:tcW w:w="491" w:type="pct"/>
            <w:tcBorders>
              <w:top w:val="nil"/>
              <w:left w:val="nil"/>
              <w:bottom w:val="single" w:color="000000" w:sz="4" w:space="0"/>
              <w:right w:val="single" w:color="000000" w:sz="4" w:space="0"/>
            </w:tcBorders>
            <w:shd w:val="clear" w:color="auto" w:fill="auto"/>
            <w:vAlign w:val="center"/>
          </w:tcPr>
          <w:p w14:paraId="7AAF2D6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D6D24F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电子卷宗-卷宗副本-权限控制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F3067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依据权限控制，实现卷宗副本生成。</w:t>
            </w:r>
          </w:p>
        </w:tc>
      </w:tr>
      <w:tr w14:paraId="58B4338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8558DC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1319</w:t>
            </w:r>
          </w:p>
        </w:tc>
        <w:tc>
          <w:tcPr>
            <w:tcW w:w="491" w:type="pct"/>
            <w:tcBorders>
              <w:top w:val="nil"/>
              <w:left w:val="nil"/>
              <w:bottom w:val="single" w:color="000000" w:sz="4" w:space="0"/>
              <w:right w:val="single" w:color="000000" w:sz="4" w:space="0"/>
            </w:tcBorders>
            <w:shd w:val="clear" w:color="auto" w:fill="auto"/>
            <w:vAlign w:val="center"/>
          </w:tcPr>
          <w:p w14:paraId="252C03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49B7FE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电子卷宗-配合一网通办电子卷宗归档-电子卷宗检验规则管理-文件内容检测规则管理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C86C1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对文件内容、元数据内容、其他检查规则进行定义和管理，文件内容检查规则如下：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内容数据的电子属性一致性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元数据是否关联内容数据</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内容数据完整性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附件数据完整性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归档范围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内容数据格式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内容数据的可读性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内容数据格式长期可用性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系统环境中是否安装杀毒软件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病毒感染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元数据项数据长度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元数据项数据类型、格式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设定值域的元数据值域符合度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元数据项数据值合理性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元数据项数据包含特殊字符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档号规范性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元数据项重复性</w:t>
            </w:r>
          </w:p>
        </w:tc>
      </w:tr>
      <w:tr w14:paraId="52DF2C1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42A4E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1320</w:t>
            </w:r>
          </w:p>
        </w:tc>
        <w:tc>
          <w:tcPr>
            <w:tcW w:w="491" w:type="pct"/>
            <w:tcBorders>
              <w:top w:val="nil"/>
              <w:left w:val="nil"/>
              <w:bottom w:val="single" w:color="000000" w:sz="4" w:space="0"/>
              <w:right w:val="single" w:color="000000" w:sz="4" w:space="0"/>
            </w:tcBorders>
            <w:shd w:val="clear" w:color="auto" w:fill="auto"/>
            <w:vAlign w:val="center"/>
          </w:tcPr>
          <w:p w14:paraId="362409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F94620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电子卷宗-配合一网通办电子卷宗归档-收集归档管理-收集归档材料</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809BA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能够以自动或半自动方式完整收集执法业务系统产生的报归档电子文件,电子文件内容数据及其元数拐应一起捕获；系统支持在线和离线两种收集模式,支持单个和批址收集拟归档电子文件内容数据及其元数据；支持电子文件的内容数据、元数据的自动关联；对于手动收集的电子文件,支持著录元数据,电子文件上传挂接,脱机数据包导人等多种方式完成电子文件的录人；支持对于不符合归档格式要求的电子文件进行格式转换,以满足归档电子文件保存和利用的需求。</w:t>
            </w:r>
          </w:p>
        </w:tc>
      </w:tr>
      <w:tr w14:paraId="6F3A9A41">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ABDFA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1321</w:t>
            </w:r>
          </w:p>
        </w:tc>
        <w:tc>
          <w:tcPr>
            <w:tcW w:w="491" w:type="pct"/>
            <w:tcBorders>
              <w:top w:val="nil"/>
              <w:left w:val="nil"/>
              <w:bottom w:val="single" w:color="000000" w:sz="4" w:space="0"/>
              <w:right w:val="single" w:color="000000" w:sz="4" w:space="0"/>
            </w:tcBorders>
            <w:shd w:val="clear" w:color="auto" w:fill="auto"/>
            <w:vAlign w:val="center"/>
          </w:tcPr>
          <w:p w14:paraId="1AAED2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FCD1B2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电子卷宗-配合一网通办电子卷宗归档-收集归档管理-归档信息包生成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A97DE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系统根据收集的归档材料，生成归档信息包。</w:t>
            </w:r>
          </w:p>
        </w:tc>
      </w:tr>
      <w:tr w14:paraId="2DC5D22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63CB53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1322</w:t>
            </w:r>
          </w:p>
        </w:tc>
        <w:tc>
          <w:tcPr>
            <w:tcW w:w="491" w:type="pct"/>
            <w:tcBorders>
              <w:top w:val="nil"/>
              <w:left w:val="nil"/>
              <w:bottom w:val="single" w:color="000000" w:sz="4" w:space="0"/>
              <w:right w:val="single" w:color="000000" w:sz="4" w:space="0"/>
            </w:tcBorders>
            <w:shd w:val="clear" w:color="auto" w:fill="auto"/>
            <w:vAlign w:val="center"/>
          </w:tcPr>
          <w:p w14:paraId="5200AD5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078CF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电子卷宗-配合一网通办电子卷宗归档-电子卷宗整理组件</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FB7EB2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将需要归档的电子文件及其元数据等信息按照《照片类电子档案元数据方案》及时整理，按照《归档文件整理规则》（DA/T 22）规定进行分类和排序，以件为单位进行组织并编制档号，以档号为基础命名，并按照档号构成项逐级建立文件夹进行存储，按照规范的数据结构组成归档信息包，按批次或年度进行归档登记,生成《归档登记表》，并编制目录。整理组件支持功能如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支持以办件事项为基本单位进行归档整理,将与该事项相关的、属于归档范围的电子文件进行整理组件；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支持手动整理和自动整理两种模式；</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支持手动调取该事项的所有归档电子文件,选取所的电子文件整理归档,调整归档电子文件的排序及文件夹层次结构,可对电子档案号、电子文件号、保管期限进行修改确认；</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支持归档电子文件的自动归类、排序、命名、编号、编目、著录和格式转换等功能。</w:t>
            </w:r>
          </w:p>
        </w:tc>
      </w:tr>
      <w:tr w14:paraId="1C79B06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91CBE0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1323</w:t>
            </w:r>
          </w:p>
        </w:tc>
        <w:tc>
          <w:tcPr>
            <w:tcW w:w="491" w:type="pct"/>
            <w:tcBorders>
              <w:top w:val="nil"/>
              <w:left w:val="nil"/>
              <w:bottom w:val="single" w:color="000000" w:sz="4" w:space="0"/>
              <w:right w:val="single" w:color="000000" w:sz="4" w:space="0"/>
            </w:tcBorders>
            <w:shd w:val="clear" w:color="auto" w:fill="auto"/>
            <w:vAlign w:val="center"/>
          </w:tcPr>
          <w:p w14:paraId="7EB1BB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375CB6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电子卷宗-配合一网通办电子卷宗归档-电子卷宗数据封装</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907D4C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按照归档信息包组织结构对整理完毕的电子文件进行数据封装,形成归档信息包。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系统支持对归档电子文件材料以 ZIP压缩打包的方式进行封装,形成归档信息包；</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系统支持归档信息包的查看、下载和合规删除。</w:t>
            </w:r>
          </w:p>
        </w:tc>
      </w:tr>
      <w:tr w14:paraId="720BFCCC">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371336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1324</w:t>
            </w:r>
          </w:p>
        </w:tc>
        <w:tc>
          <w:tcPr>
            <w:tcW w:w="491" w:type="pct"/>
            <w:tcBorders>
              <w:top w:val="nil"/>
              <w:left w:val="nil"/>
              <w:bottom w:val="single" w:color="000000" w:sz="4" w:space="0"/>
              <w:right w:val="single" w:color="000000" w:sz="4" w:space="0"/>
            </w:tcBorders>
            <w:shd w:val="clear" w:color="auto" w:fill="auto"/>
            <w:vAlign w:val="center"/>
          </w:tcPr>
          <w:p w14:paraId="28CE34B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C9F83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电子卷宗-配合一网通办电子卷宗归档-电子卷宗数据固化</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24447A1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系统通过采用数字签名、时间戳等技术对信息包添加校验信息,以防止电子文件被篡改,并确保其真实性、完整性和法律效力的过程。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系统支持对归档信息包加兽数字签名、时间戳,确保其真实性和完整性；</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ü 支持归档电子文件及其时间戳,数字签名符合《上海市公共数据和一网通办管理办法川上海市电子印章管理暂行办法》等相关规定。</w:t>
            </w:r>
          </w:p>
        </w:tc>
      </w:tr>
      <w:tr w14:paraId="42C42CD2">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0EE0C6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1325</w:t>
            </w:r>
          </w:p>
        </w:tc>
        <w:tc>
          <w:tcPr>
            <w:tcW w:w="491" w:type="pct"/>
            <w:tcBorders>
              <w:top w:val="nil"/>
              <w:left w:val="nil"/>
              <w:bottom w:val="single" w:color="000000" w:sz="4" w:space="0"/>
              <w:right w:val="single" w:color="000000" w:sz="4" w:space="0"/>
            </w:tcBorders>
            <w:shd w:val="clear" w:color="auto" w:fill="auto"/>
            <w:vAlign w:val="center"/>
          </w:tcPr>
          <w:p w14:paraId="575EB3A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71E8DD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电子卷宗-配合一网通办电子卷宗归档-电子卷宗“四性”检测- 内容数据的电子属性一致性检测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A3372B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1、对电子文件的文件名、文件大小、文件格式等属性信息与电子文件有关元数据项记录的数据比对，判断结果是否一致。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2、根据电子文件元数据中记录的文件存储路径检测电子文件是否存在。</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3、核对有关证照和办理表单中的办理对象名称、申请经办人姓名、申请经办人证件编号等信息与相关元数据项是否一致;判断内容数据是否大于0字节。(人工方式:打开电子文件数据内容进行人工检测)</w:t>
            </w:r>
          </w:p>
        </w:tc>
      </w:tr>
      <w:tr w14:paraId="502B8FE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AF84E6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1326</w:t>
            </w:r>
          </w:p>
        </w:tc>
        <w:tc>
          <w:tcPr>
            <w:tcW w:w="491" w:type="pct"/>
            <w:tcBorders>
              <w:top w:val="nil"/>
              <w:left w:val="nil"/>
              <w:bottom w:val="single" w:color="000000" w:sz="4" w:space="0"/>
              <w:right w:val="single" w:color="000000" w:sz="4" w:space="0"/>
            </w:tcBorders>
            <w:shd w:val="clear" w:color="auto" w:fill="auto"/>
            <w:vAlign w:val="center"/>
          </w:tcPr>
          <w:p w14:paraId="22E599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30E9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电子卷宗-配合一网通办电子卷宗归档-电子卷宗检测报告管理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87A8A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检测报告展现内容包括基本信息和详细信息。反馈检测中发现的问题。</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该说明文件描述了立档单位移交检测时所采用的实际检测项目内容，须将该内容数据与检测报告和电子档案移交包一起向档案馆移交。超出本指南范围的自选检测项目编号不要提交。系统提供检查报告查询。执法人员可以根据案件名称、经办人、时间等查询检查报告。</w:t>
            </w:r>
          </w:p>
        </w:tc>
      </w:tr>
      <w:tr w14:paraId="1A799E8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23C31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1327</w:t>
            </w:r>
          </w:p>
        </w:tc>
        <w:tc>
          <w:tcPr>
            <w:tcW w:w="491" w:type="pct"/>
            <w:tcBorders>
              <w:top w:val="nil"/>
              <w:left w:val="nil"/>
              <w:bottom w:val="single" w:color="000000" w:sz="4" w:space="0"/>
              <w:right w:val="single" w:color="000000" w:sz="4" w:space="0"/>
            </w:tcBorders>
            <w:shd w:val="clear" w:color="auto" w:fill="auto"/>
            <w:vAlign w:val="center"/>
          </w:tcPr>
          <w:p w14:paraId="4A4728D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6F5FE9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电子卷宗-配合一网通办电子卷宗归档-电子卷宗归档管理-归档登记</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635D6A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电子卷宗登记完成后，系统自动生成电子卷宗归档文件。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业务部门应将归档信息包连同《电子文件归档登记表》一起向档案部门提交归档。</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系统提供电子卷宗档案查询。执法人员可以根据案件名称、经办人、时间等查询电子卷宗归档信息。</w:t>
            </w:r>
          </w:p>
        </w:tc>
      </w:tr>
      <w:tr w14:paraId="0EBD36A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C3D8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1328</w:t>
            </w:r>
          </w:p>
        </w:tc>
        <w:tc>
          <w:tcPr>
            <w:tcW w:w="491" w:type="pct"/>
            <w:tcBorders>
              <w:top w:val="nil"/>
              <w:left w:val="nil"/>
              <w:bottom w:val="single" w:color="000000" w:sz="4" w:space="0"/>
              <w:right w:val="single" w:color="000000" w:sz="4" w:space="0"/>
            </w:tcBorders>
            <w:shd w:val="clear" w:color="auto" w:fill="auto"/>
            <w:vAlign w:val="center"/>
          </w:tcPr>
          <w:p w14:paraId="62685F5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91E68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执法人员管理-执法人员管理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EAEB0A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执法人员维护：实现执法人员基础信息的维护，包括执法证号、执法资质等的维护，实现与市局平台的执法证号的校对功能，提质功能。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执法人员查询：通过相关条件筛选查询执法人员，展示执法人员的工作动态、绩效，回溯执法行为等信息，实现执法人员全息图展示。</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告知联系人维护：实现一般程序、批量程序等案件的行政处罚告知、行政处罚听证告知、送达等的联系人、联系电话的维护功能。</w:t>
            </w:r>
          </w:p>
        </w:tc>
      </w:tr>
      <w:tr w14:paraId="04C1918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E6F2C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1329</w:t>
            </w:r>
          </w:p>
        </w:tc>
        <w:tc>
          <w:tcPr>
            <w:tcW w:w="491" w:type="pct"/>
            <w:tcBorders>
              <w:top w:val="nil"/>
              <w:left w:val="nil"/>
              <w:bottom w:val="single" w:color="000000" w:sz="4" w:space="0"/>
              <w:right w:val="single" w:color="000000" w:sz="4" w:space="0"/>
            </w:tcBorders>
            <w:shd w:val="clear" w:color="auto" w:fill="auto"/>
            <w:vAlign w:val="center"/>
          </w:tcPr>
          <w:p w14:paraId="35FD4A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113D1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执法人员管理-人才库管理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04F7ED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归集优秀执法人员，记录人员资质信息等。</w:t>
            </w:r>
          </w:p>
        </w:tc>
      </w:tr>
      <w:tr w14:paraId="3A1E5D4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0F82A2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1330</w:t>
            </w:r>
          </w:p>
        </w:tc>
        <w:tc>
          <w:tcPr>
            <w:tcW w:w="491" w:type="pct"/>
            <w:tcBorders>
              <w:top w:val="nil"/>
              <w:left w:val="nil"/>
              <w:bottom w:val="single" w:color="000000" w:sz="4" w:space="0"/>
              <w:right w:val="single" w:color="000000" w:sz="4" w:space="0"/>
            </w:tcBorders>
            <w:shd w:val="clear" w:color="auto" w:fill="auto"/>
            <w:vAlign w:val="center"/>
          </w:tcPr>
          <w:p w14:paraId="1B76010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91261EB">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期限管理-期限配置调整</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143339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实现一般程序案件、批量程序案件的线索办理时限、案件办理时限、公示时限、强制措施时限、听证告知期限、处罚决定送达告知、责令改正通知等时限调整。</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配置包含线索办理时限（暂停，延期）、案件办理时限（暂停，延期）、强制措施（延长、解除）、公示时限、听证告知、处罚决定送达告知、责令改正通知（仅常驻代表机构吊证案件有）。</w:t>
            </w:r>
          </w:p>
        </w:tc>
      </w:tr>
      <w:tr w14:paraId="339FF7A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39ECC74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1331</w:t>
            </w:r>
          </w:p>
        </w:tc>
        <w:tc>
          <w:tcPr>
            <w:tcW w:w="491" w:type="pct"/>
            <w:tcBorders>
              <w:top w:val="nil"/>
              <w:left w:val="nil"/>
              <w:bottom w:val="single" w:color="000000" w:sz="4" w:space="0"/>
              <w:right w:val="single" w:color="000000" w:sz="4" w:space="0"/>
            </w:tcBorders>
            <w:shd w:val="clear" w:color="auto" w:fill="auto"/>
            <w:vAlign w:val="center"/>
          </w:tcPr>
          <w:p w14:paraId="4BA4E26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F8D6DF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期限管理-时限预警模型</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FBF941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支持时限模型，创建时限预警模型，根据配置的期限，实现各业务环节预警功能。相关用户可根据时限预警模型进行参数调整和调优，并根据预警要求不断进行优化。</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主要包括线索办理时限、案件办理时限、公示时限、强制措施时限、听证告知、处罚决定送达告知、常驻代表机构吊证案件责令改正通知时限，多环节业务时限暂停、时间延期等多复杂业务场景时，利用期限算法模型，实现案件时限预警。</w:t>
            </w:r>
          </w:p>
        </w:tc>
      </w:tr>
      <w:tr w14:paraId="4DC6299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AED040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1332</w:t>
            </w:r>
          </w:p>
        </w:tc>
        <w:tc>
          <w:tcPr>
            <w:tcW w:w="491" w:type="pct"/>
            <w:tcBorders>
              <w:top w:val="nil"/>
              <w:left w:val="nil"/>
              <w:bottom w:val="single" w:color="000000" w:sz="4" w:space="0"/>
              <w:right w:val="single" w:color="000000" w:sz="4" w:space="0"/>
            </w:tcBorders>
            <w:shd w:val="clear" w:color="auto" w:fill="auto"/>
            <w:vAlign w:val="center"/>
          </w:tcPr>
          <w:p w14:paraId="11C0877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21AA56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执法业务归集及利用-知识组建</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348DF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智能生成：依据慧治平台智能模型算法，智能分类生成。</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批量导入：系统提供批量添加知识功能，选择分类添加。</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人工维护：按业务领域、业务分类等，提供人工维护知识功能，建立维护流程，规范各业务知识，由所队申报，处室骨干初审等。</w:t>
            </w:r>
          </w:p>
        </w:tc>
      </w:tr>
      <w:tr w14:paraId="060E5D18">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635FAF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1333</w:t>
            </w:r>
          </w:p>
        </w:tc>
        <w:tc>
          <w:tcPr>
            <w:tcW w:w="491" w:type="pct"/>
            <w:tcBorders>
              <w:top w:val="nil"/>
              <w:left w:val="nil"/>
              <w:bottom w:val="single" w:color="000000" w:sz="4" w:space="0"/>
              <w:right w:val="single" w:color="000000" w:sz="4" w:space="0"/>
            </w:tcBorders>
            <w:shd w:val="clear" w:color="auto" w:fill="auto"/>
            <w:vAlign w:val="center"/>
          </w:tcPr>
          <w:p w14:paraId="1FEAAF2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94E2C9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执法业务归集及利用-知识分类</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711199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典型案例：典型案例、十佳案例自动纳入知识库中，解构案例，多维度检索查看，学习参考，含视频，内容等。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业务问答：累计业务问答，全领域专业问答，是智能问答基础库之一。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执法提示：依据业务规则配置执法提示，智能问答智能唤醒功能等。</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辅助指南：结构系统操作步骤，原来传统操作手册转为智能辅助操作，提供技术辅助、业务辅助，提升整体用户体验。</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法律法规 ：法律法规归纳整理，拆解分类，形成可易阅读，易检索的法律法规库。</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自由裁量 ：基于各区裁量基准库，与法律法规、违法行为自助关联检索，辅助裁量参考模型，同时提供多维检索功能。</w:t>
            </w:r>
          </w:p>
        </w:tc>
      </w:tr>
      <w:tr w14:paraId="6FF7A987">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016028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1334</w:t>
            </w:r>
          </w:p>
        </w:tc>
        <w:tc>
          <w:tcPr>
            <w:tcW w:w="491" w:type="pct"/>
            <w:tcBorders>
              <w:top w:val="nil"/>
              <w:left w:val="nil"/>
              <w:bottom w:val="single" w:color="000000" w:sz="4" w:space="0"/>
              <w:right w:val="single" w:color="000000" w:sz="4" w:space="0"/>
            </w:tcBorders>
            <w:shd w:val="clear" w:color="auto" w:fill="auto"/>
            <w:vAlign w:val="center"/>
          </w:tcPr>
          <w:p w14:paraId="176C31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CA21C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行政处罚查询统计-多维查询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22992F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流程改造查看：目前支持案件基本信息条件、日期条件、金额范围、违法行为选择等多维度查询。本次需在全程网办的基础上实现相关查询和详细案件展示。实现对立案、调查、处罚决定、结案、有关事项审批的流程查看，实现对所有案件的归档移交信息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电子文书查看："目前电子文书查看实现对在线人工文书填写后无签章的文书查看。本次需进行全程电子化和电子签章应用，实现全部文书有签章的查看。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电子卷宗查看：支持电子卷宗查看功能，实现对电子卷宗的查看，针对不同类别的电子卷宗（一般程序案件、批量程序案件，反垄断案件，常驻代表机构案件等），支持卷宗包括目录，正副卷等详细查看。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电子证据查看：支持实现对案件证据的查看，依据相关人员权限情况查看不同案件（一般程序案件、批量程序案件，反垄断案件，常驻代表机构案件）的电子证据详细内容。支持查看留痕。</w:t>
            </w:r>
          </w:p>
        </w:tc>
      </w:tr>
      <w:tr w14:paraId="6700C90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B2F88C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1335</w:t>
            </w:r>
          </w:p>
        </w:tc>
        <w:tc>
          <w:tcPr>
            <w:tcW w:w="491" w:type="pct"/>
            <w:tcBorders>
              <w:top w:val="nil"/>
              <w:left w:val="nil"/>
              <w:bottom w:val="single" w:color="000000" w:sz="4" w:space="0"/>
              <w:right w:val="single" w:color="000000" w:sz="4" w:space="0"/>
            </w:tcBorders>
            <w:shd w:val="clear" w:color="auto" w:fill="auto"/>
            <w:vAlign w:val="center"/>
          </w:tcPr>
          <w:p w14:paraId="399FAB3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D77294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行政处罚查询统计-多维统计-关键词检索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1F78592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引入关联产品和服务分类维度的智能检索、检索分析功能。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输入产品及服务名称，能检索到本市相关此类案件的总体数量、案件状态、罚没款、办案机关、案件列表等案件信息。</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通过关键字，查询人相应时间跨度内，此类案件的各维度的信息。并能按照年度/季度/月度等时间跨度，检索分析出此类案件的同比、环比分析情况。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5D79A619">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2D745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1336</w:t>
            </w:r>
          </w:p>
        </w:tc>
        <w:tc>
          <w:tcPr>
            <w:tcW w:w="491" w:type="pct"/>
            <w:tcBorders>
              <w:top w:val="nil"/>
              <w:left w:val="nil"/>
              <w:bottom w:val="single" w:color="000000" w:sz="4" w:space="0"/>
              <w:right w:val="single" w:color="000000" w:sz="4" w:space="0"/>
            </w:tcBorders>
            <w:shd w:val="clear" w:color="auto" w:fill="auto"/>
            <w:vAlign w:val="center"/>
          </w:tcPr>
          <w:p w14:paraId="7ED573D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5DCAD6F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行政处罚查询统计-多维统计-违法行为检索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49A5173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根据重点违法查询选择时间跨度后，可以查询到具体违法行为所涉及的相关案件各维度信息，并能按照年度/季度/月度等时间跨度，检索分析出此类案件的同比、环比分析情况。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详细描述见方案。</w:t>
            </w:r>
          </w:p>
        </w:tc>
      </w:tr>
      <w:tr w14:paraId="051D289B">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1EE6019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1337</w:t>
            </w:r>
          </w:p>
        </w:tc>
        <w:tc>
          <w:tcPr>
            <w:tcW w:w="491" w:type="pct"/>
            <w:tcBorders>
              <w:top w:val="nil"/>
              <w:left w:val="nil"/>
              <w:bottom w:val="single" w:color="000000" w:sz="4" w:space="0"/>
              <w:right w:val="single" w:color="000000" w:sz="4" w:space="0"/>
            </w:tcBorders>
            <w:shd w:val="clear" w:color="auto" w:fill="auto"/>
            <w:vAlign w:val="center"/>
          </w:tcPr>
          <w:p w14:paraId="78D80F5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3D2594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督办案件执行管理-督办案件管理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7B6A67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交办案件线索管理：①发起。市局稽查处收到上级部门或总局交办过来案件，由执法人员通过系统发起交办案件，登记交办事项、督办要求、被督办部门、督办时限等信息，确认无误后提交领导。②审核：责任科室领导接收交办过来案件线索信息，查看交办案件吸纳线索内容，并根据《市场监管综合执法办案督查督办暂行规定》文件要求，对交办案件线索内容进行审核，若不合规退回至发起人修改，确认无误后登记审核意见，并提交局领导审批。③审批：分管局领导接收稽查处转交过来的督办案件线索信息，并对线索内容合规性进行复核，确认无误后登记审批意见，只有通过分管局领导审批通过的交办线索才能。</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查督办方案管理：①督查督办方案的制定。责任部门开展综合执法督查工作方案制定，由执法人员通过系统创建督察督办方案，并明确督查对象、督查内容、工作要求、督查频次等事项；执法办案督办工作方案应当明确督办对象、督办案件名称、办案时限、调查方向、处理要求、办案进度报告频次等事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查督办工作方案报请市场监管部门分管负责人批准后，根据工作需要送案件审核机构以及相关业务指导机构；必要时，可以报送纪检监察等机构。市局执法总队制定执法办案督办工作方案应当报市局执法稽查处备案。根据工作需要，市局执法稽查处可以送市局案件审核机构以及相关业务指导机构；必要时，可以报送市纪委监委驻局监察组等机构。②督查督办方案审核。审核机构以及相关业务指导机构接收待审核的的督察督办方案，并对责任部门制定的方案内容进行合规性审核。③启动督办案件。稽查处收到督查督办方案审核通过通知，之后由执法人员通过启动审核通过的督查督办案件。只有审批通过且经启动的督察督办方案才有效。</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督办案件管理：①发起督办。经督办工作分管局领导同意、局主要领导批准发起督办或督办意见，之后由责任部门发起督办，通过系统创建督办任务，选择被督办机构、督办期限督、督察内容。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督查内容包括: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(一)上级市场监管部门、本级政府对市场监管综合执法行动相关要求的落实情况: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(二)上级和本级市场监管部门部署的综合执法行动的开展</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情况。</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督办案件包括:</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(一)上级市场监管部门督办以及本级政府有明确查办要求的案件;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经媒体报道产生广泛影响或者</w:t>
            </w:r>
            <w:r>
              <w:rPr>
                <w:rFonts w:hint="eastAsia" w:ascii="等线" w:hAnsi="等线" w:eastAsia="等线" w:cs="宋体"/>
                <w:b/>
                <w:bCs/>
                <w:color w:val="000000"/>
                <w:kern w:val="0"/>
                <w:sz w:val="22"/>
                <w:szCs w:val="22"/>
                <w:highlight w:val="none"/>
                <w:lang w:eastAsia="zh-CN"/>
              </w:rPr>
              <w:t>舆 情</w:t>
            </w:r>
            <w:r>
              <w:rPr>
                <w:rFonts w:hint="eastAsia" w:ascii="等线" w:hAnsi="等线" w:eastAsia="等线" w:cs="宋体"/>
                <w:b/>
                <w:bCs/>
                <w:color w:val="000000"/>
                <w:kern w:val="0"/>
                <w:sz w:val="22"/>
                <w:szCs w:val="22"/>
                <w:highlight w:val="none"/>
              </w:rPr>
              <w:t>比较集中的案件: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(三)人大代表、政协委员、消费者反映集中的案件;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(四)可能存在行业性、区域性风险的案件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②督办审核。责任科室领导接收待审核督办案件，查看交办案件的督查内容、督办案件等内容，并根据《市场监管综合执法办案督查督办暂行规定》文件要求，对督办案件合规性进行审核，确认无误后登记督查督办的审核意见，并提交分管局领导审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③督办审批。分管局领导接收责任部门转交过来的督察督办案件，通过系统查看督察督办案件的内容，并对案件内容合规性进行审批，确认无误后登记审批意见，只有通过分管局领导审批通过的督察督办案件才能走相应案件执行流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案件衔接：督办案件线索与行政执法案件类型对应绑定。责任部门发起的督查督办案件审批通过，系统自动将督察督办案件转相应案件，并走相应案件流程督办与案件线索或在办案件对应绑定。</w:t>
            </w:r>
          </w:p>
        </w:tc>
      </w:tr>
      <w:tr w14:paraId="475D4F50">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4AAB82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1338</w:t>
            </w:r>
          </w:p>
        </w:tc>
        <w:tc>
          <w:tcPr>
            <w:tcW w:w="491" w:type="pct"/>
            <w:tcBorders>
              <w:top w:val="nil"/>
              <w:left w:val="nil"/>
              <w:bottom w:val="single" w:color="000000" w:sz="4" w:space="0"/>
              <w:right w:val="single" w:color="000000" w:sz="4" w:space="0"/>
            </w:tcBorders>
            <w:shd w:val="clear" w:color="auto" w:fill="auto"/>
            <w:vAlign w:val="center"/>
          </w:tcPr>
          <w:p w14:paraId="30A9DC7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F7C42C1">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督办案件执行管理-督办案件执行管理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5D19F1C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立案：督查督办案件（一般程序案件、批量吊照案件、反垄断案件、常驻代表机构）立案通过，系统会提示上报市局。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不予立案：①不予立案提示：执法人员对督查督办案件（一般程序案件、批量吊照案件、反垄断案件、常驻代表机构）展开现场立案调查，经取证不符实，不需要立案。需要启动不予立案审批程序时，系统会提示不予立案需上报市局，经同意后方可启动不予立案。②不予立案上报：经区局执法人员现场核实不需要立案。执法人员通过系统发起督查督办案件（一般程序案件、批量吊照案件、反垄断案件、常驻代表机构）不予立案登记并上报市局。③不予立案审批：市局接收区局上报过来的督查督办案件的不予立案信息，通过系统查看调查取证内容，并根据2号令文件不予立案要求，对督查督办案件不予立案的合规性进行确认，并登记不予立案审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调查终结：调查终结完成上报提示 督查督办案件（一般程序案件、批量吊照案件、反垄断案件、常驻代表机构）完成调查终结报告生成，系统会自动提示执法人员处理意见上报市局，经同意后才能进入督查督办案件执行流程。</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案件进展：案件进展上报提示 每月报告日到期前五天，系统提示案件（一般程序案件、批量吊照案件、反垄断案件、常驻代表机构）调查进展需上报市局。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处理决定：督查督办案件（一般程序案件、批量吊照案件、反垄断案件、常驻代表机构）的处罚决定书、不予处罚决定书、移送书等文书审批完成时，系统提示办理结果报市局。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案件捏合：针对存在督办案件（一般程序案件、批量吊照案件、反垄断案件、常驻代表机构）关联几个案件，由区局督办机构负责将几个案件捏合成一个督办案件。</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执法人员调整：督查督办案件（一般程序案件、批量吊照案件、反垄断案件、常驻代表机构）办案可能涉及几个基层所，需要区局督办机构调整办案机构和人员。</w:t>
            </w:r>
          </w:p>
        </w:tc>
      </w:tr>
      <w:tr w14:paraId="11F82DCA">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61B878B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1339</w:t>
            </w:r>
          </w:p>
        </w:tc>
        <w:tc>
          <w:tcPr>
            <w:tcW w:w="491" w:type="pct"/>
            <w:tcBorders>
              <w:top w:val="nil"/>
              <w:left w:val="nil"/>
              <w:bottom w:val="single" w:color="000000" w:sz="4" w:space="0"/>
              <w:right w:val="single" w:color="000000" w:sz="4" w:space="0"/>
            </w:tcBorders>
            <w:shd w:val="clear" w:color="auto" w:fill="auto"/>
            <w:vAlign w:val="center"/>
          </w:tcPr>
          <w:p w14:paraId="7CFCF23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0EE4A549">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督办案件执行管理-提示报告</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4A5A6A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对于超期报告和未报告的督查督办案件（一般程序案件、批量吊照案件、反垄断案件、常驻代表机构）情况，系统予以情况记录，警示执法单位并反馈给督办部门。</w:t>
            </w:r>
          </w:p>
        </w:tc>
      </w:tr>
      <w:tr w14:paraId="16786C46">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79016A6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1340</w:t>
            </w:r>
          </w:p>
        </w:tc>
        <w:tc>
          <w:tcPr>
            <w:tcW w:w="491" w:type="pct"/>
            <w:tcBorders>
              <w:top w:val="nil"/>
              <w:left w:val="nil"/>
              <w:bottom w:val="single" w:color="000000" w:sz="4" w:space="0"/>
              <w:right w:val="single" w:color="000000" w:sz="4" w:space="0"/>
            </w:tcBorders>
            <w:shd w:val="clear" w:color="auto" w:fill="auto"/>
            <w:vAlign w:val="center"/>
          </w:tcPr>
          <w:p w14:paraId="465D0C2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7AA8EAE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督办案件执行管理-催办案件回复</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3D48372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针对督查督办案件（一般程序案件、批量吊照案件、反垄断案件、常驻代表机构），被督办单位需要在三个工作日内回复催办或督办意见。由区局责任部门负责回复督办意见。</w:t>
            </w:r>
          </w:p>
        </w:tc>
      </w:tr>
      <w:tr w14:paraId="0A5BDFB3">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4DE672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1341</w:t>
            </w:r>
          </w:p>
        </w:tc>
        <w:tc>
          <w:tcPr>
            <w:tcW w:w="491" w:type="pct"/>
            <w:tcBorders>
              <w:top w:val="nil"/>
              <w:left w:val="nil"/>
              <w:bottom w:val="single" w:color="000000" w:sz="4" w:space="0"/>
              <w:right w:val="single" w:color="000000" w:sz="4" w:space="0"/>
            </w:tcBorders>
            <w:shd w:val="clear" w:color="auto" w:fill="auto"/>
            <w:vAlign w:val="center"/>
          </w:tcPr>
          <w:p w14:paraId="03277BE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CC97D7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督办案件执行管理-督办案件报告管理-督办案件报告生成管理</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8DE7C84">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起草督办报告：执法人员根据督查督办案件（一般程序案件、批量吊照案件、反垄断案件、常驻代表机构）现阶段进展情况或在督办案件重大进展阶段发起起草打扮报告，通过系统登记督办案件（一般程序案件、批量吊照案件、反垄断案件、常驻代表机构）进展信息，确认无误后发起督办报告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部门初审：区局部门负责人接收执法企业发起的督查督办案件（一般程序案件、批量吊照案件、反垄断案件、常驻代表机构）报告，通过系统查看督办报告，确认报告内容是否有误，并登记初审意见。若有误将督办报告推至发起人修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业务科室审核：区局业务科室接收部门负责人转交过来的督办报告，查看初审意见和督办报告内容，并根据《市场监管综合执法办案督查督办暂行规定》要求对督办案件报告内容进行审核。</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科室复核：区局督办科室接收待复核的督查督办案件（一般程序案件、批量吊照案件、反垄断案件、常驻代表机构）报告，查看部门意见、业务科室意见和督办报告内容，确定督查督办案件（一般程序案件、批量吊照案件、反垄断案件、常驻代表机构）报告是否有问题，并登记复核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领导审批：区局分管局领导通过系统接收转交过来督查督办案件（一般程序案件、批量吊照案件、反垄断案件、常驻代表机构）报告，查看各级领导审批意见和督办报告内容，确认无误后登记审批意见。</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⽣成电⼦报告：执法人员接收督查督办案件（一般程序案件、批量吊照案件、反垄断案件、常驻代表机构）审批通过通知，通过系统选择在线生成督办电子报告，并调用电子印章完成电子签章。</w:t>
            </w:r>
          </w:p>
        </w:tc>
      </w:tr>
      <w:tr w14:paraId="553B112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1A1805E">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1342</w:t>
            </w:r>
          </w:p>
        </w:tc>
        <w:tc>
          <w:tcPr>
            <w:tcW w:w="491" w:type="pct"/>
            <w:tcBorders>
              <w:top w:val="nil"/>
              <w:left w:val="nil"/>
              <w:bottom w:val="single" w:color="000000" w:sz="4" w:space="0"/>
              <w:right w:val="single" w:color="000000" w:sz="4" w:space="0"/>
            </w:tcBorders>
            <w:shd w:val="clear" w:color="auto" w:fill="auto"/>
            <w:vAlign w:val="center"/>
          </w:tcPr>
          <w:p w14:paraId="2BC63B50">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6EDE497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督办案件执行管理-督办案件报告管理-督办报告上报</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0B685E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督办报告上报：区局责任部门负责将督查督办案件（一般程序案件、批量吊照案件、反垄断案件、常驻代表机构）报告上报市局。</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级处室审核：市级处室接收区局上报过来的督查督办案件报告，通过系统查询区局各级领导审批意见和督办报告内容，并对督办报告内容审核，确认督办报告是否存在问题，登记审核意见。若存在问题退回至区局责任部门修改。若存在问题通过系统上报市级督办部门审批。</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市级督办部门审批：市级督办部门接收由处室转交过来督查督办案件报告，根据《市场监管综合执法办案督查督办暂行规定》要求对督查督办案件报告内容进行合规性检查。</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督办报告查看：市局督办部门和业务处室通过系统可以实时查看被督办单位上报的督查督办案件（一般程序案件、批量吊照案件、反垄断案件、常驻代表机构）报告内容(包括未经审批的报告)。</w:t>
            </w:r>
          </w:p>
        </w:tc>
      </w:tr>
      <w:tr w14:paraId="0052F7D5">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60F08F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1343</w:t>
            </w:r>
          </w:p>
        </w:tc>
        <w:tc>
          <w:tcPr>
            <w:tcW w:w="491" w:type="pct"/>
            <w:tcBorders>
              <w:top w:val="nil"/>
              <w:left w:val="nil"/>
              <w:bottom w:val="single" w:color="000000" w:sz="4" w:space="0"/>
              <w:right w:val="single" w:color="000000" w:sz="4" w:space="0"/>
            </w:tcBorders>
            <w:shd w:val="clear" w:color="auto" w:fill="auto"/>
            <w:vAlign w:val="center"/>
          </w:tcPr>
          <w:p w14:paraId="19D8FF1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34BE269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督办案件执行管理-统计分析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7DDC1D0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查督办工作报告汇总：系统自动汇总督查督办案件（一般程序案件、批量吊照案件、反垄断案件、常驻代表机构）工作报告以及相关材料，督查督办机构可以根据督查督办案件的名称，查询每个督办文件涉及工作报告和过程材料。</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查询统计：系统提供查询统计功能，支持按照时间段、部门、区域、线索来源、完成/未完成、超期报告、未报告,以及案件类型（一般程序案件、批量吊照案件、反垄断案件、常驻代表机构）和案件完成阶段（立案/未立案、调查终结、处理）进行查询统计，方便督查督办机构掌握督查督办案件完成情况，对全局的督查督办效能进行评估。</w:t>
            </w:r>
          </w:p>
        </w:tc>
      </w:tr>
      <w:tr w14:paraId="7084812D">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09FA48C6">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1344</w:t>
            </w:r>
          </w:p>
        </w:tc>
        <w:tc>
          <w:tcPr>
            <w:tcW w:w="491" w:type="pct"/>
            <w:tcBorders>
              <w:top w:val="nil"/>
              <w:left w:val="nil"/>
              <w:bottom w:val="single" w:color="000000" w:sz="4" w:space="0"/>
              <w:right w:val="single" w:color="000000" w:sz="4" w:space="0"/>
            </w:tcBorders>
            <w:shd w:val="clear" w:color="auto" w:fill="auto"/>
            <w:vAlign w:val="center"/>
          </w:tcPr>
          <w:p w14:paraId="61C695B7">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A6A8822">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督办案件执行管理-督办案件文书生成</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3F531C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交办文书生成：督查督办案件（一般程序案件、批量吊照案件、反垄断案件、常驻代表机构）完成线索交办审批，系统自动生成交办文书。</w:t>
            </w:r>
            <w:r>
              <w:rPr>
                <w:rFonts w:hint="eastAsia" w:ascii="等线" w:hAnsi="等线" w:eastAsia="等线" w:cs="宋体"/>
                <w:b/>
                <w:bCs/>
                <w:color w:val="000000"/>
                <w:kern w:val="0"/>
                <w:sz w:val="22"/>
                <w:szCs w:val="22"/>
                <w:highlight w:val="none"/>
              </w:rPr>
              <w:br w:type="textWrapping"/>
            </w:r>
            <w:r>
              <w:rPr>
                <w:rFonts w:hint="eastAsia" w:ascii="等线" w:hAnsi="等线" w:eastAsia="等线" w:cs="宋体"/>
                <w:b/>
                <w:bCs/>
                <w:color w:val="000000"/>
                <w:kern w:val="0"/>
                <w:sz w:val="22"/>
                <w:szCs w:val="22"/>
                <w:highlight w:val="none"/>
              </w:rPr>
              <w:t>督办文书（2份）及审批表生成：督查督办案件（一般程序案件、批量吊照案件、反垄断案件、常驻代表机构）完成督查督办案件和督办审批，系统自动生成督办文书（2份）及审批表。</w:t>
            </w:r>
          </w:p>
        </w:tc>
      </w:tr>
      <w:tr w14:paraId="316DB42F">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265C9748">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1345</w:t>
            </w:r>
          </w:p>
        </w:tc>
        <w:tc>
          <w:tcPr>
            <w:tcW w:w="491" w:type="pct"/>
            <w:tcBorders>
              <w:top w:val="nil"/>
              <w:left w:val="nil"/>
              <w:bottom w:val="single" w:color="000000" w:sz="4" w:space="0"/>
              <w:right w:val="single" w:color="000000" w:sz="4" w:space="0"/>
            </w:tcBorders>
            <w:shd w:val="clear" w:color="auto" w:fill="auto"/>
            <w:vAlign w:val="center"/>
          </w:tcPr>
          <w:p w14:paraId="4924696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14ECF38F">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权责清单管理-权责清单维护</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61486593">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支持权责清单维护，实现对权责清单的维护及与各相关业务系统的联动管理功能，包括对权责清单修改、更新。</w:t>
            </w:r>
          </w:p>
        </w:tc>
      </w:tr>
      <w:tr w14:paraId="584D24E4">
        <w:tblPrEx>
          <w:tblCellMar>
            <w:top w:w="0" w:type="dxa"/>
            <w:left w:w="108" w:type="dxa"/>
            <w:bottom w:w="0" w:type="dxa"/>
            <w:right w:w="108" w:type="dxa"/>
          </w:tblCellMar>
        </w:tblPrEx>
        <w:trPr>
          <w:trHeight w:val="840" w:hRule="atLeast"/>
        </w:trPr>
        <w:tc>
          <w:tcPr>
            <w:tcW w:w="491" w:type="pct"/>
            <w:tcBorders>
              <w:top w:val="nil"/>
              <w:left w:val="single" w:color="000000" w:sz="4" w:space="0"/>
              <w:bottom w:val="single" w:color="000000" w:sz="4" w:space="0"/>
              <w:right w:val="single" w:color="000000" w:sz="4" w:space="0"/>
            </w:tcBorders>
            <w:shd w:val="clear" w:color="auto" w:fill="auto"/>
            <w:vAlign w:val="center"/>
          </w:tcPr>
          <w:p w14:paraId="58A64B9C">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1346</w:t>
            </w:r>
          </w:p>
        </w:tc>
        <w:tc>
          <w:tcPr>
            <w:tcW w:w="491" w:type="pct"/>
            <w:tcBorders>
              <w:top w:val="nil"/>
              <w:left w:val="nil"/>
              <w:bottom w:val="single" w:color="000000" w:sz="4" w:space="0"/>
              <w:right w:val="single" w:color="000000" w:sz="4" w:space="0"/>
            </w:tcBorders>
            <w:shd w:val="clear" w:color="auto" w:fill="auto"/>
            <w:vAlign w:val="center"/>
          </w:tcPr>
          <w:p w14:paraId="7EAF8605">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行政处罚与执法监督</w:t>
            </w:r>
          </w:p>
        </w:tc>
        <w:tc>
          <w:tcPr>
            <w:tcW w:w="1566" w:type="pct"/>
            <w:tcBorders>
              <w:top w:val="single" w:color="000000" w:sz="4" w:space="0"/>
              <w:left w:val="nil"/>
              <w:bottom w:val="single" w:color="000000" w:sz="4" w:space="0"/>
              <w:right w:val="single" w:color="000000" w:sz="4" w:space="0"/>
            </w:tcBorders>
            <w:shd w:val="clear" w:color="auto" w:fill="auto"/>
            <w:vAlign w:val="center"/>
          </w:tcPr>
          <w:p w14:paraId="2EB572AA">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权责清单管理-权责清单查询</w:t>
            </w:r>
          </w:p>
        </w:tc>
        <w:tc>
          <w:tcPr>
            <w:tcW w:w="2453" w:type="pct"/>
            <w:tcBorders>
              <w:top w:val="single" w:color="000000" w:sz="4" w:space="0"/>
              <w:left w:val="nil"/>
              <w:bottom w:val="single" w:color="000000" w:sz="4" w:space="0"/>
              <w:right w:val="single" w:color="000000" w:sz="4" w:space="0"/>
            </w:tcBorders>
            <w:shd w:val="clear" w:color="auto" w:fill="auto"/>
            <w:vAlign w:val="center"/>
          </w:tcPr>
          <w:p w14:paraId="01FCBF8D">
            <w:pPr>
              <w:widowControl/>
              <w:spacing w:line="240" w:lineRule="auto"/>
              <w:ind w:firstLine="0" w:firstLineChars="0"/>
              <w:jc w:val="center"/>
              <w:rPr>
                <w:rFonts w:hint="eastAsia" w:ascii="等线" w:hAnsi="等线" w:eastAsia="等线" w:cs="宋体"/>
                <w:b/>
                <w:bCs/>
                <w:color w:val="000000"/>
                <w:kern w:val="0"/>
                <w:sz w:val="22"/>
                <w:szCs w:val="22"/>
                <w:highlight w:val="none"/>
              </w:rPr>
            </w:pPr>
            <w:r>
              <w:rPr>
                <w:rFonts w:hint="eastAsia" w:ascii="等线" w:hAnsi="等线" w:eastAsia="等线" w:cs="宋体"/>
                <w:b/>
                <w:bCs/>
                <w:color w:val="000000"/>
                <w:kern w:val="0"/>
                <w:sz w:val="22"/>
                <w:szCs w:val="22"/>
                <w:highlight w:val="none"/>
              </w:rPr>
              <w:t>支持权责清单查询功能，多条件实现权责清单结果查询，实现结果导出等功能。查询支持按照权责清单名称、类别、时间等进行查询。</w:t>
            </w:r>
          </w:p>
        </w:tc>
      </w:tr>
    </w:tbl>
    <w:p w14:paraId="11709F2C">
      <w:pPr>
        <w:rPr>
          <w:rFonts w:hint="eastAsia"/>
          <w:highlight w:val="none"/>
        </w:rPr>
      </w:pPr>
    </w:p>
    <w:p w14:paraId="2D6465B8">
      <w:pPr>
        <w:pStyle w:val="2"/>
        <w:rPr>
          <w:rFonts w:hint="eastAsia"/>
          <w:highlight w:val="none"/>
        </w:rPr>
      </w:pPr>
      <w:bookmarkStart w:id="17" w:name="_Toc63785502"/>
      <w:r>
        <w:rPr>
          <w:rFonts w:hint="eastAsia"/>
          <w:highlight w:val="none"/>
        </w:rPr>
        <w:t>电子政务云资源需求</w:t>
      </w:r>
      <w:bookmarkEnd w:id="17"/>
    </w:p>
    <w:p w14:paraId="7F9F1AE8">
      <w:pPr>
        <w:rPr>
          <w:rFonts w:hint="eastAsia"/>
          <w:highlight w:val="none"/>
        </w:rPr>
      </w:pPr>
      <w:r>
        <w:rPr>
          <w:rFonts w:hint="eastAsia"/>
          <w:highlight w:val="none"/>
        </w:rPr>
        <w:t>根据项目前期资源现状，本次建设根据估算拟向电子政务云申请267台虚拟服务器资源CPU4416核 、内存11552G、存储317500T。</w:t>
      </w:r>
    </w:p>
    <w:tbl>
      <w:tblPr>
        <w:tblStyle w:val="35"/>
        <w:tblW w:w="8428" w:type="dxa"/>
        <w:tblInd w:w="0" w:type="dxa"/>
        <w:tblLayout w:type="fixed"/>
        <w:tblCellMar>
          <w:top w:w="0" w:type="dxa"/>
          <w:left w:w="108" w:type="dxa"/>
          <w:bottom w:w="0" w:type="dxa"/>
          <w:right w:w="108" w:type="dxa"/>
        </w:tblCellMar>
      </w:tblPr>
      <w:tblGrid>
        <w:gridCol w:w="562"/>
        <w:gridCol w:w="720"/>
        <w:gridCol w:w="1701"/>
        <w:gridCol w:w="2115"/>
        <w:gridCol w:w="850"/>
        <w:gridCol w:w="840"/>
        <w:gridCol w:w="850"/>
        <w:gridCol w:w="790"/>
      </w:tblGrid>
      <w:tr w14:paraId="157FDA76">
        <w:tblPrEx>
          <w:tblCellMar>
            <w:top w:w="0" w:type="dxa"/>
            <w:left w:w="108" w:type="dxa"/>
            <w:bottom w:w="0" w:type="dxa"/>
            <w:right w:w="108" w:type="dxa"/>
          </w:tblCellMar>
        </w:tblPrEx>
        <w:trPr>
          <w:trHeight w:val="2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14:paraId="15D83909">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序号</w:t>
            </w:r>
          </w:p>
        </w:tc>
        <w:tc>
          <w:tcPr>
            <w:tcW w:w="720" w:type="dxa"/>
            <w:tcBorders>
              <w:top w:val="single" w:color="auto" w:sz="4" w:space="0"/>
              <w:left w:val="nil"/>
              <w:bottom w:val="single" w:color="auto" w:sz="4" w:space="0"/>
              <w:right w:val="single" w:color="auto" w:sz="4" w:space="0"/>
            </w:tcBorders>
            <w:shd w:val="clear" w:color="auto" w:fill="auto"/>
            <w:noWrap/>
            <w:vAlign w:val="center"/>
          </w:tcPr>
          <w:p w14:paraId="2310C066">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资源类型</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4B1D063">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资源名称</w:t>
            </w:r>
          </w:p>
        </w:tc>
        <w:tc>
          <w:tcPr>
            <w:tcW w:w="2115" w:type="dxa"/>
            <w:tcBorders>
              <w:top w:val="single" w:color="auto" w:sz="4" w:space="0"/>
              <w:left w:val="nil"/>
              <w:bottom w:val="single" w:color="auto" w:sz="4" w:space="0"/>
              <w:right w:val="single" w:color="auto" w:sz="4" w:space="0"/>
            </w:tcBorders>
            <w:shd w:val="clear" w:color="auto" w:fill="auto"/>
            <w:noWrap/>
            <w:vAlign w:val="center"/>
          </w:tcPr>
          <w:p w14:paraId="44943CCF">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资源说明</w:t>
            </w:r>
          </w:p>
        </w:tc>
        <w:tc>
          <w:tcPr>
            <w:tcW w:w="850" w:type="dxa"/>
            <w:tcBorders>
              <w:top w:val="single" w:color="auto" w:sz="4" w:space="0"/>
              <w:left w:val="nil"/>
              <w:bottom w:val="single" w:color="auto" w:sz="4" w:space="0"/>
              <w:right w:val="single" w:color="auto" w:sz="4" w:space="0"/>
            </w:tcBorders>
            <w:shd w:val="clear" w:color="auto" w:fill="auto"/>
            <w:vAlign w:val="center"/>
          </w:tcPr>
          <w:p w14:paraId="05ED98AF">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资源核心（核）</w:t>
            </w:r>
          </w:p>
        </w:tc>
        <w:tc>
          <w:tcPr>
            <w:tcW w:w="840" w:type="dxa"/>
            <w:tcBorders>
              <w:top w:val="single" w:color="auto" w:sz="4" w:space="0"/>
              <w:left w:val="nil"/>
              <w:bottom w:val="single" w:color="auto" w:sz="4" w:space="0"/>
              <w:right w:val="single" w:color="auto" w:sz="4" w:space="0"/>
            </w:tcBorders>
            <w:shd w:val="clear" w:color="auto" w:fill="auto"/>
            <w:noWrap/>
            <w:vAlign w:val="center"/>
          </w:tcPr>
          <w:p w14:paraId="07072FFE">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资源内存(GB)</w:t>
            </w:r>
          </w:p>
        </w:tc>
        <w:tc>
          <w:tcPr>
            <w:tcW w:w="850" w:type="dxa"/>
            <w:tcBorders>
              <w:top w:val="single" w:color="auto" w:sz="4" w:space="0"/>
              <w:left w:val="nil"/>
              <w:bottom w:val="single" w:color="auto" w:sz="4" w:space="0"/>
              <w:right w:val="single" w:color="auto" w:sz="4" w:space="0"/>
            </w:tcBorders>
            <w:shd w:val="clear" w:color="auto" w:fill="auto"/>
            <w:noWrap/>
            <w:vAlign w:val="center"/>
          </w:tcPr>
          <w:p w14:paraId="39C8E283">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存储数量(GB)</w:t>
            </w:r>
          </w:p>
        </w:tc>
        <w:tc>
          <w:tcPr>
            <w:tcW w:w="790" w:type="dxa"/>
            <w:tcBorders>
              <w:top w:val="single" w:color="auto" w:sz="4" w:space="0"/>
              <w:left w:val="nil"/>
              <w:bottom w:val="single" w:color="auto" w:sz="4" w:space="0"/>
              <w:right w:val="single" w:color="auto" w:sz="4" w:space="0"/>
            </w:tcBorders>
            <w:shd w:val="clear" w:color="auto" w:fill="auto"/>
            <w:noWrap/>
            <w:vAlign w:val="center"/>
          </w:tcPr>
          <w:p w14:paraId="6AA6A11E">
            <w:pPr>
              <w:widowControl/>
              <w:spacing w:line="240" w:lineRule="auto"/>
              <w:ind w:firstLine="0" w:firstLineChars="0"/>
              <w:jc w:val="center"/>
              <w:rPr>
                <w:rFonts w:hint="eastAsia" w:cs="宋体"/>
                <w:b/>
                <w:bCs/>
                <w:color w:val="000000"/>
                <w:kern w:val="0"/>
                <w:sz w:val="21"/>
                <w:szCs w:val="21"/>
                <w:highlight w:val="none"/>
              </w:rPr>
            </w:pPr>
            <w:r>
              <w:rPr>
                <w:rFonts w:hint="eastAsia" w:cs="宋体"/>
                <w:b/>
                <w:bCs/>
                <w:color w:val="000000"/>
                <w:kern w:val="0"/>
                <w:sz w:val="21"/>
                <w:szCs w:val="21"/>
                <w:highlight w:val="none"/>
              </w:rPr>
              <w:t>资源数量(台)</w:t>
            </w:r>
          </w:p>
        </w:tc>
      </w:tr>
      <w:tr w14:paraId="06A9EAA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4EC9D2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c>
          <w:tcPr>
            <w:tcW w:w="720" w:type="dxa"/>
            <w:tcBorders>
              <w:top w:val="nil"/>
              <w:left w:val="nil"/>
              <w:bottom w:val="single" w:color="auto" w:sz="4" w:space="0"/>
              <w:right w:val="single" w:color="auto" w:sz="4" w:space="0"/>
            </w:tcBorders>
            <w:shd w:val="clear" w:color="auto" w:fill="auto"/>
            <w:vAlign w:val="center"/>
          </w:tcPr>
          <w:p w14:paraId="6456F66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736CD1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政务外网区-一网通办大系统</w:t>
            </w:r>
          </w:p>
        </w:tc>
        <w:tc>
          <w:tcPr>
            <w:tcW w:w="2115" w:type="dxa"/>
            <w:tcBorders>
              <w:top w:val="nil"/>
              <w:left w:val="nil"/>
              <w:bottom w:val="single" w:color="auto" w:sz="4" w:space="0"/>
              <w:right w:val="single" w:color="auto" w:sz="4" w:space="0"/>
            </w:tcBorders>
            <w:shd w:val="clear" w:color="auto" w:fill="auto"/>
            <w:vAlign w:val="center"/>
          </w:tcPr>
          <w:p w14:paraId="0C65D94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企业登记在线应用服务器（应用架构升级）</w:t>
            </w:r>
          </w:p>
        </w:tc>
        <w:tc>
          <w:tcPr>
            <w:tcW w:w="850" w:type="dxa"/>
            <w:tcBorders>
              <w:top w:val="nil"/>
              <w:left w:val="nil"/>
              <w:bottom w:val="single" w:color="auto" w:sz="4" w:space="0"/>
              <w:right w:val="single" w:color="auto" w:sz="4" w:space="0"/>
            </w:tcBorders>
            <w:shd w:val="clear" w:color="auto" w:fill="auto"/>
            <w:vAlign w:val="center"/>
          </w:tcPr>
          <w:p w14:paraId="3A4C183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144A812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094A6AD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06F1D5F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12</w:t>
            </w:r>
          </w:p>
        </w:tc>
      </w:tr>
      <w:tr w14:paraId="492DD4E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F9BC98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c>
          <w:tcPr>
            <w:tcW w:w="720" w:type="dxa"/>
            <w:tcBorders>
              <w:top w:val="nil"/>
              <w:left w:val="nil"/>
              <w:bottom w:val="single" w:color="auto" w:sz="4" w:space="0"/>
              <w:right w:val="single" w:color="auto" w:sz="4" w:space="0"/>
            </w:tcBorders>
            <w:shd w:val="clear" w:color="auto" w:fill="auto"/>
            <w:vAlign w:val="center"/>
          </w:tcPr>
          <w:p w14:paraId="569031F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4D9A15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政务外网区-一网通办大系统</w:t>
            </w:r>
          </w:p>
        </w:tc>
        <w:tc>
          <w:tcPr>
            <w:tcW w:w="2115" w:type="dxa"/>
            <w:tcBorders>
              <w:top w:val="nil"/>
              <w:left w:val="nil"/>
              <w:bottom w:val="single" w:color="auto" w:sz="4" w:space="0"/>
              <w:right w:val="single" w:color="auto" w:sz="4" w:space="0"/>
            </w:tcBorders>
            <w:shd w:val="clear" w:color="auto" w:fill="auto"/>
            <w:vAlign w:val="center"/>
          </w:tcPr>
          <w:p w14:paraId="5C0FE49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企业登记在线应用服务器（电子营业执照升级）</w:t>
            </w:r>
          </w:p>
        </w:tc>
        <w:tc>
          <w:tcPr>
            <w:tcW w:w="850" w:type="dxa"/>
            <w:tcBorders>
              <w:top w:val="nil"/>
              <w:left w:val="nil"/>
              <w:bottom w:val="single" w:color="auto" w:sz="4" w:space="0"/>
              <w:right w:val="single" w:color="auto" w:sz="4" w:space="0"/>
            </w:tcBorders>
            <w:shd w:val="clear" w:color="auto" w:fill="auto"/>
            <w:vAlign w:val="center"/>
          </w:tcPr>
          <w:p w14:paraId="68C2630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045DF76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3E83D6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1F8840E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67256F0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E4C66B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c>
          <w:tcPr>
            <w:tcW w:w="720" w:type="dxa"/>
            <w:tcBorders>
              <w:top w:val="nil"/>
              <w:left w:val="nil"/>
              <w:bottom w:val="single" w:color="auto" w:sz="4" w:space="0"/>
              <w:right w:val="single" w:color="auto" w:sz="4" w:space="0"/>
            </w:tcBorders>
            <w:shd w:val="clear" w:color="auto" w:fill="auto"/>
            <w:vAlign w:val="center"/>
          </w:tcPr>
          <w:p w14:paraId="540E914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4DE7BC7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政务外网区-一网通办大系统</w:t>
            </w:r>
          </w:p>
        </w:tc>
        <w:tc>
          <w:tcPr>
            <w:tcW w:w="2115" w:type="dxa"/>
            <w:tcBorders>
              <w:top w:val="nil"/>
              <w:left w:val="nil"/>
              <w:bottom w:val="single" w:color="auto" w:sz="4" w:space="0"/>
              <w:right w:val="single" w:color="auto" w:sz="4" w:space="0"/>
            </w:tcBorders>
            <w:shd w:val="clear" w:color="auto" w:fill="auto"/>
            <w:vAlign w:val="center"/>
          </w:tcPr>
          <w:p w14:paraId="4E36D8A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企业登记在线应用服务器（业务功能升级）</w:t>
            </w:r>
          </w:p>
        </w:tc>
        <w:tc>
          <w:tcPr>
            <w:tcW w:w="850" w:type="dxa"/>
            <w:tcBorders>
              <w:top w:val="nil"/>
              <w:left w:val="nil"/>
              <w:bottom w:val="single" w:color="auto" w:sz="4" w:space="0"/>
              <w:right w:val="single" w:color="auto" w:sz="4" w:space="0"/>
            </w:tcBorders>
            <w:shd w:val="clear" w:color="auto" w:fill="auto"/>
            <w:vAlign w:val="center"/>
          </w:tcPr>
          <w:p w14:paraId="292194C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085616B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69B19A8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5D82348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771DCA2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2220B5B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c>
          <w:tcPr>
            <w:tcW w:w="720" w:type="dxa"/>
            <w:tcBorders>
              <w:top w:val="nil"/>
              <w:left w:val="nil"/>
              <w:bottom w:val="single" w:color="auto" w:sz="4" w:space="0"/>
              <w:right w:val="single" w:color="auto" w:sz="4" w:space="0"/>
            </w:tcBorders>
            <w:shd w:val="clear" w:color="auto" w:fill="auto"/>
            <w:vAlign w:val="center"/>
          </w:tcPr>
          <w:p w14:paraId="5BE8B97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A2132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政务外网区-一网通办大系统</w:t>
            </w:r>
          </w:p>
        </w:tc>
        <w:tc>
          <w:tcPr>
            <w:tcW w:w="2115" w:type="dxa"/>
            <w:tcBorders>
              <w:top w:val="nil"/>
              <w:left w:val="nil"/>
              <w:bottom w:val="single" w:color="auto" w:sz="4" w:space="0"/>
              <w:right w:val="single" w:color="auto" w:sz="4" w:space="0"/>
            </w:tcBorders>
            <w:shd w:val="clear" w:color="auto" w:fill="auto"/>
            <w:vAlign w:val="center"/>
          </w:tcPr>
          <w:p w14:paraId="36AB764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企业登记在线数据库服务器</w:t>
            </w:r>
          </w:p>
        </w:tc>
        <w:tc>
          <w:tcPr>
            <w:tcW w:w="850" w:type="dxa"/>
            <w:tcBorders>
              <w:top w:val="nil"/>
              <w:left w:val="nil"/>
              <w:bottom w:val="single" w:color="auto" w:sz="4" w:space="0"/>
              <w:right w:val="single" w:color="auto" w:sz="4" w:space="0"/>
            </w:tcBorders>
            <w:shd w:val="clear" w:color="auto" w:fill="auto"/>
            <w:vAlign w:val="center"/>
          </w:tcPr>
          <w:p w14:paraId="6AE4726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5904DA1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2A30738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1FCC2E6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4925743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CE17A6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w:t>
            </w:r>
          </w:p>
        </w:tc>
        <w:tc>
          <w:tcPr>
            <w:tcW w:w="720" w:type="dxa"/>
            <w:tcBorders>
              <w:top w:val="nil"/>
              <w:left w:val="nil"/>
              <w:bottom w:val="single" w:color="auto" w:sz="4" w:space="0"/>
              <w:right w:val="single" w:color="auto" w:sz="4" w:space="0"/>
            </w:tcBorders>
            <w:shd w:val="clear" w:color="auto" w:fill="auto"/>
            <w:vAlign w:val="center"/>
          </w:tcPr>
          <w:p w14:paraId="0122D1C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FD5ECB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互联网区-一网通办大系统</w:t>
            </w:r>
          </w:p>
        </w:tc>
        <w:tc>
          <w:tcPr>
            <w:tcW w:w="2115" w:type="dxa"/>
            <w:tcBorders>
              <w:top w:val="nil"/>
              <w:left w:val="nil"/>
              <w:bottom w:val="single" w:color="auto" w:sz="4" w:space="0"/>
              <w:right w:val="single" w:color="auto" w:sz="4" w:space="0"/>
            </w:tcBorders>
            <w:shd w:val="clear" w:color="auto" w:fill="auto"/>
            <w:vAlign w:val="center"/>
          </w:tcPr>
          <w:p w14:paraId="3CE748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企业登记在线应用服务器（架构升级）</w:t>
            </w:r>
          </w:p>
        </w:tc>
        <w:tc>
          <w:tcPr>
            <w:tcW w:w="850" w:type="dxa"/>
            <w:tcBorders>
              <w:top w:val="nil"/>
              <w:left w:val="nil"/>
              <w:bottom w:val="single" w:color="auto" w:sz="4" w:space="0"/>
              <w:right w:val="single" w:color="auto" w:sz="4" w:space="0"/>
            </w:tcBorders>
            <w:shd w:val="clear" w:color="auto" w:fill="auto"/>
            <w:vAlign w:val="center"/>
          </w:tcPr>
          <w:p w14:paraId="0FD927A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18D322D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76EB43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3A9033F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12</w:t>
            </w:r>
          </w:p>
        </w:tc>
      </w:tr>
      <w:tr w14:paraId="074634B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CE7A59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c>
          <w:tcPr>
            <w:tcW w:w="720" w:type="dxa"/>
            <w:tcBorders>
              <w:top w:val="nil"/>
              <w:left w:val="nil"/>
              <w:bottom w:val="single" w:color="auto" w:sz="4" w:space="0"/>
              <w:right w:val="single" w:color="auto" w:sz="4" w:space="0"/>
            </w:tcBorders>
            <w:shd w:val="clear" w:color="auto" w:fill="auto"/>
            <w:vAlign w:val="center"/>
          </w:tcPr>
          <w:p w14:paraId="1DC85C4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A8837F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互联网区-一网通办大系统</w:t>
            </w:r>
          </w:p>
        </w:tc>
        <w:tc>
          <w:tcPr>
            <w:tcW w:w="2115" w:type="dxa"/>
            <w:tcBorders>
              <w:top w:val="nil"/>
              <w:left w:val="nil"/>
              <w:bottom w:val="single" w:color="auto" w:sz="4" w:space="0"/>
              <w:right w:val="single" w:color="auto" w:sz="4" w:space="0"/>
            </w:tcBorders>
            <w:shd w:val="clear" w:color="auto" w:fill="auto"/>
            <w:vAlign w:val="center"/>
          </w:tcPr>
          <w:p w14:paraId="46D8502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企业登记在线应用服务器（业务升级）</w:t>
            </w:r>
          </w:p>
        </w:tc>
        <w:tc>
          <w:tcPr>
            <w:tcW w:w="850" w:type="dxa"/>
            <w:tcBorders>
              <w:top w:val="nil"/>
              <w:left w:val="nil"/>
              <w:bottom w:val="single" w:color="auto" w:sz="4" w:space="0"/>
              <w:right w:val="single" w:color="auto" w:sz="4" w:space="0"/>
            </w:tcBorders>
            <w:shd w:val="clear" w:color="auto" w:fill="auto"/>
            <w:vAlign w:val="center"/>
          </w:tcPr>
          <w:p w14:paraId="7387DC4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3E1B8B0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1B08A2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2CB06CA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r>
      <w:tr w14:paraId="1E461C1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2B62153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7</w:t>
            </w:r>
          </w:p>
        </w:tc>
        <w:tc>
          <w:tcPr>
            <w:tcW w:w="720" w:type="dxa"/>
            <w:tcBorders>
              <w:top w:val="nil"/>
              <w:left w:val="nil"/>
              <w:bottom w:val="single" w:color="auto" w:sz="4" w:space="0"/>
              <w:right w:val="single" w:color="auto" w:sz="4" w:space="0"/>
            </w:tcBorders>
            <w:shd w:val="clear" w:color="auto" w:fill="auto"/>
            <w:vAlign w:val="center"/>
          </w:tcPr>
          <w:p w14:paraId="6CD4E80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ED6107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35434AE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综合监管一体化平台应用服务器</w:t>
            </w:r>
          </w:p>
        </w:tc>
        <w:tc>
          <w:tcPr>
            <w:tcW w:w="850" w:type="dxa"/>
            <w:tcBorders>
              <w:top w:val="nil"/>
              <w:left w:val="nil"/>
              <w:bottom w:val="single" w:color="auto" w:sz="4" w:space="0"/>
              <w:right w:val="single" w:color="auto" w:sz="4" w:space="0"/>
            </w:tcBorders>
            <w:shd w:val="clear" w:color="auto" w:fill="auto"/>
            <w:vAlign w:val="center"/>
          </w:tcPr>
          <w:p w14:paraId="719C477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136DB29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7269EE8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64F175E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4A28B01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02B0055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720" w:type="dxa"/>
            <w:tcBorders>
              <w:top w:val="nil"/>
              <w:left w:val="nil"/>
              <w:bottom w:val="single" w:color="auto" w:sz="4" w:space="0"/>
              <w:right w:val="single" w:color="auto" w:sz="4" w:space="0"/>
            </w:tcBorders>
            <w:shd w:val="clear" w:color="auto" w:fill="auto"/>
            <w:vAlign w:val="center"/>
          </w:tcPr>
          <w:p w14:paraId="35C94E1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6C5BBC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6AC074B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综合监管一体化平台（智慧赋能）应用服务器</w:t>
            </w:r>
          </w:p>
        </w:tc>
        <w:tc>
          <w:tcPr>
            <w:tcW w:w="850" w:type="dxa"/>
            <w:tcBorders>
              <w:top w:val="nil"/>
              <w:left w:val="nil"/>
              <w:bottom w:val="single" w:color="auto" w:sz="4" w:space="0"/>
              <w:right w:val="single" w:color="auto" w:sz="4" w:space="0"/>
            </w:tcBorders>
            <w:shd w:val="clear" w:color="auto" w:fill="auto"/>
            <w:vAlign w:val="center"/>
          </w:tcPr>
          <w:p w14:paraId="744B552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090E482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03F2E69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18853A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71BD23F2">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5F7AFB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9</w:t>
            </w:r>
          </w:p>
        </w:tc>
        <w:tc>
          <w:tcPr>
            <w:tcW w:w="720" w:type="dxa"/>
            <w:tcBorders>
              <w:top w:val="nil"/>
              <w:left w:val="nil"/>
              <w:bottom w:val="single" w:color="auto" w:sz="4" w:space="0"/>
              <w:right w:val="single" w:color="auto" w:sz="4" w:space="0"/>
            </w:tcBorders>
            <w:shd w:val="clear" w:color="auto" w:fill="auto"/>
            <w:vAlign w:val="center"/>
          </w:tcPr>
          <w:p w14:paraId="5A1C6E5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FC1292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00540C6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综合监管一体化平台数据库服务器</w:t>
            </w:r>
          </w:p>
        </w:tc>
        <w:tc>
          <w:tcPr>
            <w:tcW w:w="850" w:type="dxa"/>
            <w:tcBorders>
              <w:top w:val="nil"/>
              <w:left w:val="nil"/>
              <w:bottom w:val="single" w:color="auto" w:sz="4" w:space="0"/>
              <w:right w:val="single" w:color="auto" w:sz="4" w:space="0"/>
            </w:tcBorders>
            <w:shd w:val="clear" w:color="auto" w:fill="auto"/>
            <w:vAlign w:val="center"/>
          </w:tcPr>
          <w:p w14:paraId="336C28A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57605DB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26F835E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1B38EBD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78A94BB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0018F0A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c>
          <w:tcPr>
            <w:tcW w:w="720" w:type="dxa"/>
            <w:tcBorders>
              <w:top w:val="nil"/>
              <w:left w:val="nil"/>
              <w:bottom w:val="single" w:color="auto" w:sz="4" w:space="0"/>
              <w:right w:val="single" w:color="auto" w:sz="4" w:space="0"/>
            </w:tcBorders>
            <w:shd w:val="clear" w:color="auto" w:fill="auto"/>
            <w:vAlign w:val="center"/>
          </w:tcPr>
          <w:p w14:paraId="57D411C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DB9D4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互联网-一网统管大系统</w:t>
            </w:r>
          </w:p>
        </w:tc>
        <w:tc>
          <w:tcPr>
            <w:tcW w:w="2115" w:type="dxa"/>
            <w:tcBorders>
              <w:top w:val="nil"/>
              <w:left w:val="nil"/>
              <w:bottom w:val="single" w:color="auto" w:sz="4" w:space="0"/>
              <w:right w:val="single" w:color="auto" w:sz="4" w:space="0"/>
            </w:tcBorders>
            <w:shd w:val="clear" w:color="auto" w:fill="auto"/>
            <w:vAlign w:val="center"/>
          </w:tcPr>
          <w:p w14:paraId="5D1E2E5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综合监管一体化平台（企业端）应用服务器</w:t>
            </w:r>
          </w:p>
        </w:tc>
        <w:tc>
          <w:tcPr>
            <w:tcW w:w="850" w:type="dxa"/>
            <w:tcBorders>
              <w:top w:val="nil"/>
              <w:left w:val="nil"/>
              <w:bottom w:val="single" w:color="auto" w:sz="4" w:space="0"/>
              <w:right w:val="single" w:color="auto" w:sz="4" w:space="0"/>
            </w:tcBorders>
            <w:shd w:val="clear" w:color="auto" w:fill="auto"/>
            <w:vAlign w:val="center"/>
          </w:tcPr>
          <w:p w14:paraId="69E4154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6E10E03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18768A4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16A2A53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173244A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1CB1E7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11</w:t>
            </w:r>
          </w:p>
        </w:tc>
        <w:tc>
          <w:tcPr>
            <w:tcW w:w="720" w:type="dxa"/>
            <w:tcBorders>
              <w:top w:val="nil"/>
              <w:left w:val="nil"/>
              <w:bottom w:val="single" w:color="auto" w:sz="4" w:space="0"/>
              <w:right w:val="single" w:color="auto" w:sz="4" w:space="0"/>
            </w:tcBorders>
            <w:shd w:val="clear" w:color="auto" w:fill="auto"/>
            <w:vAlign w:val="center"/>
          </w:tcPr>
          <w:p w14:paraId="385CE43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EAB1C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互联网-一网统管大系统</w:t>
            </w:r>
          </w:p>
        </w:tc>
        <w:tc>
          <w:tcPr>
            <w:tcW w:w="2115" w:type="dxa"/>
            <w:tcBorders>
              <w:top w:val="nil"/>
              <w:left w:val="nil"/>
              <w:bottom w:val="single" w:color="auto" w:sz="4" w:space="0"/>
              <w:right w:val="single" w:color="auto" w:sz="4" w:space="0"/>
            </w:tcBorders>
            <w:shd w:val="clear" w:color="auto" w:fill="auto"/>
            <w:vAlign w:val="center"/>
          </w:tcPr>
          <w:p w14:paraId="6576AE8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综合监管一体化平台（移动端）应用服务器</w:t>
            </w:r>
          </w:p>
        </w:tc>
        <w:tc>
          <w:tcPr>
            <w:tcW w:w="850" w:type="dxa"/>
            <w:tcBorders>
              <w:top w:val="nil"/>
              <w:left w:val="nil"/>
              <w:bottom w:val="single" w:color="auto" w:sz="4" w:space="0"/>
              <w:right w:val="single" w:color="auto" w:sz="4" w:space="0"/>
            </w:tcBorders>
            <w:shd w:val="clear" w:color="auto" w:fill="auto"/>
            <w:vAlign w:val="center"/>
          </w:tcPr>
          <w:p w14:paraId="15130B1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169CA60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129B2BE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65EEDA1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28AEA980">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E819F4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12</w:t>
            </w:r>
          </w:p>
        </w:tc>
        <w:tc>
          <w:tcPr>
            <w:tcW w:w="720" w:type="dxa"/>
            <w:tcBorders>
              <w:top w:val="nil"/>
              <w:left w:val="nil"/>
              <w:bottom w:val="single" w:color="auto" w:sz="4" w:space="0"/>
              <w:right w:val="single" w:color="auto" w:sz="4" w:space="0"/>
            </w:tcBorders>
            <w:shd w:val="clear" w:color="auto" w:fill="auto"/>
            <w:vAlign w:val="center"/>
          </w:tcPr>
          <w:p w14:paraId="4DC7447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09BABD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1F1CC3B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广告监管（广告监管、广告发展）应用服务器</w:t>
            </w:r>
          </w:p>
        </w:tc>
        <w:tc>
          <w:tcPr>
            <w:tcW w:w="850" w:type="dxa"/>
            <w:tcBorders>
              <w:top w:val="nil"/>
              <w:left w:val="nil"/>
              <w:bottom w:val="single" w:color="auto" w:sz="4" w:space="0"/>
              <w:right w:val="single" w:color="auto" w:sz="4" w:space="0"/>
            </w:tcBorders>
            <w:shd w:val="clear" w:color="auto" w:fill="auto"/>
            <w:vAlign w:val="center"/>
          </w:tcPr>
          <w:p w14:paraId="2D8DA86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2E81B46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0F3D15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64B2568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0430529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FA9644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13</w:t>
            </w:r>
          </w:p>
        </w:tc>
        <w:tc>
          <w:tcPr>
            <w:tcW w:w="720" w:type="dxa"/>
            <w:tcBorders>
              <w:top w:val="nil"/>
              <w:left w:val="nil"/>
              <w:bottom w:val="single" w:color="auto" w:sz="4" w:space="0"/>
              <w:right w:val="single" w:color="auto" w:sz="4" w:space="0"/>
            </w:tcBorders>
            <w:shd w:val="clear" w:color="auto" w:fill="auto"/>
            <w:vAlign w:val="center"/>
          </w:tcPr>
          <w:p w14:paraId="3078A3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F35946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658B6DC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广告监管数据库服务器</w:t>
            </w:r>
          </w:p>
        </w:tc>
        <w:tc>
          <w:tcPr>
            <w:tcW w:w="850" w:type="dxa"/>
            <w:tcBorders>
              <w:top w:val="nil"/>
              <w:left w:val="nil"/>
              <w:bottom w:val="single" w:color="auto" w:sz="4" w:space="0"/>
              <w:right w:val="single" w:color="auto" w:sz="4" w:space="0"/>
            </w:tcBorders>
            <w:shd w:val="clear" w:color="auto" w:fill="auto"/>
            <w:vAlign w:val="center"/>
          </w:tcPr>
          <w:p w14:paraId="30FEC81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394E72D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1199930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4BAB42D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013CB13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CDDBAA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14</w:t>
            </w:r>
          </w:p>
        </w:tc>
        <w:tc>
          <w:tcPr>
            <w:tcW w:w="720" w:type="dxa"/>
            <w:tcBorders>
              <w:top w:val="nil"/>
              <w:left w:val="nil"/>
              <w:bottom w:val="single" w:color="auto" w:sz="4" w:space="0"/>
              <w:right w:val="single" w:color="auto" w:sz="4" w:space="0"/>
            </w:tcBorders>
            <w:shd w:val="clear" w:color="auto" w:fill="auto"/>
            <w:vAlign w:val="center"/>
          </w:tcPr>
          <w:p w14:paraId="714DA6C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4B03F68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互联网-一网统管大系统</w:t>
            </w:r>
          </w:p>
        </w:tc>
        <w:tc>
          <w:tcPr>
            <w:tcW w:w="2115" w:type="dxa"/>
            <w:tcBorders>
              <w:top w:val="nil"/>
              <w:left w:val="nil"/>
              <w:bottom w:val="single" w:color="auto" w:sz="4" w:space="0"/>
              <w:right w:val="single" w:color="auto" w:sz="4" w:space="0"/>
            </w:tcBorders>
            <w:shd w:val="clear" w:color="auto" w:fill="auto"/>
            <w:vAlign w:val="center"/>
          </w:tcPr>
          <w:p w14:paraId="7215C24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广告监管（广告公共服务）应用服务器</w:t>
            </w:r>
          </w:p>
        </w:tc>
        <w:tc>
          <w:tcPr>
            <w:tcW w:w="850" w:type="dxa"/>
            <w:tcBorders>
              <w:top w:val="nil"/>
              <w:left w:val="nil"/>
              <w:bottom w:val="single" w:color="auto" w:sz="4" w:space="0"/>
              <w:right w:val="single" w:color="auto" w:sz="4" w:space="0"/>
            </w:tcBorders>
            <w:shd w:val="clear" w:color="auto" w:fill="auto"/>
            <w:vAlign w:val="center"/>
          </w:tcPr>
          <w:p w14:paraId="47CC10B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7AA90E9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2A0E0B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30D89E4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3D0C069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067069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15</w:t>
            </w:r>
          </w:p>
        </w:tc>
        <w:tc>
          <w:tcPr>
            <w:tcW w:w="720" w:type="dxa"/>
            <w:tcBorders>
              <w:top w:val="nil"/>
              <w:left w:val="nil"/>
              <w:bottom w:val="single" w:color="auto" w:sz="4" w:space="0"/>
              <w:right w:val="single" w:color="auto" w:sz="4" w:space="0"/>
            </w:tcBorders>
            <w:shd w:val="clear" w:color="auto" w:fill="auto"/>
            <w:vAlign w:val="center"/>
          </w:tcPr>
          <w:p w14:paraId="5B7380A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91B70C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2CC360C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网络交易监管（总局对接）应用服务器</w:t>
            </w:r>
          </w:p>
        </w:tc>
        <w:tc>
          <w:tcPr>
            <w:tcW w:w="850" w:type="dxa"/>
            <w:tcBorders>
              <w:top w:val="nil"/>
              <w:left w:val="nil"/>
              <w:bottom w:val="single" w:color="auto" w:sz="4" w:space="0"/>
              <w:right w:val="single" w:color="auto" w:sz="4" w:space="0"/>
            </w:tcBorders>
            <w:shd w:val="clear" w:color="auto" w:fill="auto"/>
            <w:vAlign w:val="center"/>
          </w:tcPr>
          <w:p w14:paraId="5E65B43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7EC0C6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49C5D7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3DBAA9A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3592AA2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165F0A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720" w:type="dxa"/>
            <w:tcBorders>
              <w:top w:val="nil"/>
              <w:left w:val="nil"/>
              <w:bottom w:val="single" w:color="auto" w:sz="4" w:space="0"/>
              <w:right w:val="single" w:color="auto" w:sz="4" w:space="0"/>
            </w:tcBorders>
            <w:shd w:val="clear" w:color="auto" w:fill="auto"/>
            <w:vAlign w:val="center"/>
          </w:tcPr>
          <w:p w14:paraId="0ECD0A3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6B0C81A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59D759B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网络交易监管数据库服务器</w:t>
            </w:r>
          </w:p>
        </w:tc>
        <w:tc>
          <w:tcPr>
            <w:tcW w:w="850" w:type="dxa"/>
            <w:tcBorders>
              <w:top w:val="nil"/>
              <w:left w:val="nil"/>
              <w:bottom w:val="single" w:color="auto" w:sz="4" w:space="0"/>
              <w:right w:val="single" w:color="auto" w:sz="4" w:space="0"/>
            </w:tcBorders>
            <w:shd w:val="clear" w:color="auto" w:fill="auto"/>
            <w:vAlign w:val="center"/>
          </w:tcPr>
          <w:p w14:paraId="359A484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7AD2BFF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021BB5E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7C1E684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036DE2F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696ACF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17</w:t>
            </w:r>
          </w:p>
        </w:tc>
        <w:tc>
          <w:tcPr>
            <w:tcW w:w="720" w:type="dxa"/>
            <w:tcBorders>
              <w:top w:val="nil"/>
              <w:left w:val="nil"/>
              <w:bottom w:val="single" w:color="auto" w:sz="4" w:space="0"/>
              <w:right w:val="single" w:color="auto" w:sz="4" w:space="0"/>
            </w:tcBorders>
            <w:shd w:val="clear" w:color="auto" w:fill="auto"/>
            <w:vAlign w:val="center"/>
          </w:tcPr>
          <w:p w14:paraId="6D75E01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E23795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互联网区-一网统管大系统</w:t>
            </w:r>
          </w:p>
        </w:tc>
        <w:tc>
          <w:tcPr>
            <w:tcW w:w="2115" w:type="dxa"/>
            <w:tcBorders>
              <w:top w:val="nil"/>
              <w:left w:val="nil"/>
              <w:bottom w:val="single" w:color="auto" w:sz="4" w:space="0"/>
              <w:right w:val="single" w:color="auto" w:sz="4" w:space="0"/>
            </w:tcBorders>
            <w:shd w:val="clear" w:color="auto" w:fill="auto"/>
            <w:vAlign w:val="center"/>
          </w:tcPr>
          <w:p w14:paraId="11F329D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网络交易监管（第三方对接）应用服务器</w:t>
            </w:r>
          </w:p>
        </w:tc>
        <w:tc>
          <w:tcPr>
            <w:tcW w:w="850" w:type="dxa"/>
            <w:tcBorders>
              <w:top w:val="nil"/>
              <w:left w:val="nil"/>
              <w:bottom w:val="single" w:color="auto" w:sz="4" w:space="0"/>
              <w:right w:val="single" w:color="auto" w:sz="4" w:space="0"/>
            </w:tcBorders>
            <w:shd w:val="clear" w:color="auto" w:fill="auto"/>
            <w:vAlign w:val="center"/>
          </w:tcPr>
          <w:p w14:paraId="389812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3D0FDD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4B6C20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123E848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24936DFE">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29A7F31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18</w:t>
            </w:r>
          </w:p>
        </w:tc>
        <w:tc>
          <w:tcPr>
            <w:tcW w:w="720" w:type="dxa"/>
            <w:tcBorders>
              <w:top w:val="nil"/>
              <w:left w:val="nil"/>
              <w:bottom w:val="single" w:color="auto" w:sz="4" w:space="0"/>
              <w:right w:val="single" w:color="auto" w:sz="4" w:space="0"/>
            </w:tcBorders>
            <w:shd w:val="clear" w:color="auto" w:fill="auto"/>
            <w:vAlign w:val="center"/>
          </w:tcPr>
          <w:p w14:paraId="2B26AF4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61DEC9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450920A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放心消费创建应用服务器</w:t>
            </w:r>
          </w:p>
        </w:tc>
        <w:tc>
          <w:tcPr>
            <w:tcW w:w="850" w:type="dxa"/>
            <w:tcBorders>
              <w:top w:val="nil"/>
              <w:left w:val="nil"/>
              <w:bottom w:val="single" w:color="auto" w:sz="4" w:space="0"/>
              <w:right w:val="single" w:color="auto" w:sz="4" w:space="0"/>
            </w:tcBorders>
            <w:shd w:val="clear" w:color="auto" w:fill="auto"/>
            <w:vAlign w:val="center"/>
          </w:tcPr>
          <w:p w14:paraId="0A35DC4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F4FE86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792BC9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635A91A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5E1D9D7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6EF827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19</w:t>
            </w:r>
          </w:p>
        </w:tc>
        <w:tc>
          <w:tcPr>
            <w:tcW w:w="720" w:type="dxa"/>
            <w:tcBorders>
              <w:top w:val="nil"/>
              <w:left w:val="nil"/>
              <w:bottom w:val="single" w:color="auto" w:sz="4" w:space="0"/>
              <w:right w:val="single" w:color="auto" w:sz="4" w:space="0"/>
            </w:tcBorders>
            <w:shd w:val="clear" w:color="auto" w:fill="auto"/>
            <w:vAlign w:val="center"/>
          </w:tcPr>
          <w:p w14:paraId="6D6BE25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ED82EA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2681A15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放心消费创建数据库服务器</w:t>
            </w:r>
          </w:p>
        </w:tc>
        <w:tc>
          <w:tcPr>
            <w:tcW w:w="850" w:type="dxa"/>
            <w:tcBorders>
              <w:top w:val="nil"/>
              <w:left w:val="nil"/>
              <w:bottom w:val="single" w:color="auto" w:sz="4" w:space="0"/>
              <w:right w:val="single" w:color="auto" w:sz="4" w:space="0"/>
            </w:tcBorders>
            <w:shd w:val="clear" w:color="auto" w:fill="auto"/>
            <w:vAlign w:val="center"/>
          </w:tcPr>
          <w:p w14:paraId="5617720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5C7F48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1A14A4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24FECD7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4946BC9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12F618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w:t>
            </w:r>
          </w:p>
        </w:tc>
        <w:tc>
          <w:tcPr>
            <w:tcW w:w="720" w:type="dxa"/>
            <w:tcBorders>
              <w:top w:val="nil"/>
              <w:left w:val="nil"/>
              <w:bottom w:val="single" w:color="auto" w:sz="4" w:space="0"/>
              <w:right w:val="single" w:color="auto" w:sz="4" w:space="0"/>
            </w:tcBorders>
            <w:shd w:val="clear" w:color="auto" w:fill="auto"/>
            <w:vAlign w:val="center"/>
          </w:tcPr>
          <w:p w14:paraId="01BE77A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30201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互联网区-一网统管大系统</w:t>
            </w:r>
          </w:p>
        </w:tc>
        <w:tc>
          <w:tcPr>
            <w:tcW w:w="2115" w:type="dxa"/>
            <w:tcBorders>
              <w:top w:val="nil"/>
              <w:left w:val="nil"/>
              <w:bottom w:val="single" w:color="auto" w:sz="4" w:space="0"/>
              <w:right w:val="single" w:color="auto" w:sz="4" w:space="0"/>
            </w:tcBorders>
            <w:shd w:val="clear" w:color="auto" w:fill="auto"/>
            <w:vAlign w:val="center"/>
          </w:tcPr>
          <w:p w14:paraId="7F078E9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放心消费创建（公众查询）应用服务器</w:t>
            </w:r>
          </w:p>
        </w:tc>
        <w:tc>
          <w:tcPr>
            <w:tcW w:w="850" w:type="dxa"/>
            <w:tcBorders>
              <w:top w:val="nil"/>
              <w:left w:val="nil"/>
              <w:bottom w:val="single" w:color="auto" w:sz="4" w:space="0"/>
              <w:right w:val="single" w:color="auto" w:sz="4" w:space="0"/>
            </w:tcBorders>
            <w:shd w:val="clear" w:color="auto" w:fill="auto"/>
            <w:vAlign w:val="center"/>
          </w:tcPr>
          <w:p w14:paraId="5FF6E70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1E0B0E7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9374AF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4943CE1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524429E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9BEFF4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21</w:t>
            </w:r>
          </w:p>
        </w:tc>
        <w:tc>
          <w:tcPr>
            <w:tcW w:w="720" w:type="dxa"/>
            <w:tcBorders>
              <w:top w:val="nil"/>
              <w:left w:val="nil"/>
              <w:bottom w:val="single" w:color="auto" w:sz="4" w:space="0"/>
              <w:right w:val="single" w:color="auto" w:sz="4" w:space="0"/>
            </w:tcBorders>
            <w:shd w:val="clear" w:color="auto" w:fill="auto"/>
            <w:vAlign w:val="center"/>
          </w:tcPr>
          <w:p w14:paraId="6F54D0C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3DAA87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167E3B1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经营者集中审查应用服务器</w:t>
            </w:r>
          </w:p>
        </w:tc>
        <w:tc>
          <w:tcPr>
            <w:tcW w:w="850" w:type="dxa"/>
            <w:tcBorders>
              <w:top w:val="nil"/>
              <w:left w:val="nil"/>
              <w:bottom w:val="single" w:color="auto" w:sz="4" w:space="0"/>
              <w:right w:val="single" w:color="auto" w:sz="4" w:space="0"/>
            </w:tcBorders>
            <w:shd w:val="clear" w:color="auto" w:fill="auto"/>
            <w:vAlign w:val="center"/>
          </w:tcPr>
          <w:p w14:paraId="03ADDB5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3FC4675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6CBDE43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4BE95A9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40D08B5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C07F90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22</w:t>
            </w:r>
          </w:p>
        </w:tc>
        <w:tc>
          <w:tcPr>
            <w:tcW w:w="720" w:type="dxa"/>
            <w:tcBorders>
              <w:top w:val="nil"/>
              <w:left w:val="nil"/>
              <w:bottom w:val="single" w:color="auto" w:sz="4" w:space="0"/>
              <w:right w:val="single" w:color="auto" w:sz="4" w:space="0"/>
            </w:tcBorders>
            <w:shd w:val="clear" w:color="auto" w:fill="auto"/>
            <w:vAlign w:val="center"/>
          </w:tcPr>
          <w:p w14:paraId="78E95C4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B860EB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50EF9DA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经营者集中审查数据库服务器</w:t>
            </w:r>
          </w:p>
        </w:tc>
        <w:tc>
          <w:tcPr>
            <w:tcW w:w="850" w:type="dxa"/>
            <w:tcBorders>
              <w:top w:val="nil"/>
              <w:left w:val="nil"/>
              <w:bottom w:val="single" w:color="auto" w:sz="4" w:space="0"/>
              <w:right w:val="single" w:color="auto" w:sz="4" w:space="0"/>
            </w:tcBorders>
            <w:shd w:val="clear" w:color="auto" w:fill="auto"/>
            <w:vAlign w:val="center"/>
          </w:tcPr>
          <w:p w14:paraId="138016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33F343E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16814A0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7901456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412DDE1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B7E331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23</w:t>
            </w:r>
          </w:p>
        </w:tc>
        <w:tc>
          <w:tcPr>
            <w:tcW w:w="720" w:type="dxa"/>
            <w:tcBorders>
              <w:top w:val="nil"/>
              <w:left w:val="nil"/>
              <w:bottom w:val="single" w:color="auto" w:sz="4" w:space="0"/>
              <w:right w:val="single" w:color="auto" w:sz="4" w:space="0"/>
            </w:tcBorders>
            <w:shd w:val="clear" w:color="auto" w:fill="auto"/>
            <w:vAlign w:val="center"/>
          </w:tcPr>
          <w:p w14:paraId="537AD2D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9F6977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741E37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民生价格监测应用服务器</w:t>
            </w:r>
          </w:p>
        </w:tc>
        <w:tc>
          <w:tcPr>
            <w:tcW w:w="850" w:type="dxa"/>
            <w:tcBorders>
              <w:top w:val="nil"/>
              <w:left w:val="nil"/>
              <w:bottom w:val="single" w:color="auto" w:sz="4" w:space="0"/>
              <w:right w:val="single" w:color="auto" w:sz="4" w:space="0"/>
            </w:tcBorders>
            <w:shd w:val="clear" w:color="auto" w:fill="auto"/>
            <w:vAlign w:val="center"/>
          </w:tcPr>
          <w:p w14:paraId="464ADA9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0AFA3C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D29C3A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3642F13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1C12DED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7AE214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24</w:t>
            </w:r>
          </w:p>
        </w:tc>
        <w:tc>
          <w:tcPr>
            <w:tcW w:w="720" w:type="dxa"/>
            <w:tcBorders>
              <w:top w:val="nil"/>
              <w:left w:val="nil"/>
              <w:bottom w:val="single" w:color="auto" w:sz="4" w:space="0"/>
              <w:right w:val="single" w:color="auto" w:sz="4" w:space="0"/>
            </w:tcBorders>
            <w:shd w:val="clear" w:color="auto" w:fill="auto"/>
            <w:vAlign w:val="center"/>
          </w:tcPr>
          <w:p w14:paraId="0E3E689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B40637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政务外网区-一网统管大系统</w:t>
            </w:r>
          </w:p>
        </w:tc>
        <w:tc>
          <w:tcPr>
            <w:tcW w:w="2115" w:type="dxa"/>
            <w:tcBorders>
              <w:top w:val="nil"/>
              <w:left w:val="nil"/>
              <w:bottom w:val="single" w:color="auto" w:sz="4" w:space="0"/>
              <w:right w:val="single" w:color="auto" w:sz="4" w:space="0"/>
            </w:tcBorders>
            <w:shd w:val="clear" w:color="auto" w:fill="auto"/>
            <w:vAlign w:val="center"/>
          </w:tcPr>
          <w:p w14:paraId="4034C5E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民生价格监测数据库服务器</w:t>
            </w:r>
          </w:p>
        </w:tc>
        <w:tc>
          <w:tcPr>
            <w:tcW w:w="850" w:type="dxa"/>
            <w:tcBorders>
              <w:top w:val="nil"/>
              <w:left w:val="nil"/>
              <w:bottom w:val="single" w:color="auto" w:sz="4" w:space="0"/>
              <w:right w:val="single" w:color="auto" w:sz="4" w:space="0"/>
            </w:tcBorders>
            <w:shd w:val="clear" w:color="auto" w:fill="auto"/>
            <w:vAlign w:val="center"/>
          </w:tcPr>
          <w:p w14:paraId="43997B3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721A068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6B79B02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3666AD4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202C33D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AFC2B6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25</w:t>
            </w:r>
          </w:p>
        </w:tc>
        <w:tc>
          <w:tcPr>
            <w:tcW w:w="720" w:type="dxa"/>
            <w:tcBorders>
              <w:top w:val="nil"/>
              <w:left w:val="nil"/>
              <w:bottom w:val="single" w:color="auto" w:sz="4" w:space="0"/>
              <w:right w:val="single" w:color="auto" w:sz="4" w:space="0"/>
            </w:tcBorders>
            <w:shd w:val="clear" w:color="auto" w:fill="auto"/>
            <w:vAlign w:val="center"/>
          </w:tcPr>
          <w:p w14:paraId="571A294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1AF0D6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互联网区-一网统管大系统</w:t>
            </w:r>
          </w:p>
        </w:tc>
        <w:tc>
          <w:tcPr>
            <w:tcW w:w="2115" w:type="dxa"/>
            <w:tcBorders>
              <w:top w:val="nil"/>
              <w:left w:val="nil"/>
              <w:bottom w:val="single" w:color="auto" w:sz="4" w:space="0"/>
              <w:right w:val="single" w:color="auto" w:sz="4" w:space="0"/>
            </w:tcBorders>
            <w:shd w:val="clear" w:color="auto" w:fill="auto"/>
            <w:vAlign w:val="center"/>
          </w:tcPr>
          <w:p w14:paraId="53A1ABC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民生价格监测（价格行情报送）应用服务器</w:t>
            </w:r>
          </w:p>
        </w:tc>
        <w:tc>
          <w:tcPr>
            <w:tcW w:w="850" w:type="dxa"/>
            <w:tcBorders>
              <w:top w:val="nil"/>
              <w:left w:val="nil"/>
              <w:bottom w:val="single" w:color="auto" w:sz="4" w:space="0"/>
              <w:right w:val="single" w:color="auto" w:sz="4" w:space="0"/>
            </w:tcBorders>
            <w:shd w:val="clear" w:color="auto" w:fill="auto"/>
            <w:vAlign w:val="center"/>
          </w:tcPr>
          <w:p w14:paraId="7C4844E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7B87B6D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07F4CF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4EB8BCB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r>
      <w:tr w14:paraId="0F5BF1F7">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ACD688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26</w:t>
            </w:r>
          </w:p>
        </w:tc>
        <w:tc>
          <w:tcPr>
            <w:tcW w:w="720" w:type="dxa"/>
            <w:tcBorders>
              <w:top w:val="nil"/>
              <w:left w:val="nil"/>
              <w:bottom w:val="single" w:color="auto" w:sz="4" w:space="0"/>
              <w:right w:val="single" w:color="auto" w:sz="4" w:space="0"/>
            </w:tcBorders>
            <w:shd w:val="clear" w:color="auto" w:fill="auto"/>
            <w:vAlign w:val="center"/>
          </w:tcPr>
          <w:p w14:paraId="1530612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C0B178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政务外网区-质量基础一站式</w:t>
            </w:r>
          </w:p>
        </w:tc>
        <w:tc>
          <w:tcPr>
            <w:tcW w:w="2115" w:type="dxa"/>
            <w:tcBorders>
              <w:top w:val="nil"/>
              <w:left w:val="nil"/>
              <w:bottom w:val="single" w:color="auto" w:sz="4" w:space="0"/>
              <w:right w:val="single" w:color="auto" w:sz="4" w:space="0"/>
            </w:tcBorders>
            <w:shd w:val="clear" w:color="auto" w:fill="auto"/>
            <w:vAlign w:val="center"/>
          </w:tcPr>
          <w:p w14:paraId="5091E55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质量基础设施一站式（内部管理）应用服务器</w:t>
            </w:r>
          </w:p>
        </w:tc>
        <w:tc>
          <w:tcPr>
            <w:tcW w:w="850" w:type="dxa"/>
            <w:tcBorders>
              <w:top w:val="nil"/>
              <w:left w:val="nil"/>
              <w:bottom w:val="single" w:color="auto" w:sz="4" w:space="0"/>
              <w:right w:val="single" w:color="auto" w:sz="4" w:space="0"/>
            </w:tcBorders>
            <w:shd w:val="clear" w:color="auto" w:fill="auto"/>
            <w:vAlign w:val="center"/>
          </w:tcPr>
          <w:p w14:paraId="0818120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1E792F3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A1587E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170AAB5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r>
      <w:tr w14:paraId="51017DD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55E3D8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27</w:t>
            </w:r>
          </w:p>
        </w:tc>
        <w:tc>
          <w:tcPr>
            <w:tcW w:w="720" w:type="dxa"/>
            <w:tcBorders>
              <w:top w:val="nil"/>
              <w:left w:val="nil"/>
              <w:bottom w:val="single" w:color="auto" w:sz="4" w:space="0"/>
              <w:right w:val="single" w:color="auto" w:sz="4" w:space="0"/>
            </w:tcBorders>
            <w:shd w:val="clear" w:color="auto" w:fill="auto"/>
            <w:vAlign w:val="center"/>
          </w:tcPr>
          <w:p w14:paraId="1B6BA27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B436B3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政务外网区-质量基础一站式</w:t>
            </w:r>
          </w:p>
        </w:tc>
        <w:tc>
          <w:tcPr>
            <w:tcW w:w="2115" w:type="dxa"/>
            <w:tcBorders>
              <w:top w:val="nil"/>
              <w:left w:val="nil"/>
              <w:bottom w:val="single" w:color="auto" w:sz="4" w:space="0"/>
              <w:right w:val="single" w:color="auto" w:sz="4" w:space="0"/>
            </w:tcBorders>
            <w:shd w:val="clear" w:color="auto" w:fill="auto"/>
            <w:vAlign w:val="center"/>
          </w:tcPr>
          <w:p w14:paraId="3475169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质量基础设施一站式数据库服务器</w:t>
            </w:r>
          </w:p>
        </w:tc>
        <w:tc>
          <w:tcPr>
            <w:tcW w:w="850" w:type="dxa"/>
            <w:tcBorders>
              <w:top w:val="nil"/>
              <w:left w:val="nil"/>
              <w:bottom w:val="single" w:color="auto" w:sz="4" w:space="0"/>
              <w:right w:val="single" w:color="auto" w:sz="4" w:space="0"/>
            </w:tcBorders>
            <w:shd w:val="clear" w:color="auto" w:fill="auto"/>
            <w:vAlign w:val="center"/>
          </w:tcPr>
          <w:p w14:paraId="0AF0712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4530C36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7AC4F3A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70C5029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r>
      <w:tr w14:paraId="2C7D356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144E43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28</w:t>
            </w:r>
          </w:p>
        </w:tc>
        <w:tc>
          <w:tcPr>
            <w:tcW w:w="720" w:type="dxa"/>
            <w:tcBorders>
              <w:top w:val="nil"/>
              <w:left w:val="nil"/>
              <w:bottom w:val="single" w:color="auto" w:sz="4" w:space="0"/>
              <w:right w:val="single" w:color="auto" w:sz="4" w:space="0"/>
            </w:tcBorders>
            <w:shd w:val="clear" w:color="auto" w:fill="auto"/>
            <w:vAlign w:val="center"/>
          </w:tcPr>
          <w:p w14:paraId="0AF2EBC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44C82D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互联网区-质量基础一站式</w:t>
            </w:r>
          </w:p>
        </w:tc>
        <w:tc>
          <w:tcPr>
            <w:tcW w:w="2115" w:type="dxa"/>
            <w:tcBorders>
              <w:top w:val="nil"/>
              <w:left w:val="nil"/>
              <w:bottom w:val="single" w:color="auto" w:sz="4" w:space="0"/>
              <w:right w:val="single" w:color="auto" w:sz="4" w:space="0"/>
            </w:tcBorders>
            <w:shd w:val="clear" w:color="auto" w:fill="auto"/>
            <w:vAlign w:val="center"/>
          </w:tcPr>
          <w:p w14:paraId="26455A5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质量基础设施一站式（网上服务）应用服务器</w:t>
            </w:r>
          </w:p>
        </w:tc>
        <w:tc>
          <w:tcPr>
            <w:tcW w:w="850" w:type="dxa"/>
            <w:tcBorders>
              <w:top w:val="nil"/>
              <w:left w:val="nil"/>
              <w:bottom w:val="single" w:color="auto" w:sz="4" w:space="0"/>
              <w:right w:val="single" w:color="auto" w:sz="4" w:space="0"/>
            </w:tcBorders>
            <w:shd w:val="clear" w:color="auto" w:fill="auto"/>
            <w:vAlign w:val="center"/>
          </w:tcPr>
          <w:p w14:paraId="4DA861D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4FBEA74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6024731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7160DFF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12E9BE9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A76006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29</w:t>
            </w:r>
          </w:p>
        </w:tc>
        <w:tc>
          <w:tcPr>
            <w:tcW w:w="720" w:type="dxa"/>
            <w:tcBorders>
              <w:top w:val="nil"/>
              <w:left w:val="nil"/>
              <w:bottom w:val="single" w:color="auto" w:sz="4" w:space="0"/>
              <w:right w:val="single" w:color="auto" w:sz="4" w:space="0"/>
            </w:tcBorders>
            <w:shd w:val="clear" w:color="auto" w:fill="auto"/>
            <w:vAlign w:val="center"/>
          </w:tcPr>
          <w:p w14:paraId="7BF9C5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81EBDE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0E6709E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公共服务智慧监管门户应用服务器</w:t>
            </w:r>
          </w:p>
        </w:tc>
        <w:tc>
          <w:tcPr>
            <w:tcW w:w="850" w:type="dxa"/>
            <w:tcBorders>
              <w:top w:val="nil"/>
              <w:left w:val="nil"/>
              <w:bottom w:val="single" w:color="auto" w:sz="4" w:space="0"/>
              <w:right w:val="single" w:color="auto" w:sz="4" w:space="0"/>
            </w:tcBorders>
            <w:shd w:val="clear" w:color="auto" w:fill="auto"/>
            <w:vAlign w:val="center"/>
          </w:tcPr>
          <w:p w14:paraId="21F2A58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74C3F22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1C2D5CB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1349D7D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2AA4BEC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2C40F01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30</w:t>
            </w:r>
          </w:p>
        </w:tc>
        <w:tc>
          <w:tcPr>
            <w:tcW w:w="720" w:type="dxa"/>
            <w:tcBorders>
              <w:top w:val="nil"/>
              <w:left w:val="nil"/>
              <w:bottom w:val="single" w:color="auto" w:sz="4" w:space="0"/>
              <w:right w:val="single" w:color="auto" w:sz="4" w:space="0"/>
            </w:tcBorders>
            <w:shd w:val="clear" w:color="auto" w:fill="auto"/>
            <w:vAlign w:val="center"/>
          </w:tcPr>
          <w:p w14:paraId="524737E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139B1A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6D6127B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公共服务监督管理应用服务器</w:t>
            </w:r>
          </w:p>
        </w:tc>
        <w:tc>
          <w:tcPr>
            <w:tcW w:w="850" w:type="dxa"/>
            <w:tcBorders>
              <w:top w:val="nil"/>
              <w:left w:val="nil"/>
              <w:bottom w:val="single" w:color="auto" w:sz="4" w:space="0"/>
              <w:right w:val="single" w:color="auto" w:sz="4" w:space="0"/>
            </w:tcBorders>
            <w:shd w:val="clear" w:color="auto" w:fill="auto"/>
            <w:vAlign w:val="center"/>
          </w:tcPr>
          <w:p w14:paraId="433E4FD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488A687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00D56F6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171F665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2A6688F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0D3730E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31</w:t>
            </w:r>
          </w:p>
        </w:tc>
        <w:tc>
          <w:tcPr>
            <w:tcW w:w="720" w:type="dxa"/>
            <w:tcBorders>
              <w:top w:val="nil"/>
              <w:left w:val="nil"/>
              <w:bottom w:val="single" w:color="auto" w:sz="4" w:space="0"/>
              <w:right w:val="single" w:color="auto" w:sz="4" w:space="0"/>
            </w:tcBorders>
            <w:shd w:val="clear" w:color="auto" w:fill="auto"/>
            <w:vAlign w:val="center"/>
          </w:tcPr>
          <w:p w14:paraId="195C830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D1C332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0DE2009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公共服务综合协调应用服务器</w:t>
            </w:r>
          </w:p>
        </w:tc>
        <w:tc>
          <w:tcPr>
            <w:tcW w:w="850" w:type="dxa"/>
            <w:tcBorders>
              <w:top w:val="nil"/>
              <w:left w:val="nil"/>
              <w:bottom w:val="single" w:color="auto" w:sz="4" w:space="0"/>
              <w:right w:val="single" w:color="auto" w:sz="4" w:space="0"/>
            </w:tcBorders>
            <w:shd w:val="clear" w:color="auto" w:fill="auto"/>
            <w:vAlign w:val="center"/>
          </w:tcPr>
          <w:p w14:paraId="323D9EA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00FB225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3D60A33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3F61EA4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48BBF9F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AA0D19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720" w:type="dxa"/>
            <w:tcBorders>
              <w:top w:val="nil"/>
              <w:left w:val="nil"/>
              <w:bottom w:val="single" w:color="auto" w:sz="4" w:space="0"/>
              <w:right w:val="single" w:color="auto" w:sz="4" w:space="0"/>
            </w:tcBorders>
            <w:shd w:val="clear" w:color="auto" w:fill="auto"/>
            <w:vAlign w:val="center"/>
          </w:tcPr>
          <w:p w14:paraId="46950BE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EF6A7C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378EAD9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公共服务安全社会共治应用服务器</w:t>
            </w:r>
          </w:p>
        </w:tc>
        <w:tc>
          <w:tcPr>
            <w:tcW w:w="850" w:type="dxa"/>
            <w:tcBorders>
              <w:top w:val="nil"/>
              <w:left w:val="nil"/>
              <w:bottom w:val="single" w:color="auto" w:sz="4" w:space="0"/>
              <w:right w:val="single" w:color="auto" w:sz="4" w:space="0"/>
            </w:tcBorders>
            <w:shd w:val="clear" w:color="auto" w:fill="auto"/>
            <w:vAlign w:val="center"/>
          </w:tcPr>
          <w:p w14:paraId="77A589A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24A0020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979848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35DF0B2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680D589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E722D6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33</w:t>
            </w:r>
          </w:p>
        </w:tc>
        <w:tc>
          <w:tcPr>
            <w:tcW w:w="720" w:type="dxa"/>
            <w:tcBorders>
              <w:top w:val="nil"/>
              <w:left w:val="nil"/>
              <w:bottom w:val="single" w:color="auto" w:sz="4" w:space="0"/>
              <w:right w:val="single" w:color="auto" w:sz="4" w:space="0"/>
            </w:tcBorders>
            <w:shd w:val="clear" w:color="auto" w:fill="auto"/>
            <w:vAlign w:val="center"/>
          </w:tcPr>
          <w:p w14:paraId="2D45E2F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6D20663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0EFDE8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公共服务监督管理数据库服务器</w:t>
            </w:r>
          </w:p>
        </w:tc>
        <w:tc>
          <w:tcPr>
            <w:tcW w:w="850" w:type="dxa"/>
            <w:tcBorders>
              <w:top w:val="nil"/>
              <w:left w:val="nil"/>
              <w:bottom w:val="single" w:color="auto" w:sz="4" w:space="0"/>
              <w:right w:val="single" w:color="auto" w:sz="4" w:space="0"/>
            </w:tcBorders>
            <w:shd w:val="clear" w:color="auto" w:fill="auto"/>
            <w:vAlign w:val="center"/>
          </w:tcPr>
          <w:p w14:paraId="3DD144C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204817D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08C6E6D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5191F91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73C1DDA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30CA15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34</w:t>
            </w:r>
          </w:p>
        </w:tc>
        <w:tc>
          <w:tcPr>
            <w:tcW w:w="720" w:type="dxa"/>
            <w:tcBorders>
              <w:top w:val="nil"/>
              <w:left w:val="nil"/>
              <w:bottom w:val="single" w:color="auto" w:sz="4" w:space="0"/>
              <w:right w:val="single" w:color="auto" w:sz="4" w:space="0"/>
            </w:tcBorders>
            <w:shd w:val="clear" w:color="auto" w:fill="auto"/>
            <w:vAlign w:val="center"/>
          </w:tcPr>
          <w:p w14:paraId="7697B7C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571B68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6673B76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公共服务综合协调数据库服务器</w:t>
            </w:r>
          </w:p>
        </w:tc>
        <w:tc>
          <w:tcPr>
            <w:tcW w:w="850" w:type="dxa"/>
            <w:tcBorders>
              <w:top w:val="nil"/>
              <w:left w:val="nil"/>
              <w:bottom w:val="single" w:color="auto" w:sz="4" w:space="0"/>
              <w:right w:val="single" w:color="auto" w:sz="4" w:space="0"/>
            </w:tcBorders>
            <w:shd w:val="clear" w:color="auto" w:fill="auto"/>
            <w:vAlign w:val="center"/>
          </w:tcPr>
          <w:p w14:paraId="004FAEE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0BF5AE8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6B347BD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5780657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580C97A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F610B7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35</w:t>
            </w:r>
          </w:p>
        </w:tc>
        <w:tc>
          <w:tcPr>
            <w:tcW w:w="720" w:type="dxa"/>
            <w:tcBorders>
              <w:top w:val="nil"/>
              <w:left w:val="nil"/>
              <w:bottom w:val="single" w:color="auto" w:sz="4" w:space="0"/>
              <w:right w:val="single" w:color="auto" w:sz="4" w:space="0"/>
            </w:tcBorders>
            <w:shd w:val="clear" w:color="auto" w:fill="auto"/>
            <w:vAlign w:val="center"/>
          </w:tcPr>
          <w:p w14:paraId="790185E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4A7AFF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6BACAD8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公共服务社会共治数据库服务器</w:t>
            </w:r>
          </w:p>
        </w:tc>
        <w:tc>
          <w:tcPr>
            <w:tcW w:w="850" w:type="dxa"/>
            <w:tcBorders>
              <w:top w:val="nil"/>
              <w:left w:val="nil"/>
              <w:bottom w:val="single" w:color="auto" w:sz="4" w:space="0"/>
              <w:right w:val="single" w:color="auto" w:sz="4" w:space="0"/>
            </w:tcBorders>
            <w:shd w:val="clear" w:color="auto" w:fill="auto"/>
            <w:vAlign w:val="center"/>
          </w:tcPr>
          <w:p w14:paraId="5A8B0F0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23CC75D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75D2252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19E7434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w:t>
            </w:r>
          </w:p>
        </w:tc>
      </w:tr>
      <w:tr w14:paraId="7C8A9BA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62245C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36</w:t>
            </w:r>
          </w:p>
        </w:tc>
        <w:tc>
          <w:tcPr>
            <w:tcW w:w="720" w:type="dxa"/>
            <w:tcBorders>
              <w:top w:val="nil"/>
              <w:left w:val="nil"/>
              <w:bottom w:val="single" w:color="auto" w:sz="4" w:space="0"/>
              <w:right w:val="single" w:color="auto" w:sz="4" w:space="0"/>
            </w:tcBorders>
            <w:shd w:val="clear" w:color="auto" w:fill="auto"/>
            <w:vAlign w:val="center"/>
          </w:tcPr>
          <w:p w14:paraId="1BDC671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16AEDC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2E31267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公共服务安全监督管理数据处理数据库服务器</w:t>
            </w:r>
          </w:p>
        </w:tc>
        <w:tc>
          <w:tcPr>
            <w:tcW w:w="850" w:type="dxa"/>
            <w:tcBorders>
              <w:top w:val="nil"/>
              <w:left w:val="nil"/>
              <w:bottom w:val="single" w:color="auto" w:sz="4" w:space="0"/>
              <w:right w:val="single" w:color="auto" w:sz="4" w:space="0"/>
            </w:tcBorders>
            <w:shd w:val="clear" w:color="auto" w:fill="auto"/>
            <w:vAlign w:val="center"/>
          </w:tcPr>
          <w:p w14:paraId="2E9D732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69587E4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02F1707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0373623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r>
      <w:tr w14:paraId="2EB756E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C838E0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37</w:t>
            </w:r>
          </w:p>
        </w:tc>
        <w:tc>
          <w:tcPr>
            <w:tcW w:w="720" w:type="dxa"/>
            <w:tcBorders>
              <w:top w:val="nil"/>
              <w:left w:val="nil"/>
              <w:bottom w:val="single" w:color="auto" w:sz="4" w:space="0"/>
              <w:right w:val="single" w:color="auto" w:sz="4" w:space="0"/>
            </w:tcBorders>
            <w:shd w:val="clear" w:color="auto" w:fill="auto"/>
            <w:vAlign w:val="center"/>
          </w:tcPr>
          <w:p w14:paraId="0DEBE6F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E08CF3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2302A5B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公共服务安全综合协调数据处理数据库服务器</w:t>
            </w:r>
          </w:p>
        </w:tc>
        <w:tc>
          <w:tcPr>
            <w:tcW w:w="850" w:type="dxa"/>
            <w:tcBorders>
              <w:top w:val="nil"/>
              <w:left w:val="nil"/>
              <w:bottom w:val="single" w:color="auto" w:sz="4" w:space="0"/>
              <w:right w:val="single" w:color="auto" w:sz="4" w:space="0"/>
            </w:tcBorders>
            <w:shd w:val="clear" w:color="auto" w:fill="auto"/>
            <w:vAlign w:val="center"/>
          </w:tcPr>
          <w:p w14:paraId="379BEF1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7430132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735AC7A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7CAA5CC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38B1BB9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A8CBBF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38</w:t>
            </w:r>
          </w:p>
        </w:tc>
        <w:tc>
          <w:tcPr>
            <w:tcW w:w="720" w:type="dxa"/>
            <w:tcBorders>
              <w:top w:val="nil"/>
              <w:left w:val="nil"/>
              <w:bottom w:val="single" w:color="auto" w:sz="4" w:space="0"/>
              <w:right w:val="single" w:color="auto" w:sz="4" w:space="0"/>
            </w:tcBorders>
            <w:shd w:val="clear" w:color="auto" w:fill="auto"/>
            <w:vAlign w:val="center"/>
          </w:tcPr>
          <w:p w14:paraId="1413145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AFF6CB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一网统管大系统</w:t>
            </w:r>
          </w:p>
        </w:tc>
        <w:tc>
          <w:tcPr>
            <w:tcW w:w="2115" w:type="dxa"/>
            <w:tcBorders>
              <w:top w:val="nil"/>
              <w:left w:val="nil"/>
              <w:bottom w:val="single" w:color="auto" w:sz="4" w:space="0"/>
              <w:right w:val="single" w:color="auto" w:sz="4" w:space="0"/>
            </w:tcBorders>
            <w:shd w:val="clear" w:color="auto" w:fill="auto"/>
            <w:vAlign w:val="center"/>
          </w:tcPr>
          <w:p w14:paraId="73FAD45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公共服务安全社会共治数据处理数据库服务器</w:t>
            </w:r>
          </w:p>
        </w:tc>
        <w:tc>
          <w:tcPr>
            <w:tcW w:w="850" w:type="dxa"/>
            <w:tcBorders>
              <w:top w:val="nil"/>
              <w:left w:val="nil"/>
              <w:bottom w:val="single" w:color="auto" w:sz="4" w:space="0"/>
              <w:right w:val="single" w:color="auto" w:sz="4" w:space="0"/>
            </w:tcBorders>
            <w:shd w:val="clear" w:color="auto" w:fill="auto"/>
            <w:vAlign w:val="center"/>
          </w:tcPr>
          <w:p w14:paraId="78B1E7D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5C18579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2CE5C52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05CA307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473F306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57572F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39</w:t>
            </w:r>
          </w:p>
        </w:tc>
        <w:tc>
          <w:tcPr>
            <w:tcW w:w="720" w:type="dxa"/>
            <w:tcBorders>
              <w:top w:val="nil"/>
              <w:left w:val="nil"/>
              <w:bottom w:val="single" w:color="auto" w:sz="4" w:space="0"/>
              <w:right w:val="single" w:color="auto" w:sz="4" w:space="0"/>
            </w:tcBorders>
            <w:shd w:val="clear" w:color="auto" w:fill="auto"/>
            <w:vAlign w:val="center"/>
          </w:tcPr>
          <w:p w14:paraId="55C7ED3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1E3D9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4D22B05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外部审查系统应用服务器（业务功能新建）</w:t>
            </w:r>
          </w:p>
        </w:tc>
        <w:tc>
          <w:tcPr>
            <w:tcW w:w="850" w:type="dxa"/>
            <w:tcBorders>
              <w:top w:val="nil"/>
              <w:left w:val="nil"/>
              <w:bottom w:val="single" w:color="auto" w:sz="4" w:space="0"/>
              <w:right w:val="single" w:color="auto" w:sz="4" w:space="0"/>
            </w:tcBorders>
            <w:shd w:val="clear" w:color="auto" w:fill="auto"/>
            <w:vAlign w:val="center"/>
          </w:tcPr>
          <w:p w14:paraId="46D4DCF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6F2EC3C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7018A7E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7CEDBB8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30514A3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E31F3C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w:t>
            </w:r>
          </w:p>
        </w:tc>
        <w:tc>
          <w:tcPr>
            <w:tcW w:w="720" w:type="dxa"/>
            <w:tcBorders>
              <w:top w:val="nil"/>
              <w:left w:val="nil"/>
              <w:bottom w:val="single" w:color="auto" w:sz="4" w:space="0"/>
              <w:right w:val="single" w:color="auto" w:sz="4" w:space="0"/>
            </w:tcBorders>
            <w:shd w:val="clear" w:color="auto" w:fill="auto"/>
            <w:vAlign w:val="center"/>
          </w:tcPr>
          <w:p w14:paraId="3D630BB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BC62CB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1CAD9D1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外部审查系统数据库服务器</w:t>
            </w:r>
          </w:p>
        </w:tc>
        <w:tc>
          <w:tcPr>
            <w:tcW w:w="850" w:type="dxa"/>
            <w:tcBorders>
              <w:top w:val="nil"/>
              <w:left w:val="nil"/>
              <w:bottom w:val="single" w:color="auto" w:sz="4" w:space="0"/>
              <w:right w:val="single" w:color="auto" w:sz="4" w:space="0"/>
            </w:tcBorders>
            <w:shd w:val="clear" w:color="auto" w:fill="auto"/>
            <w:vAlign w:val="center"/>
          </w:tcPr>
          <w:p w14:paraId="4B70D2A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424D185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22ABC81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3328690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3A34F1EB">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9990D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41</w:t>
            </w:r>
          </w:p>
        </w:tc>
        <w:tc>
          <w:tcPr>
            <w:tcW w:w="720" w:type="dxa"/>
            <w:tcBorders>
              <w:top w:val="nil"/>
              <w:left w:val="nil"/>
              <w:bottom w:val="single" w:color="auto" w:sz="4" w:space="0"/>
              <w:right w:val="single" w:color="auto" w:sz="4" w:space="0"/>
            </w:tcBorders>
            <w:shd w:val="clear" w:color="auto" w:fill="auto"/>
            <w:vAlign w:val="center"/>
          </w:tcPr>
          <w:p w14:paraId="3FAE7C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3F259C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236B327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行政处罚与执法监督系统（业务系统应用服务器）</w:t>
            </w:r>
          </w:p>
        </w:tc>
        <w:tc>
          <w:tcPr>
            <w:tcW w:w="850" w:type="dxa"/>
            <w:tcBorders>
              <w:top w:val="nil"/>
              <w:left w:val="nil"/>
              <w:bottom w:val="single" w:color="auto" w:sz="4" w:space="0"/>
              <w:right w:val="single" w:color="auto" w:sz="4" w:space="0"/>
            </w:tcBorders>
            <w:shd w:val="clear" w:color="auto" w:fill="auto"/>
            <w:vAlign w:val="center"/>
          </w:tcPr>
          <w:p w14:paraId="627AB1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1808B6A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2152F6B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06CE7A4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4B92740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C31AA3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42</w:t>
            </w:r>
          </w:p>
        </w:tc>
        <w:tc>
          <w:tcPr>
            <w:tcW w:w="720" w:type="dxa"/>
            <w:tcBorders>
              <w:top w:val="nil"/>
              <w:left w:val="nil"/>
              <w:bottom w:val="single" w:color="auto" w:sz="4" w:space="0"/>
              <w:right w:val="single" w:color="auto" w:sz="4" w:space="0"/>
            </w:tcBorders>
            <w:shd w:val="clear" w:color="auto" w:fill="auto"/>
            <w:vAlign w:val="center"/>
          </w:tcPr>
          <w:p w14:paraId="385B3A9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EE3D1C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24F3A31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行政处罚与执法监督系统（业务系统数据库服务器）</w:t>
            </w:r>
          </w:p>
        </w:tc>
        <w:tc>
          <w:tcPr>
            <w:tcW w:w="850" w:type="dxa"/>
            <w:tcBorders>
              <w:top w:val="nil"/>
              <w:left w:val="nil"/>
              <w:bottom w:val="single" w:color="auto" w:sz="4" w:space="0"/>
              <w:right w:val="single" w:color="auto" w:sz="4" w:space="0"/>
            </w:tcBorders>
            <w:shd w:val="clear" w:color="auto" w:fill="auto"/>
            <w:vAlign w:val="center"/>
          </w:tcPr>
          <w:p w14:paraId="31C4CDD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6618E60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643D743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24A0E58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79C1091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C7A711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43</w:t>
            </w:r>
          </w:p>
        </w:tc>
        <w:tc>
          <w:tcPr>
            <w:tcW w:w="720" w:type="dxa"/>
            <w:tcBorders>
              <w:top w:val="nil"/>
              <w:left w:val="nil"/>
              <w:bottom w:val="single" w:color="auto" w:sz="4" w:space="0"/>
              <w:right w:val="single" w:color="auto" w:sz="4" w:space="0"/>
            </w:tcBorders>
            <w:shd w:val="clear" w:color="auto" w:fill="auto"/>
            <w:vAlign w:val="center"/>
          </w:tcPr>
          <w:p w14:paraId="105211F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78825E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7D23858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行政处罚与执法监督系统（业务系统内存服务器）</w:t>
            </w:r>
          </w:p>
        </w:tc>
        <w:tc>
          <w:tcPr>
            <w:tcW w:w="850" w:type="dxa"/>
            <w:tcBorders>
              <w:top w:val="nil"/>
              <w:left w:val="nil"/>
              <w:bottom w:val="single" w:color="auto" w:sz="4" w:space="0"/>
              <w:right w:val="single" w:color="auto" w:sz="4" w:space="0"/>
            </w:tcBorders>
            <w:shd w:val="clear" w:color="auto" w:fill="auto"/>
            <w:vAlign w:val="center"/>
          </w:tcPr>
          <w:p w14:paraId="56C59D9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763BDA9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713E7F5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05A72EF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4E92FE5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D8708B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44</w:t>
            </w:r>
          </w:p>
        </w:tc>
        <w:tc>
          <w:tcPr>
            <w:tcW w:w="720" w:type="dxa"/>
            <w:tcBorders>
              <w:top w:val="nil"/>
              <w:left w:val="nil"/>
              <w:bottom w:val="single" w:color="auto" w:sz="4" w:space="0"/>
              <w:right w:val="single" w:color="auto" w:sz="4" w:space="0"/>
            </w:tcBorders>
            <w:shd w:val="clear" w:color="auto" w:fill="auto"/>
            <w:vAlign w:val="center"/>
          </w:tcPr>
          <w:p w14:paraId="4065CEB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CB7F68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587A88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行政处罚与执法监督系统（电子证据应用服务器）</w:t>
            </w:r>
          </w:p>
        </w:tc>
        <w:tc>
          <w:tcPr>
            <w:tcW w:w="850" w:type="dxa"/>
            <w:tcBorders>
              <w:top w:val="nil"/>
              <w:left w:val="nil"/>
              <w:bottom w:val="single" w:color="auto" w:sz="4" w:space="0"/>
              <w:right w:val="single" w:color="auto" w:sz="4" w:space="0"/>
            </w:tcBorders>
            <w:shd w:val="clear" w:color="auto" w:fill="auto"/>
            <w:vAlign w:val="center"/>
          </w:tcPr>
          <w:p w14:paraId="6FD8DA5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8</w:t>
            </w:r>
          </w:p>
        </w:tc>
        <w:tc>
          <w:tcPr>
            <w:tcW w:w="840" w:type="dxa"/>
            <w:tcBorders>
              <w:top w:val="nil"/>
              <w:left w:val="nil"/>
              <w:bottom w:val="single" w:color="auto" w:sz="4" w:space="0"/>
              <w:right w:val="single" w:color="auto" w:sz="4" w:space="0"/>
            </w:tcBorders>
            <w:shd w:val="clear" w:color="auto" w:fill="auto"/>
            <w:vAlign w:val="center"/>
          </w:tcPr>
          <w:p w14:paraId="6D3DF30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50" w:type="dxa"/>
            <w:tcBorders>
              <w:top w:val="nil"/>
              <w:left w:val="nil"/>
              <w:bottom w:val="single" w:color="auto" w:sz="4" w:space="0"/>
              <w:right w:val="single" w:color="auto" w:sz="4" w:space="0"/>
            </w:tcBorders>
            <w:shd w:val="clear" w:color="auto" w:fill="auto"/>
            <w:vAlign w:val="center"/>
          </w:tcPr>
          <w:p w14:paraId="7CA069A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3102AC2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45340DA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834A6A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45</w:t>
            </w:r>
          </w:p>
        </w:tc>
        <w:tc>
          <w:tcPr>
            <w:tcW w:w="720" w:type="dxa"/>
            <w:tcBorders>
              <w:top w:val="nil"/>
              <w:left w:val="nil"/>
              <w:bottom w:val="single" w:color="auto" w:sz="4" w:space="0"/>
              <w:right w:val="single" w:color="auto" w:sz="4" w:space="0"/>
            </w:tcBorders>
            <w:shd w:val="clear" w:color="auto" w:fill="auto"/>
            <w:vAlign w:val="center"/>
          </w:tcPr>
          <w:p w14:paraId="16EA13F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D0D70C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77AB7D8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行政处罚与执法监督系统（电子证据数据库服务器）</w:t>
            </w:r>
          </w:p>
        </w:tc>
        <w:tc>
          <w:tcPr>
            <w:tcW w:w="850" w:type="dxa"/>
            <w:tcBorders>
              <w:top w:val="nil"/>
              <w:left w:val="nil"/>
              <w:bottom w:val="single" w:color="auto" w:sz="4" w:space="0"/>
              <w:right w:val="single" w:color="auto" w:sz="4" w:space="0"/>
            </w:tcBorders>
            <w:shd w:val="clear" w:color="auto" w:fill="auto"/>
            <w:vAlign w:val="center"/>
          </w:tcPr>
          <w:p w14:paraId="08FB364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285D147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15E7ADB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7400290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17DBDAD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78FC740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46</w:t>
            </w:r>
          </w:p>
        </w:tc>
        <w:tc>
          <w:tcPr>
            <w:tcW w:w="720" w:type="dxa"/>
            <w:tcBorders>
              <w:top w:val="nil"/>
              <w:left w:val="nil"/>
              <w:bottom w:val="single" w:color="auto" w:sz="4" w:space="0"/>
              <w:right w:val="single" w:color="auto" w:sz="4" w:space="0"/>
            </w:tcBorders>
            <w:shd w:val="clear" w:color="auto" w:fill="auto"/>
            <w:vAlign w:val="center"/>
          </w:tcPr>
          <w:p w14:paraId="07FCA29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1F53CC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政务外网-一网通办</w:t>
            </w:r>
          </w:p>
        </w:tc>
        <w:tc>
          <w:tcPr>
            <w:tcW w:w="2115" w:type="dxa"/>
            <w:tcBorders>
              <w:top w:val="nil"/>
              <w:left w:val="nil"/>
              <w:bottom w:val="single" w:color="auto" w:sz="4" w:space="0"/>
              <w:right w:val="single" w:color="auto" w:sz="4" w:space="0"/>
            </w:tcBorders>
            <w:shd w:val="clear" w:color="auto" w:fill="auto"/>
            <w:vAlign w:val="center"/>
          </w:tcPr>
          <w:p w14:paraId="3828E58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行政处罚与执法监督系统（电子证据非结构化数据存储）</w:t>
            </w:r>
          </w:p>
        </w:tc>
        <w:tc>
          <w:tcPr>
            <w:tcW w:w="850" w:type="dxa"/>
            <w:tcBorders>
              <w:top w:val="nil"/>
              <w:left w:val="nil"/>
              <w:bottom w:val="single" w:color="auto" w:sz="4" w:space="0"/>
              <w:right w:val="single" w:color="auto" w:sz="4" w:space="0"/>
            </w:tcBorders>
            <w:shd w:val="clear" w:color="auto" w:fill="auto"/>
            <w:vAlign w:val="center"/>
          </w:tcPr>
          <w:p w14:paraId="13F91F1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40" w:type="dxa"/>
            <w:tcBorders>
              <w:top w:val="nil"/>
              <w:left w:val="nil"/>
              <w:bottom w:val="single" w:color="auto" w:sz="4" w:space="0"/>
              <w:right w:val="single" w:color="auto" w:sz="4" w:space="0"/>
            </w:tcBorders>
            <w:shd w:val="clear" w:color="auto" w:fill="auto"/>
            <w:vAlign w:val="center"/>
          </w:tcPr>
          <w:p w14:paraId="572B948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3DEE7FB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4000</w:t>
            </w:r>
          </w:p>
        </w:tc>
        <w:tc>
          <w:tcPr>
            <w:tcW w:w="790" w:type="dxa"/>
            <w:tcBorders>
              <w:top w:val="nil"/>
              <w:left w:val="nil"/>
              <w:bottom w:val="single" w:color="auto" w:sz="4" w:space="0"/>
              <w:right w:val="single" w:color="auto" w:sz="4" w:space="0"/>
            </w:tcBorders>
            <w:shd w:val="clear" w:color="auto" w:fill="auto"/>
            <w:vAlign w:val="center"/>
          </w:tcPr>
          <w:p w14:paraId="01A7A7C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w:t>
            </w:r>
          </w:p>
        </w:tc>
      </w:tr>
      <w:tr w14:paraId="588D523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866BB9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47</w:t>
            </w:r>
          </w:p>
        </w:tc>
        <w:tc>
          <w:tcPr>
            <w:tcW w:w="720" w:type="dxa"/>
            <w:tcBorders>
              <w:top w:val="nil"/>
              <w:left w:val="nil"/>
              <w:bottom w:val="single" w:color="auto" w:sz="4" w:space="0"/>
              <w:right w:val="single" w:color="auto" w:sz="4" w:space="0"/>
            </w:tcBorders>
            <w:shd w:val="clear" w:color="auto" w:fill="auto"/>
            <w:vAlign w:val="center"/>
          </w:tcPr>
          <w:p w14:paraId="4836E37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CC0FAF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政务外网-数据慧治</w:t>
            </w:r>
          </w:p>
        </w:tc>
        <w:tc>
          <w:tcPr>
            <w:tcW w:w="2115" w:type="dxa"/>
            <w:tcBorders>
              <w:top w:val="nil"/>
              <w:left w:val="nil"/>
              <w:bottom w:val="single" w:color="auto" w:sz="4" w:space="0"/>
              <w:right w:val="single" w:color="auto" w:sz="4" w:space="0"/>
            </w:tcBorders>
            <w:shd w:val="clear" w:color="auto" w:fill="auto"/>
            <w:vAlign w:val="center"/>
          </w:tcPr>
          <w:p w14:paraId="12697C9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数据综合利用系统（数据库服务器）</w:t>
            </w:r>
          </w:p>
        </w:tc>
        <w:tc>
          <w:tcPr>
            <w:tcW w:w="850" w:type="dxa"/>
            <w:tcBorders>
              <w:top w:val="nil"/>
              <w:left w:val="nil"/>
              <w:bottom w:val="single" w:color="auto" w:sz="4" w:space="0"/>
              <w:right w:val="single" w:color="auto" w:sz="4" w:space="0"/>
            </w:tcBorders>
            <w:shd w:val="clear" w:color="auto" w:fill="auto"/>
            <w:vAlign w:val="center"/>
          </w:tcPr>
          <w:p w14:paraId="73DCE3F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7C21C53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36984E4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0BFF347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569D653C">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097C14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48</w:t>
            </w:r>
          </w:p>
        </w:tc>
        <w:tc>
          <w:tcPr>
            <w:tcW w:w="720" w:type="dxa"/>
            <w:tcBorders>
              <w:top w:val="nil"/>
              <w:left w:val="nil"/>
              <w:bottom w:val="single" w:color="auto" w:sz="4" w:space="0"/>
              <w:right w:val="single" w:color="auto" w:sz="4" w:space="0"/>
            </w:tcBorders>
            <w:shd w:val="clear" w:color="auto" w:fill="auto"/>
            <w:vAlign w:val="center"/>
          </w:tcPr>
          <w:p w14:paraId="18DF7F1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11B603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政务外网-数据慧治</w:t>
            </w:r>
          </w:p>
        </w:tc>
        <w:tc>
          <w:tcPr>
            <w:tcW w:w="2115" w:type="dxa"/>
            <w:tcBorders>
              <w:top w:val="nil"/>
              <w:left w:val="nil"/>
              <w:bottom w:val="single" w:color="auto" w:sz="4" w:space="0"/>
              <w:right w:val="single" w:color="auto" w:sz="4" w:space="0"/>
            </w:tcBorders>
            <w:shd w:val="clear" w:color="auto" w:fill="auto"/>
            <w:vAlign w:val="center"/>
          </w:tcPr>
          <w:p w14:paraId="2246BCB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数据综合利用系统（应用服务器</w:t>
            </w:r>
          </w:p>
        </w:tc>
        <w:tc>
          <w:tcPr>
            <w:tcW w:w="850" w:type="dxa"/>
            <w:tcBorders>
              <w:top w:val="nil"/>
              <w:left w:val="nil"/>
              <w:bottom w:val="single" w:color="auto" w:sz="4" w:space="0"/>
              <w:right w:val="single" w:color="auto" w:sz="4" w:space="0"/>
            </w:tcBorders>
            <w:shd w:val="clear" w:color="auto" w:fill="auto"/>
            <w:vAlign w:val="center"/>
          </w:tcPr>
          <w:p w14:paraId="0EC20B0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52CCF0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630EF2B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4F82590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7C957CF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F41A1E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49</w:t>
            </w:r>
          </w:p>
        </w:tc>
        <w:tc>
          <w:tcPr>
            <w:tcW w:w="720" w:type="dxa"/>
            <w:tcBorders>
              <w:top w:val="nil"/>
              <w:left w:val="nil"/>
              <w:bottom w:val="single" w:color="auto" w:sz="4" w:space="0"/>
              <w:right w:val="single" w:color="auto" w:sz="4" w:space="0"/>
            </w:tcBorders>
            <w:shd w:val="clear" w:color="auto" w:fill="auto"/>
            <w:vAlign w:val="center"/>
          </w:tcPr>
          <w:p w14:paraId="43EC5B4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D77911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政务外网-一网协同</w:t>
            </w:r>
          </w:p>
        </w:tc>
        <w:tc>
          <w:tcPr>
            <w:tcW w:w="2115" w:type="dxa"/>
            <w:tcBorders>
              <w:top w:val="nil"/>
              <w:left w:val="nil"/>
              <w:bottom w:val="single" w:color="auto" w:sz="4" w:space="0"/>
              <w:right w:val="single" w:color="auto" w:sz="4" w:space="0"/>
            </w:tcBorders>
            <w:shd w:val="clear" w:color="auto" w:fill="auto"/>
            <w:vAlign w:val="center"/>
          </w:tcPr>
          <w:p w14:paraId="4F05B2F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电子档案管理系统（数据库服务器）</w:t>
            </w:r>
          </w:p>
        </w:tc>
        <w:tc>
          <w:tcPr>
            <w:tcW w:w="850" w:type="dxa"/>
            <w:tcBorders>
              <w:top w:val="nil"/>
              <w:left w:val="nil"/>
              <w:bottom w:val="single" w:color="auto" w:sz="4" w:space="0"/>
              <w:right w:val="single" w:color="auto" w:sz="4" w:space="0"/>
            </w:tcBorders>
            <w:shd w:val="clear" w:color="auto" w:fill="auto"/>
            <w:vAlign w:val="center"/>
          </w:tcPr>
          <w:p w14:paraId="28B05E0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11138B9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35DE9B9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380395C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r>
      <w:tr w14:paraId="50550996">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0DE7AD6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w:t>
            </w:r>
          </w:p>
        </w:tc>
        <w:tc>
          <w:tcPr>
            <w:tcW w:w="720" w:type="dxa"/>
            <w:tcBorders>
              <w:top w:val="nil"/>
              <w:left w:val="nil"/>
              <w:bottom w:val="single" w:color="auto" w:sz="4" w:space="0"/>
              <w:right w:val="single" w:color="auto" w:sz="4" w:space="0"/>
            </w:tcBorders>
            <w:shd w:val="clear" w:color="auto" w:fill="auto"/>
            <w:vAlign w:val="center"/>
          </w:tcPr>
          <w:p w14:paraId="0BF41F9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F6B944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政务外网-一网协同</w:t>
            </w:r>
          </w:p>
        </w:tc>
        <w:tc>
          <w:tcPr>
            <w:tcW w:w="2115" w:type="dxa"/>
            <w:tcBorders>
              <w:top w:val="nil"/>
              <w:left w:val="nil"/>
              <w:bottom w:val="single" w:color="auto" w:sz="4" w:space="0"/>
              <w:right w:val="single" w:color="auto" w:sz="4" w:space="0"/>
            </w:tcBorders>
            <w:shd w:val="clear" w:color="auto" w:fill="auto"/>
            <w:vAlign w:val="center"/>
          </w:tcPr>
          <w:p w14:paraId="4D2548A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电子档案管理系统（应用服务器）</w:t>
            </w:r>
          </w:p>
        </w:tc>
        <w:tc>
          <w:tcPr>
            <w:tcW w:w="850" w:type="dxa"/>
            <w:tcBorders>
              <w:top w:val="nil"/>
              <w:left w:val="nil"/>
              <w:bottom w:val="single" w:color="auto" w:sz="4" w:space="0"/>
              <w:right w:val="single" w:color="auto" w:sz="4" w:space="0"/>
            </w:tcBorders>
            <w:shd w:val="clear" w:color="auto" w:fill="auto"/>
            <w:vAlign w:val="center"/>
          </w:tcPr>
          <w:p w14:paraId="2A602F9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70E8B4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1402BB7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47DEFB2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034F361A">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695DAF3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51</w:t>
            </w:r>
          </w:p>
        </w:tc>
        <w:tc>
          <w:tcPr>
            <w:tcW w:w="720" w:type="dxa"/>
            <w:tcBorders>
              <w:top w:val="nil"/>
              <w:left w:val="nil"/>
              <w:bottom w:val="single" w:color="auto" w:sz="4" w:space="0"/>
              <w:right w:val="single" w:color="auto" w:sz="4" w:space="0"/>
            </w:tcBorders>
            <w:shd w:val="clear" w:color="auto" w:fill="auto"/>
            <w:vAlign w:val="center"/>
          </w:tcPr>
          <w:p w14:paraId="4A177DC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24179B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政务外网-一网协同</w:t>
            </w:r>
          </w:p>
        </w:tc>
        <w:tc>
          <w:tcPr>
            <w:tcW w:w="2115" w:type="dxa"/>
            <w:tcBorders>
              <w:top w:val="nil"/>
              <w:left w:val="nil"/>
              <w:bottom w:val="single" w:color="auto" w:sz="4" w:space="0"/>
              <w:right w:val="single" w:color="auto" w:sz="4" w:space="0"/>
            </w:tcBorders>
            <w:shd w:val="clear" w:color="auto" w:fill="auto"/>
            <w:vAlign w:val="center"/>
          </w:tcPr>
          <w:p w14:paraId="24E61D7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电子档案管理系统（存储资源）</w:t>
            </w:r>
          </w:p>
        </w:tc>
        <w:tc>
          <w:tcPr>
            <w:tcW w:w="850" w:type="dxa"/>
            <w:tcBorders>
              <w:top w:val="nil"/>
              <w:left w:val="nil"/>
              <w:bottom w:val="single" w:color="auto" w:sz="4" w:space="0"/>
              <w:right w:val="single" w:color="auto" w:sz="4" w:space="0"/>
            </w:tcBorders>
            <w:shd w:val="clear" w:color="auto" w:fill="auto"/>
            <w:vAlign w:val="center"/>
          </w:tcPr>
          <w:p w14:paraId="2B0557D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0707BC6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4ED2B6F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10000</w:t>
            </w:r>
          </w:p>
        </w:tc>
        <w:tc>
          <w:tcPr>
            <w:tcW w:w="790" w:type="dxa"/>
            <w:tcBorders>
              <w:top w:val="nil"/>
              <w:left w:val="nil"/>
              <w:bottom w:val="single" w:color="auto" w:sz="4" w:space="0"/>
              <w:right w:val="single" w:color="auto" w:sz="4" w:space="0"/>
            </w:tcBorders>
            <w:shd w:val="clear" w:color="auto" w:fill="auto"/>
            <w:vAlign w:val="center"/>
          </w:tcPr>
          <w:p w14:paraId="04C1365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w:t>
            </w:r>
          </w:p>
        </w:tc>
      </w:tr>
      <w:tr w14:paraId="40A6727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0DB2C4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52</w:t>
            </w:r>
          </w:p>
        </w:tc>
        <w:tc>
          <w:tcPr>
            <w:tcW w:w="720" w:type="dxa"/>
            <w:tcBorders>
              <w:top w:val="nil"/>
              <w:left w:val="nil"/>
              <w:bottom w:val="single" w:color="auto" w:sz="4" w:space="0"/>
              <w:right w:val="single" w:color="auto" w:sz="4" w:space="0"/>
            </w:tcBorders>
            <w:shd w:val="clear" w:color="auto" w:fill="auto"/>
            <w:vAlign w:val="center"/>
          </w:tcPr>
          <w:p w14:paraId="433E9FC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548442B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政务外网-数据上链</w:t>
            </w:r>
          </w:p>
        </w:tc>
        <w:tc>
          <w:tcPr>
            <w:tcW w:w="2115" w:type="dxa"/>
            <w:tcBorders>
              <w:top w:val="nil"/>
              <w:left w:val="nil"/>
              <w:bottom w:val="single" w:color="auto" w:sz="4" w:space="0"/>
              <w:right w:val="single" w:color="auto" w:sz="4" w:space="0"/>
            </w:tcBorders>
            <w:shd w:val="clear" w:color="auto" w:fill="auto"/>
            <w:vAlign w:val="center"/>
          </w:tcPr>
          <w:p w14:paraId="70FFA9B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电子证据数据上链固证虚拟机电子证据数据上链固证</w:t>
            </w:r>
          </w:p>
        </w:tc>
        <w:tc>
          <w:tcPr>
            <w:tcW w:w="850" w:type="dxa"/>
            <w:tcBorders>
              <w:top w:val="nil"/>
              <w:left w:val="nil"/>
              <w:bottom w:val="single" w:color="auto" w:sz="4" w:space="0"/>
              <w:right w:val="single" w:color="auto" w:sz="4" w:space="0"/>
            </w:tcBorders>
            <w:shd w:val="clear" w:color="auto" w:fill="auto"/>
            <w:vAlign w:val="center"/>
          </w:tcPr>
          <w:p w14:paraId="1B1E9F6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00D62F0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33D6D5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53CED3F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267A88A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C8275E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53</w:t>
            </w:r>
          </w:p>
        </w:tc>
        <w:tc>
          <w:tcPr>
            <w:tcW w:w="720" w:type="dxa"/>
            <w:tcBorders>
              <w:top w:val="nil"/>
              <w:left w:val="nil"/>
              <w:bottom w:val="single" w:color="auto" w:sz="4" w:space="0"/>
              <w:right w:val="single" w:color="auto" w:sz="4" w:space="0"/>
            </w:tcBorders>
            <w:shd w:val="clear" w:color="auto" w:fill="auto"/>
            <w:vAlign w:val="center"/>
          </w:tcPr>
          <w:p w14:paraId="43F218F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39B5048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政务外网-数据上链</w:t>
            </w:r>
          </w:p>
        </w:tc>
        <w:tc>
          <w:tcPr>
            <w:tcW w:w="2115" w:type="dxa"/>
            <w:tcBorders>
              <w:top w:val="nil"/>
              <w:left w:val="nil"/>
              <w:bottom w:val="single" w:color="auto" w:sz="4" w:space="0"/>
              <w:right w:val="single" w:color="auto" w:sz="4" w:space="0"/>
            </w:tcBorders>
            <w:shd w:val="clear" w:color="auto" w:fill="auto"/>
            <w:vAlign w:val="center"/>
          </w:tcPr>
          <w:p w14:paraId="707BF42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检验检测数据上链管理虚拟机检验检测数据上链管理</w:t>
            </w:r>
          </w:p>
        </w:tc>
        <w:tc>
          <w:tcPr>
            <w:tcW w:w="850" w:type="dxa"/>
            <w:tcBorders>
              <w:top w:val="nil"/>
              <w:left w:val="nil"/>
              <w:bottom w:val="single" w:color="auto" w:sz="4" w:space="0"/>
              <w:right w:val="single" w:color="auto" w:sz="4" w:space="0"/>
            </w:tcBorders>
            <w:shd w:val="clear" w:color="auto" w:fill="auto"/>
            <w:vAlign w:val="center"/>
          </w:tcPr>
          <w:p w14:paraId="5E535E9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3F6033E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68B3DA1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56C3896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4C70A773">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5D9923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54</w:t>
            </w:r>
          </w:p>
        </w:tc>
        <w:tc>
          <w:tcPr>
            <w:tcW w:w="720" w:type="dxa"/>
            <w:tcBorders>
              <w:top w:val="nil"/>
              <w:left w:val="nil"/>
              <w:bottom w:val="single" w:color="auto" w:sz="4" w:space="0"/>
              <w:right w:val="single" w:color="auto" w:sz="4" w:space="0"/>
            </w:tcBorders>
            <w:shd w:val="clear" w:color="auto" w:fill="auto"/>
            <w:vAlign w:val="center"/>
          </w:tcPr>
          <w:p w14:paraId="46CBF5A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199B795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政务外网-数据上链</w:t>
            </w:r>
          </w:p>
        </w:tc>
        <w:tc>
          <w:tcPr>
            <w:tcW w:w="2115" w:type="dxa"/>
            <w:tcBorders>
              <w:top w:val="nil"/>
              <w:left w:val="nil"/>
              <w:bottom w:val="single" w:color="auto" w:sz="4" w:space="0"/>
              <w:right w:val="single" w:color="auto" w:sz="4" w:space="0"/>
            </w:tcBorders>
            <w:shd w:val="clear" w:color="auto" w:fill="auto"/>
            <w:vAlign w:val="center"/>
          </w:tcPr>
          <w:p w14:paraId="7C8B7DA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行政执法与处罚业务追溯虚拟机行政执法与处罚业务追溯</w:t>
            </w:r>
          </w:p>
        </w:tc>
        <w:tc>
          <w:tcPr>
            <w:tcW w:w="850" w:type="dxa"/>
            <w:tcBorders>
              <w:top w:val="nil"/>
              <w:left w:val="nil"/>
              <w:bottom w:val="single" w:color="auto" w:sz="4" w:space="0"/>
              <w:right w:val="single" w:color="auto" w:sz="4" w:space="0"/>
            </w:tcBorders>
            <w:shd w:val="clear" w:color="auto" w:fill="auto"/>
            <w:vAlign w:val="center"/>
          </w:tcPr>
          <w:p w14:paraId="0E60A1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2C30B95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644434C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27AA544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36D8BCA5">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18D4B75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55</w:t>
            </w:r>
          </w:p>
        </w:tc>
        <w:tc>
          <w:tcPr>
            <w:tcW w:w="720" w:type="dxa"/>
            <w:tcBorders>
              <w:top w:val="nil"/>
              <w:left w:val="nil"/>
              <w:bottom w:val="single" w:color="auto" w:sz="4" w:space="0"/>
              <w:right w:val="single" w:color="auto" w:sz="4" w:space="0"/>
            </w:tcBorders>
            <w:shd w:val="clear" w:color="auto" w:fill="auto"/>
            <w:vAlign w:val="center"/>
          </w:tcPr>
          <w:p w14:paraId="3389CF1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48DB247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政务外网-数据上链</w:t>
            </w:r>
          </w:p>
        </w:tc>
        <w:tc>
          <w:tcPr>
            <w:tcW w:w="2115" w:type="dxa"/>
            <w:tcBorders>
              <w:top w:val="nil"/>
              <w:left w:val="nil"/>
              <w:bottom w:val="single" w:color="auto" w:sz="4" w:space="0"/>
              <w:right w:val="single" w:color="auto" w:sz="4" w:space="0"/>
            </w:tcBorders>
            <w:shd w:val="clear" w:color="auto" w:fill="auto"/>
            <w:vAlign w:val="center"/>
          </w:tcPr>
          <w:p w14:paraId="1A13958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行政审批可信存证及追溯虚拟机行政审批可信存证及追溯</w:t>
            </w:r>
          </w:p>
        </w:tc>
        <w:tc>
          <w:tcPr>
            <w:tcW w:w="850" w:type="dxa"/>
            <w:tcBorders>
              <w:top w:val="nil"/>
              <w:left w:val="nil"/>
              <w:bottom w:val="single" w:color="auto" w:sz="4" w:space="0"/>
              <w:right w:val="single" w:color="auto" w:sz="4" w:space="0"/>
            </w:tcBorders>
            <w:shd w:val="clear" w:color="auto" w:fill="auto"/>
            <w:vAlign w:val="center"/>
          </w:tcPr>
          <w:p w14:paraId="7C5CCFE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0FA1E6E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512324AC">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4C42B9A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w:t>
            </w:r>
          </w:p>
        </w:tc>
      </w:tr>
      <w:tr w14:paraId="3AB5790F">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3C9C74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56</w:t>
            </w:r>
          </w:p>
        </w:tc>
        <w:tc>
          <w:tcPr>
            <w:tcW w:w="720" w:type="dxa"/>
            <w:tcBorders>
              <w:top w:val="nil"/>
              <w:left w:val="nil"/>
              <w:bottom w:val="single" w:color="auto" w:sz="4" w:space="0"/>
              <w:right w:val="single" w:color="auto" w:sz="4" w:space="0"/>
            </w:tcBorders>
            <w:shd w:val="clear" w:color="auto" w:fill="auto"/>
            <w:vAlign w:val="center"/>
          </w:tcPr>
          <w:p w14:paraId="5EEED79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BD2A6A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互联网-一网通办大系统</w:t>
            </w:r>
          </w:p>
        </w:tc>
        <w:tc>
          <w:tcPr>
            <w:tcW w:w="2115" w:type="dxa"/>
            <w:tcBorders>
              <w:top w:val="nil"/>
              <w:left w:val="nil"/>
              <w:bottom w:val="single" w:color="auto" w:sz="4" w:space="0"/>
              <w:right w:val="single" w:color="auto" w:sz="4" w:space="0"/>
            </w:tcBorders>
            <w:shd w:val="clear" w:color="auto" w:fill="auto"/>
            <w:vAlign w:val="center"/>
          </w:tcPr>
          <w:p w14:paraId="2B50683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外部审查业务系统应用服务器（业务功能新建）</w:t>
            </w:r>
          </w:p>
        </w:tc>
        <w:tc>
          <w:tcPr>
            <w:tcW w:w="850" w:type="dxa"/>
            <w:tcBorders>
              <w:top w:val="nil"/>
              <w:left w:val="nil"/>
              <w:bottom w:val="single" w:color="auto" w:sz="4" w:space="0"/>
              <w:right w:val="single" w:color="auto" w:sz="4" w:space="0"/>
            </w:tcBorders>
            <w:shd w:val="clear" w:color="auto" w:fill="auto"/>
            <w:vAlign w:val="center"/>
          </w:tcPr>
          <w:p w14:paraId="46BA5F5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76E78AC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2BC2F04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70885F1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5E38B57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EF1FDC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57</w:t>
            </w:r>
          </w:p>
        </w:tc>
        <w:tc>
          <w:tcPr>
            <w:tcW w:w="720" w:type="dxa"/>
            <w:tcBorders>
              <w:top w:val="nil"/>
              <w:left w:val="nil"/>
              <w:bottom w:val="single" w:color="auto" w:sz="4" w:space="0"/>
              <w:right w:val="single" w:color="auto" w:sz="4" w:space="0"/>
            </w:tcBorders>
            <w:shd w:val="clear" w:color="auto" w:fill="auto"/>
            <w:vAlign w:val="center"/>
          </w:tcPr>
          <w:p w14:paraId="04A29B0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6D21670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政务外网-一网统管大系统</w:t>
            </w:r>
          </w:p>
        </w:tc>
        <w:tc>
          <w:tcPr>
            <w:tcW w:w="2115" w:type="dxa"/>
            <w:tcBorders>
              <w:top w:val="nil"/>
              <w:left w:val="nil"/>
              <w:bottom w:val="single" w:color="auto" w:sz="4" w:space="0"/>
              <w:right w:val="single" w:color="auto" w:sz="4" w:space="0"/>
            </w:tcBorders>
            <w:shd w:val="clear" w:color="auto" w:fill="auto"/>
            <w:vAlign w:val="center"/>
          </w:tcPr>
          <w:p w14:paraId="357A667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w:t>
            </w:r>
          </w:p>
        </w:tc>
        <w:tc>
          <w:tcPr>
            <w:tcW w:w="850" w:type="dxa"/>
            <w:tcBorders>
              <w:top w:val="nil"/>
              <w:left w:val="nil"/>
              <w:bottom w:val="single" w:color="auto" w:sz="4" w:space="0"/>
              <w:right w:val="single" w:color="auto" w:sz="4" w:space="0"/>
            </w:tcBorders>
            <w:shd w:val="clear" w:color="auto" w:fill="auto"/>
            <w:vAlign w:val="center"/>
          </w:tcPr>
          <w:p w14:paraId="33B8A9E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E5C081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3BAF6B7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w:t>
            </w:r>
          </w:p>
        </w:tc>
        <w:tc>
          <w:tcPr>
            <w:tcW w:w="790" w:type="dxa"/>
            <w:tcBorders>
              <w:top w:val="nil"/>
              <w:left w:val="nil"/>
              <w:bottom w:val="single" w:color="auto" w:sz="4" w:space="0"/>
              <w:right w:val="single" w:color="auto" w:sz="4" w:space="0"/>
            </w:tcBorders>
            <w:shd w:val="clear" w:color="auto" w:fill="auto"/>
            <w:vAlign w:val="center"/>
          </w:tcPr>
          <w:p w14:paraId="53BB946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1AEAE0B9">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4095863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58</w:t>
            </w:r>
          </w:p>
        </w:tc>
        <w:tc>
          <w:tcPr>
            <w:tcW w:w="720" w:type="dxa"/>
            <w:tcBorders>
              <w:top w:val="nil"/>
              <w:left w:val="nil"/>
              <w:bottom w:val="single" w:color="auto" w:sz="4" w:space="0"/>
              <w:right w:val="single" w:color="auto" w:sz="4" w:space="0"/>
            </w:tcBorders>
            <w:shd w:val="clear" w:color="auto" w:fill="auto"/>
            <w:vAlign w:val="center"/>
          </w:tcPr>
          <w:p w14:paraId="434AE7D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2BACE04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政务外网-一网统管大系统</w:t>
            </w:r>
          </w:p>
        </w:tc>
        <w:tc>
          <w:tcPr>
            <w:tcW w:w="2115" w:type="dxa"/>
            <w:tcBorders>
              <w:top w:val="nil"/>
              <w:left w:val="nil"/>
              <w:bottom w:val="single" w:color="auto" w:sz="4" w:space="0"/>
              <w:right w:val="single" w:color="auto" w:sz="4" w:space="0"/>
            </w:tcBorders>
            <w:shd w:val="clear" w:color="auto" w:fill="auto"/>
            <w:vAlign w:val="center"/>
          </w:tcPr>
          <w:p w14:paraId="2223B31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行政处罚与执法监督系统（电子证据采集）</w:t>
            </w:r>
          </w:p>
        </w:tc>
        <w:tc>
          <w:tcPr>
            <w:tcW w:w="850" w:type="dxa"/>
            <w:tcBorders>
              <w:top w:val="nil"/>
              <w:left w:val="nil"/>
              <w:bottom w:val="single" w:color="auto" w:sz="4" w:space="0"/>
              <w:right w:val="single" w:color="auto" w:sz="4" w:space="0"/>
            </w:tcBorders>
            <w:shd w:val="clear" w:color="auto" w:fill="auto"/>
            <w:vAlign w:val="center"/>
          </w:tcPr>
          <w:p w14:paraId="4E9B64C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3A753EA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3EF1F7F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1000</w:t>
            </w:r>
          </w:p>
        </w:tc>
        <w:tc>
          <w:tcPr>
            <w:tcW w:w="790" w:type="dxa"/>
            <w:tcBorders>
              <w:top w:val="nil"/>
              <w:left w:val="nil"/>
              <w:bottom w:val="single" w:color="auto" w:sz="4" w:space="0"/>
              <w:right w:val="single" w:color="auto" w:sz="4" w:space="0"/>
            </w:tcBorders>
            <w:shd w:val="clear" w:color="auto" w:fill="auto"/>
            <w:vAlign w:val="center"/>
          </w:tcPr>
          <w:p w14:paraId="63C1BFE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w:t>
            </w:r>
          </w:p>
        </w:tc>
      </w:tr>
      <w:tr w14:paraId="5955F364">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3FBBE5B6">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59</w:t>
            </w:r>
          </w:p>
        </w:tc>
        <w:tc>
          <w:tcPr>
            <w:tcW w:w="720" w:type="dxa"/>
            <w:tcBorders>
              <w:top w:val="nil"/>
              <w:left w:val="nil"/>
              <w:bottom w:val="single" w:color="auto" w:sz="4" w:space="0"/>
              <w:right w:val="single" w:color="auto" w:sz="4" w:space="0"/>
            </w:tcBorders>
            <w:shd w:val="clear" w:color="auto" w:fill="auto"/>
            <w:vAlign w:val="center"/>
          </w:tcPr>
          <w:p w14:paraId="26683C0E">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07D49CC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互联网-一网协同</w:t>
            </w:r>
          </w:p>
        </w:tc>
        <w:tc>
          <w:tcPr>
            <w:tcW w:w="2115" w:type="dxa"/>
            <w:tcBorders>
              <w:top w:val="nil"/>
              <w:left w:val="nil"/>
              <w:bottom w:val="single" w:color="auto" w:sz="4" w:space="0"/>
              <w:right w:val="single" w:color="auto" w:sz="4" w:space="0"/>
            </w:tcBorders>
            <w:shd w:val="clear" w:color="auto" w:fill="auto"/>
            <w:vAlign w:val="center"/>
          </w:tcPr>
          <w:p w14:paraId="028E96B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电子档案管理系统（应用部署）</w:t>
            </w:r>
          </w:p>
        </w:tc>
        <w:tc>
          <w:tcPr>
            <w:tcW w:w="850" w:type="dxa"/>
            <w:tcBorders>
              <w:top w:val="nil"/>
              <w:left w:val="nil"/>
              <w:bottom w:val="single" w:color="auto" w:sz="4" w:space="0"/>
              <w:right w:val="single" w:color="auto" w:sz="4" w:space="0"/>
            </w:tcBorders>
            <w:shd w:val="clear" w:color="auto" w:fill="auto"/>
            <w:vAlign w:val="center"/>
          </w:tcPr>
          <w:p w14:paraId="3339CFD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4BE641C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5B75FFE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58E80D6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65824E91">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167232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60</w:t>
            </w:r>
          </w:p>
        </w:tc>
        <w:tc>
          <w:tcPr>
            <w:tcW w:w="720" w:type="dxa"/>
            <w:tcBorders>
              <w:top w:val="nil"/>
              <w:left w:val="nil"/>
              <w:bottom w:val="single" w:color="auto" w:sz="4" w:space="0"/>
              <w:right w:val="single" w:color="auto" w:sz="4" w:space="0"/>
            </w:tcBorders>
            <w:shd w:val="clear" w:color="auto" w:fill="auto"/>
            <w:vAlign w:val="center"/>
          </w:tcPr>
          <w:p w14:paraId="7CBCC1F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706949E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互联网-一网协同</w:t>
            </w:r>
          </w:p>
        </w:tc>
        <w:tc>
          <w:tcPr>
            <w:tcW w:w="2115" w:type="dxa"/>
            <w:tcBorders>
              <w:top w:val="nil"/>
              <w:left w:val="nil"/>
              <w:bottom w:val="single" w:color="auto" w:sz="4" w:space="0"/>
              <w:right w:val="single" w:color="auto" w:sz="4" w:space="0"/>
            </w:tcBorders>
            <w:shd w:val="clear" w:color="auto" w:fill="auto"/>
            <w:vAlign w:val="center"/>
          </w:tcPr>
          <w:p w14:paraId="124475B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电子档案管理系统（安全支撑应用部署)</w:t>
            </w:r>
          </w:p>
        </w:tc>
        <w:tc>
          <w:tcPr>
            <w:tcW w:w="850" w:type="dxa"/>
            <w:tcBorders>
              <w:top w:val="nil"/>
              <w:left w:val="nil"/>
              <w:bottom w:val="single" w:color="auto" w:sz="4" w:space="0"/>
              <w:right w:val="single" w:color="auto" w:sz="4" w:space="0"/>
            </w:tcBorders>
            <w:shd w:val="clear" w:color="auto" w:fill="auto"/>
            <w:vAlign w:val="center"/>
          </w:tcPr>
          <w:p w14:paraId="6765994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3FB5BC1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32</w:t>
            </w:r>
          </w:p>
        </w:tc>
        <w:tc>
          <w:tcPr>
            <w:tcW w:w="850" w:type="dxa"/>
            <w:tcBorders>
              <w:top w:val="nil"/>
              <w:left w:val="nil"/>
              <w:bottom w:val="single" w:color="auto" w:sz="4" w:space="0"/>
              <w:right w:val="single" w:color="auto" w:sz="4" w:space="0"/>
            </w:tcBorders>
            <w:shd w:val="clear" w:color="auto" w:fill="auto"/>
            <w:vAlign w:val="center"/>
          </w:tcPr>
          <w:p w14:paraId="39FD97E5">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500</w:t>
            </w:r>
          </w:p>
        </w:tc>
        <w:tc>
          <w:tcPr>
            <w:tcW w:w="790" w:type="dxa"/>
            <w:tcBorders>
              <w:top w:val="nil"/>
              <w:left w:val="nil"/>
              <w:bottom w:val="single" w:color="auto" w:sz="4" w:space="0"/>
              <w:right w:val="single" w:color="auto" w:sz="4" w:space="0"/>
            </w:tcBorders>
            <w:shd w:val="clear" w:color="auto" w:fill="auto"/>
            <w:vAlign w:val="center"/>
          </w:tcPr>
          <w:p w14:paraId="50B9085A">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253DE30D">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30D03C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61</w:t>
            </w:r>
          </w:p>
        </w:tc>
        <w:tc>
          <w:tcPr>
            <w:tcW w:w="720" w:type="dxa"/>
            <w:tcBorders>
              <w:top w:val="nil"/>
              <w:left w:val="nil"/>
              <w:bottom w:val="single" w:color="auto" w:sz="4" w:space="0"/>
              <w:right w:val="single" w:color="auto" w:sz="4" w:space="0"/>
            </w:tcBorders>
            <w:shd w:val="clear" w:color="auto" w:fill="auto"/>
            <w:vAlign w:val="center"/>
          </w:tcPr>
          <w:p w14:paraId="3556500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虚拟机</w:t>
            </w:r>
          </w:p>
        </w:tc>
        <w:tc>
          <w:tcPr>
            <w:tcW w:w="1701" w:type="dxa"/>
            <w:tcBorders>
              <w:top w:val="nil"/>
              <w:left w:val="nil"/>
              <w:bottom w:val="single" w:color="auto" w:sz="4" w:space="0"/>
              <w:right w:val="single" w:color="auto" w:sz="4" w:space="0"/>
            </w:tcBorders>
            <w:shd w:val="clear" w:color="auto" w:fill="auto"/>
            <w:vAlign w:val="center"/>
          </w:tcPr>
          <w:p w14:paraId="4B4987AB">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互联网-一网协同</w:t>
            </w:r>
          </w:p>
        </w:tc>
        <w:tc>
          <w:tcPr>
            <w:tcW w:w="2115" w:type="dxa"/>
            <w:tcBorders>
              <w:top w:val="nil"/>
              <w:left w:val="nil"/>
              <w:bottom w:val="single" w:color="auto" w:sz="4" w:space="0"/>
              <w:right w:val="single" w:color="auto" w:sz="4" w:space="0"/>
            </w:tcBorders>
            <w:shd w:val="clear" w:color="auto" w:fill="auto"/>
            <w:vAlign w:val="center"/>
          </w:tcPr>
          <w:p w14:paraId="5EE6848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电子档案管理系统（安全支撑数据库部署)</w:t>
            </w:r>
          </w:p>
        </w:tc>
        <w:tc>
          <w:tcPr>
            <w:tcW w:w="850" w:type="dxa"/>
            <w:tcBorders>
              <w:top w:val="nil"/>
              <w:left w:val="nil"/>
              <w:bottom w:val="single" w:color="auto" w:sz="4" w:space="0"/>
              <w:right w:val="single" w:color="auto" w:sz="4" w:space="0"/>
            </w:tcBorders>
            <w:shd w:val="clear" w:color="auto" w:fill="auto"/>
            <w:vAlign w:val="center"/>
          </w:tcPr>
          <w:p w14:paraId="4C7663D1">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16</w:t>
            </w:r>
          </w:p>
        </w:tc>
        <w:tc>
          <w:tcPr>
            <w:tcW w:w="840" w:type="dxa"/>
            <w:tcBorders>
              <w:top w:val="nil"/>
              <w:left w:val="nil"/>
              <w:bottom w:val="single" w:color="auto" w:sz="4" w:space="0"/>
              <w:right w:val="single" w:color="auto" w:sz="4" w:space="0"/>
            </w:tcBorders>
            <w:shd w:val="clear" w:color="auto" w:fill="auto"/>
            <w:vAlign w:val="center"/>
          </w:tcPr>
          <w:p w14:paraId="74E014A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64</w:t>
            </w:r>
          </w:p>
        </w:tc>
        <w:tc>
          <w:tcPr>
            <w:tcW w:w="850" w:type="dxa"/>
            <w:tcBorders>
              <w:top w:val="nil"/>
              <w:left w:val="nil"/>
              <w:bottom w:val="single" w:color="auto" w:sz="4" w:space="0"/>
              <w:right w:val="single" w:color="auto" w:sz="4" w:space="0"/>
            </w:tcBorders>
            <w:shd w:val="clear" w:color="auto" w:fill="auto"/>
            <w:vAlign w:val="center"/>
          </w:tcPr>
          <w:p w14:paraId="5386233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2000</w:t>
            </w:r>
          </w:p>
        </w:tc>
        <w:tc>
          <w:tcPr>
            <w:tcW w:w="790" w:type="dxa"/>
            <w:tcBorders>
              <w:top w:val="nil"/>
              <w:left w:val="nil"/>
              <w:bottom w:val="single" w:color="auto" w:sz="4" w:space="0"/>
              <w:right w:val="single" w:color="auto" w:sz="4" w:space="0"/>
            </w:tcBorders>
            <w:shd w:val="clear" w:color="auto" w:fill="auto"/>
            <w:vAlign w:val="center"/>
          </w:tcPr>
          <w:p w14:paraId="5C00C978">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w:t>
            </w:r>
          </w:p>
        </w:tc>
      </w:tr>
      <w:tr w14:paraId="56726C58">
        <w:tblPrEx>
          <w:tblCellMar>
            <w:top w:w="0" w:type="dxa"/>
            <w:left w:w="108" w:type="dxa"/>
            <w:bottom w:w="0" w:type="dxa"/>
            <w:right w:w="108" w:type="dxa"/>
          </w:tblCellMar>
        </w:tblPrEx>
        <w:trPr>
          <w:trHeight w:val="20" w:hRule="atLeast"/>
        </w:trPr>
        <w:tc>
          <w:tcPr>
            <w:tcW w:w="562" w:type="dxa"/>
            <w:tcBorders>
              <w:top w:val="nil"/>
              <w:left w:val="single" w:color="auto" w:sz="4" w:space="0"/>
              <w:bottom w:val="single" w:color="auto" w:sz="4" w:space="0"/>
              <w:right w:val="single" w:color="auto" w:sz="4" w:space="0"/>
            </w:tcBorders>
            <w:shd w:val="clear" w:color="auto" w:fill="auto"/>
            <w:vAlign w:val="center"/>
          </w:tcPr>
          <w:p w14:paraId="523C371F">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　</w:t>
            </w:r>
          </w:p>
        </w:tc>
        <w:tc>
          <w:tcPr>
            <w:tcW w:w="720" w:type="dxa"/>
            <w:tcBorders>
              <w:top w:val="nil"/>
              <w:left w:val="nil"/>
              <w:bottom w:val="single" w:color="auto" w:sz="4" w:space="0"/>
              <w:right w:val="single" w:color="auto" w:sz="4" w:space="0"/>
            </w:tcBorders>
            <w:shd w:val="clear" w:color="auto" w:fill="auto"/>
            <w:vAlign w:val="center"/>
          </w:tcPr>
          <w:p w14:paraId="6B1B9273">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小计</w:t>
            </w:r>
          </w:p>
        </w:tc>
        <w:tc>
          <w:tcPr>
            <w:tcW w:w="1701" w:type="dxa"/>
            <w:tcBorders>
              <w:top w:val="nil"/>
              <w:left w:val="nil"/>
              <w:bottom w:val="single" w:color="auto" w:sz="4" w:space="0"/>
              <w:right w:val="single" w:color="auto" w:sz="4" w:space="0"/>
            </w:tcBorders>
            <w:shd w:val="clear" w:color="auto" w:fill="auto"/>
            <w:vAlign w:val="center"/>
          </w:tcPr>
          <w:p w14:paraId="1BCE3F17">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　</w:t>
            </w:r>
          </w:p>
        </w:tc>
        <w:tc>
          <w:tcPr>
            <w:tcW w:w="2115" w:type="dxa"/>
            <w:tcBorders>
              <w:top w:val="nil"/>
              <w:left w:val="nil"/>
              <w:bottom w:val="single" w:color="auto" w:sz="4" w:space="0"/>
              <w:right w:val="single" w:color="auto" w:sz="4" w:space="0"/>
            </w:tcBorders>
            <w:shd w:val="clear" w:color="auto" w:fill="auto"/>
            <w:vAlign w:val="center"/>
          </w:tcPr>
          <w:p w14:paraId="52570BD4">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　</w:t>
            </w:r>
          </w:p>
        </w:tc>
        <w:tc>
          <w:tcPr>
            <w:tcW w:w="850" w:type="dxa"/>
            <w:tcBorders>
              <w:top w:val="nil"/>
              <w:left w:val="nil"/>
              <w:bottom w:val="single" w:color="auto" w:sz="4" w:space="0"/>
              <w:right w:val="single" w:color="auto" w:sz="4" w:space="0"/>
            </w:tcBorders>
            <w:shd w:val="clear" w:color="auto" w:fill="auto"/>
            <w:vAlign w:val="center"/>
          </w:tcPr>
          <w:p w14:paraId="706D9FE0">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4416</w:t>
            </w:r>
          </w:p>
        </w:tc>
        <w:tc>
          <w:tcPr>
            <w:tcW w:w="840" w:type="dxa"/>
            <w:tcBorders>
              <w:top w:val="nil"/>
              <w:left w:val="nil"/>
              <w:bottom w:val="single" w:color="auto" w:sz="4" w:space="0"/>
              <w:right w:val="single" w:color="auto" w:sz="4" w:space="0"/>
            </w:tcBorders>
            <w:shd w:val="clear" w:color="auto" w:fill="auto"/>
            <w:vAlign w:val="center"/>
          </w:tcPr>
          <w:p w14:paraId="389B48BD">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11552</w:t>
            </w:r>
          </w:p>
        </w:tc>
        <w:tc>
          <w:tcPr>
            <w:tcW w:w="850" w:type="dxa"/>
            <w:tcBorders>
              <w:top w:val="nil"/>
              <w:left w:val="nil"/>
              <w:bottom w:val="single" w:color="auto" w:sz="4" w:space="0"/>
              <w:right w:val="single" w:color="auto" w:sz="4" w:space="0"/>
            </w:tcBorders>
            <w:shd w:val="clear" w:color="auto" w:fill="auto"/>
            <w:vAlign w:val="center"/>
          </w:tcPr>
          <w:p w14:paraId="384257F2">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317500</w:t>
            </w:r>
          </w:p>
        </w:tc>
        <w:tc>
          <w:tcPr>
            <w:tcW w:w="790" w:type="dxa"/>
            <w:tcBorders>
              <w:top w:val="nil"/>
              <w:left w:val="nil"/>
              <w:bottom w:val="single" w:color="auto" w:sz="4" w:space="0"/>
              <w:right w:val="single" w:color="auto" w:sz="4" w:space="0"/>
            </w:tcBorders>
            <w:shd w:val="clear" w:color="auto" w:fill="auto"/>
            <w:vAlign w:val="center"/>
          </w:tcPr>
          <w:p w14:paraId="6434BE39">
            <w:pPr>
              <w:widowControl/>
              <w:spacing w:line="240" w:lineRule="auto"/>
              <w:ind w:firstLine="0" w:firstLineChars="0"/>
              <w:jc w:val="center"/>
              <w:rPr>
                <w:rFonts w:hint="eastAsia" w:cs="宋体"/>
                <w:color w:val="000000"/>
                <w:kern w:val="0"/>
                <w:sz w:val="21"/>
                <w:szCs w:val="21"/>
                <w:highlight w:val="none"/>
              </w:rPr>
            </w:pPr>
            <w:r>
              <w:rPr>
                <w:rFonts w:hint="eastAsia" w:cs="宋体"/>
                <w:color w:val="000000"/>
                <w:kern w:val="0"/>
                <w:sz w:val="21"/>
                <w:szCs w:val="21"/>
                <w:highlight w:val="none"/>
              </w:rPr>
              <w:t>267</w:t>
            </w:r>
          </w:p>
        </w:tc>
      </w:tr>
    </w:tbl>
    <w:p w14:paraId="7EB34B6D">
      <w:pPr>
        <w:rPr>
          <w:rFonts w:hint="eastAsia"/>
          <w:highlight w:val="none"/>
        </w:rPr>
      </w:pPr>
    </w:p>
    <w:p w14:paraId="3F617E2C">
      <w:pPr>
        <w:pStyle w:val="2"/>
        <w:rPr>
          <w:rFonts w:hint="eastAsia"/>
          <w:highlight w:val="none"/>
        </w:rPr>
      </w:pPr>
      <w:bookmarkStart w:id="18" w:name="_Toc63785503"/>
      <w:r>
        <w:rPr>
          <w:rFonts w:hint="eastAsia"/>
          <w:highlight w:val="none"/>
        </w:rPr>
        <w:t>其他工作要求</w:t>
      </w:r>
      <w:bookmarkEnd w:id="18"/>
    </w:p>
    <w:p w14:paraId="1A323547">
      <w:pPr>
        <w:keepNext/>
        <w:keepLines/>
        <w:numPr>
          <w:ilvl w:val="1"/>
          <w:numId w:val="4"/>
        </w:numPr>
        <w:tabs>
          <w:tab w:val="left" w:pos="360"/>
        </w:tabs>
        <w:spacing w:before="120" w:line="240" w:lineRule="auto"/>
        <w:ind w:left="0" w:firstLine="0" w:firstLineChars="0"/>
        <w:outlineLvl w:val="1"/>
        <w:rPr>
          <w:rFonts w:hint="eastAsia" w:ascii="仿宋" w:hAnsi="仿宋" w:eastAsia="仿宋"/>
          <w:b/>
          <w:vanish/>
          <w:color w:val="000000"/>
          <w:sz w:val="28"/>
          <w:szCs w:val="20"/>
          <w:highlight w:val="none"/>
        </w:rPr>
      </w:pPr>
      <w:bookmarkStart w:id="19" w:name="_Toc61968111"/>
      <w:bookmarkEnd w:id="19"/>
      <w:bookmarkStart w:id="20" w:name="_Toc63585480"/>
      <w:bookmarkEnd w:id="20"/>
      <w:bookmarkStart w:id="21" w:name="_Toc63151871"/>
      <w:bookmarkEnd w:id="21"/>
      <w:bookmarkStart w:id="22" w:name="_Toc63762370"/>
      <w:bookmarkEnd w:id="22"/>
      <w:bookmarkStart w:id="23" w:name="_Toc62219358"/>
      <w:bookmarkEnd w:id="23"/>
      <w:bookmarkStart w:id="24" w:name="_Toc62209488"/>
      <w:bookmarkEnd w:id="24"/>
      <w:bookmarkStart w:id="25" w:name="_Toc63785504"/>
      <w:bookmarkEnd w:id="25"/>
      <w:bookmarkStart w:id="26" w:name="_Toc63785439"/>
      <w:bookmarkEnd w:id="26"/>
    </w:p>
    <w:p w14:paraId="1332AFB9">
      <w:pPr>
        <w:pStyle w:val="3"/>
        <w:rPr>
          <w:rFonts w:hint="eastAsia"/>
          <w:highlight w:val="none"/>
        </w:rPr>
      </w:pPr>
      <w:bookmarkStart w:id="27" w:name="_Toc63785505"/>
      <w:r>
        <w:rPr>
          <w:rFonts w:hint="eastAsia"/>
          <w:highlight w:val="none"/>
        </w:rPr>
        <w:t>售后服务要求</w:t>
      </w:r>
      <w:bookmarkEnd w:id="27"/>
    </w:p>
    <w:p w14:paraId="1A8C1843">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p>
    <w:p w14:paraId="0B8B83D5">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在质量保证期内，供应商将按照售后服务的承诺提供保修和运行维护服务，如果厂商对信息系统中软、硬件设备等产品中的部分保修期超过上述期限的，则按照厂商的规定进行免费保修。</w:t>
      </w:r>
    </w:p>
    <w:p w14:paraId="024D2C6B">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本项目涉及的运行维护工作范围为：日常监控巡检、系统扩容、应急演练与应急响应、安全扫描与加固、配置实施及管理、节假日保障、故障处理与响应。</w:t>
      </w:r>
    </w:p>
    <w:p w14:paraId="65ADB486">
      <w:pPr>
        <w:pStyle w:val="3"/>
        <w:rPr>
          <w:rFonts w:hint="eastAsia"/>
          <w:highlight w:val="none"/>
        </w:rPr>
      </w:pPr>
      <w:bookmarkStart w:id="28" w:name="_Toc63785506"/>
      <w:r>
        <w:rPr>
          <w:rFonts w:hint="eastAsia"/>
          <w:highlight w:val="none"/>
        </w:rPr>
        <w:t>应急响应要求</w:t>
      </w:r>
      <w:bookmarkEnd w:id="28"/>
    </w:p>
    <w:p w14:paraId="53F3669A">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14:paraId="3BB3FE55">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具体故障级别及对应的应急响应要求如下：</w:t>
      </w:r>
    </w:p>
    <w:p w14:paraId="0330DB4C">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14:paraId="0459B2FA">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14:paraId="0033D56D">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14:paraId="5F8F6E55">
      <w:pPr>
        <w:pStyle w:val="3"/>
        <w:rPr>
          <w:rFonts w:hint="eastAsia"/>
          <w:highlight w:val="none"/>
        </w:rPr>
      </w:pPr>
      <w:bookmarkStart w:id="29" w:name="_Toc63785507"/>
      <w:r>
        <w:rPr>
          <w:rFonts w:hint="eastAsia"/>
          <w:highlight w:val="none"/>
        </w:rPr>
        <w:t>培训要求</w:t>
      </w:r>
      <w:bookmarkEnd w:id="29"/>
    </w:p>
    <w:p w14:paraId="1C88A939">
      <w:pPr>
        <w:rPr>
          <w:rFonts w:hint="eastAsia"/>
          <w:highlight w:val="none"/>
        </w:rPr>
      </w:pPr>
      <w:r>
        <w:rPr>
          <w:rFonts w:hint="eastAsia"/>
          <w:highlight w:val="none"/>
        </w:rPr>
        <w:t>对系统使用单位提供业务操作培训，应提供详细培训方案。</w:t>
      </w:r>
    </w:p>
    <w:p w14:paraId="41D0B1B8">
      <w:pPr>
        <w:rPr>
          <w:rFonts w:hint="eastAsia"/>
          <w:highlight w:val="none"/>
        </w:rPr>
      </w:pPr>
      <w:r>
        <w:rPr>
          <w:rFonts w:hint="eastAsia"/>
          <w:highlight w:val="none"/>
        </w:rPr>
        <w:t>(1)在12个月的质量保证期内，提供2次与项目相关的必要培训。</w:t>
      </w:r>
    </w:p>
    <w:p w14:paraId="7E3EBAA7">
      <w:pPr>
        <w:rPr>
          <w:rFonts w:hint="eastAsia"/>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14:paraId="478B9E91">
      <w:pPr>
        <w:rPr>
          <w:rFonts w:hint="eastAsia"/>
          <w:highlight w:val="none"/>
        </w:rPr>
      </w:pPr>
      <w:r>
        <w:rPr>
          <w:rFonts w:hint="eastAsia"/>
          <w:highlight w:val="none"/>
        </w:rPr>
        <w:t>(3)供应商应提供一般用户的基础操作培训和部门信息管理员的日常应用维护的培训，确保用户对象能够掌握对应的操作技能。</w:t>
      </w:r>
    </w:p>
    <w:p w14:paraId="524EEAEE">
      <w:pPr>
        <w:pStyle w:val="3"/>
        <w:rPr>
          <w:rFonts w:hint="eastAsia"/>
          <w:highlight w:val="none"/>
        </w:rPr>
      </w:pPr>
      <w:bookmarkStart w:id="30" w:name="_Toc63785508"/>
      <w:r>
        <w:rPr>
          <w:rFonts w:hint="eastAsia"/>
          <w:highlight w:val="none"/>
        </w:rPr>
        <w:t>验收要求</w:t>
      </w:r>
      <w:bookmarkEnd w:id="30"/>
    </w:p>
    <w:p w14:paraId="38978687">
      <w:pPr>
        <w:rPr>
          <w:rFonts w:hint="eastAsia"/>
          <w:szCs w:val="21"/>
          <w:highlight w:val="none"/>
        </w:rPr>
      </w:pPr>
      <w:r>
        <w:rPr>
          <w:rFonts w:hint="eastAsia"/>
          <w:szCs w:val="21"/>
          <w:highlight w:val="none"/>
        </w:rPr>
        <w:t>本项目按下述方式开展验收。</w:t>
      </w:r>
    </w:p>
    <w:p w14:paraId="2810A942">
      <w:pPr>
        <w:rPr>
          <w:rFonts w:hint="eastAsia"/>
          <w:szCs w:val="21"/>
          <w:highlight w:val="none"/>
        </w:rPr>
      </w:pPr>
      <w:r>
        <w:rPr>
          <w:rFonts w:hint="eastAsia"/>
          <w:szCs w:val="21"/>
          <w:highlight w:val="none"/>
        </w:rPr>
        <w:t>（</w:t>
      </w:r>
      <w:r>
        <w:rPr>
          <w:szCs w:val="21"/>
          <w:highlight w:val="none"/>
        </w:rPr>
        <w:t>1）验收分初验和终验。</w:t>
      </w:r>
    </w:p>
    <w:p w14:paraId="223A1601">
      <w:pPr>
        <w:rPr>
          <w:rFonts w:hint="eastAsia"/>
          <w:szCs w:val="21"/>
          <w:highlight w:val="none"/>
        </w:rPr>
      </w:pPr>
      <w:r>
        <w:rPr>
          <w:rFonts w:hint="eastAsia"/>
          <w:szCs w:val="21"/>
          <w:highlight w:val="none"/>
        </w:rPr>
        <w:t>（</w:t>
      </w:r>
      <w:r>
        <w:rPr>
          <w:szCs w:val="21"/>
          <w:highlight w:val="none"/>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14:paraId="296AF3B7">
      <w:pPr>
        <w:rPr>
          <w:rFonts w:hint="eastAsia"/>
          <w:szCs w:val="21"/>
          <w:highlight w:val="none"/>
        </w:rPr>
      </w:pPr>
      <w:r>
        <w:rPr>
          <w:rFonts w:hint="eastAsia"/>
          <w:szCs w:val="21"/>
          <w:highlight w:val="none"/>
        </w:rPr>
        <w:t>（</w:t>
      </w:r>
      <w:r>
        <w:rPr>
          <w:szCs w:val="21"/>
          <w:highlight w:val="none"/>
        </w:rPr>
        <w:t>3）初验时，供应商须提供软件文档包括《用户需求说明书》、《系统概要设计说明书》、《系统详细设计说明书》、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14:paraId="071474AC">
      <w:pPr>
        <w:rPr>
          <w:rFonts w:hint="eastAsia"/>
          <w:szCs w:val="21"/>
          <w:highlight w:val="none"/>
        </w:rPr>
      </w:pPr>
      <w:r>
        <w:rPr>
          <w:rFonts w:hint="eastAsia"/>
          <w:szCs w:val="21"/>
          <w:highlight w:val="none"/>
        </w:rPr>
        <w:t>（</w:t>
      </w:r>
      <w:r>
        <w:rPr>
          <w:szCs w:val="21"/>
          <w:highlight w:val="none"/>
        </w:rPr>
        <w:t>4）自初验通过之日起，招标方享有供应商免费提供的</w:t>
      </w:r>
      <w:r>
        <w:rPr>
          <w:rFonts w:hint="eastAsia"/>
          <w:szCs w:val="21"/>
          <w:highlight w:val="none"/>
        </w:rPr>
        <w:t>30</w:t>
      </w:r>
      <w:r>
        <w:rPr>
          <w:szCs w:val="21"/>
          <w:highlight w:val="none"/>
        </w:rPr>
        <w:t>天的信息系统试运行现场驻场服务期。该期间内，供应商应当按照招标方的要求提供现场技术支持服务，解决信息系统试运行期间可能出现的各类问题，或进一步提高与完善信息系统运行水平。</w:t>
      </w:r>
    </w:p>
    <w:p w14:paraId="36CC9F03">
      <w:pPr>
        <w:rPr>
          <w:rFonts w:hint="eastAsia"/>
          <w:szCs w:val="21"/>
          <w:highlight w:val="none"/>
        </w:rPr>
      </w:pPr>
      <w:r>
        <w:rPr>
          <w:rFonts w:hint="eastAsia"/>
          <w:szCs w:val="21"/>
          <w:highlight w:val="none"/>
        </w:rPr>
        <w:t>（</w:t>
      </w:r>
      <w:r>
        <w:rPr>
          <w:szCs w:val="21"/>
          <w:highlight w:val="none"/>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highlight w:val="none"/>
          <w:lang w:val="en-US" w:eastAsia="zh-CN"/>
        </w:rPr>
        <w:t>15</w:t>
      </w:r>
      <w:r>
        <w:rPr>
          <w:szCs w:val="21"/>
          <w:highlight w:val="none"/>
        </w:rPr>
        <w:t xml:space="preserve">     个工作日内发起组织专家验收会。</w:t>
      </w:r>
    </w:p>
    <w:p w14:paraId="62FCF63A">
      <w:pPr>
        <w:rPr>
          <w:rFonts w:hint="eastAsia"/>
          <w:szCs w:val="21"/>
          <w:highlight w:val="none"/>
        </w:rPr>
      </w:pPr>
      <w:r>
        <w:rPr>
          <w:rFonts w:hint="eastAsia"/>
          <w:szCs w:val="21"/>
          <w:highlight w:val="none"/>
        </w:rPr>
        <w:t>（6</w:t>
      </w:r>
      <w:r>
        <w:rPr>
          <w:szCs w:val="21"/>
          <w:highlight w:val="none"/>
        </w:rPr>
        <w:t>）如果属于供应商原因致使本项目未能通过终验，供应商应当排除缺陷，直至本项目完全符合验收标准，由上述情形而产生的相关费用应由供应商自行承担。</w:t>
      </w:r>
    </w:p>
    <w:p w14:paraId="1D7EFB7E">
      <w:pPr>
        <w:rPr>
          <w:rFonts w:hint="eastAsia"/>
          <w:szCs w:val="21"/>
          <w:highlight w:val="none"/>
        </w:rPr>
      </w:pPr>
      <w:r>
        <w:rPr>
          <w:rFonts w:hint="eastAsia"/>
          <w:szCs w:val="21"/>
          <w:highlight w:val="none"/>
        </w:rPr>
        <w:t>（7</w:t>
      </w:r>
      <w:r>
        <w:rPr>
          <w:szCs w:val="21"/>
          <w:highlight w:val="none"/>
        </w:rPr>
        <w:t>）如果由于招标方原因导致本项目在终验通过前出现故障或问题，供应商应及时配合排除该方面的故障或问题。</w:t>
      </w:r>
    </w:p>
    <w:p w14:paraId="2B82E43F">
      <w:pPr>
        <w:rPr>
          <w:rFonts w:hint="eastAsia"/>
          <w:szCs w:val="21"/>
          <w:highlight w:val="none"/>
        </w:rPr>
      </w:pPr>
      <w:r>
        <w:rPr>
          <w:rFonts w:hint="eastAsia"/>
          <w:szCs w:val="21"/>
          <w:highlight w:val="none"/>
        </w:rPr>
        <w:t>（8</w:t>
      </w:r>
      <w:r>
        <w:rPr>
          <w:szCs w:val="21"/>
          <w:highlight w:val="none"/>
        </w:rPr>
        <w:t>）如本项目连续3次验收未通过（含初验未通过或终验未通过），招标方有权解除项目，并有权依照本项目约定的违约条款追究供应商的违约责任。</w:t>
      </w:r>
    </w:p>
    <w:p w14:paraId="577B05B3">
      <w:pPr>
        <w:pStyle w:val="3"/>
        <w:rPr>
          <w:rFonts w:hint="eastAsia"/>
          <w:highlight w:val="none"/>
        </w:rPr>
      </w:pPr>
      <w:bookmarkStart w:id="31" w:name="_Toc63785509"/>
      <w:r>
        <w:rPr>
          <w:rFonts w:hint="eastAsia"/>
          <w:highlight w:val="none"/>
        </w:rPr>
        <w:t>进度要求</w:t>
      </w:r>
      <w:bookmarkEnd w:id="31"/>
    </w:p>
    <w:p w14:paraId="25968270">
      <w:pPr>
        <w:rPr>
          <w:rFonts w:hint="eastAsia"/>
          <w:highlight w:val="none"/>
        </w:rPr>
      </w:pPr>
      <w:r>
        <w:rPr>
          <w:rFonts w:hint="eastAsia"/>
          <w:highlight w:val="none"/>
        </w:rPr>
        <w:t>投标人应根据建设内容，分阶段制定合理的时间进度，并且应根据招标方要求进行调整和细化。</w:t>
      </w:r>
    </w:p>
    <w:p w14:paraId="1A16D76F">
      <w:pPr>
        <w:rPr>
          <w:rFonts w:hint="eastAsia"/>
          <w:highlight w:val="none"/>
        </w:rPr>
      </w:pPr>
      <w:r>
        <w:rPr>
          <w:rFonts w:hint="eastAsia"/>
          <w:highlight w:val="none"/>
        </w:rPr>
        <w:t>总建设周期为18个月，分为4个阶段。</w:t>
      </w:r>
    </w:p>
    <w:p w14:paraId="79538181">
      <w:pPr>
        <w:rPr>
          <w:rFonts w:hint="eastAsia"/>
          <w:highlight w:val="none"/>
        </w:rPr>
      </w:pPr>
      <w:r>
        <w:rPr>
          <w:rFonts w:hint="eastAsia"/>
          <w:highlight w:val="none"/>
        </w:rPr>
        <w:t>第一阶段为3个月，完成项目有关业务、系统和需求的调研，形成总体设计方案，完成系统架构、基础资源、功能等详细设计，并提供主体建设内容的部分系统原型。</w:t>
      </w:r>
    </w:p>
    <w:p w14:paraId="139C3D4F">
      <w:pPr>
        <w:rPr>
          <w:rFonts w:hint="eastAsia"/>
          <w:highlight w:val="none"/>
        </w:rPr>
      </w:pPr>
      <w:r>
        <w:rPr>
          <w:rFonts w:hint="eastAsia"/>
          <w:highlight w:val="none"/>
        </w:rPr>
        <w:t>第二阶段为12个月，完成数据归集整合、资源申请和各模块的开发与测试工作，完成系统联调与部署，发布beta测试版本。</w:t>
      </w:r>
    </w:p>
    <w:p w14:paraId="6BE8B485">
      <w:pPr>
        <w:rPr>
          <w:rFonts w:hint="eastAsia"/>
          <w:highlight w:val="none"/>
        </w:rPr>
      </w:pPr>
      <w:r>
        <w:rPr>
          <w:rFonts w:hint="eastAsia"/>
          <w:highlight w:val="none"/>
        </w:rPr>
        <w:t>第三阶段为2个月，完成项目功能试运行，修正各模块联调中出现的问题，完成系统完善和功能迭代，直至发布正式运行版本。</w:t>
      </w:r>
    </w:p>
    <w:p w14:paraId="596254B1">
      <w:pPr>
        <w:rPr>
          <w:rFonts w:hint="eastAsia"/>
          <w:highlight w:val="none"/>
        </w:rPr>
      </w:pPr>
      <w:r>
        <w:rPr>
          <w:rFonts w:hint="eastAsia"/>
          <w:highlight w:val="none"/>
        </w:rPr>
        <w:t>第四阶段为1个月，完成项目验收并启动项目的正式运行，根据项目运行情况和验收要求开展项目测评、功能优化和绩效评价等工作。</w:t>
      </w:r>
    </w:p>
    <w:p w14:paraId="2C57E63D">
      <w:pPr>
        <w:pStyle w:val="3"/>
        <w:rPr>
          <w:rFonts w:hint="eastAsia"/>
          <w:highlight w:val="none"/>
        </w:rPr>
      </w:pPr>
      <w:bookmarkStart w:id="32" w:name="_Toc63785510"/>
      <w:r>
        <w:rPr>
          <w:rFonts w:hint="eastAsia"/>
          <w:highlight w:val="none"/>
        </w:rPr>
        <w:t>项目团队及驻场人员要求</w:t>
      </w:r>
      <w:bookmarkEnd w:id="32"/>
    </w:p>
    <w:p w14:paraId="43288721">
      <w:pPr>
        <w:rPr>
          <w:rFonts w:hint="eastAsia"/>
          <w:highlight w:val="none"/>
        </w:rPr>
      </w:pPr>
      <w:r>
        <w:rPr>
          <w:highlight w:val="none"/>
        </w:rPr>
        <w:t>1）投标人须具有稳定的在职技术保障力量，能够提供及时的技术支援或服务，应针对本项目</w:t>
      </w:r>
      <w:r>
        <w:rPr>
          <w:rFonts w:hint="eastAsia"/>
          <w:highlight w:val="none"/>
        </w:rPr>
        <w:t>建设期</w:t>
      </w:r>
      <w:r>
        <w:rPr>
          <w:highlight w:val="none"/>
        </w:rPr>
        <w:t>提供</w:t>
      </w:r>
      <w:r>
        <w:rPr>
          <w:rFonts w:hint="eastAsia"/>
          <w:highlight w:val="none"/>
        </w:rPr>
        <w:t>整体团</w:t>
      </w:r>
      <w:bookmarkStart w:id="38" w:name="_GoBack"/>
      <w:bookmarkEnd w:id="38"/>
      <w:r>
        <w:rPr>
          <w:rFonts w:hint="eastAsia"/>
          <w:highlight w:val="none"/>
        </w:rPr>
        <w:t>队不少于100人</w:t>
      </w:r>
      <w:r>
        <w:rPr>
          <w:rFonts w:hint="eastAsia"/>
          <w:highlight w:val="none"/>
          <w:lang w:eastAsia="zh-CN"/>
        </w:rPr>
        <w:t>、驻场</w:t>
      </w:r>
      <w:r>
        <w:rPr>
          <w:highlight w:val="none"/>
        </w:rPr>
        <w:t>不少于</w:t>
      </w:r>
      <w:r>
        <w:rPr>
          <w:rFonts w:hint="eastAsia"/>
          <w:highlight w:val="none"/>
        </w:rPr>
        <w:t>69</w:t>
      </w:r>
      <w:r>
        <w:rPr>
          <w:highlight w:val="none"/>
        </w:rPr>
        <w:t>人的项目服务团队（包括项目经理、产品经理、技术负责人、研发等），投标单位的相关服务人员需具备相应的服务能力，需提供相关证明。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2832"/>
        <w:gridCol w:w="1180"/>
        <w:gridCol w:w="1513"/>
        <w:gridCol w:w="1296"/>
      </w:tblGrid>
      <w:tr w14:paraId="168A5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04D4D615">
            <w:pPr>
              <w:widowControl/>
              <w:spacing w:line="240" w:lineRule="auto"/>
              <w:ind w:firstLine="0" w:firstLineChars="0"/>
              <w:jc w:val="center"/>
              <w:rPr>
                <w:rFonts w:hint="eastAsia"/>
                <w:b/>
                <w:highlight w:val="none"/>
              </w:rPr>
            </w:pPr>
            <w:r>
              <w:rPr>
                <w:rFonts w:hint="eastAsia"/>
                <w:b/>
                <w:highlight w:val="none"/>
              </w:rPr>
              <w:t>角色</w:t>
            </w:r>
          </w:p>
        </w:tc>
        <w:tc>
          <w:tcPr>
            <w:tcW w:w="2832" w:type="dxa"/>
            <w:shd w:val="clear" w:color="auto" w:fill="auto"/>
            <w:noWrap/>
            <w:vAlign w:val="center"/>
          </w:tcPr>
          <w:p w14:paraId="742595FA">
            <w:pPr>
              <w:widowControl/>
              <w:spacing w:line="240" w:lineRule="auto"/>
              <w:ind w:firstLine="0" w:firstLineChars="0"/>
              <w:jc w:val="center"/>
              <w:rPr>
                <w:rFonts w:hint="eastAsia"/>
                <w:b/>
                <w:highlight w:val="none"/>
              </w:rPr>
            </w:pPr>
            <w:r>
              <w:rPr>
                <w:rFonts w:hint="eastAsia"/>
                <w:b/>
                <w:highlight w:val="none"/>
              </w:rPr>
              <w:t>主要职责</w:t>
            </w:r>
          </w:p>
        </w:tc>
        <w:tc>
          <w:tcPr>
            <w:tcW w:w="1180" w:type="dxa"/>
            <w:shd w:val="clear" w:color="auto" w:fill="auto"/>
            <w:noWrap/>
            <w:vAlign w:val="center"/>
          </w:tcPr>
          <w:p w14:paraId="60F79A6B">
            <w:pPr>
              <w:widowControl/>
              <w:spacing w:line="240" w:lineRule="auto"/>
              <w:ind w:firstLine="0" w:firstLineChars="0"/>
              <w:jc w:val="center"/>
              <w:rPr>
                <w:rFonts w:hint="eastAsia"/>
                <w:b/>
                <w:highlight w:val="none"/>
              </w:rPr>
            </w:pPr>
            <w:r>
              <w:rPr>
                <w:rFonts w:hint="eastAsia"/>
                <w:b/>
                <w:highlight w:val="none"/>
              </w:rPr>
              <w:t>人员数量</w:t>
            </w:r>
          </w:p>
        </w:tc>
        <w:tc>
          <w:tcPr>
            <w:tcW w:w="1513" w:type="dxa"/>
            <w:vAlign w:val="center"/>
          </w:tcPr>
          <w:p w14:paraId="15EBEBCA">
            <w:pPr>
              <w:widowControl/>
              <w:spacing w:line="240" w:lineRule="auto"/>
              <w:ind w:firstLine="0" w:firstLineChars="0"/>
              <w:jc w:val="center"/>
              <w:rPr>
                <w:rFonts w:hint="eastAsia"/>
                <w:b/>
                <w:highlight w:val="none"/>
              </w:rPr>
            </w:pPr>
            <w:r>
              <w:rPr>
                <w:rFonts w:hint="eastAsia"/>
                <w:b/>
                <w:highlight w:val="none"/>
              </w:rPr>
              <w:t>人员要求</w:t>
            </w:r>
          </w:p>
        </w:tc>
        <w:tc>
          <w:tcPr>
            <w:tcW w:w="1296" w:type="dxa"/>
            <w:shd w:val="clear" w:color="auto" w:fill="auto"/>
            <w:noWrap/>
            <w:vAlign w:val="center"/>
          </w:tcPr>
          <w:p w14:paraId="16C173F6">
            <w:pPr>
              <w:widowControl/>
              <w:spacing w:line="240" w:lineRule="auto"/>
              <w:ind w:firstLine="0" w:firstLineChars="0"/>
              <w:jc w:val="center"/>
              <w:rPr>
                <w:rFonts w:hint="eastAsia"/>
                <w:b/>
                <w:highlight w:val="none"/>
              </w:rPr>
            </w:pPr>
            <w:r>
              <w:rPr>
                <w:rFonts w:hint="eastAsia"/>
                <w:b/>
                <w:highlight w:val="none"/>
              </w:rPr>
              <w:t>驻场要求</w:t>
            </w:r>
          </w:p>
        </w:tc>
      </w:tr>
      <w:tr w14:paraId="7FDF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53C9119B">
            <w:pPr>
              <w:widowControl/>
              <w:spacing w:line="240" w:lineRule="auto"/>
              <w:ind w:firstLine="0" w:firstLineChars="0"/>
              <w:jc w:val="center"/>
              <w:rPr>
                <w:rFonts w:hint="eastAsia"/>
                <w:highlight w:val="none"/>
              </w:rPr>
            </w:pPr>
            <w:r>
              <w:rPr>
                <w:rFonts w:hint="eastAsia"/>
                <w:highlight w:val="none"/>
              </w:rPr>
              <w:t>项目经理</w:t>
            </w:r>
          </w:p>
        </w:tc>
        <w:tc>
          <w:tcPr>
            <w:tcW w:w="2832" w:type="dxa"/>
            <w:shd w:val="clear" w:color="auto" w:fill="auto"/>
            <w:vAlign w:val="center"/>
          </w:tcPr>
          <w:p w14:paraId="63B54EEF">
            <w:pPr>
              <w:widowControl/>
              <w:spacing w:line="240" w:lineRule="auto"/>
              <w:ind w:firstLine="0" w:firstLineChars="0"/>
              <w:jc w:val="center"/>
              <w:rPr>
                <w:rFonts w:hint="eastAsia"/>
                <w:highlight w:val="none"/>
              </w:rPr>
            </w:pPr>
            <w:r>
              <w:rPr>
                <w:rFonts w:hint="eastAsia"/>
                <w:highlight w:val="none"/>
              </w:rPr>
              <w:t>负责项目质量和进度控制</w:t>
            </w:r>
          </w:p>
        </w:tc>
        <w:tc>
          <w:tcPr>
            <w:tcW w:w="1180" w:type="dxa"/>
            <w:shd w:val="clear" w:color="auto" w:fill="auto"/>
            <w:noWrap/>
            <w:vAlign w:val="center"/>
          </w:tcPr>
          <w:p w14:paraId="3DA208AE">
            <w:pPr>
              <w:widowControl/>
              <w:spacing w:line="240" w:lineRule="auto"/>
              <w:ind w:firstLine="0" w:firstLineChars="0"/>
              <w:jc w:val="center"/>
              <w:rPr>
                <w:rFonts w:hint="eastAsia"/>
                <w:highlight w:val="none"/>
              </w:rPr>
            </w:pPr>
            <w:r>
              <w:rPr>
                <w:rFonts w:hint="eastAsia"/>
                <w:highlight w:val="none"/>
              </w:rPr>
              <w:t>1人</w:t>
            </w:r>
          </w:p>
        </w:tc>
        <w:tc>
          <w:tcPr>
            <w:tcW w:w="1513" w:type="dxa"/>
          </w:tcPr>
          <w:p w14:paraId="0C33DD98">
            <w:pPr>
              <w:widowControl/>
              <w:spacing w:line="240" w:lineRule="auto"/>
              <w:ind w:firstLine="0" w:firstLineChars="0"/>
              <w:jc w:val="center"/>
              <w:rPr>
                <w:rFonts w:hint="eastAsia"/>
                <w:highlight w:val="none"/>
              </w:rPr>
            </w:pPr>
            <w:r>
              <w:rPr>
                <w:rFonts w:hint="eastAsia"/>
                <w:highlight w:val="none"/>
              </w:rPr>
              <w:t>本科及以上学历</w:t>
            </w:r>
            <w:r>
              <w:rPr>
                <w:rFonts w:hint="eastAsia"/>
                <w:highlight w:val="none"/>
                <w:lang w:eastAsia="zh-CN"/>
              </w:rPr>
              <w:t>，</w:t>
            </w:r>
            <w:r>
              <w:rPr>
                <w:rFonts w:hint="eastAsia"/>
                <w:highlight w:val="none"/>
              </w:rPr>
              <w:t>具有信息系统项目管理师（高级）证书</w:t>
            </w:r>
            <w:r>
              <w:rPr>
                <w:rFonts w:hint="eastAsia"/>
                <w:highlight w:val="none"/>
                <w:lang w:eastAsia="zh-CN"/>
              </w:rPr>
              <w:t>、</w:t>
            </w:r>
            <w:r>
              <w:rPr>
                <w:rFonts w:hint="eastAsia"/>
                <w:highlight w:val="none"/>
              </w:rPr>
              <w:t>CISAW信息安全保障人员认证证书</w:t>
            </w:r>
          </w:p>
        </w:tc>
        <w:tc>
          <w:tcPr>
            <w:tcW w:w="1296" w:type="dxa"/>
            <w:shd w:val="clear" w:color="auto" w:fill="auto"/>
            <w:noWrap/>
            <w:vAlign w:val="center"/>
          </w:tcPr>
          <w:p w14:paraId="3CC8D6A7">
            <w:pPr>
              <w:widowControl/>
              <w:spacing w:line="240" w:lineRule="auto"/>
              <w:ind w:firstLine="0" w:firstLineChars="0"/>
              <w:jc w:val="center"/>
              <w:rPr>
                <w:rFonts w:hint="eastAsia"/>
                <w:highlight w:val="none"/>
              </w:rPr>
            </w:pPr>
            <w:r>
              <w:rPr>
                <w:rFonts w:hint="eastAsia"/>
                <w:highlight w:val="none"/>
              </w:rPr>
              <w:t>驻场</w:t>
            </w:r>
          </w:p>
        </w:tc>
      </w:tr>
      <w:tr w14:paraId="618B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3F5543F8">
            <w:pPr>
              <w:widowControl/>
              <w:spacing w:line="240" w:lineRule="auto"/>
              <w:ind w:firstLine="0" w:firstLineChars="0"/>
              <w:jc w:val="center"/>
              <w:rPr>
                <w:rFonts w:hint="eastAsia"/>
                <w:highlight w:val="none"/>
              </w:rPr>
            </w:pPr>
            <w:r>
              <w:rPr>
                <w:rFonts w:hint="eastAsia"/>
                <w:highlight w:val="none"/>
              </w:rPr>
              <w:t>产品经理</w:t>
            </w:r>
          </w:p>
        </w:tc>
        <w:tc>
          <w:tcPr>
            <w:tcW w:w="2832" w:type="dxa"/>
            <w:shd w:val="clear" w:color="auto" w:fill="auto"/>
            <w:vAlign w:val="center"/>
          </w:tcPr>
          <w:p w14:paraId="451D6187">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1180" w:type="dxa"/>
            <w:shd w:val="clear" w:color="auto" w:fill="auto"/>
            <w:noWrap/>
            <w:vAlign w:val="center"/>
          </w:tcPr>
          <w:p w14:paraId="1333491E">
            <w:pPr>
              <w:widowControl/>
              <w:spacing w:line="240" w:lineRule="auto"/>
              <w:ind w:firstLine="0" w:firstLineChars="0"/>
              <w:jc w:val="center"/>
              <w:rPr>
                <w:rFonts w:hint="eastAsia"/>
                <w:highlight w:val="none"/>
              </w:rPr>
            </w:pPr>
            <w:r>
              <w:rPr>
                <w:rFonts w:hint="eastAsia"/>
                <w:highlight w:val="none"/>
              </w:rPr>
              <w:t>1人</w:t>
            </w:r>
          </w:p>
        </w:tc>
        <w:tc>
          <w:tcPr>
            <w:tcW w:w="1513" w:type="dxa"/>
          </w:tcPr>
          <w:p w14:paraId="3188CBE8">
            <w:pPr>
              <w:widowControl/>
              <w:spacing w:line="240" w:lineRule="auto"/>
              <w:ind w:firstLine="0" w:firstLineChars="0"/>
              <w:jc w:val="center"/>
              <w:rPr>
                <w:rFonts w:hint="eastAsia"/>
                <w:highlight w:val="none"/>
              </w:rPr>
            </w:pPr>
            <w:r>
              <w:rPr>
                <w:rFonts w:hint="eastAsia"/>
                <w:highlight w:val="none"/>
              </w:rPr>
              <w:t>本科及以上学历</w:t>
            </w:r>
          </w:p>
        </w:tc>
        <w:tc>
          <w:tcPr>
            <w:tcW w:w="1296" w:type="dxa"/>
            <w:shd w:val="clear" w:color="auto" w:fill="auto"/>
            <w:noWrap/>
            <w:vAlign w:val="center"/>
          </w:tcPr>
          <w:p w14:paraId="68034C1C">
            <w:pPr>
              <w:widowControl/>
              <w:spacing w:line="240" w:lineRule="auto"/>
              <w:ind w:firstLine="0" w:firstLineChars="0"/>
              <w:jc w:val="center"/>
              <w:rPr>
                <w:rFonts w:hint="eastAsia"/>
                <w:highlight w:val="none"/>
              </w:rPr>
            </w:pPr>
            <w:r>
              <w:rPr>
                <w:rFonts w:hint="eastAsia"/>
                <w:highlight w:val="none"/>
              </w:rPr>
              <w:t>驻场</w:t>
            </w:r>
          </w:p>
        </w:tc>
      </w:tr>
      <w:tr w14:paraId="638D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tcPr>
          <w:p w14:paraId="48E9A808">
            <w:pPr>
              <w:widowControl/>
              <w:spacing w:line="240" w:lineRule="auto"/>
              <w:ind w:firstLine="0" w:firstLineChars="0"/>
              <w:jc w:val="center"/>
              <w:rPr>
                <w:rFonts w:hint="eastAsia"/>
                <w:highlight w:val="none"/>
              </w:rPr>
            </w:pPr>
            <w:r>
              <w:rPr>
                <w:rFonts w:hint="eastAsia"/>
                <w:highlight w:val="none"/>
              </w:rPr>
              <w:t>技术负责人</w:t>
            </w:r>
          </w:p>
        </w:tc>
        <w:tc>
          <w:tcPr>
            <w:tcW w:w="2832" w:type="dxa"/>
            <w:shd w:val="clear" w:color="auto" w:fill="auto"/>
          </w:tcPr>
          <w:p w14:paraId="46E0272D">
            <w:pPr>
              <w:widowControl/>
              <w:spacing w:line="240" w:lineRule="auto"/>
              <w:ind w:firstLine="0" w:firstLineChars="0"/>
              <w:jc w:val="center"/>
              <w:rPr>
                <w:rFonts w:hint="eastAsia"/>
                <w:highlight w:val="none"/>
              </w:rPr>
            </w:pPr>
            <w:r>
              <w:rPr>
                <w:rFonts w:hint="eastAsia"/>
                <w:highlight w:val="none"/>
              </w:rPr>
              <w:t>负责项目具体开发、设计与实施</w:t>
            </w:r>
          </w:p>
        </w:tc>
        <w:tc>
          <w:tcPr>
            <w:tcW w:w="1180" w:type="dxa"/>
            <w:shd w:val="clear" w:color="auto" w:fill="auto"/>
            <w:noWrap/>
          </w:tcPr>
          <w:p w14:paraId="204BD53F">
            <w:pPr>
              <w:widowControl/>
              <w:spacing w:line="240" w:lineRule="auto"/>
              <w:ind w:firstLine="0" w:firstLineChars="0"/>
              <w:jc w:val="center"/>
              <w:rPr>
                <w:rFonts w:hint="eastAsia"/>
                <w:highlight w:val="none"/>
              </w:rPr>
            </w:pPr>
            <w:r>
              <w:rPr>
                <w:rFonts w:hint="eastAsia"/>
                <w:highlight w:val="none"/>
                <w:lang w:val="en-US" w:eastAsia="zh-CN"/>
              </w:rPr>
              <w:t>3</w:t>
            </w:r>
            <w:r>
              <w:rPr>
                <w:rFonts w:hint="eastAsia"/>
                <w:highlight w:val="none"/>
              </w:rPr>
              <w:t>人</w:t>
            </w:r>
          </w:p>
        </w:tc>
        <w:tc>
          <w:tcPr>
            <w:tcW w:w="1513" w:type="dxa"/>
          </w:tcPr>
          <w:p w14:paraId="18409AF2">
            <w:pPr>
              <w:widowControl/>
              <w:spacing w:line="240" w:lineRule="auto"/>
              <w:ind w:firstLine="0" w:firstLineChars="0"/>
              <w:jc w:val="center"/>
              <w:rPr>
                <w:rFonts w:hint="eastAsia"/>
                <w:highlight w:val="none"/>
              </w:rPr>
            </w:pPr>
            <w:r>
              <w:rPr>
                <w:rFonts w:hint="eastAsia"/>
                <w:highlight w:val="none"/>
              </w:rPr>
              <w:t>本科及以上学历</w:t>
            </w:r>
            <w:r>
              <w:rPr>
                <w:rFonts w:hint="eastAsia"/>
                <w:highlight w:val="none"/>
                <w:lang w:eastAsia="zh-CN"/>
              </w:rPr>
              <w:t>，</w:t>
            </w:r>
            <w:r>
              <w:rPr>
                <w:rFonts w:hint="eastAsia"/>
                <w:highlight w:val="none"/>
              </w:rPr>
              <w:t>具有计算机类高级工程师职称</w:t>
            </w:r>
            <w:r>
              <w:rPr>
                <w:rFonts w:hint="eastAsia"/>
                <w:highlight w:val="none"/>
                <w:lang w:eastAsia="zh-CN"/>
              </w:rPr>
              <w:t>、</w:t>
            </w:r>
            <w:r>
              <w:rPr>
                <w:rFonts w:hint="eastAsia"/>
                <w:highlight w:val="none"/>
              </w:rPr>
              <w:t>系统集成项目管理工程师证书</w:t>
            </w:r>
            <w:r>
              <w:rPr>
                <w:rFonts w:hint="eastAsia"/>
                <w:highlight w:val="none"/>
                <w:lang w:eastAsia="zh-CN"/>
              </w:rPr>
              <w:t>、</w:t>
            </w:r>
            <w:r>
              <w:rPr>
                <w:rFonts w:hint="eastAsia"/>
                <w:highlight w:val="none"/>
              </w:rPr>
              <w:t>CISP注册信息安全专业人员认证证书</w:t>
            </w:r>
          </w:p>
        </w:tc>
        <w:tc>
          <w:tcPr>
            <w:tcW w:w="1296" w:type="dxa"/>
            <w:shd w:val="clear" w:color="auto" w:fill="auto"/>
            <w:noWrap/>
          </w:tcPr>
          <w:p w14:paraId="0184ED37">
            <w:pPr>
              <w:widowControl/>
              <w:spacing w:line="240" w:lineRule="auto"/>
              <w:ind w:firstLine="0" w:firstLineChars="0"/>
              <w:jc w:val="center"/>
              <w:rPr>
                <w:rFonts w:hint="eastAsia"/>
                <w:highlight w:val="none"/>
              </w:rPr>
            </w:pPr>
            <w:r>
              <w:rPr>
                <w:rFonts w:hint="eastAsia"/>
                <w:highlight w:val="none"/>
              </w:rPr>
              <w:t>驻场</w:t>
            </w:r>
          </w:p>
        </w:tc>
      </w:tr>
      <w:tr w14:paraId="1E1D5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shd w:val="clear" w:color="auto" w:fill="auto"/>
            <w:noWrap/>
            <w:vAlign w:val="center"/>
          </w:tcPr>
          <w:p w14:paraId="3521B8D1">
            <w:pPr>
              <w:widowControl/>
              <w:spacing w:line="240" w:lineRule="auto"/>
              <w:ind w:firstLine="0" w:firstLineChars="0"/>
              <w:jc w:val="center"/>
              <w:rPr>
                <w:rFonts w:hint="eastAsia"/>
                <w:highlight w:val="none"/>
              </w:rPr>
            </w:pPr>
            <w:r>
              <w:rPr>
                <w:rFonts w:hint="eastAsia"/>
                <w:highlight w:val="none"/>
              </w:rPr>
              <w:t>研发</w:t>
            </w:r>
          </w:p>
        </w:tc>
        <w:tc>
          <w:tcPr>
            <w:tcW w:w="2832" w:type="dxa"/>
            <w:shd w:val="clear" w:color="auto" w:fill="auto"/>
            <w:noWrap/>
            <w:vAlign w:val="center"/>
          </w:tcPr>
          <w:p w14:paraId="69BBF05B">
            <w:pPr>
              <w:widowControl/>
              <w:spacing w:line="240" w:lineRule="auto"/>
              <w:ind w:firstLine="0" w:firstLineChars="0"/>
              <w:jc w:val="center"/>
              <w:rPr>
                <w:rFonts w:hint="eastAsia"/>
                <w:highlight w:val="none"/>
              </w:rPr>
            </w:pPr>
            <w:r>
              <w:rPr>
                <w:rFonts w:hint="eastAsia"/>
                <w:highlight w:val="none"/>
              </w:rPr>
              <w:t>负责项目具体开发与实施</w:t>
            </w:r>
          </w:p>
        </w:tc>
        <w:tc>
          <w:tcPr>
            <w:tcW w:w="1180" w:type="dxa"/>
            <w:shd w:val="clear" w:color="auto" w:fill="auto"/>
            <w:noWrap/>
            <w:vAlign w:val="center"/>
          </w:tcPr>
          <w:p w14:paraId="6A00C95E">
            <w:pPr>
              <w:widowControl/>
              <w:spacing w:line="240" w:lineRule="auto"/>
              <w:ind w:firstLine="0" w:firstLineChars="0"/>
              <w:jc w:val="center"/>
              <w:rPr>
                <w:rFonts w:hint="eastAsia"/>
                <w:highlight w:val="none"/>
              </w:rPr>
            </w:pPr>
            <w:r>
              <w:rPr>
                <w:rFonts w:hint="eastAsia"/>
                <w:highlight w:val="none"/>
              </w:rPr>
              <w:t>6</w:t>
            </w:r>
            <w:r>
              <w:rPr>
                <w:rFonts w:hint="eastAsia"/>
                <w:highlight w:val="none"/>
                <w:lang w:val="en-US" w:eastAsia="zh-CN"/>
              </w:rPr>
              <w:t>4</w:t>
            </w:r>
            <w:r>
              <w:rPr>
                <w:rFonts w:hint="eastAsia"/>
                <w:highlight w:val="none"/>
              </w:rPr>
              <w:t>人</w:t>
            </w:r>
          </w:p>
        </w:tc>
        <w:tc>
          <w:tcPr>
            <w:tcW w:w="1513" w:type="dxa"/>
          </w:tcPr>
          <w:p w14:paraId="3B3A1415">
            <w:pPr>
              <w:widowControl/>
              <w:spacing w:line="240" w:lineRule="auto"/>
              <w:ind w:firstLine="0" w:firstLineChars="0"/>
              <w:jc w:val="center"/>
              <w:rPr>
                <w:rFonts w:hint="eastAsia"/>
                <w:highlight w:val="none"/>
              </w:rPr>
            </w:pPr>
            <w:r>
              <w:rPr>
                <w:rFonts w:hint="eastAsia"/>
                <w:highlight w:val="none"/>
              </w:rPr>
              <w:t>本科及以上学历</w:t>
            </w:r>
          </w:p>
        </w:tc>
        <w:tc>
          <w:tcPr>
            <w:tcW w:w="1296" w:type="dxa"/>
            <w:shd w:val="clear" w:color="auto" w:fill="auto"/>
            <w:noWrap/>
            <w:vAlign w:val="center"/>
          </w:tcPr>
          <w:p w14:paraId="3E2149EA">
            <w:pPr>
              <w:widowControl/>
              <w:spacing w:line="240" w:lineRule="auto"/>
              <w:ind w:firstLine="0" w:firstLineChars="0"/>
              <w:jc w:val="center"/>
              <w:rPr>
                <w:rFonts w:hint="eastAsia"/>
                <w:highlight w:val="none"/>
              </w:rPr>
            </w:pPr>
            <w:r>
              <w:rPr>
                <w:rFonts w:hint="eastAsia"/>
                <w:highlight w:val="none"/>
              </w:rPr>
              <w:t>驻场10人</w:t>
            </w:r>
          </w:p>
        </w:tc>
      </w:tr>
    </w:tbl>
    <w:p w14:paraId="66F1B0B0">
      <w:pPr>
        <w:rPr>
          <w:rFonts w:hint="eastAsia"/>
          <w:highlight w:val="none"/>
        </w:rPr>
      </w:pPr>
      <w:r>
        <w:rPr>
          <w:highlight w:val="none"/>
        </w:rPr>
        <w:t>2）投标人应针对本项目提供不少于</w:t>
      </w:r>
      <w:r>
        <w:rPr>
          <w:rFonts w:hint="eastAsia"/>
          <w:highlight w:val="none"/>
        </w:rPr>
        <w:t>6</w:t>
      </w:r>
      <w:r>
        <w:rPr>
          <w:highlight w:val="none"/>
        </w:rPr>
        <w:t>人的质保期间支撑团队（其中技术经理</w:t>
      </w:r>
      <w:r>
        <w:rPr>
          <w:rFonts w:hint="eastAsia"/>
          <w:highlight w:val="none"/>
        </w:rPr>
        <w:t>1</w:t>
      </w:r>
      <w:r>
        <w:rPr>
          <w:highlight w:val="none"/>
        </w:rPr>
        <w:t>人，产品经理</w:t>
      </w:r>
      <w:r>
        <w:rPr>
          <w:rFonts w:hint="eastAsia"/>
          <w:highlight w:val="none"/>
        </w:rPr>
        <w:t>1</w:t>
      </w:r>
      <w:r>
        <w:rPr>
          <w:highlight w:val="none"/>
        </w:rPr>
        <w:t>人，技术工程师不少于</w:t>
      </w:r>
      <w:r>
        <w:rPr>
          <w:rFonts w:hint="eastAsia"/>
          <w:highlight w:val="none"/>
        </w:rPr>
        <w:t>4</w:t>
      </w:r>
      <w:r>
        <w:rPr>
          <w:highlight w:val="none"/>
        </w:rPr>
        <w:t>人）；投标人的相关服务人员需具备相应的服务能力，需提供相关证明（最近一个季度依法缴纳社保费的证明）。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325"/>
        <w:gridCol w:w="1180"/>
        <w:gridCol w:w="2427"/>
        <w:gridCol w:w="1180"/>
      </w:tblGrid>
      <w:tr w14:paraId="3DD38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1143E61">
            <w:pPr>
              <w:widowControl/>
              <w:spacing w:line="240" w:lineRule="auto"/>
              <w:ind w:firstLine="0" w:firstLineChars="0"/>
              <w:jc w:val="center"/>
              <w:rPr>
                <w:rFonts w:hint="eastAsia"/>
                <w:b/>
                <w:highlight w:val="none"/>
              </w:rPr>
            </w:pPr>
            <w:r>
              <w:rPr>
                <w:rFonts w:hint="eastAsia"/>
                <w:b/>
                <w:highlight w:val="none"/>
              </w:rPr>
              <w:t>角色</w:t>
            </w:r>
          </w:p>
        </w:tc>
        <w:tc>
          <w:tcPr>
            <w:tcW w:w="2325" w:type="dxa"/>
            <w:shd w:val="clear" w:color="auto" w:fill="auto"/>
            <w:noWrap/>
            <w:vAlign w:val="center"/>
          </w:tcPr>
          <w:p w14:paraId="60AA0566">
            <w:pPr>
              <w:widowControl/>
              <w:spacing w:line="240" w:lineRule="auto"/>
              <w:ind w:firstLine="0" w:firstLineChars="0"/>
              <w:jc w:val="center"/>
              <w:rPr>
                <w:rFonts w:hint="eastAsia"/>
                <w:b/>
                <w:highlight w:val="none"/>
              </w:rPr>
            </w:pPr>
            <w:r>
              <w:rPr>
                <w:rFonts w:hint="eastAsia"/>
                <w:b/>
                <w:highlight w:val="none"/>
              </w:rPr>
              <w:t>主要职责</w:t>
            </w:r>
          </w:p>
        </w:tc>
        <w:tc>
          <w:tcPr>
            <w:tcW w:w="1180" w:type="dxa"/>
            <w:shd w:val="clear" w:color="auto" w:fill="auto"/>
            <w:noWrap/>
            <w:vAlign w:val="center"/>
          </w:tcPr>
          <w:p w14:paraId="759E050D">
            <w:pPr>
              <w:widowControl/>
              <w:spacing w:line="240" w:lineRule="auto"/>
              <w:ind w:firstLine="0" w:firstLineChars="0"/>
              <w:jc w:val="center"/>
              <w:rPr>
                <w:rFonts w:hint="eastAsia"/>
                <w:b/>
                <w:highlight w:val="none"/>
              </w:rPr>
            </w:pPr>
            <w:r>
              <w:rPr>
                <w:rFonts w:hint="eastAsia"/>
                <w:b/>
                <w:highlight w:val="none"/>
              </w:rPr>
              <w:t>人员数量</w:t>
            </w:r>
          </w:p>
        </w:tc>
        <w:tc>
          <w:tcPr>
            <w:tcW w:w="0" w:type="auto"/>
            <w:vAlign w:val="center"/>
          </w:tcPr>
          <w:p w14:paraId="4A34AC3F">
            <w:pPr>
              <w:widowControl/>
              <w:spacing w:line="240" w:lineRule="auto"/>
              <w:ind w:firstLine="0" w:firstLineChars="0"/>
              <w:jc w:val="center"/>
              <w:rPr>
                <w:rFonts w:hint="eastAsia"/>
                <w:b/>
                <w:highlight w:val="none"/>
              </w:rPr>
            </w:pPr>
            <w:r>
              <w:rPr>
                <w:rFonts w:hint="eastAsia"/>
                <w:b/>
                <w:highlight w:val="none"/>
              </w:rPr>
              <w:t>人员要求</w:t>
            </w:r>
          </w:p>
        </w:tc>
        <w:tc>
          <w:tcPr>
            <w:tcW w:w="0" w:type="auto"/>
            <w:shd w:val="clear" w:color="auto" w:fill="auto"/>
            <w:noWrap/>
            <w:vAlign w:val="center"/>
          </w:tcPr>
          <w:p w14:paraId="61C0D5B6">
            <w:pPr>
              <w:widowControl/>
              <w:spacing w:line="240" w:lineRule="auto"/>
              <w:ind w:firstLine="0" w:firstLineChars="0"/>
              <w:jc w:val="center"/>
              <w:rPr>
                <w:rFonts w:hint="eastAsia"/>
                <w:b/>
                <w:highlight w:val="none"/>
              </w:rPr>
            </w:pPr>
            <w:r>
              <w:rPr>
                <w:rFonts w:hint="eastAsia"/>
                <w:b/>
                <w:highlight w:val="none"/>
              </w:rPr>
              <w:t>驻场要求</w:t>
            </w:r>
          </w:p>
        </w:tc>
      </w:tr>
      <w:tr w14:paraId="15996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6B0A10B">
            <w:pPr>
              <w:widowControl/>
              <w:spacing w:line="240" w:lineRule="auto"/>
              <w:ind w:firstLine="0" w:firstLineChars="0"/>
              <w:jc w:val="center"/>
              <w:rPr>
                <w:rFonts w:hint="eastAsia"/>
                <w:highlight w:val="none"/>
              </w:rPr>
            </w:pPr>
            <w:r>
              <w:rPr>
                <w:rFonts w:hint="eastAsia"/>
                <w:highlight w:val="none"/>
              </w:rPr>
              <w:t>项目经理</w:t>
            </w:r>
          </w:p>
        </w:tc>
        <w:tc>
          <w:tcPr>
            <w:tcW w:w="2325" w:type="dxa"/>
            <w:shd w:val="clear" w:color="auto" w:fill="auto"/>
            <w:vAlign w:val="center"/>
          </w:tcPr>
          <w:p w14:paraId="711F15C9">
            <w:pPr>
              <w:widowControl/>
              <w:spacing w:line="240" w:lineRule="auto"/>
              <w:ind w:firstLine="0" w:firstLineChars="0"/>
              <w:jc w:val="center"/>
              <w:rPr>
                <w:rFonts w:hint="eastAsia"/>
                <w:highlight w:val="none"/>
              </w:rPr>
            </w:pPr>
            <w:r>
              <w:rPr>
                <w:rFonts w:hint="eastAsia"/>
                <w:highlight w:val="none"/>
              </w:rPr>
              <w:t>负责项目质量和进度控制</w:t>
            </w:r>
          </w:p>
        </w:tc>
        <w:tc>
          <w:tcPr>
            <w:tcW w:w="1180" w:type="dxa"/>
            <w:shd w:val="clear" w:color="auto" w:fill="auto"/>
            <w:noWrap/>
            <w:vAlign w:val="center"/>
          </w:tcPr>
          <w:p w14:paraId="5093A459">
            <w:pPr>
              <w:widowControl/>
              <w:spacing w:line="240" w:lineRule="auto"/>
              <w:ind w:firstLine="0" w:firstLineChars="0"/>
              <w:jc w:val="center"/>
              <w:rPr>
                <w:rFonts w:hint="eastAsia"/>
                <w:highlight w:val="none"/>
              </w:rPr>
            </w:pPr>
            <w:r>
              <w:rPr>
                <w:rFonts w:hint="eastAsia"/>
                <w:highlight w:val="none"/>
              </w:rPr>
              <w:t>1人</w:t>
            </w:r>
          </w:p>
        </w:tc>
        <w:tc>
          <w:tcPr>
            <w:tcW w:w="0" w:type="auto"/>
          </w:tcPr>
          <w:p w14:paraId="4B14CC90">
            <w:pPr>
              <w:widowControl/>
              <w:spacing w:line="240" w:lineRule="auto"/>
              <w:ind w:firstLine="0" w:firstLineChars="0"/>
              <w:jc w:val="center"/>
              <w:rPr>
                <w:rFonts w:hint="eastAsia"/>
                <w:highlight w:val="none"/>
              </w:rPr>
            </w:pPr>
            <w:r>
              <w:rPr>
                <w:rFonts w:hint="eastAsia"/>
                <w:highlight w:val="none"/>
              </w:rPr>
              <w:t>本科及以上学历</w:t>
            </w:r>
            <w:r>
              <w:rPr>
                <w:rFonts w:hint="eastAsia"/>
                <w:highlight w:val="none"/>
                <w:lang w:eastAsia="zh-CN"/>
              </w:rPr>
              <w:t>，</w:t>
            </w:r>
            <w:r>
              <w:rPr>
                <w:rFonts w:hint="eastAsia"/>
                <w:highlight w:val="none"/>
              </w:rPr>
              <w:t>具有信息系统项目管理师（高级）证书</w:t>
            </w:r>
            <w:r>
              <w:rPr>
                <w:rFonts w:hint="eastAsia"/>
                <w:highlight w:val="none"/>
                <w:lang w:eastAsia="zh-CN"/>
              </w:rPr>
              <w:t>、</w:t>
            </w:r>
            <w:r>
              <w:rPr>
                <w:rFonts w:hint="eastAsia"/>
                <w:highlight w:val="none"/>
              </w:rPr>
              <w:t>CISAW信息安全保障人员认证证书</w:t>
            </w:r>
          </w:p>
        </w:tc>
        <w:tc>
          <w:tcPr>
            <w:tcW w:w="0" w:type="auto"/>
            <w:shd w:val="clear" w:color="auto" w:fill="auto"/>
            <w:noWrap/>
            <w:vAlign w:val="center"/>
          </w:tcPr>
          <w:p w14:paraId="77F88F2B">
            <w:pPr>
              <w:widowControl/>
              <w:spacing w:line="240" w:lineRule="auto"/>
              <w:ind w:firstLine="0" w:firstLineChars="0"/>
              <w:jc w:val="center"/>
              <w:rPr>
                <w:rFonts w:hint="eastAsia"/>
                <w:highlight w:val="none"/>
              </w:rPr>
            </w:pPr>
            <w:r>
              <w:rPr>
                <w:rFonts w:hint="eastAsia"/>
                <w:highlight w:val="none"/>
              </w:rPr>
              <w:t>不驻场</w:t>
            </w:r>
          </w:p>
        </w:tc>
      </w:tr>
      <w:tr w14:paraId="23F6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87E873F">
            <w:pPr>
              <w:widowControl/>
              <w:spacing w:line="240" w:lineRule="auto"/>
              <w:ind w:firstLine="0" w:firstLineChars="0"/>
              <w:jc w:val="center"/>
              <w:rPr>
                <w:rFonts w:hint="eastAsia"/>
                <w:highlight w:val="none"/>
              </w:rPr>
            </w:pPr>
            <w:r>
              <w:rPr>
                <w:rFonts w:hint="eastAsia"/>
                <w:highlight w:val="none"/>
              </w:rPr>
              <w:t>产品经理</w:t>
            </w:r>
          </w:p>
        </w:tc>
        <w:tc>
          <w:tcPr>
            <w:tcW w:w="2325" w:type="dxa"/>
            <w:shd w:val="clear" w:color="auto" w:fill="auto"/>
            <w:vAlign w:val="center"/>
          </w:tcPr>
          <w:p w14:paraId="691743D1">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1180" w:type="dxa"/>
            <w:shd w:val="clear" w:color="auto" w:fill="auto"/>
            <w:noWrap/>
            <w:vAlign w:val="center"/>
          </w:tcPr>
          <w:p w14:paraId="3C919127">
            <w:pPr>
              <w:widowControl/>
              <w:spacing w:line="240" w:lineRule="auto"/>
              <w:ind w:firstLine="0" w:firstLineChars="0"/>
              <w:jc w:val="center"/>
              <w:rPr>
                <w:rFonts w:hint="eastAsia"/>
                <w:highlight w:val="none"/>
              </w:rPr>
            </w:pPr>
            <w:r>
              <w:rPr>
                <w:rFonts w:hint="eastAsia"/>
                <w:highlight w:val="none"/>
              </w:rPr>
              <w:t>1人</w:t>
            </w:r>
          </w:p>
        </w:tc>
        <w:tc>
          <w:tcPr>
            <w:tcW w:w="0" w:type="auto"/>
          </w:tcPr>
          <w:p w14:paraId="377A520C">
            <w:pPr>
              <w:widowControl/>
              <w:spacing w:line="240" w:lineRule="auto"/>
              <w:ind w:firstLine="0" w:firstLineChars="0"/>
              <w:jc w:val="center"/>
              <w:rPr>
                <w:rFonts w:hint="eastAsia"/>
                <w:highlight w:val="none"/>
              </w:rPr>
            </w:pPr>
            <w:r>
              <w:rPr>
                <w:rFonts w:hint="eastAsia"/>
                <w:highlight w:val="none"/>
              </w:rPr>
              <w:t>本科及以上学历</w:t>
            </w:r>
          </w:p>
        </w:tc>
        <w:tc>
          <w:tcPr>
            <w:tcW w:w="0" w:type="auto"/>
            <w:shd w:val="clear" w:color="auto" w:fill="auto"/>
            <w:noWrap/>
            <w:vAlign w:val="center"/>
          </w:tcPr>
          <w:p w14:paraId="6AAA57C5">
            <w:pPr>
              <w:widowControl/>
              <w:spacing w:line="240" w:lineRule="auto"/>
              <w:ind w:firstLine="0" w:firstLineChars="0"/>
              <w:jc w:val="center"/>
              <w:rPr>
                <w:rFonts w:hint="eastAsia"/>
                <w:highlight w:val="none"/>
              </w:rPr>
            </w:pPr>
            <w:r>
              <w:rPr>
                <w:rFonts w:hint="eastAsia"/>
                <w:highlight w:val="none"/>
              </w:rPr>
              <w:t>不驻场</w:t>
            </w:r>
          </w:p>
        </w:tc>
      </w:tr>
      <w:tr w14:paraId="6114E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1DE7390">
            <w:pPr>
              <w:widowControl/>
              <w:spacing w:line="240" w:lineRule="auto"/>
              <w:ind w:firstLine="0" w:firstLineChars="0"/>
              <w:jc w:val="center"/>
              <w:rPr>
                <w:rFonts w:hint="eastAsia"/>
                <w:highlight w:val="none"/>
              </w:rPr>
            </w:pPr>
            <w:r>
              <w:rPr>
                <w:rFonts w:hint="eastAsia"/>
                <w:highlight w:val="none"/>
              </w:rPr>
              <w:t>技术工程师</w:t>
            </w:r>
          </w:p>
        </w:tc>
        <w:tc>
          <w:tcPr>
            <w:tcW w:w="2325" w:type="dxa"/>
            <w:shd w:val="clear" w:color="auto" w:fill="auto"/>
            <w:noWrap/>
            <w:vAlign w:val="center"/>
          </w:tcPr>
          <w:p w14:paraId="3E04227F">
            <w:pPr>
              <w:widowControl/>
              <w:spacing w:line="240" w:lineRule="auto"/>
              <w:ind w:firstLine="0" w:firstLineChars="0"/>
              <w:jc w:val="center"/>
              <w:rPr>
                <w:rFonts w:hint="eastAsia"/>
                <w:highlight w:val="none"/>
              </w:rPr>
            </w:pPr>
            <w:r>
              <w:rPr>
                <w:rFonts w:hint="eastAsia"/>
                <w:highlight w:val="none"/>
              </w:rPr>
              <w:t>负责项目运行维护</w:t>
            </w:r>
          </w:p>
        </w:tc>
        <w:tc>
          <w:tcPr>
            <w:tcW w:w="1180" w:type="dxa"/>
            <w:shd w:val="clear" w:color="auto" w:fill="auto"/>
            <w:noWrap/>
            <w:vAlign w:val="center"/>
          </w:tcPr>
          <w:p w14:paraId="3FAC2B0B">
            <w:pPr>
              <w:widowControl/>
              <w:spacing w:line="240" w:lineRule="auto"/>
              <w:ind w:firstLine="0" w:firstLineChars="0"/>
              <w:jc w:val="center"/>
              <w:rPr>
                <w:rFonts w:hint="eastAsia"/>
                <w:highlight w:val="none"/>
              </w:rPr>
            </w:pPr>
            <w:r>
              <w:rPr>
                <w:rFonts w:hint="eastAsia"/>
                <w:highlight w:val="none"/>
              </w:rPr>
              <w:t>4人</w:t>
            </w:r>
          </w:p>
        </w:tc>
        <w:tc>
          <w:tcPr>
            <w:tcW w:w="0" w:type="auto"/>
          </w:tcPr>
          <w:p w14:paraId="4AFC14B8">
            <w:pPr>
              <w:widowControl/>
              <w:spacing w:line="240" w:lineRule="auto"/>
              <w:ind w:firstLine="0" w:firstLineChars="0"/>
              <w:jc w:val="center"/>
              <w:rPr>
                <w:rFonts w:hint="eastAsia"/>
                <w:highlight w:val="none"/>
              </w:rPr>
            </w:pPr>
            <w:r>
              <w:rPr>
                <w:rFonts w:hint="eastAsia"/>
                <w:highlight w:val="none"/>
              </w:rPr>
              <w:t>本科及以上学历</w:t>
            </w:r>
          </w:p>
        </w:tc>
        <w:tc>
          <w:tcPr>
            <w:tcW w:w="0" w:type="auto"/>
            <w:shd w:val="clear" w:color="auto" w:fill="auto"/>
            <w:noWrap/>
            <w:vAlign w:val="center"/>
          </w:tcPr>
          <w:p w14:paraId="43B3BAE0">
            <w:pPr>
              <w:widowControl/>
              <w:spacing w:line="240" w:lineRule="auto"/>
              <w:ind w:firstLine="0" w:firstLineChars="0"/>
              <w:jc w:val="center"/>
              <w:rPr>
                <w:rFonts w:hint="eastAsia"/>
                <w:highlight w:val="none"/>
              </w:rPr>
            </w:pPr>
            <w:r>
              <w:rPr>
                <w:rFonts w:hint="eastAsia"/>
                <w:highlight w:val="none"/>
              </w:rPr>
              <w:t>驻场</w:t>
            </w:r>
          </w:p>
        </w:tc>
      </w:tr>
    </w:tbl>
    <w:p w14:paraId="7A54BA67">
      <w:pPr>
        <w:pStyle w:val="3"/>
        <w:rPr>
          <w:rFonts w:hint="eastAsia"/>
          <w:highlight w:val="none"/>
        </w:rPr>
      </w:pPr>
      <w:bookmarkStart w:id="33" w:name="_Toc63785511"/>
      <w:r>
        <w:rPr>
          <w:highlight w:val="none"/>
        </w:rPr>
        <w:t>等级保护要求</w:t>
      </w:r>
      <w:bookmarkEnd w:id="33"/>
    </w:p>
    <w:p w14:paraId="1F800299">
      <w:pPr>
        <w:rPr>
          <w:rFonts w:hint="eastAsia"/>
          <w:highlight w:val="none"/>
        </w:rPr>
      </w:pPr>
      <w:r>
        <w:rPr>
          <w:highlight w:val="none"/>
        </w:rPr>
        <w:t>本项目等级保护要求： 参照</w:t>
      </w:r>
      <w:r>
        <w:rPr>
          <w:rFonts w:hint="eastAsia"/>
          <w:highlight w:val="none"/>
        </w:rPr>
        <w:t>等保三级</w:t>
      </w:r>
      <w:r>
        <w:rPr>
          <w:highlight w:val="none"/>
        </w:rPr>
        <w:t>要求建设。</w:t>
      </w:r>
    </w:p>
    <w:p w14:paraId="0CF060C1">
      <w:pPr>
        <w:pStyle w:val="3"/>
        <w:rPr>
          <w:rFonts w:hint="eastAsia"/>
          <w:highlight w:val="none"/>
        </w:rPr>
      </w:pPr>
      <w:r>
        <w:rPr>
          <w:rFonts w:hint="eastAsia"/>
          <w:highlight w:val="none"/>
        </w:rPr>
        <w:t>商业密码应用需求</w:t>
      </w:r>
    </w:p>
    <w:p w14:paraId="7CBC964A">
      <w:pPr>
        <w:rPr>
          <w:rFonts w:hint="eastAsia"/>
          <w:highlight w:val="none"/>
        </w:rPr>
      </w:pPr>
      <w:r>
        <w:rPr>
          <w:rFonts w:hint="eastAsia"/>
          <w:highlight w:val="none"/>
        </w:rPr>
        <w:t>满足商业密码应用建设要求，并通过商业密码应用安全测评，综合评分需达到75分。</w:t>
      </w:r>
    </w:p>
    <w:p w14:paraId="69DE8E57">
      <w:pPr>
        <w:pStyle w:val="3"/>
        <w:rPr>
          <w:rFonts w:hint="eastAsia"/>
          <w:highlight w:val="none"/>
        </w:rPr>
      </w:pPr>
      <w:bookmarkStart w:id="34" w:name="_Toc63785512"/>
      <w:r>
        <w:rPr>
          <w:rFonts w:hint="eastAsia"/>
          <w:highlight w:val="none"/>
        </w:rPr>
        <w:t>技术文件要求</w:t>
      </w:r>
    </w:p>
    <w:p w14:paraId="1A078A62">
      <w:pPr>
        <w:rPr>
          <w:rFonts w:hint="eastAsia"/>
          <w:highlight w:val="none"/>
        </w:rPr>
      </w:pPr>
      <w:r>
        <w:rPr>
          <w:rFonts w:hint="eastAsia"/>
          <w:highlight w:val="none"/>
        </w:rPr>
        <w:t>投标人提供的书面技术资料应能确保系统正常运行所需的管理、运营及维护有关的全套文件。技术文件应该全面、完整、详细。投标人提供的技术文件至少应包括：</w:t>
      </w:r>
    </w:p>
    <w:p w14:paraId="2E547EDC">
      <w:pPr>
        <w:rPr>
          <w:rFonts w:hint="eastAsia"/>
          <w:highlight w:val="none"/>
        </w:rPr>
      </w:pPr>
      <w:r>
        <w:rPr>
          <w:rFonts w:hint="eastAsia"/>
          <w:highlight w:val="none"/>
        </w:rPr>
        <w:t>－</w:t>
      </w:r>
      <w:r>
        <w:rPr>
          <w:highlight w:val="none"/>
        </w:rPr>
        <w:t xml:space="preserve"> 系统说明文件； </w:t>
      </w:r>
    </w:p>
    <w:p w14:paraId="7A938CAB">
      <w:pPr>
        <w:rPr>
          <w:rFonts w:hint="eastAsia"/>
          <w:highlight w:val="none"/>
        </w:rPr>
      </w:pPr>
      <w:r>
        <w:rPr>
          <w:rFonts w:hint="eastAsia"/>
          <w:highlight w:val="none"/>
        </w:rPr>
        <w:t>－</w:t>
      </w:r>
      <w:r>
        <w:rPr>
          <w:highlight w:val="none"/>
        </w:rPr>
        <w:t xml:space="preserve"> 技术手册(安装、测试、操作、维护、故障排除等)； </w:t>
      </w:r>
    </w:p>
    <w:p w14:paraId="098878A8">
      <w:pPr>
        <w:rPr>
          <w:rFonts w:hint="eastAsia"/>
          <w:highlight w:val="none"/>
        </w:rPr>
      </w:pPr>
      <w:r>
        <w:rPr>
          <w:rFonts w:hint="eastAsia"/>
          <w:highlight w:val="none"/>
        </w:rPr>
        <w:t>－</w:t>
      </w:r>
      <w:r>
        <w:rPr>
          <w:highlight w:val="none"/>
        </w:rPr>
        <w:t xml:space="preserve"> 项目文档，应该包括：</w:t>
      </w:r>
    </w:p>
    <w:p w14:paraId="5389744F">
      <w:pPr>
        <w:ind w:left="360"/>
        <w:rPr>
          <w:rFonts w:hint="eastAsia"/>
          <w:highlight w:val="none"/>
        </w:rPr>
      </w:pPr>
      <w:r>
        <w:rPr>
          <w:highlight w:val="none"/>
        </w:rPr>
        <w:t>(1)软件需求说明书</w:t>
      </w:r>
    </w:p>
    <w:p w14:paraId="5B3FEC24">
      <w:pPr>
        <w:ind w:left="360"/>
        <w:rPr>
          <w:rFonts w:hint="eastAsia"/>
          <w:highlight w:val="none"/>
        </w:rPr>
      </w:pPr>
      <w:r>
        <w:rPr>
          <w:highlight w:val="none"/>
        </w:rPr>
        <w:t>(2)</w:t>
      </w:r>
      <w:r>
        <w:rPr>
          <w:highlight w:val="none"/>
        </w:rPr>
        <w:tab/>
      </w:r>
      <w:r>
        <w:rPr>
          <w:highlight w:val="none"/>
        </w:rPr>
        <w:t>系统总体设计说明书</w:t>
      </w:r>
    </w:p>
    <w:p w14:paraId="3E52FB11">
      <w:pPr>
        <w:ind w:left="360"/>
        <w:rPr>
          <w:rFonts w:hint="eastAsia"/>
          <w:highlight w:val="none"/>
        </w:rPr>
      </w:pPr>
      <w:r>
        <w:rPr>
          <w:highlight w:val="none"/>
        </w:rPr>
        <w:t>(3)</w:t>
      </w:r>
      <w:r>
        <w:rPr>
          <w:highlight w:val="none"/>
        </w:rPr>
        <w:tab/>
      </w:r>
      <w:r>
        <w:rPr>
          <w:highlight w:val="none"/>
        </w:rPr>
        <w:t>应用软件功能清单</w:t>
      </w:r>
    </w:p>
    <w:p w14:paraId="10769ACA">
      <w:pPr>
        <w:rPr>
          <w:rFonts w:hint="eastAsia"/>
          <w:highlight w:val="none"/>
        </w:rPr>
      </w:pPr>
      <w:r>
        <w:rPr>
          <w:rFonts w:hint="eastAsia"/>
          <w:highlight w:val="none"/>
        </w:rPr>
        <w:t>提供全套技术文件纸介质</w:t>
      </w:r>
      <w:r>
        <w:rPr>
          <w:highlight w:val="none"/>
        </w:rPr>
        <w:t>3套以及电子文件1套。</w:t>
      </w:r>
    </w:p>
    <w:p w14:paraId="055DA5D1">
      <w:pPr>
        <w:pStyle w:val="2"/>
        <w:rPr>
          <w:rFonts w:hint="eastAsia"/>
          <w:highlight w:val="none"/>
        </w:rPr>
      </w:pPr>
      <w:r>
        <w:rPr>
          <w:rFonts w:hint="eastAsia"/>
          <w:highlight w:val="none"/>
        </w:rPr>
        <w:t>供应商管理要求</w:t>
      </w:r>
      <w:bookmarkEnd w:id="34"/>
    </w:p>
    <w:p w14:paraId="74AEFA5F">
      <w:pPr>
        <w:pStyle w:val="80"/>
        <w:ind w:firstLine="480"/>
        <w:rPr>
          <w:rFonts w:hint="eastAsia"/>
          <w:sz w:val="24"/>
          <w:szCs w:val="24"/>
          <w:highlight w:val="none"/>
        </w:rPr>
      </w:pPr>
      <w:r>
        <w:rPr>
          <w:rFonts w:hint="eastAsia"/>
          <w:sz w:val="24"/>
          <w:szCs w:val="24"/>
          <w:highlight w:val="none"/>
        </w:rPr>
        <w:t>1、在项目实施期间，中标人应严格执行国家、地方、行业有关本项目业务管理和安全作业的法律、法规和制度并按规定承担相应的费用。中标人因违反规定等原因造成的一切损失和责任由中标人自行承担。</w:t>
      </w:r>
    </w:p>
    <w:p w14:paraId="77C7F83C">
      <w:pPr>
        <w:pStyle w:val="80"/>
        <w:ind w:firstLine="480"/>
        <w:rPr>
          <w:rFonts w:hint="eastAsia"/>
          <w:sz w:val="24"/>
          <w:szCs w:val="24"/>
          <w:highlight w:val="none"/>
        </w:rPr>
      </w:pPr>
      <w:r>
        <w:rPr>
          <w:rFonts w:hint="eastAsia"/>
          <w:sz w:val="24"/>
          <w:szCs w:val="24"/>
          <w:highlight w:val="none"/>
        </w:rPr>
        <w:t>2、中标人在投标书中承诺并经招标人认定的项目负责人及专业技术人员</w:t>
      </w:r>
      <w:r>
        <w:rPr>
          <w:rFonts w:hint="eastAsia"/>
          <w:sz w:val="24"/>
          <w:szCs w:val="24"/>
          <w:highlight w:val="none"/>
          <w:lang w:eastAsia="zh-CN"/>
        </w:rPr>
        <w:t>需</w:t>
      </w:r>
      <w:r>
        <w:rPr>
          <w:rFonts w:hint="eastAsia"/>
          <w:sz w:val="24"/>
          <w:szCs w:val="24"/>
          <w:highlight w:val="none"/>
        </w:rPr>
        <w:t>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4D8AFB06">
      <w:pPr>
        <w:pStyle w:val="80"/>
        <w:ind w:firstLine="480"/>
        <w:rPr>
          <w:rFonts w:hint="eastAsia"/>
          <w:sz w:val="24"/>
          <w:szCs w:val="24"/>
          <w:highlight w:val="none"/>
        </w:rPr>
      </w:pPr>
      <w:r>
        <w:rPr>
          <w:rFonts w:hint="eastAsia"/>
          <w:sz w:val="24"/>
          <w:szCs w:val="24"/>
          <w:highlight w:val="none"/>
        </w:rPr>
        <w:t>3、中标人在项目实施期间，应按项目实际进度与环节落实所对应项目整体及各环节管理工作，按照规范做好项目实施期间相关管理与实施记录。</w:t>
      </w:r>
    </w:p>
    <w:p w14:paraId="67CCFE4D">
      <w:pPr>
        <w:pStyle w:val="80"/>
        <w:ind w:firstLine="480"/>
        <w:rPr>
          <w:rFonts w:hint="eastAsia"/>
          <w:sz w:val="24"/>
          <w:szCs w:val="24"/>
          <w:highlight w:val="none"/>
        </w:rPr>
      </w:pPr>
      <w:r>
        <w:rPr>
          <w:rFonts w:hint="eastAsia"/>
          <w:sz w:val="24"/>
          <w:szCs w:val="24"/>
          <w:highlight w:val="none"/>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w:t>
      </w:r>
      <w:r>
        <w:rPr>
          <w:rFonts w:hint="eastAsia"/>
          <w:sz w:val="24"/>
          <w:szCs w:val="24"/>
          <w:highlight w:val="none"/>
          <w:lang w:eastAsia="zh-CN"/>
        </w:rPr>
        <w:t>需</w:t>
      </w:r>
      <w:r>
        <w:rPr>
          <w:rFonts w:hint="eastAsia"/>
          <w:sz w:val="24"/>
          <w:szCs w:val="24"/>
          <w:highlight w:val="none"/>
        </w:rPr>
        <w:t>得到采购人项目联系人确认。</w:t>
      </w:r>
    </w:p>
    <w:p w14:paraId="3E44CA1B">
      <w:pPr>
        <w:pStyle w:val="80"/>
        <w:ind w:firstLine="480"/>
        <w:rPr>
          <w:rFonts w:hint="eastAsia"/>
          <w:sz w:val="24"/>
          <w:szCs w:val="24"/>
          <w:highlight w:val="none"/>
        </w:rPr>
      </w:pPr>
      <w:r>
        <w:rPr>
          <w:rFonts w:hint="eastAsia"/>
          <w:sz w:val="24"/>
          <w:szCs w:val="24"/>
          <w:highlight w:val="none"/>
        </w:rPr>
        <w:t>5、中标人在项目实施期间</w:t>
      </w:r>
      <w:r>
        <w:rPr>
          <w:rFonts w:hint="eastAsia"/>
          <w:sz w:val="24"/>
          <w:szCs w:val="24"/>
          <w:highlight w:val="none"/>
          <w:lang w:eastAsia="zh-CN"/>
        </w:rPr>
        <w:t>需</w:t>
      </w:r>
      <w:r>
        <w:rPr>
          <w:rFonts w:hint="eastAsia"/>
          <w:sz w:val="24"/>
          <w:szCs w:val="24"/>
          <w:highlight w:val="none"/>
        </w:rPr>
        <w:t>遵守采购人的规章制度并提供实施人员名单。</w:t>
      </w:r>
    </w:p>
    <w:p w14:paraId="700A4A7E">
      <w:pPr>
        <w:pStyle w:val="80"/>
        <w:ind w:firstLine="480"/>
        <w:rPr>
          <w:rFonts w:hint="eastAsia"/>
          <w:sz w:val="24"/>
          <w:szCs w:val="24"/>
          <w:highlight w:val="none"/>
        </w:rPr>
      </w:pPr>
      <w:r>
        <w:rPr>
          <w:rFonts w:hint="eastAsia"/>
          <w:sz w:val="24"/>
          <w:szCs w:val="24"/>
          <w:highlight w:val="none"/>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55D8B810">
      <w:pPr>
        <w:pStyle w:val="80"/>
        <w:ind w:firstLine="480"/>
        <w:rPr>
          <w:rFonts w:hint="eastAsia"/>
          <w:highlight w:val="none"/>
        </w:rPr>
      </w:pPr>
      <w:r>
        <w:rPr>
          <w:rFonts w:hint="eastAsia"/>
          <w:sz w:val="24"/>
          <w:szCs w:val="24"/>
          <w:highlight w:val="none"/>
        </w:rPr>
        <w:t>7、本项目软件开发及调试将纳入采购人的管理范围，中标人在此过程中须服从上述单位的管理协调。</w:t>
      </w:r>
    </w:p>
    <w:p w14:paraId="761A140D">
      <w:pPr>
        <w:pStyle w:val="2"/>
        <w:rPr>
          <w:rFonts w:hint="eastAsia"/>
          <w:highlight w:val="none"/>
        </w:rPr>
      </w:pPr>
      <w:bookmarkStart w:id="35" w:name="_Toc63785513"/>
      <w:r>
        <w:rPr>
          <w:rFonts w:hint="eastAsia"/>
          <w:highlight w:val="none"/>
        </w:rPr>
        <w:t>关于转让和分包的规定</w:t>
      </w:r>
    </w:p>
    <w:p w14:paraId="6180398C">
      <w:pPr>
        <w:rPr>
          <w:rFonts w:hint="eastAsia"/>
          <w:highlight w:val="none"/>
        </w:rPr>
      </w:pPr>
      <w:r>
        <w:rPr>
          <w:rFonts w:hint="eastAsia"/>
          <w:highlight w:val="none"/>
        </w:rPr>
        <w:t>本项目不得分包不得转让。</w:t>
      </w:r>
    </w:p>
    <w:p w14:paraId="0F2C8F65">
      <w:pPr>
        <w:pStyle w:val="2"/>
        <w:rPr>
          <w:rFonts w:hint="eastAsia"/>
          <w:highlight w:val="none"/>
        </w:rPr>
      </w:pPr>
      <w:r>
        <w:rPr>
          <w:rFonts w:hint="eastAsia"/>
          <w:highlight w:val="none"/>
        </w:rPr>
        <w:t>知识产权及保密要求</w:t>
      </w:r>
      <w:bookmarkEnd w:id="35"/>
    </w:p>
    <w:p w14:paraId="3B85DFDF">
      <w:pPr>
        <w:ind w:firstLine="482"/>
        <w:rPr>
          <w:rFonts w:hint="eastAsia"/>
          <w:b/>
          <w:highlight w:val="none"/>
        </w:rPr>
      </w:pPr>
      <w:r>
        <w:rPr>
          <w:b/>
          <w:highlight w:val="none"/>
        </w:rPr>
        <w:t>1、中标人数据、文件、资料知识产权</w:t>
      </w:r>
    </w:p>
    <w:p w14:paraId="19EA411C">
      <w:pPr>
        <w:rPr>
          <w:rFonts w:hint="eastAsia"/>
          <w:highlight w:val="none"/>
        </w:rPr>
      </w:pPr>
      <w:r>
        <w:rPr>
          <w:rFonts w:hint="eastAsia"/>
          <w:highlight w:val="none"/>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4AD09382">
      <w:pPr>
        <w:rPr>
          <w:rFonts w:hint="eastAsia"/>
          <w:highlight w:val="none"/>
        </w:rPr>
      </w:pPr>
      <w:r>
        <w:rPr>
          <w:rFonts w:hint="eastAsia"/>
          <w:highlight w:val="none"/>
        </w:rPr>
        <w:t>中标人因履行本项目而产生的所有成果的知识产权等权利均归采购人所有，中标人应配合采购人进行相关权利登记或申请。未经采购人书面同意，中标人不得以任何形式使用或许可他人使用本项目成果的相关内容，不得擅自对外公开发表或向任何第三方透露。</w:t>
      </w:r>
    </w:p>
    <w:p w14:paraId="3EB7AEE1">
      <w:pPr>
        <w:rPr>
          <w:rFonts w:hint="eastAsia"/>
          <w:highlight w:val="none"/>
        </w:rPr>
      </w:pPr>
      <w:r>
        <w:rPr>
          <w:rFonts w:hint="eastAsia"/>
          <w:highlight w:val="none"/>
        </w:rPr>
        <w:t>在不影响上述条款规定的由采购人取得所有成果的知识产权的前提下，双方因履行本项目而被授权接触或使用对方之知识产权（包括但不限于商标、专利、著作权等），和/或任何其他相关资料、数据等涉及的任何权利，均不视为向另一方转让上述权利或在本项目范围外授权许可另一方使用上述权利，上述权利仍应属于提供方，并仅可使用于本项目，被授权接触或使用方未经提供方书面同意，不得擅自挪作他用。</w:t>
      </w:r>
    </w:p>
    <w:p w14:paraId="27BCC09C">
      <w:pPr>
        <w:ind w:firstLine="482"/>
        <w:rPr>
          <w:rFonts w:hint="eastAsia"/>
          <w:b/>
          <w:highlight w:val="none"/>
        </w:rPr>
      </w:pPr>
      <w:r>
        <w:rPr>
          <w:b/>
          <w:highlight w:val="none"/>
        </w:rPr>
        <w:t>2、项目保密要求</w:t>
      </w:r>
    </w:p>
    <w:p w14:paraId="0F35F678">
      <w:pPr>
        <w:rPr>
          <w:rFonts w:hint="eastAsia"/>
          <w:highlight w:val="none"/>
        </w:rPr>
      </w:pPr>
      <w:r>
        <w:rPr>
          <w:rFonts w:hint="eastAsia"/>
          <w:highlight w:val="none"/>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243D0C3F">
      <w:pPr>
        <w:rPr>
          <w:rFonts w:hint="eastAsia"/>
          <w:highlight w:val="none"/>
        </w:rPr>
      </w:pPr>
      <w:r>
        <w:rPr>
          <w:rFonts w:hint="eastAsia"/>
          <w:highlight w:val="none"/>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550B9EA2">
      <w:pPr>
        <w:rPr>
          <w:rFonts w:hint="eastAsia"/>
          <w:highlight w:val="none"/>
        </w:rPr>
      </w:pPr>
      <w:r>
        <w:rPr>
          <w:rFonts w:hint="eastAsia"/>
          <w:highlight w:val="none"/>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39D18D36">
      <w:pPr>
        <w:rPr>
          <w:rFonts w:hint="eastAsia"/>
          <w:highlight w:val="none"/>
        </w:rPr>
      </w:pPr>
      <w:r>
        <w:rPr>
          <w:rFonts w:hint="eastAsia"/>
          <w:highlight w:val="none"/>
        </w:rPr>
        <w:t>以上内容的保密期限自中标人知悉保密信息起始至保密信息被合法公开之日止。</w:t>
      </w:r>
    </w:p>
    <w:p w14:paraId="37231AB9">
      <w:pPr>
        <w:ind w:firstLine="482"/>
        <w:rPr>
          <w:rFonts w:hint="eastAsia"/>
          <w:b/>
          <w:highlight w:val="none"/>
        </w:rPr>
      </w:pPr>
      <w:r>
        <w:rPr>
          <w:b/>
          <w:highlight w:val="none"/>
        </w:rPr>
        <w:t>3、临时账号等使用要求</w:t>
      </w:r>
    </w:p>
    <w:p w14:paraId="58C4F755">
      <w:pPr>
        <w:rPr>
          <w:rFonts w:hint="eastAsia"/>
          <w:highlight w:val="none"/>
        </w:rPr>
      </w:pPr>
      <w:r>
        <w:rPr>
          <w:rFonts w:hint="eastAsia"/>
          <w:highlight w:val="none"/>
        </w:rPr>
        <w:t>中标人对采购人提拱的临时使用账号要保密，不得公开，对组件开发的账号密码需进行加密，避免信息安全的泄露。未经采购人的同意不得利用采购人的网络及平台进行短信、彩信、微信发送</w:t>
      </w:r>
      <w:r>
        <w:rPr>
          <w:highlight w:val="none"/>
        </w:rPr>
        <w:t>,造成的一切后果由中标人负责。</w:t>
      </w:r>
    </w:p>
    <w:p w14:paraId="175166B3">
      <w:pPr>
        <w:pStyle w:val="2"/>
        <w:rPr>
          <w:rFonts w:hint="eastAsia"/>
          <w:highlight w:val="none"/>
        </w:rPr>
      </w:pPr>
      <w:bookmarkStart w:id="36" w:name="_Toc65170093"/>
      <w:r>
        <w:rPr>
          <w:highlight w:val="none"/>
        </w:rPr>
        <w:t>项目的变更、解除和终止</w:t>
      </w:r>
    </w:p>
    <w:p w14:paraId="28DDAD4E">
      <w:pPr>
        <w:rPr>
          <w:rFonts w:hint="eastAsia"/>
          <w:highlight w:val="none"/>
        </w:rPr>
      </w:pPr>
      <w:r>
        <w:rPr>
          <w:rFonts w:hint="eastAsia"/>
          <w:highlight w:val="none"/>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5B4E5FBA">
      <w:pPr>
        <w:rPr>
          <w:rFonts w:hint="eastAsia"/>
          <w:highlight w:val="none"/>
        </w:rPr>
      </w:pPr>
      <w:r>
        <w:rPr>
          <w:rFonts w:hint="eastAsia"/>
          <w:highlight w:val="none"/>
        </w:rPr>
        <w:t>如遇国家、行业管理部门等机构的有关标准和规定调整的，导致本项目内容须做相应调整时，双方应按照公平、合理的原则共同协商修改本项目对应的合同的相关条款。</w:t>
      </w:r>
    </w:p>
    <w:p w14:paraId="68BB4CF7">
      <w:pPr>
        <w:pStyle w:val="2"/>
        <w:rPr>
          <w:rFonts w:hint="eastAsia"/>
          <w:highlight w:val="none"/>
        </w:rPr>
      </w:pPr>
      <w:r>
        <w:rPr>
          <w:rFonts w:hint="eastAsia"/>
          <w:highlight w:val="none"/>
        </w:rPr>
        <w:t>违约责任</w:t>
      </w:r>
      <w:bookmarkEnd w:id="36"/>
    </w:p>
    <w:p w14:paraId="74849D3C">
      <w:pPr>
        <w:rPr>
          <w:rFonts w:hint="eastAsia"/>
          <w:highlight w:val="none"/>
        </w:rPr>
      </w:pPr>
      <w:r>
        <w:rPr>
          <w:highlight w:val="none"/>
        </w:rPr>
        <w:t>1、如中标人未按约定的时间或服务标准完成建设工作，采购人可要求中标人在规定的时间内采取补救措施。中标人还应向采购人支付本项目费用总额30%的违约金，违约金不足以弥补采购人损失的，采购人有权要求中标人赔偿超过部分。</w:t>
      </w:r>
    </w:p>
    <w:p w14:paraId="1E90EA27">
      <w:pPr>
        <w:rPr>
          <w:rFonts w:hint="eastAsia"/>
          <w:highlight w:val="none"/>
        </w:rPr>
      </w:pPr>
      <w:r>
        <w:rPr>
          <w:highlight w:val="none"/>
        </w:rPr>
        <w:t>2、因中标人违反保密义务或知识产权约定的，采购人有权要求中标人支付本项目费用总额30%的违约金，违约金不足以弥补采购人损失的，采购人有权要求中标人赔偿超过部分。若中标人违反保密义务，采购人还有权立即单方解除合同而不承担任何违约责任。</w:t>
      </w:r>
    </w:p>
    <w:p w14:paraId="3873AE9D">
      <w:pPr>
        <w:rPr>
          <w:rFonts w:hint="eastAsia"/>
          <w:highlight w:val="none"/>
        </w:rPr>
      </w:pPr>
      <w:r>
        <w:rPr>
          <w:highlight w:val="none"/>
        </w:rPr>
        <w:t>3、中标人有其他违反本项目合同约定的行为，中标人应当支付本项目总价款金额的20%作为违约金，违约金不足以弥补采购人损失的，采购人有权要求中标人赔偿超过部分。</w:t>
      </w:r>
    </w:p>
    <w:p w14:paraId="48FE8BB6">
      <w:pPr>
        <w:rPr>
          <w:rFonts w:hint="eastAsia"/>
          <w:highlight w:val="none"/>
        </w:rPr>
      </w:pPr>
      <w:r>
        <w:rPr>
          <w:highlight w:val="none"/>
        </w:rPr>
        <w:t>4、中标人有下列情形之一，采购人有权解除合同：</w:t>
      </w:r>
    </w:p>
    <w:p w14:paraId="68429450">
      <w:pPr>
        <w:rPr>
          <w:rFonts w:hint="eastAsia"/>
          <w:highlight w:val="none"/>
        </w:rPr>
      </w:pPr>
      <w:r>
        <w:rPr>
          <w:rFonts w:hint="eastAsia"/>
          <w:highlight w:val="none"/>
        </w:rPr>
        <w:t>（1</w:t>
      </w:r>
      <w:r>
        <w:rPr>
          <w:highlight w:val="none"/>
        </w:rPr>
        <w:t>）因中标人服务质量问题导致采购人无法实现目的；</w:t>
      </w:r>
    </w:p>
    <w:p w14:paraId="5D40C10A">
      <w:pPr>
        <w:rPr>
          <w:rFonts w:hint="eastAsia"/>
          <w:highlight w:val="none"/>
        </w:rPr>
      </w:pPr>
      <w:r>
        <w:rPr>
          <w:rFonts w:hint="eastAsia"/>
          <w:highlight w:val="none"/>
        </w:rPr>
        <w:t>（2</w:t>
      </w:r>
      <w:r>
        <w:rPr>
          <w:highlight w:val="none"/>
        </w:rPr>
        <w:t>）擅自转让或者分包其应履行的义务的；</w:t>
      </w:r>
    </w:p>
    <w:p w14:paraId="183A7FC4">
      <w:pPr>
        <w:rPr>
          <w:rFonts w:hint="eastAsia"/>
          <w:highlight w:val="none"/>
        </w:rPr>
      </w:pPr>
      <w:r>
        <w:rPr>
          <w:rFonts w:hint="eastAsia"/>
          <w:highlight w:val="none"/>
        </w:rPr>
        <w:t>（3</w:t>
      </w:r>
      <w:r>
        <w:rPr>
          <w:highlight w:val="none"/>
        </w:rPr>
        <w:t>）违反或者未履行本项目合同约定的其他相关义务，且在采购人要求的合理时间内未能纠正的。</w:t>
      </w:r>
    </w:p>
    <w:p w14:paraId="57CA8FC3">
      <w:pPr>
        <w:pStyle w:val="2"/>
        <w:rPr>
          <w:rFonts w:hint="eastAsia"/>
          <w:highlight w:val="none"/>
        </w:rPr>
      </w:pPr>
      <w:bookmarkStart w:id="37" w:name="_Toc68798863"/>
      <w:r>
        <w:rPr>
          <w:rFonts w:hint="eastAsia"/>
          <w:highlight w:val="none"/>
        </w:rPr>
        <w:t>附录</w:t>
      </w:r>
      <w:bookmarkEnd w:id="37"/>
    </w:p>
    <w:p w14:paraId="10FA1DA9">
      <w:pPr>
        <w:ind w:firstLine="482"/>
        <w:rPr>
          <w:rFonts w:hint="eastAsia"/>
          <w:b/>
          <w:highlight w:val="none"/>
        </w:rPr>
      </w:pPr>
      <w:r>
        <w:rPr>
          <w:rFonts w:hint="eastAsia"/>
          <w:b/>
          <w:highlight w:val="none"/>
        </w:rPr>
        <w:t>若项目建设过程中需符合相关技术标准或规范文件的要求，请将相关文件作为附件列出。</w:t>
      </w:r>
    </w:p>
    <w:p w14:paraId="66508C7F">
      <w:pPr>
        <w:ind w:firstLine="482"/>
        <w:rPr>
          <w:rFonts w:hint="eastAsia"/>
          <w:highlight w:val="none"/>
        </w:rPr>
      </w:pPr>
      <w:r>
        <w:rPr>
          <w:rFonts w:hint="eastAsia"/>
          <w:b/>
          <w:highlight w:val="none"/>
        </w:rPr>
        <w:t>参考如下：</w:t>
      </w:r>
    </w:p>
    <w:p w14:paraId="3B2AD581">
      <w:pPr>
        <w:ind w:firstLine="0" w:firstLineChars="0"/>
        <w:rPr>
          <w:rFonts w:hint="eastAsia"/>
          <w:highlight w:val="none"/>
        </w:rPr>
      </w:pPr>
      <w:r>
        <w:rPr>
          <w:rFonts w:hint="eastAsia"/>
          <w:highlight w:val="none"/>
        </w:rPr>
        <w:t>1、</w:t>
      </w:r>
      <w:r>
        <w:rPr>
          <w:highlight w:val="none"/>
        </w:rPr>
        <w:t>《政务网络安全监测平台总体技术要求》</w:t>
      </w:r>
    </w:p>
    <w:p w14:paraId="754D88E2">
      <w:pPr>
        <w:ind w:firstLine="0" w:firstLineChars="0"/>
        <w:rPr>
          <w:rFonts w:hint="eastAsia"/>
          <w:highlight w:val="none"/>
        </w:rPr>
      </w:pPr>
      <w:r>
        <w:rPr>
          <w:highlight w:val="none"/>
        </w:rPr>
        <w:object>
          <v:shape id="_x0000_i1025" o:spt="75" type="#_x0000_t75" style="height:54.5pt;width:76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3A8929D5">
      <w:pPr>
        <w:ind w:firstLine="0" w:firstLineChars="0"/>
        <w:rPr>
          <w:rFonts w:hint="eastAsia"/>
          <w:highlight w:val="none"/>
        </w:rPr>
      </w:pPr>
    </w:p>
    <w:p w14:paraId="3B16A13A">
      <w:pPr>
        <w:ind w:firstLine="0" w:firstLineChars="0"/>
        <w:jc w:val="left"/>
        <w:rPr>
          <w:rFonts w:hint="eastAsia"/>
          <w:highlight w:val="none"/>
        </w:rPr>
      </w:pPr>
      <w:r>
        <w:rPr>
          <w:rFonts w:hint="eastAsia"/>
          <w:highlight w:val="none"/>
        </w:rPr>
        <w:t>2、《上海市电子政务外网建设和运行管理指南（试行）》</w:t>
      </w:r>
    </w:p>
    <w:p w14:paraId="6E340788">
      <w:pPr>
        <w:ind w:firstLine="0" w:firstLineChars="0"/>
        <w:jc w:val="left"/>
        <w:rPr>
          <w:rFonts w:hint="eastAsia"/>
          <w:highlight w:val="none"/>
        </w:rPr>
      </w:pPr>
      <w:r>
        <w:rPr>
          <w:highlight w:val="none"/>
        </w:rPr>
        <w:object>
          <v:shape id="_x0000_i1026" o:spt="75" type="#_x0000_t75" style="height:54.5pt;width:76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5D11E7F6">
      <w:pPr>
        <w:numPr>
          <w:ilvl w:val="0"/>
          <w:numId w:val="5"/>
        </w:numPr>
        <w:ind w:firstLine="0" w:firstLineChars="0"/>
        <w:jc w:val="left"/>
        <w:rPr>
          <w:rFonts w:hint="eastAsia"/>
          <w:highlight w:val="none"/>
        </w:rPr>
      </w:pPr>
      <w:r>
        <w:rPr>
          <w:rFonts w:hint="eastAsia"/>
          <w:highlight w:val="none"/>
        </w:rPr>
        <w:t>其他标准</w:t>
      </w:r>
    </w:p>
    <w:p w14:paraId="520F805C">
      <w:pPr>
        <w:widowControl w:val="0"/>
        <w:numPr>
          <w:ilvl w:val="0"/>
          <w:numId w:val="0"/>
        </w:numPr>
        <w:spacing w:line="360" w:lineRule="auto"/>
        <w:jc w:val="left"/>
        <w:rPr>
          <w:rFonts w:hint="eastAsia"/>
          <w:highlight w:val="none"/>
        </w:rPr>
      </w:pPr>
    </w:p>
    <w:p w14:paraId="2680E6F5">
      <w:pPr>
        <w:widowControl w:val="0"/>
        <w:numPr>
          <w:ilvl w:val="0"/>
          <w:numId w:val="0"/>
        </w:numPr>
        <w:spacing w:line="360" w:lineRule="auto"/>
        <w:jc w:val="left"/>
        <w:rPr>
          <w:rFonts w:hint="eastAsia"/>
          <w:highlight w:val="none"/>
        </w:rPr>
      </w:pPr>
    </w:p>
    <w:p w14:paraId="45D94F5C">
      <w:pPr>
        <w:widowControl w:val="0"/>
        <w:numPr>
          <w:ilvl w:val="0"/>
          <w:numId w:val="0"/>
        </w:numPr>
        <w:spacing w:line="360" w:lineRule="auto"/>
        <w:jc w:val="left"/>
        <w:rPr>
          <w:rFonts w:hint="eastAsia"/>
          <w:highlight w:val="none"/>
        </w:rPr>
      </w:pPr>
    </w:p>
    <w:p w14:paraId="30F8D110">
      <w:pPr>
        <w:widowControl w:val="0"/>
        <w:numPr>
          <w:ilvl w:val="0"/>
          <w:numId w:val="0"/>
        </w:numPr>
        <w:spacing w:line="360" w:lineRule="auto"/>
        <w:jc w:val="left"/>
        <w:rPr>
          <w:rFonts w:hint="eastAsia"/>
          <w:highlight w:val="none"/>
        </w:rPr>
      </w:pPr>
    </w:p>
    <w:p w14:paraId="7EFF0965">
      <w:pPr>
        <w:widowControl w:val="0"/>
        <w:numPr>
          <w:ilvl w:val="0"/>
          <w:numId w:val="0"/>
        </w:numPr>
        <w:spacing w:line="360" w:lineRule="auto"/>
        <w:jc w:val="left"/>
        <w:rPr>
          <w:rFonts w:hint="eastAsia" w:eastAsia="宋体"/>
          <w:highlight w:val="none"/>
          <w:lang w:eastAsia="zh-CN"/>
        </w:rPr>
      </w:pPr>
      <w:r>
        <w:rPr>
          <w:rFonts w:hint="eastAsia"/>
          <w:highlight w:val="none"/>
          <w:lang w:eastAsia="zh-CN"/>
        </w:rPr>
        <w:t>供应商</w:t>
      </w:r>
      <w:r>
        <w:rPr>
          <w:rFonts w:hint="eastAsia"/>
          <w:highlight w:val="none"/>
        </w:rPr>
        <w:t>具有ISO27001信息安全管理体系认证证书、ISO20000信息技术服务管理体系认证证书、ISO9001质量管理体系认证证书的</w:t>
      </w:r>
      <w:r>
        <w:rPr>
          <w:rFonts w:hint="eastAsia"/>
          <w:highlight w:val="none"/>
          <w:lang w:eastAsia="zh-CN"/>
        </w:rPr>
        <w:t>优先考虑。</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仿宋_GB2312"/>
    <w:panose1 w:val="02010609060101010101"/>
    <w:charset w:val="86"/>
    <w:family w:val="modern"/>
    <w:pitch w:val="default"/>
    <w:sig w:usb0="00000000" w:usb1="00000000"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Calibri Light">
    <w:altName w:val="DejaVu Sans"/>
    <w:panose1 w:val="020F0302020204030204"/>
    <w:charset w:val="00"/>
    <w:family w:val="swiss"/>
    <w:pitch w:val="default"/>
    <w:sig w:usb0="00000000" w:usb1="00000000" w:usb2="00000000" w:usb3="00000000" w:csb0="2000019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汉仪中圆B5"/>
    <w:panose1 w:val="02010600030101010101"/>
    <w:charset w:val="86"/>
    <w:family w:val="auto"/>
    <w:pitch w:val="default"/>
    <w:sig w:usb0="00000000" w:usb1="00000000" w:usb2="00000016" w:usb3="00000000" w:csb0="0004000F" w:csb1="00000000"/>
  </w:font>
  <w:font w:name="汉仪中圆B5">
    <w:panose1 w:val="02010600000101010101"/>
    <w:charset w:val="88"/>
    <w:family w:val="auto"/>
    <w:pitch w:val="default"/>
    <w:sig w:usb0="00000001" w:usb1="080E0800" w:usb2="00000002" w:usb3="00000000" w:csb0="00100000"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Liberation Sans"/>
    <w:panose1 w:val="020B0604020202020204"/>
    <w:charset w:val="00"/>
    <w:family w:val="swiss"/>
    <w:pitch w:val="default"/>
    <w:sig w:usb0="00000000" w:usb1="00000000" w:usb2="00000008" w:usb3="00000000" w:csb0="200101FF" w:csb1="20280000"/>
  </w:font>
  <w:font w:name="Liberation Sans">
    <w:panose1 w:val="020B0604020202020204"/>
    <w:charset w:val="00"/>
    <w:family w:val="auto"/>
    <w:pitch w:val="default"/>
    <w:sig w:usb0="A00002AF" w:usb1="5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LiberationSans">
    <w:altName w:val="仿宋_GB2312"/>
    <w:panose1 w:val="00000000000000000000"/>
    <w:charset w:val="00"/>
    <w:family w:val="roman"/>
    <w:pitch w:val="default"/>
    <w:sig w:usb0="00000000" w:usb1="00000000" w:usb2="00000000" w:usb3="00000000" w:csb0="00000000" w:csb1="00000000"/>
  </w:font>
  <w:font w:name="国标宋体-超大字符集">
    <w:panose1 w:val="03000509000000000000"/>
    <w:charset w:val="86"/>
    <w:family w:val="auto"/>
    <w:pitch w:val="default"/>
    <w:sig w:usb0="00000001" w:usb1="08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48180">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14:paraId="33A8E9D6">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2FB91">
    <w:pPr>
      <w:rPr>
        <w:rFonts w:hint="eastAsia"/>
      </w:rPr>
    </w:pPr>
  </w:p>
  <w:p w14:paraId="22C9EDED">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2E5BC">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47736">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6E5E354C">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8E7AA">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73BA3">
    <w:pPr>
      <w:rPr>
        <w:rFonts w:hint="eastAsia"/>
      </w:rPr>
    </w:pPr>
  </w:p>
  <w:p w14:paraId="5747B215">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BAA9F">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BFFF3F34"/>
    <w:multiLevelType w:val="singleLevel"/>
    <w:tmpl w:val="BFFF3F34"/>
    <w:lvl w:ilvl="0" w:tentative="0">
      <w:start w:val="3"/>
      <w:numFmt w:val="decimal"/>
      <w:suff w:val="nothing"/>
      <w:lvlText w:val="%1、"/>
      <w:lvlJc w:val="left"/>
    </w:lvl>
  </w:abstractNum>
  <w:abstractNum w:abstractNumId="2">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4">
    <w:nsid w:val="73CF2087"/>
    <w:multiLevelType w:val="multilevel"/>
    <w:tmpl w:val="73CF2087"/>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NhYmEzMTNhMjdkYThkNDYyOTNhN2M4MTNhMDJiODcifQ=="/>
  </w:docVars>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41"/>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3626"/>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5AE5"/>
    <w:rsid w:val="000B642F"/>
    <w:rsid w:val="000B6C99"/>
    <w:rsid w:val="000C3F3C"/>
    <w:rsid w:val="000C5A75"/>
    <w:rsid w:val="000C75F7"/>
    <w:rsid w:val="000D0AB2"/>
    <w:rsid w:val="000D225C"/>
    <w:rsid w:val="000D36F2"/>
    <w:rsid w:val="000D4B26"/>
    <w:rsid w:val="000D74DB"/>
    <w:rsid w:val="000D7BDC"/>
    <w:rsid w:val="000E05CD"/>
    <w:rsid w:val="000E1F6D"/>
    <w:rsid w:val="000E24D6"/>
    <w:rsid w:val="000E6072"/>
    <w:rsid w:val="000E6D61"/>
    <w:rsid w:val="000E7A23"/>
    <w:rsid w:val="000F1C29"/>
    <w:rsid w:val="000F1E9E"/>
    <w:rsid w:val="000F2B10"/>
    <w:rsid w:val="000F3E3A"/>
    <w:rsid w:val="000F3F72"/>
    <w:rsid w:val="000F4DEC"/>
    <w:rsid w:val="00100037"/>
    <w:rsid w:val="00100982"/>
    <w:rsid w:val="00100F62"/>
    <w:rsid w:val="001031EA"/>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AC"/>
    <w:rsid w:val="00137AC6"/>
    <w:rsid w:val="00145512"/>
    <w:rsid w:val="001465BD"/>
    <w:rsid w:val="001472D0"/>
    <w:rsid w:val="00147B45"/>
    <w:rsid w:val="00150803"/>
    <w:rsid w:val="00151D83"/>
    <w:rsid w:val="001546C9"/>
    <w:rsid w:val="00154FAE"/>
    <w:rsid w:val="00155E77"/>
    <w:rsid w:val="00156A70"/>
    <w:rsid w:val="00160A61"/>
    <w:rsid w:val="00160FC0"/>
    <w:rsid w:val="0016429B"/>
    <w:rsid w:val="00164525"/>
    <w:rsid w:val="00164C50"/>
    <w:rsid w:val="00165CB2"/>
    <w:rsid w:val="00166767"/>
    <w:rsid w:val="001707CB"/>
    <w:rsid w:val="00171477"/>
    <w:rsid w:val="00172A1A"/>
    <w:rsid w:val="00173251"/>
    <w:rsid w:val="00176BED"/>
    <w:rsid w:val="0017759D"/>
    <w:rsid w:val="001804A5"/>
    <w:rsid w:val="00181C94"/>
    <w:rsid w:val="00182B98"/>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2AC1"/>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1B8F"/>
    <w:rsid w:val="00252457"/>
    <w:rsid w:val="00252581"/>
    <w:rsid w:val="002535B5"/>
    <w:rsid w:val="002538CB"/>
    <w:rsid w:val="002542BD"/>
    <w:rsid w:val="00255995"/>
    <w:rsid w:val="0025774E"/>
    <w:rsid w:val="00257D64"/>
    <w:rsid w:val="0026340A"/>
    <w:rsid w:val="002654EA"/>
    <w:rsid w:val="002704EA"/>
    <w:rsid w:val="0027061A"/>
    <w:rsid w:val="002719CC"/>
    <w:rsid w:val="002730C5"/>
    <w:rsid w:val="0027337C"/>
    <w:rsid w:val="0027602B"/>
    <w:rsid w:val="00277F5E"/>
    <w:rsid w:val="00280084"/>
    <w:rsid w:val="00280490"/>
    <w:rsid w:val="002827FE"/>
    <w:rsid w:val="00283455"/>
    <w:rsid w:val="002860B8"/>
    <w:rsid w:val="0029206E"/>
    <w:rsid w:val="00293382"/>
    <w:rsid w:val="00294F51"/>
    <w:rsid w:val="002A2342"/>
    <w:rsid w:val="002A279E"/>
    <w:rsid w:val="002A4FA3"/>
    <w:rsid w:val="002B3606"/>
    <w:rsid w:val="002B3D80"/>
    <w:rsid w:val="002B4402"/>
    <w:rsid w:val="002B4946"/>
    <w:rsid w:val="002B4C41"/>
    <w:rsid w:val="002B588D"/>
    <w:rsid w:val="002B6412"/>
    <w:rsid w:val="002B74D8"/>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6420"/>
    <w:rsid w:val="002E748B"/>
    <w:rsid w:val="002F2002"/>
    <w:rsid w:val="002F335D"/>
    <w:rsid w:val="002F3F85"/>
    <w:rsid w:val="002F4E32"/>
    <w:rsid w:val="002F4F9E"/>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27C48"/>
    <w:rsid w:val="003315D7"/>
    <w:rsid w:val="00334DE6"/>
    <w:rsid w:val="0033536D"/>
    <w:rsid w:val="003353FF"/>
    <w:rsid w:val="003366D2"/>
    <w:rsid w:val="00337C79"/>
    <w:rsid w:val="00337FEF"/>
    <w:rsid w:val="0034084C"/>
    <w:rsid w:val="00340D5E"/>
    <w:rsid w:val="003420B5"/>
    <w:rsid w:val="00343646"/>
    <w:rsid w:val="00344CCB"/>
    <w:rsid w:val="00345897"/>
    <w:rsid w:val="003475A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3E3D"/>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004"/>
    <w:rsid w:val="003A317E"/>
    <w:rsid w:val="003A3183"/>
    <w:rsid w:val="003A345B"/>
    <w:rsid w:val="003A49EE"/>
    <w:rsid w:val="003A674D"/>
    <w:rsid w:val="003A7123"/>
    <w:rsid w:val="003B102E"/>
    <w:rsid w:val="003B2167"/>
    <w:rsid w:val="003B5F5D"/>
    <w:rsid w:val="003B62C8"/>
    <w:rsid w:val="003B7356"/>
    <w:rsid w:val="003C0C62"/>
    <w:rsid w:val="003C12DC"/>
    <w:rsid w:val="003C2CDA"/>
    <w:rsid w:val="003C39BF"/>
    <w:rsid w:val="003C6D34"/>
    <w:rsid w:val="003D000A"/>
    <w:rsid w:val="003D31E9"/>
    <w:rsid w:val="003D544E"/>
    <w:rsid w:val="003D573B"/>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88F"/>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16F6"/>
    <w:rsid w:val="004658B0"/>
    <w:rsid w:val="00465D8B"/>
    <w:rsid w:val="0046614B"/>
    <w:rsid w:val="00467FD7"/>
    <w:rsid w:val="00470073"/>
    <w:rsid w:val="00472779"/>
    <w:rsid w:val="004730F8"/>
    <w:rsid w:val="00474353"/>
    <w:rsid w:val="00474555"/>
    <w:rsid w:val="004750F4"/>
    <w:rsid w:val="00476CB1"/>
    <w:rsid w:val="00480A48"/>
    <w:rsid w:val="00482501"/>
    <w:rsid w:val="00482E7D"/>
    <w:rsid w:val="00484395"/>
    <w:rsid w:val="004865FB"/>
    <w:rsid w:val="00486C03"/>
    <w:rsid w:val="00491AB3"/>
    <w:rsid w:val="0049651C"/>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3C0B"/>
    <w:rsid w:val="004F449F"/>
    <w:rsid w:val="004F4E7E"/>
    <w:rsid w:val="004F5BC5"/>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33E"/>
    <w:rsid w:val="00546A43"/>
    <w:rsid w:val="00546C70"/>
    <w:rsid w:val="00547258"/>
    <w:rsid w:val="00550CF0"/>
    <w:rsid w:val="005559FE"/>
    <w:rsid w:val="005560D6"/>
    <w:rsid w:val="00556D07"/>
    <w:rsid w:val="005570FB"/>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1D5B"/>
    <w:rsid w:val="0058202F"/>
    <w:rsid w:val="00584221"/>
    <w:rsid w:val="00584EB6"/>
    <w:rsid w:val="00586B68"/>
    <w:rsid w:val="0058774E"/>
    <w:rsid w:val="005878CF"/>
    <w:rsid w:val="00590CA0"/>
    <w:rsid w:val="00595B01"/>
    <w:rsid w:val="00596D98"/>
    <w:rsid w:val="005979A5"/>
    <w:rsid w:val="005A0021"/>
    <w:rsid w:val="005A017B"/>
    <w:rsid w:val="005A2AEC"/>
    <w:rsid w:val="005A2C37"/>
    <w:rsid w:val="005A412D"/>
    <w:rsid w:val="005A5212"/>
    <w:rsid w:val="005B002D"/>
    <w:rsid w:val="005B0FFF"/>
    <w:rsid w:val="005B19AF"/>
    <w:rsid w:val="005B258C"/>
    <w:rsid w:val="005B61DD"/>
    <w:rsid w:val="005B6735"/>
    <w:rsid w:val="005B7831"/>
    <w:rsid w:val="005C0CD6"/>
    <w:rsid w:val="005C12D9"/>
    <w:rsid w:val="005C2146"/>
    <w:rsid w:val="005C309D"/>
    <w:rsid w:val="005C47D8"/>
    <w:rsid w:val="005C5098"/>
    <w:rsid w:val="005C544B"/>
    <w:rsid w:val="005C5916"/>
    <w:rsid w:val="005C5AEE"/>
    <w:rsid w:val="005C774A"/>
    <w:rsid w:val="005C78D5"/>
    <w:rsid w:val="005D3734"/>
    <w:rsid w:val="005D4937"/>
    <w:rsid w:val="005D4F16"/>
    <w:rsid w:val="005D5A53"/>
    <w:rsid w:val="005D5DA0"/>
    <w:rsid w:val="005D7FBD"/>
    <w:rsid w:val="005E0280"/>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1EE"/>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6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2F5B"/>
    <w:rsid w:val="006F3BEC"/>
    <w:rsid w:val="00703C00"/>
    <w:rsid w:val="007057CC"/>
    <w:rsid w:val="00706255"/>
    <w:rsid w:val="007066F2"/>
    <w:rsid w:val="00706AE5"/>
    <w:rsid w:val="0070740A"/>
    <w:rsid w:val="00707CFB"/>
    <w:rsid w:val="00710345"/>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55D3F"/>
    <w:rsid w:val="00760451"/>
    <w:rsid w:val="00761BA6"/>
    <w:rsid w:val="00764C70"/>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23EE"/>
    <w:rsid w:val="007C3773"/>
    <w:rsid w:val="007C3F1F"/>
    <w:rsid w:val="007D2D0D"/>
    <w:rsid w:val="007D3325"/>
    <w:rsid w:val="007D3818"/>
    <w:rsid w:val="007D6DC5"/>
    <w:rsid w:val="007D7425"/>
    <w:rsid w:val="007E320E"/>
    <w:rsid w:val="007E3280"/>
    <w:rsid w:val="007E4A02"/>
    <w:rsid w:val="007E595C"/>
    <w:rsid w:val="007E59A5"/>
    <w:rsid w:val="007F26AF"/>
    <w:rsid w:val="007F3B8C"/>
    <w:rsid w:val="007F41D0"/>
    <w:rsid w:val="007F4B8B"/>
    <w:rsid w:val="007F5957"/>
    <w:rsid w:val="007F70B6"/>
    <w:rsid w:val="007F74CA"/>
    <w:rsid w:val="00800F1E"/>
    <w:rsid w:val="0080195A"/>
    <w:rsid w:val="008021E7"/>
    <w:rsid w:val="0080239C"/>
    <w:rsid w:val="00802841"/>
    <w:rsid w:val="008037D5"/>
    <w:rsid w:val="0080432E"/>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228D"/>
    <w:rsid w:val="00863DA1"/>
    <w:rsid w:val="00864FBB"/>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1E9C"/>
    <w:rsid w:val="00932B8B"/>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670E4"/>
    <w:rsid w:val="00972969"/>
    <w:rsid w:val="00973B5D"/>
    <w:rsid w:val="0097755E"/>
    <w:rsid w:val="00981467"/>
    <w:rsid w:val="00981C24"/>
    <w:rsid w:val="009852F6"/>
    <w:rsid w:val="00985DE5"/>
    <w:rsid w:val="00986254"/>
    <w:rsid w:val="0098729E"/>
    <w:rsid w:val="00987854"/>
    <w:rsid w:val="00990067"/>
    <w:rsid w:val="00992977"/>
    <w:rsid w:val="009937D4"/>
    <w:rsid w:val="00993C78"/>
    <w:rsid w:val="009948C7"/>
    <w:rsid w:val="00995850"/>
    <w:rsid w:val="0099796C"/>
    <w:rsid w:val="00997F7C"/>
    <w:rsid w:val="009A194E"/>
    <w:rsid w:val="009A1EA2"/>
    <w:rsid w:val="009A209E"/>
    <w:rsid w:val="009A3B0D"/>
    <w:rsid w:val="009A3FD7"/>
    <w:rsid w:val="009A4D85"/>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50F8"/>
    <w:rsid w:val="00A0679A"/>
    <w:rsid w:val="00A07A2B"/>
    <w:rsid w:val="00A12375"/>
    <w:rsid w:val="00A125B8"/>
    <w:rsid w:val="00A13124"/>
    <w:rsid w:val="00A15370"/>
    <w:rsid w:val="00A156AB"/>
    <w:rsid w:val="00A16B8D"/>
    <w:rsid w:val="00A21293"/>
    <w:rsid w:val="00A2134B"/>
    <w:rsid w:val="00A21623"/>
    <w:rsid w:val="00A220EB"/>
    <w:rsid w:val="00A22256"/>
    <w:rsid w:val="00A22302"/>
    <w:rsid w:val="00A25F1B"/>
    <w:rsid w:val="00A325F3"/>
    <w:rsid w:val="00A33103"/>
    <w:rsid w:val="00A33294"/>
    <w:rsid w:val="00A344A9"/>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64AF6"/>
    <w:rsid w:val="00A7111E"/>
    <w:rsid w:val="00A755B6"/>
    <w:rsid w:val="00A75B1A"/>
    <w:rsid w:val="00A80ED4"/>
    <w:rsid w:val="00A816C4"/>
    <w:rsid w:val="00A82981"/>
    <w:rsid w:val="00A86F10"/>
    <w:rsid w:val="00A87AF2"/>
    <w:rsid w:val="00A90B23"/>
    <w:rsid w:val="00A93193"/>
    <w:rsid w:val="00A93C2B"/>
    <w:rsid w:val="00A94556"/>
    <w:rsid w:val="00A974CB"/>
    <w:rsid w:val="00A979D9"/>
    <w:rsid w:val="00AA1EAC"/>
    <w:rsid w:val="00AA45E2"/>
    <w:rsid w:val="00AA7AC1"/>
    <w:rsid w:val="00AB6327"/>
    <w:rsid w:val="00AB6B8F"/>
    <w:rsid w:val="00AC0C65"/>
    <w:rsid w:val="00AC0FB2"/>
    <w:rsid w:val="00AC3721"/>
    <w:rsid w:val="00AC379D"/>
    <w:rsid w:val="00AC3ADD"/>
    <w:rsid w:val="00AC41C6"/>
    <w:rsid w:val="00AC70C7"/>
    <w:rsid w:val="00AC76B7"/>
    <w:rsid w:val="00AD0223"/>
    <w:rsid w:val="00AD11E7"/>
    <w:rsid w:val="00AD123A"/>
    <w:rsid w:val="00AD15FF"/>
    <w:rsid w:val="00AD1AA5"/>
    <w:rsid w:val="00AD2920"/>
    <w:rsid w:val="00AD2CD5"/>
    <w:rsid w:val="00AD2DFC"/>
    <w:rsid w:val="00AD38C4"/>
    <w:rsid w:val="00AD5A4A"/>
    <w:rsid w:val="00AD60EE"/>
    <w:rsid w:val="00AD6A2B"/>
    <w:rsid w:val="00AD73D4"/>
    <w:rsid w:val="00AE1EA2"/>
    <w:rsid w:val="00AE2874"/>
    <w:rsid w:val="00AE2F98"/>
    <w:rsid w:val="00AE3602"/>
    <w:rsid w:val="00AE5342"/>
    <w:rsid w:val="00AE5987"/>
    <w:rsid w:val="00AE60E4"/>
    <w:rsid w:val="00AE6472"/>
    <w:rsid w:val="00AE7AC1"/>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0EFA"/>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93F46"/>
    <w:rsid w:val="00BA0A14"/>
    <w:rsid w:val="00BA228D"/>
    <w:rsid w:val="00BA2B8E"/>
    <w:rsid w:val="00BA355C"/>
    <w:rsid w:val="00BA398D"/>
    <w:rsid w:val="00BA39D3"/>
    <w:rsid w:val="00BA433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5F2D"/>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BF74D7"/>
    <w:rsid w:val="00C003B4"/>
    <w:rsid w:val="00C00A5F"/>
    <w:rsid w:val="00C042E0"/>
    <w:rsid w:val="00C04B69"/>
    <w:rsid w:val="00C051D9"/>
    <w:rsid w:val="00C06333"/>
    <w:rsid w:val="00C06F68"/>
    <w:rsid w:val="00C075BA"/>
    <w:rsid w:val="00C10A3A"/>
    <w:rsid w:val="00C11140"/>
    <w:rsid w:val="00C11E20"/>
    <w:rsid w:val="00C15D16"/>
    <w:rsid w:val="00C17C84"/>
    <w:rsid w:val="00C20015"/>
    <w:rsid w:val="00C247DD"/>
    <w:rsid w:val="00C25B43"/>
    <w:rsid w:val="00C26A54"/>
    <w:rsid w:val="00C30EEF"/>
    <w:rsid w:val="00C3261C"/>
    <w:rsid w:val="00C3318B"/>
    <w:rsid w:val="00C33C20"/>
    <w:rsid w:val="00C34FDB"/>
    <w:rsid w:val="00C35362"/>
    <w:rsid w:val="00C357EA"/>
    <w:rsid w:val="00C379F8"/>
    <w:rsid w:val="00C37A1C"/>
    <w:rsid w:val="00C42323"/>
    <w:rsid w:val="00C4316E"/>
    <w:rsid w:val="00C453A9"/>
    <w:rsid w:val="00C465D5"/>
    <w:rsid w:val="00C4756A"/>
    <w:rsid w:val="00C47C39"/>
    <w:rsid w:val="00C50649"/>
    <w:rsid w:val="00C50E1F"/>
    <w:rsid w:val="00C51C09"/>
    <w:rsid w:val="00C51C7D"/>
    <w:rsid w:val="00C52BB6"/>
    <w:rsid w:val="00C53471"/>
    <w:rsid w:val="00C55143"/>
    <w:rsid w:val="00C5611B"/>
    <w:rsid w:val="00C5695E"/>
    <w:rsid w:val="00C61528"/>
    <w:rsid w:val="00C63457"/>
    <w:rsid w:val="00C64964"/>
    <w:rsid w:val="00C65A72"/>
    <w:rsid w:val="00C6631E"/>
    <w:rsid w:val="00C67473"/>
    <w:rsid w:val="00C67AA4"/>
    <w:rsid w:val="00C7148C"/>
    <w:rsid w:val="00C72192"/>
    <w:rsid w:val="00C732E5"/>
    <w:rsid w:val="00C73D0B"/>
    <w:rsid w:val="00C75017"/>
    <w:rsid w:val="00C765B4"/>
    <w:rsid w:val="00C813EA"/>
    <w:rsid w:val="00C81496"/>
    <w:rsid w:val="00C81C9A"/>
    <w:rsid w:val="00C82CE6"/>
    <w:rsid w:val="00C82E22"/>
    <w:rsid w:val="00C83BCA"/>
    <w:rsid w:val="00C85144"/>
    <w:rsid w:val="00C86738"/>
    <w:rsid w:val="00C86A27"/>
    <w:rsid w:val="00C91517"/>
    <w:rsid w:val="00C929BD"/>
    <w:rsid w:val="00C931A2"/>
    <w:rsid w:val="00CA02E1"/>
    <w:rsid w:val="00CA15DA"/>
    <w:rsid w:val="00CA1C8D"/>
    <w:rsid w:val="00CA224E"/>
    <w:rsid w:val="00CA41C5"/>
    <w:rsid w:val="00CA42B7"/>
    <w:rsid w:val="00CA4A53"/>
    <w:rsid w:val="00CA51F5"/>
    <w:rsid w:val="00CB218A"/>
    <w:rsid w:val="00CB225A"/>
    <w:rsid w:val="00CB69E6"/>
    <w:rsid w:val="00CB761B"/>
    <w:rsid w:val="00CC13DF"/>
    <w:rsid w:val="00CC1EEE"/>
    <w:rsid w:val="00CC33A1"/>
    <w:rsid w:val="00CC562B"/>
    <w:rsid w:val="00CC6C15"/>
    <w:rsid w:val="00CC7FCF"/>
    <w:rsid w:val="00CD2749"/>
    <w:rsid w:val="00CD2A60"/>
    <w:rsid w:val="00CD306F"/>
    <w:rsid w:val="00CD3971"/>
    <w:rsid w:val="00CD3DAB"/>
    <w:rsid w:val="00CD408D"/>
    <w:rsid w:val="00CE0DF1"/>
    <w:rsid w:val="00CE14DF"/>
    <w:rsid w:val="00CE3786"/>
    <w:rsid w:val="00CE4027"/>
    <w:rsid w:val="00CE47CC"/>
    <w:rsid w:val="00CE68F6"/>
    <w:rsid w:val="00CE7E27"/>
    <w:rsid w:val="00CF22AC"/>
    <w:rsid w:val="00CF2F0A"/>
    <w:rsid w:val="00CF756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0C5A"/>
    <w:rsid w:val="00D212B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52F"/>
    <w:rsid w:val="00D4186F"/>
    <w:rsid w:val="00D41C76"/>
    <w:rsid w:val="00D41DD8"/>
    <w:rsid w:val="00D41E5D"/>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0DC7"/>
    <w:rsid w:val="00D618D6"/>
    <w:rsid w:val="00D62426"/>
    <w:rsid w:val="00D62804"/>
    <w:rsid w:val="00D70F55"/>
    <w:rsid w:val="00D70FA5"/>
    <w:rsid w:val="00D74171"/>
    <w:rsid w:val="00D7474C"/>
    <w:rsid w:val="00D8032C"/>
    <w:rsid w:val="00D80CE2"/>
    <w:rsid w:val="00D83080"/>
    <w:rsid w:val="00D84D5F"/>
    <w:rsid w:val="00D851E2"/>
    <w:rsid w:val="00D86652"/>
    <w:rsid w:val="00D877E0"/>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0C5A"/>
    <w:rsid w:val="00DB1BC2"/>
    <w:rsid w:val="00DB1CBB"/>
    <w:rsid w:val="00DB31ED"/>
    <w:rsid w:val="00DB3577"/>
    <w:rsid w:val="00DB4124"/>
    <w:rsid w:val="00DB4511"/>
    <w:rsid w:val="00DB4F0C"/>
    <w:rsid w:val="00DB5B06"/>
    <w:rsid w:val="00DB5C24"/>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0C7A"/>
    <w:rsid w:val="00DF10B1"/>
    <w:rsid w:val="00DF1FDA"/>
    <w:rsid w:val="00DF3DD0"/>
    <w:rsid w:val="00DF4D50"/>
    <w:rsid w:val="00DF538C"/>
    <w:rsid w:val="00E021C2"/>
    <w:rsid w:val="00E024A3"/>
    <w:rsid w:val="00E0423D"/>
    <w:rsid w:val="00E05716"/>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417B"/>
    <w:rsid w:val="00E64814"/>
    <w:rsid w:val="00E655E5"/>
    <w:rsid w:val="00E65F4E"/>
    <w:rsid w:val="00E662E0"/>
    <w:rsid w:val="00E67D5D"/>
    <w:rsid w:val="00E71C7A"/>
    <w:rsid w:val="00E73119"/>
    <w:rsid w:val="00E73E1E"/>
    <w:rsid w:val="00E76767"/>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9CB"/>
    <w:rsid w:val="00EB3E49"/>
    <w:rsid w:val="00EB5FC3"/>
    <w:rsid w:val="00EB6DA9"/>
    <w:rsid w:val="00EC0336"/>
    <w:rsid w:val="00EC1561"/>
    <w:rsid w:val="00EC462E"/>
    <w:rsid w:val="00EC67F4"/>
    <w:rsid w:val="00EC6CD8"/>
    <w:rsid w:val="00EC786F"/>
    <w:rsid w:val="00ED1866"/>
    <w:rsid w:val="00ED3134"/>
    <w:rsid w:val="00ED38E2"/>
    <w:rsid w:val="00ED4B8F"/>
    <w:rsid w:val="00ED5C44"/>
    <w:rsid w:val="00ED5C65"/>
    <w:rsid w:val="00ED635B"/>
    <w:rsid w:val="00EE742D"/>
    <w:rsid w:val="00EF0A22"/>
    <w:rsid w:val="00EF1267"/>
    <w:rsid w:val="00EF180C"/>
    <w:rsid w:val="00EF3B6B"/>
    <w:rsid w:val="00EF4B43"/>
    <w:rsid w:val="00EF56BB"/>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0DC1"/>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5BBD"/>
    <w:rsid w:val="00FC6FE1"/>
    <w:rsid w:val="00FD0C3D"/>
    <w:rsid w:val="00FD2F6B"/>
    <w:rsid w:val="00FD78AD"/>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10D604C6"/>
    <w:rsid w:val="11B515E0"/>
    <w:rsid w:val="13A53267"/>
    <w:rsid w:val="13F970D2"/>
    <w:rsid w:val="14AA4136"/>
    <w:rsid w:val="163A420B"/>
    <w:rsid w:val="19413B26"/>
    <w:rsid w:val="1C6D3688"/>
    <w:rsid w:val="1CC63D0A"/>
    <w:rsid w:val="1DC2081A"/>
    <w:rsid w:val="1DD94266"/>
    <w:rsid w:val="1F9D0947"/>
    <w:rsid w:val="1FFB29C6"/>
    <w:rsid w:val="202407D3"/>
    <w:rsid w:val="22AF3620"/>
    <w:rsid w:val="22E70AD4"/>
    <w:rsid w:val="24F1508D"/>
    <w:rsid w:val="266F634F"/>
    <w:rsid w:val="291059EA"/>
    <w:rsid w:val="2BBF12EC"/>
    <w:rsid w:val="2BC649D9"/>
    <w:rsid w:val="3515160D"/>
    <w:rsid w:val="3C7D00D8"/>
    <w:rsid w:val="3CA06C0C"/>
    <w:rsid w:val="3EA25851"/>
    <w:rsid w:val="3F6C3757"/>
    <w:rsid w:val="405D6A10"/>
    <w:rsid w:val="41DA6594"/>
    <w:rsid w:val="444C1A75"/>
    <w:rsid w:val="44A3526F"/>
    <w:rsid w:val="44B032F4"/>
    <w:rsid w:val="457D25F7"/>
    <w:rsid w:val="468341CD"/>
    <w:rsid w:val="472C2589"/>
    <w:rsid w:val="4A760AEB"/>
    <w:rsid w:val="4F3162CA"/>
    <w:rsid w:val="50D95873"/>
    <w:rsid w:val="526102AF"/>
    <w:rsid w:val="528444DA"/>
    <w:rsid w:val="537745D5"/>
    <w:rsid w:val="552306F6"/>
    <w:rsid w:val="56E352D5"/>
    <w:rsid w:val="57E435FE"/>
    <w:rsid w:val="582D0655"/>
    <w:rsid w:val="58FEEC14"/>
    <w:rsid w:val="5951205C"/>
    <w:rsid w:val="59D079E8"/>
    <w:rsid w:val="59D40847"/>
    <w:rsid w:val="5AE37F25"/>
    <w:rsid w:val="5CB23D47"/>
    <w:rsid w:val="5D6D7705"/>
    <w:rsid w:val="5D9F6779"/>
    <w:rsid w:val="5FAF09C4"/>
    <w:rsid w:val="608C4642"/>
    <w:rsid w:val="62795572"/>
    <w:rsid w:val="6497424B"/>
    <w:rsid w:val="64DD6417"/>
    <w:rsid w:val="66004745"/>
    <w:rsid w:val="6A567F20"/>
    <w:rsid w:val="6CD97953"/>
    <w:rsid w:val="6ED30FD7"/>
    <w:rsid w:val="6FFAEAA4"/>
    <w:rsid w:val="700B5AAA"/>
    <w:rsid w:val="727D78FD"/>
    <w:rsid w:val="73CC655F"/>
    <w:rsid w:val="75957445"/>
    <w:rsid w:val="75D01AE1"/>
    <w:rsid w:val="77524363"/>
    <w:rsid w:val="77B917B5"/>
    <w:rsid w:val="78703975"/>
    <w:rsid w:val="7BE420FD"/>
    <w:rsid w:val="7D0D296B"/>
    <w:rsid w:val="7D4E0B54"/>
    <w:rsid w:val="7D503E78"/>
    <w:rsid w:val="7E0160D4"/>
    <w:rsid w:val="7EB5FFCD"/>
    <w:rsid w:val="7FBFFFB2"/>
    <w:rsid w:val="B7EF62A7"/>
    <w:rsid w:val="BDF5B755"/>
    <w:rsid w:val="BEFEFC8C"/>
    <w:rsid w:val="BF9CC3E0"/>
    <w:rsid w:val="D5FBA20B"/>
    <w:rsid w:val="DBFB32F1"/>
    <w:rsid w:val="FF7FB78F"/>
    <w:rsid w:val="FFCF8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9"/>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9"/>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9"/>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9"/>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9"/>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35"/>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35"/>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可研正文"/>
    <w:basedOn w:val="1"/>
    <w:link w:val="135"/>
    <w:qFormat/>
    <w:uiPriority w:val="0"/>
    <w:pPr>
      <w:ind w:firstLine="200"/>
    </w:pPr>
    <w:rPr>
      <w:rFonts w:ascii="仿宋" w:hAnsi="仿宋" w:eastAsia="仿宋" w:cstheme="minorBidi"/>
      <w:sz w:val="28"/>
      <w:szCs w:val="28"/>
    </w:rPr>
  </w:style>
  <w:style w:type="character" w:customStyle="1" w:styleId="135">
    <w:name w:val="可研正文 Char"/>
    <w:link w:val="134"/>
    <w:qFormat/>
    <w:uiPriority w:val="0"/>
    <w:rPr>
      <w:rFonts w:ascii="仿宋" w:hAnsi="仿宋" w:eastAsia="仿宋" w:cstheme="minorBidi"/>
      <w:kern w:val="2"/>
      <w:sz w:val="28"/>
      <w:szCs w:val="28"/>
    </w:rPr>
  </w:style>
  <w:style w:type="paragraph" w:customStyle="1" w:styleId="136">
    <w:name w:val="图片"/>
    <w:basedOn w:val="1"/>
    <w:qFormat/>
    <w:uiPriority w:val="0"/>
    <w:pPr>
      <w:widowControl/>
      <w:ind w:firstLine="600"/>
      <w:jc w:val="center"/>
    </w:pPr>
    <w:rPr>
      <w:rFonts w:hint="eastAsia"/>
      <w:kern w:val="0"/>
      <w:szCs w:val="21"/>
    </w:rPr>
  </w:style>
  <w:style w:type="paragraph" w:customStyle="1" w:styleId="137">
    <w:name w:val="B-表正文"/>
    <w:qFormat/>
    <w:uiPriority w:val="0"/>
    <w:rPr>
      <w:rFonts w:ascii="Times New Roman" w:hAnsi="Times New Roman" w:eastAsia="仿宋" w:cstheme="minorBidi"/>
      <w:kern w:val="2"/>
      <w:sz w:val="21"/>
      <w:szCs w:val="24"/>
      <w:lang w:val="en-US" w:eastAsia="zh-CN" w:bidi="ar-SA"/>
    </w:rPr>
  </w:style>
  <w:style w:type="paragraph" w:customStyle="1" w:styleId="138">
    <w:name w:val="font5"/>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paragraph" w:customStyle="1" w:styleId="139">
    <w:name w:val="xl63"/>
    <w:basedOn w:val="1"/>
    <w:qFormat/>
    <w:uiPriority w:val="0"/>
    <w:pPr>
      <w:widowControl/>
      <w:spacing w:before="100" w:beforeAutospacing="1" w:after="100" w:afterAutospacing="1" w:line="240" w:lineRule="auto"/>
      <w:ind w:firstLine="0" w:firstLineChars="0"/>
      <w:jc w:val="left"/>
    </w:pPr>
    <w:rPr>
      <w:rFonts w:ascii="微软雅黑" w:hAnsi="微软雅黑" w:eastAsia="微软雅黑" w:cs="宋体"/>
      <w:color w:val="000000"/>
      <w:kern w:val="0"/>
      <w:sz w:val="18"/>
      <w:szCs w:val="18"/>
    </w:rPr>
  </w:style>
  <w:style w:type="paragraph" w:customStyle="1" w:styleId="140">
    <w:name w:val="xl6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center"/>
    </w:pPr>
    <w:rPr>
      <w:rFonts w:cs="宋体"/>
      <w:kern w:val="0"/>
    </w:rPr>
  </w:style>
  <w:style w:type="paragraph" w:customStyle="1" w:styleId="141">
    <w:name w:val="font6"/>
    <w:basedOn w:val="1"/>
    <w:qFormat/>
    <w:uiPriority w:val="0"/>
    <w:pPr>
      <w:widowControl/>
      <w:spacing w:before="100" w:beforeAutospacing="1" w:after="100" w:afterAutospacing="1" w:line="240" w:lineRule="auto"/>
      <w:ind w:firstLine="0" w:firstLineChars="0"/>
      <w:jc w:val="left"/>
    </w:pPr>
    <w:rPr>
      <w:rFonts w:ascii="等线" w:hAnsi="等线" w:eastAsia="等线" w:cs="宋体"/>
      <w:b/>
      <w:bCs/>
      <w:kern w:val="0"/>
      <w:sz w:val="18"/>
      <w:szCs w:val="18"/>
    </w:rPr>
  </w:style>
  <w:style w:type="character" w:customStyle="1" w:styleId="142">
    <w:name w:val="fontstyle01"/>
    <w:basedOn w:val="37"/>
    <w:qFormat/>
    <w:uiPriority w:val="0"/>
    <w:rPr>
      <w:rFonts w:hint="eastAsia" w:ascii="宋体" w:hAnsi="宋体" w:eastAsia="宋体"/>
      <w:color w:val="000000"/>
      <w:sz w:val="22"/>
      <w:szCs w:val="22"/>
    </w:rPr>
  </w:style>
  <w:style w:type="character" w:customStyle="1" w:styleId="143">
    <w:name w:val="fontstyle11"/>
    <w:basedOn w:val="37"/>
    <w:qFormat/>
    <w:uiPriority w:val="0"/>
    <w:rPr>
      <w:rFonts w:hint="default" w:ascii="LiberationSans" w:hAnsi="LiberationSans"/>
      <w:color w:val="000000"/>
      <w:sz w:val="22"/>
      <w:szCs w:val="22"/>
    </w:rPr>
  </w:style>
  <w:style w:type="paragraph" w:customStyle="1" w:styleId="144">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272</Pages>
  <Words>2213</Words>
  <Characters>2278</Characters>
  <Lines>1716</Lines>
  <Paragraphs>483</Paragraphs>
  <TotalTime>26</TotalTime>
  <ScaleCrop>false</ScaleCrop>
  <LinksUpToDate>false</LinksUpToDate>
  <CharactersWithSpaces>2280</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2024-12-19T17:28:00Z</dcterms:created>
  <dc:creator>gtig_tzb</dc:creator>
  <cp:lastModifiedBy>user</cp:lastModifiedBy>
  <cp:lastPrinted>2020-08-09T04:08:00Z</cp:lastPrinted>
  <dcterms:modified xsi:type="dcterms:W3CDTF">2025-02-21T10:57:09Z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D6D65847DB7ED386BBD1B267612AA220_43</vt:lpwstr>
  </property>
  <property fmtid="{D5CDD505-2E9C-101B-9397-08002B2CF9AE}" pid="4" name="KSOTemplateDocerSaveRecord">
    <vt:lpwstr>eyJoZGlkIjoiMjNiNGRhYjJhNmEzMzY3MDU5Y2Y5MDM4MmI4Y2I3YjAiLCJ1c2VySWQiOiI0MTU2NTkwNDUifQ==</vt:lpwstr>
  </property>
</Properties>
</file>