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cs="宋体"/>
          <w:sz w:val="48"/>
          <w:szCs w:val="48"/>
        </w:rPr>
      </w:pPr>
    </w:p>
    <w:p>
      <w:pPr>
        <w:ind w:firstLine="0" w:firstLineChars="0"/>
        <w:jc w:val="center"/>
        <w:rPr>
          <w:rFonts w:cs="宋体"/>
          <w:sz w:val="48"/>
          <w:szCs w:val="48"/>
        </w:rPr>
      </w:pPr>
    </w:p>
    <w:p>
      <w:pPr>
        <w:spacing w:line="240" w:lineRule="auto"/>
        <w:ind w:firstLine="883"/>
        <w:jc w:val="center"/>
        <w:rPr>
          <w:rFonts w:cs="宋体"/>
          <w:b/>
          <w:sz w:val="44"/>
          <w:szCs w:val="44"/>
        </w:rPr>
      </w:pPr>
      <w:r>
        <w:rPr>
          <w:rFonts w:hint="eastAsia" w:cs="宋体"/>
          <w:b/>
          <w:sz w:val="44"/>
          <w:szCs w:val="44"/>
        </w:rPr>
        <w:t>上海药品审评核查中心</w:t>
      </w:r>
    </w:p>
    <w:p>
      <w:pPr>
        <w:spacing w:line="240" w:lineRule="auto"/>
        <w:ind w:firstLine="883"/>
        <w:jc w:val="center"/>
        <w:rPr>
          <w:rFonts w:cs="宋体"/>
          <w:b/>
          <w:sz w:val="44"/>
          <w:szCs w:val="44"/>
        </w:rPr>
      </w:pPr>
    </w:p>
    <w:p>
      <w:pPr>
        <w:spacing w:line="240" w:lineRule="auto"/>
        <w:ind w:firstLine="883"/>
        <w:jc w:val="center"/>
        <w:rPr>
          <w:rFonts w:cs="宋体"/>
          <w:b/>
          <w:sz w:val="44"/>
          <w:szCs w:val="44"/>
        </w:rPr>
      </w:pPr>
    </w:p>
    <w:p>
      <w:pPr>
        <w:spacing w:line="240" w:lineRule="auto"/>
        <w:ind w:firstLine="883"/>
        <w:jc w:val="center"/>
        <w:rPr>
          <w:rFonts w:cs="宋体"/>
          <w:b/>
          <w:sz w:val="44"/>
          <w:szCs w:val="44"/>
        </w:rPr>
      </w:pPr>
      <w:r>
        <w:rPr>
          <w:rFonts w:hint="eastAsia" w:cs="宋体"/>
          <w:b/>
          <w:sz w:val="44"/>
          <w:szCs w:val="44"/>
        </w:rPr>
        <w:t>药物临床试验大数据监管平台</w:t>
      </w:r>
    </w:p>
    <w:p>
      <w:pPr>
        <w:spacing w:line="240" w:lineRule="auto"/>
        <w:ind w:firstLine="883"/>
        <w:jc w:val="center"/>
        <w:rPr>
          <w:rFonts w:cs="宋体"/>
          <w:b/>
          <w:sz w:val="44"/>
          <w:szCs w:val="44"/>
        </w:rPr>
      </w:pPr>
      <w:r>
        <w:rPr>
          <w:rFonts w:hint="eastAsia" w:cs="宋体"/>
          <w:b/>
          <w:sz w:val="44"/>
          <w:szCs w:val="44"/>
        </w:rPr>
        <w:t>（升级改造）</w:t>
      </w:r>
    </w:p>
    <w:p>
      <w:pPr>
        <w:spacing w:line="240" w:lineRule="auto"/>
        <w:ind w:firstLine="883"/>
        <w:jc w:val="center"/>
        <w:rPr>
          <w:rFonts w:cs="宋体"/>
          <w:b/>
          <w:sz w:val="44"/>
          <w:szCs w:val="44"/>
        </w:rPr>
      </w:pPr>
    </w:p>
    <w:p>
      <w:pPr>
        <w:spacing w:line="240" w:lineRule="auto"/>
        <w:ind w:firstLine="883"/>
        <w:jc w:val="center"/>
        <w:rPr>
          <w:rFonts w:cs="宋体"/>
          <w:b/>
          <w:sz w:val="44"/>
          <w:szCs w:val="44"/>
        </w:rPr>
      </w:pPr>
    </w:p>
    <w:p>
      <w:pPr>
        <w:spacing w:line="240" w:lineRule="auto"/>
        <w:ind w:firstLine="883"/>
        <w:jc w:val="center"/>
        <w:rPr>
          <w:rFonts w:cs="宋体"/>
          <w:b/>
          <w:sz w:val="44"/>
          <w:szCs w:val="44"/>
        </w:rPr>
      </w:pPr>
    </w:p>
    <w:p>
      <w:pPr>
        <w:spacing w:line="240" w:lineRule="auto"/>
        <w:ind w:firstLine="883"/>
        <w:jc w:val="center"/>
        <w:rPr>
          <w:rFonts w:cs="宋体"/>
          <w:b/>
          <w:sz w:val="44"/>
          <w:szCs w:val="44"/>
        </w:rPr>
      </w:pPr>
    </w:p>
    <w:p>
      <w:pPr>
        <w:spacing w:line="240" w:lineRule="auto"/>
        <w:ind w:firstLine="883"/>
        <w:jc w:val="center"/>
        <w:rPr>
          <w:rFonts w:cs="宋体"/>
          <w:b/>
          <w:sz w:val="44"/>
          <w:szCs w:val="44"/>
        </w:rPr>
      </w:pPr>
    </w:p>
    <w:p>
      <w:pPr>
        <w:spacing w:line="240" w:lineRule="auto"/>
        <w:ind w:firstLine="883"/>
        <w:jc w:val="center"/>
        <w:rPr>
          <w:rFonts w:cs="宋体"/>
          <w:b/>
          <w:sz w:val="44"/>
          <w:szCs w:val="44"/>
        </w:rPr>
      </w:pPr>
      <w:r>
        <w:rPr>
          <w:rFonts w:hint="eastAsia" w:cs="宋体"/>
          <w:b/>
          <w:sz w:val="44"/>
          <w:szCs w:val="44"/>
        </w:rPr>
        <w:t>采购需求</w:t>
      </w:r>
    </w:p>
    <w:p>
      <w:pPr>
        <w:rPr>
          <w:rFonts w:cs="宋体"/>
        </w:rPr>
      </w:pPr>
    </w:p>
    <w:p>
      <w:pPr>
        <w:ind w:firstLine="0" w:firstLineChars="0"/>
        <w:jc w:val="center"/>
        <w:rPr>
          <w:rFonts w:cs="宋体"/>
          <w:sz w:val="52"/>
          <w:szCs w:val="52"/>
        </w:rPr>
      </w:pPr>
    </w:p>
    <w:p>
      <w:pPr>
        <w:ind w:firstLine="0" w:firstLineChars="0"/>
        <w:jc w:val="center"/>
        <w:rPr>
          <w:rFonts w:cs="宋体"/>
          <w:sz w:val="72"/>
          <w:szCs w:val="72"/>
        </w:rPr>
      </w:pPr>
    </w:p>
    <w:p>
      <w:pPr>
        <w:ind w:firstLine="0" w:firstLineChars="0"/>
        <w:jc w:val="center"/>
        <w:rPr>
          <w:rFonts w:cs="宋体"/>
          <w:sz w:val="48"/>
          <w:szCs w:val="48"/>
        </w:rPr>
      </w:pPr>
    </w:p>
    <w:p>
      <w:pPr>
        <w:ind w:firstLine="0" w:firstLineChars="0"/>
        <w:jc w:val="center"/>
        <w:rPr>
          <w:rFonts w:cs="宋体"/>
          <w:sz w:val="52"/>
          <w:szCs w:val="52"/>
        </w:rPr>
      </w:pPr>
    </w:p>
    <w:p>
      <w:pPr>
        <w:ind w:firstLine="1040"/>
        <w:rPr>
          <w:rFonts w:cs="宋体"/>
          <w:sz w:val="52"/>
          <w:szCs w:val="52"/>
        </w:rPr>
      </w:pPr>
    </w:p>
    <w:p>
      <w:pPr>
        <w:rPr>
          <w:rFonts w:cs="宋体"/>
        </w:rPr>
      </w:pPr>
    </w:p>
    <w:p>
      <w:pPr>
        <w:rPr>
          <w:rFonts w:cs="宋体"/>
        </w:rPr>
      </w:pPr>
    </w:p>
    <w:p>
      <w:pPr>
        <w:jc w:val="center"/>
        <w:rPr>
          <w:rFonts w:cs="宋体"/>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pPr>
        <w:pStyle w:val="2"/>
        <w:rPr>
          <w:rFonts w:eastAsia="宋体" w:cs="宋体"/>
        </w:rPr>
      </w:pPr>
      <w:bookmarkStart w:id="0" w:name="_Toc63785461"/>
      <w:r>
        <w:rPr>
          <w:rFonts w:hint="eastAsia" w:eastAsia="宋体" w:cs="宋体"/>
        </w:rPr>
        <w:t>项目概况</w:t>
      </w:r>
      <w:bookmarkEnd w:id="0"/>
    </w:p>
    <w:p>
      <w:pPr>
        <w:pStyle w:val="3"/>
        <w:ind w:left="1200" w:leftChars="0" w:firstLineChars="0"/>
        <w:rPr>
          <w:rFonts w:cs="宋体"/>
        </w:rPr>
      </w:pPr>
      <w:bookmarkStart w:id="1" w:name="_Toc47536644"/>
      <w:bookmarkEnd w:id="1"/>
      <w:bookmarkStart w:id="2" w:name="_Toc47539070"/>
      <w:bookmarkEnd w:id="2"/>
      <w:bookmarkStart w:id="3" w:name="_Toc47533256"/>
      <w:bookmarkEnd w:id="3"/>
      <w:bookmarkStart w:id="4" w:name="_Toc47531634"/>
      <w:bookmarkEnd w:id="4"/>
      <w:bookmarkStart w:id="5" w:name="_Toc47537134"/>
      <w:bookmarkEnd w:id="5"/>
      <w:bookmarkStart w:id="6" w:name="_Toc47532255"/>
      <w:bookmarkEnd w:id="6"/>
      <w:bookmarkStart w:id="7" w:name="_Toc47536272"/>
      <w:bookmarkEnd w:id="7"/>
      <w:bookmarkStart w:id="8" w:name="_Toc47532891"/>
      <w:bookmarkEnd w:id="8"/>
      <w:bookmarkStart w:id="9" w:name="_Toc63785463"/>
      <w:bookmarkStart w:id="10" w:name="_Toc48223882"/>
      <w:r>
        <w:rPr>
          <w:rFonts w:hint="eastAsia" w:cs="宋体"/>
        </w:rPr>
        <w:t>项目背景</w:t>
      </w:r>
    </w:p>
    <w:p>
      <w:pPr>
        <w:spacing w:line="240" w:lineRule="auto"/>
        <w:ind w:firstLine="560"/>
        <w:rPr>
          <w:rFonts w:cs="宋体"/>
          <w:sz w:val="28"/>
        </w:rPr>
      </w:pPr>
      <w:r>
        <w:rPr>
          <w:rFonts w:hint="eastAsia" w:cs="宋体"/>
          <w:sz w:val="28"/>
        </w:rPr>
        <w:t>上海药品审评核查中心信息化工作开展过程中，为有效落实国务院、国家药监局、市委市政府对药品生产监管以及监管系统GCH替代相关政策文件要求，同时贯彻落实全市数字化转型相关政策要求，强化药品监管业务流程，有效推进药品监管业务系统GCH体系升级改造建设，进一步提高药品监管业务体系和监管能力现代化水平，结合上海药品审评核查中心的工作业务实际，特开展本次项目改造。</w:t>
      </w:r>
    </w:p>
    <w:p>
      <w:pPr>
        <w:pStyle w:val="2"/>
        <w:rPr>
          <w:rFonts w:eastAsia="宋体" w:cs="宋体"/>
        </w:rPr>
      </w:pPr>
      <w:r>
        <w:rPr>
          <w:rFonts w:hint="eastAsia" w:eastAsia="宋体" w:cs="宋体"/>
        </w:rPr>
        <w:t>建设目标</w:t>
      </w:r>
      <w:bookmarkEnd w:id="9"/>
      <w:bookmarkEnd w:id="10"/>
    </w:p>
    <w:p>
      <w:pPr>
        <w:pStyle w:val="6"/>
        <w:ind w:firstLine="560"/>
        <w:rPr>
          <w:rFonts w:ascii="宋体" w:hAnsi="宋体" w:eastAsia="宋体"/>
          <w:szCs w:val="24"/>
        </w:rPr>
      </w:pPr>
      <w:r>
        <w:rPr>
          <w:rFonts w:hint="eastAsia" w:ascii="宋体" w:hAnsi="宋体" w:eastAsia="宋体"/>
          <w:szCs w:val="24"/>
        </w:rPr>
        <w:t>本项目升级改造完善模块化的临床药物监管、检查应用系统，升级改造涵盖受试者安全审查、试验数据查询等领域的智慧监管平台，增加标准化数据接口改造模块、药物临床试验机构备案业务模块、临床远程检查子系统等领域的智慧监管平台，加强临床药物监管业务协同，强化临床药物监管信息化建设。</w:t>
      </w:r>
    </w:p>
    <w:p>
      <w:pPr>
        <w:pStyle w:val="6"/>
        <w:ind w:firstLine="560"/>
        <w:rPr>
          <w:rFonts w:ascii="宋体" w:hAnsi="宋体" w:eastAsia="宋体"/>
          <w:szCs w:val="24"/>
        </w:rPr>
      </w:pPr>
      <w:r>
        <w:rPr>
          <w:rFonts w:hint="eastAsia" w:ascii="宋体" w:hAnsi="宋体" w:eastAsia="宋体"/>
          <w:szCs w:val="24"/>
        </w:rPr>
        <w:t>为贯彻落实国务院</w:t>
      </w:r>
      <w:r>
        <w:rPr>
          <w:rFonts w:hint="eastAsia" w:ascii="宋体" w:hAnsi="宋体" w:eastAsia="宋体"/>
        </w:rPr>
        <w:t>“十四五”数字经济发展规划、上海</w:t>
      </w:r>
      <w:r>
        <w:rPr>
          <w:rFonts w:hint="eastAsia" w:ascii="宋体" w:hAnsi="宋体" w:eastAsia="宋体"/>
          <w:szCs w:val="24"/>
        </w:rPr>
        <w:t>上海市委市政府信息化系统GCH替代相关要求，本项目对原有的信息化应用系统进行XC适配改造。</w:t>
      </w:r>
    </w:p>
    <w:p>
      <w:pPr>
        <w:pStyle w:val="2"/>
        <w:rPr>
          <w:rFonts w:eastAsia="宋体" w:cs="宋体"/>
        </w:rPr>
      </w:pPr>
      <w:bookmarkStart w:id="11" w:name="_Toc47532923"/>
      <w:bookmarkEnd w:id="11"/>
      <w:bookmarkStart w:id="12" w:name="_Toc47537166"/>
      <w:bookmarkEnd w:id="12"/>
      <w:bookmarkStart w:id="13" w:name="_Toc47536304"/>
      <w:bookmarkEnd w:id="13"/>
      <w:bookmarkStart w:id="14" w:name="_Toc47539102"/>
      <w:bookmarkEnd w:id="14"/>
      <w:bookmarkStart w:id="15" w:name="_Toc47536676"/>
      <w:bookmarkEnd w:id="15"/>
      <w:bookmarkStart w:id="16" w:name="_Toc47533288"/>
      <w:bookmarkEnd w:id="16"/>
      <w:r>
        <w:rPr>
          <w:rFonts w:hint="eastAsia" w:eastAsia="宋体" w:cs="宋体"/>
        </w:rPr>
        <w:t>项目建设内容</w:t>
      </w:r>
    </w:p>
    <w:p>
      <w:pPr>
        <w:pStyle w:val="3"/>
        <w:ind w:left="1200" w:leftChars="0" w:firstLineChars="0"/>
        <w:rPr>
          <w:rFonts w:cs="宋体"/>
        </w:rPr>
      </w:pPr>
      <w:bookmarkStart w:id="17" w:name="_Hlk140395667"/>
      <w:r>
        <w:rPr>
          <w:rFonts w:hint="eastAsia" w:cs="宋体"/>
        </w:rPr>
        <w:t>现有应用模块的XC适配</w:t>
      </w:r>
    </w:p>
    <w:p>
      <w:pPr>
        <w:pStyle w:val="6"/>
        <w:ind w:firstLine="560"/>
        <w:rPr>
          <w:rFonts w:ascii="宋体" w:hAnsi="宋体" w:eastAsia="宋体"/>
          <w:szCs w:val="24"/>
        </w:rPr>
      </w:pPr>
      <w:r>
        <w:rPr>
          <w:rFonts w:hint="eastAsia" w:ascii="宋体" w:hAnsi="宋体" w:eastAsia="宋体"/>
          <w:szCs w:val="24"/>
        </w:rPr>
        <w:t>对平台的现有应用模块进行XC适配改造，包括</w:t>
      </w:r>
      <w:r>
        <w:rPr>
          <w:rFonts w:hint="eastAsia" w:ascii="宋体" w:hAnsi="宋体" w:eastAsia="宋体"/>
        </w:rPr>
        <w:t>伦理相关审查、合规性审查、受试者安全审查、临床试验过程溯源、生物样本分析、试验药物管理审查、质量管理情况审查、监管部门现场检查数据、综合分析和风险研判预警、系统管理</w:t>
      </w:r>
      <w:r>
        <w:rPr>
          <w:rFonts w:hint="eastAsia" w:ascii="宋体" w:hAnsi="宋体" w:eastAsia="宋体"/>
          <w:szCs w:val="24"/>
        </w:rPr>
        <w:t>等模块，实现现有应用模块的GCH替代。</w:t>
      </w:r>
    </w:p>
    <w:p>
      <w:pPr>
        <w:pStyle w:val="3"/>
        <w:ind w:left="1200" w:leftChars="0" w:firstLineChars="0"/>
        <w:rPr>
          <w:rFonts w:cs="宋体"/>
        </w:rPr>
      </w:pPr>
      <w:r>
        <w:rPr>
          <w:rFonts w:hint="eastAsia" w:cs="宋体"/>
        </w:rPr>
        <w:t>临床试验机构标准管理数据采集分析模块（升级）</w:t>
      </w:r>
    </w:p>
    <w:p>
      <w:pPr>
        <w:pStyle w:val="6"/>
        <w:ind w:firstLine="560"/>
        <w:rPr>
          <w:rFonts w:ascii="宋体" w:hAnsi="宋体" w:eastAsia="宋体"/>
        </w:rPr>
      </w:pPr>
      <w:r>
        <w:rPr>
          <w:rFonts w:hint="eastAsia" w:ascii="宋体" w:hAnsi="宋体" w:eastAsia="宋体"/>
        </w:rPr>
        <w:t>根据项目建设规划目标，需要对原标准化数据接口进行升级改造，建设临床试验机构标准管理数据采集分析模块，覆盖本市具备临床实验管理系统的共20余家临床实验机构。</w:t>
      </w:r>
    </w:p>
    <w:p>
      <w:pPr>
        <w:pStyle w:val="6"/>
        <w:ind w:firstLine="560"/>
        <w:rPr>
          <w:rFonts w:ascii="宋体" w:hAnsi="宋体" w:eastAsia="宋体"/>
        </w:rPr>
      </w:pPr>
      <w:r>
        <w:rPr>
          <w:rFonts w:hint="eastAsia" w:ascii="宋体" w:hAnsi="宋体" w:eastAsia="宋体"/>
        </w:rPr>
        <w:t>配合药审中心完成临床试验机构管理数据集的团标发布。</w:t>
      </w:r>
    </w:p>
    <w:p>
      <w:pPr>
        <w:pStyle w:val="3"/>
        <w:ind w:left="1200" w:leftChars="0" w:firstLineChars="0"/>
        <w:rPr>
          <w:rFonts w:cs="宋体"/>
        </w:rPr>
      </w:pPr>
      <w:r>
        <w:rPr>
          <w:rFonts w:hint="eastAsia" w:cs="宋体"/>
          <w:szCs w:val="24"/>
        </w:rPr>
        <w:t>新建药物临床试验机构备案管理</w:t>
      </w:r>
    </w:p>
    <w:p>
      <w:pPr>
        <w:pStyle w:val="6"/>
        <w:ind w:firstLine="560"/>
        <w:rPr>
          <w:rFonts w:ascii="宋体" w:hAnsi="宋体" w:eastAsia="宋体"/>
        </w:rPr>
      </w:pPr>
      <w:r>
        <w:rPr>
          <w:rFonts w:hint="eastAsia" w:ascii="宋体" w:hAnsi="宋体" w:eastAsia="宋体"/>
        </w:rPr>
        <w:t>结合药物临床试验日常监管和药物临床试验机构备案管理的要求，建立药物临床试验机构备案管理系统，支持临床试验机构进行备案，对临床试验机构开展首次监督检查、日常监督检查业务流程进行管理。</w:t>
      </w:r>
    </w:p>
    <w:p>
      <w:pPr>
        <w:pStyle w:val="6"/>
        <w:ind w:firstLine="560"/>
        <w:rPr>
          <w:rFonts w:ascii="宋体" w:hAnsi="宋体" w:eastAsia="宋体"/>
        </w:rPr>
      </w:pPr>
      <w:r>
        <w:rPr>
          <w:rFonts w:hint="eastAsia" w:ascii="宋体" w:hAnsi="宋体" w:eastAsia="宋体"/>
        </w:rPr>
        <w:t>和上海市药品监督管理局的药械化行政检查管理系统（以下简称：行政检查系统）实现双向实时对接，可以实时接收行政检查系统发布的各类检查任务，也可以实时回推临床试验机构、人员、项目和监管信息。</w:t>
      </w:r>
    </w:p>
    <w:p>
      <w:pPr>
        <w:pStyle w:val="6"/>
        <w:ind w:firstLine="560"/>
        <w:rPr>
          <w:rFonts w:ascii="宋体" w:hAnsi="宋体" w:eastAsia="宋体"/>
        </w:rPr>
      </w:pPr>
      <w:r>
        <w:rPr>
          <w:rFonts w:hint="eastAsia" w:ascii="宋体" w:hAnsi="宋体" w:eastAsia="宋体"/>
        </w:rPr>
        <w:t>移动监管模块要</w:t>
      </w:r>
      <w:r>
        <w:rPr>
          <w:rFonts w:hint="eastAsia" w:ascii="宋体" w:hAnsi="宋体" w:eastAsia="宋体"/>
          <w:color w:val="000000"/>
          <w:kern w:val="0"/>
        </w:rPr>
        <w:t>嵌入市药监局的药品移动监管APP中统一使用。</w:t>
      </w:r>
    </w:p>
    <w:p>
      <w:pPr>
        <w:pStyle w:val="3"/>
        <w:ind w:left="1200" w:leftChars="0" w:firstLineChars="0"/>
        <w:rPr>
          <w:rFonts w:cs="宋体"/>
        </w:rPr>
      </w:pPr>
      <w:r>
        <w:rPr>
          <w:rFonts w:hint="eastAsia" w:cs="宋体"/>
        </w:rPr>
        <w:t>新建</w:t>
      </w:r>
      <w:r>
        <w:rPr>
          <w:rFonts w:hint="eastAsia" w:cs="宋体"/>
          <w:szCs w:val="24"/>
        </w:rPr>
        <w:t>临床远程检查</w:t>
      </w:r>
    </w:p>
    <w:p>
      <w:pPr>
        <w:pStyle w:val="6"/>
        <w:ind w:firstLine="560"/>
        <w:rPr>
          <w:rFonts w:ascii="宋体" w:hAnsi="宋体" w:eastAsia="宋体"/>
        </w:rPr>
      </w:pPr>
      <w:r>
        <w:rPr>
          <w:rFonts w:hint="eastAsia" w:ascii="宋体" w:hAnsi="宋体" w:eastAsia="宋体"/>
        </w:rPr>
        <w:t>根据以患者为中心的，不局限于传统临床试验实施现场的指导原则，在平台与临床试验机构系统对接的基础上，建立远程检查子系统，提高检查效率，消除数据泄露风险，便于数据追溯。</w:t>
      </w:r>
    </w:p>
    <w:p>
      <w:pPr>
        <w:pStyle w:val="3"/>
        <w:ind w:left="1200" w:leftChars="0" w:firstLineChars="0"/>
        <w:rPr>
          <w:rFonts w:cs="宋体"/>
        </w:rPr>
      </w:pPr>
      <w:r>
        <w:rPr>
          <w:rFonts w:hint="eastAsia" w:cs="宋体"/>
        </w:rPr>
        <w:t>新建</w:t>
      </w:r>
      <w:r>
        <w:rPr>
          <w:rFonts w:hint="eastAsia" w:cs="宋体"/>
          <w:szCs w:val="24"/>
        </w:rPr>
        <w:t>临床试验监管驾驶舱</w:t>
      </w:r>
    </w:p>
    <w:p>
      <w:pPr>
        <w:pStyle w:val="6"/>
        <w:ind w:firstLine="560"/>
        <w:rPr>
          <w:rFonts w:ascii="宋体" w:hAnsi="宋体" w:eastAsia="宋体"/>
        </w:rPr>
      </w:pPr>
      <w:r>
        <w:rPr>
          <w:rFonts w:hint="eastAsia" w:ascii="宋体" w:hAnsi="宋体" w:eastAsia="宋体"/>
        </w:rPr>
        <w:t>建设临床试验监管驾驶舱，在一张屏上展示全市临床试验机构、人员、项目及监管的全部信息，辅助监管人员进行决策分析。</w:t>
      </w:r>
      <w:bookmarkEnd w:id="17"/>
    </w:p>
    <w:p>
      <w:pPr>
        <w:pStyle w:val="2"/>
        <w:rPr>
          <w:rFonts w:eastAsia="宋体" w:cs="宋体"/>
        </w:rPr>
      </w:pPr>
      <w:r>
        <w:rPr>
          <w:rFonts w:hint="eastAsia" w:eastAsia="宋体" w:cs="宋体"/>
        </w:rPr>
        <w:t>项目软件开发清单</w:t>
      </w:r>
    </w:p>
    <w:p>
      <w:pPr>
        <w:pStyle w:val="3"/>
        <w:ind w:left="1200" w:leftChars="0" w:firstLineChars="0"/>
        <w:jc w:val="left"/>
        <w:rPr>
          <w:rFonts w:cs="宋体"/>
        </w:rPr>
      </w:pPr>
      <w:r>
        <w:rPr>
          <w:rFonts w:hint="eastAsia" w:cs="宋体"/>
        </w:rPr>
        <w:t>现有应用模块的XC适配</w:t>
      </w:r>
    </w:p>
    <w:tbl>
      <w:tblPr>
        <w:tblStyle w:val="36"/>
        <w:tblW w:w="4998" w:type="pct"/>
        <w:tblInd w:w="0" w:type="dxa"/>
        <w:tblLayout w:type="fixed"/>
        <w:tblCellMar>
          <w:top w:w="0" w:type="dxa"/>
          <w:left w:w="108" w:type="dxa"/>
          <w:bottom w:w="0" w:type="dxa"/>
          <w:right w:w="108" w:type="dxa"/>
        </w:tblCellMar>
      </w:tblPr>
      <w:tblGrid>
        <w:gridCol w:w="1758"/>
        <w:gridCol w:w="1649"/>
        <w:gridCol w:w="5118"/>
      </w:tblGrid>
      <w:tr>
        <w:tblPrEx>
          <w:tblCellMar>
            <w:top w:w="0" w:type="dxa"/>
            <w:left w:w="108" w:type="dxa"/>
            <w:bottom w:w="0" w:type="dxa"/>
            <w:right w:w="108" w:type="dxa"/>
          </w:tblCellMar>
        </w:tblPrEx>
        <w:trPr>
          <w:trHeight w:val="375" w:hRule="atLeast"/>
        </w:trPr>
        <w:tc>
          <w:tcPr>
            <w:tcW w:w="1031"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color w:val="000000"/>
                <w:sz w:val="28"/>
                <w:szCs w:val="28"/>
              </w:rPr>
            </w:pPr>
            <w:r>
              <w:rPr>
                <w:rStyle w:val="139"/>
                <w:rFonts w:hint="default" w:ascii="宋体" w:hAnsi="宋体" w:eastAsia="宋体" w:cs="宋体"/>
              </w:rPr>
              <w:t>模块名称</w:t>
            </w:r>
          </w:p>
        </w:tc>
        <w:tc>
          <w:tcPr>
            <w:tcW w:w="967"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color w:val="000000"/>
                <w:sz w:val="28"/>
                <w:szCs w:val="28"/>
              </w:rPr>
            </w:pPr>
            <w:r>
              <w:rPr>
                <w:rStyle w:val="139"/>
                <w:rFonts w:hint="default" w:ascii="宋体" w:hAnsi="宋体" w:eastAsia="宋体" w:cs="宋体"/>
              </w:rPr>
              <w:t>功能名称</w:t>
            </w:r>
          </w:p>
        </w:tc>
        <w:tc>
          <w:tcPr>
            <w:tcW w:w="3001"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color w:val="000000"/>
                <w:sz w:val="28"/>
                <w:szCs w:val="28"/>
              </w:rPr>
            </w:pPr>
            <w:r>
              <w:rPr>
                <w:rStyle w:val="139"/>
                <w:rFonts w:hint="default" w:ascii="宋体" w:hAnsi="宋体" w:eastAsia="宋体" w:cs="宋体"/>
              </w:rPr>
              <w:t>功能说明</w:t>
            </w:r>
          </w:p>
        </w:tc>
      </w:tr>
      <w:tr>
        <w:tblPrEx>
          <w:tblCellMar>
            <w:top w:w="0" w:type="dxa"/>
            <w:left w:w="108" w:type="dxa"/>
            <w:bottom w:w="0" w:type="dxa"/>
            <w:right w:w="108" w:type="dxa"/>
          </w:tblCellMar>
        </w:tblPrEx>
        <w:trPr>
          <w:trHeight w:val="405"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受试者安全审查</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受试者管理</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招募、筛选规则验证、知情同意（历次版本）、（严重/非预期）不良事件、试验期间访视记录、合并用药情况、试验出组记录</w:t>
            </w:r>
          </w:p>
        </w:tc>
      </w:tr>
      <w:tr>
        <w:tblPrEx>
          <w:tblCellMar>
            <w:top w:w="0" w:type="dxa"/>
            <w:left w:w="108" w:type="dxa"/>
            <w:bottom w:w="0" w:type="dxa"/>
            <w:right w:w="108" w:type="dxa"/>
          </w:tblCellMar>
        </w:tblPrEx>
        <w:trPr>
          <w:trHeight w:val="750"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伦理审查</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伦理委员会组成和个人档案、历次伦理审查时间、资料清单及版本、伦理委员会会议记录、伦理跟踪审查情况、严重不良事件、方案偏离</w:t>
            </w:r>
          </w:p>
        </w:tc>
      </w:tr>
      <w:tr>
        <w:tblPrEx>
          <w:tblCellMar>
            <w:top w:w="0" w:type="dxa"/>
            <w:left w:w="108" w:type="dxa"/>
            <w:bottom w:w="0" w:type="dxa"/>
            <w:right w:w="108" w:type="dxa"/>
          </w:tblCellMar>
        </w:tblPrEx>
        <w:trPr>
          <w:trHeight w:val="1125"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试验数据审查</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合规性审查</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临床审批情况、机构资质、主要研究者信息、临床试验参与各方信息、临床试验方案（历次版本和日期）、试验类型、合同经费（日期和金额）、合规性规则模块</w:t>
            </w:r>
          </w:p>
        </w:tc>
      </w:tr>
      <w:tr>
        <w:tblPrEx>
          <w:tblCellMar>
            <w:top w:w="0" w:type="dxa"/>
            <w:left w:w="108" w:type="dxa"/>
            <w:bottom w:w="0" w:type="dxa"/>
            <w:right w:w="108" w:type="dxa"/>
          </w:tblCellMar>
        </w:tblPrEx>
        <w:trPr>
          <w:trHeight w:val="1125"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临床试验过程</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时间数据（筛选、入组、随访、出组、数据库锁定）、系统稽查轨迹、异常值警示、试验数据的修改或重测的警示、违反入选/排除标准、访视超窗、违禁合并用药、严重不良事件迟报漏报、系统规则设定及筛查</w:t>
            </w:r>
          </w:p>
        </w:tc>
      </w:tr>
      <w:tr>
        <w:tblPrEx>
          <w:tblCellMar>
            <w:top w:w="0" w:type="dxa"/>
            <w:left w:w="108" w:type="dxa"/>
            <w:bottom w:w="0" w:type="dxa"/>
            <w:right w:w="108" w:type="dxa"/>
          </w:tblCellMar>
        </w:tblPrEx>
        <w:trPr>
          <w:trHeight w:val="375"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生物样本分析</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生物样本采集、预处理、暂存、转运过程合理</w:t>
            </w:r>
          </w:p>
        </w:tc>
      </w:tr>
      <w:tr>
        <w:tblPrEx>
          <w:tblCellMar>
            <w:top w:w="0" w:type="dxa"/>
            <w:left w:w="108" w:type="dxa"/>
            <w:bottom w:w="0" w:type="dxa"/>
            <w:right w:w="108" w:type="dxa"/>
          </w:tblCellMar>
        </w:tblPrEx>
        <w:trPr>
          <w:trHeight w:val="375"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试验药物的管理</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药品出入库单据审查、使用回收管理、时间逻辑判定</w:t>
            </w:r>
          </w:p>
        </w:tc>
      </w:tr>
      <w:tr>
        <w:tblPrEx>
          <w:tblCellMar>
            <w:top w:w="0" w:type="dxa"/>
            <w:left w:w="108" w:type="dxa"/>
            <w:bottom w:w="0" w:type="dxa"/>
            <w:right w:w="108" w:type="dxa"/>
          </w:tblCellMar>
        </w:tblPrEx>
        <w:trPr>
          <w:trHeight w:val="375"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申办者监查稽查情况</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历次监查稽查时间和人员、监查记录、整改反馈情况</w:t>
            </w:r>
          </w:p>
        </w:tc>
      </w:tr>
      <w:tr>
        <w:tblPrEx>
          <w:tblCellMar>
            <w:top w:w="0" w:type="dxa"/>
            <w:left w:w="108" w:type="dxa"/>
            <w:bottom w:w="0" w:type="dxa"/>
            <w:right w:w="108" w:type="dxa"/>
          </w:tblCellMar>
        </w:tblPrEx>
        <w:trPr>
          <w:trHeight w:val="90"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监管部门历次现场检查情况</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历次检查时间和人员、检查记录、整改反馈情况</w:t>
            </w:r>
          </w:p>
        </w:tc>
      </w:tr>
      <w:tr>
        <w:tblPrEx>
          <w:tblCellMar>
            <w:top w:w="0" w:type="dxa"/>
            <w:left w:w="108" w:type="dxa"/>
            <w:bottom w:w="0" w:type="dxa"/>
            <w:right w:w="108" w:type="dxa"/>
          </w:tblCellMar>
        </w:tblPrEx>
        <w:trPr>
          <w:trHeight w:val="750"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数据溯源及痕迹审查</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数据路径管理</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各时间节点的系统稽查轨迹备份、随访及CRF记录时间、检验检查原始记录路径、文档版本及时间</w:t>
            </w:r>
          </w:p>
        </w:tc>
      </w:tr>
      <w:tr>
        <w:tblPrEx>
          <w:tblCellMar>
            <w:top w:w="0" w:type="dxa"/>
            <w:left w:w="108" w:type="dxa"/>
            <w:bottom w:w="0" w:type="dxa"/>
            <w:right w:w="108" w:type="dxa"/>
          </w:tblCellMar>
        </w:tblPrEx>
        <w:trPr>
          <w:trHeight w:val="375"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数据修改日志</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系统修改日志、修改人员及原因</w:t>
            </w:r>
          </w:p>
        </w:tc>
      </w:tr>
      <w:tr>
        <w:tblPrEx>
          <w:tblCellMar>
            <w:top w:w="0" w:type="dxa"/>
            <w:left w:w="108" w:type="dxa"/>
            <w:bottom w:w="0" w:type="dxa"/>
            <w:right w:w="108" w:type="dxa"/>
          </w:tblCellMar>
        </w:tblPrEx>
        <w:trPr>
          <w:trHeight w:val="375" w:hRule="atLeast"/>
        </w:trPr>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风险研判和预警</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大数据预判</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AE及SAE的自动识别采集、多中心数据偏离预警、预警规则管理</w:t>
            </w:r>
          </w:p>
        </w:tc>
      </w:tr>
      <w:tr>
        <w:tblPrEx>
          <w:tblCellMar>
            <w:top w:w="0" w:type="dxa"/>
            <w:left w:w="108" w:type="dxa"/>
            <w:bottom w:w="0" w:type="dxa"/>
            <w:right w:w="108" w:type="dxa"/>
          </w:tblCellMar>
        </w:tblPrEx>
        <w:trPr>
          <w:trHeight w:val="1125" w:hRule="atLeast"/>
        </w:trPr>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标准化接口</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标准化同步接口</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试验项目基本信息接口、受试者基本信息接口、试验项目文件接口、伦理会议结果接口、机构审查接口、伦理审查接口、日志路径及接口、稽查痕迹接口</w:t>
            </w:r>
          </w:p>
        </w:tc>
      </w:tr>
      <w:tr>
        <w:tblPrEx>
          <w:tblCellMar>
            <w:top w:w="0" w:type="dxa"/>
            <w:left w:w="108" w:type="dxa"/>
            <w:bottom w:w="0" w:type="dxa"/>
            <w:right w:w="108" w:type="dxa"/>
          </w:tblCellMar>
        </w:tblPrEx>
        <w:trPr>
          <w:trHeight w:val="405"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系统管理</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账号管理</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账号模块开发、角色权限设置</w:t>
            </w:r>
          </w:p>
        </w:tc>
      </w:tr>
      <w:tr>
        <w:tblPrEx>
          <w:tblCellMar>
            <w:top w:w="0" w:type="dxa"/>
            <w:left w:w="108" w:type="dxa"/>
            <w:bottom w:w="0" w:type="dxa"/>
            <w:right w:w="108" w:type="dxa"/>
          </w:tblCellMar>
        </w:tblPrEx>
        <w:trPr>
          <w:trHeight w:val="405"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多维度查询及统计</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受试者报表、数据及痕迹报表、质控报表、综合查询报表</w:t>
            </w:r>
          </w:p>
        </w:tc>
      </w:tr>
      <w:tr>
        <w:tblPrEx>
          <w:tblCellMar>
            <w:top w:w="0" w:type="dxa"/>
            <w:left w:w="108" w:type="dxa"/>
            <w:bottom w:w="0" w:type="dxa"/>
            <w:right w:w="108" w:type="dxa"/>
          </w:tblCellMar>
        </w:tblPrEx>
        <w:trPr>
          <w:trHeight w:val="375"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jc w:val="center"/>
              <w:rPr>
                <w:rFonts w:cs="宋体"/>
                <w:color w:val="000000"/>
                <w:sz w:val="28"/>
                <w:szCs w:val="28"/>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基础字典库</w:t>
            </w:r>
          </w:p>
        </w:tc>
        <w:tc>
          <w:tcPr>
            <w:tcW w:w="30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备案机构信息、申办方信息、CRO信息、试验基本信息</w:t>
            </w:r>
          </w:p>
        </w:tc>
      </w:tr>
    </w:tbl>
    <w:p>
      <w:pPr>
        <w:ind w:firstLine="0" w:firstLineChars="0"/>
        <w:rPr>
          <w:rFonts w:cs="宋体"/>
        </w:rPr>
      </w:pPr>
    </w:p>
    <w:p>
      <w:pPr>
        <w:pStyle w:val="3"/>
        <w:ind w:left="1200" w:leftChars="0" w:firstLineChars="0"/>
        <w:jc w:val="left"/>
        <w:rPr>
          <w:rFonts w:cs="宋体"/>
        </w:rPr>
      </w:pPr>
      <w:r>
        <w:rPr>
          <w:rFonts w:hint="eastAsia" w:cs="宋体"/>
        </w:rPr>
        <w:t>临床试验机构标准管理数据采集分析模块（升级）</w:t>
      </w:r>
    </w:p>
    <w:tbl>
      <w:tblPr>
        <w:tblStyle w:val="36"/>
        <w:tblW w:w="4998" w:type="pct"/>
        <w:tblInd w:w="0" w:type="dxa"/>
        <w:tblLayout w:type="autofit"/>
        <w:tblCellMar>
          <w:top w:w="0" w:type="dxa"/>
          <w:left w:w="108" w:type="dxa"/>
          <w:bottom w:w="0" w:type="dxa"/>
          <w:right w:w="108" w:type="dxa"/>
        </w:tblCellMar>
      </w:tblPr>
      <w:tblGrid>
        <w:gridCol w:w="2234"/>
        <w:gridCol w:w="6291"/>
      </w:tblGrid>
      <w:tr>
        <w:tblPrEx>
          <w:tblCellMar>
            <w:top w:w="0" w:type="dxa"/>
            <w:left w:w="108" w:type="dxa"/>
            <w:bottom w:w="0" w:type="dxa"/>
            <w:right w:w="108" w:type="dxa"/>
          </w:tblCellMar>
        </w:tblPrEx>
        <w:trPr>
          <w:trHeight w:val="742" w:hRule="atLeast"/>
        </w:trPr>
        <w:tc>
          <w:tcPr>
            <w:tcW w:w="1310"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color w:val="000000"/>
                <w:kern w:val="0"/>
                <w:sz w:val="28"/>
                <w:szCs w:val="28"/>
              </w:rPr>
            </w:pPr>
            <w:r>
              <w:rPr>
                <w:rFonts w:hint="eastAsia" w:cs="宋体"/>
                <w:b/>
                <w:bCs/>
                <w:color w:val="000000"/>
                <w:kern w:val="0"/>
                <w:sz w:val="28"/>
                <w:szCs w:val="28"/>
              </w:rPr>
              <w:t>功能模块名称</w:t>
            </w:r>
          </w:p>
        </w:tc>
        <w:tc>
          <w:tcPr>
            <w:tcW w:w="3689"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562"/>
              <w:jc w:val="center"/>
              <w:textAlignment w:val="center"/>
              <w:rPr>
                <w:rFonts w:cs="宋体"/>
                <w:b/>
                <w:bCs/>
                <w:color w:val="000000"/>
                <w:kern w:val="0"/>
                <w:sz w:val="28"/>
                <w:szCs w:val="28"/>
              </w:rPr>
            </w:pPr>
            <w:r>
              <w:rPr>
                <w:rFonts w:hint="eastAsia" w:cs="宋体"/>
                <w:b/>
                <w:bCs/>
                <w:color w:val="000000"/>
                <w:kern w:val="0"/>
                <w:sz w:val="28"/>
                <w:szCs w:val="28"/>
              </w:rPr>
              <w:t>功能模块说明</w:t>
            </w:r>
          </w:p>
        </w:tc>
      </w:tr>
      <w:tr>
        <w:tblPrEx>
          <w:tblCellMar>
            <w:top w:w="0" w:type="dxa"/>
            <w:left w:w="108" w:type="dxa"/>
            <w:bottom w:w="0" w:type="dxa"/>
            <w:right w:w="108" w:type="dxa"/>
          </w:tblCellMar>
        </w:tblPrEx>
        <w:trPr>
          <w:trHeight w:val="915" w:hRule="atLeast"/>
        </w:trPr>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规范数据集管理</w:t>
            </w:r>
          </w:p>
        </w:tc>
        <w:tc>
          <w:tcPr>
            <w:tcW w:w="36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提供用户进行标准数据集的查看、版本更新、版本审核及文档下载。</w:t>
            </w:r>
          </w:p>
        </w:tc>
      </w:tr>
      <w:tr>
        <w:tblPrEx>
          <w:tblCellMar>
            <w:top w:w="0" w:type="dxa"/>
            <w:left w:w="108" w:type="dxa"/>
            <w:bottom w:w="0" w:type="dxa"/>
            <w:right w:w="108" w:type="dxa"/>
          </w:tblCellMar>
        </w:tblPrEx>
        <w:trPr>
          <w:trHeight w:val="610" w:hRule="atLeast"/>
        </w:trPr>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标准开放接口</w:t>
            </w:r>
          </w:p>
        </w:tc>
        <w:tc>
          <w:tcPr>
            <w:tcW w:w="36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提供机构基本信息上报接口、机构年度报告数据接口、机构专业组数据接口、机构伦理委员会数据接口、近三年项目数据接口，会对企业上报的数据自动校验，确保上报的数据符合监管要求。</w:t>
            </w:r>
            <w:r>
              <w:rPr>
                <w:rFonts w:hint="eastAsia" w:cs="宋体"/>
                <w:color w:val="000000"/>
                <w:kern w:val="0"/>
                <w:sz w:val="28"/>
                <w:szCs w:val="28"/>
              </w:rPr>
              <w:br w:type="textWrapping"/>
            </w:r>
            <w:r>
              <w:rPr>
                <w:rFonts w:hint="eastAsia" w:cs="宋体"/>
                <w:color w:val="000000"/>
                <w:kern w:val="0"/>
                <w:sz w:val="28"/>
                <w:szCs w:val="28"/>
              </w:rPr>
              <w:t>协助全市临床试验机构完成数据对接开发和测试。</w:t>
            </w:r>
          </w:p>
        </w:tc>
      </w:tr>
    </w:tbl>
    <w:p>
      <w:pPr>
        <w:pStyle w:val="3"/>
        <w:ind w:left="1200" w:leftChars="0" w:firstLineChars="0"/>
        <w:jc w:val="left"/>
        <w:rPr>
          <w:rFonts w:cs="宋体"/>
        </w:rPr>
      </w:pPr>
      <w:r>
        <w:rPr>
          <w:rFonts w:hint="eastAsia" w:cs="宋体"/>
        </w:rPr>
        <w:t>新建药物临床试验机构备案管理</w:t>
      </w:r>
    </w:p>
    <w:tbl>
      <w:tblPr>
        <w:tblStyle w:val="36"/>
        <w:tblW w:w="4998" w:type="pct"/>
        <w:tblInd w:w="0" w:type="dxa"/>
        <w:tblLayout w:type="autofit"/>
        <w:tblCellMar>
          <w:top w:w="0" w:type="dxa"/>
          <w:left w:w="108" w:type="dxa"/>
          <w:bottom w:w="0" w:type="dxa"/>
          <w:right w:w="108" w:type="dxa"/>
        </w:tblCellMar>
      </w:tblPr>
      <w:tblGrid>
        <w:gridCol w:w="2309"/>
        <w:gridCol w:w="6216"/>
      </w:tblGrid>
      <w:tr>
        <w:tblPrEx>
          <w:tblCellMar>
            <w:top w:w="0" w:type="dxa"/>
            <w:left w:w="108" w:type="dxa"/>
            <w:bottom w:w="0" w:type="dxa"/>
            <w:right w:w="108" w:type="dxa"/>
          </w:tblCellMar>
        </w:tblPrEx>
        <w:trPr>
          <w:trHeight w:val="90" w:hRule="atLeast"/>
        </w:trPr>
        <w:tc>
          <w:tcPr>
            <w:tcW w:w="1354"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color w:val="000000"/>
                <w:kern w:val="0"/>
                <w:sz w:val="28"/>
                <w:szCs w:val="28"/>
              </w:rPr>
            </w:pPr>
            <w:r>
              <w:rPr>
                <w:rFonts w:hint="eastAsia" w:cs="宋体"/>
                <w:b/>
                <w:bCs/>
                <w:color w:val="000000"/>
                <w:kern w:val="0"/>
                <w:sz w:val="28"/>
                <w:szCs w:val="28"/>
              </w:rPr>
              <w:t>功能模块名称</w:t>
            </w:r>
          </w:p>
        </w:tc>
        <w:tc>
          <w:tcPr>
            <w:tcW w:w="3645"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562"/>
              <w:jc w:val="center"/>
              <w:textAlignment w:val="center"/>
              <w:rPr>
                <w:rFonts w:cs="宋体"/>
                <w:b/>
                <w:bCs/>
                <w:color w:val="000000"/>
                <w:kern w:val="0"/>
                <w:sz w:val="28"/>
                <w:szCs w:val="28"/>
              </w:rPr>
            </w:pPr>
            <w:r>
              <w:rPr>
                <w:rFonts w:hint="eastAsia" w:cs="宋体"/>
                <w:b/>
                <w:bCs/>
                <w:color w:val="000000"/>
                <w:kern w:val="0"/>
                <w:sz w:val="28"/>
                <w:szCs w:val="28"/>
              </w:rPr>
              <w:t>功能模块说明</w:t>
            </w:r>
          </w:p>
        </w:tc>
      </w:tr>
      <w:tr>
        <w:tblPrEx>
          <w:tblCellMar>
            <w:top w:w="0" w:type="dxa"/>
            <w:left w:w="108" w:type="dxa"/>
            <w:bottom w:w="0" w:type="dxa"/>
            <w:right w:w="108" w:type="dxa"/>
          </w:tblCellMar>
        </w:tblPrEx>
        <w:trPr>
          <w:trHeight w:val="678"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机构备案管理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提供用户进行首次备案管理、变更备案管理。</w:t>
            </w:r>
          </w:p>
        </w:tc>
      </w:tr>
      <w:tr>
        <w:tblPrEx>
          <w:tblCellMar>
            <w:top w:w="0" w:type="dxa"/>
            <w:left w:w="108" w:type="dxa"/>
            <w:bottom w:w="0" w:type="dxa"/>
            <w:right w:w="108" w:type="dxa"/>
          </w:tblCellMar>
        </w:tblPrEx>
        <w:trPr>
          <w:trHeight w:val="981"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临床试验机构管理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提供机构查询、机构详情、机构标签管理、机构信息导出等功能</w:t>
            </w:r>
          </w:p>
        </w:tc>
      </w:tr>
      <w:tr>
        <w:tblPrEx>
          <w:tblCellMar>
            <w:top w:w="0" w:type="dxa"/>
            <w:left w:w="108" w:type="dxa"/>
            <w:bottom w:w="0" w:type="dxa"/>
            <w:right w:w="108" w:type="dxa"/>
          </w:tblCellMar>
        </w:tblPrEx>
        <w:trPr>
          <w:trHeight w:val="1305"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临床试验项目管理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提供项目查询、项目详情查看、项目标签管理、项目信息导出等功能</w:t>
            </w:r>
          </w:p>
        </w:tc>
      </w:tr>
      <w:tr>
        <w:tblPrEx>
          <w:tblCellMar>
            <w:top w:w="0" w:type="dxa"/>
            <w:left w:w="108" w:type="dxa"/>
            <w:bottom w:w="0" w:type="dxa"/>
            <w:right w:w="108" w:type="dxa"/>
          </w:tblCellMar>
        </w:tblPrEx>
        <w:trPr>
          <w:trHeight w:val="1065"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机构年度报告管理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提供年度报告查询、年度报告详情查看、报告标签管理和年度报告导出等功能。</w:t>
            </w:r>
          </w:p>
        </w:tc>
      </w:tr>
      <w:tr>
        <w:tblPrEx>
          <w:tblCellMar>
            <w:top w:w="0" w:type="dxa"/>
            <w:left w:w="108" w:type="dxa"/>
            <w:bottom w:w="0" w:type="dxa"/>
            <w:right w:w="108" w:type="dxa"/>
          </w:tblCellMar>
        </w:tblPrEx>
        <w:trPr>
          <w:trHeight w:val="915"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机构专业组管理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提供专业组查询、专业组详情、专业组标签管理和专业组导出等功能。</w:t>
            </w:r>
          </w:p>
        </w:tc>
      </w:tr>
      <w:tr>
        <w:tblPrEx>
          <w:tblCellMar>
            <w:top w:w="0" w:type="dxa"/>
            <w:left w:w="108" w:type="dxa"/>
            <w:bottom w:w="0" w:type="dxa"/>
            <w:right w:w="108" w:type="dxa"/>
          </w:tblCellMar>
        </w:tblPrEx>
        <w:trPr>
          <w:trHeight w:val="1115"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机构伦理委员会管理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提供伦理委员会查询、伦理委员会查询、伦理委员会标签管理及伦理委员会导出等功能。</w:t>
            </w:r>
          </w:p>
        </w:tc>
      </w:tr>
      <w:tr>
        <w:tblPrEx>
          <w:tblCellMar>
            <w:top w:w="0" w:type="dxa"/>
            <w:left w:w="108" w:type="dxa"/>
            <w:bottom w:w="0" w:type="dxa"/>
            <w:right w:w="108" w:type="dxa"/>
          </w:tblCellMar>
        </w:tblPrEx>
        <w:trPr>
          <w:trHeight w:val="1380"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首次监督检查</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sz w:val="28"/>
                <w:szCs w:val="28"/>
              </w:rPr>
              <w:t>提供首次监督检查计划的分派、查询和取消功能，并可以针对检查计划进行检查信息录入。</w:t>
            </w:r>
          </w:p>
        </w:tc>
      </w:tr>
      <w:tr>
        <w:tblPrEx>
          <w:tblCellMar>
            <w:top w:w="0" w:type="dxa"/>
            <w:left w:w="108" w:type="dxa"/>
            <w:bottom w:w="0" w:type="dxa"/>
            <w:right w:w="108" w:type="dxa"/>
          </w:tblCellMar>
        </w:tblPrEx>
        <w:trPr>
          <w:trHeight w:val="652"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日常监督检查</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提供临床试验机构查询和检查信息录入功能。</w:t>
            </w:r>
          </w:p>
        </w:tc>
      </w:tr>
      <w:tr>
        <w:tblPrEx>
          <w:tblCellMar>
            <w:top w:w="0" w:type="dxa"/>
            <w:left w:w="108" w:type="dxa"/>
            <w:bottom w:w="0" w:type="dxa"/>
            <w:right w:w="108" w:type="dxa"/>
          </w:tblCellMar>
        </w:tblPrEx>
        <w:trPr>
          <w:trHeight w:val="915"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检查信息管理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sz w:val="28"/>
                <w:szCs w:val="28"/>
              </w:rPr>
              <w:t>提供</w:t>
            </w:r>
            <w:r>
              <w:rPr>
                <w:rFonts w:hint="eastAsia" w:cs="宋体"/>
                <w:color w:val="000000"/>
                <w:kern w:val="0"/>
                <w:sz w:val="28"/>
                <w:szCs w:val="28"/>
              </w:rPr>
              <w:t>检查信息查询、查看检查信息详情、检查信息审核、检查信息修改、检查信息删除及导出等功能</w:t>
            </w:r>
          </w:p>
        </w:tc>
      </w:tr>
      <w:tr>
        <w:tblPrEx>
          <w:tblCellMar>
            <w:top w:w="0" w:type="dxa"/>
            <w:left w:w="108" w:type="dxa"/>
            <w:bottom w:w="0" w:type="dxa"/>
            <w:right w:w="108" w:type="dxa"/>
          </w:tblCellMar>
        </w:tblPrEx>
        <w:trPr>
          <w:trHeight w:val="402"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专项计划管理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提供专项发布、专项查询、专项修改、查看专项详情及删除和导出功能</w:t>
            </w:r>
          </w:p>
        </w:tc>
      </w:tr>
      <w:tr>
        <w:tblPrEx>
          <w:tblCellMar>
            <w:top w:w="0" w:type="dxa"/>
            <w:left w:w="108" w:type="dxa"/>
            <w:bottom w:w="0" w:type="dxa"/>
            <w:right w:w="108" w:type="dxa"/>
          </w:tblCellMar>
        </w:tblPrEx>
        <w:trPr>
          <w:trHeight w:val="1140"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日常监管计划管理</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sz w:val="28"/>
                <w:szCs w:val="28"/>
              </w:rPr>
              <w:t>提供</w:t>
            </w:r>
            <w:r>
              <w:rPr>
                <w:rFonts w:hint="eastAsia" w:cs="宋体"/>
                <w:color w:val="000000"/>
                <w:kern w:val="0"/>
                <w:sz w:val="28"/>
                <w:szCs w:val="28"/>
              </w:rPr>
              <w:t>日常监管计划创建、日常监管计划查询、日常监管计划修改、日常监管计划删除及日常监管计划导出等功能</w:t>
            </w:r>
          </w:p>
        </w:tc>
      </w:tr>
      <w:tr>
        <w:tblPrEx>
          <w:tblCellMar>
            <w:top w:w="0" w:type="dxa"/>
            <w:left w:w="108" w:type="dxa"/>
            <w:bottom w:w="0" w:type="dxa"/>
            <w:right w:w="108" w:type="dxa"/>
          </w:tblCellMar>
        </w:tblPrEx>
        <w:trPr>
          <w:trHeight w:val="702"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统计分析</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提供临床试验机构统计、临床试验项目统计、检查信息统计、检查条款统计</w:t>
            </w:r>
          </w:p>
        </w:tc>
      </w:tr>
      <w:tr>
        <w:tblPrEx>
          <w:tblCellMar>
            <w:top w:w="0" w:type="dxa"/>
            <w:left w:w="108" w:type="dxa"/>
            <w:bottom w:w="0" w:type="dxa"/>
            <w:right w:w="108" w:type="dxa"/>
          </w:tblCellMar>
        </w:tblPrEx>
        <w:trPr>
          <w:trHeight w:val="1290" w:hRule="atLeast"/>
        </w:trPr>
        <w:tc>
          <w:tcPr>
            <w:tcW w:w="1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移动监管</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为用户统一展示自己需要处理的工作，包括首次监督检查计划、日常监管计划、专项检查计划及录入中的检查等。</w:t>
            </w:r>
          </w:p>
        </w:tc>
      </w:tr>
      <w:tr>
        <w:tblPrEx>
          <w:tblCellMar>
            <w:top w:w="0" w:type="dxa"/>
            <w:left w:w="108" w:type="dxa"/>
            <w:bottom w:w="0" w:type="dxa"/>
            <w:right w:w="108" w:type="dxa"/>
          </w:tblCellMar>
        </w:tblPrEx>
        <w:trPr>
          <w:trHeight w:val="965"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根据用户当前的坐标定位获取周边的临床试验机构，可以快速发起检查。</w:t>
            </w:r>
          </w:p>
        </w:tc>
      </w:tr>
      <w:tr>
        <w:tblPrEx>
          <w:tblCellMar>
            <w:top w:w="0" w:type="dxa"/>
            <w:left w:w="108" w:type="dxa"/>
            <w:bottom w:w="0" w:type="dxa"/>
            <w:right w:w="108" w:type="dxa"/>
          </w:tblCellMar>
        </w:tblPrEx>
        <w:trPr>
          <w:trHeight w:val="1965"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提供用户进行现场检查，可以录入检查人员、检查类型、检查条款、检查情况说明及检查结果等信息，并可以支持为检查条款、检查信息快捷拍摄现场照片。</w:t>
            </w:r>
          </w:p>
        </w:tc>
      </w:tr>
      <w:tr>
        <w:tblPrEx>
          <w:tblCellMar>
            <w:top w:w="0" w:type="dxa"/>
            <w:left w:w="108" w:type="dxa"/>
            <w:bottom w:w="0" w:type="dxa"/>
            <w:right w:w="108" w:type="dxa"/>
          </w:tblCellMar>
        </w:tblPrEx>
        <w:trPr>
          <w:trHeight w:val="965"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提供多人同时在现场进行协同检查，协同检查员只需要录入检查条款即可。</w:t>
            </w:r>
          </w:p>
        </w:tc>
      </w:tr>
      <w:tr>
        <w:tblPrEx>
          <w:tblCellMar>
            <w:top w:w="0" w:type="dxa"/>
            <w:left w:w="108" w:type="dxa"/>
            <w:bottom w:w="0" w:type="dxa"/>
            <w:right w:w="108" w:type="dxa"/>
          </w:tblCellMar>
        </w:tblPrEx>
        <w:trPr>
          <w:trHeight w:val="953"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提供用户完成检查信息录入后自动生成检查文书，并可以通过蓝牙便携式打印机打印。</w:t>
            </w:r>
          </w:p>
        </w:tc>
      </w:tr>
      <w:tr>
        <w:tblPrEx>
          <w:tblCellMar>
            <w:top w:w="0" w:type="dxa"/>
            <w:left w:w="108" w:type="dxa"/>
            <w:bottom w:w="0" w:type="dxa"/>
            <w:right w:w="108" w:type="dxa"/>
          </w:tblCellMar>
        </w:tblPrEx>
        <w:trPr>
          <w:trHeight w:val="940"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提供用户查看自己录入的所有检查信息，可以查看检查信息详情、现场检查照片、打印检查文书等。</w:t>
            </w:r>
          </w:p>
        </w:tc>
      </w:tr>
      <w:tr>
        <w:tblPrEx>
          <w:tblCellMar>
            <w:top w:w="0" w:type="dxa"/>
            <w:left w:w="108" w:type="dxa"/>
            <w:bottom w:w="0" w:type="dxa"/>
            <w:right w:w="108" w:type="dxa"/>
          </w:tblCellMar>
        </w:tblPrEx>
        <w:trPr>
          <w:trHeight w:val="130"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提供用户查询需要自己检查的首次监督检查计划、专项检查计划、日常监管计划，并可以开始现场检查。</w:t>
            </w:r>
          </w:p>
        </w:tc>
      </w:tr>
      <w:tr>
        <w:tblPrEx>
          <w:tblCellMar>
            <w:top w:w="0" w:type="dxa"/>
            <w:left w:w="108" w:type="dxa"/>
            <w:bottom w:w="0" w:type="dxa"/>
            <w:right w:w="108" w:type="dxa"/>
          </w:tblCellMar>
        </w:tblPrEx>
        <w:trPr>
          <w:trHeight w:val="165"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提供用户进行法律法规的查询和查看。</w:t>
            </w:r>
          </w:p>
        </w:tc>
      </w:tr>
      <w:tr>
        <w:tblPrEx>
          <w:tblCellMar>
            <w:top w:w="0" w:type="dxa"/>
            <w:left w:w="108" w:type="dxa"/>
            <w:bottom w:w="0" w:type="dxa"/>
            <w:right w:w="108" w:type="dxa"/>
          </w:tblCellMar>
        </w:tblPrEx>
        <w:trPr>
          <w:trHeight w:val="1565"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提供用户查询临床试验机构，并可以查看机构详情，包括基本信息、人员信息、试验项目信息、历史检查记录等。</w:t>
            </w:r>
          </w:p>
        </w:tc>
      </w:tr>
      <w:tr>
        <w:tblPrEx>
          <w:tblCellMar>
            <w:top w:w="0" w:type="dxa"/>
            <w:left w:w="108" w:type="dxa"/>
            <w:bottom w:w="0" w:type="dxa"/>
            <w:right w:w="108" w:type="dxa"/>
          </w:tblCellMar>
        </w:tblPrEx>
        <w:trPr>
          <w:trHeight w:val="781"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提供用户设置app上的字体大小，适应不同人的使用需要。</w:t>
            </w:r>
          </w:p>
        </w:tc>
      </w:tr>
      <w:tr>
        <w:tblPrEx>
          <w:tblCellMar>
            <w:top w:w="0" w:type="dxa"/>
            <w:left w:w="108" w:type="dxa"/>
            <w:bottom w:w="0" w:type="dxa"/>
            <w:right w:w="108" w:type="dxa"/>
          </w:tblCellMar>
        </w:tblPrEx>
        <w:trPr>
          <w:trHeight w:val="1000" w:hRule="atLeast"/>
        </w:trPr>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cs="宋体"/>
                <w:color w:val="000000"/>
                <w:sz w:val="28"/>
                <w:szCs w:val="28"/>
              </w:rPr>
            </w:pP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提供用户进行蓝牙移动打印机的设置，设置成功后可以打印文书。</w:t>
            </w:r>
          </w:p>
        </w:tc>
      </w:tr>
      <w:tr>
        <w:tblPrEx>
          <w:tblCellMar>
            <w:top w:w="0" w:type="dxa"/>
            <w:left w:w="108" w:type="dxa"/>
            <w:bottom w:w="0" w:type="dxa"/>
            <w:right w:w="108" w:type="dxa"/>
          </w:tblCellMar>
        </w:tblPrEx>
        <w:trPr>
          <w:trHeight w:val="1000" w:hRule="atLeast"/>
        </w:trPr>
        <w:tc>
          <w:tcPr>
            <w:tcW w:w="1354" w:type="pct"/>
            <w:tcBorders>
              <w:top w:val="single" w:color="000000" w:sz="4" w:space="0"/>
              <w:left w:val="single" w:color="000000" w:sz="4" w:space="0"/>
              <w:bottom w:val="single" w:color="auto" w:sz="4" w:space="0"/>
              <w:right w:val="single" w:color="000000" w:sz="4" w:space="0"/>
            </w:tcBorders>
            <w:shd w:val="clear" w:color="auto" w:fill="auto"/>
            <w:vAlign w:val="center"/>
          </w:tcPr>
          <w:p>
            <w:pPr>
              <w:ind w:firstLine="0" w:firstLineChars="0"/>
              <w:rPr>
                <w:rFonts w:cs="宋体"/>
                <w:color w:val="000000"/>
                <w:sz w:val="28"/>
                <w:szCs w:val="28"/>
              </w:rPr>
            </w:pPr>
            <w:r>
              <w:rPr>
                <w:rFonts w:hint="eastAsia" w:cs="宋体"/>
                <w:color w:val="000000"/>
                <w:sz w:val="28"/>
                <w:szCs w:val="28"/>
              </w:rPr>
              <w:t>对接市药监局药品移动监管APP</w:t>
            </w:r>
          </w:p>
        </w:tc>
        <w:tc>
          <w:tcPr>
            <w:tcW w:w="364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移动监管模块要嵌入市药监局药品移动监管APP中统一使用，用户使用市药监局的账号登录药品移动监管APP后再进入临床试验机构移动监管模块进行使用。</w:t>
            </w:r>
          </w:p>
        </w:tc>
      </w:tr>
      <w:tr>
        <w:tblPrEx>
          <w:tblCellMar>
            <w:top w:w="0" w:type="dxa"/>
            <w:left w:w="108" w:type="dxa"/>
            <w:bottom w:w="0" w:type="dxa"/>
            <w:right w:w="108" w:type="dxa"/>
          </w:tblCellMar>
        </w:tblPrEx>
        <w:trPr>
          <w:trHeight w:val="1000" w:hRule="atLeast"/>
        </w:trPr>
        <w:tc>
          <w:tcPr>
            <w:tcW w:w="1354" w:type="pct"/>
            <w:vMerge w:val="restart"/>
            <w:tcBorders>
              <w:top w:val="single" w:color="auto" w:sz="4" w:space="0"/>
              <w:left w:val="single" w:color="auto" w:sz="4" w:space="0"/>
              <w:right w:val="single" w:color="auto" w:sz="4" w:space="0"/>
            </w:tcBorders>
            <w:shd w:val="clear" w:color="auto" w:fill="auto"/>
            <w:vAlign w:val="center"/>
          </w:tcPr>
          <w:p>
            <w:pPr>
              <w:ind w:firstLine="0" w:firstLineChars="0"/>
              <w:rPr>
                <w:rFonts w:cs="宋体"/>
                <w:color w:val="000000"/>
                <w:sz w:val="28"/>
                <w:szCs w:val="28"/>
              </w:rPr>
            </w:pPr>
            <w:r>
              <w:rPr>
                <w:rFonts w:hint="eastAsia" w:cs="宋体"/>
                <w:color w:val="000000"/>
                <w:sz w:val="28"/>
                <w:szCs w:val="28"/>
              </w:rPr>
              <w:t>和市药监局药械化行政检查管理系统双向实时数据对接</w:t>
            </w:r>
          </w:p>
        </w:tc>
        <w:tc>
          <w:tcPr>
            <w:tcW w:w="36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实时接收市药监局药械化行政检查管理系统下发的各类检查任务，包括日常监管计划、专项监管计划和任务转办单等，必须要能接收检查任务对应的详细企业清单。</w:t>
            </w:r>
          </w:p>
        </w:tc>
      </w:tr>
      <w:tr>
        <w:tblPrEx>
          <w:tblCellMar>
            <w:top w:w="0" w:type="dxa"/>
            <w:left w:w="108" w:type="dxa"/>
            <w:bottom w:w="0" w:type="dxa"/>
            <w:right w:w="108" w:type="dxa"/>
          </w:tblCellMar>
        </w:tblPrEx>
        <w:trPr>
          <w:trHeight w:val="1000" w:hRule="atLeast"/>
        </w:trPr>
        <w:tc>
          <w:tcPr>
            <w:tcW w:w="1354" w:type="pct"/>
            <w:vMerge w:val="continue"/>
            <w:tcBorders>
              <w:left w:val="single" w:color="auto" w:sz="4" w:space="0"/>
              <w:right w:val="single" w:color="auto" w:sz="4" w:space="0"/>
            </w:tcBorders>
            <w:shd w:val="clear" w:color="auto" w:fill="auto"/>
            <w:vAlign w:val="center"/>
          </w:tcPr>
          <w:p>
            <w:pPr>
              <w:ind w:firstLine="0" w:firstLineChars="0"/>
              <w:rPr>
                <w:rFonts w:cs="宋体"/>
                <w:color w:val="000000"/>
                <w:sz w:val="28"/>
                <w:szCs w:val="28"/>
              </w:rPr>
            </w:pPr>
          </w:p>
        </w:tc>
        <w:tc>
          <w:tcPr>
            <w:tcW w:w="36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向市药监局药械化行政检查管理系统推送临床试验机构相关信息，包括临床试验机构基本信息、专业组信息、伦理委员会信息、年报信息及临床试验项目信息等。</w:t>
            </w:r>
          </w:p>
        </w:tc>
      </w:tr>
      <w:tr>
        <w:tblPrEx>
          <w:tblCellMar>
            <w:top w:w="0" w:type="dxa"/>
            <w:left w:w="108" w:type="dxa"/>
            <w:bottom w:w="0" w:type="dxa"/>
            <w:right w:w="108" w:type="dxa"/>
          </w:tblCellMar>
        </w:tblPrEx>
        <w:trPr>
          <w:trHeight w:val="656" w:hRule="atLeast"/>
        </w:trPr>
        <w:tc>
          <w:tcPr>
            <w:tcW w:w="1354" w:type="pct"/>
            <w:vMerge w:val="continue"/>
            <w:tcBorders>
              <w:left w:val="single" w:color="auto" w:sz="4" w:space="0"/>
              <w:right w:val="single" w:color="auto" w:sz="4" w:space="0"/>
            </w:tcBorders>
            <w:shd w:val="clear" w:color="auto" w:fill="auto"/>
            <w:vAlign w:val="center"/>
          </w:tcPr>
          <w:p>
            <w:pPr>
              <w:ind w:firstLine="0" w:firstLineChars="0"/>
              <w:rPr>
                <w:rFonts w:cs="宋体"/>
                <w:color w:val="000000"/>
                <w:sz w:val="28"/>
                <w:szCs w:val="28"/>
              </w:rPr>
            </w:pPr>
          </w:p>
        </w:tc>
        <w:tc>
          <w:tcPr>
            <w:tcW w:w="36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实时向市药监局药械化行政检查管理系统回推临床试验机构的监督检查的结果信息，包括临床试验机构、检查日期、检查类型、检查人员、缺陷条款、检查结果、检查报告附件等信息。</w:t>
            </w:r>
          </w:p>
        </w:tc>
      </w:tr>
      <w:tr>
        <w:tblPrEx>
          <w:tblCellMar>
            <w:top w:w="0" w:type="dxa"/>
            <w:left w:w="108" w:type="dxa"/>
            <w:bottom w:w="0" w:type="dxa"/>
            <w:right w:w="108" w:type="dxa"/>
          </w:tblCellMar>
        </w:tblPrEx>
        <w:trPr>
          <w:trHeight w:val="656" w:hRule="atLeast"/>
        </w:trPr>
        <w:tc>
          <w:tcPr>
            <w:tcW w:w="1354" w:type="pct"/>
            <w:vMerge w:val="continue"/>
            <w:tcBorders>
              <w:left w:val="single" w:color="auto" w:sz="4" w:space="0"/>
              <w:bottom w:val="single" w:color="auto" w:sz="4" w:space="0"/>
              <w:right w:val="single" w:color="auto" w:sz="4" w:space="0"/>
            </w:tcBorders>
            <w:shd w:val="clear" w:color="auto" w:fill="auto"/>
            <w:vAlign w:val="center"/>
          </w:tcPr>
          <w:p>
            <w:pPr>
              <w:ind w:firstLine="0" w:firstLineChars="0"/>
              <w:rPr>
                <w:rFonts w:cs="宋体"/>
                <w:color w:val="000000"/>
                <w:sz w:val="28"/>
                <w:szCs w:val="28"/>
              </w:rPr>
            </w:pPr>
          </w:p>
        </w:tc>
        <w:tc>
          <w:tcPr>
            <w:tcW w:w="36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实时向市药监局药械化行政检查管理系统回推检查任务的执行状态和执行结果信息，包括执行人员、执行时间、执行状态和执行结果等信息。</w:t>
            </w:r>
          </w:p>
        </w:tc>
      </w:tr>
      <w:tr>
        <w:tblPrEx>
          <w:tblCellMar>
            <w:top w:w="0" w:type="dxa"/>
            <w:left w:w="108" w:type="dxa"/>
            <w:bottom w:w="0" w:type="dxa"/>
            <w:right w:w="108" w:type="dxa"/>
          </w:tblCellMar>
        </w:tblPrEx>
        <w:trPr>
          <w:trHeight w:val="656" w:hRule="atLeast"/>
        </w:trPr>
        <w:tc>
          <w:tcPr>
            <w:tcW w:w="1354"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cs="宋体"/>
                <w:color w:val="000000"/>
                <w:sz w:val="28"/>
                <w:szCs w:val="28"/>
              </w:rPr>
            </w:pPr>
            <w:r>
              <w:rPr>
                <w:rFonts w:hint="eastAsia" w:cs="宋体"/>
                <w:color w:val="000000"/>
                <w:sz w:val="28"/>
                <w:szCs w:val="28"/>
              </w:rPr>
              <w:t>和综合业务平台双向实时数据对接</w:t>
            </w:r>
          </w:p>
        </w:tc>
        <w:tc>
          <w:tcPr>
            <w:tcW w:w="36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实时接收综合业务平台推送的业务件，在任务件启动办理后能实时回推任务件的办理状态，在任务件办理完成后可以实时回推任务件的办理结果信息。</w:t>
            </w:r>
          </w:p>
        </w:tc>
      </w:tr>
    </w:tbl>
    <w:p>
      <w:pPr>
        <w:pStyle w:val="3"/>
        <w:ind w:left="1200" w:leftChars="0" w:firstLineChars="0"/>
        <w:jc w:val="left"/>
        <w:rPr>
          <w:rFonts w:cs="宋体"/>
        </w:rPr>
      </w:pPr>
      <w:r>
        <w:rPr>
          <w:rFonts w:hint="eastAsia" w:cs="宋体"/>
        </w:rPr>
        <w:t>新建临床远程检查</w:t>
      </w:r>
    </w:p>
    <w:tbl>
      <w:tblPr>
        <w:tblStyle w:val="36"/>
        <w:tblW w:w="4998" w:type="pct"/>
        <w:tblInd w:w="0" w:type="dxa"/>
        <w:tblLayout w:type="autofit"/>
        <w:tblCellMar>
          <w:top w:w="0" w:type="dxa"/>
          <w:left w:w="108" w:type="dxa"/>
          <w:bottom w:w="0" w:type="dxa"/>
          <w:right w:w="108" w:type="dxa"/>
        </w:tblCellMar>
      </w:tblPr>
      <w:tblGrid>
        <w:gridCol w:w="2322"/>
        <w:gridCol w:w="6203"/>
      </w:tblGrid>
      <w:tr>
        <w:tblPrEx>
          <w:tblCellMar>
            <w:top w:w="0" w:type="dxa"/>
            <w:left w:w="108" w:type="dxa"/>
            <w:bottom w:w="0" w:type="dxa"/>
            <w:right w:w="108" w:type="dxa"/>
          </w:tblCellMar>
        </w:tblPrEx>
        <w:trPr>
          <w:trHeight w:val="828" w:hRule="atLeast"/>
        </w:trPr>
        <w:tc>
          <w:tcPr>
            <w:tcW w:w="2322"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color w:val="000000"/>
                <w:kern w:val="0"/>
                <w:sz w:val="28"/>
                <w:szCs w:val="28"/>
              </w:rPr>
            </w:pPr>
            <w:r>
              <w:rPr>
                <w:rFonts w:hint="eastAsia" w:cs="宋体"/>
                <w:b/>
                <w:bCs/>
                <w:color w:val="000000"/>
                <w:kern w:val="0"/>
                <w:sz w:val="28"/>
                <w:szCs w:val="28"/>
              </w:rPr>
              <w:t>功能模块名称</w:t>
            </w:r>
          </w:p>
        </w:tc>
        <w:tc>
          <w:tcPr>
            <w:tcW w:w="620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562"/>
              <w:jc w:val="center"/>
              <w:textAlignment w:val="center"/>
              <w:rPr>
                <w:rFonts w:cs="宋体"/>
                <w:b/>
                <w:bCs/>
                <w:color w:val="000000"/>
                <w:kern w:val="0"/>
                <w:sz w:val="28"/>
                <w:szCs w:val="28"/>
              </w:rPr>
            </w:pPr>
            <w:r>
              <w:rPr>
                <w:rFonts w:hint="eastAsia" w:cs="宋体"/>
                <w:b/>
                <w:bCs/>
                <w:color w:val="000000"/>
                <w:kern w:val="0"/>
                <w:sz w:val="28"/>
                <w:szCs w:val="28"/>
              </w:rPr>
              <w:t>功能模块说明</w:t>
            </w:r>
          </w:p>
        </w:tc>
      </w:tr>
      <w:tr>
        <w:tblPrEx>
          <w:tblCellMar>
            <w:top w:w="0" w:type="dxa"/>
            <w:left w:w="108" w:type="dxa"/>
            <w:bottom w:w="0" w:type="dxa"/>
            <w:right w:w="108" w:type="dxa"/>
          </w:tblCellMar>
        </w:tblPrEx>
        <w:trPr>
          <w:trHeight w:val="135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机构监查系统管理</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提供监查系统新增、登录授权对接、监查系统查询、监查系统修改及监查系统删除等功能。</w:t>
            </w:r>
          </w:p>
        </w:tc>
      </w:tr>
      <w:tr>
        <w:tblPrEx>
          <w:tblCellMar>
            <w:top w:w="0" w:type="dxa"/>
            <w:left w:w="108" w:type="dxa"/>
            <w:bottom w:w="0" w:type="dxa"/>
            <w:right w:w="108" w:type="dxa"/>
          </w:tblCellMar>
        </w:tblPrEx>
        <w:trPr>
          <w:trHeight w:val="48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远程实时检查</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提供临床试验机构查询和</w:t>
            </w:r>
            <w:r>
              <w:rPr>
                <w:rFonts w:hint="eastAsia" w:cs="宋体"/>
                <w:sz w:val="28"/>
                <w:szCs w:val="28"/>
              </w:rPr>
              <w:t>检查痕迹记录</w:t>
            </w:r>
            <w:r>
              <w:rPr>
                <w:rFonts w:hint="eastAsia" w:cs="宋体"/>
                <w:color w:val="000000"/>
                <w:kern w:val="0"/>
                <w:sz w:val="28"/>
                <w:szCs w:val="28"/>
              </w:rPr>
              <w:t>。</w:t>
            </w:r>
          </w:p>
        </w:tc>
      </w:tr>
      <w:tr>
        <w:tblPrEx>
          <w:tblCellMar>
            <w:top w:w="0" w:type="dxa"/>
            <w:left w:w="108" w:type="dxa"/>
            <w:bottom w:w="0" w:type="dxa"/>
            <w:right w:w="108" w:type="dxa"/>
          </w:tblCellMar>
        </w:tblPrEx>
        <w:trPr>
          <w:trHeight w:val="1182"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远程检查管理</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提供检查信息查询、详情查看、检查信息修改、检查信息删除和导出等功能。</w:t>
            </w:r>
          </w:p>
        </w:tc>
      </w:tr>
      <w:tr>
        <w:tblPrEx>
          <w:tblCellMar>
            <w:top w:w="0" w:type="dxa"/>
            <w:left w:w="108" w:type="dxa"/>
            <w:bottom w:w="0" w:type="dxa"/>
            <w:right w:w="108" w:type="dxa"/>
          </w:tblCellMar>
        </w:tblPrEx>
        <w:trPr>
          <w:trHeight w:val="691"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远程检查统计</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提供给检查次数统计、检查时长统计和检查结果统计功能</w:t>
            </w:r>
          </w:p>
        </w:tc>
      </w:tr>
    </w:tbl>
    <w:p>
      <w:pPr>
        <w:pStyle w:val="3"/>
        <w:ind w:left="1200" w:leftChars="0" w:firstLineChars="0"/>
        <w:jc w:val="left"/>
        <w:rPr>
          <w:rFonts w:cs="宋体"/>
        </w:rPr>
      </w:pPr>
      <w:r>
        <w:rPr>
          <w:rFonts w:hint="eastAsia" w:cs="宋体"/>
        </w:rPr>
        <w:t>新建临床试验监管驾驶舱</w:t>
      </w:r>
    </w:p>
    <w:tbl>
      <w:tblPr>
        <w:tblStyle w:val="36"/>
        <w:tblW w:w="4998" w:type="pct"/>
        <w:tblInd w:w="0" w:type="dxa"/>
        <w:tblLayout w:type="autofit"/>
        <w:tblCellMar>
          <w:top w:w="0" w:type="dxa"/>
          <w:left w:w="108" w:type="dxa"/>
          <w:bottom w:w="0" w:type="dxa"/>
          <w:right w:w="108" w:type="dxa"/>
        </w:tblCellMar>
      </w:tblPr>
      <w:tblGrid>
        <w:gridCol w:w="2309"/>
        <w:gridCol w:w="6216"/>
      </w:tblGrid>
      <w:tr>
        <w:tblPrEx>
          <w:tblCellMar>
            <w:top w:w="0" w:type="dxa"/>
            <w:left w:w="108" w:type="dxa"/>
            <w:bottom w:w="0" w:type="dxa"/>
            <w:right w:w="108" w:type="dxa"/>
          </w:tblCellMar>
        </w:tblPrEx>
        <w:trPr>
          <w:trHeight w:val="90" w:hRule="atLeast"/>
        </w:trPr>
        <w:tc>
          <w:tcPr>
            <w:tcW w:w="1354"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color w:val="000000"/>
                <w:kern w:val="0"/>
                <w:sz w:val="28"/>
                <w:szCs w:val="28"/>
              </w:rPr>
            </w:pPr>
            <w:r>
              <w:rPr>
                <w:rFonts w:hint="eastAsia" w:cs="宋体"/>
                <w:b/>
                <w:bCs/>
                <w:color w:val="000000"/>
                <w:kern w:val="0"/>
                <w:sz w:val="28"/>
                <w:szCs w:val="28"/>
              </w:rPr>
              <w:t>功能模块名称</w:t>
            </w:r>
          </w:p>
        </w:tc>
        <w:tc>
          <w:tcPr>
            <w:tcW w:w="3645" w:type="pc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562"/>
              <w:jc w:val="center"/>
              <w:textAlignment w:val="center"/>
              <w:rPr>
                <w:rFonts w:cs="宋体"/>
                <w:b/>
                <w:bCs/>
                <w:color w:val="000000"/>
                <w:kern w:val="0"/>
                <w:sz w:val="28"/>
                <w:szCs w:val="28"/>
              </w:rPr>
            </w:pPr>
            <w:r>
              <w:rPr>
                <w:rFonts w:hint="eastAsia" w:cs="宋体"/>
                <w:b/>
                <w:bCs/>
                <w:color w:val="000000"/>
                <w:kern w:val="0"/>
                <w:sz w:val="28"/>
                <w:szCs w:val="28"/>
              </w:rPr>
              <w:t>功能模块说明</w:t>
            </w:r>
          </w:p>
        </w:tc>
      </w:tr>
      <w:tr>
        <w:tblPrEx>
          <w:tblCellMar>
            <w:top w:w="0" w:type="dxa"/>
            <w:left w:w="108" w:type="dxa"/>
            <w:bottom w:w="0" w:type="dxa"/>
            <w:right w:w="108" w:type="dxa"/>
          </w:tblCellMar>
        </w:tblPrEx>
        <w:trPr>
          <w:trHeight w:val="678"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临床试验机构</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可以分别统计各级临床试验机构数量、各机构的专业组、主要研究者和试验项目；</w:t>
            </w:r>
          </w:p>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可以分别统计各专业的临床试验机构和主要研究者。</w:t>
            </w:r>
          </w:p>
        </w:tc>
      </w:tr>
      <w:tr>
        <w:tblPrEx>
          <w:tblCellMar>
            <w:top w:w="0" w:type="dxa"/>
            <w:left w:w="108" w:type="dxa"/>
            <w:bottom w:w="0" w:type="dxa"/>
            <w:right w:w="108" w:type="dxa"/>
          </w:tblCellMar>
        </w:tblPrEx>
        <w:trPr>
          <w:trHeight w:val="678"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kern w:val="0"/>
                <w:sz w:val="28"/>
                <w:szCs w:val="28"/>
              </w:rPr>
            </w:pPr>
            <w:r>
              <w:rPr>
                <w:rFonts w:hint="eastAsia" w:cs="宋体"/>
                <w:color w:val="000000"/>
                <w:kern w:val="0"/>
                <w:sz w:val="28"/>
                <w:szCs w:val="28"/>
              </w:rPr>
              <w:t>临床试验项目</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可以分别统计历年临床试验项目数量，并可以按照项目状态、组长单位、项目分期、国际多中心、PI、临床专业、本市项目等进行分类统计。</w:t>
            </w:r>
          </w:p>
        </w:tc>
      </w:tr>
      <w:tr>
        <w:tblPrEx>
          <w:tblCellMar>
            <w:top w:w="0" w:type="dxa"/>
            <w:left w:w="108" w:type="dxa"/>
            <w:bottom w:w="0" w:type="dxa"/>
            <w:right w:w="108" w:type="dxa"/>
          </w:tblCellMar>
        </w:tblPrEx>
        <w:trPr>
          <w:trHeight w:val="678"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kern w:val="0"/>
                <w:sz w:val="28"/>
                <w:szCs w:val="28"/>
              </w:rPr>
            </w:pPr>
            <w:r>
              <w:rPr>
                <w:rFonts w:hint="eastAsia" w:cs="宋体"/>
                <w:color w:val="000000"/>
                <w:kern w:val="0"/>
                <w:sz w:val="28"/>
                <w:szCs w:val="28"/>
              </w:rPr>
              <w:t>I期临床试验项目</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可以对I期临床试验项目进行单独统计，统计历年的试验机构和试验项目，历年各试验机构的主要研究者和项目数。</w:t>
            </w:r>
          </w:p>
        </w:tc>
      </w:tr>
      <w:tr>
        <w:tblPrEx>
          <w:tblCellMar>
            <w:top w:w="0" w:type="dxa"/>
            <w:left w:w="108" w:type="dxa"/>
            <w:bottom w:w="0" w:type="dxa"/>
            <w:right w:w="108" w:type="dxa"/>
          </w:tblCellMar>
        </w:tblPrEx>
        <w:trPr>
          <w:trHeight w:val="981"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临床试验机构地图分布</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sz w:val="28"/>
                <w:szCs w:val="28"/>
              </w:rPr>
            </w:pPr>
            <w:r>
              <w:rPr>
                <w:rFonts w:hint="eastAsia" w:cs="宋体"/>
                <w:color w:val="000000"/>
                <w:kern w:val="0"/>
                <w:sz w:val="28"/>
                <w:szCs w:val="28"/>
              </w:rPr>
              <w:t>在地图上以热力图的形式展示各辖区临床试验机构和试验项目数量，点击各个辖区可以查看具体临床试验机构的撒点，点击各个临床试验机构可以查看临床试验机构详情，包括基本信息和各分类临床试验项目统计信息。</w:t>
            </w:r>
          </w:p>
        </w:tc>
      </w:tr>
      <w:tr>
        <w:tblPrEx>
          <w:tblCellMar>
            <w:top w:w="0" w:type="dxa"/>
            <w:left w:w="108" w:type="dxa"/>
            <w:bottom w:w="0" w:type="dxa"/>
            <w:right w:w="108" w:type="dxa"/>
          </w:tblCellMar>
        </w:tblPrEx>
        <w:trPr>
          <w:trHeight w:val="1305" w:hRule="atLeast"/>
        </w:trPr>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color w:val="000000"/>
                <w:sz w:val="28"/>
                <w:szCs w:val="28"/>
              </w:rPr>
            </w:pPr>
            <w:r>
              <w:rPr>
                <w:rFonts w:hint="eastAsia" w:cs="宋体"/>
                <w:color w:val="000000"/>
                <w:kern w:val="0"/>
                <w:sz w:val="28"/>
                <w:szCs w:val="28"/>
              </w:rPr>
              <w:t>监督检查情况</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分别统计历年监督检查次数、人员、检查类型和检查结果，按各临床试验机构进行分布统计检查次数和问题数。</w:t>
            </w:r>
          </w:p>
          <w:p>
            <w:pPr>
              <w:widowControl/>
              <w:ind w:firstLine="0" w:firstLineChars="0"/>
              <w:jc w:val="left"/>
              <w:textAlignment w:val="center"/>
              <w:rPr>
                <w:rFonts w:cs="宋体"/>
                <w:color w:val="000000"/>
                <w:kern w:val="0"/>
                <w:sz w:val="28"/>
                <w:szCs w:val="28"/>
              </w:rPr>
            </w:pPr>
            <w:r>
              <w:rPr>
                <w:rFonts w:hint="eastAsia" w:cs="宋体"/>
                <w:color w:val="000000"/>
                <w:kern w:val="0"/>
                <w:sz w:val="28"/>
                <w:szCs w:val="28"/>
              </w:rPr>
              <w:t>分别统计历年的备案后首次检查、日常监督检查和联合核查情况，可以按常见问题、历年问题趋势、历年检查次数和人次数进行统计。</w:t>
            </w:r>
          </w:p>
        </w:tc>
      </w:tr>
    </w:tbl>
    <w:p>
      <w:pPr>
        <w:pStyle w:val="3"/>
        <w:ind w:left="1200" w:leftChars="0" w:firstLineChars="0"/>
        <w:jc w:val="left"/>
        <w:rPr>
          <w:rFonts w:cs="宋体"/>
        </w:rPr>
      </w:pPr>
      <w:r>
        <w:rPr>
          <w:rFonts w:hint="eastAsia" w:cs="宋体"/>
        </w:rPr>
        <w:t>密码应用模块</w:t>
      </w:r>
    </w:p>
    <w:tbl>
      <w:tblPr>
        <w:tblStyle w:val="36"/>
        <w:tblW w:w="4998" w:type="pct"/>
        <w:tblInd w:w="0" w:type="dxa"/>
        <w:tblLayout w:type="autofit"/>
        <w:tblCellMar>
          <w:top w:w="0" w:type="dxa"/>
          <w:left w:w="108" w:type="dxa"/>
          <w:bottom w:w="0" w:type="dxa"/>
          <w:right w:w="108" w:type="dxa"/>
        </w:tblCellMar>
      </w:tblPr>
      <w:tblGrid>
        <w:gridCol w:w="2347"/>
        <w:gridCol w:w="6178"/>
      </w:tblGrid>
      <w:tr>
        <w:tblPrEx>
          <w:tblCellMar>
            <w:top w:w="0" w:type="dxa"/>
            <w:left w:w="108" w:type="dxa"/>
            <w:bottom w:w="0" w:type="dxa"/>
            <w:right w:w="108" w:type="dxa"/>
          </w:tblCellMar>
        </w:tblPrEx>
        <w:trPr>
          <w:trHeight w:val="790" w:hRule="atLeast"/>
        </w:trPr>
        <w:tc>
          <w:tcPr>
            <w:tcW w:w="2347"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0" w:firstLineChars="0"/>
              <w:jc w:val="center"/>
              <w:textAlignment w:val="center"/>
              <w:rPr>
                <w:rFonts w:cs="宋体"/>
                <w:b/>
                <w:bCs/>
                <w:sz w:val="28"/>
                <w:szCs w:val="28"/>
              </w:rPr>
            </w:pPr>
            <w:r>
              <w:rPr>
                <w:rFonts w:hint="eastAsia" w:cs="宋体"/>
                <w:b/>
                <w:bCs/>
                <w:color w:val="000000"/>
                <w:kern w:val="0"/>
                <w:sz w:val="28"/>
                <w:szCs w:val="28"/>
              </w:rPr>
              <w:t>功能模块名称</w:t>
            </w:r>
          </w:p>
        </w:tc>
        <w:tc>
          <w:tcPr>
            <w:tcW w:w="6178"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ind w:firstLine="562"/>
              <w:jc w:val="center"/>
              <w:textAlignment w:val="center"/>
              <w:rPr>
                <w:rFonts w:cs="宋体"/>
                <w:b/>
                <w:bCs/>
                <w:sz w:val="28"/>
                <w:szCs w:val="28"/>
              </w:rPr>
            </w:pPr>
            <w:r>
              <w:rPr>
                <w:rFonts w:hint="eastAsia" w:cs="宋体"/>
                <w:b/>
                <w:bCs/>
                <w:color w:val="000000"/>
                <w:kern w:val="0"/>
                <w:sz w:val="28"/>
                <w:szCs w:val="28"/>
              </w:rPr>
              <w:t>功能模块说明</w:t>
            </w:r>
          </w:p>
        </w:tc>
      </w:tr>
      <w:tr>
        <w:tblPrEx>
          <w:tblCellMar>
            <w:top w:w="0" w:type="dxa"/>
            <w:left w:w="108" w:type="dxa"/>
            <w:bottom w:w="0" w:type="dxa"/>
            <w:right w:w="108" w:type="dxa"/>
          </w:tblCellMar>
        </w:tblPrEx>
        <w:trPr>
          <w:trHeight w:val="2827"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用户身份认证机制模块</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开发用户身份认证机制模块，调用云平台提供的安全认证网关服务接口，并在终端部署用户证书、服务端部署站点证书，绑定应用用户数字证书和应用用户ID，实现对终端和服务端身份的鉴别。</w:t>
            </w:r>
          </w:p>
        </w:tc>
      </w:tr>
      <w:tr>
        <w:tblPrEx>
          <w:tblCellMar>
            <w:top w:w="0" w:type="dxa"/>
            <w:left w:w="108" w:type="dxa"/>
            <w:bottom w:w="0" w:type="dxa"/>
            <w:right w:w="108" w:type="dxa"/>
          </w:tblCellMar>
        </w:tblPrEx>
        <w:trPr>
          <w:trHeight w:val="1880"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用户访问控制信息签名验签模块</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开发用户访问控制信息签名验签模块，调用云平台提供的签名验签服务接口，实现应用系统登录用户的访问控制列表完整性保护。</w:t>
            </w:r>
          </w:p>
        </w:tc>
      </w:tr>
      <w:tr>
        <w:tblPrEx>
          <w:tblCellMar>
            <w:top w:w="0" w:type="dxa"/>
            <w:left w:w="108" w:type="dxa"/>
            <w:bottom w:w="0" w:type="dxa"/>
            <w:right w:w="108" w:type="dxa"/>
          </w:tblCellMar>
        </w:tblPrEx>
        <w:trPr>
          <w:trHeight w:val="2042"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应用系统重要数据签名验签模块</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开发应用系统重要数据签名验签模块，调用云平台提供的签名验签服务接口，实现登录用户身份鉴别数据、业务日志、重要业务数据的存储完整性保护</w:t>
            </w:r>
          </w:p>
        </w:tc>
      </w:tr>
      <w:tr>
        <w:tblPrEx>
          <w:tblCellMar>
            <w:top w:w="0" w:type="dxa"/>
            <w:left w:w="108" w:type="dxa"/>
            <w:bottom w:w="0" w:type="dxa"/>
            <w:right w:w="108" w:type="dxa"/>
          </w:tblCellMar>
        </w:tblPrEx>
        <w:trPr>
          <w:trHeight w:val="2127"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应用系统重要数据加解密模块</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开发应用系统重要数据加解密模块，调用云平台提供的数据库加密服务接口，实现登录用户身份鉴别数据、重要业务数据等结构化数据的存储机密性保护。</w:t>
            </w:r>
          </w:p>
        </w:tc>
      </w:tr>
      <w:tr>
        <w:tblPrEx>
          <w:tblCellMar>
            <w:top w:w="0" w:type="dxa"/>
            <w:left w:w="108" w:type="dxa"/>
            <w:bottom w:w="0" w:type="dxa"/>
            <w:right w:w="108" w:type="dxa"/>
          </w:tblCellMar>
        </w:tblPrEx>
        <w:trPr>
          <w:trHeight w:val="1806"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服务器虚拟机设备日志/访问控制信息完整性模块</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开发服务器虚拟机设备日志/访问控制信息完整性模块，调用云平台提供的签名验签服务接口，实现应用服务器虚拟机、数据库服务器虚拟机等设备日志/访问控制信息的完整性保护。</w:t>
            </w:r>
          </w:p>
        </w:tc>
      </w:tr>
      <w:tr>
        <w:tblPrEx>
          <w:tblCellMar>
            <w:top w:w="0" w:type="dxa"/>
            <w:left w:w="108" w:type="dxa"/>
            <w:bottom w:w="0" w:type="dxa"/>
            <w:right w:w="108" w:type="dxa"/>
          </w:tblCellMar>
        </w:tblPrEx>
        <w:trPr>
          <w:trHeight w:val="1000" w:hRule="atLeast"/>
        </w:trPr>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重要数据安全传输模块</w:t>
            </w:r>
          </w:p>
        </w:tc>
        <w:tc>
          <w:tcPr>
            <w:tcW w:w="6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sz w:val="28"/>
                <w:szCs w:val="28"/>
              </w:rPr>
            </w:pPr>
            <w:r>
              <w:rPr>
                <w:rFonts w:hint="eastAsia" w:cs="宋体"/>
                <w:sz w:val="28"/>
                <w:szCs w:val="28"/>
              </w:rPr>
              <w:t>开发业务重要数据安全传输模块，调用云平台提供的安全认证网关服务接口，实现应用系统通信数据的机密性和完整性保护。</w:t>
            </w:r>
          </w:p>
        </w:tc>
      </w:tr>
    </w:tbl>
    <w:p>
      <w:pPr>
        <w:ind w:firstLine="0" w:firstLineChars="0"/>
        <w:rPr>
          <w:rFonts w:cs="宋体"/>
        </w:rPr>
      </w:pPr>
    </w:p>
    <w:p>
      <w:pPr>
        <w:ind w:firstLine="0" w:firstLineChars="0"/>
        <w:rPr>
          <w:rFonts w:cs="宋体"/>
        </w:rPr>
      </w:pPr>
    </w:p>
    <w:p>
      <w:pPr>
        <w:pStyle w:val="2"/>
        <w:rPr>
          <w:rFonts w:eastAsia="宋体" w:cs="宋体"/>
        </w:rPr>
      </w:pPr>
      <w:bookmarkStart w:id="18" w:name="_Toc2456"/>
      <w:r>
        <w:rPr>
          <w:rFonts w:hint="eastAsia" w:eastAsia="宋体" w:cs="宋体"/>
        </w:rPr>
        <w:t>系统功能与性能要求</w:t>
      </w:r>
      <w:bookmarkEnd w:id="18"/>
    </w:p>
    <w:p>
      <w:pPr>
        <w:ind w:right="-57"/>
        <w:rPr>
          <w:rFonts w:cs="宋体"/>
        </w:rPr>
      </w:pPr>
      <w:r>
        <w:rPr>
          <w:rFonts w:hint="eastAsia" w:cs="宋体"/>
        </w:rPr>
        <w:t>系统为B/S架构，需求在不影响原用户使用和不改变用户使用习惯的基础上，进行系统升级改造，并满足相关的业务逻辑需求和功能设置、数据共享等需要。</w:t>
      </w:r>
    </w:p>
    <w:p>
      <w:pPr>
        <w:ind w:right="-57"/>
        <w:rPr>
          <w:rFonts w:cs="宋体"/>
        </w:rPr>
      </w:pPr>
      <w:r>
        <w:rPr>
          <w:rFonts w:hint="eastAsia" w:cs="宋体"/>
        </w:rPr>
        <w:t>本项目系统性能需求如下：</w:t>
      </w:r>
    </w:p>
    <w:p>
      <w:pPr>
        <w:numPr>
          <w:ilvl w:val="0"/>
          <w:numId w:val="3"/>
        </w:numPr>
        <w:ind w:right="-57" w:firstLine="480"/>
        <w:rPr>
          <w:rFonts w:cs="宋体"/>
        </w:rPr>
      </w:pPr>
      <w:r>
        <w:rPr>
          <w:rFonts w:hint="eastAsia" w:cs="宋体"/>
        </w:rPr>
        <w:t>同时在线用户数≥200；</w:t>
      </w:r>
    </w:p>
    <w:p>
      <w:pPr>
        <w:numPr>
          <w:ilvl w:val="0"/>
          <w:numId w:val="3"/>
        </w:numPr>
        <w:ind w:right="-57" w:firstLine="480"/>
        <w:rPr>
          <w:rFonts w:cs="宋体"/>
        </w:rPr>
      </w:pPr>
      <w:r>
        <w:rPr>
          <w:rFonts w:hint="eastAsia" w:cs="宋体"/>
        </w:rPr>
        <w:t>并发用户数≥50；</w:t>
      </w:r>
    </w:p>
    <w:p>
      <w:pPr>
        <w:numPr>
          <w:ilvl w:val="0"/>
          <w:numId w:val="3"/>
        </w:numPr>
        <w:ind w:right="-57" w:firstLine="480"/>
        <w:rPr>
          <w:rFonts w:cs="宋体"/>
        </w:rPr>
      </w:pPr>
      <w:r>
        <w:rPr>
          <w:rFonts w:hint="eastAsia" w:cs="宋体"/>
        </w:rPr>
        <w:t>系统登录时间≤5秒；</w:t>
      </w:r>
    </w:p>
    <w:p>
      <w:pPr>
        <w:numPr>
          <w:ilvl w:val="0"/>
          <w:numId w:val="3"/>
        </w:numPr>
        <w:ind w:right="-57" w:firstLine="480"/>
        <w:rPr>
          <w:rFonts w:cs="宋体"/>
        </w:rPr>
      </w:pPr>
      <w:r>
        <w:rPr>
          <w:rFonts w:hint="eastAsia" w:cs="宋体"/>
        </w:rPr>
        <w:t>一般查询和写入操作响应时间（90%的操作页面）≤5秒；</w:t>
      </w:r>
    </w:p>
    <w:p>
      <w:pPr>
        <w:numPr>
          <w:ilvl w:val="0"/>
          <w:numId w:val="3"/>
        </w:numPr>
        <w:ind w:right="-57" w:firstLine="480"/>
        <w:rPr>
          <w:rFonts w:cs="宋体"/>
        </w:rPr>
      </w:pPr>
      <w:r>
        <w:rPr>
          <w:rFonts w:hint="eastAsia" w:cs="宋体"/>
        </w:rPr>
        <w:t>搜索类操作响应时间≤10秒；</w:t>
      </w:r>
    </w:p>
    <w:p>
      <w:pPr>
        <w:numPr>
          <w:ilvl w:val="0"/>
          <w:numId w:val="3"/>
        </w:numPr>
        <w:ind w:right="-57" w:firstLine="480"/>
        <w:rPr>
          <w:rFonts w:cs="宋体"/>
        </w:rPr>
      </w:pPr>
      <w:r>
        <w:rPr>
          <w:rFonts w:hint="eastAsia" w:cs="宋体"/>
        </w:rPr>
        <w:t>报表统计类操作响应时间≤15秒；</w:t>
      </w:r>
    </w:p>
    <w:p>
      <w:pPr>
        <w:numPr>
          <w:ilvl w:val="0"/>
          <w:numId w:val="3"/>
        </w:numPr>
        <w:ind w:right="-57" w:firstLine="480"/>
        <w:rPr>
          <w:rFonts w:cs="宋体"/>
        </w:rPr>
      </w:pPr>
      <w:r>
        <w:rPr>
          <w:rFonts w:hint="eastAsia" w:cs="宋体"/>
        </w:rPr>
        <w:t>响应时间较长的操作页面应显示进度条。</w:t>
      </w:r>
    </w:p>
    <w:p>
      <w:pPr>
        <w:pStyle w:val="2"/>
        <w:rPr>
          <w:rFonts w:eastAsia="宋体" w:cs="宋体"/>
        </w:rPr>
      </w:pPr>
      <w:bookmarkStart w:id="19" w:name="_Toc243394228"/>
      <w:bookmarkEnd w:id="19"/>
      <w:r>
        <w:rPr>
          <w:rFonts w:hint="eastAsia" w:eastAsia="宋体" w:cs="宋体"/>
        </w:rPr>
        <w:t>其他工作要求</w:t>
      </w:r>
    </w:p>
    <w:p>
      <w:pPr>
        <w:keepNext/>
        <w:keepLines/>
        <w:numPr>
          <w:ilvl w:val="1"/>
          <w:numId w:val="4"/>
        </w:numPr>
        <w:tabs>
          <w:tab w:val="left" w:pos="360"/>
        </w:tabs>
        <w:spacing w:before="120" w:line="240" w:lineRule="auto"/>
        <w:ind w:left="0" w:firstLine="0" w:firstLineChars="0"/>
        <w:outlineLvl w:val="1"/>
        <w:rPr>
          <w:rFonts w:cs="宋体"/>
          <w:b/>
          <w:vanish/>
          <w:color w:val="000000"/>
          <w:sz w:val="28"/>
          <w:szCs w:val="20"/>
        </w:rPr>
      </w:pPr>
      <w:bookmarkStart w:id="20" w:name="_Toc61968111"/>
      <w:bookmarkEnd w:id="20"/>
      <w:bookmarkStart w:id="21" w:name="_Toc63151871"/>
      <w:bookmarkEnd w:id="21"/>
      <w:bookmarkStart w:id="22" w:name="_Toc63585480"/>
      <w:bookmarkEnd w:id="22"/>
      <w:bookmarkStart w:id="23" w:name="_Toc63785439"/>
      <w:bookmarkEnd w:id="23"/>
      <w:bookmarkStart w:id="24" w:name="_Toc63785504"/>
      <w:bookmarkEnd w:id="24"/>
      <w:bookmarkStart w:id="25" w:name="_Toc63762370"/>
      <w:bookmarkEnd w:id="25"/>
      <w:bookmarkStart w:id="26" w:name="_Toc62209488"/>
      <w:bookmarkEnd w:id="26"/>
      <w:bookmarkStart w:id="27" w:name="_Toc62219358"/>
      <w:bookmarkEnd w:id="27"/>
    </w:p>
    <w:p>
      <w:pPr>
        <w:pStyle w:val="3"/>
        <w:ind w:left="1200" w:leftChars="0" w:firstLineChars="0"/>
        <w:rPr>
          <w:rFonts w:cs="宋体"/>
        </w:rPr>
      </w:pPr>
      <w:bookmarkStart w:id="28" w:name="_Toc63785505"/>
      <w:r>
        <w:rPr>
          <w:rFonts w:hint="eastAsia" w:cs="宋体"/>
        </w:rPr>
        <w:t>售后服务要求</w:t>
      </w:r>
      <w:bookmarkEnd w:id="28"/>
    </w:p>
    <w:p>
      <w:pPr>
        <w:pStyle w:val="107"/>
        <w:snapToGrid w:val="0"/>
        <w:spacing w:line="360" w:lineRule="auto"/>
        <w:ind w:firstLine="480"/>
        <w:rPr>
          <w:rFonts w:ascii="宋体" w:hAnsi="宋体" w:cs="宋体"/>
          <w:sz w:val="24"/>
          <w:szCs w:val="24"/>
        </w:rPr>
      </w:pPr>
      <w:r>
        <w:rPr>
          <w:rFonts w:hint="eastAsia" w:ascii="宋体" w:hAnsi="宋体" w:cs="宋体"/>
          <w:sz w:val="24"/>
          <w:szCs w:val="24"/>
        </w:rPr>
        <w:t>本项目从系统验收通过之日起1年内提供7*24小时免费技术支持和售后服务，1年后进入有偿维护期。</w:t>
      </w:r>
    </w:p>
    <w:p>
      <w:pPr>
        <w:pStyle w:val="107"/>
        <w:snapToGrid w:val="0"/>
        <w:spacing w:line="360" w:lineRule="auto"/>
        <w:ind w:firstLine="480"/>
        <w:rPr>
          <w:rFonts w:ascii="宋体" w:hAnsi="宋体" w:cs="宋体"/>
          <w:sz w:val="24"/>
          <w:szCs w:val="24"/>
        </w:rPr>
      </w:pPr>
      <w:r>
        <w:rPr>
          <w:rFonts w:hint="eastAsia" w:ascii="宋体" w:hAnsi="宋体" w:cs="宋体"/>
          <w:sz w:val="24"/>
          <w:szCs w:val="24"/>
        </w:rPr>
        <w:t>在质量保证期内，供应商将按照售后服务的承诺提供保修和运行维护服务，如果厂商对信息系统中软、硬件设备等产品中的部分保修期超过上述期限的，则按照厂商的规定进行免费保修。</w:t>
      </w:r>
    </w:p>
    <w:p>
      <w:pPr>
        <w:rPr>
          <w:rFonts w:cs="宋体"/>
        </w:rPr>
      </w:pPr>
      <w:r>
        <w:rPr>
          <w:rFonts w:hint="eastAsia" w:cs="宋体"/>
        </w:rPr>
        <w:t>在质量保证期内，供应商负责信息系统的运行维护工作，确保信息系统安全、稳定、可靠地运行。本项目涉及的运行维护工作范围为：日常监控巡检、系统扩容、应急演练与应急响应、安全扫描与加固、配置实施及管理、节假日保障、故障处理与响应。</w:t>
      </w:r>
    </w:p>
    <w:p>
      <w:pPr>
        <w:rPr>
          <w:rFonts w:cs="宋体"/>
          <w:szCs w:val="21"/>
        </w:rPr>
      </w:pPr>
      <w:r>
        <w:rPr>
          <w:rFonts w:hint="eastAsia" w:cs="宋体"/>
        </w:rPr>
        <w:t>在质量保证期内，</w:t>
      </w:r>
      <w:r>
        <w:rPr>
          <w:rFonts w:hint="eastAsia" w:cs="宋体"/>
          <w:szCs w:val="21"/>
        </w:rPr>
        <w:t>供应商应配合采购人做好系统运行情况健康体征监测和数据归集工作。</w:t>
      </w:r>
    </w:p>
    <w:p>
      <w:pPr>
        <w:pStyle w:val="3"/>
        <w:ind w:left="1200" w:leftChars="0" w:firstLineChars="0"/>
        <w:rPr>
          <w:rFonts w:cs="宋体"/>
        </w:rPr>
      </w:pPr>
      <w:bookmarkStart w:id="29" w:name="_Toc63785506"/>
      <w:r>
        <w:rPr>
          <w:rFonts w:hint="eastAsia" w:cs="宋体"/>
        </w:rPr>
        <w:t>应急响应要求</w:t>
      </w:r>
      <w:bookmarkEnd w:id="29"/>
    </w:p>
    <w:p>
      <w:pPr>
        <w:pStyle w:val="107"/>
        <w:snapToGrid w:val="0"/>
        <w:spacing w:line="360" w:lineRule="auto"/>
        <w:ind w:firstLine="480"/>
        <w:rPr>
          <w:rFonts w:ascii="宋体" w:hAnsi="宋体" w:cs="宋体"/>
          <w:sz w:val="24"/>
          <w:szCs w:val="24"/>
        </w:rPr>
      </w:pPr>
      <w:r>
        <w:rPr>
          <w:rFonts w:hint="eastAsia" w:ascii="宋体" w:hAnsi="宋体" w:cs="宋体"/>
          <w:sz w:val="24"/>
          <w:szCs w:val="24"/>
        </w:rPr>
        <w:t>供应商对系统故障应能够实时响应，若系统发生故障，接到通知后30分钟之内响应，专业工程师2小时内到达现场。特殊故障与客户沟通协商后，按照协商的方式制定解决方案并进行处理。</w:t>
      </w:r>
    </w:p>
    <w:p>
      <w:pPr>
        <w:pStyle w:val="107"/>
        <w:snapToGrid w:val="0"/>
        <w:spacing w:line="360" w:lineRule="auto"/>
        <w:ind w:firstLine="480"/>
        <w:rPr>
          <w:rFonts w:ascii="宋体" w:hAnsi="宋体" w:cs="宋体"/>
          <w:sz w:val="24"/>
          <w:szCs w:val="24"/>
        </w:rPr>
      </w:pPr>
      <w:r>
        <w:rPr>
          <w:rFonts w:hint="eastAsia" w:ascii="宋体" w:hAnsi="宋体" w:cs="宋体"/>
          <w:sz w:val="24"/>
          <w:szCs w:val="24"/>
        </w:rPr>
        <w:t>具体故障级别及对应的应急响应要求如下：</w:t>
      </w:r>
    </w:p>
    <w:p>
      <w:pPr>
        <w:pStyle w:val="107"/>
        <w:snapToGrid w:val="0"/>
        <w:spacing w:line="360" w:lineRule="auto"/>
        <w:ind w:firstLine="480"/>
        <w:rPr>
          <w:rFonts w:ascii="宋体" w:hAnsi="宋体" w:cs="宋体"/>
          <w:sz w:val="24"/>
          <w:szCs w:val="24"/>
        </w:rPr>
      </w:pPr>
      <w:r>
        <w:rPr>
          <w:rFonts w:hint="eastAsia" w:ascii="宋体" w:hAnsi="宋体" w:cs="宋体"/>
          <w:sz w:val="24"/>
          <w:szCs w:val="24"/>
        </w:rPr>
        <w:t>一级故障：在1小时内确诊，总故障解决时间不超过4小时。</w:t>
      </w:r>
    </w:p>
    <w:p>
      <w:pPr>
        <w:pStyle w:val="107"/>
        <w:snapToGrid w:val="0"/>
        <w:spacing w:line="360" w:lineRule="auto"/>
        <w:ind w:firstLine="480"/>
        <w:rPr>
          <w:rFonts w:ascii="宋体" w:hAnsi="宋体" w:cs="宋体"/>
          <w:sz w:val="24"/>
          <w:szCs w:val="24"/>
        </w:rPr>
      </w:pPr>
      <w:r>
        <w:rPr>
          <w:rFonts w:hint="eastAsia" w:ascii="宋体" w:hAnsi="宋体" w:cs="宋体"/>
          <w:sz w:val="24"/>
          <w:szCs w:val="24"/>
        </w:rPr>
        <w:t>二级故障：在2小时内确诊，并在4小时内由专家到达现场确诊并解决，总故障解决时间不超过8小时；</w:t>
      </w:r>
    </w:p>
    <w:p>
      <w:pPr>
        <w:pStyle w:val="107"/>
        <w:snapToGrid w:val="0"/>
        <w:spacing w:line="360" w:lineRule="auto"/>
        <w:ind w:firstLine="480"/>
        <w:rPr>
          <w:rFonts w:ascii="宋体" w:hAnsi="宋体" w:cs="宋体"/>
          <w:sz w:val="24"/>
          <w:szCs w:val="24"/>
        </w:rPr>
      </w:pPr>
      <w:r>
        <w:rPr>
          <w:rFonts w:hint="eastAsia" w:ascii="宋体" w:hAnsi="宋体" w:cs="宋体"/>
          <w:sz w:val="24"/>
          <w:szCs w:val="24"/>
        </w:rPr>
        <w:t>三、四级故障：在4小时内确诊故障，总故障解决时间不超过16小时。</w:t>
      </w:r>
    </w:p>
    <w:p>
      <w:pPr>
        <w:pStyle w:val="3"/>
        <w:ind w:left="1200" w:leftChars="0" w:firstLineChars="0"/>
        <w:rPr>
          <w:rFonts w:cs="宋体"/>
        </w:rPr>
      </w:pPr>
      <w:bookmarkStart w:id="30" w:name="_Toc63785507"/>
      <w:r>
        <w:rPr>
          <w:rFonts w:hint="eastAsia" w:cs="宋体"/>
        </w:rPr>
        <w:t>培训要求</w:t>
      </w:r>
      <w:bookmarkEnd w:id="30"/>
    </w:p>
    <w:p>
      <w:pPr>
        <w:rPr>
          <w:rFonts w:cs="宋体"/>
        </w:rPr>
      </w:pPr>
      <w:r>
        <w:rPr>
          <w:rFonts w:hint="eastAsia" w:cs="宋体"/>
        </w:rPr>
        <w:t>对系统使用单位提供业务操作培训，应提供详细培训方案。</w:t>
      </w:r>
    </w:p>
    <w:p>
      <w:pPr>
        <w:rPr>
          <w:rFonts w:cs="宋体"/>
        </w:rPr>
      </w:pPr>
      <w:r>
        <w:rPr>
          <w:rFonts w:hint="eastAsia" w:cs="宋体"/>
        </w:rPr>
        <w:t>(1)在12个月的质量保证期内，提供2次与项目相关的必要培训。</w:t>
      </w:r>
    </w:p>
    <w:p>
      <w:pPr>
        <w:rPr>
          <w:rFonts w:cs="宋体"/>
        </w:rPr>
      </w:pPr>
      <w:r>
        <w:rPr>
          <w:rFonts w:hint="eastAsia" w:cs="宋体"/>
        </w:rPr>
        <w:t>(2)供应商需要开展分层次的人员培训工作，每次培训后应对参加培训人员进行测试，评估培训成果。培训应具有培训教材、培训环境和高水平的培训讲师。</w:t>
      </w:r>
    </w:p>
    <w:p>
      <w:pPr>
        <w:rPr>
          <w:rFonts w:cs="宋体"/>
        </w:rPr>
      </w:pPr>
      <w:r>
        <w:rPr>
          <w:rFonts w:hint="eastAsia" w:cs="宋体"/>
        </w:rPr>
        <w:t>(3)供应商应提供一般用户的基础操作培训和部门信息管理员的日常应用维护的培训，确保用户对象能够掌握对应的操作技能。</w:t>
      </w:r>
    </w:p>
    <w:p>
      <w:pPr>
        <w:pStyle w:val="3"/>
        <w:ind w:left="1200" w:leftChars="0" w:firstLineChars="0"/>
        <w:rPr>
          <w:rFonts w:cs="宋体"/>
        </w:rPr>
      </w:pPr>
      <w:bookmarkStart w:id="31" w:name="_Toc63785508"/>
      <w:r>
        <w:rPr>
          <w:rFonts w:hint="eastAsia" w:cs="宋体"/>
        </w:rPr>
        <w:t>验收要求</w:t>
      </w:r>
      <w:bookmarkEnd w:id="31"/>
    </w:p>
    <w:p>
      <w:pPr>
        <w:rPr>
          <w:rFonts w:cs="宋体"/>
          <w:szCs w:val="21"/>
        </w:rPr>
      </w:pPr>
      <w:r>
        <w:rPr>
          <w:rFonts w:hint="eastAsia" w:cs="宋体"/>
          <w:szCs w:val="21"/>
        </w:rPr>
        <w:t>本项目按下述方式开展验收。</w:t>
      </w:r>
    </w:p>
    <w:p>
      <w:pPr>
        <w:rPr>
          <w:rFonts w:cs="宋体"/>
          <w:szCs w:val="21"/>
        </w:rPr>
      </w:pPr>
      <w:r>
        <w:rPr>
          <w:rFonts w:hint="eastAsia" w:cs="宋体"/>
          <w:szCs w:val="21"/>
        </w:rPr>
        <w:t>（1）验收分初验和终验。</w:t>
      </w:r>
    </w:p>
    <w:p>
      <w:pPr>
        <w:rPr>
          <w:rFonts w:cs="宋体"/>
          <w:szCs w:val="21"/>
        </w:rPr>
      </w:pPr>
      <w:r>
        <w:rPr>
          <w:rFonts w:hint="eastAsia" w:cs="宋体"/>
          <w:szCs w:val="21"/>
        </w:rPr>
        <w:t>（2）初验前，供应商须完成软件开发、软硬件安装和信息系统的调试等，并对本项目进行功能和运行检测，确保所有信息系统功能模块能够正常运行且已达到本项目约定的各类标准要求。供应商应以书面形式向采购人递交初验通知书。采购人应当在接到通知后的5个工作日内确定初验的具体日期，由双方按照本项目的约定完成本项目的初验。采购人有权委托第三方检测机构进行验收，对此供应商应当配合。</w:t>
      </w:r>
    </w:p>
    <w:p>
      <w:pPr>
        <w:rPr>
          <w:rFonts w:cs="宋体"/>
          <w:szCs w:val="21"/>
        </w:rPr>
      </w:pPr>
      <w:r>
        <w:rPr>
          <w:rFonts w:hint="eastAsia" w:cs="宋体"/>
          <w:szCs w:val="21"/>
        </w:rPr>
        <w:t>（3）初验时，供应商须提供软件文档包括《用户需求说明书》、《系统概要设计说明书》、《系统详细设计说明书》、《三方功能需求确认单》、《测试报告》、《用户使用手册》、《系统部署文档》等）及可安装的程序运行文件。所交付的文档与文件应当是可供自然人阅读的书面和电子文档。软件文档及可安装的程序运行文件验收通过后，视为初验通过。如有缺陷，采购人应向供应商出具书面报告，陈述需要改进的缺陷。供应商应立即严格依照采购人的书面报告中的要求改进缺陷，并再次进行初验。</w:t>
      </w:r>
    </w:p>
    <w:p>
      <w:pPr>
        <w:rPr>
          <w:rFonts w:cs="宋体"/>
          <w:szCs w:val="21"/>
        </w:rPr>
      </w:pPr>
      <w:r>
        <w:rPr>
          <w:rFonts w:hint="eastAsia" w:cs="宋体"/>
          <w:szCs w:val="21"/>
        </w:rPr>
        <w:t>（4）自初验通过之日起，采购人享有供应商免费提供的30天的信息系统试运行现场驻场服务期。该期间内，供应商应当按照采购人的要求提供现场技术支持服务，解决信息系统试运行期间可能出现的各类问题，或进一步提高与完善信息系统运行水平。</w:t>
      </w:r>
    </w:p>
    <w:p>
      <w:pPr>
        <w:rPr>
          <w:rFonts w:cs="宋体"/>
          <w:szCs w:val="21"/>
        </w:rPr>
      </w:pPr>
      <w:r>
        <w:rPr>
          <w:rFonts w:hint="eastAsia" w:cs="宋体"/>
          <w:szCs w:val="21"/>
        </w:rPr>
        <w:t>（5）初验通过且信息系统试运行期已经达到本项目约定的时间，经供应商确认信息系统具备正常运行条件，且信息系统通过运行测试，供应商应以书面形式通知采购人信息系统已准备就绪等待终验。采购人在收到终验通知后的15     个工作日内发起组织专家验收会。</w:t>
      </w:r>
    </w:p>
    <w:p>
      <w:pPr>
        <w:rPr>
          <w:rFonts w:cs="宋体"/>
          <w:szCs w:val="21"/>
        </w:rPr>
      </w:pPr>
      <w:r>
        <w:rPr>
          <w:rFonts w:hint="eastAsia" w:cs="宋体"/>
          <w:szCs w:val="21"/>
        </w:rPr>
        <w:t>（6）如果属于供应商原因致使本项目未能通过终验，供应商应当排除缺陷，直至本项目完全符合验收标准，由上述情形而产生的相关费用应由供应商自行承担。</w:t>
      </w:r>
    </w:p>
    <w:p>
      <w:pPr>
        <w:rPr>
          <w:rFonts w:cs="宋体"/>
          <w:szCs w:val="21"/>
        </w:rPr>
      </w:pPr>
      <w:r>
        <w:rPr>
          <w:rFonts w:hint="eastAsia" w:cs="宋体"/>
          <w:szCs w:val="21"/>
        </w:rPr>
        <w:t>（7）如果由于采购人原因导致本项目在终验通过前出现故障或问题，供应商应及时配合排除该方面的故障或问题。</w:t>
      </w:r>
    </w:p>
    <w:p>
      <w:pPr>
        <w:rPr>
          <w:rFonts w:cs="宋体"/>
          <w:szCs w:val="21"/>
        </w:rPr>
      </w:pPr>
      <w:r>
        <w:rPr>
          <w:rFonts w:hint="eastAsia" w:cs="宋体"/>
          <w:szCs w:val="21"/>
        </w:rPr>
        <w:t>（8）如本项目连续2次验收未通过（含初验未通过或终验未通过），采购人有权解除项目，并有权依照本项目约定的违约条款追究供应商的违约责任。</w:t>
      </w:r>
    </w:p>
    <w:p>
      <w:pPr>
        <w:pStyle w:val="3"/>
        <w:ind w:left="1200" w:leftChars="0" w:firstLineChars="0"/>
        <w:rPr>
          <w:rFonts w:cs="宋体"/>
        </w:rPr>
      </w:pPr>
      <w:bookmarkStart w:id="32" w:name="_Toc63785509"/>
      <w:r>
        <w:rPr>
          <w:rFonts w:hint="eastAsia" w:cs="宋体"/>
        </w:rPr>
        <w:t>进度要求</w:t>
      </w:r>
      <w:bookmarkEnd w:id="32"/>
    </w:p>
    <w:p>
      <w:pPr>
        <w:rPr>
          <w:rFonts w:cs="宋体"/>
        </w:rPr>
      </w:pPr>
      <w:bookmarkStart w:id="33" w:name="_Toc63785510"/>
      <w:r>
        <w:rPr>
          <w:rFonts w:hint="eastAsia" w:cs="宋体"/>
        </w:rPr>
        <w:t>供应商应根据建设内容，分阶段制定合理的时间进度，并且应根据采购人要求进行调整和细化。</w:t>
      </w:r>
    </w:p>
    <w:p>
      <w:pPr>
        <w:rPr>
          <w:rFonts w:hint="eastAsia" w:cs="宋体"/>
        </w:rPr>
      </w:pPr>
      <w:r>
        <w:rPr>
          <w:rFonts w:hint="eastAsia"/>
        </w:rPr>
        <w:t>本项目在合同签订之日起的4个月内完成用系统开发、集成、调试工作，嗣后开始进行为期2个月的试运行。试运行至少连续2个月无重大缺陷、无重大故障方可进行正式验收。</w:t>
      </w:r>
      <w:bookmarkStart w:id="34" w:name="_Hlk125986311"/>
    </w:p>
    <w:bookmarkEnd w:id="34"/>
    <w:p>
      <w:pPr>
        <w:pStyle w:val="3"/>
        <w:ind w:left="1200" w:leftChars="0" w:firstLineChars="0"/>
        <w:rPr>
          <w:rFonts w:cs="宋体"/>
          <w:highlight w:val="yellow"/>
        </w:rPr>
      </w:pPr>
      <w:r>
        <w:rPr>
          <w:rFonts w:hint="eastAsia" w:cs="宋体"/>
        </w:rPr>
        <w:t>项目团队及驻场人员要求</w:t>
      </w:r>
      <w:bookmarkEnd w:id="33"/>
    </w:p>
    <w:p>
      <w:pPr>
        <w:rPr>
          <w:rFonts w:cs="宋体"/>
        </w:rPr>
      </w:pPr>
      <w:r>
        <w:rPr>
          <w:rFonts w:hint="eastAsia" w:cs="宋体"/>
        </w:rPr>
        <w:t>1）供应商须具有稳定的在职技术保障力量，能够提供及时的技术支援或服务，应针对本项目提供不少于10人的项目服务团队（包括项目经理、产品经理、技术负责人、研发等），供应商的相关服务人员需具备相应的服务能力，需提供相关证明。</w:t>
      </w:r>
      <w:r>
        <w:rPr>
          <w:rFonts w:hint="eastAsia"/>
        </w:rPr>
        <w:t>项目经理每月在本项目现场工作时间不得少于60%，且未经业主方书面许可不得变更。</w:t>
      </w:r>
    </w:p>
    <w:tbl>
      <w:tblPr>
        <w:tblStyle w:val="3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363"/>
        <w:gridCol w:w="851"/>
        <w:gridCol w:w="297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cs="宋体"/>
                <w:b/>
              </w:rPr>
            </w:pPr>
            <w:r>
              <w:rPr>
                <w:rFonts w:hint="eastAsia" w:cs="宋体"/>
                <w:b/>
              </w:rPr>
              <w:t>角色</w:t>
            </w:r>
          </w:p>
        </w:tc>
        <w:tc>
          <w:tcPr>
            <w:tcW w:w="2363" w:type="dxa"/>
            <w:shd w:val="clear" w:color="auto" w:fill="auto"/>
            <w:noWrap/>
            <w:vAlign w:val="center"/>
          </w:tcPr>
          <w:p>
            <w:pPr>
              <w:widowControl/>
              <w:spacing w:line="240" w:lineRule="auto"/>
              <w:ind w:firstLine="0" w:firstLineChars="0"/>
              <w:jc w:val="center"/>
              <w:rPr>
                <w:rFonts w:cs="宋体"/>
                <w:b/>
              </w:rPr>
            </w:pPr>
            <w:r>
              <w:rPr>
                <w:rFonts w:hint="eastAsia" w:cs="宋体"/>
                <w:b/>
              </w:rPr>
              <w:t>主要职责</w:t>
            </w:r>
          </w:p>
        </w:tc>
        <w:tc>
          <w:tcPr>
            <w:tcW w:w="851" w:type="dxa"/>
            <w:shd w:val="clear" w:color="auto" w:fill="auto"/>
            <w:noWrap/>
            <w:vAlign w:val="center"/>
          </w:tcPr>
          <w:p>
            <w:pPr>
              <w:widowControl/>
              <w:spacing w:line="240" w:lineRule="auto"/>
              <w:ind w:firstLine="0" w:firstLineChars="0"/>
              <w:jc w:val="center"/>
              <w:rPr>
                <w:rFonts w:cs="宋体"/>
                <w:b/>
              </w:rPr>
            </w:pPr>
            <w:r>
              <w:rPr>
                <w:rFonts w:hint="eastAsia" w:cs="宋体"/>
                <w:b/>
              </w:rPr>
              <w:t>人员数量</w:t>
            </w:r>
          </w:p>
        </w:tc>
        <w:tc>
          <w:tcPr>
            <w:tcW w:w="2976" w:type="dxa"/>
            <w:vAlign w:val="center"/>
          </w:tcPr>
          <w:p>
            <w:pPr>
              <w:widowControl/>
              <w:spacing w:line="240" w:lineRule="auto"/>
              <w:ind w:firstLine="0" w:firstLineChars="0"/>
              <w:jc w:val="center"/>
              <w:rPr>
                <w:rFonts w:cs="宋体"/>
                <w:b/>
              </w:rPr>
            </w:pPr>
            <w:r>
              <w:rPr>
                <w:rFonts w:hint="eastAsia" w:cs="宋体"/>
                <w:b/>
              </w:rPr>
              <w:t>人员要求</w:t>
            </w:r>
          </w:p>
        </w:tc>
        <w:tc>
          <w:tcPr>
            <w:tcW w:w="993" w:type="dxa"/>
            <w:shd w:val="clear" w:color="auto" w:fill="auto"/>
            <w:noWrap/>
            <w:vAlign w:val="center"/>
          </w:tcPr>
          <w:p>
            <w:pPr>
              <w:widowControl/>
              <w:spacing w:line="240" w:lineRule="auto"/>
              <w:ind w:firstLine="0" w:firstLineChars="0"/>
              <w:jc w:val="center"/>
              <w:rPr>
                <w:rFonts w:cs="宋体"/>
                <w:b/>
              </w:rPr>
            </w:pPr>
            <w:r>
              <w:rPr>
                <w:rFonts w:hint="eastAsia" w:cs="宋体"/>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cs="宋体"/>
              </w:rPr>
            </w:pPr>
            <w:r>
              <w:rPr>
                <w:rFonts w:hint="eastAsia" w:cs="宋体"/>
              </w:rPr>
              <w:t>项目经理</w:t>
            </w:r>
          </w:p>
        </w:tc>
        <w:tc>
          <w:tcPr>
            <w:tcW w:w="2363" w:type="dxa"/>
            <w:shd w:val="clear" w:color="auto" w:fill="auto"/>
            <w:vAlign w:val="center"/>
          </w:tcPr>
          <w:p>
            <w:pPr>
              <w:widowControl/>
              <w:spacing w:line="240" w:lineRule="auto"/>
              <w:ind w:firstLine="0" w:firstLineChars="0"/>
              <w:jc w:val="center"/>
              <w:rPr>
                <w:rFonts w:cs="宋体"/>
              </w:rPr>
            </w:pPr>
            <w:r>
              <w:rPr>
                <w:rFonts w:hint="eastAsia" w:cs="宋体"/>
              </w:rPr>
              <w:t>负责项目质量和进度控制</w:t>
            </w:r>
          </w:p>
        </w:tc>
        <w:tc>
          <w:tcPr>
            <w:tcW w:w="851" w:type="dxa"/>
            <w:shd w:val="clear" w:color="auto" w:fill="auto"/>
            <w:noWrap/>
            <w:vAlign w:val="center"/>
          </w:tcPr>
          <w:p>
            <w:pPr>
              <w:widowControl/>
              <w:spacing w:line="240" w:lineRule="auto"/>
              <w:ind w:firstLine="0" w:firstLineChars="0"/>
              <w:jc w:val="center"/>
              <w:rPr>
                <w:rFonts w:cs="宋体"/>
              </w:rPr>
            </w:pPr>
            <w:r>
              <w:rPr>
                <w:rFonts w:hint="eastAsia" w:cs="宋体"/>
              </w:rPr>
              <w:t>1人</w:t>
            </w:r>
          </w:p>
        </w:tc>
        <w:tc>
          <w:tcPr>
            <w:tcW w:w="2976" w:type="dxa"/>
            <w:vAlign w:val="center"/>
          </w:tcPr>
          <w:p>
            <w:pPr>
              <w:widowControl/>
              <w:spacing w:line="240" w:lineRule="auto"/>
              <w:ind w:firstLine="0" w:firstLineChars="0"/>
              <w:jc w:val="center"/>
              <w:rPr>
                <w:rFonts w:cs="宋体"/>
              </w:rPr>
            </w:pPr>
            <w:r>
              <w:rPr>
                <w:rFonts w:hint="eastAsia" w:cs="宋体"/>
              </w:rPr>
              <w:t>本科及以上学历； 具有类似政务信息系统项目建设管理经验，且在项目中担任项目经理；具有《信息系统项目管理师》（高级）资质证书。</w:t>
            </w:r>
          </w:p>
        </w:tc>
        <w:tc>
          <w:tcPr>
            <w:tcW w:w="993" w:type="dxa"/>
            <w:shd w:val="clear" w:color="auto" w:fill="auto"/>
            <w:noWrap/>
            <w:vAlign w:val="center"/>
          </w:tcPr>
          <w:p>
            <w:pPr>
              <w:widowControl/>
              <w:spacing w:line="240" w:lineRule="auto"/>
              <w:ind w:firstLine="0" w:firstLineChars="0"/>
              <w:jc w:val="center"/>
              <w:rPr>
                <w:rFonts w:cs="宋体"/>
              </w:rPr>
            </w:pPr>
            <w:r>
              <w:rPr>
                <w:rFonts w:hint="eastAsia" w:cs="宋体"/>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cs="宋体"/>
              </w:rPr>
            </w:pPr>
            <w:r>
              <w:rPr>
                <w:rFonts w:hint="eastAsia" w:cs="宋体"/>
              </w:rPr>
              <w:t>产品经理</w:t>
            </w:r>
          </w:p>
        </w:tc>
        <w:tc>
          <w:tcPr>
            <w:tcW w:w="2363" w:type="dxa"/>
            <w:shd w:val="clear" w:color="auto" w:fill="auto"/>
            <w:vAlign w:val="center"/>
          </w:tcPr>
          <w:p>
            <w:pPr>
              <w:widowControl/>
              <w:spacing w:line="240" w:lineRule="auto"/>
              <w:ind w:firstLine="0" w:firstLineChars="0"/>
              <w:jc w:val="center"/>
              <w:rPr>
                <w:rFonts w:cs="宋体"/>
              </w:rPr>
            </w:pPr>
            <w:r>
              <w:rPr>
                <w:rFonts w:hint="eastAsia" w:cs="宋体"/>
              </w:rPr>
              <w:t>负责项目需求评估与产品设计</w:t>
            </w:r>
          </w:p>
        </w:tc>
        <w:tc>
          <w:tcPr>
            <w:tcW w:w="851" w:type="dxa"/>
            <w:shd w:val="clear" w:color="auto" w:fill="auto"/>
            <w:noWrap/>
            <w:vAlign w:val="center"/>
          </w:tcPr>
          <w:p>
            <w:pPr>
              <w:widowControl/>
              <w:spacing w:line="240" w:lineRule="auto"/>
              <w:ind w:firstLine="0" w:firstLineChars="0"/>
              <w:jc w:val="center"/>
              <w:rPr>
                <w:rFonts w:cs="宋体"/>
              </w:rPr>
            </w:pPr>
            <w:r>
              <w:rPr>
                <w:rFonts w:hint="eastAsia" w:cs="宋体"/>
              </w:rPr>
              <w:t>1人</w:t>
            </w:r>
          </w:p>
        </w:tc>
        <w:tc>
          <w:tcPr>
            <w:tcW w:w="2976" w:type="dxa"/>
            <w:vAlign w:val="center"/>
          </w:tcPr>
          <w:p>
            <w:pPr>
              <w:widowControl/>
              <w:spacing w:line="240" w:lineRule="auto"/>
              <w:ind w:firstLine="0" w:firstLineChars="0"/>
              <w:jc w:val="center"/>
              <w:rPr>
                <w:rFonts w:cs="宋体"/>
              </w:rPr>
            </w:pPr>
            <w:r>
              <w:rPr>
                <w:rFonts w:hint="eastAsia" w:cs="宋体"/>
              </w:rPr>
              <w:t>是否具备药械化监管类系统开发经验</w:t>
            </w:r>
          </w:p>
        </w:tc>
        <w:tc>
          <w:tcPr>
            <w:tcW w:w="993" w:type="dxa"/>
            <w:shd w:val="clear" w:color="auto" w:fill="auto"/>
            <w:noWrap/>
            <w:vAlign w:val="center"/>
          </w:tcPr>
          <w:p>
            <w:pPr>
              <w:widowControl/>
              <w:spacing w:line="240" w:lineRule="auto"/>
              <w:ind w:firstLine="0" w:firstLineChars="0"/>
              <w:jc w:val="center"/>
              <w:rPr>
                <w:rFonts w:cs="宋体"/>
              </w:rPr>
            </w:pPr>
            <w:r>
              <w:rPr>
                <w:rFonts w:hint="eastAsia" w:cs="宋体"/>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cs="宋体"/>
              </w:rPr>
            </w:pPr>
            <w:r>
              <w:rPr>
                <w:rFonts w:hint="eastAsia" w:cs="宋体"/>
              </w:rPr>
              <w:t>研发</w:t>
            </w:r>
          </w:p>
        </w:tc>
        <w:tc>
          <w:tcPr>
            <w:tcW w:w="2363" w:type="dxa"/>
            <w:shd w:val="clear" w:color="auto" w:fill="auto"/>
            <w:noWrap/>
            <w:vAlign w:val="center"/>
          </w:tcPr>
          <w:p>
            <w:pPr>
              <w:widowControl/>
              <w:spacing w:line="240" w:lineRule="auto"/>
              <w:ind w:firstLine="0" w:firstLineChars="0"/>
              <w:jc w:val="center"/>
              <w:rPr>
                <w:rFonts w:cs="宋体"/>
              </w:rPr>
            </w:pPr>
            <w:r>
              <w:rPr>
                <w:rFonts w:hint="eastAsia" w:cs="宋体"/>
              </w:rPr>
              <w:t>负责项目具体开发与实施</w:t>
            </w:r>
          </w:p>
        </w:tc>
        <w:tc>
          <w:tcPr>
            <w:tcW w:w="851" w:type="dxa"/>
            <w:shd w:val="clear" w:color="auto" w:fill="auto"/>
            <w:noWrap/>
            <w:vAlign w:val="center"/>
          </w:tcPr>
          <w:p>
            <w:pPr>
              <w:widowControl/>
              <w:spacing w:line="240" w:lineRule="auto"/>
              <w:ind w:firstLine="0" w:firstLineChars="0"/>
              <w:jc w:val="center"/>
              <w:rPr>
                <w:rFonts w:cs="宋体"/>
              </w:rPr>
            </w:pPr>
            <w:r>
              <w:rPr>
                <w:rFonts w:hint="eastAsia" w:cs="宋体"/>
              </w:rPr>
              <w:t>8人</w:t>
            </w:r>
          </w:p>
        </w:tc>
        <w:tc>
          <w:tcPr>
            <w:tcW w:w="2976" w:type="dxa"/>
            <w:vAlign w:val="center"/>
          </w:tcPr>
          <w:p>
            <w:pPr>
              <w:widowControl/>
              <w:spacing w:line="240" w:lineRule="auto"/>
              <w:ind w:firstLine="0" w:firstLineChars="0"/>
              <w:jc w:val="center"/>
              <w:rPr>
                <w:rFonts w:cs="宋体"/>
              </w:rPr>
            </w:pPr>
            <w:r>
              <w:rPr>
                <w:rFonts w:hint="eastAsia" w:cs="宋体"/>
              </w:rPr>
              <w:t>是否具备药械化监管类系统开发经验</w:t>
            </w:r>
          </w:p>
        </w:tc>
        <w:tc>
          <w:tcPr>
            <w:tcW w:w="993" w:type="dxa"/>
            <w:shd w:val="clear" w:color="auto" w:fill="auto"/>
            <w:noWrap/>
            <w:vAlign w:val="center"/>
          </w:tcPr>
          <w:p>
            <w:pPr>
              <w:widowControl/>
              <w:spacing w:line="240" w:lineRule="auto"/>
              <w:ind w:firstLine="0" w:firstLineChars="0"/>
              <w:jc w:val="center"/>
              <w:rPr>
                <w:rFonts w:cs="宋体"/>
              </w:rPr>
            </w:pPr>
            <w:r>
              <w:rPr>
                <w:rFonts w:hint="eastAsia" w:cs="宋体"/>
              </w:rPr>
              <w:t>不驻场</w:t>
            </w:r>
          </w:p>
        </w:tc>
      </w:tr>
    </w:tbl>
    <w:p>
      <w:pPr>
        <w:rPr>
          <w:rFonts w:cs="宋体"/>
        </w:rPr>
      </w:pPr>
      <w:r>
        <w:rPr>
          <w:rFonts w:hint="eastAsia" w:cs="宋体"/>
        </w:rPr>
        <w:t>2）供应商应针对本项目提供不少于4人的质保期间支撑团队（其中项目经理1人，产品经理1人，技术工程师不少于1人）；供应商的相关服务人员需具备相应的服务能力。</w:t>
      </w:r>
    </w:p>
    <w:tbl>
      <w:tblPr>
        <w:tblStyle w:val="3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102"/>
        <w:gridCol w:w="860"/>
        <w:gridCol w:w="213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cs="宋体"/>
                <w:b/>
              </w:rPr>
            </w:pPr>
            <w:r>
              <w:rPr>
                <w:rFonts w:hint="eastAsia" w:cs="宋体"/>
                <w:b/>
              </w:rPr>
              <w:t>角色</w:t>
            </w:r>
          </w:p>
        </w:tc>
        <w:tc>
          <w:tcPr>
            <w:tcW w:w="2102" w:type="dxa"/>
            <w:shd w:val="clear" w:color="auto" w:fill="auto"/>
            <w:noWrap/>
            <w:vAlign w:val="center"/>
          </w:tcPr>
          <w:p>
            <w:pPr>
              <w:widowControl/>
              <w:spacing w:line="240" w:lineRule="auto"/>
              <w:ind w:firstLine="0" w:firstLineChars="0"/>
              <w:jc w:val="center"/>
              <w:rPr>
                <w:rFonts w:cs="宋体"/>
                <w:b/>
              </w:rPr>
            </w:pPr>
            <w:r>
              <w:rPr>
                <w:rFonts w:hint="eastAsia" w:cs="宋体"/>
                <w:b/>
              </w:rPr>
              <w:t>主要职责</w:t>
            </w:r>
          </w:p>
        </w:tc>
        <w:tc>
          <w:tcPr>
            <w:tcW w:w="860" w:type="dxa"/>
            <w:shd w:val="clear" w:color="auto" w:fill="auto"/>
            <w:noWrap/>
            <w:vAlign w:val="center"/>
          </w:tcPr>
          <w:p>
            <w:pPr>
              <w:widowControl/>
              <w:spacing w:line="240" w:lineRule="auto"/>
              <w:ind w:firstLine="0" w:firstLineChars="0"/>
              <w:jc w:val="center"/>
              <w:rPr>
                <w:rFonts w:cs="宋体"/>
                <w:b/>
              </w:rPr>
            </w:pPr>
            <w:r>
              <w:rPr>
                <w:rFonts w:hint="eastAsia" w:cs="宋体"/>
                <w:b/>
              </w:rPr>
              <w:t>人员数量</w:t>
            </w:r>
          </w:p>
        </w:tc>
        <w:tc>
          <w:tcPr>
            <w:tcW w:w="2138" w:type="dxa"/>
            <w:vAlign w:val="center"/>
          </w:tcPr>
          <w:p>
            <w:pPr>
              <w:widowControl/>
              <w:spacing w:line="240" w:lineRule="auto"/>
              <w:ind w:firstLine="0" w:firstLineChars="0"/>
              <w:jc w:val="center"/>
              <w:rPr>
                <w:rFonts w:cs="宋体"/>
                <w:b/>
              </w:rPr>
            </w:pPr>
            <w:r>
              <w:rPr>
                <w:rFonts w:hint="eastAsia" w:cs="宋体"/>
                <w:b/>
              </w:rPr>
              <w:t>人员要求</w:t>
            </w:r>
          </w:p>
        </w:tc>
        <w:tc>
          <w:tcPr>
            <w:tcW w:w="1843" w:type="dxa"/>
            <w:shd w:val="clear" w:color="auto" w:fill="auto"/>
            <w:noWrap/>
            <w:vAlign w:val="center"/>
          </w:tcPr>
          <w:p>
            <w:pPr>
              <w:widowControl/>
              <w:spacing w:line="240" w:lineRule="auto"/>
              <w:ind w:firstLine="0" w:firstLineChars="0"/>
              <w:jc w:val="center"/>
              <w:rPr>
                <w:rFonts w:cs="宋体"/>
                <w:b/>
              </w:rPr>
            </w:pPr>
            <w:r>
              <w:rPr>
                <w:rFonts w:hint="eastAsia" w:cs="宋体"/>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cs="宋体"/>
              </w:rPr>
            </w:pPr>
            <w:r>
              <w:rPr>
                <w:rFonts w:hint="eastAsia" w:cs="宋体"/>
              </w:rPr>
              <w:t>项目经理</w:t>
            </w:r>
          </w:p>
        </w:tc>
        <w:tc>
          <w:tcPr>
            <w:tcW w:w="2102" w:type="dxa"/>
            <w:shd w:val="clear" w:color="auto" w:fill="auto"/>
            <w:vAlign w:val="center"/>
          </w:tcPr>
          <w:p>
            <w:pPr>
              <w:widowControl/>
              <w:spacing w:line="240" w:lineRule="auto"/>
              <w:ind w:firstLine="0" w:firstLineChars="0"/>
              <w:jc w:val="center"/>
              <w:rPr>
                <w:rFonts w:cs="宋体"/>
              </w:rPr>
            </w:pPr>
            <w:r>
              <w:rPr>
                <w:rFonts w:hint="eastAsia" w:cs="宋体"/>
              </w:rPr>
              <w:t>负责项目质量和进度控制</w:t>
            </w:r>
          </w:p>
        </w:tc>
        <w:tc>
          <w:tcPr>
            <w:tcW w:w="860" w:type="dxa"/>
            <w:shd w:val="clear" w:color="auto" w:fill="auto"/>
            <w:noWrap/>
            <w:vAlign w:val="center"/>
          </w:tcPr>
          <w:p>
            <w:pPr>
              <w:widowControl/>
              <w:spacing w:line="240" w:lineRule="auto"/>
              <w:ind w:firstLine="0" w:firstLineChars="0"/>
              <w:jc w:val="center"/>
              <w:rPr>
                <w:rFonts w:cs="宋体"/>
              </w:rPr>
            </w:pPr>
            <w:r>
              <w:rPr>
                <w:rFonts w:hint="eastAsia" w:cs="宋体"/>
              </w:rPr>
              <w:t>1人</w:t>
            </w:r>
          </w:p>
        </w:tc>
        <w:tc>
          <w:tcPr>
            <w:tcW w:w="2138" w:type="dxa"/>
            <w:vAlign w:val="center"/>
          </w:tcPr>
          <w:p>
            <w:pPr>
              <w:widowControl/>
              <w:spacing w:line="240" w:lineRule="auto"/>
              <w:ind w:firstLine="0" w:firstLineChars="0"/>
              <w:jc w:val="center"/>
              <w:rPr>
                <w:rFonts w:cs="宋体"/>
              </w:rPr>
            </w:pPr>
            <w:r>
              <w:rPr>
                <w:rFonts w:hint="eastAsia" w:cs="宋体"/>
              </w:rPr>
              <w:t>本科及以上学历； 具有类似政务信息系统项目建设管理经验，且在项目中担任项目经理；具有《信息系统项目管理师》（高级）资质证书。</w:t>
            </w:r>
          </w:p>
        </w:tc>
        <w:tc>
          <w:tcPr>
            <w:tcW w:w="1843" w:type="dxa"/>
            <w:shd w:val="clear" w:color="auto" w:fill="auto"/>
            <w:noWrap/>
            <w:vAlign w:val="center"/>
          </w:tcPr>
          <w:p>
            <w:pPr>
              <w:widowControl/>
              <w:spacing w:line="240" w:lineRule="auto"/>
              <w:ind w:firstLine="0" w:firstLineChars="0"/>
              <w:jc w:val="center"/>
              <w:rPr>
                <w:rFonts w:cs="宋体"/>
              </w:rPr>
            </w:pPr>
            <w:r>
              <w:rPr>
                <w:rFonts w:hint="eastAsia" w:cs="宋体"/>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cs="宋体"/>
              </w:rPr>
            </w:pPr>
            <w:r>
              <w:rPr>
                <w:rFonts w:hint="eastAsia" w:cs="宋体"/>
              </w:rPr>
              <w:t>产品经理</w:t>
            </w:r>
          </w:p>
        </w:tc>
        <w:tc>
          <w:tcPr>
            <w:tcW w:w="2102" w:type="dxa"/>
            <w:shd w:val="clear" w:color="auto" w:fill="auto"/>
            <w:vAlign w:val="center"/>
          </w:tcPr>
          <w:p>
            <w:pPr>
              <w:widowControl/>
              <w:spacing w:line="240" w:lineRule="auto"/>
              <w:ind w:firstLine="0" w:firstLineChars="0"/>
              <w:jc w:val="center"/>
              <w:rPr>
                <w:rFonts w:cs="宋体"/>
              </w:rPr>
            </w:pPr>
            <w:r>
              <w:rPr>
                <w:rFonts w:hint="eastAsia" w:cs="宋体"/>
              </w:rPr>
              <w:t>负责项目需求评估与产品设计</w:t>
            </w:r>
          </w:p>
        </w:tc>
        <w:tc>
          <w:tcPr>
            <w:tcW w:w="860" w:type="dxa"/>
            <w:shd w:val="clear" w:color="auto" w:fill="auto"/>
            <w:noWrap/>
            <w:vAlign w:val="center"/>
          </w:tcPr>
          <w:p>
            <w:pPr>
              <w:widowControl/>
              <w:spacing w:line="240" w:lineRule="auto"/>
              <w:ind w:firstLine="0" w:firstLineChars="0"/>
              <w:jc w:val="center"/>
              <w:rPr>
                <w:rFonts w:cs="宋体"/>
              </w:rPr>
            </w:pPr>
            <w:r>
              <w:rPr>
                <w:rFonts w:hint="eastAsia" w:cs="宋体"/>
              </w:rPr>
              <w:t>1人</w:t>
            </w:r>
          </w:p>
        </w:tc>
        <w:tc>
          <w:tcPr>
            <w:tcW w:w="2138" w:type="dxa"/>
            <w:vAlign w:val="center"/>
          </w:tcPr>
          <w:p>
            <w:pPr>
              <w:widowControl/>
              <w:spacing w:line="240" w:lineRule="auto"/>
              <w:ind w:firstLine="0" w:firstLineChars="0"/>
              <w:jc w:val="center"/>
              <w:rPr>
                <w:rFonts w:cs="宋体"/>
              </w:rPr>
            </w:pPr>
            <w:r>
              <w:rPr>
                <w:rFonts w:hint="eastAsia" w:cs="宋体"/>
              </w:rPr>
              <w:t>是否具备药械化监管类系统维护经验</w:t>
            </w:r>
          </w:p>
        </w:tc>
        <w:tc>
          <w:tcPr>
            <w:tcW w:w="1843" w:type="dxa"/>
            <w:shd w:val="clear" w:color="auto" w:fill="auto"/>
            <w:noWrap/>
            <w:vAlign w:val="center"/>
          </w:tcPr>
          <w:p>
            <w:pPr>
              <w:widowControl/>
              <w:spacing w:line="240" w:lineRule="auto"/>
              <w:ind w:firstLine="0" w:firstLineChars="0"/>
              <w:jc w:val="center"/>
              <w:rPr>
                <w:rFonts w:cs="宋体"/>
              </w:rPr>
            </w:pPr>
            <w:r>
              <w:rPr>
                <w:rFonts w:hint="eastAsia" w:cs="宋体"/>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cs="宋体"/>
              </w:rPr>
            </w:pPr>
            <w:r>
              <w:rPr>
                <w:rFonts w:hint="eastAsia" w:cs="宋体"/>
              </w:rPr>
              <w:t>技术工程师</w:t>
            </w:r>
          </w:p>
        </w:tc>
        <w:tc>
          <w:tcPr>
            <w:tcW w:w="2102" w:type="dxa"/>
            <w:shd w:val="clear" w:color="auto" w:fill="auto"/>
            <w:noWrap/>
            <w:vAlign w:val="center"/>
          </w:tcPr>
          <w:p>
            <w:pPr>
              <w:widowControl/>
              <w:spacing w:line="240" w:lineRule="auto"/>
              <w:ind w:firstLine="0" w:firstLineChars="0"/>
              <w:jc w:val="center"/>
              <w:rPr>
                <w:rFonts w:cs="宋体"/>
              </w:rPr>
            </w:pPr>
            <w:r>
              <w:rPr>
                <w:rFonts w:hint="eastAsia" w:cs="宋体"/>
              </w:rPr>
              <w:t>负责项目运行维护</w:t>
            </w:r>
          </w:p>
        </w:tc>
        <w:tc>
          <w:tcPr>
            <w:tcW w:w="860" w:type="dxa"/>
            <w:shd w:val="clear" w:color="auto" w:fill="auto"/>
            <w:noWrap/>
            <w:vAlign w:val="center"/>
          </w:tcPr>
          <w:p>
            <w:pPr>
              <w:widowControl/>
              <w:spacing w:line="240" w:lineRule="auto"/>
              <w:ind w:firstLine="0" w:firstLineChars="0"/>
              <w:jc w:val="center"/>
              <w:rPr>
                <w:rFonts w:cs="宋体"/>
              </w:rPr>
            </w:pPr>
            <w:r>
              <w:rPr>
                <w:rFonts w:hint="eastAsia" w:cs="宋体"/>
              </w:rPr>
              <w:t>1人</w:t>
            </w:r>
          </w:p>
        </w:tc>
        <w:tc>
          <w:tcPr>
            <w:tcW w:w="2138" w:type="dxa"/>
            <w:vAlign w:val="center"/>
          </w:tcPr>
          <w:p>
            <w:pPr>
              <w:widowControl/>
              <w:spacing w:line="240" w:lineRule="auto"/>
              <w:ind w:firstLine="0" w:firstLineChars="0"/>
              <w:jc w:val="center"/>
              <w:rPr>
                <w:rFonts w:cs="宋体"/>
              </w:rPr>
            </w:pPr>
            <w:r>
              <w:rPr>
                <w:rFonts w:hint="eastAsia" w:cs="宋体"/>
              </w:rPr>
              <w:t>是否具备药械化监管类系统维护经验</w:t>
            </w:r>
          </w:p>
        </w:tc>
        <w:tc>
          <w:tcPr>
            <w:tcW w:w="1843" w:type="dxa"/>
            <w:shd w:val="clear" w:color="auto" w:fill="auto"/>
            <w:noWrap/>
            <w:vAlign w:val="center"/>
          </w:tcPr>
          <w:p>
            <w:pPr>
              <w:widowControl/>
              <w:spacing w:line="240" w:lineRule="auto"/>
              <w:ind w:firstLine="0" w:firstLineChars="0"/>
              <w:jc w:val="center"/>
              <w:rPr>
                <w:rFonts w:cs="宋体"/>
              </w:rPr>
            </w:pPr>
            <w:r>
              <w:rPr>
                <w:rFonts w:hint="eastAsia" w:cs="宋体"/>
              </w:rPr>
              <w:t>驻场</w:t>
            </w:r>
          </w:p>
        </w:tc>
      </w:tr>
    </w:tbl>
    <w:p>
      <w:pPr>
        <w:pStyle w:val="3"/>
        <w:ind w:left="1200" w:leftChars="0" w:firstLineChars="0"/>
        <w:rPr>
          <w:rFonts w:cs="宋体"/>
        </w:rPr>
      </w:pPr>
      <w:bookmarkStart w:id="35" w:name="_Toc63785511"/>
      <w:r>
        <w:rPr>
          <w:rFonts w:hint="eastAsia" w:cs="宋体"/>
        </w:rPr>
        <w:t>等级保护要求</w:t>
      </w:r>
      <w:bookmarkEnd w:id="35"/>
    </w:p>
    <w:p>
      <w:pPr>
        <w:rPr>
          <w:rFonts w:cs="宋体"/>
        </w:rPr>
      </w:pPr>
      <w:r>
        <w:rPr>
          <w:rFonts w:hint="eastAsia" w:cs="宋体"/>
        </w:rPr>
        <w:t>本项目等级保护要求： 参照等保三级要求建设。</w:t>
      </w:r>
    </w:p>
    <w:p>
      <w:pPr>
        <w:pStyle w:val="3"/>
        <w:ind w:left="1200" w:leftChars="0" w:firstLineChars="0"/>
        <w:rPr>
          <w:rFonts w:cs="宋体"/>
        </w:rPr>
      </w:pPr>
      <w:r>
        <w:rPr>
          <w:rFonts w:hint="eastAsia" w:cs="宋体"/>
        </w:rPr>
        <w:t>商业密码应用需求</w:t>
      </w:r>
    </w:p>
    <w:p>
      <w:pPr>
        <w:rPr>
          <w:rFonts w:cs="宋体"/>
        </w:rPr>
      </w:pPr>
      <w:r>
        <w:rPr>
          <w:rFonts w:hint="eastAsia" w:cs="宋体"/>
        </w:rPr>
        <w:t>信息系统需使用经检测认证的商用密码产品或服务，使用的商用密码算法、技术应遵循密码相关国家标准或行业标准。从物理和环境安全、网络和通信安全、设备和计算安全、应用和数据安全等四个层面采用密码技术措施，建立安全的秘钥管理方案，并采用有效的安全管理措施，对信息系统进行保护。</w:t>
      </w:r>
    </w:p>
    <w:p>
      <w:pPr>
        <w:pStyle w:val="6"/>
        <w:ind w:firstLine="480"/>
        <w:rPr>
          <w:rFonts w:ascii="宋体" w:hAnsi="宋体" w:eastAsia="宋体"/>
          <w:sz w:val="24"/>
          <w:szCs w:val="24"/>
        </w:rPr>
      </w:pPr>
      <w:r>
        <w:rPr>
          <w:rFonts w:hint="eastAsia" w:ascii="宋体" w:hAnsi="宋体" w:eastAsia="宋体"/>
          <w:sz w:val="24"/>
          <w:szCs w:val="24"/>
        </w:rPr>
        <w:t>根据密测要求，以国产算法为基础算力的服务器密码机为密码资源层，在密码资源层上层建设基础密码服务，包括但不限于安全认证网关服务、签名验签服务、证书认证服务等，对业务应用层提供密码支撑，提供包括：身份鉴别、传输保护、签名验签、数据加密等密码服务。</w:t>
      </w:r>
    </w:p>
    <w:p>
      <w:pPr>
        <w:pStyle w:val="3"/>
        <w:ind w:left="1200" w:leftChars="0" w:firstLineChars="0"/>
        <w:rPr>
          <w:rFonts w:cs="宋体"/>
        </w:rPr>
      </w:pPr>
      <w:bookmarkStart w:id="36" w:name="_Toc63785512"/>
      <w:r>
        <w:rPr>
          <w:rFonts w:hint="eastAsia" w:cs="宋体"/>
        </w:rPr>
        <w:t>技术文件要求</w:t>
      </w:r>
    </w:p>
    <w:p>
      <w:pPr>
        <w:rPr>
          <w:rFonts w:cs="宋体"/>
        </w:rPr>
      </w:pPr>
      <w:r>
        <w:rPr>
          <w:rFonts w:hint="eastAsia" w:cs="宋体"/>
        </w:rPr>
        <w:t>供应商提供的书面技术资料应能确保系统正常运行所需的管理、运营及维护有关的全套文件。技术文件应该全面、完整、详细。供应商提供的技术文件至少应包括：</w:t>
      </w:r>
    </w:p>
    <w:p>
      <w:pPr>
        <w:rPr>
          <w:rFonts w:cs="宋体"/>
        </w:rPr>
      </w:pPr>
      <w:r>
        <w:rPr>
          <w:rFonts w:hint="eastAsia" w:cs="宋体"/>
        </w:rPr>
        <w:t xml:space="preserve">－ 系统说明文件； </w:t>
      </w:r>
    </w:p>
    <w:p>
      <w:pPr>
        <w:rPr>
          <w:rFonts w:cs="宋体"/>
        </w:rPr>
      </w:pPr>
      <w:r>
        <w:rPr>
          <w:rFonts w:hint="eastAsia" w:cs="宋体"/>
        </w:rPr>
        <w:t xml:space="preserve">－ 技术手册(安装、测试、操作、维护、故障排除等)； </w:t>
      </w:r>
    </w:p>
    <w:p>
      <w:pPr>
        <w:rPr>
          <w:rFonts w:cs="宋体"/>
        </w:rPr>
      </w:pPr>
      <w:r>
        <w:rPr>
          <w:rFonts w:hint="eastAsia" w:cs="宋体"/>
        </w:rPr>
        <w:t>－ 项目文档，应该包括：</w:t>
      </w:r>
    </w:p>
    <w:p>
      <w:pPr>
        <w:ind w:left="360"/>
        <w:rPr>
          <w:rFonts w:cs="宋体"/>
        </w:rPr>
      </w:pPr>
      <w:r>
        <w:rPr>
          <w:rFonts w:hint="eastAsia" w:cs="宋体"/>
        </w:rPr>
        <w:t>(1)软件需求说明书</w:t>
      </w:r>
    </w:p>
    <w:p>
      <w:pPr>
        <w:ind w:left="360"/>
        <w:rPr>
          <w:rFonts w:cs="宋体"/>
        </w:rPr>
      </w:pPr>
      <w:r>
        <w:rPr>
          <w:rFonts w:hint="eastAsia" w:cs="宋体"/>
        </w:rPr>
        <w:t>(2)</w:t>
      </w:r>
      <w:r>
        <w:rPr>
          <w:rFonts w:hint="eastAsia" w:cs="宋体"/>
        </w:rPr>
        <w:tab/>
      </w:r>
      <w:r>
        <w:rPr>
          <w:rFonts w:hint="eastAsia" w:cs="宋体"/>
        </w:rPr>
        <w:t>系统总体设计说明书</w:t>
      </w:r>
    </w:p>
    <w:p>
      <w:pPr>
        <w:ind w:left="360"/>
        <w:rPr>
          <w:rFonts w:cs="宋体"/>
        </w:rPr>
      </w:pPr>
      <w:r>
        <w:rPr>
          <w:rFonts w:hint="eastAsia" w:cs="宋体"/>
        </w:rPr>
        <w:t>(3)</w:t>
      </w:r>
      <w:r>
        <w:rPr>
          <w:rFonts w:hint="eastAsia" w:cs="宋体"/>
        </w:rPr>
        <w:tab/>
      </w:r>
      <w:r>
        <w:rPr>
          <w:rFonts w:hint="eastAsia" w:cs="宋体"/>
        </w:rPr>
        <w:t>应用软件功能清单</w:t>
      </w:r>
    </w:p>
    <w:p>
      <w:pPr>
        <w:rPr>
          <w:rFonts w:cs="宋体"/>
        </w:rPr>
      </w:pPr>
      <w:r>
        <w:rPr>
          <w:rFonts w:hint="eastAsia" w:cs="宋体"/>
        </w:rPr>
        <w:t>提供全套技术文件纸介质3套以及电子文件1套。</w:t>
      </w:r>
    </w:p>
    <w:p>
      <w:pPr>
        <w:pStyle w:val="2"/>
        <w:rPr>
          <w:rFonts w:eastAsia="宋体" w:cs="宋体"/>
        </w:rPr>
      </w:pPr>
      <w:r>
        <w:rPr>
          <w:rFonts w:hint="eastAsia" w:eastAsia="宋体" w:cs="宋体"/>
        </w:rPr>
        <w:t>供应商管理要求</w:t>
      </w:r>
      <w:bookmarkEnd w:id="36"/>
    </w:p>
    <w:p>
      <w:pPr>
        <w:pStyle w:val="81"/>
        <w:ind w:firstLine="480"/>
        <w:rPr>
          <w:rFonts w:cs="宋体"/>
          <w:sz w:val="24"/>
          <w:szCs w:val="24"/>
        </w:rPr>
      </w:pPr>
      <w:r>
        <w:rPr>
          <w:rFonts w:hint="eastAsia" w:cs="宋体"/>
          <w:sz w:val="24"/>
          <w:szCs w:val="24"/>
        </w:rPr>
        <w:t>1、在项目实施期间，成交供应商应严格执行国家、地方、行业有关本项目业务管理和安全作业的法律、法规和制度并按规定承担相应的费用。成交供应商因违反规定等原因造成的一切损失和责任由成交供应商自行承担。</w:t>
      </w:r>
    </w:p>
    <w:p>
      <w:pPr>
        <w:pStyle w:val="81"/>
        <w:ind w:firstLine="480"/>
        <w:rPr>
          <w:rFonts w:cs="宋体"/>
          <w:sz w:val="24"/>
          <w:szCs w:val="24"/>
        </w:rPr>
      </w:pPr>
      <w:r>
        <w:rPr>
          <w:rFonts w:hint="eastAsia" w:cs="宋体"/>
          <w:sz w:val="24"/>
          <w:szCs w:val="24"/>
        </w:rPr>
        <w:t>2、成交供应商在响应文件中承诺并经采购人认定的项目负责人及专业技术人员必须是本单位职工（在本单位缴纳社会保障金）和该项目实施现场的实际操作者，应具有类似本项目的实施经验，并应在软件应用调研、安装、试运行等期间常驻项目现场。未经采购人同意，成交供应商不得调换或撤离上述人员。如采购人认为有必要，可要求成交供应商对上述人员中的部分人员作出更好的调整。</w:t>
      </w:r>
    </w:p>
    <w:p>
      <w:pPr>
        <w:pStyle w:val="81"/>
        <w:ind w:firstLine="480"/>
        <w:rPr>
          <w:rFonts w:cs="宋体"/>
          <w:sz w:val="24"/>
          <w:szCs w:val="24"/>
        </w:rPr>
      </w:pPr>
      <w:r>
        <w:rPr>
          <w:rFonts w:hint="eastAsia" w:cs="宋体"/>
          <w:sz w:val="24"/>
          <w:szCs w:val="24"/>
        </w:rPr>
        <w:t>3、成交供应商在项目实施期间，应按项目实际进度与环节落实所对应项目整体及各环节管理工作，按照规范做好项目实施期间相关管理与实施记录。</w:t>
      </w:r>
    </w:p>
    <w:p>
      <w:pPr>
        <w:pStyle w:val="81"/>
        <w:ind w:firstLine="480"/>
        <w:rPr>
          <w:rFonts w:cs="宋体"/>
          <w:sz w:val="24"/>
          <w:szCs w:val="24"/>
        </w:rPr>
      </w:pPr>
      <w:r>
        <w:rPr>
          <w:rFonts w:hint="eastAsia" w:cs="宋体"/>
          <w:sz w:val="24"/>
          <w:szCs w:val="24"/>
        </w:rPr>
        <w:t>4、参与本项目的工作人员应严格遵循采购人的安全制度，保障采购人资料和设备的安全。成交供应商如需进入采购人机房工作，只能在采购人规定的工作区域内对项目涉及的设备进行操作，严禁触动与项目无关的任何设备（包括任何操作行为），如需跨区操作必须得到采购人项目联系人确认。</w:t>
      </w:r>
    </w:p>
    <w:p>
      <w:pPr>
        <w:pStyle w:val="81"/>
        <w:ind w:firstLine="480"/>
        <w:rPr>
          <w:rFonts w:cs="宋体"/>
          <w:sz w:val="24"/>
          <w:szCs w:val="24"/>
        </w:rPr>
      </w:pPr>
      <w:r>
        <w:rPr>
          <w:rFonts w:hint="eastAsia" w:cs="宋体"/>
          <w:sz w:val="24"/>
          <w:szCs w:val="24"/>
        </w:rPr>
        <w:t>5、成交供应商在项目实施期间必须遵守采购人的规章制度并提供实施人员名单。</w:t>
      </w:r>
    </w:p>
    <w:p>
      <w:pPr>
        <w:pStyle w:val="81"/>
        <w:ind w:firstLine="480"/>
        <w:rPr>
          <w:rFonts w:cs="宋体"/>
          <w:sz w:val="24"/>
          <w:szCs w:val="24"/>
        </w:rPr>
      </w:pPr>
      <w:r>
        <w:rPr>
          <w:rFonts w:hint="eastAsia" w:cs="宋体"/>
          <w:sz w:val="24"/>
          <w:szCs w:val="24"/>
        </w:rPr>
        <w:t>6、各供应商在响应文件中要结合本项目的特点和采购人上述的具体要求制定相应的管理措施，并在报价中列支相应的费用清单，供应商报价中未列支上述费用清单的，上述费用视为已包含在供应商的响应总报价中。</w:t>
      </w:r>
    </w:p>
    <w:p>
      <w:pPr>
        <w:pStyle w:val="81"/>
        <w:ind w:firstLine="480"/>
        <w:rPr>
          <w:rFonts w:cs="宋体"/>
        </w:rPr>
      </w:pPr>
      <w:r>
        <w:rPr>
          <w:rFonts w:hint="eastAsia" w:cs="宋体"/>
          <w:sz w:val="24"/>
          <w:szCs w:val="24"/>
        </w:rPr>
        <w:t>7、本项目软件开发及调试将纳入采购人的管理范围，成交供应商在此过程中须服从上述单位的管理协调。</w:t>
      </w:r>
      <w:bookmarkStart w:id="37" w:name="_Toc63785513"/>
    </w:p>
    <w:p>
      <w:pPr>
        <w:pStyle w:val="2"/>
        <w:rPr>
          <w:rFonts w:eastAsia="宋体" w:cs="宋体"/>
        </w:rPr>
      </w:pPr>
      <w:r>
        <w:rPr>
          <w:rFonts w:hint="eastAsia" w:eastAsia="宋体" w:cs="宋体"/>
        </w:rPr>
        <w:t>知识产权及保密要求</w:t>
      </w:r>
      <w:bookmarkEnd w:id="37"/>
    </w:p>
    <w:p>
      <w:pPr>
        <w:ind w:firstLine="482"/>
        <w:rPr>
          <w:rFonts w:cs="宋体"/>
          <w:b/>
        </w:rPr>
      </w:pPr>
      <w:r>
        <w:rPr>
          <w:rFonts w:hint="eastAsia" w:cs="宋体"/>
          <w:b/>
        </w:rPr>
        <w:t>1、成交供应商数据、文件、资料知识产权</w:t>
      </w:r>
    </w:p>
    <w:p>
      <w:pPr>
        <w:rPr>
          <w:rFonts w:cs="宋体"/>
        </w:rPr>
      </w:pPr>
      <w:r>
        <w:rPr>
          <w:rFonts w:hint="eastAsia" w:cs="宋体"/>
        </w:rPr>
        <w:t>成交供应商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成交供应商应负责与第三方解决纠纷，若因此导致采购人损失的，采购人有权要求成交供应商赔偿采购人因此遭受的全部损失，包括但不限于直接损失、间接损失、诉讼费／仲裁费、律师费、公证费、鉴定费等。</w:t>
      </w:r>
    </w:p>
    <w:p>
      <w:pPr>
        <w:rPr>
          <w:rFonts w:cs="宋体"/>
        </w:rPr>
      </w:pPr>
      <w:r>
        <w:rPr>
          <w:rFonts w:hint="eastAsia" w:cs="宋体"/>
        </w:rPr>
        <w:t>成交供应商因履行本项目而产生的所有成果的知识产权等权利均归采购人所有，</w:t>
      </w:r>
      <w:r>
        <w:rPr>
          <w:rFonts w:hint="eastAsia"/>
        </w:rPr>
        <w:t>投标人提供全部源代码、需求说明书、业务流程分析、数据库设计、使用说明书等完整文档，包括但不仅限于：《软件需求说明书》、《概要设计说明书》、《数据库设计说明书》、《数据要求说明书》、《系统安装配置说明书》、《测试计划》、《测试分析报告》、《操作手册》，</w:t>
      </w:r>
      <w:r>
        <w:rPr>
          <w:rFonts w:hint="eastAsia" w:cs="宋体"/>
        </w:rPr>
        <w:t>成交供应商应配合采购人进行相关权利登记或申请。未经采购人书面同意，成交供应商不得以任何形式使用或许可他人使用本项目成果的相关内容，不得擅自对外公开发表或向任何第三方透露。</w:t>
      </w:r>
    </w:p>
    <w:p>
      <w:pPr>
        <w:rPr>
          <w:rFonts w:cs="宋体"/>
        </w:rPr>
      </w:pPr>
      <w:r>
        <w:rPr>
          <w:rFonts w:hint="eastAsia" w:cs="宋体"/>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pPr>
        <w:ind w:firstLine="482"/>
        <w:rPr>
          <w:rFonts w:cs="宋体"/>
          <w:b/>
        </w:rPr>
      </w:pPr>
      <w:r>
        <w:rPr>
          <w:rFonts w:hint="eastAsia" w:cs="宋体"/>
          <w:b/>
        </w:rPr>
        <w:t>2、项目保密要求</w:t>
      </w:r>
    </w:p>
    <w:p>
      <w:pPr>
        <w:rPr>
          <w:rFonts w:cs="宋体"/>
        </w:rPr>
      </w:pPr>
      <w:r>
        <w:rPr>
          <w:rFonts w:hint="eastAsia" w:cs="宋体"/>
        </w:rPr>
        <w:t>成交供应商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成交供应商不得对外泄露采购人要求保密的信息，不得用于其他用途，否则成交供应商需承担由此引起的法律责任和经济责任，包括但不限于直接损失、间接损失、律师费、诉讼费/仲裁费、调查费、公证费等。</w:t>
      </w:r>
    </w:p>
    <w:p>
      <w:pPr>
        <w:rPr>
          <w:rFonts w:cs="宋体"/>
        </w:rPr>
      </w:pPr>
      <w:r>
        <w:rPr>
          <w:rFonts w:hint="eastAsia" w:cs="宋体"/>
        </w:rPr>
        <w:t>成交供应商应采取必要的有效措施保证其参与本项目的人员（包括成交供应商聘用的人员、借调的人员、实习的人员）无论是在职或离职后，以及成交供应商的合作方无论是合作中或合作终止后，都能够履行本项目约定的保密义务。若成交供应商人员或成交供应商合作方违反保密规定，成交供应商应承担连带责任。</w:t>
      </w:r>
    </w:p>
    <w:p>
      <w:pPr>
        <w:rPr>
          <w:rFonts w:cs="宋体"/>
        </w:rPr>
      </w:pPr>
      <w:r>
        <w:rPr>
          <w:rFonts w:hint="eastAsia" w:cs="宋体"/>
        </w:rPr>
        <w:t>成交供应商（含成交供应商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pPr>
        <w:rPr>
          <w:rFonts w:cs="宋体"/>
        </w:rPr>
      </w:pPr>
      <w:r>
        <w:rPr>
          <w:rFonts w:hint="eastAsia" w:cs="宋体"/>
        </w:rPr>
        <w:t>以上内容的保密期限自成交供应商知悉保密信息起始至保密信息被合法公开之日止。</w:t>
      </w:r>
    </w:p>
    <w:p>
      <w:pPr>
        <w:ind w:firstLine="482"/>
        <w:rPr>
          <w:rFonts w:cs="宋体"/>
          <w:b/>
        </w:rPr>
      </w:pPr>
      <w:r>
        <w:rPr>
          <w:rFonts w:hint="eastAsia" w:cs="宋体"/>
          <w:b/>
        </w:rPr>
        <w:t>3、临时账号等使用要求</w:t>
      </w:r>
    </w:p>
    <w:p>
      <w:pPr>
        <w:rPr>
          <w:rFonts w:cs="宋体"/>
        </w:rPr>
      </w:pPr>
      <w:r>
        <w:rPr>
          <w:rFonts w:hint="eastAsia" w:cs="宋体"/>
        </w:rPr>
        <w:t>成交供应商对采购人提拱的临时使用账号要保密，不得公开，对组件开发的账号密码需进行加密，避免信息安全的泄露。未经采购人的同意不得利用采购人的网络及平台进行短信、彩信、微信发送,造成的一切后果由成交供应商负责。</w:t>
      </w:r>
    </w:p>
    <w:p>
      <w:pPr>
        <w:ind w:firstLine="0" w:firstLineChars="0"/>
        <w:rPr>
          <w:rFonts w:cs="宋体"/>
        </w:rPr>
      </w:pPr>
      <w:bookmarkStart w:id="38" w:name="_GoBack"/>
      <w:bookmarkEnd w:id="38"/>
    </w:p>
    <w:p>
      <w:pPr>
        <w:rPr>
          <w:rFonts w:cs="宋体"/>
        </w:rPr>
      </w:pPr>
    </w:p>
    <w:p>
      <w:pPr>
        <w:ind w:firstLine="0" w:firstLineChars="0"/>
        <w:rPr>
          <w:rFonts w:cs="宋体"/>
        </w:rPr>
      </w:pPr>
    </w:p>
    <w:p>
      <w:pPr>
        <w:ind w:firstLine="0" w:firstLineChars="0"/>
        <w:rPr>
          <w:rFonts w:cs="宋体"/>
        </w:rPr>
      </w:pPr>
    </w:p>
    <w:p>
      <w:pPr>
        <w:rPr>
          <w:rFonts w:cs="宋体"/>
        </w:rPr>
      </w:pPr>
    </w:p>
    <w:p>
      <w:pPr>
        <w:ind w:firstLine="0" w:firstLineChars="0"/>
        <w:rPr>
          <w:rFonts w:cs="宋体"/>
        </w:rPr>
      </w:pPr>
    </w:p>
    <w:p>
      <w:pPr>
        <w:rPr>
          <w:rFonts w:cs="宋体"/>
        </w:rPr>
      </w:pP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ime">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Microsoft Sans Serif">
    <w:panose1 w:val="020B0604020202020204"/>
    <w:charset w:val="00"/>
    <w:family w:val="swiss"/>
    <w:pitch w:val="default"/>
    <w:sig w:usb0="E1002AFF" w:usb1="C0000002"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r>
      <w:fldChar w:fldCharType="begin"/>
    </w:r>
    <w:r>
      <w:instrText xml:space="preserve">PAGE   \* MERGEFORMAT</w:instrText>
    </w:r>
    <w:r>
      <w:fldChar w:fldCharType="separate"/>
    </w:r>
    <w:r>
      <w:rPr>
        <w:lang w:val="zh-CN"/>
      </w:rPr>
      <w:t>20</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200" w:hanging="567"/>
      </w:pPr>
      <w:rPr>
        <w:rFonts w:hint="default"/>
        <w:color w:val="auto"/>
        <w:highlight w:val="none"/>
      </w:r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7"/>
      <w:isLgl/>
      <w:suff w:val="nothing"/>
      <w:lvlText w:val="%1.%2.%3.%4.%5、"/>
      <w:lvlJc w:val="left"/>
      <w:pPr>
        <w:ind w:left="3544" w:hanging="992"/>
      </w:pPr>
      <w:rPr>
        <w:rFonts w:hint="eastAsia"/>
      </w:rPr>
    </w:lvl>
    <w:lvl w:ilvl="5" w:tentative="0">
      <w:start w:val="1"/>
      <w:numFmt w:val="decimal"/>
      <w:pStyle w:val="8"/>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2">
    <w:nsid w:val="50A406CA"/>
    <w:multiLevelType w:val="singleLevel"/>
    <w:tmpl w:val="50A406CA"/>
    <w:lvl w:ilvl="0" w:tentative="0">
      <w:start w:val="1"/>
      <w:numFmt w:val="bullet"/>
      <w:lvlText w:val=""/>
      <w:lvlJc w:val="left"/>
      <w:pPr>
        <w:tabs>
          <w:tab w:val="left" w:pos="420"/>
        </w:tabs>
        <w:ind w:left="840" w:hanging="420"/>
      </w:pPr>
      <w:rPr>
        <w:rFonts w:hint="default" w:ascii="Wingdings" w:hAnsi="Wingdings"/>
      </w:rPr>
    </w:lvl>
  </w:abstractNum>
  <w:abstractNum w:abstractNumId="3">
    <w:nsid w:val="57577CD3"/>
    <w:multiLevelType w:val="multilevel"/>
    <w:tmpl w:val="57577CD3"/>
    <w:lvl w:ilvl="0" w:tentative="0">
      <w:start w:val="1"/>
      <w:numFmt w:val="none"/>
      <w:pStyle w:val="11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MzczZDAxNzhhNzIyMzk5OGNlNjZkZWM1MWFkNmIifQ=="/>
  </w:docVars>
  <w:rsids>
    <w:rsidRoot w:val="00911A39"/>
    <w:rsid w:val="004E0EBE"/>
    <w:rsid w:val="007E659F"/>
    <w:rsid w:val="00911A39"/>
    <w:rsid w:val="00FD6C07"/>
    <w:rsid w:val="00FF4033"/>
    <w:rsid w:val="03280EEE"/>
    <w:rsid w:val="035B3CF9"/>
    <w:rsid w:val="05883ED0"/>
    <w:rsid w:val="09CB6B8F"/>
    <w:rsid w:val="0A7B4003"/>
    <w:rsid w:val="0ACB143E"/>
    <w:rsid w:val="0DB41180"/>
    <w:rsid w:val="0F470958"/>
    <w:rsid w:val="0F854CFE"/>
    <w:rsid w:val="1411119A"/>
    <w:rsid w:val="156F567A"/>
    <w:rsid w:val="1B08674C"/>
    <w:rsid w:val="1DB42018"/>
    <w:rsid w:val="202E56F9"/>
    <w:rsid w:val="21864CAA"/>
    <w:rsid w:val="25E429D3"/>
    <w:rsid w:val="26B56E44"/>
    <w:rsid w:val="28E33461"/>
    <w:rsid w:val="2A944F41"/>
    <w:rsid w:val="2ACF77E4"/>
    <w:rsid w:val="2BF40C09"/>
    <w:rsid w:val="2DE44D65"/>
    <w:rsid w:val="2E3F236D"/>
    <w:rsid w:val="30696528"/>
    <w:rsid w:val="355508BB"/>
    <w:rsid w:val="362F2722"/>
    <w:rsid w:val="384E7E60"/>
    <w:rsid w:val="39B14E48"/>
    <w:rsid w:val="3BFD61EB"/>
    <w:rsid w:val="3C925059"/>
    <w:rsid w:val="43D972D1"/>
    <w:rsid w:val="481E549B"/>
    <w:rsid w:val="488E7423"/>
    <w:rsid w:val="48CA54A3"/>
    <w:rsid w:val="4BC7483B"/>
    <w:rsid w:val="4E372FBC"/>
    <w:rsid w:val="4E774A8D"/>
    <w:rsid w:val="4FC10432"/>
    <w:rsid w:val="515673F3"/>
    <w:rsid w:val="528F544B"/>
    <w:rsid w:val="534235CF"/>
    <w:rsid w:val="57106B6D"/>
    <w:rsid w:val="590F6945"/>
    <w:rsid w:val="5B70435F"/>
    <w:rsid w:val="5C8E68DE"/>
    <w:rsid w:val="5CA359C3"/>
    <w:rsid w:val="60091B48"/>
    <w:rsid w:val="64A07804"/>
    <w:rsid w:val="683F356F"/>
    <w:rsid w:val="6ACA3339"/>
    <w:rsid w:val="6AF77E0B"/>
    <w:rsid w:val="6D59318E"/>
    <w:rsid w:val="6DCE621A"/>
    <w:rsid w:val="737F2B7A"/>
    <w:rsid w:val="78543C77"/>
    <w:rsid w:val="7A435110"/>
    <w:rsid w:val="7A65612E"/>
    <w:rsid w:val="7BAC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6"/>
    <w:autoRedefine/>
    <w:qFormat/>
    <w:uiPriority w:val="9"/>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89"/>
    <w:autoRedefine/>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2"/>
    <w:autoRedefine/>
    <w:qFormat/>
    <w:uiPriority w:val="9"/>
    <w:pPr>
      <w:keepNext/>
      <w:keepLines/>
      <w:numPr>
        <w:ilvl w:val="2"/>
        <w:numId w:val="1"/>
      </w:numPr>
      <w:spacing w:before="120" w:after="120"/>
      <w:ind w:firstLine="0" w:firstLineChars="0"/>
      <w:outlineLvl w:val="2"/>
    </w:pPr>
    <w:rPr>
      <w:b/>
      <w:bCs/>
      <w:sz w:val="28"/>
      <w:szCs w:val="28"/>
    </w:rPr>
  </w:style>
  <w:style w:type="paragraph" w:styleId="5">
    <w:name w:val="heading 4"/>
    <w:basedOn w:val="1"/>
    <w:next w:val="6"/>
    <w:link w:val="59"/>
    <w:autoRedefine/>
    <w:qFormat/>
    <w:uiPriority w:val="9"/>
    <w:pPr>
      <w:keepNext/>
      <w:keepLines/>
      <w:numPr>
        <w:ilvl w:val="3"/>
        <w:numId w:val="1"/>
      </w:numPr>
      <w:spacing w:before="120" w:after="120"/>
      <w:ind w:firstLine="0" w:firstLineChars="0"/>
      <w:outlineLvl w:val="3"/>
    </w:pPr>
    <w:rPr>
      <w:b/>
      <w:bCs/>
      <w:sz w:val="30"/>
      <w:szCs w:val="30"/>
    </w:rPr>
  </w:style>
  <w:style w:type="paragraph" w:styleId="7">
    <w:name w:val="heading 5"/>
    <w:basedOn w:val="1"/>
    <w:next w:val="1"/>
    <w:link w:val="87"/>
    <w:autoRedefine/>
    <w:qFormat/>
    <w:uiPriority w:val="9"/>
    <w:pPr>
      <w:keepNext/>
      <w:keepLines/>
      <w:numPr>
        <w:ilvl w:val="4"/>
        <w:numId w:val="1"/>
      </w:numPr>
      <w:spacing w:before="120" w:after="120"/>
      <w:ind w:left="0" w:firstLine="0" w:firstLineChars="0"/>
      <w:outlineLvl w:val="4"/>
    </w:pPr>
    <w:rPr>
      <w:b/>
      <w:bCs/>
      <w:szCs w:val="28"/>
    </w:rPr>
  </w:style>
  <w:style w:type="paragraph" w:styleId="8">
    <w:name w:val="heading 6"/>
    <w:basedOn w:val="1"/>
    <w:next w:val="1"/>
    <w:link w:val="100"/>
    <w:autoRedefine/>
    <w:qFormat/>
    <w:uiPriority w:val="9"/>
    <w:pPr>
      <w:keepNext/>
      <w:keepLines/>
      <w:numPr>
        <w:ilvl w:val="5"/>
        <w:numId w:val="1"/>
      </w:numPr>
      <w:spacing w:before="120" w:after="120"/>
      <w:ind w:firstLine="0" w:firstLineChars="0"/>
      <w:outlineLvl w:val="5"/>
    </w:pPr>
    <w:rPr>
      <w:rFonts w:ascii="Cambria" w:hAnsi="Cambria"/>
      <w:b/>
      <w:bCs/>
    </w:rPr>
  </w:style>
  <w:style w:type="paragraph" w:styleId="9">
    <w:name w:val="heading 7"/>
    <w:basedOn w:val="1"/>
    <w:next w:val="1"/>
    <w:link w:val="73"/>
    <w:autoRedefine/>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10">
    <w:name w:val="heading 8"/>
    <w:basedOn w:val="1"/>
    <w:next w:val="1"/>
    <w:link w:val="99"/>
    <w:autoRedefine/>
    <w:qFormat/>
    <w:uiPriority w:val="9"/>
    <w:pPr>
      <w:keepNext/>
      <w:keepLines/>
      <w:spacing w:before="240" w:after="64" w:line="319" w:lineRule="auto"/>
      <w:ind w:firstLine="0" w:firstLineChars="0"/>
      <w:outlineLvl w:val="7"/>
    </w:pPr>
    <w:rPr>
      <w:rFonts w:ascii="Cambria" w:hAnsi="Cambria"/>
      <w:sz w:val="21"/>
    </w:rPr>
  </w:style>
  <w:style w:type="paragraph" w:styleId="11">
    <w:name w:val="heading 9"/>
    <w:basedOn w:val="1"/>
    <w:next w:val="1"/>
    <w:link w:val="49"/>
    <w:autoRedefine/>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6">
    <w:name w:val="可研正文"/>
    <w:basedOn w:val="1"/>
    <w:link w:val="135"/>
    <w:autoRedefine/>
    <w:qFormat/>
    <w:uiPriority w:val="0"/>
    <w:pPr>
      <w:ind w:firstLine="200"/>
    </w:pPr>
    <w:rPr>
      <w:rFonts w:ascii="仿宋" w:hAnsi="仿宋" w:eastAsia="仿宋" w:cs="宋体"/>
      <w:sz w:val="28"/>
      <w:szCs w:val="28"/>
    </w:rPr>
  </w:style>
  <w:style w:type="paragraph" w:styleId="12">
    <w:name w:val="toc 7"/>
    <w:basedOn w:val="1"/>
    <w:next w:val="1"/>
    <w:autoRedefine/>
    <w:qFormat/>
    <w:uiPriority w:val="39"/>
    <w:pPr>
      <w:ind w:left="2520" w:leftChars="1200"/>
    </w:pPr>
    <w:rPr>
      <w:rFonts w:ascii="等线" w:hAnsi="等线" w:eastAsia="等线"/>
      <w:szCs w:val="22"/>
    </w:rPr>
  </w:style>
  <w:style w:type="paragraph" w:styleId="13">
    <w:name w:val="Normal Indent"/>
    <w:basedOn w:val="1"/>
    <w:autoRedefine/>
    <w:qFormat/>
    <w:uiPriority w:val="99"/>
    <w:pPr>
      <w:spacing w:line="240" w:lineRule="auto"/>
      <w:ind w:firstLine="420"/>
    </w:pPr>
    <w:rPr>
      <w:rFonts w:ascii="Calibri" w:hAnsi="Calibri"/>
      <w:sz w:val="21"/>
    </w:rPr>
  </w:style>
  <w:style w:type="paragraph" w:styleId="14">
    <w:name w:val="caption"/>
    <w:basedOn w:val="1"/>
    <w:next w:val="1"/>
    <w:link w:val="55"/>
    <w:autoRedefine/>
    <w:qFormat/>
    <w:uiPriority w:val="0"/>
    <w:pPr>
      <w:spacing w:afterLines="50"/>
      <w:ind w:firstLine="200"/>
    </w:pPr>
    <w:rPr>
      <w:rFonts w:ascii="Arial" w:hAnsi="Arial" w:eastAsia="黑体"/>
      <w:sz w:val="20"/>
      <w:szCs w:val="20"/>
    </w:rPr>
  </w:style>
  <w:style w:type="paragraph" w:styleId="15">
    <w:name w:val="Document Map"/>
    <w:basedOn w:val="1"/>
    <w:link w:val="92"/>
    <w:autoRedefine/>
    <w:qFormat/>
    <w:uiPriority w:val="0"/>
    <w:rPr>
      <w:rFonts w:hAnsi="Times New Roman"/>
      <w:sz w:val="18"/>
      <w:szCs w:val="18"/>
    </w:rPr>
  </w:style>
  <w:style w:type="paragraph" w:styleId="16">
    <w:name w:val="annotation text"/>
    <w:basedOn w:val="1"/>
    <w:link w:val="46"/>
    <w:autoRedefine/>
    <w:qFormat/>
    <w:uiPriority w:val="99"/>
    <w:pPr>
      <w:jc w:val="left"/>
    </w:pPr>
    <w:rPr>
      <w:rFonts w:ascii="Times New Roman" w:hAnsi="Times New Roman" w:eastAsia="仿宋"/>
      <w:sz w:val="28"/>
    </w:rPr>
  </w:style>
  <w:style w:type="paragraph" w:styleId="17">
    <w:name w:val="Body Text"/>
    <w:basedOn w:val="1"/>
    <w:link w:val="60"/>
    <w:autoRedefine/>
    <w:qFormat/>
    <w:uiPriority w:val="0"/>
    <w:pPr>
      <w:spacing w:after="120" w:line="240" w:lineRule="auto"/>
      <w:ind w:firstLine="0" w:firstLineChars="0"/>
    </w:pPr>
    <w:rPr>
      <w:rFonts w:ascii="Times New Roman" w:hAnsi="Times New Roman"/>
      <w:sz w:val="21"/>
    </w:rPr>
  </w:style>
  <w:style w:type="paragraph" w:styleId="18">
    <w:name w:val="Body Text Indent"/>
    <w:basedOn w:val="1"/>
    <w:link w:val="86"/>
    <w:autoRedefine/>
    <w:qFormat/>
    <w:uiPriority w:val="0"/>
    <w:pPr>
      <w:spacing w:after="120"/>
      <w:ind w:firstLine="200"/>
    </w:pPr>
    <w:rPr>
      <w:rFonts w:ascii="Times New Roman" w:hAnsi="Times New Roman"/>
      <w:sz w:val="21"/>
      <w:szCs w:val="20"/>
    </w:rPr>
  </w:style>
  <w:style w:type="paragraph" w:styleId="19">
    <w:name w:val="toc 5"/>
    <w:basedOn w:val="1"/>
    <w:next w:val="1"/>
    <w:autoRedefine/>
    <w:qFormat/>
    <w:uiPriority w:val="39"/>
    <w:pPr>
      <w:ind w:left="1680" w:leftChars="800"/>
    </w:pPr>
    <w:rPr>
      <w:rFonts w:ascii="等线" w:hAnsi="等线" w:eastAsia="等线"/>
      <w:szCs w:val="22"/>
    </w:rPr>
  </w:style>
  <w:style w:type="paragraph" w:styleId="20">
    <w:name w:val="toc 3"/>
    <w:basedOn w:val="1"/>
    <w:next w:val="1"/>
    <w:autoRedefine/>
    <w:qFormat/>
    <w:uiPriority w:val="39"/>
    <w:pPr>
      <w:tabs>
        <w:tab w:val="right" w:leader="dot" w:pos="8302"/>
      </w:tabs>
      <w:ind w:left="840" w:leftChars="400"/>
    </w:pPr>
  </w:style>
  <w:style w:type="paragraph" w:styleId="21">
    <w:name w:val="Plain Text"/>
    <w:basedOn w:val="1"/>
    <w:link w:val="67"/>
    <w:autoRedefine/>
    <w:qFormat/>
    <w:uiPriority w:val="0"/>
    <w:pPr>
      <w:spacing w:line="240" w:lineRule="auto"/>
      <w:ind w:firstLine="0" w:firstLineChars="0"/>
    </w:pPr>
    <w:rPr>
      <w:rFonts w:hAnsi="Courier New"/>
      <w:sz w:val="21"/>
      <w:szCs w:val="20"/>
    </w:rPr>
  </w:style>
  <w:style w:type="paragraph" w:styleId="22">
    <w:name w:val="toc 8"/>
    <w:basedOn w:val="1"/>
    <w:next w:val="1"/>
    <w:autoRedefine/>
    <w:qFormat/>
    <w:uiPriority w:val="39"/>
    <w:pPr>
      <w:ind w:left="2940" w:leftChars="1400"/>
    </w:pPr>
    <w:rPr>
      <w:rFonts w:ascii="等线" w:hAnsi="等线" w:eastAsia="等线"/>
      <w:szCs w:val="22"/>
    </w:rPr>
  </w:style>
  <w:style w:type="paragraph" w:styleId="23">
    <w:name w:val="Date"/>
    <w:basedOn w:val="1"/>
    <w:next w:val="1"/>
    <w:link w:val="48"/>
    <w:autoRedefine/>
    <w:qFormat/>
    <w:uiPriority w:val="0"/>
    <w:pPr>
      <w:ind w:left="100" w:leftChars="2500"/>
    </w:pPr>
    <w:rPr>
      <w:rFonts w:ascii="Times New Roman" w:hAnsi="Times New Roman"/>
      <w:sz w:val="21"/>
    </w:rPr>
  </w:style>
  <w:style w:type="paragraph" w:styleId="24">
    <w:name w:val="Balloon Text"/>
    <w:basedOn w:val="1"/>
    <w:link w:val="97"/>
    <w:autoRedefine/>
    <w:qFormat/>
    <w:uiPriority w:val="0"/>
    <w:rPr>
      <w:rFonts w:ascii="Times New Roman" w:hAnsi="Times New Roman"/>
      <w:sz w:val="18"/>
      <w:szCs w:val="18"/>
    </w:rPr>
  </w:style>
  <w:style w:type="paragraph" w:styleId="25">
    <w:name w:val="footer"/>
    <w:basedOn w:val="1"/>
    <w:link w:val="90"/>
    <w:autoRedefine/>
    <w:qFormat/>
    <w:uiPriority w:val="99"/>
    <w:pPr>
      <w:tabs>
        <w:tab w:val="center" w:pos="4153"/>
        <w:tab w:val="right" w:pos="8306"/>
      </w:tabs>
      <w:snapToGrid w:val="0"/>
      <w:jc w:val="center"/>
    </w:pPr>
    <w:rPr>
      <w:rFonts w:ascii="Times New Roman" w:hAnsi="Times New Roman"/>
      <w:sz w:val="18"/>
      <w:szCs w:val="18"/>
    </w:rPr>
  </w:style>
  <w:style w:type="paragraph" w:styleId="26">
    <w:name w:val="header"/>
    <w:basedOn w:val="1"/>
    <w:link w:val="98"/>
    <w:autoRedefine/>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7">
    <w:name w:val="toc 1"/>
    <w:basedOn w:val="1"/>
    <w:next w:val="1"/>
    <w:autoRedefine/>
    <w:qFormat/>
    <w:uiPriority w:val="39"/>
  </w:style>
  <w:style w:type="paragraph" w:styleId="28">
    <w:name w:val="toc 4"/>
    <w:basedOn w:val="1"/>
    <w:next w:val="1"/>
    <w:autoRedefine/>
    <w:qFormat/>
    <w:uiPriority w:val="39"/>
    <w:pPr>
      <w:ind w:left="1260" w:leftChars="600"/>
    </w:pPr>
    <w:rPr>
      <w:rFonts w:ascii="等线" w:hAnsi="等线" w:eastAsia="等线"/>
      <w:szCs w:val="22"/>
    </w:rPr>
  </w:style>
  <w:style w:type="paragraph" w:styleId="29">
    <w:name w:val="Subtitle"/>
    <w:basedOn w:val="1"/>
    <w:next w:val="1"/>
    <w:link w:val="88"/>
    <w:autoRedefine/>
    <w:qFormat/>
    <w:uiPriority w:val="0"/>
    <w:pPr>
      <w:spacing w:before="240" w:after="60" w:line="312" w:lineRule="auto"/>
      <w:jc w:val="center"/>
      <w:outlineLvl w:val="1"/>
    </w:pPr>
    <w:rPr>
      <w:rFonts w:ascii="Calibri Light" w:hAnsi="Calibri Light"/>
      <w:b/>
      <w:bCs/>
      <w:kern w:val="28"/>
      <w:sz w:val="32"/>
      <w:szCs w:val="32"/>
    </w:rPr>
  </w:style>
  <w:style w:type="paragraph" w:styleId="30">
    <w:name w:val="toc 6"/>
    <w:basedOn w:val="1"/>
    <w:next w:val="1"/>
    <w:autoRedefine/>
    <w:qFormat/>
    <w:uiPriority w:val="39"/>
    <w:pPr>
      <w:ind w:left="2100" w:leftChars="1000"/>
    </w:pPr>
    <w:rPr>
      <w:rFonts w:ascii="等线" w:hAnsi="等线" w:eastAsia="等线"/>
      <w:szCs w:val="22"/>
    </w:rPr>
  </w:style>
  <w:style w:type="paragraph" w:styleId="31">
    <w:name w:val="toc 2"/>
    <w:basedOn w:val="1"/>
    <w:next w:val="1"/>
    <w:autoRedefine/>
    <w:qFormat/>
    <w:uiPriority w:val="39"/>
    <w:pPr>
      <w:tabs>
        <w:tab w:val="right" w:leader="dot" w:pos="8302"/>
      </w:tabs>
      <w:ind w:left="420" w:leftChars="200"/>
    </w:pPr>
  </w:style>
  <w:style w:type="paragraph" w:styleId="32">
    <w:name w:val="toc 9"/>
    <w:basedOn w:val="1"/>
    <w:next w:val="1"/>
    <w:autoRedefine/>
    <w:qFormat/>
    <w:uiPriority w:val="39"/>
    <w:pPr>
      <w:ind w:left="3360" w:leftChars="1600"/>
    </w:pPr>
    <w:rPr>
      <w:rFonts w:ascii="等线" w:hAnsi="等线" w:eastAsia="等线"/>
      <w:szCs w:val="22"/>
    </w:rPr>
  </w:style>
  <w:style w:type="paragraph" w:styleId="33">
    <w:name w:val="Normal (Web)"/>
    <w:basedOn w:val="1"/>
    <w:autoRedefine/>
    <w:qFormat/>
    <w:uiPriority w:val="99"/>
    <w:pPr>
      <w:widowControl/>
      <w:spacing w:before="100" w:after="100"/>
      <w:jc w:val="left"/>
    </w:pPr>
    <w:rPr>
      <w:rFonts w:hint="eastAsia" w:ascii="Arial Unicode MS" w:hAnsi="Arial Unicode MS" w:eastAsia="Arial Unicode MS"/>
      <w:kern w:val="0"/>
    </w:rPr>
  </w:style>
  <w:style w:type="paragraph" w:styleId="34">
    <w:name w:val="Title"/>
    <w:basedOn w:val="1"/>
    <w:next w:val="1"/>
    <w:link w:val="96"/>
    <w:autoRedefine/>
    <w:qFormat/>
    <w:uiPriority w:val="0"/>
    <w:pPr>
      <w:spacing w:before="240" w:after="60" w:line="960" w:lineRule="auto"/>
      <w:jc w:val="center"/>
    </w:pPr>
    <w:rPr>
      <w:rFonts w:ascii="Cambria" w:hAnsi="Cambria" w:eastAsia="黑体"/>
      <w:b/>
      <w:bCs/>
      <w:sz w:val="52"/>
      <w:szCs w:val="32"/>
    </w:rPr>
  </w:style>
  <w:style w:type="paragraph" w:styleId="35">
    <w:name w:val="annotation subject"/>
    <w:basedOn w:val="16"/>
    <w:next w:val="16"/>
    <w:link w:val="84"/>
    <w:autoRedefine/>
    <w:qFormat/>
    <w:uiPriority w:val="0"/>
    <w:rPr>
      <w:b/>
      <w:bCs/>
      <w:sz w:val="21"/>
    </w:rPr>
  </w:style>
  <w:style w:type="table" w:styleId="37">
    <w:name w:val="Table Grid"/>
    <w:basedOn w:val="3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autoRedefine/>
    <w:qFormat/>
    <w:uiPriority w:val="0"/>
  </w:style>
  <w:style w:type="character" w:styleId="40">
    <w:name w:val="FollowedHyperlink"/>
    <w:autoRedefine/>
    <w:qFormat/>
    <w:uiPriority w:val="99"/>
    <w:rPr>
      <w:color w:val="954F72"/>
      <w:u w:val="single"/>
    </w:rPr>
  </w:style>
  <w:style w:type="character" w:styleId="41">
    <w:name w:val="Hyperlink"/>
    <w:autoRedefine/>
    <w:qFormat/>
    <w:uiPriority w:val="99"/>
    <w:rPr>
      <w:color w:val="0000FF"/>
      <w:u w:val="single"/>
    </w:rPr>
  </w:style>
  <w:style w:type="character" w:styleId="42">
    <w:name w:val="annotation reference"/>
    <w:autoRedefine/>
    <w:qFormat/>
    <w:uiPriority w:val="99"/>
    <w:rPr>
      <w:sz w:val="21"/>
      <w:szCs w:val="21"/>
    </w:rPr>
  </w:style>
  <w:style w:type="character" w:customStyle="1" w:styleId="43">
    <w:name w:val="标题 3 字符1"/>
    <w:autoRedefine/>
    <w:qFormat/>
    <w:uiPriority w:val="0"/>
    <w:rPr>
      <w:rFonts w:ascii="宋体" w:hAnsi="宋体"/>
      <w:b/>
      <w:bCs/>
      <w:kern w:val="2"/>
      <w:sz w:val="28"/>
      <w:szCs w:val="28"/>
    </w:rPr>
  </w:style>
  <w:style w:type="character" w:customStyle="1" w:styleId="44">
    <w:name w:val="首行缩进正文 Char"/>
    <w:link w:val="45"/>
    <w:autoRedefine/>
    <w:qFormat/>
    <w:uiPriority w:val="0"/>
    <w:rPr>
      <w:kern w:val="2"/>
      <w:sz w:val="24"/>
    </w:rPr>
  </w:style>
  <w:style w:type="paragraph" w:customStyle="1" w:styleId="45">
    <w:name w:val="首行缩进正文"/>
    <w:basedOn w:val="1"/>
    <w:link w:val="44"/>
    <w:autoRedefine/>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6">
    <w:name w:val="批注文字 字符1"/>
    <w:link w:val="16"/>
    <w:autoRedefine/>
    <w:qFormat/>
    <w:uiPriority w:val="99"/>
    <w:rPr>
      <w:rFonts w:eastAsia="仿宋"/>
      <w:kern w:val="2"/>
      <w:sz w:val="28"/>
      <w:szCs w:val="24"/>
    </w:rPr>
  </w:style>
  <w:style w:type="character" w:customStyle="1" w:styleId="47">
    <w:name w:val="日期 字符"/>
    <w:autoRedefine/>
    <w:qFormat/>
    <w:uiPriority w:val="99"/>
    <w:rPr>
      <w:rFonts w:ascii="宋体" w:hAnsi="宋体"/>
      <w:kern w:val="2"/>
      <w:sz w:val="24"/>
      <w:szCs w:val="24"/>
    </w:rPr>
  </w:style>
  <w:style w:type="character" w:customStyle="1" w:styleId="48">
    <w:name w:val="日期 字符1"/>
    <w:link w:val="23"/>
    <w:autoRedefine/>
    <w:qFormat/>
    <w:uiPriority w:val="0"/>
    <w:rPr>
      <w:kern w:val="2"/>
      <w:sz w:val="21"/>
      <w:szCs w:val="24"/>
    </w:rPr>
  </w:style>
  <w:style w:type="character" w:customStyle="1" w:styleId="49">
    <w:name w:val="标题 9 字符"/>
    <w:link w:val="11"/>
    <w:autoRedefine/>
    <w:qFormat/>
    <w:uiPriority w:val="9"/>
    <w:rPr>
      <w:rFonts w:ascii="Cambria" w:hAnsi="Cambria"/>
      <w:kern w:val="2"/>
      <w:sz w:val="21"/>
      <w:szCs w:val="21"/>
    </w:rPr>
  </w:style>
  <w:style w:type="character" w:customStyle="1" w:styleId="50">
    <w:name w:val="未处理的提及1"/>
    <w:autoRedefine/>
    <w:qFormat/>
    <w:uiPriority w:val="99"/>
    <w:rPr>
      <w:color w:val="605E5C"/>
      <w:shd w:val="clear" w:color="auto" w:fill="E1DFDD"/>
    </w:rPr>
  </w:style>
  <w:style w:type="character" w:customStyle="1" w:styleId="51">
    <w:name w:val="标题 1 字符"/>
    <w:autoRedefine/>
    <w:qFormat/>
    <w:uiPriority w:val="9"/>
    <w:rPr>
      <w:rFonts w:ascii="宋体" w:hAnsi="宋体"/>
      <w:b/>
      <w:bCs/>
      <w:kern w:val="44"/>
      <w:sz w:val="44"/>
      <w:szCs w:val="44"/>
    </w:rPr>
  </w:style>
  <w:style w:type="character" w:customStyle="1" w:styleId="52">
    <w:name w:val="标题 3 字符"/>
    <w:autoRedefine/>
    <w:qFormat/>
    <w:uiPriority w:val="9"/>
    <w:rPr>
      <w:rFonts w:ascii="宋体" w:hAnsi="宋体"/>
      <w:b/>
      <w:bCs/>
      <w:kern w:val="2"/>
      <w:sz w:val="32"/>
      <w:szCs w:val="32"/>
    </w:rPr>
  </w:style>
  <w:style w:type="character" w:customStyle="1" w:styleId="53">
    <w:name w:val="页脚 字符"/>
    <w:autoRedefine/>
    <w:qFormat/>
    <w:uiPriority w:val="99"/>
  </w:style>
  <w:style w:type="character" w:customStyle="1" w:styleId="54">
    <w:name w:val="标题 5 字符"/>
    <w:autoRedefine/>
    <w:qFormat/>
    <w:uiPriority w:val="9"/>
    <w:rPr>
      <w:rFonts w:ascii="宋体" w:hAnsi="宋体"/>
      <w:b/>
      <w:bCs/>
      <w:kern w:val="2"/>
      <w:sz w:val="28"/>
      <w:szCs w:val="28"/>
    </w:rPr>
  </w:style>
  <w:style w:type="character" w:customStyle="1" w:styleId="55">
    <w:name w:val="题注 字符"/>
    <w:link w:val="14"/>
    <w:autoRedefine/>
    <w:qFormat/>
    <w:uiPriority w:val="0"/>
    <w:rPr>
      <w:rFonts w:ascii="Arial" w:hAnsi="Arial" w:eastAsia="黑体"/>
      <w:kern w:val="2"/>
    </w:rPr>
  </w:style>
  <w:style w:type="character" w:customStyle="1" w:styleId="56">
    <w:name w:val="标题 2 字符"/>
    <w:autoRedefine/>
    <w:qFormat/>
    <w:uiPriority w:val="9"/>
    <w:rPr>
      <w:rFonts w:ascii="等线 Light" w:hAnsi="等线 Light" w:eastAsia="等线 Light" w:cs="Times New Roman"/>
      <w:b/>
      <w:bCs/>
      <w:kern w:val="2"/>
      <w:sz w:val="32"/>
      <w:szCs w:val="32"/>
    </w:rPr>
  </w:style>
  <w:style w:type="character" w:customStyle="1" w:styleId="57">
    <w:name w:val="纯文本 字符"/>
    <w:autoRedefine/>
    <w:qFormat/>
    <w:uiPriority w:val="0"/>
    <w:rPr>
      <w:rFonts w:ascii="宋体" w:hAnsi="Courier New" w:cs="Courier New"/>
      <w:kern w:val="2"/>
      <w:sz w:val="21"/>
      <w:szCs w:val="21"/>
    </w:rPr>
  </w:style>
  <w:style w:type="character" w:customStyle="1" w:styleId="58">
    <w:name w:val="列表段落 字符"/>
    <w:autoRedefine/>
    <w:qFormat/>
    <w:uiPriority w:val="34"/>
    <w:rPr>
      <w:kern w:val="2"/>
      <w:sz w:val="21"/>
      <w:szCs w:val="22"/>
    </w:rPr>
  </w:style>
  <w:style w:type="character" w:customStyle="1" w:styleId="59">
    <w:name w:val="标题 4 字符1"/>
    <w:link w:val="5"/>
    <w:autoRedefine/>
    <w:qFormat/>
    <w:uiPriority w:val="0"/>
    <w:rPr>
      <w:rFonts w:ascii="宋体" w:hAnsi="宋体"/>
      <w:b/>
      <w:bCs/>
      <w:kern w:val="2"/>
      <w:sz w:val="30"/>
      <w:szCs w:val="30"/>
    </w:rPr>
  </w:style>
  <w:style w:type="character" w:customStyle="1" w:styleId="60">
    <w:name w:val="正文文本 字符"/>
    <w:link w:val="17"/>
    <w:autoRedefine/>
    <w:qFormat/>
    <w:uiPriority w:val="0"/>
    <w:rPr>
      <w:kern w:val="2"/>
      <w:sz w:val="21"/>
      <w:szCs w:val="24"/>
    </w:rPr>
  </w:style>
  <w:style w:type="character" w:customStyle="1" w:styleId="61">
    <w:name w:val="列出段落 字符"/>
    <w:link w:val="62"/>
    <w:autoRedefine/>
    <w:qFormat/>
    <w:uiPriority w:val="34"/>
    <w:rPr>
      <w:kern w:val="2"/>
      <w:sz w:val="21"/>
      <w:szCs w:val="24"/>
    </w:rPr>
  </w:style>
  <w:style w:type="paragraph" w:styleId="62">
    <w:name w:val="List Paragraph"/>
    <w:basedOn w:val="1"/>
    <w:link w:val="61"/>
    <w:autoRedefine/>
    <w:qFormat/>
    <w:uiPriority w:val="34"/>
    <w:pPr>
      <w:ind w:firstLine="420"/>
    </w:pPr>
    <w:rPr>
      <w:rFonts w:ascii="Times New Roman" w:hAnsi="Times New Roman"/>
      <w:sz w:val="21"/>
    </w:rPr>
  </w:style>
  <w:style w:type="character" w:customStyle="1" w:styleId="63">
    <w:name w:val="font21"/>
    <w:autoRedefine/>
    <w:qFormat/>
    <w:uiPriority w:val="0"/>
    <w:rPr>
      <w:rFonts w:ascii="Calibri" w:hAnsi="Calibri" w:cs="Calibri"/>
      <w:color w:val="000000"/>
      <w:sz w:val="21"/>
      <w:szCs w:val="21"/>
      <w:u w:val="none"/>
    </w:rPr>
  </w:style>
  <w:style w:type="character" w:customStyle="1" w:styleId="64">
    <w:name w:val="*正文 Char"/>
    <w:link w:val="65"/>
    <w:autoRedefine/>
    <w:qFormat/>
    <w:uiPriority w:val="0"/>
    <w:rPr>
      <w:rFonts w:ascii="time" w:hAnsi="time"/>
      <w:sz w:val="24"/>
      <w:szCs w:val="24"/>
      <w:lang w:bidi="en-US"/>
    </w:rPr>
  </w:style>
  <w:style w:type="paragraph" w:customStyle="1" w:styleId="65">
    <w:name w:val="*正文"/>
    <w:basedOn w:val="1"/>
    <w:link w:val="64"/>
    <w:autoRedefine/>
    <w:qFormat/>
    <w:uiPriority w:val="0"/>
    <w:pPr>
      <w:widowControl/>
      <w:ind w:firstLine="200"/>
      <w:contextualSpacing/>
    </w:pPr>
    <w:rPr>
      <w:rFonts w:ascii="time" w:hAnsi="time"/>
      <w:kern w:val="0"/>
      <w:lang w:bidi="en-US"/>
    </w:rPr>
  </w:style>
  <w:style w:type="character" w:customStyle="1" w:styleId="66">
    <w:name w:val="正文文本缩进 字符"/>
    <w:autoRedefine/>
    <w:qFormat/>
    <w:uiPriority w:val="99"/>
    <w:rPr>
      <w:rFonts w:ascii="宋体" w:hAnsi="宋体"/>
      <w:kern w:val="2"/>
      <w:sz w:val="24"/>
      <w:szCs w:val="24"/>
    </w:rPr>
  </w:style>
  <w:style w:type="character" w:customStyle="1" w:styleId="67">
    <w:name w:val="纯文本 字符1"/>
    <w:link w:val="21"/>
    <w:autoRedefine/>
    <w:qFormat/>
    <w:uiPriority w:val="0"/>
    <w:rPr>
      <w:rFonts w:ascii="宋体" w:hAnsi="Courier New"/>
      <w:kern w:val="2"/>
      <w:sz w:val="21"/>
    </w:rPr>
  </w:style>
  <w:style w:type="character" w:customStyle="1" w:styleId="68">
    <w:name w:val="my正文 Char"/>
    <w:link w:val="69"/>
    <w:autoRedefine/>
    <w:qFormat/>
    <w:uiPriority w:val="0"/>
    <w:rPr>
      <w:kern w:val="2"/>
      <w:sz w:val="21"/>
      <w:szCs w:val="24"/>
    </w:rPr>
  </w:style>
  <w:style w:type="paragraph" w:customStyle="1" w:styleId="69">
    <w:name w:val="my正文"/>
    <w:basedOn w:val="1"/>
    <w:link w:val="68"/>
    <w:autoRedefine/>
    <w:qFormat/>
    <w:uiPriority w:val="0"/>
    <w:pPr>
      <w:spacing w:line="240" w:lineRule="auto"/>
      <w:ind w:firstLine="0" w:firstLineChars="0"/>
    </w:pPr>
    <w:rPr>
      <w:rFonts w:ascii="Times New Roman" w:hAnsi="Times New Roman"/>
      <w:sz w:val="21"/>
    </w:rPr>
  </w:style>
  <w:style w:type="character" w:customStyle="1" w:styleId="70">
    <w:name w:val="正文2 字符"/>
    <w:link w:val="71"/>
    <w:autoRedefine/>
    <w:qFormat/>
    <w:uiPriority w:val="0"/>
    <w:rPr>
      <w:kern w:val="2"/>
      <w:sz w:val="21"/>
      <w:szCs w:val="24"/>
    </w:rPr>
  </w:style>
  <w:style w:type="paragraph" w:customStyle="1" w:styleId="71">
    <w:name w:val="正文2"/>
    <w:basedOn w:val="1"/>
    <w:link w:val="70"/>
    <w:autoRedefine/>
    <w:qFormat/>
    <w:uiPriority w:val="0"/>
    <w:pPr>
      <w:ind w:firstLine="420"/>
    </w:pPr>
    <w:rPr>
      <w:rFonts w:ascii="Times New Roman" w:hAnsi="Times New Roman"/>
      <w:sz w:val="21"/>
    </w:rPr>
  </w:style>
  <w:style w:type="character" w:customStyle="1" w:styleId="72">
    <w:name w:val="font41"/>
    <w:autoRedefine/>
    <w:qFormat/>
    <w:uiPriority w:val="0"/>
    <w:rPr>
      <w:rFonts w:hint="eastAsia" w:ascii="宋体" w:hAnsi="宋体" w:eastAsia="宋体" w:cs="宋体"/>
      <w:color w:val="000000"/>
      <w:sz w:val="21"/>
      <w:szCs w:val="21"/>
      <w:u w:val="none"/>
    </w:rPr>
  </w:style>
  <w:style w:type="character" w:customStyle="1" w:styleId="73">
    <w:name w:val="标题 7 字符"/>
    <w:link w:val="9"/>
    <w:autoRedefine/>
    <w:qFormat/>
    <w:uiPriority w:val="9"/>
    <w:rPr>
      <w:b/>
      <w:bCs/>
      <w:kern w:val="2"/>
      <w:sz w:val="21"/>
      <w:szCs w:val="24"/>
    </w:rPr>
  </w:style>
  <w:style w:type="character" w:customStyle="1" w:styleId="74">
    <w:name w:val="批注框文本 字符"/>
    <w:autoRedefine/>
    <w:qFormat/>
    <w:uiPriority w:val="99"/>
    <w:rPr>
      <w:rFonts w:ascii="宋体" w:hAnsi="宋体"/>
      <w:kern w:val="2"/>
      <w:sz w:val="18"/>
      <w:szCs w:val="18"/>
    </w:rPr>
  </w:style>
  <w:style w:type="character" w:customStyle="1" w:styleId="75">
    <w:name w:val="副标题 Char1"/>
    <w:autoRedefine/>
    <w:qFormat/>
    <w:uiPriority w:val="0"/>
    <w:rPr>
      <w:rFonts w:ascii="Calibri Light" w:hAnsi="Calibri Light" w:cs="Times New Roman"/>
      <w:b/>
      <w:bCs/>
      <w:kern w:val="28"/>
      <w:sz w:val="32"/>
      <w:szCs w:val="32"/>
    </w:rPr>
  </w:style>
  <w:style w:type="character" w:customStyle="1" w:styleId="76">
    <w:name w:val="标题 1 字符1"/>
    <w:link w:val="2"/>
    <w:autoRedefine/>
    <w:qFormat/>
    <w:uiPriority w:val="0"/>
    <w:rPr>
      <w:rFonts w:ascii="宋体" w:hAnsi="宋体" w:eastAsia="黑体"/>
      <w:b/>
      <w:bCs/>
      <w:kern w:val="44"/>
      <w:sz w:val="32"/>
      <w:szCs w:val="28"/>
    </w:rPr>
  </w:style>
  <w:style w:type="character" w:customStyle="1" w:styleId="77">
    <w:name w:val="批注文字 字符"/>
    <w:autoRedefine/>
    <w:qFormat/>
    <w:uiPriority w:val="99"/>
    <w:rPr>
      <w:rFonts w:ascii="宋体" w:hAnsi="宋体"/>
      <w:kern w:val="2"/>
      <w:sz w:val="24"/>
      <w:szCs w:val="24"/>
    </w:rPr>
  </w:style>
  <w:style w:type="character" w:customStyle="1" w:styleId="78">
    <w:name w:val="文档结构图 字符"/>
    <w:autoRedefine/>
    <w:qFormat/>
    <w:uiPriority w:val="99"/>
    <w:rPr>
      <w:rFonts w:ascii="Microsoft YaHei UI" w:hAnsi="宋体" w:eastAsia="Microsoft YaHei UI"/>
      <w:kern w:val="2"/>
      <w:sz w:val="18"/>
      <w:szCs w:val="18"/>
    </w:rPr>
  </w:style>
  <w:style w:type="character" w:customStyle="1" w:styleId="79">
    <w:name w:val="标题 6 字符"/>
    <w:autoRedefine/>
    <w:qFormat/>
    <w:uiPriority w:val="9"/>
    <w:rPr>
      <w:rFonts w:ascii="等线 Light" w:hAnsi="等线 Light" w:eastAsia="等线 Light" w:cs="Times New Roman"/>
      <w:b/>
      <w:bCs/>
      <w:kern w:val="2"/>
      <w:sz w:val="24"/>
      <w:szCs w:val="24"/>
    </w:rPr>
  </w:style>
  <w:style w:type="character" w:customStyle="1" w:styleId="80">
    <w:name w:val="正文正文2 Char"/>
    <w:link w:val="81"/>
    <w:autoRedefine/>
    <w:qFormat/>
    <w:uiPriority w:val="0"/>
    <w:rPr>
      <w:rFonts w:ascii="宋体" w:hAnsi="宋体"/>
      <w:kern w:val="2"/>
      <w:sz w:val="21"/>
      <w:szCs w:val="21"/>
    </w:rPr>
  </w:style>
  <w:style w:type="paragraph" w:customStyle="1" w:styleId="81">
    <w:name w:val="正文正文2"/>
    <w:basedOn w:val="1"/>
    <w:link w:val="80"/>
    <w:autoRedefine/>
    <w:qFormat/>
    <w:uiPriority w:val="0"/>
    <w:pPr>
      <w:ind w:firstLine="460"/>
    </w:pPr>
    <w:rPr>
      <w:sz w:val="21"/>
      <w:szCs w:val="21"/>
    </w:rPr>
  </w:style>
  <w:style w:type="character" w:customStyle="1" w:styleId="82">
    <w:name w:val="标题 3 字符2"/>
    <w:link w:val="4"/>
    <w:autoRedefine/>
    <w:qFormat/>
    <w:uiPriority w:val="0"/>
    <w:rPr>
      <w:rFonts w:ascii="宋体" w:hAnsi="宋体"/>
      <w:b/>
      <w:bCs/>
      <w:kern w:val="2"/>
      <w:sz w:val="28"/>
      <w:szCs w:val="28"/>
    </w:rPr>
  </w:style>
  <w:style w:type="character" w:customStyle="1" w:styleId="83">
    <w:name w:val="标题 4 字符"/>
    <w:autoRedefine/>
    <w:qFormat/>
    <w:uiPriority w:val="9"/>
    <w:rPr>
      <w:rFonts w:ascii="等线 Light" w:hAnsi="等线 Light" w:eastAsia="等线 Light" w:cs="Times New Roman"/>
      <w:b/>
      <w:bCs/>
      <w:kern w:val="2"/>
      <w:sz w:val="28"/>
      <w:szCs w:val="28"/>
    </w:rPr>
  </w:style>
  <w:style w:type="character" w:customStyle="1" w:styleId="84">
    <w:name w:val="批注主题 字符1"/>
    <w:link w:val="35"/>
    <w:autoRedefine/>
    <w:qFormat/>
    <w:uiPriority w:val="0"/>
    <w:rPr>
      <w:rFonts w:eastAsia="仿宋"/>
      <w:b/>
      <w:bCs/>
      <w:kern w:val="2"/>
      <w:sz w:val="21"/>
      <w:szCs w:val="24"/>
    </w:rPr>
  </w:style>
  <w:style w:type="character" w:customStyle="1" w:styleId="85">
    <w:name w:val="页眉 字符"/>
    <w:autoRedefine/>
    <w:qFormat/>
    <w:uiPriority w:val="99"/>
    <w:rPr>
      <w:rFonts w:ascii="宋体" w:hAnsi="宋体"/>
      <w:kern w:val="2"/>
      <w:sz w:val="18"/>
      <w:szCs w:val="18"/>
    </w:rPr>
  </w:style>
  <w:style w:type="character" w:customStyle="1" w:styleId="86">
    <w:name w:val="正文文本缩进 字符1"/>
    <w:link w:val="18"/>
    <w:autoRedefine/>
    <w:qFormat/>
    <w:uiPriority w:val="0"/>
    <w:rPr>
      <w:kern w:val="2"/>
      <w:sz w:val="21"/>
    </w:rPr>
  </w:style>
  <w:style w:type="character" w:customStyle="1" w:styleId="87">
    <w:name w:val="标题 5 字符1"/>
    <w:link w:val="7"/>
    <w:autoRedefine/>
    <w:qFormat/>
    <w:uiPriority w:val="0"/>
    <w:rPr>
      <w:rFonts w:ascii="宋体" w:hAnsi="宋体"/>
      <w:b/>
      <w:bCs/>
      <w:kern w:val="2"/>
      <w:sz w:val="24"/>
      <w:szCs w:val="28"/>
    </w:rPr>
  </w:style>
  <w:style w:type="character" w:customStyle="1" w:styleId="88">
    <w:name w:val="副标题 字符1"/>
    <w:link w:val="29"/>
    <w:autoRedefine/>
    <w:qFormat/>
    <w:uiPriority w:val="0"/>
    <w:rPr>
      <w:rFonts w:ascii="Calibri Light" w:hAnsi="Calibri Light"/>
      <w:b/>
      <w:bCs/>
      <w:kern w:val="28"/>
      <w:sz w:val="32"/>
      <w:szCs w:val="32"/>
    </w:rPr>
  </w:style>
  <w:style w:type="character" w:customStyle="1" w:styleId="89">
    <w:name w:val="标题 2 字符1"/>
    <w:link w:val="3"/>
    <w:autoRedefine/>
    <w:qFormat/>
    <w:uiPriority w:val="0"/>
    <w:rPr>
      <w:rFonts w:ascii="宋体" w:hAnsi="宋体"/>
      <w:b/>
      <w:bCs/>
      <w:kern w:val="2"/>
      <w:sz w:val="30"/>
      <w:szCs w:val="32"/>
    </w:rPr>
  </w:style>
  <w:style w:type="character" w:customStyle="1" w:styleId="90">
    <w:name w:val="页脚 字符1"/>
    <w:link w:val="25"/>
    <w:autoRedefine/>
    <w:qFormat/>
    <w:uiPriority w:val="99"/>
    <w:rPr>
      <w:kern w:val="2"/>
      <w:sz w:val="18"/>
      <w:szCs w:val="18"/>
    </w:rPr>
  </w:style>
  <w:style w:type="character" w:customStyle="1" w:styleId="91">
    <w:name w:val="批注主题 字符"/>
    <w:autoRedefine/>
    <w:qFormat/>
    <w:uiPriority w:val="99"/>
    <w:rPr>
      <w:rFonts w:ascii="宋体" w:hAnsi="宋体"/>
      <w:b/>
      <w:bCs/>
      <w:kern w:val="2"/>
      <w:sz w:val="24"/>
      <w:szCs w:val="24"/>
    </w:rPr>
  </w:style>
  <w:style w:type="character" w:customStyle="1" w:styleId="92">
    <w:name w:val="文档结构图 字符1"/>
    <w:link w:val="15"/>
    <w:autoRedefine/>
    <w:qFormat/>
    <w:uiPriority w:val="0"/>
    <w:rPr>
      <w:rFonts w:ascii="宋体"/>
      <w:kern w:val="2"/>
      <w:sz w:val="18"/>
      <w:szCs w:val="18"/>
    </w:rPr>
  </w:style>
  <w:style w:type="character" w:customStyle="1" w:styleId="93">
    <w:name w:val="font31"/>
    <w:autoRedefine/>
    <w:qFormat/>
    <w:uiPriority w:val="0"/>
    <w:rPr>
      <w:rFonts w:hint="eastAsia" w:ascii="宋体" w:hAnsi="宋体" w:eastAsia="宋体" w:cs="宋体"/>
      <w:color w:val="000000"/>
      <w:sz w:val="21"/>
      <w:szCs w:val="21"/>
      <w:u w:val="none"/>
    </w:rPr>
  </w:style>
  <w:style w:type="character" w:customStyle="1" w:styleId="94">
    <w:name w:val="标准正文 Char"/>
    <w:link w:val="95"/>
    <w:autoRedefine/>
    <w:qFormat/>
    <w:uiPriority w:val="0"/>
    <w:rPr>
      <w:rFonts w:ascii="Arial" w:hAnsi="Arial"/>
      <w:kern w:val="2"/>
      <w:sz w:val="24"/>
    </w:rPr>
  </w:style>
  <w:style w:type="paragraph" w:customStyle="1" w:styleId="95">
    <w:name w:val="标准正文"/>
    <w:basedOn w:val="18"/>
    <w:link w:val="94"/>
    <w:autoRedefine/>
    <w:qFormat/>
    <w:uiPriority w:val="0"/>
    <w:pPr>
      <w:spacing w:before="60" w:after="60"/>
      <w:ind w:firstLine="482" w:firstLineChars="0"/>
    </w:pPr>
    <w:rPr>
      <w:rFonts w:ascii="Arial" w:hAnsi="Arial"/>
      <w:sz w:val="24"/>
    </w:rPr>
  </w:style>
  <w:style w:type="character" w:customStyle="1" w:styleId="96">
    <w:name w:val="标题 字符1"/>
    <w:link w:val="34"/>
    <w:autoRedefine/>
    <w:qFormat/>
    <w:uiPriority w:val="0"/>
    <w:rPr>
      <w:rFonts w:ascii="Cambria" w:hAnsi="Cambria" w:eastAsia="黑体"/>
      <w:b/>
      <w:bCs/>
      <w:kern w:val="2"/>
      <w:sz w:val="52"/>
      <w:szCs w:val="32"/>
    </w:rPr>
  </w:style>
  <w:style w:type="character" w:customStyle="1" w:styleId="97">
    <w:name w:val="批注框文本 字符1"/>
    <w:link w:val="24"/>
    <w:autoRedefine/>
    <w:qFormat/>
    <w:uiPriority w:val="0"/>
    <w:rPr>
      <w:kern w:val="2"/>
      <w:sz w:val="18"/>
      <w:szCs w:val="18"/>
    </w:rPr>
  </w:style>
  <w:style w:type="character" w:customStyle="1" w:styleId="98">
    <w:name w:val="页眉 字符1"/>
    <w:link w:val="26"/>
    <w:autoRedefine/>
    <w:qFormat/>
    <w:uiPriority w:val="99"/>
    <w:rPr>
      <w:kern w:val="2"/>
      <w:sz w:val="18"/>
      <w:szCs w:val="18"/>
    </w:rPr>
  </w:style>
  <w:style w:type="character" w:customStyle="1" w:styleId="99">
    <w:name w:val="标题 8 字符"/>
    <w:link w:val="10"/>
    <w:autoRedefine/>
    <w:qFormat/>
    <w:uiPriority w:val="9"/>
    <w:rPr>
      <w:rFonts w:ascii="Cambria" w:hAnsi="Cambria"/>
      <w:kern w:val="2"/>
      <w:sz w:val="21"/>
      <w:szCs w:val="24"/>
    </w:rPr>
  </w:style>
  <w:style w:type="character" w:customStyle="1" w:styleId="100">
    <w:name w:val="标题 6 字符1"/>
    <w:link w:val="8"/>
    <w:autoRedefine/>
    <w:qFormat/>
    <w:uiPriority w:val="0"/>
    <w:rPr>
      <w:rFonts w:ascii="Cambria" w:hAnsi="Cambria"/>
      <w:b/>
      <w:bCs/>
      <w:kern w:val="2"/>
      <w:sz w:val="24"/>
      <w:szCs w:val="24"/>
    </w:rPr>
  </w:style>
  <w:style w:type="character" w:customStyle="1" w:styleId="101">
    <w:name w:val="标题 字符"/>
    <w:autoRedefine/>
    <w:qFormat/>
    <w:uiPriority w:val="10"/>
    <w:rPr>
      <w:rFonts w:ascii="等线 Light" w:hAnsi="等线 Light" w:eastAsia="等线 Light" w:cs="Times New Roman"/>
      <w:b/>
      <w:bCs/>
      <w:kern w:val="2"/>
      <w:sz w:val="32"/>
      <w:szCs w:val="32"/>
    </w:rPr>
  </w:style>
  <w:style w:type="character" w:customStyle="1" w:styleId="102">
    <w:name w:val="副标题 字符"/>
    <w:autoRedefine/>
    <w:qFormat/>
    <w:uiPriority w:val="11"/>
    <w:rPr>
      <w:rFonts w:ascii="等线" w:hAnsi="等线" w:eastAsia="等线" w:cs="Times New Roman"/>
      <w:b/>
      <w:bCs/>
      <w:kern w:val="28"/>
      <w:sz w:val="32"/>
      <w:szCs w:val="32"/>
    </w:rPr>
  </w:style>
  <w:style w:type="paragraph" w:customStyle="1" w:styleId="103">
    <w:name w:val="xl72"/>
    <w:basedOn w:val="1"/>
    <w:autoRedefine/>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4">
    <w:name w:val="正文（深信服）"/>
    <w:autoRedefine/>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5">
    <w:name w:val="xl70"/>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6">
    <w:name w:val="_Style 2"/>
    <w:basedOn w:val="2"/>
    <w:next w:val="1"/>
    <w:autoRedefine/>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7">
    <w:name w:val="正文缩进1"/>
    <w:basedOn w:val="1"/>
    <w:autoRedefine/>
    <w:qFormat/>
    <w:uiPriority w:val="0"/>
    <w:pPr>
      <w:spacing w:line="240" w:lineRule="auto"/>
      <w:ind w:firstLine="420"/>
    </w:pPr>
    <w:rPr>
      <w:rFonts w:ascii="Times New Roman" w:hAnsi="Times New Roman"/>
      <w:sz w:val="21"/>
      <w:szCs w:val="20"/>
    </w:rPr>
  </w:style>
  <w:style w:type="paragraph" w:customStyle="1" w:styleId="108">
    <w:name w:val="xl68"/>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9">
    <w:name w:val="前言、引言标题"/>
    <w:next w:val="1"/>
    <w:autoRedefine/>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10">
    <w:name w:val="Indent Normal"/>
    <w:basedOn w:val="1"/>
    <w:autoRedefine/>
    <w:qFormat/>
    <w:uiPriority w:val="0"/>
    <w:pPr>
      <w:ind w:firstLine="150" w:firstLineChars="150"/>
    </w:pPr>
  </w:style>
  <w:style w:type="paragraph" w:customStyle="1" w:styleId="111">
    <w:name w:val="msonormal"/>
    <w:basedOn w:val="1"/>
    <w:autoRedefine/>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2">
    <w:name w:val="正文 缩进2字符"/>
    <w:basedOn w:val="1"/>
    <w:autoRedefine/>
    <w:qFormat/>
    <w:uiPriority w:val="0"/>
    <w:pPr>
      <w:spacing w:afterLines="50" w:line="240" w:lineRule="auto"/>
      <w:ind w:firstLine="0" w:firstLineChars="0"/>
    </w:pPr>
    <w:rPr>
      <w:rFonts w:ascii="Times New Roman" w:hAnsi="Times New Roman" w:cs="宋体"/>
      <w:sz w:val="21"/>
      <w:szCs w:val="20"/>
    </w:rPr>
  </w:style>
  <w:style w:type="paragraph" w:customStyle="1" w:styleId="113">
    <w:name w:val="列项●（二级）"/>
    <w:autoRedefine/>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4">
    <w:name w:val="助手文本"/>
    <w:basedOn w:val="1"/>
    <w:autoRedefine/>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5">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6">
    <w:name w:val="段"/>
    <w:autoRedefine/>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8">
    <w:name w:val="Char Char Char Char Char Char1 Char"/>
    <w:basedOn w:val="1"/>
    <w:autoRedefine/>
    <w:qFormat/>
    <w:uiPriority w:val="0"/>
    <w:pPr>
      <w:widowControl/>
      <w:spacing w:after="160" w:line="240" w:lineRule="exact"/>
      <w:jc w:val="left"/>
    </w:pPr>
  </w:style>
  <w:style w:type="paragraph" w:customStyle="1" w:styleId="119">
    <w:name w:val="PM_Body"/>
    <w:basedOn w:val="1"/>
    <w:autoRedefine/>
    <w:qFormat/>
    <w:uiPriority w:val="0"/>
    <w:rPr>
      <w:szCs w:val="21"/>
    </w:rPr>
  </w:style>
  <w:style w:type="paragraph" w:customStyle="1" w:styleId="120">
    <w:name w:val="Char Char1"/>
    <w:basedOn w:val="1"/>
    <w:autoRedefine/>
    <w:qFormat/>
    <w:uiPriority w:val="0"/>
    <w:pPr>
      <w:widowControl/>
      <w:spacing w:before="120" w:after="120"/>
    </w:pPr>
    <w:rPr>
      <w:rFonts w:ascii="Times New Roman" w:hAnsi="Times New Roman" w:cs="宋体"/>
    </w:rPr>
  </w:style>
  <w:style w:type="paragraph" w:customStyle="1" w:styleId="121">
    <w:name w:val="xl71"/>
    <w:basedOn w:val="1"/>
    <w:autoRedefine/>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2">
    <w:name w:val="Revision_acff2448-3209-466d-b416-11496ad321f5"/>
    <w:autoRedefine/>
    <w:qFormat/>
    <w:uiPriority w:val="99"/>
    <w:rPr>
      <w:rFonts w:ascii="宋体" w:hAnsi="宋体" w:eastAsia="宋体" w:cs="Times New Roman"/>
      <w:kern w:val="2"/>
      <w:sz w:val="24"/>
      <w:szCs w:val="24"/>
      <w:lang w:val="en-US" w:eastAsia="zh-CN" w:bidi="ar-SA"/>
    </w:rPr>
  </w:style>
  <w:style w:type="paragraph" w:customStyle="1" w:styleId="123">
    <w:name w:val="列出段落2"/>
    <w:basedOn w:val="1"/>
    <w:autoRedefine/>
    <w:qFormat/>
    <w:uiPriority w:val="0"/>
    <w:pPr>
      <w:spacing w:line="240" w:lineRule="auto"/>
      <w:ind w:firstLine="420"/>
    </w:pPr>
    <w:rPr>
      <w:rFonts w:ascii="等线" w:hAnsi="等线" w:eastAsia="等线" w:cs="等线"/>
      <w:sz w:val="21"/>
      <w:szCs w:val="21"/>
    </w:rPr>
  </w:style>
  <w:style w:type="paragraph" w:customStyle="1" w:styleId="124">
    <w:name w:val="xl69"/>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6">
    <w:name w:val="文档正文文本（中安网脉）"/>
    <w:basedOn w:val="1"/>
    <w:autoRedefine/>
    <w:qFormat/>
    <w:uiPriority w:val="0"/>
    <w:pPr>
      <w:ind w:firstLine="200"/>
    </w:pPr>
    <w:rPr>
      <w:rFonts w:ascii="Times New Roman" w:hAnsi="Times New Roman" w:eastAsia="仿宋_GB2312"/>
      <w:color w:val="000000"/>
      <w:szCs w:val="28"/>
    </w:rPr>
  </w:style>
  <w:style w:type="paragraph" w:customStyle="1" w:styleId="127">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8">
    <w:name w:val="正文样式"/>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9">
    <w:name w:val="样式 行距: 1.5 倍行距 首行缩进:  2 字符"/>
    <w:basedOn w:val="1"/>
    <w:autoRedefine/>
    <w:qFormat/>
    <w:uiPriority w:val="0"/>
    <w:pPr>
      <w:ind w:firstLine="560"/>
      <w:jc w:val="left"/>
    </w:pPr>
    <w:rPr>
      <w:rFonts w:ascii="仿宋" w:hAnsi="仿宋" w:eastAsia="仿宋" w:cs="宋体"/>
      <w:sz w:val="28"/>
      <w:szCs w:val="20"/>
    </w:rPr>
  </w:style>
  <w:style w:type="paragraph" w:customStyle="1" w:styleId="130">
    <w:name w:val="TOC Heading_26920923-07ab-45b7-af56-110c3e1a8a17"/>
    <w:basedOn w:val="2"/>
    <w:next w:val="1"/>
    <w:autoRedefine/>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1">
    <w:name w:val="!我的表格1"/>
    <w:basedOn w:val="3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
    <w:basedOn w:val="3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标题 1 Char"/>
    <w:autoRedefine/>
    <w:qFormat/>
    <w:uiPriority w:val="0"/>
    <w:rPr>
      <w:rFonts w:ascii="宋体" w:hAnsi="宋体" w:eastAsia="黑体"/>
      <w:b/>
      <w:bCs/>
      <w:kern w:val="44"/>
      <w:sz w:val="32"/>
      <w:szCs w:val="28"/>
    </w:rPr>
  </w:style>
  <w:style w:type="character" w:customStyle="1" w:styleId="134">
    <w:name w:val="纯文本 Char2"/>
    <w:autoRedefine/>
    <w:qFormat/>
    <w:uiPriority w:val="0"/>
    <w:rPr>
      <w:rFonts w:ascii="宋体" w:hAnsi="宋体" w:eastAsia="宋体" w:cs="Times New Roman"/>
      <w:color w:val="000000"/>
      <w:kern w:val="0"/>
      <w:sz w:val="24"/>
      <w:szCs w:val="24"/>
    </w:rPr>
  </w:style>
  <w:style w:type="character" w:customStyle="1" w:styleId="135">
    <w:name w:val="可研正文 Char"/>
    <w:link w:val="6"/>
    <w:autoRedefine/>
    <w:qFormat/>
    <w:uiPriority w:val="0"/>
    <w:rPr>
      <w:rFonts w:ascii="仿宋" w:hAnsi="仿宋" w:eastAsia="仿宋" w:cs="宋体"/>
      <w:kern w:val="2"/>
      <w:sz w:val="28"/>
      <w:szCs w:val="28"/>
    </w:rPr>
  </w:style>
  <w:style w:type="paragraph" w:customStyle="1" w:styleId="136">
    <w:name w:val="font5"/>
    <w:basedOn w:val="1"/>
    <w:autoRedefine/>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37">
    <w:name w:val="xl63"/>
    <w:basedOn w:val="1"/>
    <w:autoRedefine/>
    <w:qFormat/>
    <w:uiPriority w:val="0"/>
    <w:pPr>
      <w:widowControl/>
      <w:spacing w:before="100" w:beforeAutospacing="1" w:after="100" w:afterAutospacing="1" w:line="240" w:lineRule="auto"/>
      <w:ind w:firstLine="0" w:firstLineChars="0"/>
      <w:jc w:val="left"/>
      <w:textAlignment w:val="center"/>
    </w:pPr>
    <w:rPr>
      <w:rFonts w:cs="宋体"/>
      <w:kern w:val="0"/>
    </w:rPr>
  </w:style>
  <w:style w:type="paragraph" w:customStyle="1" w:styleId="13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rPr>
  </w:style>
  <w:style w:type="character" w:customStyle="1" w:styleId="139">
    <w:name w:val="font11"/>
    <w:basedOn w:val="38"/>
    <w:autoRedefine/>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0A0A-776C-4EA8-904C-5925A98D7469}">
  <ds:schemaRefs/>
</ds:datastoreItem>
</file>

<file path=docProps/app.xml><?xml version="1.0" encoding="utf-8"?>
<Properties xmlns="http://schemas.openxmlformats.org/officeDocument/2006/extended-properties" xmlns:vt="http://schemas.openxmlformats.org/officeDocument/2006/docPropsVTypes">
  <Template>Normal</Template>
  <Pages>20</Pages>
  <Words>1578</Words>
  <Characters>8998</Characters>
  <Lines>74</Lines>
  <Paragraphs>21</Paragraphs>
  <TotalTime>20</TotalTime>
  <ScaleCrop>false</ScaleCrop>
  <LinksUpToDate>false</LinksUpToDate>
  <CharactersWithSpaces>10555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2022-11-28T05:37:00Z</dcterms:created>
  <dc:creator>gtig_tzb</dc:creator>
  <cp:lastModifiedBy>Artisan</cp:lastModifiedBy>
  <cp:lastPrinted>2020-08-06T12:08:00Z</cp:lastPrinted>
  <dcterms:modified xsi:type="dcterms:W3CDTF">2024-04-28T05:40:44Z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7319C99919BD4FD0B67233924889825F_13</vt:lpwstr>
  </property>
</Properties>
</file>