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contextualSpacing/>
        <w:jc w:val="center"/>
        <w:rPr>
          <w:rFonts w:hint="eastAsia" w:ascii="仿宋" w:hAnsi="仿宋" w:eastAsia="仿宋" w:cs="仿宋"/>
          <w:b/>
          <w:bCs/>
          <w:color w:val="auto"/>
          <w:sz w:val="40"/>
          <w:szCs w:val="22"/>
        </w:rPr>
      </w:pPr>
      <w:bookmarkStart w:id="0" w:name="_Toc193899744"/>
      <w:bookmarkStart w:id="1" w:name="_Toc144900714"/>
      <w:r>
        <w:rPr>
          <w:rFonts w:hint="eastAsia" w:ascii="仿宋" w:hAnsi="仿宋" w:eastAsia="仿宋" w:cs="仿宋"/>
          <w:b/>
          <w:bCs/>
          <w:color w:val="auto"/>
          <w:sz w:val="40"/>
          <w:szCs w:val="22"/>
        </w:rPr>
        <w:t>上海市养志康复医院(上海市阳光康复中心)</w:t>
      </w:r>
    </w:p>
    <w:p>
      <w:pPr>
        <w:pStyle w:val="2"/>
        <w:spacing w:line="360" w:lineRule="auto"/>
        <w:contextualSpacing/>
        <w:jc w:val="center"/>
        <w:rPr>
          <w:rFonts w:hint="eastAsia" w:ascii="仿宋" w:hAnsi="仿宋" w:eastAsia="仿宋" w:cs="仿宋"/>
          <w:b/>
          <w:bCs/>
          <w:color w:val="auto"/>
          <w:sz w:val="40"/>
          <w:szCs w:val="22"/>
        </w:rPr>
      </w:pPr>
      <w:r>
        <w:rPr>
          <w:rFonts w:hint="eastAsia" w:ascii="仿宋" w:hAnsi="仿宋" w:eastAsia="仿宋" w:cs="仿宋"/>
          <w:b/>
          <w:bCs/>
          <w:color w:val="auto"/>
          <w:sz w:val="40"/>
          <w:szCs w:val="22"/>
          <w:lang w:eastAsia="zh-CN"/>
        </w:rPr>
        <w:t>内网核心区计算资源扩容</w:t>
      </w:r>
      <w:r>
        <w:rPr>
          <w:rFonts w:hint="eastAsia" w:ascii="仿宋" w:hAnsi="仿宋" w:eastAsia="仿宋" w:cs="仿宋"/>
          <w:b/>
          <w:bCs/>
          <w:color w:val="auto"/>
          <w:sz w:val="40"/>
          <w:szCs w:val="22"/>
          <w:lang w:val="en-US" w:eastAsia="zh-CN"/>
        </w:rPr>
        <w:t>项目</w:t>
      </w:r>
      <w:r>
        <w:rPr>
          <w:rFonts w:hint="eastAsia" w:ascii="仿宋" w:hAnsi="仿宋" w:eastAsia="仿宋" w:cs="仿宋"/>
          <w:b/>
          <w:bCs/>
          <w:color w:val="auto"/>
          <w:sz w:val="40"/>
          <w:szCs w:val="22"/>
        </w:rPr>
        <w:t>招标</w:t>
      </w:r>
      <w:r>
        <w:rPr>
          <w:rFonts w:hint="eastAsia" w:ascii="仿宋" w:hAnsi="仿宋" w:eastAsia="仿宋" w:cs="仿宋"/>
          <w:b/>
          <w:bCs/>
          <w:color w:val="auto"/>
          <w:sz w:val="40"/>
          <w:szCs w:val="22"/>
          <w:lang w:eastAsia="zh-CN"/>
        </w:rPr>
        <w:t>需求</w:t>
      </w:r>
    </w:p>
    <w:p>
      <w:pPr>
        <w:rPr>
          <w:rFonts w:hint="eastAsia" w:ascii="仿宋" w:hAnsi="仿宋" w:eastAsia="仿宋" w:cs="仿宋"/>
        </w:rPr>
      </w:pPr>
    </w:p>
    <w:p>
      <w:pPr>
        <w:pStyle w:val="2"/>
        <w:spacing w:line="360" w:lineRule="auto"/>
        <w:contextualSpacing/>
        <w:rPr>
          <w:rFonts w:hint="eastAsia" w:ascii="仿宋" w:hAnsi="仿宋" w:eastAsia="仿宋" w:cs="仿宋"/>
          <w:color w:val="auto"/>
          <w:szCs w:val="28"/>
        </w:rPr>
      </w:pPr>
      <w:r>
        <w:rPr>
          <w:rFonts w:hint="eastAsia" w:ascii="仿宋" w:hAnsi="仿宋" w:eastAsia="仿宋" w:cs="仿宋"/>
          <w:color w:val="auto"/>
          <w:szCs w:val="28"/>
        </w:rPr>
        <w:t>项目概述</w:t>
      </w:r>
    </w:p>
    <w:p>
      <w:pPr>
        <w:pStyle w:val="3"/>
        <w:spacing w:line="360" w:lineRule="auto"/>
        <w:ind w:right="180"/>
        <w:contextualSpacing/>
        <w:rPr>
          <w:rFonts w:hint="eastAsia" w:ascii="仿宋" w:hAnsi="仿宋" w:eastAsia="仿宋" w:cs="仿宋"/>
          <w:color w:val="auto"/>
        </w:rPr>
      </w:pPr>
      <w:r>
        <w:rPr>
          <w:rFonts w:hint="eastAsia" w:ascii="仿宋" w:hAnsi="仿宋" w:eastAsia="仿宋" w:cs="仿宋"/>
          <w:color w:val="auto"/>
          <w:sz w:val="24"/>
          <w:szCs w:val="24"/>
        </w:rPr>
        <w:t>项目名称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上海市养志康复医院(上海市阳光康复中心)</w:t>
      </w:r>
      <w:r>
        <w:rPr>
          <w:rFonts w:hint="eastAsia" w:ascii="仿宋" w:hAnsi="仿宋" w:eastAsia="仿宋" w:cs="仿宋"/>
          <w:sz w:val="24"/>
          <w:szCs w:val="24"/>
          <w:lang w:eastAsia="zh-CN"/>
        </w:rPr>
        <w:t>内网核心区计算资源扩容项目</w:t>
      </w:r>
      <w:r>
        <w:rPr>
          <w:rFonts w:hint="eastAsia" w:ascii="仿宋" w:hAnsi="仿宋" w:eastAsia="仿宋" w:cs="仿宋"/>
          <w:sz w:val="24"/>
          <w:szCs w:val="24"/>
        </w:rPr>
        <w:t>(以下简称“本项目”)</w:t>
      </w: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项目地点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上海市养志康复医院(上海市阳光康复中心)（以下简称“医院”）</w:t>
      </w: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项目介绍</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本项目拟采购超融合设备及配套扩容组件，对现有IT基础资源进行补充，满足</w:t>
      </w:r>
      <w:r>
        <w:rPr>
          <w:rFonts w:hint="eastAsia" w:ascii="仿宋" w:hAnsi="仿宋" w:eastAsia="仿宋" w:cs="仿宋"/>
          <w:sz w:val="24"/>
          <w:szCs w:val="24"/>
          <w:lang w:val="en-US" w:eastAsia="zh-CN"/>
        </w:rPr>
        <w:t>现阶段核心</w:t>
      </w:r>
      <w:r>
        <w:rPr>
          <w:rFonts w:hint="eastAsia" w:ascii="仿宋" w:hAnsi="仿宋" w:eastAsia="仿宋" w:cs="仿宋"/>
          <w:sz w:val="24"/>
          <w:szCs w:val="24"/>
        </w:rPr>
        <w:t>业务运行基本资源要求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支持现阶段医院面向功能障碍人群的“大模型+康复”智能患者服务应用系统计算资源，</w:t>
      </w:r>
      <w:r>
        <w:rPr>
          <w:rFonts w:hint="eastAsia" w:ascii="仿宋" w:hAnsi="仿宋" w:eastAsia="仿宋" w:cs="仿宋"/>
          <w:sz w:val="24"/>
          <w:szCs w:val="24"/>
        </w:rPr>
        <w:t>同时完成配套扩容及业务系统迁移服务。</w:t>
      </w:r>
      <w:r>
        <w:rPr>
          <w:rFonts w:hint="eastAsia" w:ascii="仿宋" w:hAnsi="仿宋" w:eastAsia="仿宋" w:cs="仿宋"/>
          <w:sz w:val="24"/>
          <w:szCs w:val="24"/>
          <w:lang w:val="en-US" w:eastAsia="zh-CN"/>
        </w:rPr>
        <w:t>本次需扩容现网环境为：超融合集群1采用aServer-R-2205一体机；超融合集群2采用aServer-W-4000一体机；服务器汇聚交换机为</w:t>
      </w:r>
      <w:r>
        <w:rPr>
          <w:rFonts w:hint="eastAsia" w:ascii="仿宋" w:hAnsi="仿宋" w:eastAsia="仿宋" w:cs="仿宋"/>
          <w:sz w:val="24"/>
          <w:szCs w:val="24"/>
        </w:rPr>
        <w:t>S7506X</w:t>
      </w:r>
      <w:r>
        <w:rPr>
          <w:rFonts w:hint="eastAsia" w:ascii="仿宋" w:hAnsi="仿宋" w:eastAsia="仿宋" w:cs="仿宋"/>
          <w:sz w:val="24"/>
          <w:szCs w:val="24"/>
          <w:lang w:eastAsia="zh-CN"/>
        </w:rPr>
        <w:t>。</w:t>
      </w: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本次采购内容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医院内网核心区计算资源扩容项目</w:t>
      </w:r>
      <w:r>
        <w:rPr>
          <w:rFonts w:hint="eastAsia" w:ascii="仿宋" w:hAnsi="仿宋" w:eastAsia="仿宋" w:cs="仿宋"/>
          <w:sz w:val="24"/>
          <w:szCs w:val="24"/>
        </w:rPr>
        <w:t>采购内容详见设备采购清单。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本项目预算为1450000元人民币，超预算的投标文件视为废标。</w:t>
      </w: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lang w:val="en-US" w:eastAsia="zh-CN"/>
        </w:rPr>
        <w:t>建设</w:t>
      </w:r>
      <w:r>
        <w:rPr>
          <w:rFonts w:hint="eastAsia" w:ascii="仿宋" w:hAnsi="仿宋" w:eastAsia="仿宋" w:cs="仿宋"/>
          <w:sz w:val="24"/>
          <w:szCs w:val="24"/>
        </w:rPr>
        <w:t>范围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本项目的建设范围为完成</w:t>
      </w:r>
      <w:r>
        <w:rPr>
          <w:rFonts w:hint="eastAsia" w:ascii="仿宋" w:hAnsi="仿宋" w:eastAsia="仿宋" w:cs="仿宋"/>
          <w:sz w:val="24"/>
          <w:szCs w:val="24"/>
          <w:lang w:eastAsia="zh-CN"/>
        </w:rPr>
        <w:t>医院</w:t>
      </w:r>
      <w:r>
        <w:rPr>
          <w:rFonts w:hint="eastAsia" w:ascii="仿宋" w:hAnsi="仿宋" w:eastAsia="仿宋" w:cs="仿宋"/>
          <w:sz w:val="24"/>
          <w:szCs w:val="24"/>
        </w:rPr>
        <w:t>超融合资源池的扩容，包括设计、实施、迁移及验证服务。</w:t>
      </w:r>
    </w:p>
    <w:p>
      <w:pPr>
        <w:pStyle w:val="2"/>
        <w:spacing w:line="360" w:lineRule="auto"/>
        <w:contextualSpacing/>
        <w:rPr>
          <w:rFonts w:hint="eastAsia" w:ascii="仿宋" w:hAnsi="仿宋" w:eastAsia="仿宋" w:cs="仿宋"/>
          <w:szCs w:val="28"/>
        </w:rPr>
      </w:pPr>
      <w:r>
        <w:rPr>
          <w:rFonts w:hint="eastAsia" w:ascii="仿宋" w:hAnsi="仿宋" w:eastAsia="仿宋" w:cs="仿宋"/>
          <w:szCs w:val="28"/>
        </w:rPr>
        <w:t>技术</w:t>
      </w:r>
      <w:bookmarkEnd w:id="0"/>
      <w:bookmarkEnd w:id="1"/>
      <w:r>
        <w:rPr>
          <w:rFonts w:hint="eastAsia" w:ascii="仿宋" w:hAnsi="仿宋" w:eastAsia="仿宋" w:cs="仿宋"/>
          <w:szCs w:val="28"/>
        </w:rPr>
        <w:t>需求</w:t>
      </w: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设备采购清单</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请针对本项目购买的设备提供原厂授权函</w:t>
      </w:r>
      <w:r>
        <w:rPr>
          <w:rFonts w:hint="eastAsia" w:ascii="仿宋" w:hAnsi="仿宋" w:eastAsia="仿宋" w:cs="仿宋"/>
          <w:sz w:val="24"/>
          <w:szCs w:val="24"/>
        </w:rPr>
        <w:t>。</w:t>
      </w:r>
    </w:p>
    <w:tbl>
      <w:tblPr>
        <w:tblStyle w:val="19"/>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261"/>
        <w:gridCol w:w="2126"/>
        <w:gridCol w:w="7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shd w:val="clear" w:color="000000" w:fill="C0C0C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序号</w:t>
            </w:r>
          </w:p>
        </w:tc>
        <w:tc>
          <w:tcPr>
            <w:tcW w:w="3261" w:type="dxa"/>
            <w:shd w:val="clear" w:color="000000" w:fill="C0C0C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设备名称</w:t>
            </w:r>
          </w:p>
        </w:tc>
        <w:tc>
          <w:tcPr>
            <w:tcW w:w="2126" w:type="dxa"/>
            <w:shd w:val="clear" w:color="000000" w:fill="C0C0C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型号、规格</w:t>
            </w:r>
          </w:p>
        </w:tc>
        <w:tc>
          <w:tcPr>
            <w:tcW w:w="709" w:type="dxa"/>
            <w:shd w:val="clear" w:color="000000" w:fill="C0C0C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数量</w:t>
            </w:r>
          </w:p>
        </w:tc>
        <w:tc>
          <w:tcPr>
            <w:tcW w:w="1184" w:type="dxa"/>
            <w:shd w:val="clear" w:color="000000" w:fill="C0C0C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29" w:type="dxa"/>
            <w:shd w:val="clear" w:color="auto"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3261"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超融合一体机1，原厂五年质保</w:t>
            </w:r>
          </w:p>
        </w:tc>
        <w:tc>
          <w:tcPr>
            <w:tcW w:w="2126" w:type="dxa"/>
            <w:shd w:val="clear" w:color="000000" w:fill="auto"/>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详见招标技术参数</w:t>
            </w:r>
          </w:p>
        </w:tc>
        <w:tc>
          <w:tcPr>
            <w:tcW w:w="709"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184"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shd w:val="clear" w:color="auto"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3261"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超融合交换机，原厂五年质保</w:t>
            </w:r>
          </w:p>
        </w:tc>
        <w:tc>
          <w:tcPr>
            <w:tcW w:w="2126" w:type="dxa"/>
            <w:shd w:val="clear" w:color="000000" w:fill="auto"/>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详见招标技术参数</w:t>
            </w:r>
          </w:p>
        </w:tc>
        <w:tc>
          <w:tcPr>
            <w:tcW w:w="709"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184"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29" w:type="dxa"/>
            <w:shd w:val="clear" w:color="auto"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3261"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内存扩容</w:t>
            </w:r>
          </w:p>
        </w:tc>
        <w:tc>
          <w:tcPr>
            <w:tcW w:w="2126" w:type="dxa"/>
            <w:shd w:val="clear" w:color="000000" w:fill="auto"/>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详见招标技术参数</w:t>
            </w:r>
          </w:p>
        </w:tc>
        <w:tc>
          <w:tcPr>
            <w:tcW w:w="709"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184"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shd w:val="clear" w:color="auto"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3261"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超融合一体机2，原厂五年质保</w:t>
            </w:r>
          </w:p>
        </w:tc>
        <w:tc>
          <w:tcPr>
            <w:tcW w:w="2126" w:type="dxa"/>
            <w:shd w:val="clear" w:color="000000" w:fill="auto"/>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详见招标技术参数</w:t>
            </w:r>
          </w:p>
        </w:tc>
        <w:tc>
          <w:tcPr>
            <w:tcW w:w="709"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184"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29" w:type="dxa"/>
            <w:shd w:val="clear" w:color="auto"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3261"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eastAsia="zh-CN"/>
              </w:rPr>
              <w:t>万兆多模光模块</w:t>
            </w:r>
            <w:r>
              <w:rPr>
                <w:rFonts w:hint="eastAsia" w:ascii="仿宋" w:hAnsi="仿宋" w:eastAsia="仿宋" w:cs="仿宋"/>
                <w:sz w:val="21"/>
                <w:szCs w:val="21"/>
              </w:rPr>
              <w:t>，原厂五年质保</w:t>
            </w:r>
          </w:p>
        </w:tc>
        <w:tc>
          <w:tcPr>
            <w:tcW w:w="2126" w:type="dxa"/>
            <w:shd w:val="clear" w:color="000000" w:fill="auto"/>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详见招标技术参数</w:t>
            </w:r>
          </w:p>
        </w:tc>
        <w:tc>
          <w:tcPr>
            <w:tcW w:w="709"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40</w:t>
            </w:r>
          </w:p>
        </w:tc>
        <w:tc>
          <w:tcPr>
            <w:tcW w:w="1184"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9" w:type="dxa"/>
            <w:shd w:val="clear" w:color="auto"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3261"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交换机</w:t>
            </w:r>
            <w:r>
              <w:rPr>
                <w:rFonts w:hint="eastAsia" w:ascii="仿宋" w:hAnsi="仿宋" w:eastAsia="仿宋" w:cs="仿宋"/>
                <w:sz w:val="21"/>
                <w:szCs w:val="21"/>
                <w:lang w:val="en-US" w:eastAsia="zh-CN"/>
              </w:rPr>
              <w:t>板卡</w:t>
            </w:r>
            <w:r>
              <w:rPr>
                <w:rFonts w:hint="eastAsia" w:ascii="仿宋" w:hAnsi="仿宋" w:eastAsia="仿宋" w:cs="仿宋"/>
                <w:sz w:val="21"/>
                <w:szCs w:val="21"/>
              </w:rPr>
              <w:t>，原厂五年质保</w:t>
            </w:r>
          </w:p>
        </w:tc>
        <w:tc>
          <w:tcPr>
            <w:tcW w:w="2126" w:type="dxa"/>
            <w:shd w:val="clear" w:color="000000" w:fill="auto"/>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详见招标技术参数</w:t>
            </w:r>
          </w:p>
        </w:tc>
        <w:tc>
          <w:tcPr>
            <w:tcW w:w="709"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184" w:type="dxa"/>
            <w:shd w:val="clear" w:color="000000" w:fill="auto"/>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9" w:type="dxa"/>
            <w:shd w:val="clear" w:color="auto" w:fill="auto"/>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3261" w:type="dxa"/>
            <w:shd w:val="clear" w:color="000000" w:fill="auto"/>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集成服务</w:t>
            </w:r>
          </w:p>
        </w:tc>
        <w:tc>
          <w:tcPr>
            <w:tcW w:w="2126" w:type="dxa"/>
            <w:shd w:val="clear" w:color="000000" w:fill="auto"/>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详见招标技术参数</w:t>
            </w:r>
          </w:p>
        </w:tc>
        <w:tc>
          <w:tcPr>
            <w:tcW w:w="709" w:type="dxa"/>
            <w:shd w:val="clear" w:color="000000" w:fill="auto"/>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84" w:type="dxa"/>
            <w:shd w:val="clear" w:color="000000" w:fill="auto"/>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w:t>
            </w:r>
          </w:p>
        </w:tc>
      </w:tr>
    </w:tbl>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招标技术参数</w:t>
      </w: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超融合</w:t>
      </w:r>
      <w:r>
        <w:rPr>
          <w:rFonts w:hint="eastAsia" w:ascii="仿宋" w:hAnsi="仿宋" w:eastAsia="仿宋" w:cs="仿宋"/>
          <w:sz w:val="24"/>
          <w:szCs w:val="24"/>
          <w:lang w:val="en-US" w:eastAsia="zh-CN"/>
        </w:rPr>
        <w:t>一体机</w:t>
      </w:r>
      <w:r>
        <w:rPr>
          <w:rFonts w:hint="eastAsia" w:ascii="仿宋" w:hAnsi="仿宋" w:eastAsia="仿宋" w:cs="仿宋"/>
          <w:sz w:val="24"/>
          <w:szCs w:val="24"/>
        </w:rPr>
        <w:t>1</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6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2"/>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指标项</w:t>
            </w:r>
          </w:p>
        </w:tc>
        <w:tc>
          <w:tcPr>
            <w:tcW w:w="6299" w:type="dxa"/>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7" w:type="dxa"/>
            <w:gridSpan w:val="2"/>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rPr>
              <w:t>服务器节点</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本次提供超融合一体机节点数≥2；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31" w:type="dxa"/>
            <w:vMerge w:val="restart"/>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单台硬件配置</w:t>
            </w:r>
          </w:p>
        </w:tc>
        <w:tc>
          <w:tcPr>
            <w:tcW w:w="1266" w:type="dxa"/>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rPr>
              <w:t>CPU和内存</w:t>
            </w:r>
          </w:p>
        </w:tc>
        <w:tc>
          <w:tcPr>
            <w:tcW w:w="6299" w:type="dxa"/>
          </w:tcPr>
          <w:p>
            <w:pPr>
              <w:spacing w:line="360" w:lineRule="auto"/>
              <w:rPr>
                <w:rFonts w:hint="eastAsia" w:ascii="仿宋" w:hAnsi="仿宋" w:eastAsia="仿宋" w:cs="仿宋"/>
                <w:b/>
                <w:bCs/>
                <w:sz w:val="18"/>
                <w:szCs w:val="18"/>
              </w:rPr>
            </w:pPr>
            <w:r>
              <w:rPr>
                <w:rFonts w:hint="eastAsia" w:ascii="仿宋" w:hAnsi="仿宋" w:eastAsia="仿宋" w:cs="仿宋"/>
                <w:sz w:val="18"/>
                <w:szCs w:val="18"/>
              </w:rPr>
              <w:t>每台节点配置2颗CPU ，采用Intel Xeon Gold 6326 CPU@2.90GHZ（16C）或以上配置的CPU，每台服务器内存≥24*32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vAlign w:val="center"/>
          </w:tcPr>
          <w:p>
            <w:pPr>
              <w:spacing w:line="360" w:lineRule="auto"/>
              <w:jc w:val="center"/>
              <w:rPr>
                <w:rFonts w:hint="eastAsia" w:ascii="仿宋" w:hAnsi="仿宋" w:eastAsia="仿宋" w:cs="仿宋"/>
                <w:b/>
                <w:bCs/>
                <w:sz w:val="18"/>
                <w:szCs w:val="18"/>
              </w:rPr>
            </w:pPr>
          </w:p>
        </w:tc>
        <w:tc>
          <w:tcPr>
            <w:tcW w:w="1266" w:type="dxa"/>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color w:val="000000"/>
                <w:sz w:val="18"/>
                <w:szCs w:val="18"/>
                <w:lang w:bidi="ar"/>
              </w:rPr>
              <w:t>接口</w:t>
            </w:r>
          </w:p>
        </w:tc>
        <w:tc>
          <w:tcPr>
            <w:tcW w:w="6299" w:type="dxa"/>
          </w:tcPr>
          <w:p>
            <w:pPr>
              <w:spacing w:line="360" w:lineRule="auto"/>
              <w:rPr>
                <w:rFonts w:hint="eastAsia" w:ascii="仿宋" w:hAnsi="仿宋" w:eastAsia="仿宋" w:cs="仿宋"/>
                <w:b/>
                <w:bCs/>
                <w:sz w:val="18"/>
                <w:szCs w:val="18"/>
              </w:rPr>
            </w:pPr>
            <w:r>
              <w:rPr>
                <w:rFonts w:hint="eastAsia" w:ascii="仿宋" w:hAnsi="仿宋" w:eastAsia="仿宋" w:cs="仿宋"/>
                <w:sz w:val="18"/>
                <w:szCs w:val="18"/>
              </w:rPr>
              <w:t>千兆电口≥4个，万兆光口</w:t>
            </w:r>
            <w:r>
              <w:rPr>
                <w:rFonts w:hint="eastAsia" w:ascii="仿宋" w:hAnsi="仿宋" w:eastAsia="仿宋" w:cs="仿宋"/>
                <w:sz w:val="18"/>
                <w:szCs w:val="18"/>
                <w:lang w:bidi="ar"/>
              </w:rPr>
              <w:t xml:space="preserve"> SFP+</w:t>
            </w:r>
            <w:r>
              <w:rPr>
                <w:rFonts w:hint="eastAsia" w:ascii="仿宋" w:hAnsi="仿宋" w:eastAsia="仿宋" w:cs="仿宋"/>
                <w:sz w:val="18"/>
                <w:szCs w:val="18"/>
              </w:rPr>
              <w:t>≥4个（含模块）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31" w:type="dxa"/>
            <w:vMerge w:val="continue"/>
            <w:vAlign w:val="center"/>
          </w:tcPr>
          <w:p>
            <w:pPr>
              <w:spacing w:line="360" w:lineRule="auto"/>
              <w:jc w:val="center"/>
              <w:rPr>
                <w:rFonts w:hint="eastAsia" w:ascii="仿宋" w:hAnsi="仿宋" w:eastAsia="仿宋" w:cs="仿宋"/>
                <w:b/>
                <w:bCs/>
                <w:sz w:val="18"/>
                <w:szCs w:val="18"/>
              </w:rPr>
            </w:pPr>
          </w:p>
        </w:tc>
        <w:tc>
          <w:tcPr>
            <w:tcW w:w="1266" w:type="dxa"/>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color w:val="000000"/>
                <w:sz w:val="18"/>
                <w:szCs w:val="18"/>
                <w:lang w:bidi="ar"/>
              </w:rPr>
              <w:t>硬盘配置</w:t>
            </w:r>
          </w:p>
        </w:tc>
        <w:tc>
          <w:tcPr>
            <w:tcW w:w="6299" w:type="dxa"/>
          </w:tcPr>
          <w:p>
            <w:pPr>
              <w:tabs>
                <w:tab w:val="left" w:pos="4179"/>
              </w:tabs>
              <w:spacing w:line="360" w:lineRule="auto"/>
              <w:rPr>
                <w:rFonts w:hint="eastAsia" w:ascii="仿宋" w:hAnsi="仿宋" w:eastAsia="仿宋" w:cs="仿宋"/>
                <w:b/>
                <w:bCs/>
                <w:sz w:val="18"/>
                <w:szCs w:val="18"/>
              </w:rPr>
            </w:pPr>
            <w:r>
              <w:rPr>
                <w:rFonts w:hint="eastAsia" w:ascii="仿宋" w:hAnsi="仿宋" w:eastAsia="仿宋" w:cs="仿宋"/>
                <w:sz w:val="18"/>
                <w:szCs w:val="18"/>
              </w:rPr>
              <w:t>每个节点要求配置系统盘≥2*240G-SATA-SSD 企业级固态硬盘，配置缓存盘≥2*固态硬盘-1.92T-SSD;，配置数据盘≥6*4T 7.2K RPM SATA HDD 企业级机械硬盘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Align w:val="center"/>
          </w:tcPr>
          <w:p>
            <w:pPr>
              <w:tabs>
                <w:tab w:val="left" w:pos="1470"/>
              </w:tabs>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平台兼容性</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本次招标产品用于现有集群主机扩容升级项目，超融合一体机需要支持被现有云管平台统一纳管。提供厂商承诺函并加盖厂商公章。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restart"/>
            <w:vAlign w:val="center"/>
          </w:tcPr>
          <w:p>
            <w:pPr>
              <w:tabs>
                <w:tab w:val="left" w:pos="1470"/>
              </w:tabs>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云计算平台要求</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产品完全自研，非OEM，需提供云计算管理平台的软件著作权证书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jc w:val="center"/>
              <w:rPr>
                <w:rFonts w:hint="eastAsia" w:ascii="仿宋" w:hAnsi="仿宋" w:eastAsia="仿宋" w:cs="仿宋"/>
                <w:b/>
                <w:bCs/>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支持跨地域的多集群管理，可纳管256个物理机节点，支持30000台云主机的规模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支持主备切换，当主平台发生故障时，能够切换到备平台，保障云平台稳定运行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 xml:space="preserve">支持上传或利用现有云主机创建镜像，可对镜像进行管理、关联资源池等操作，可通过镜像实现一键快速创建云主机及安全组件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restart"/>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计算虚拟化要求</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2</w:t>
            </w:r>
            <w:r>
              <w:rPr>
                <w:rFonts w:hint="eastAsia" w:ascii="仿宋" w:hAnsi="仿宋" w:eastAsia="仿宋" w:cs="仿宋"/>
                <w:sz w:val="18"/>
                <w:szCs w:val="18"/>
              </w:rPr>
              <w:t>▲虚拟化软件非OEM或贴牌产品，禁止借用第三方软件的整合，以保证功能的可靠性和安全性（提供相应的软件著作权）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采用分布式管理架构，去中心化，管理平台不依赖于某一个虚拟机或物理机部署，采用分布式架构保障平台更可靠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支持平台中的集群资源环境一键检测，对硬件健康、平台底层的虚拟化的运行状态和配置，进行多个维度进行检查，提供快速定位问题功能，确保系统最佳状态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支持对超融合平台的硬件进行监控和大屏展示，包含CPU，内存，网卡，硬盘，存储，RAID等硬件健康检测，便于及时发现问题并提供相应异常检测项的恢复指导建议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为了更好的保护用户数据，支持设置定期全量备份，支持用户灵活配置备份策略，备份文件保留时间最高可以达到15年，支持将虚拟机的备份文件定期归档到第二存储，最多可以保留100年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支持设置告警类型（紧急和普通）、告警内容（集群、主机、虚拟机、CPU、内存、磁盘），针对告警信息平台可自动给出告警处理建议，同时支持将告警信息以短信和邮件方式发送给管理员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此项目核心业务计划部署在超融合平台，平台需定期升级保障平台稳定性，核心业务不能长时间停机，超融合平台需支持在线升级不影响业务；为保证升级时间与步骤可控，升级过程中支持对升级节点进行升级顺序编排、升级暂停（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7" w:type="dxa"/>
            <w:gridSpan w:val="2"/>
            <w:vMerge w:val="restart"/>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存储虚拟化要求</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产品完全自研，非OEM，需提供存储虚拟化软件著作权证书（提供相应的软件著作权）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支持存储虚拟化功能，无需安装额外的软件，在一个统一的管理平台上使用License激活的方式即可开通使用，存储虚拟化与计算虚拟化为紧耦合架构，减少底层开销，提升性能（需提供产品功能截图）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支持为虚拟磁盘配置不同的存储策略以满足特定场景的需求, 如系统盘和数据盘选择高性能策略, 备份盘选择低性能策略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支持对虚拟机业务按照小时/天/周自定义设置定时快照策略，以便业务发生故障时可以快速回滚覆盖原虚拟机或者通过对快照进行克隆的方式生成全新虚拟机，进而恢复至业务健康状态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硬件故障对平台影响较大，也会影响数据安全，为保障业务在硬件故障后尽快恢复冗余数据保障，支持进行数据重建操作，重建速率达到30分钟/TB；重建过程中可以查看数据重建任务列表信息，包括对象名称、对象类型、数据量和优先级等；支持点击操作中的优先级对数据重建进行优先重建（提供</w:t>
            </w:r>
            <w:r>
              <w:rPr>
                <w:rFonts w:hint="eastAsia" w:ascii="仿宋" w:hAnsi="仿宋" w:eastAsia="仿宋" w:cs="仿宋"/>
                <w:sz w:val="18"/>
                <w:szCs w:val="18"/>
                <w:lang w:val="en-US" w:eastAsia="zh-CN"/>
              </w:rPr>
              <w:t>相关证明</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针对虚拟机或虚拟磁盘设置数据分布策略，当采用副本聚合策略时，可以保证以性能优先为原则，实现IO本地读效果，当采用副本散列策略时，可以保证虚拟机以分布均匀优先为原则，打散分布均匀在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restart"/>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网络虚拟化要求</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产品完全自研，非OEM，需提供网络虚拟化软件著作权证书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在管理平台上可以通过拖拽虚拟设备图标和连线就能完成网络拓扑的构建，快速的实现整个业务逻辑，并且可以连接、开启、关闭虚拟网络设备，支持对整个平台虚拟设备实现统一的管理，提升运维管理的工作效率【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主动探测业务系统，实时监控业务可用性，监控策略包括HTTP、FTP、POP3、SMTP、自定义端口协议等，当业务出现故障时，通过多种方式（短信、邮箱）告知管理员进行排障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支持链路聚合，为网络中的每个虚拟机提供内置的网络故障切换和负载均衡能力，实现更高的硬件可用性和容错能力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提供虚拟路由器、虚拟交换机等设备的连通性探测功能，方便在虚拟化环境中，进行相应的故障排除和恢复，能够定位到出现故障的虚拟网络设备，方便快速排查问题保障业务的高连续性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restart"/>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内建安全</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▲基于业务安全性和运维高效性考虑，需要虚拟化平台支持在虚拟机安装性能优化工具时自动安装组件功能对操作系统进行安全防护。（需提供</w:t>
            </w:r>
            <w:r>
              <w:rPr>
                <w:rFonts w:hint="eastAsia" w:ascii="仿宋" w:hAnsi="仿宋" w:eastAsia="仿宋" w:cs="仿宋"/>
                <w:sz w:val="18"/>
                <w:szCs w:val="18"/>
                <w:lang w:eastAsia="zh-CN"/>
              </w:rPr>
              <w:t>相关证明</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云安全中心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提供向导化勒索病毒处理流程，建立多维度立体防护机制，提供事前入侵防御-事中反加密-事后检测响应的完整防护体系，展示勒索病毒处置情况，对勒索病毒及变种实现专门有效防御（需提供产品功能截图）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997" w:type="dxa"/>
            <w:gridSpan w:val="2"/>
            <w:vMerge w:val="restart"/>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资质</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超融合软件获得云计算开源产业联盟颁发的超融合解决方案检验证书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997" w:type="dxa"/>
            <w:gridSpan w:val="2"/>
            <w:vMerge w:val="continue"/>
            <w:vAlign w:val="center"/>
          </w:tcPr>
          <w:p>
            <w:pPr>
              <w:spacing w:line="360" w:lineRule="auto"/>
              <w:rPr>
                <w:rFonts w:hint="eastAsia" w:ascii="仿宋" w:hAnsi="仿宋" w:eastAsia="仿宋" w:cs="仿宋"/>
                <w:sz w:val="18"/>
                <w:szCs w:val="18"/>
              </w:rPr>
            </w:pP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为确保云平台在医疗行业的自主可信，超融合软件需获得互联网医疗健康产业联盟颁发的医疗云计算基础设施可信证书，提供证书证明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997" w:type="dxa"/>
            <w:gridSpan w:val="2"/>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保修</w:t>
            </w:r>
          </w:p>
        </w:tc>
        <w:tc>
          <w:tcPr>
            <w:tcW w:w="6299"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原厂五年保修服务</w:t>
            </w:r>
          </w:p>
        </w:tc>
      </w:tr>
    </w:tbl>
    <w:p>
      <w:pPr>
        <w:pStyle w:val="3"/>
        <w:spacing w:line="360" w:lineRule="auto"/>
        <w:ind w:right="180"/>
        <w:contextualSpacing/>
        <w:rPr>
          <w:rFonts w:hint="eastAsia" w:ascii="仿宋" w:hAnsi="仿宋" w:eastAsia="仿宋" w:cs="仿宋"/>
          <w:sz w:val="24"/>
          <w:szCs w:val="24"/>
        </w:rPr>
      </w:pP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超融合交换机</w:t>
      </w:r>
    </w:p>
    <w:tbl>
      <w:tblPr>
        <w:tblStyle w:val="19"/>
        <w:tblW w:w="4998" w:type="pct"/>
        <w:tblInd w:w="0" w:type="dxa"/>
        <w:tblLayout w:type="fixed"/>
        <w:tblCellMar>
          <w:top w:w="0" w:type="dxa"/>
          <w:left w:w="108" w:type="dxa"/>
          <w:bottom w:w="0" w:type="dxa"/>
          <w:right w:w="108" w:type="dxa"/>
        </w:tblCellMar>
      </w:tblPr>
      <w:tblGrid>
        <w:gridCol w:w="1801"/>
        <w:gridCol w:w="6718"/>
      </w:tblGrid>
      <w:tr>
        <w:tblPrEx>
          <w:tblCellMar>
            <w:top w:w="0" w:type="dxa"/>
            <w:left w:w="108" w:type="dxa"/>
            <w:bottom w:w="0" w:type="dxa"/>
            <w:right w:w="108" w:type="dxa"/>
          </w:tblCellMar>
        </w:tblPrEx>
        <w:trPr>
          <w:trHeight w:val="360" w:hRule="atLeast"/>
        </w:trPr>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功能及技术指标</w:t>
            </w:r>
          </w:p>
        </w:tc>
        <w:tc>
          <w:tcPr>
            <w:tcW w:w="394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参数要求</w:t>
            </w:r>
          </w:p>
        </w:tc>
      </w:tr>
      <w:tr>
        <w:tblPrEx>
          <w:tblCellMar>
            <w:top w:w="0" w:type="dxa"/>
            <w:left w:w="108" w:type="dxa"/>
            <w:bottom w:w="0" w:type="dxa"/>
            <w:right w:w="108" w:type="dxa"/>
          </w:tblCellMar>
        </w:tblPrEx>
        <w:trPr>
          <w:trHeight w:val="30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固定端口</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万兆SFP+光口≥12个；千兆电口≥12个；</w:t>
            </w:r>
          </w:p>
        </w:tc>
      </w:tr>
      <w:tr>
        <w:tblPrEx>
          <w:tblCellMar>
            <w:top w:w="0" w:type="dxa"/>
            <w:left w:w="108" w:type="dxa"/>
            <w:bottom w:w="0" w:type="dxa"/>
            <w:right w:w="108" w:type="dxa"/>
          </w:tblCellMar>
        </w:tblPrEx>
        <w:trPr>
          <w:trHeight w:val="30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交换机性能</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交换容量≥1.28Tbps/12.8Tbps</w:t>
            </w:r>
          </w:p>
        </w:tc>
      </w:tr>
      <w:tr>
        <w:tblPrEx>
          <w:tblCellMar>
            <w:top w:w="0" w:type="dxa"/>
            <w:left w:w="108" w:type="dxa"/>
            <w:bottom w:w="0" w:type="dxa"/>
            <w:right w:w="108" w:type="dxa"/>
          </w:tblCellMar>
        </w:tblPrEx>
        <w:trPr>
          <w:trHeight w:val="30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包转发率≥480Mpps</w:t>
            </w:r>
          </w:p>
        </w:tc>
      </w:tr>
      <w:tr>
        <w:tblPrEx>
          <w:tblCellMar>
            <w:top w:w="0" w:type="dxa"/>
            <w:left w:w="108" w:type="dxa"/>
            <w:bottom w:w="0" w:type="dxa"/>
            <w:right w:w="108" w:type="dxa"/>
          </w:tblCellMar>
        </w:tblPrEx>
        <w:trPr>
          <w:trHeight w:val="58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接入方式</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支持胖瘦一体化，支持智能交换机和普通交换机两种工作模式，可以根据不同的组网需要，随时在控制器平台灵活的进行切换</w:t>
            </w:r>
          </w:p>
        </w:tc>
      </w:tr>
      <w:tr>
        <w:trPr>
          <w:trHeight w:val="9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访问控制策略</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支持基于交换机单端口、聚合口的ACL策略；</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支持基于源目IP地址、MAC地址的ACL策略；</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支持基于时间的ACL策略；</w:t>
            </w:r>
          </w:p>
        </w:tc>
      </w:tr>
      <w:tr>
        <w:tblPrEx>
          <w:tblCellMar>
            <w:top w:w="0" w:type="dxa"/>
            <w:left w:w="108" w:type="dxa"/>
            <w:bottom w:w="0" w:type="dxa"/>
            <w:right w:w="108" w:type="dxa"/>
          </w:tblCellMar>
        </w:tblPrEx>
        <w:trPr>
          <w:trHeight w:val="9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服务质量（Qos）</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流量管理：对于匹配ACL的流量进行重标记从而实现流量监管功能；</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优先级映射：支持基于交换机组实现COS、DSCP优先级映射；</w:t>
            </w:r>
          </w:p>
        </w:tc>
      </w:tr>
      <w:tr>
        <w:tblPrEx>
          <w:tblCellMar>
            <w:top w:w="0" w:type="dxa"/>
            <w:left w:w="108" w:type="dxa"/>
            <w:bottom w:w="0" w:type="dxa"/>
            <w:right w:w="108" w:type="dxa"/>
          </w:tblCellMar>
        </w:tblPrEx>
        <w:trPr>
          <w:trHeight w:val="70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拥塞管理：支持多种调度模式（例如：轮询模式、严格优先模式等）实现流量基于报文或端口的优先级</w:t>
            </w:r>
          </w:p>
        </w:tc>
      </w:tr>
      <w:tr>
        <w:tblPrEx>
          <w:tblCellMar>
            <w:top w:w="0" w:type="dxa"/>
            <w:left w:w="108" w:type="dxa"/>
            <w:bottom w:w="0" w:type="dxa"/>
            <w:right w:w="108" w:type="dxa"/>
          </w:tblCellMar>
        </w:tblPrEx>
        <w:trPr>
          <w:trHeight w:val="9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交换机零配置上线方式</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二层广播自动发现控制器平台</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配置静态IP地址三层发现控制器平台</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DHCP Option43方式发现控制器平台</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DNS域名发现控制器平台</w:t>
            </w:r>
          </w:p>
        </w:tc>
      </w:tr>
      <w:tr>
        <w:tblPrEx>
          <w:tblCellMar>
            <w:top w:w="0" w:type="dxa"/>
            <w:left w:w="108" w:type="dxa"/>
            <w:bottom w:w="0" w:type="dxa"/>
            <w:right w:w="108" w:type="dxa"/>
          </w:tblCellMar>
        </w:tblPrEx>
        <w:trPr>
          <w:trHeight w:val="30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一键替换</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支持通过控制器平台一键替换“按钮”即可完成故障设备替换，提供平台功能截图证明；</w:t>
            </w:r>
          </w:p>
        </w:tc>
      </w:tr>
      <w:tr>
        <w:tblPrEx>
          <w:tblCellMar>
            <w:top w:w="0" w:type="dxa"/>
            <w:left w:w="108" w:type="dxa"/>
            <w:bottom w:w="0" w:type="dxa"/>
            <w:right w:w="108" w:type="dxa"/>
          </w:tblCellMar>
        </w:tblPrEx>
        <w:trPr>
          <w:trHeight w:val="30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生成树</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支持STP、RSTP、MSTP协议</w:t>
            </w:r>
          </w:p>
        </w:tc>
      </w:tr>
      <w:tr>
        <w:tblPrEx>
          <w:tblCellMar>
            <w:top w:w="0" w:type="dxa"/>
            <w:left w:w="108" w:type="dxa"/>
            <w:bottom w:w="0" w:type="dxa"/>
            <w:right w:w="108" w:type="dxa"/>
          </w:tblCellMar>
        </w:tblPrEx>
        <w:trPr>
          <w:trHeight w:val="30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组播</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支持IGMP v1/v2/v3 Snooping</w:t>
            </w:r>
          </w:p>
        </w:tc>
      </w:tr>
      <w:tr>
        <w:tblPrEx>
          <w:tblCellMar>
            <w:top w:w="0" w:type="dxa"/>
            <w:left w:w="108" w:type="dxa"/>
            <w:bottom w:w="0" w:type="dxa"/>
            <w:right w:w="108" w:type="dxa"/>
          </w:tblCellMar>
        </w:tblPrEx>
        <w:trPr>
          <w:trHeight w:val="30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VLAN</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支持4K个VLAN</w:t>
            </w:r>
          </w:p>
        </w:tc>
      </w:tr>
      <w:tr>
        <w:tblPrEx>
          <w:tblCellMar>
            <w:top w:w="0" w:type="dxa"/>
            <w:left w:w="108" w:type="dxa"/>
            <w:bottom w:w="0" w:type="dxa"/>
            <w:right w:w="108" w:type="dxa"/>
          </w:tblCellMar>
        </w:tblPrEx>
        <w:trPr>
          <w:trHeight w:val="58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EEE</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支持IEEE 802.3az 标准的 EEE节能技术：当EEE使能时，从而大幅度的减小端口在该阶段的功耗，达到了节能的目的。</w:t>
            </w:r>
          </w:p>
        </w:tc>
      </w:tr>
      <w:tr>
        <w:tblPrEx>
          <w:tblCellMar>
            <w:top w:w="0" w:type="dxa"/>
            <w:left w:w="108" w:type="dxa"/>
            <w:bottom w:w="0" w:type="dxa"/>
            <w:right w:w="108" w:type="dxa"/>
          </w:tblCellMar>
        </w:tblPrEx>
        <w:trPr>
          <w:trHeight w:val="9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MAC</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支持MAC地址≥32K</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支持MAC地址自动学习</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支持源MAC地址过滤</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支持接口MAC地址学习个数限制</w:t>
            </w:r>
          </w:p>
        </w:tc>
      </w:tr>
      <w:tr>
        <w:tblPrEx>
          <w:tblCellMar>
            <w:top w:w="0" w:type="dxa"/>
            <w:left w:w="108" w:type="dxa"/>
            <w:bottom w:w="0" w:type="dxa"/>
            <w:right w:w="108" w:type="dxa"/>
          </w:tblCellMar>
        </w:tblPrEx>
        <w:trPr>
          <w:trHeight w:val="9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端口聚合</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支持端口聚合≥128个</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支持手工和静态LACP</w:t>
            </w:r>
          </w:p>
        </w:tc>
      </w:tr>
      <w:tr>
        <w:tblPrEx>
          <w:tblCellMar>
            <w:top w:w="0" w:type="dxa"/>
            <w:left w:w="108" w:type="dxa"/>
            <w:bottom w:w="0" w:type="dxa"/>
            <w:right w:w="108" w:type="dxa"/>
          </w:tblCellMar>
        </w:tblPrEx>
        <w:trPr>
          <w:trHeight w:val="9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ARP</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ARP≥16K</w:t>
            </w:r>
          </w:p>
        </w:tc>
      </w:tr>
      <w:tr>
        <w:tblPrEx>
          <w:tblCellMar>
            <w:top w:w="0" w:type="dxa"/>
            <w:left w:w="108" w:type="dxa"/>
            <w:bottom w:w="0" w:type="dxa"/>
            <w:right w:w="108" w:type="dxa"/>
          </w:tblCellMar>
        </w:tblPrEx>
        <w:trPr>
          <w:trHeight w:val="9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DHCP</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支持DHCP Server</w:t>
            </w:r>
          </w:p>
        </w:tc>
      </w:tr>
      <w:tr>
        <w:tblPrEx>
          <w:tblCellMar>
            <w:top w:w="0" w:type="dxa"/>
            <w:left w:w="108" w:type="dxa"/>
            <w:bottom w:w="0" w:type="dxa"/>
            <w:right w:w="108" w:type="dxa"/>
          </w:tblCellMar>
        </w:tblPrEx>
        <w:trPr>
          <w:trHeight w:val="9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三层功能</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支持静态路由</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路由表≥1000</w:t>
            </w:r>
          </w:p>
        </w:tc>
      </w:tr>
      <w:tr>
        <w:tblPrEx>
          <w:tblCellMar>
            <w:top w:w="0" w:type="dxa"/>
            <w:left w:w="108" w:type="dxa"/>
            <w:bottom w:w="0" w:type="dxa"/>
            <w:right w:w="108" w:type="dxa"/>
          </w:tblCellMar>
        </w:tblPrEx>
        <w:trPr>
          <w:trHeight w:val="50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交换机状态显示</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支持通过控制器平台查看交换机端口负载情况</w:t>
            </w:r>
          </w:p>
        </w:tc>
      </w:tr>
      <w:tr>
        <w:tblPrEx>
          <w:tblCellMar>
            <w:top w:w="0" w:type="dxa"/>
            <w:left w:w="108" w:type="dxa"/>
            <w:bottom w:w="0" w:type="dxa"/>
            <w:right w:w="108" w:type="dxa"/>
          </w:tblCellMar>
        </w:tblPrEx>
        <w:trPr>
          <w:trHeight w:val="207"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安全特性</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支持防网关ARP欺骗</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管理员分级管理</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支持端口保护、隔离</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支持防止DOS、ARP攻击功能</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支持CPU保护功能</w:t>
            </w:r>
          </w:p>
        </w:tc>
      </w:tr>
      <w:tr>
        <w:tblPrEx>
          <w:tblCellMar>
            <w:top w:w="0" w:type="dxa"/>
            <w:left w:w="108" w:type="dxa"/>
            <w:bottom w:w="0" w:type="dxa"/>
            <w:right w:w="108" w:type="dxa"/>
          </w:tblCellMar>
        </w:tblPrEx>
        <w:trPr>
          <w:trHeight w:val="9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网络管理</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支持通过控制器平台跨广域网、NAT远程管理智能交换机</w:t>
            </w:r>
          </w:p>
        </w:tc>
      </w:tr>
      <w:tr>
        <w:tblPrEx>
          <w:tblCellMar>
            <w:top w:w="0" w:type="dxa"/>
            <w:left w:w="108" w:type="dxa"/>
            <w:bottom w:w="0" w:type="dxa"/>
            <w:right w:w="108" w:type="dxa"/>
          </w:tblCellMar>
        </w:tblPrEx>
        <w:trPr>
          <w:trHeight w:val="62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交换机画像管理</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支持通过在控制器平台的Web页面对交换机进行可视化管理查看，包括交换机的端口状态及配置、vlan信息，提供功能截图证明；</w:t>
            </w:r>
          </w:p>
        </w:tc>
      </w:tr>
      <w:tr>
        <w:tblPrEx>
          <w:tblCellMar>
            <w:top w:w="0" w:type="dxa"/>
            <w:left w:w="108" w:type="dxa"/>
            <w:bottom w:w="0" w:type="dxa"/>
            <w:right w:w="108" w:type="dxa"/>
          </w:tblCellMar>
        </w:tblPrEx>
        <w:trPr>
          <w:trHeight w:val="60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支持通过控制器平台图形化操作对交换机端口状态的开启与关闭；</w:t>
            </w:r>
          </w:p>
        </w:tc>
      </w:tr>
      <w:tr>
        <w:tblPrEx>
          <w:tblCellMar>
            <w:top w:w="0" w:type="dxa"/>
            <w:left w:w="108" w:type="dxa"/>
            <w:bottom w:w="0" w:type="dxa"/>
            <w:right w:w="108" w:type="dxa"/>
          </w:tblCellMar>
        </w:tblPrEx>
        <w:trPr>
          <w:trHeight w:val="9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运维</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支持通过控制器平台查看交换机处于工作端口的最近5分钟、1小时、最近1天、最近1周发送与接收的流量趋势；提供功能截图证明；</w:t>
            </w:r>
          </w:p>
        </w:tc>
      </w:tr>
      <w:tr>
        <w:tblPrEx>
          <w:tblCellMar>
            <w:top w:w="0" w:type="dxa"/>
            <w:left w:w="108" w:type="dxa"/>
            <w:bottom w:w="0" w:type="dxa"/>
            <w:right w:w="108" w:type="dxa"/>
          </w:tblCellMar>
        </w:tblPrEx>
        <w:trPr>
          <w:trHeight w:val="680" w:hRule="atLeast"/>
        </w:trPr>
        <w:tc>
          <w:tcPr>
            <w:tcW w:w="105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智能终端类型识别</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支持终端类型库，基于指纹自动识别PC、路由器、监控终端设备等，提供平台终端类型识别库截图证明；</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支持基于终端类型自动识别结果，禁止非法终端(例如私接路由器)接入</w:t>
            </w:r>
          </w:p>
        </w:tc>
      </w:tr>
      <w:tr>
        <w:tblPrEx>
          <w:tblCellMar>
            <w:top w:w="0" w:type="dxa"/>
            <w:left w:w="108" w:type="dxa"/>
            <w:bottom w:w="0" w:type="dxa"/>
            <w:right w:w="108" w:type="dxa"/>
          </w:tblCellMar>
        </w:tblPrEx>
        <w:trPr>
          <w:trHeight w:val="16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终端安全策略</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支持终端IP-MAC绑定，当IP+MAC不对应时，可以将终端加入黑名单实现断开终端流量</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支持终端IP-MAC首次部署自动学习绑定</w:t>
            </w:r>
          </w:p>
        </w:tc>
      </w:tr>
      <w:tr>
        <w:tblPrEx>
          <w:tblCellMar>
            <w:top w:w="0" w:type="dxa"/>
            <w:left w:w="108" w:type="dxa"/>
            <w:bottom w:w="0" w:type="dxa"/>
            <w:right w:w="108" w:type="dxa"/>
          </w:tblCellMar>
        </w:tblPrEx>
        <w:trPr>
          <w:trHeight w:val="74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val="en-US" w:eastAsia="zh-CN" w:bidi="ar"/>
              </w:rPr>
              <w:t>5</w:t>
            </w:r>
            <w:r>
              <w:rPr>
                <w:rFonts w:hint="eastAsia" w:ascii="仿宋" w:hAnsi="仿宋" w:eastAsia="仿宋" w:cs="仿宋"/>
                <w:sz w:val="18"/>
                <w:szCs w:val="18"/>
                <w:lang w:bidi="ar"/>
              </w:rPr>
              <w:t>▲支持将交换机的端口进行端口组划分，方便配置管理，提供功能截图证明；</w:t>
            </w:r>
          </w:p>
        </w:tc>
      </w:tr>
      <w:tr>
        <w:tblPrEx>
          <w:tblCellMar>
            <w:top w:w="0" w:type="dxa"/>
            <w:left w:w="108" w:type="dxa"/>
            <w:bottom w:w="0" w:type="dxa"/>
            <w:right w:w="108" w:type="dxa"/>
          </w:tblCellMar>
        </w:tblPrEx>
        <w:trPr>
          <w:trHeight w:val="64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支持预留的特权IP必须由管理员审批才可以使用，同时支持IP白名单免审批；</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支持终端的MAC与交换机端口变更检测；</w:t>
            </w:r>
          </w:p>
        </w:tc>
      </w:tr>
      <w:tr>
        <w:tblPrEx>
          <w:tblCellMar>
            <w:top w:w="0" w:type="dxa"/>
            <w:left w:w="108" w:type="dxa"/>
            <w:bottom w:w="0" w:type="dxa"/>
            <w:right w:w="108" w:type="dxa"/>
          </w:tblCellMar>
        </w:tblPrEx>
        <w:trPr>
          <w:trHeight w:val="68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支持交换机端口终端类型变更后，通过短信告警</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可以自定义交换机端口接入终端类型，及MAC黑白名单</w:t>
            </w:r>
          </w:p>
        </w:tc>
      </w:tr>
      <w:tr>
        <w:tblPrEx>
          <w:tblCellMar>
            <w:top w:w="0" w:type="dxa"/>
            <w:left w:w="108" w:type="dxa"/>
            <w:bottom w:w="0" w:type="dxa"/>
            <w:right w:w="108" w:type="dxa"/>
          </w:tblCellMar>
        </w:tblPrEx>
        <w:trPr>
          <w:trHeight w:val="90" w:hRule="atLeast"/>
        </w:trPr>
        <w:tc>
          <w:tcPr>
            <w:tcW w:w="105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lang w:bidi="ar"/>
              </w:rPr>
              <w:t>终端状态安全分析</w:t>
            </w: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支持查看终端在交换机端口离线次数、闲置时间、离线趋势</w:t>
            </w:r>
          </w:p>
        </w:tc>
      </w:tr>
      <w:tr>
        <w:tblPrEx>
          <w:tblCellMar>
            <w:top w:w="0" w:type="dxa"/>
            <w:left w:w="108" w:type="dxa"/>
            <w:bottom w:w="0" w:type="dxa"/>
            <w:right w:w="108" w:type="dxa"/>
          </w:tblCellMar>
        </w:tblPrEx>
        <w:trPr>
          <w:trHeight w:val="13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支持查看安全事件记录、终端类型异常记录、终端在端口迁移次数、终端地址异常记录等安全事件的记录统计</w:t>
            </w:r>
          </w:p>
        </w:tc>
      </w:tr>
      <w:tr>
        <w:tblPrEx>
          <w:tblCellMar>
            <w:top w:w="0" w:type="dxa"/>
            <w:left w:w="108" w:type="dxa"/>
            <w:bottom w:w="0" w:type="dxa"/>
            <w:right w:w="108" w:type="dxa"/>
          </w:tblCellMar>
        </w:tblPrEx>
        <w:trPr>
          <w:trHeight w:val="90" w:hRule="atLeast"/>
        </w:trPr>
        <w:tc>
          <w:tcPr>
            <w:tcW w:w="105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p>
        </w:tc>
        <w:tc>
          <w:tcPr>
            <w:tcW w:w="394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仿宋" w:hAnsi="仿宋" w:eastAsia="仿宋" w:cs="仿宋"/>
                <w:sz w:val="18"/>
                <w:szCs w:val="18"/>
              </w:rPr>
            </w:pPr>
            <w:r>
              <w:rPr>
                <w:rFonts w:hint="eastAsia" w:ascii="仿宋" w:hAnsi="仿宋" w:eastAsia="仿宋" w:cs="仿宋"/>
                <w:sz w:val="18"/>
                <w:szCs w:val="18"/>
                <w:lang w:bidi="ar"/>
              </w:rPr>
              <w:t>支持查看终端的的历史接入交换机端口，终端的活跃状态</w:t>
            </w:r>
          </w:p>
        </w:tc>
      </w:tr>
      <w:tr>
        <w:tblPrEx>
          <w:tblCellMar>
            <w:top w:w="0" w:type="dxa"/>
            <w:left w:w="108" w:type="dxa"/>
            <w:bottom w:w="0" w:type="dxa"/>
            <w:right w:w="108" w:type="dxa"/>
          </w:tblCellMar>
        </w:tblPrEx>
        <w:trPr>
          <w:trHeight w:val="90" w:hRule="atLeast"/>
        </w:trPr>
        <w:tc>
          <w:tcPr>
            <w:tcW w:w="105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保修</w:t>
            </w:r>
          </w:p>
        </w:tc>
        <w:tc>
          <w:tcPr>
            <w:tcW w:w="3943" w:type="pct"/>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center"/>
              <w:rPr>
                <w:rFonts w:hint="eastAsia" w:ascii="仿宋" w:hAnsi="仿宋" w:eastAsia="仿宋" w:cs="仿宋"/>
                <w:sz w:val="18"/>
                <w:szCs w:val="18"/>
                <w:lang w:bidi="ar"/>
              </w:rPr>
            </w:pPr>
            <w:r>
              <w:rPr>
                <w:rFonts w:hint="eastAsia" w:ascii="仿宋" w:hAnsi="仿宋" w:eastAsia="仿宋" w:cs="仿宋"/>
                <w:sz w:val="18"/>
                <w:szCs w:val="18"/>
              </w:rPr>
              <w:t>原厂五年保修服务</w:t>
            </w:r>
          </w:p>
        </w:tc>
      </w:tr>
    </w:tbl>
    <w:p>
      <w:pPr>
        <w:pStyle w:val="3"/>
        <w:spacing w:line="360" w:lineRule="auto"/>
        <w:ind w:right="180"/>
        <w:contextualSpacing/>
        <w:rPr>
          <w:rFonts w:hint="eastAsia" w:ascii="仿宋" w:hAnsi="仿宋" w:eastAsia="仿宋" w:cs="仿宋"/>
          <w:sz w:val="24"/>
          <w:szCs w:val="24"/>
        </w:rPr>
      </w:pPr>
    </w:p>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内存扩容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指标项</w:t>
            </w:r>
          </w:p>
        </w:tc>
        <w:tc>
          <w:tcPr>
            <w:tcW w:w="6297"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szCs w:val="21"/>
              </w:rPr>
            </w:pPr>
            <w:r>
              <w:rPr>
                <w:rFonts w:hint="eastAsia" w:ascii="仿宋" w:hAnsi="仿宋" w:eastAsia="仿宋" w:cs="仿宋"/>
                <w:b/>
                <w:bCs/>
                <w:szCs w:val="21"/>
              </w:rPr>
              <w:t>数量</w:t>
            </w:r>
          </w:p>
        </w:tc>
        <w:tc>
          <w:tcPr>
            <w:tcW w:w="6297" w:type="dxa"/>
          </w:tcPr>
          <w:p>
            <w:pPr>
              <w:spacing w:line="360" w:lineRule="auto"/>
              <w:rPr>
                <w:rFonts w:hint="default" w:ascii="仿宋" w:hAnsi="仿宋" w:eastAsia="仿宋" w:cs="仿宋"/>
                <w:szCs w:val="21"/>
                <w:lang w:val="en-US" w:eastAsia="zh-CN"/>
              </w:rPr>
            </w:pPr>
            <w:r>
              <w:rPr>
                <w:rFonts w:hint="eastAsia" w:ascii="仿宋" w:hAnsi="仿宋" w:eastAsia="仿宋" w:cs="仿宋"/>
                <w:szCs w:val="21"/>
                <w:lang w:val="en-US" w:eastAsia="zh-CN"/>
              </w:rPr>
              <w:t>128</w:t>
            </w:r>
            <w:r>
              <w:rPr>
                <w:rFonts w:hint="eastAsia" w:ascii="仿宋" w:hAnsi="仿宋" w:eastAsia="仿宋" w:cs="仿宋"/>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color w:val="000000"/>
                <w:szCs w:val="21"/>
                <w:lang w:bidi="ar"/>
              </w:rPr>
            </w:pPr>
            <w:r>
              <w:rPr>
                <w:rFonts w:hint="eastAsia" w:ascii="仿宋" w:hAnsi="仿宋" w:eastAsia="仿宋" w:cs="仿宋"/>
                <w:b/>
                <w:bCs/>
                <w:color w:val="000000"/>
                <w:szCs w:val="21"/>
                <w:lang w:bidi="ar"/>
              </w:rPr>
              <w:t>配置</w:t>
            </w:r>
          </w:p>
        </w:tc>
        <w:tc>
          <w:tcPr>
            <w:tcW w:w="6297" w:type="dxa"/>
          </w:tcPr>
          <w:p>
            <w:pPr>
              <w:tabs>
                <w:tab w:val="left" w:pos="4179"/>
              </w:tabs>
              <w:spacing w:line="360" w:lineRule="auto"/>
              <w:rPr>
                <w:rFonts w:hint="eastAsia" w:ascii="仿宋" w:hAnsi="仿宋" w:eastAsia="仿宋" w:cs="仿宋"/>
              </w:rPr>
            </w:pPr>
            <w:r>
              <w:rPr>
                <w:rFonts w:hint="eastAsia" w:ascii="仿宋" w:hAnsi="仿宋" w:eastAsia="仿宋" w:cs="仿宋"/>
              </w:rPr>
              <w:t>服务器内存32G（X86架构通用），用于现有服务器aServer-W-4000内存扩容</w:t>
            </w:r>
          </w:p>
        </w:tc>
      </w:tr>
    </w:tbl>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4"/>
          <w:szCs w:val="24"/>
        </w:rPr>
        <w:t>超融合</w:t>
      </w:r>
      <w:r>
        <w:rPr>
          <w:rFonts w:hint="eastAsia" w:ascii="仿宋" w:hAnsi="仿宋" w:eastAsia="仿宋" w:cs="仿宋"/>
          <w:sz w:val="24"/>
          <w:szCs w:val="24"/>
          <w:lang w:val="en-US" w:eastAsia="zh-CN"/>
        </w:rPr>
        <w:t>一体机</w:t>
      </w:r>
      <w:r>
        <w:rPr>
          <w:rFonts w:hint="eastAsia" w:ascii="仿宋" w:hAnsi="仿宋" w:eastAsia="仿宋" w:cs="仿宋"/>
          <w:sz w:val="24"/>
          <w:szCs w:val="24"/>
        </w:rPr>
        <w:t>2</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26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gridSpan w:val="2"/>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指标项</w:t>
            </w:r>
          </w:p>
        </w:tc>
        <w:tc>
          <w:tcPr>
            <w:tcW w:w="6297" w:type="dxa"/>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gridSpan w:val="2"/>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rPr>
              <w:t>服务器节点</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本次提供超融合一体机节点数≥2；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32" w:type="dxa"/>
            <w:vMerge w:val="restart"/>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单台硬件配置</w:t>
            </w:r>
          </w:p>
        </w:tc>
        <w:tc>
          <w:tcPr>
            <w:tcW w:w="1267" w:type="dxa"/>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rPr>
              <w:t>CPU和内存</w:t>
            </w:r>
          </w:p>
        </w:tc>
        <w:tc>
          <w:tcPr>
            <w:tcW w:w="6297" w:type="dxa"/>
          </w:tcPr>
          <w:p>
            <w:pPr>
              <w:spacing w:line="360" w:lineRule="auto"/>
              <w:rPr>
                <w:rFonts w:hint="eastAsia" w:ascii="仿宋" w:hAnsi="仿宋" w:eastAsia="仿宋" w:cs="仿宋"/>
                <w:b/>
                <w:bCs/>
                <w:sz w:val="18"/>
                <w:szCs w:val="18"/>
              </w:rPr>
            </w:pPr>
            <w:r>
              <w:rPr>
                <w:rFonts w:hint="eastAsia" w:ascii="仿宋" w:hAnsi="仿宋" w:eastAsia="仿宋" w:cs="仿宋"/>
                <w:sz w:val="18"/>
                <w:szCs w:val="18"/>
              </w:rPr>
              <w:t>每台节点配置2颗CPU ，采用Intel Xeon Gold 5318H  2.50 GHz（18C）或以上配置的CPU，每台服务器内存≥32*32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Merge w:val="continue"/>
            <w:vAlign w:val="center"/>
          </w:tcPr>
          <w:p>
            <w:pPr>
              <w:spacing w:line="360" w:lineRule="auto"/>
              <w:jc w:val="center"/>
              <w:rPr>
                <w:rFonts w:hint="eastAsia" w:ascii="仿宋" w:hAnsi="仿宋" w:eastAsia="仿宋" w:cs="仿宋"/>
                <w:b/>
                <w:bCs/>
                <w:sz w:val="18"/>
                <w:szCs w:val="18"/>
              </w:rPr>
            </w:pPr>
          </w:p>
        </w:tc>
        <w:tc>
          <w:tcPr>
            <w:tcW w:w="1267" w:type="dxa"/>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color w:val="000000"/>
                <w:sz w:val="18"/>
                <w:szCs w:val="18"/>
                <w:lang w:bidi="ar"/>
              </w:rPr>
              <w:t>接口</w:t>
            </w:r>
          </w:p>
        </w:tc>
        <w:tc>
          <w:tcPr>
            <w:tcW w:w="6297" w:type="dxa"/>
          </w:tcPr>
          <w:p>
            <w:pPr>
              <w:spacing w:line="360" w:lineRule="auto"/>
              <w:rPr>
                <w:rFonts w:hint="eastAsia" w:ascii="仿宋" w:hAnsi="仿宋" w:eastAsia="仿宋" w:cs="仿宋"/>
                <w:b/>
                <w:bCs/>
                <w:sz w:val="18"/>
                <w:szCs w:val="18"/>
              </w:rPr>
            </w:pPr>
            <w:r>
              <w:rPr>
                <w:rFonts w:hint="eastAsia" w:ascii="仿宋" w:hAnsi="仿宋" w:eastAsia="仿宋" w:cs="仿宋"/>
                <w:sz w:val="18"/>
                <w:szCs w:val="18"/>
              </w:rPr>
              <w:t>千兆电口≥2个，万兆光口</w:t>
            </w:r>
            <w:r>
              <w:rPr>
                <w:rFonts w:hint="eastAsia" w:ascii="仿宋" w:hAnsi="仿宋" w:eastAsia="仿宋" w:cs="仿宋"/>
                <w:sz w:val="18"/>
                <w:szCs w:val="18"/>
                <w:lang w:bidi="ar"/>
              </w:rPr>
              <w:t xml:space="preserve"> SFP+</w:t>
            </w:r>
            <w:r>
              <w:rPr>
                <w:rFonts w:hint="eastAsia" w:ascii="仿宋" w:hAnsi="仿宋" w:eastAsia="仿宋" w:cs="仿宋"/>
                <w:sz w:val="18"/>
                <w:szCs w:val="18"/>
              </w:rPr>
              <w:t>≥6个（含模块）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32" w:type="dxa"/>
            <w:vMerge w:val="continue"/>
            <w:vAlign w:val="center"/>
          </w:tcPr>
          <w:p>
            <w:pPr>
              <w:spacing w:line="360" w:lineRule="auto"/>
              <w:jc w:val="center"/>
              <w:rPr>
                <w:rFonts w:hint="eastAsia" w:ascii="仿宋" w:hAnsi="仿宋" w:eastAsia="仿宋" w:cs="仿宋"/>
                <w:b/>
                <w:bCs/>
                <w:sz w:val="18"/>
                <w:szCs w:val="18"/>
              </w:rPr>
            </w:pPr>
          </w:p>
        </w:tc>
        <w:tc>
          <w:tcPr>
            <w:tcW w:w="1267" w:type="dxa"/>
            <w:vAlign w:val="center"/>
          </w:tcPr>
          <w:p>
            <w:pPr>
              <w:widowControl/>
              <w:spacing w:line="360" w:lineRule="auto"/>
              <w:jc w:val="center"/>
              <w:textAlignment w:val="center"/>
              <w:rPr>
                <w:rFonts w:hint="eastAsia" w:ascii="仿宋" w:hAnsi="仿宋" w:eastAsia="仿宋" w:cs="仿宋"/>
                <w:b/>
                <w:bCs/>
                <w:sz w:val="18"/>
                <w:szCs w:val="18"/>
              </w:rPr>
            </w:pPr>
            <w:r>
              <w:rPr>
                <w:rFonts w:hint="eastAsia" w:ascii="仿宋" w:hAnsi="仿宋" w:eastAsia="仿宋" w:cs="仿宋"/>
                <w:b/>
                <w:bCs/>
                <w:color w:val="000000"/>
                <w:sz w:val="18"/>
                <w:szCs w:val="18"/>
                <w:lang w:bidi="ar"/>
              </w:rPr>
              <w:t>硬盘配置</w:t>
            </w:r>
          </w:p>
        </w:tc>
        <w:tc>
          <w:tcPr>
            <w:tcW w:w="6297" w:type="dxa"/>
          </w:tcPr>
          <w:p>
            <w:pPr>
              <w:tabs>
                <w:tab w:val="left" w:pos="4179"/>
              </w:tabs>
              <w:spacing w:line="360" w:lineRule="auto"/>
              <w:rPr>
                <w:rFonts w:hint="eastAsia" w:ascii="仿宋" w:hAnsi="仿宋" w:eastAsia="仿宋" w:cs="仿宋"/>
                <w:b/>
                <w:bCs/>
                <w:sz w:val="18"/>
                <w:szCs w:val="18"/>
              </w:rPr>
            </w:pPr>
            <w:r>
              <w:rPr>
                <w:rFonts w:hint="eastAsia" w:ascii="仿宋" w:hAnsi="仿宋" w:eastAsia="仿宋" w:cs="仿宋"/>
                <w:sz w:val="18"/>
                <w:szCs w:val="18"/>
              </w:rPr>
              <w:t>每个节点要求配置系统盘≥2*240G-SATA-SSD 企业级固态硬盘，配置缓存盘≥2*固态硬盘-3.2T-U.2 NVME SSD;，配置数据盘≥13*机械SAS硬盘2.4T-SAS2.5寸-万转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gridSpan w:val="2"/>
            <w:vAlign w:val="center"/>
          </w:tcPr>
          <w:p>
            <w:pPr>
              <w:widowControl/>
              <w:spacing w:line="360" w:lineRule="auto"/>
              <w:jc w:val="center"/>
              <w:textAlignment w:val="center"/>
              <w:rPr>
                <w:rFonts w:hint="eastAsia" w:ascii="仿宋" w:hAnsi="仿宋" w:eastAsia="仿宋" w:cs="仿宋"/>
                <w:b/>
                <w:bCs/>
                <w:color w:val="000000"/>
                <w:sz w:val="18"/>
                <w:szCs w:val="18"/>
                <w:lang w:bidi="ar"/>
              </w:rPr>
            </w:pPr>
            <w:r>
              <w:rPr>
                <w:rFonts w:hint="eastAsia" w:ascii="仿宋" w:hAnsi="仿宋" w:eastAsia="仿宋" w:cs="仿宋"/>
                <w:b/>
                <w:bCs/>
                <w:color w:val="000000"/>
                <w:sz w:val="18"/>
                <w:szCs w:val="18"/>
                <w:lang w:bidi="ar"/>
              </w:rPr>
              <w:t>平台兼容性</w:t>
            </w:r>
          </w:p>
        </w:tc>
        <w:tc>
          <w:tcPr>
            <w:tcW w:w="6297" w:type="dxa"/>
          </w:tcPr>
          <w:p>
            <w:pPr>
              <w:tabs>
                <w:tab w:val="left" w:pos="4179"/>
              </w:tabs>
              <w:spacing w:line="360" w:lineRule="auto"/>
              <w:rPr>
                <w:rFonts w:hint="eastAsia" w:ascii="仿宋" w:hAnsi="仿宋" w:eastAsia="仿宋" w:cs="仿宋"/>
                <w:sz w:val="18"/>
                <w:szCs w:val="18"/>
              </w:rPr>
            </w:pPr>
            <w:r>
              <w:rPr>
                <w:rFonts w:hint="eastAsia" w:ascii="仿宋" w:hAnsi="仿宋" w:eastAsia="仿宋" w:cs="仿宋"/>
                <w:sz w:val="18"/>
                <w:szCs w:val="18"/>
              </w:rPr>
              <w:t>本次招标产品用于现有集群主机扩容升级项目，超融合一体机需要支持被现有云管平台统一纳管。提供厂商承诺函并加盖厂商公章。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restart"/>
            <w:vAlign w:val="center"/>
          </w:tcPr>
          <w:p>
            <w:pPr>
              <w:tabs>
                <w:tab w:val="left" w:pos="1470"/>
              </w:tabs>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云计算平台要求</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产品完全自研，非OEM，需提供云计算管理平台的软件著作权证书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jc w:val="center"/>
              <w:rPr>
                <w:rFonts w:hint="eastAsia" w:ascii="仿宋" w:hAnsi="仿宋" w:eastAsia="仿宋" w:cs="仿宋"/>
                <w:b/>
                <w:bCs/>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支持跨地域的多集群管理，可纳管256个物理机节点，支持30000台云主机的规模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支持主备切换，当主平台发生故障时，能够切换到备平台，保障云平台稳定运行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 xml:space="preserve">支持上传或利用现有云主机创建镜像，可对镜像进行管理、关联资源池等操作，可通过镜像实现一键快速创建云主机及安全组件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6</w:t>
            </w:r>
            <w:r>
              <w:rPr>
                <w:rFonts w:hint="eastAsia" w:ascii="仿宋" w:hAnsi="仿宋" w:eastAsia="仿宋" w:cs="仿宋"/>
                <w:sz w:val="18"/>
                <w:szCs w:val="18"/>
              </w:rPr>
              <w:t>▲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restart"/>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计算虚拟化要求</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7</w:t>
            </w:r>
            <w:r>
              <w:rPr>
                <w:rFonts w:hint="eastAsia" w:ascii="仿宋" w:hAnsi="仿宋" w:eastAsia="仿宋" w:cs="仿宋"/>
                <w:sz w:val="18"/>
                <w:szCs w:val="18"/>
              </w:rPr>
              <w:t>▲虚拟化软件非OEM或贴牌产品，禁止借用第三方软件的整合，以保证功能的可靠性和安全性（提供相应的软件著作权）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采用分布式管理架构，去中心化，管理平台不依赖于某一个虚拟机或物理机部署，采用分布式架构保障平台更可靠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支持平台中的集群资源环境一键检测，对硬件健康、平台底层的虚拟化的运行状态和配置，进行多个维度进行检查，提供快速定位问题功能，确保系统最佳状态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支持对超融合平台的硬件进行监控和大屏展示，包含CPU，内存，网卡，硬盘，存储，RAID等硬件健康检测，便于及时发现问题并提供相应异常检测项的恢复指导建议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为了更好的保护用户数据，支持设置定期全量备份，支持用户灵活配置备份策略，备份文件保留时间最高可以达到15年，支持将虚拟机的备份文件定期归档到第二存储，最多可以保留100年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支持设置告警类型（紧急和普通）、告警内容（集群、主机、虚拟机、CPU、内存、磁盘），针对告警信息平台可自动给出告警处理建议，同时支持将告警信息以短信和邮件方式发送给管理员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此项目核心业务计划部署在超融合平台，平台需定期升级保障平台稳定性，核心业务不能长时间停机，超融合平台需支持在线升级不影响业务；为保证升级时间与步骤可控，升级过程中支持对升级节点进行升级顺序编排、升级暂停（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9" w:type="dxa"/>
            <w:gridSpan w:val="2"/>
            <w:vMerge w:val="restart"/>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存储虚拟化要求</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产品完全自研，非OEM，需提供存储虚拟化软件著作权证书（提供相应的软件著作权）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支持存储虚拟化功能，无需安装额外的软件，在一个统一的管理平台上使用License激活的方式即可开通使用，存储虚拟化与计算虚拟化为紧耦合架构，减少底层开销，提升性能（需提供产品功能截图）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支持为虚拟磁盘配置不同的存储策略以满足特定场景的需求, 如系统盘和数据盘选择高性能策略, 备份盘选择低性能策略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支持对虚拟机业务按照小时/天/周自定义设置定时快照策略，以便业务发生故障时可以快速回滚覆盖原虚拟机或者通过对快照进行克隆的方式生成全新虚拟机，进而恢复至业务健康状态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8</w:t>
            </w:r>
            <w:r>
              <w:rPr>
                <w:rFonts w:hint="eastAsia" w:ascii="仿宋" w:hAnsi="仿宋" w:eastAsia="仿宋" w:cs="仿宋"/>
                <w:sz w:val="18"/>
                <w:szCs w:val="18"/>
              </w:rPr>
              <w:t>▲硬件故障对平台影响较大，也会影响数据安全，为保障业务在硬件故障后尽快恢复冗余数据保障，支持进行数据重建操作，重建速率达到30分钟/TB；重建过程中可以查看数据重建任务列表信息，包括对象名称、对象类型、数据量和优先级等；支持点击操作中的优先级对数据重建进行优先重建（提供</w:t>
            </w:r>
            <w:r>
              <w:rPr>
                <w:rFonts w:hint="eastAsia" w:ascii="仿宋" w:hAnsi="仿宋" w:eastAsia="仿宋" w:cs="仿宋"/>
                <w:sz w:val="18"/>
                <w:szCs w:val="18"/>
                <w:lang w:eastAsia="zh-CN"/>
              </w:rPr>
              <w:t>相关证明</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针对虚拟机或虚拟磁盘设置数据分布策略，当采用副本聚合策略时，可以保证以性能优先为原则，实现IO本地读效果，当采用副本散列策略时，可以保证虚拟机以分布均匀优先为原则，打散分布均匀在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restart"/>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网络虚拟化要求</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产品完全自研，非OEM，需提供网络虚拟化软件著作权证书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在管理平台上可以通过拖拽虚拟设备图标和连线就能完成网络拓扑的构建，快速的实现整个业务逻辑，并且可以连接、开启、关闭虚拟网络设备，支持对整个平台虚拟设备实现统一的管理，提升运维管理的工作效率【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主动探测业务系统，实时监控业务可用性，监控策略包括HTTP、FTP、POP3、SMTP、自定义端口协议等，当业务出现故障时，通过多种方式（短信、邮箱）告知管理员进行排障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支持链路聚合，为网络中的每个虚拟机提供内置的网络故障切换和负载均衡能力，实现更高的硬件可用性和容错能力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提供虚拟路由器、虚拟交换机等设备的连通性探测功能，方便在虚拟化环境中，进行相应的故障排除和恢复，能够定位到出现故障的虚拟网络设备，方便快速排查问题保障业务的高连续性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restart"/>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内建安全</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lang w:val="en-US" w:eastAsia="zh-CN"/>
              </w:rPr>
              <w:t>9</w:t>
            </w:r>
            <w:r>
              <w:rPr>
                <w:rFonts w:hint="eastAsia" w:ascii="仿宋" w:hAnsi="仿宋" w:eastAsia="仿宋" w:cs="仿宋"/>
                <w:sz w:val="18"/>
                <w:szCs w:val="18"/>
              </w:rPr>
              <w:t>▲基于业务安全性和运维高效性考虑，需要虚拟化平台支持在虚拟机安装性能优化工具时自动安装组件功能对操作系统进行安全防护。（需提供</w:t>
            </w:r>
            <w:r>
              <w:rPr>
                <w:rFonts w:hint="eastAsia" w:ascii="仿宋" w:hAnsi="仿宋" w:eastAsia="仿宋" w:cs="仿宋"/>
                <w:sz w:val="18"/>
                <w:szCs w:val="18"/>
                <w:lang w:eastAsia="zh-CN"/>
              </w:rPr>
              <w:t>相关证明</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云安全中心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提供向导化勒索病毒处理流程，建立多维度立体防护机制，提供事前入侵防御-事中反加密-事后检测响应的完整防护体系，展示勒索病毒处置情况，对勒索病毒及变种实现专门有效防御（需提供产品功能截图）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999" w:type="dxa"/>
            <w:gridSpan w:val="2"/>
            <w:vMerge w:val="restart"/>
            <w:vAlign w:val="center"/>
          </w:tcPr>
          <w:p>
            <w:pPr>
              <w:spacing w:line="360" w:lineRule="auto"/>
              <w:jc w:val="center"/>
              <w:rPr>
                <w:rFonts w:hint="eastAsia" w:ascii="仿宋" w:hAnsi="仿宋" w:eastAsia="仿宋" w:cs="仿宋"/>
                <w:b/>
                <w:bCs/>
                <w:sz w:val="18"/>
                <w:szCs w:val="18"/>
              </w:rPr>
            </w:pPr>
            <w:r>
              <w:rPr>
                <w:rFonts w:hint="eastAsia" w:ascii="仿宋" w:hAnsi="仿宋" w:eastAsia="仿宋" w:cs="仿宋"/>
                <w:b/>
                <w:bCs/>
                <w:sz w:val="18"/>
                <w:szCs w:val="18"/>
              </w:rPr>
              <w:t>资质</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超融合软件获得云计算开源产业联盟颁发的超融合解决方案检验证书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999" w:type="dxa"/>
            <w:gridSpan w:val="2"/>
            <w:vMerge w:val="continue"/>
            <w:vAlign w:val="center"/>
          </w:tcPr>
          <w:p>
            <w:pPr>
              <w:spacing w:line="360" w:lineRule="auto"/>
              <w:rPr>
                <w:rFonts w:hint="eastAsia" w:ascii="仿宋" w:hAnsi="仿宋" w:eastAsia="仿宋" w:cs="仿宋"/>
                <w:sz w:val="18"/>
                <w:szCs w:val="18"/>
              </w:rPr>
            </w:pP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为确保云平台在医疗行业的自主可信，超融合软件需获得互联网医疗健康产业联盟颁发的医疗云计算基础设施可信证书，提供证书证明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999" w:type="dxa"/>
            <w:gridSpan w:val="2"/>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bCs/>
                <w:sz w:val="18"/>
                <w:szCs w:val="18"/>
              </w:rPr>
              <w:t>保修</w:t>
            </w:r>
          </w:p>
        </w:tc>
        <w:tc>
          <w:tcPr>
            <w:tcW w:w="6297" w:type="dxa"/>
          </w:tcPr>
          <w:p>
            <w:pPr>
              <w:spacing w:line="360" w:lineRule="auto"/>
              <w:rPr>
                <w:rFonts w:hint="eastAsia" w:ascii="仿宋" w:hAnsi="仿宋" w:eastAsia="仿宋" w:cs="仿宋"/>
                <w:sz w:val="18"/>
                <w:szCs w:val="18"/>
              </w:rPr>
            </w:pPr>
            <w:r>
              <w:rPr>
                <w:rFonts w:hint="eastAsia" w:ascii="仿宋" w:hAnsi="仿宋" w:eastAsia="仿宋" w:cs="仿宋"/>
                <w:sz w:val="18"/>
                <w:szCs w:val="18"/>
              </w:rPr>
              <w:t>原厂五年保修服务</w:t>
            </w:r>
          </w:p>
        </w:tc>
      </w:tr>
    </w:tbl>
    <w:p>
      <w:pPr>
        <w:pStyle w:val="3"/>
        <w:spacing w:line="360" w:lineRule="auto"/>
        <w:ind w:right="180"/>
        <w:contextualSpacing/>
        <w:rPr>
          <w:rFonts w:hint="eastAsia" w:ascii="仿宋" w:hAnsi="仿宋" w:eastAsia="仿宋" w:cs="仿宋"/>
          <w:sz w:val="24"/>
          <w:szCs w:val="24"/>
          <w:lang w:eastAsia="zh-CN"/>
        </w:rPr>
      </w:pPr>
    </w:p>
    <w:p>
      <w:pPr>
        <w:pStyle w:val="3"/>
        <w:spacing w:line="360" w:lineRule="auto"/>
        <w:ind w:right="180"/>
        <w:contextualSpacing/>
        <w:rPr>
          <w:rFonts w:hint="eastAsia" w:ascii="仿宋" w:hAnsi="仿宋" w:eastAsia="仿宋" w:cs="仿宋"/>
          <w:sz w:val="24"/>
          <w:szCs w:val="24"/>
          <w:lang w:eastAsia="zh-CN"/>
        </w:rPr>
      </w:pPr>
      <w:r>
        <w:rPr>
          <w:rFonts w:hint="eastAsia" w:ascii="仿宋" w:hAnsi="仿宋" w:eastAsia="仿宋" w:cs="仿宋"/>
          <w:sz w:val="24"/>
          <w:szCs w:val="24"/>
          <w:lang w:eastAsia="zh-CN"/>
        </w:rPr>
        <w:t>万兆多模光模块</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指标项</w:t>
            </w:r>
          </w:p>
        </w:tc>
        <w:tc>
          <w:tcPr>
            <w:tcW w:w="6297"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szCs w:val="21"/>
              </w:rPr>
            </w:pPr>
            <w:r>
              <w:rPr>
                <w:rFonts w:hint="eastAsia" w:ascii="仿宋" w:hAnsi="仿宋" w:eastAsia="仿宋" w:cs="仿宋"/>
                <w:b/>
                <w:bCs/>
                <w:szCs w:val="21"/>
              </w:rPr>
              <w:t>数量</w:t>
            </w:r>
          </w:p>
        </w:tc>
        <w:tc>
          <w:tcPr>
            <w:tcW w:w="6297" w:type="dxa"/>
          </w:tcPr>
          <w:p>
            <w:pPr>
              <w:spacing w:line="360" w:lineRule="auto"/>
              <w:rPr>
                <w:rFonts w:hint="eastAsia" w:ascii="仿宋" w:hAnsi="仿宋" w:eastAsia="仿宋" w:cs="仿宋"/>
                <w:szCs w:val="21"/>
              </w:rPr>
            </w:pPr>
            <w:r>
              <w:rPr>
                <w:rFonts w:hint="eastAsia" w:ascii="仿宋" w:hAnsi="仿宋" w:eastAsia="仿宋" w:cs="仿宋"/>
                <w:szCs w:val="21"/>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color w:val="000000"/>
                <w:szCs w:val="21"/>
                <w:lang w:bidi="ar"/>
              </w:rPr>
            </w:pPr>
            <w:r>
              <w:rPr>
                <w:rFonts w:hint="eastAsia" w:ascii="仿宋" w:hAnsi="仿宋" w:eastAsia="仿宋" w:cs="仿宋"/>
                <w:b/>
                <w:bCs/>
                <w:color w:val="000000"/>
                <w:szCs w:val="21"/>
                <w:lang w:bidi="ar"/>
              </w:rPr>
              <w:t>配置</w:t>
            </w:r>
          </w:p>
        </w:tc>
        <w:tc>
          <w:tcPr>
            <w:tcW w:w="6297" w:type="dxa"/>
          </w:tcPr>
          <w:p>
            <w:pPr>
              <w:tabs>
                <w:tab w:val="left" w:pos="4179"/>
              </w:tabs>
              <w:spacing w:line="360" w:lineRule="auto"/>
              <w:rPr>
                <w:rFonts w:hint="default" w:ascii="仿宋" w:hAnsi="仿宋" w:eastAsia="仿宋" w:cs="仿宋"/>
                <w:lang w:val="en-US" w:eastAsia="zh-CN"/>
              </w:rPr>
            </w:pPr>
            <w:r>
              <w:rPr>
                <w:rFonts w:hint="eastAsia" w:ascii="仿宋" w:hAnsi="仿宋" w:eastAsia="仿宋" w:cs="仿宋"/>
                <w:sz w:val="18"/>
                <w:szCs w:val="18"/>
              </w:rPr>
              <w:t>中心波长850nm，多模光纤传输，最远距离达300m，提供五年原厂质保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9" w:type="dxa"/>
            <w:vAlign w:val="center"/>
          </w:tcPr>
          <w:p>
            <w:pPr>
              <w:widowControl/>
              <w:spacing w:line="360" w:lineRule="auto"/>
              <w:jc w:val="center"/>
              <w:textAlignment w:val="center"/>
              <w:rPr>
                <w:rFonts w:hint="eastAsia" w:ascii="仿宋" w:hAnsi="仿宋" w:eastAsia="仿宋" w:cs="仿宋"/>
                <w:b/>
                <w:bCs/>
                <w:color w:val="000000"/>
                <w:szCs w:val="21"/>
                <w:lang w:bidi="ar"/>
              </w:rPr>
            </w:pPr>
            <w:r>
              <w:rPr>
                <w:rFonts w:hint="eastAsia" w:ascii="仿宋" w:hAnsi="仿宋" w:eastAsia="仿宋" w:cs="仿宋"/>
                <w:b/>
                <w:bCs/>
                <w:color w:val="000000"/>
                <w:szCs w:val="21"/>
                <w:lang w:bidi="ar"/>
              </w:rPr>
              <w:t>保修</w:t>
            </w:r>
          </w:p>
        </w:tc>
        <w:tc>
          <w:tcPr>
            <w:tcW w:w="6297" w:type="dxa"/>
          </w:tcPr>
          <w:p>
            <w:pPr>
              <w:tabs>
                <w:tab w:val="left" w:pos="4179"/>
              </w:tabs>
              <w:spacing w:line="360" w:lineRule="auto"/>
              <w:rPr>
                <w:rFonts w:hint="eastAsia" w:ascii="仿宋" w:hAnsi="仿宋" w:eastAsia="仿宋" w:cs="仿宋"/>
              </w:rPr>
            </w:pPr>
            <w:r>
              <w:rPr>
                <w:rFonts w:hint="eastAsia" w:ascii="仿宋" w:hAnsi="仿宋" w:eastAsia="仿宋" w:cs="仿宋"/>
              </w:rPr>
              <w:t>原厂五年保修</w:t>
            </w:r>
          </w:p>
        </w:tc>
      </w:tr>
    </w:tbl>
    <w:p>
      <w:pPr>
        <w:pStyle w:val="3"/>
        <w:spacing w:line="360" w:lineRule="auto"/>
        <w:ind w:right="180"/>
        <w:contextualSpacing/>
        <w:rPr>
          <w:rFonts w:hint="eastAsia" w:ascii="仿宋" w:hAnsi="仿宋" w:eastAsia="仿宋" w:cs="仿宋"/>
          <w:sz w:val="24"/>
          <w:szCs w:val="24"/>
        </w:rPr>
      </w:pPr>
      <w:r>
        <w:rPr>
          <w:rFonts w:hint="eastAsia" w:ascii="仿宋" w:hAnsi="仿宋" w:eastAsia="仿宋" w:cs="仿宋"/>
          <w:sz w:val="21"/>
          <w:szCs w:val="21"/>
        </w:rPr>
        <w:t>交换机</w:t>
      </w:r>
      <w:r>
        <w:rPr>
          <w:rFonts w:hint="eastAsia" w:ascii="仿宋" w:hAnsi="仿宋" w:eastAsia="仿宋" w:cs="仿宋"/>
          <w:sz w:val="21"/>
          <w:szCs w:val="21"/>
          <w:lang w:val="en-US" w:eastAsia="zh-CN"/>
        </w:rPr>
        <w:t>板卡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指标项</w:t>
            </w:r>
          </w:p>
        </w:tc>
        <w:tc>
          <w:tcPr>
            <w:tcW w:w="6297"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szCs w:val="21"/>
              </w:rPr>
            </w:pPr>
            <w:r>
              <w:rPr>
                <w:rFonts w:hint="eastAsia" w:ascii="仿宋" w:hAnsi="仿宋" w:eastAsia="仿宋" w:cs="仿宋"/>
                <w:b/>
                <w:bCs/>
                <w:szCs w:val="21"/>
              </w:rPr>
              <w:t>数量</w:t>
            </w:r>
          </w:p>
        </w:tc>
        <w:tc>
          <w:tcPr>
            <w:tcW w:w="6297" w:type="dxa"/>
          </w:tcPr>
          <w:p>
            <w:pPr>
              <w:spacing w:line="360" w:lineRule="auto"/>
              <w:rPr>
                <w:rFonts w:hint="eastAsia" w:ascii="仿宋" w:hAnsi="仿宋" w:eastAsia="仿宋" w:cs="仿宋"/>
                <w:szCs w:val="21"/>
              </w:rPr>
            </w:pPr>
            <w:r>
              <w:rPr>
                <w:rFonts w:hint="eastAsia" w:ascii="仿宋" w:hAnsi="仿宋" w:eastAsia="仿宋" w:cs="仿宋"/>
                <w:szCs w:val="21"/>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color w:val="000000"/>
                <w:szCs w:val="21"/>
                <w:lang w:bidi="ar"/>
              </w:rPr>
            </w:pPr>
            <w:r>
              <w:rPr>
                <w:rFonts w:hint="eastAsia" w:ascii="仿宋" w:hAnsi="仿宋" w:eastAsia="仿宋" w:cs="仿宋"/>
                <w:b/>
                <w:bCs/>
                <w:color w:val="000000"/>
                <w:szCs w:val="21"/>
                <w:lang w:bidi="ar"/>
              </w:rPr>
              <w:t>配置</w:t>
            </w:r>
          </w:p>
        </w:tc>
        <w:tc>
          <w:tcPr>
            <w:tcW w:w="6297" w:type="dxa"/>
          </w:tcPr>
          <w:p>
            <w:pPr>
              <w:tabs>
                <w:tab w:val="left" w:pos="4179"/>
              </w:tabs>
              <w:spacing w:line="360" w:lineRule="auto"/>
              <w:rPr>
                <w:rFonts w:hint="eastAsia" w:ascii="仿宋" w:hAnsi="仿宋" w:eastAsia="仿宋" w:cs="仿宋"/>
              </w:rPr>
            </w:pPr>
            <w:r>
              <w:rPr>
                <w:rFonts w:hint="eastAsia" w:ascii="仿宋" w:hAnsi="仿宋" w:eastAsia="仿宋" w:cs="仿宋"/>
                <w:sz w:val="18"/>
                <w:szCs w:val="18"/>
              </w:rPr>
              <w:t>核心交换机业务接口板卡，提供24个万兆接口，要求能够与现网核心交换机兼容，提供五年原厂质保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color w:val="000000"/>
                <w:szCs w:val="21"/>
                <w:lang w:bidi="ar"/>
              </w:rPr>
            </w:pPr>
            <w:r>
              <w:rPr>
                <w:rFonts w:hint="eastAsia" w:ascii="仿宋" w:hAnsi="仿宋" w:eastAsia="仿宋" w:cs="仿宋"/>
                <w:b/>
                <w:bCs/>
                <w:color w:val="000000"/>
                <w:szCs w:val="21"/>
                <w:lang w:bidi="ar"/>
              </w:rPr>
              <w:t>保修</w:t>
            </w:r>
          </w:p>
        </w:tc>
        <w:tc>
          <w:tcPr>
            <w:tcW w:w="6297" w:type="dxa"/>
          </w:tcPr>
          <w:p>
            <w:pPr>
              <w:tabs>
                <w:tab w:val="left" w:pos="4179"/>
              </w:tabs>
              <w:spacing w:line="360" w:lineRule="auto"/>
              <w:rPr>
                <w:rFonts w:hint="eastAsia" w:ascii="仿宋" w:hAnsi="仿宋" w:eastAsia="仿宋" w:cs="仿宋"/>
              </w:rPr>
            </w:pPr>
            <w:r>
              <w:rPr>
                <w:rFonts w:hint="eastAsia" w:ascii="仿宋" w:hAnsi="仿宋" w:eastAsia="仿宋" w:cs="仿宋"/>
              </w:rPr>
              <w:t>原厂五年保修</w:t>
            </w:r>
          </w:p>
        </w:tc>
      </w:tr>
    </w:tbl>
    <w:p>
      <w:pPr>
        <w:pStyle w:val="3"/>
        <w:spacing w:line="360" w:lineRule="auto"/>
        <w:ind w:right="180"/>
        <w:contextualSpacing/>
        <w:rPr>
          <w:rFonts w:hint="default" w:ascii="仿宋" w:hAnsi="仿宋" w:eastAsia="仿宋" w:cs="仿宋"/>
          <w:sz w:val="24"/>
          <w:szCs w:val="24"/>
          <w:lang w:val="en-US" w:eastAsia="zh-CN"/>
        </w:rPr>
      </w:pPr>
      <w:r>
        <w:rPr>
          <w:rFonts w:hint="eastAsia" w:ascii="仿宋" w:hAnsi="仿宋" w:eastAsia="仿宋" w:cs="仿宋"/>
          <w:sz w:val="21"/>
          <w:szCs w:val="21"/>
          <w:lang w:val="en-US" w:eastAsia="zh-CN"/>
        </w:rPr>
        <w:t>集成服务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指标项</w:t>
            </w:r>
          </w:p>
        </w:tc>
        <w:tc>
          <w:tcPr>
            <w:tcW w:w="6297" w:type="dxa"/>
            <w:vAlign w:val="center"/>
          </w:tcPr>
          <w:p>
            <w:pPr>
              <w:spacing w:line="360" w:lineRule="auto"/>
              <w:jc w:val="center"/>
              <w:rPr>
                <w:rFonts w:hint="eastAsia" w:ascii="仿宋" w:hAnsi="仿宋" w:eastAsia="仿宋" w:cs="仿宋"/>
                <w:b/>
                <w:bCs/>
              </w:rPr>
            </w:pPr>
            <w:r>
              <w:rPr>
                <w:rFonts w:hint="eastAsia" w:ascii="仿宋" w:hAnsi="仿宋" w:eastAsia="仿宋" w:cs="仿宋"/>
                <w:b/>
                <w:bCs/>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szCs w:val="21"/>
              </w:rPr>
            </w:pPr>
            <w:r>
              <w:rPr>
                <w:rFonts w:hint="eastAsia" w:ascii="仿宋" w:hAnsi="仿宋" w:eastAsia="仿宋" w:cs="仿宋"/>
                <w:b/>
                <w:bCs/>
                <w:szCs w:val="21"/>
              </w:rPr>
              <w:t>数量</w:t>
            </w:r>
          </w:p>
        </w:tc>
        <w:tc>
          <w:tcPr>
            <w:tcW w:w="6297" w:type="dxa"/>
          </w:tcPr>
          <w:p>
            <w:pPr>
              <w:spacing w:line="360" w:lineRule="auto"/>
              <w:rPr>
                <w:rFonts w:hint="default" w:ascii="仿宋" w:hAnsi="仿宋" w:eastAsia="仿宋" w:cs="仿宋"/>
                <w:szCs w:val="21"/>
                <w:lang w:val="en-US" w:eastAsia="zh-CN"/>
              </w:rPr>
            </w:pPr>
            <w:r>
              <w:rPr>
                <w:rFonts w:hint="eastAsia" w:ascii="仿宋" w:hAnsi="仿宋" w:eastAsia="仿宋" w:cs="仿宋"/>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color w:val="000000"/>
                <w:szCs w:val="21"/>
                <w:lang w:bidi="ar"/>
              </w:rPr>
            </w:pPr>
            <w:r>
              <w:rPr>
                <w:rFonts w:hint="eastAsia" w:ascii="仿宋" w:hAnsi="仿宋" w:eastAsia="仿宋" w:cs="仿宋"/>
                <w:b/>
                <w:bCs/>
                <w:color w:val="000000"/>
                <w:szCs w:val="21"/>
                <w:lang w:bidi="ar"/>
              </w:rPr>
              <w:t>配置</w:t>
            </w:r>
          </w:p>
        </w:tc>
        <w:tc>
          <w:tcPr>
            <w:tcW w:w="6297" w:type="dxa"/>
          </w:tcPr>
          <w:p>
            <w:pPr>
              <w:tabs>
                <w:tab w:val="left" w:pos="4179"/>
              </w:tabs>
              <w:spacing w:line="360" w:lineRule="auto"/>
              <w:rPr>
                <w:rFonts w:hint="default" w:ascii="仿宋" w:hAnsi="仿宋" w:eastAsia="仿宋" w:cs="仿宋"/>
                <w:lang w:val="en-US" w:eastAsia="zh-CN"/>
              </w:rPr>
            </w:pPr>
            <w:r>
              <w:rPr>
                <w:rFonts w:hint="eastAsia" w:ascii="仿宋" w:hAnsi="仿宋" w:eastAsia="仿宋" w:cs="仿宋"/>
                <w:lang w:val="en-US" w:eastAsia="zh-CN"/>
              </w:rPr>
              <w:t>完成本次采购所有设备、配件的安装、调试服务，确保医院相关在用系统稳定运行。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99" w:type="dxa"/>
            <w:vAlign w:val="center"/>
          </w:tcPr>
          <w:p>
            <w:pPr>
              <w:widowControl/>
              <w:spacing w:line="360" w:lineRule="auto"/>
              <w:jc w:val="center"/>
              <w:textAlignment w:val="center"/>
              <w:rPr>
                <w:rFonts w:hint="eastAsia" w:ascii="仿宋" w:hAnsi="仿宋" w:eastAsia="仿宋" w:cs="仿宋"/>
                <w:b/>
                <w:bCs/>
                <w:color w:val="000000"/>
                <w:szCs w:val="21"/>
                <w:lang w:bidi="ar"/>
              </w:rPr>
            </w:pPr>
            <w:r>
              <w:rPr>
                <w:rFonts w:hint="eastAsia" w:ascii="仿宋" w:hAnsi="仿宋" w:eastAsia="仿宋" w:cs="仿宋"/>
                <w:b/>
                <w:bCs/>
                <w:color w:val="000000"/>
                <w:szCs w:val="21"/>
                <w:lang w:bidi="ar"/>
              </w:rPr>
              <w:t>保修</w:t>
            </w:r>
          </w:p>
        </w:tc>
        <w:tc>
          <w:tcPr>
            <w:tcW w:w="6297" w:type="dxa"/>
          </w:tcPr>
          <w:p>
            <w:pPr>
              <w:tabs>
                <w:tab w:val="left" w:pos="4179"/>
              </w:tabs>
              <w:spacing w:line="360" w:lineRule="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年</w:t>
            </w:r>
          </w:p>
        </w:tc>
      </w:tr>
    </w:tbl>
    <w:p>
      <w:pPr>
        <w:pStyle w:val="2"/>
        <w:spacing w:line="360" w:lineRule="auto"/>
        <w:contextualSpacing/>
        <w:rPr>
          <w:rFonts w:hint="eastAsia" w:ascii="仿宋" w:hAnsi="仿宋" w:eastAsia="仿宋" w:cs="仿宋"/>
          <w:szCs w:val="28"/>
        </w:rPr>
      </w:pPr>
      <w:r>
        <w:rPr>
          <w:rFonts w:hint="eastAsia" w:ascii="仿宋" w:hAnsi="仿宋" w:eastAsia="仿宋" w:cs="仿宋"/>
          <w:szCs w:val="28"/>
        </w:rPr>
        <w:t>服务要求</w:t>
      </w:r>
    </w:p>
    <w:p>
      <w:pPr>
        <w:pStyle w:val="3"/>
        <w:spacing w:line="360" w:lineRule="auto"/>
        <w:ind w:right="180"/>
        <w:contextualSpacing/>
        <w:rPr>
          <w:rFonts w:hint="eastAsia" w:ascii="仿宋" w:hAnsi="仿宋" w:eastAsia="仿宋" w:cs="仿宋"/>
          <w:b/>
          <w:bCs/>
          <w:sz w:val="24"/>
          <w:szCs w:val="24"/>
        </w:rPr>
      </w:pPr>
      <w:r>
        <w:rPr>
          <w:rFonts w:hint="eastAsia" w:ascii="仿宋" w:hAnsi="仿宋" w:eastAsia="仿宋" w:cs="仿宋"/>
          <w:b/>
          <w:bCs/>
          <w:sz w:val="24"/>
          <w:szCs w:val="24"/>
        </w:rPr>
        <w:t>项目工期要求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本项目整体工期为</w:t>
      </w:r>
      <w:r>
        <w:rPr>
          <w:rFonts w:hint="eastAsia" w:ascii="仿宋" w:hAnsi="仿宋" w:eastAsia="仿宋" w:cs="仿宋"/>
          <w:sz w:val="24"/>
          <w:szCs w:val="24"/>
          <w:lang w:val="en-US" w:eastAsia="zh-CN"/>
        </w:rPr>
        <w:t>3</w:t>
      </w:r>
      <w:r>
        <w:rPr>
          <w:rFonts w:hint="eastAsia" w:ascii="仿宋" w:hAnsi="仿宋" w:eastAsia="仿宋" w:cs="仿宋"/>
          <w:sz w:val="24"/>
          <w:szCs w:val="24"/>
        </w:rPr>
        <w:t>个月，包括深化设计、设备供货、设备安装部署、业务系统迁移、试运行及考核验收。</w:t>
      </w:r>
    </w:p>
    <w:tbl>
      <w:tblPr>
        <w:tblStyle w:val="19"/>
        <w:tblW w:w="772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536" w:type="dxa"/>
            <w:shd w:val="clear" w:color="auto" w:fill="D8D8D8" w:themeFill="background1" w:themeFillShade="D9"/>
            <w:vAlign w:val="center"/>
          </w:tcPr>
          <w:p>
            <w:pPr>
              <w:pStyle w:val="17"/>
              <w:adjustRightInd w:val="0"/>
              <w:snapToGrid w:val="0"/>
              <w:spacing w:after="0"/>
              <w:ind w:left="0" w:leftChars="0"/>
              <w:jc w:val="center"/>
              <w:rPr>
                <w:rFonts w:hint="eastAsia" w:ascii="仿宋" w:hAnsi="仿宋" w:eastAsia="仿宋" w:cs="仿宋"/>
                <w:b/>
                <w:sz w:val="21"/>
                <w:szCs w:val="21"/>
              </w:rPr>
            </w:pPr>
            <w:r>
              <w:rPr>
                <w:rFonts w:hint="eastAsia" w:ascii="仿宋" w:hAnsi="仿宋" w:eastAsia="仿宋" w:cs="仿宋"/>
                <w:b/>
                <w:sz w:val="21"/>
                <w:szCs w:val="21"/>
              </w:rPr>
              <w:t>项目</w:t>
            </w:r>
          </w:p>
        </w:tc>
        <w:tc>
          <w:tcPr>
            <w:tcW w:w="3191" w:type="dxa"/>
            <w:shd w:val="clear" w:color="auto" w:fill="D8D8D8" w:themeFill="background1" w:themeFillShade="D9"/>
            <w:vAlign w:val="center"/>
          </w:tcPr>
          <w:p>
            <w:pPr>
              <w:pStyle w:val="17"/>
              <w:adjustRightInd w:val="0"/>
              <w:snapToGrid w:val="0"/>
              <w:spacing w:after="0"/>
              <w:ind w:left="0" w:leftChars="0"/>
              <w:jc w:val="center"/>
              <w:rPr>
                <w:rFonts w:hint="eastAsia" w:ascii="仿宋" w:hAnsi="仿宋" w:eastAsia="仿宋" w:cs="仿宋"/>
                <w:b/>
                <w:sz w:val="21"/>
                <w:szCs w:val="21"/>
              </w:rPr>
            </w:pPr>
            <w:r>
              <w:rPr>
                <w:rFonts w:hint="eastAsia" w:ascii="仿宋" w:hAnsi="仿宋" w:eastAsia="仿宋" w:cs="仿宋"/>
                <w:b/>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6" w:type="dxa"/>
            <w:vAlign w:val="center"/>
          </w:tcPr>
          <w:p>
            <w:pPr>
              <w:pStyle w:val="17"/>
              <w:adjustRightInd w:val="0"/>
              <w:snapToGrid w:val="0"/>
              <w:spacing w:after="0"/>
              <w:ind w:left="0" w:leftChars="0"/>
              <w:rPr>
                <w:rFonts w:hint="eastAsia" w:ascii="仿宋" w:hAnsi="仿宋" w:eastAsia="仿宋" w:cs="仿宋"/>
                <w:sz w:val="21"/>
                <w:szCs w:val="21"/>
              </w:rPr>
            </w:pPr>
            <w:r>
              <w:rPr>
                <w:rFonts w:hint="eastAsia" w:ascii="仿宋" w:hAnsi="仿宋" w:eastAsia="仿宋" w:cs="仿宋"/>
                <w:sz w:val="21"/>
                <w:szCs w:val="21"/>
              </w:rPr>
              <w:t>设备供货、安装部署、集成实施、集成测试</w:t>
            </w:r>
          </w:p>
        </w:tc>
        <w:tc>
          <w:tcPr>
            <w:tcW w:w="3191" w:type="dxa"/>
            <w:vAlign w:val="center"/>
          </w:tcPr>
          <w:p>
            <w:pPr>
              <w:pStyle w:val="17"/>
              <w:adjustRightInd w:val="0"/>
              <w:snapToGrid w:val="0"/>
              <w:spacing w:after="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合同生效后</w:t>
            </w:r>
            <w:r>
              <w:rPr>
                <w:rFonts w:hint="eastAsia" w:ascii="仿宋" w:hAnsi="仿宋" w:eastAsia="仿宋" w:cs="仿宋"/>
                <w:sz w:val="21"/>
                <w:szCs w:val="21"/>
                <w:lang w:val="en-US" w:eastAsia="zh-CN"/>
              </w:rPr>
              <w:t>1</w:t>
            </w:r>
            <w:r>
              <w:rPr>
                <w:rFonts w:hint="eastAsia" w:ascii="仿宋" w:hAnsi="仿宋" w:eastAsia="仿宋" w:cs="仿宋"/>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6" w:type="dxa"/>
            <w:vAlign w:val="center"/>
          </w:tcPr>
          <w:p>
            <w:pPr>
              <w:pStyle w:val="17"/>
              <w:adjustRightInd w:val="0"/>
              <w:snapToGrid w:val="0"/>
              <w:spacing w:after="0"/>
              <w:ind w:left="0" w:leftChars="0"/>
              <w:rPr>
                <w:rFonts w:hint="eastAsia" w:ascii="仿宋" w:hAnsi="仿宋" w:eastAsia="仿宋" w:cs="仿宋"/>
                <w:sz w:val="21"/>
                <w:szCs w:val="21"/>
              </w:rPr>
            </w:pPr>
            <w:r>
              <w:rPr>
                <w:rFonts w:hint="eastAsia" w:ascii="仿宋" w:hAnsi="仿宋" w:eastAsia="仿宋" w:cs="仿宋"/>
                <w:sz w:val="21"/>
                <w:szCs w:val="21"/>
              </w:rPr>
              <w:t>业务系统迁移</w:t>
            </w:r>
          </w:p>
        </w:tc>
        <w:tc>
          <w:tcPr>
            <w:tcW w:w="3191" w:type="dxa"/>
            <w:vAlign w:val="center"/>
          </w:tcPr>
          <w:p>
            <w:pPr>
              <w:pStyle w:val="17"/>
              <w:adjustRightInd w:val="0"/>
              <w:snapToGrid w:val="0"/>
              <w:spacing w:after="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设备集成实施后</w:t>
            </w:r>
            <w:r>
              <w:rPr>
                <w:rFonts w:hint="eastAsia" w:ascii="仿宋" w:hAnsi="仿宋" w:eastAsia="仿宋" w:cs="仿宋"/>
                <w:sz w:val="21"/>
                <w:szCs w:val="21"/>
                <w:lang w:val="en-US" w:eastAsia="zh-CN"/>
              </w:rPr>
              <w:t>0.5</w:t>
            </w:r>
            <w:r>
              <w:rPr>
                <w:rFonts w:hint="eastAsia" w:ascii="仿宋" w:hAnsi="仿宋" w:eastAsia="仿宋" w:cs="仿宋"/>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6" w:type="dxa"/>
            <w:vAlign w:val="center"/>
          </w:tcPr>
          <w:p>
            <w:pPr>
              <w:pStyle w:val="17"/>
              <w:adjustRightInd w:val="0"/>
              <w:snapToGrid w:val="0"/>
              <w:spacing w:after="0"/>
              <w:ind w:left="0" w:leftChars="0"/>
              <w:rPr>
                <w:rFonts w:hint="eastAsia" w:ascii="仿宋" w:hAnsi="仿宋" w:eastAsia="仿宋" w:cs="仿宋"/>
                <w:sz w:val="21"/>
                <w:szCs w:val="21"/>
              </w:rPr>
            </w:pPr>
            <w:r>
              <w:rPr>
                <w:rFonts w:hint="eastAsia" w:ascii="仿宋" w:hAnsi="仿宋" w:eastAsia="仿宋" w:cs="仿宋"/>
                <w:sz w:val="21"/>
                <w:szCs w:val="21"/>
              </w:rPr>
              <w:t>项目试运行</w:t>
            </w:r>
          </w:p>
        </w:tc>
        <w:tc>
          <w:tcPr>
            <w:tcW w:w="3191" w:type="dxa"/>
            <w:vAlign w:val="center"/>
          </w:tcPr>
          <w:p>
            <w:pPr>
              <w:pStyle w:val="17"/>
              <w:adjustRightInd w:val="0"/>
              <w:snapToGrid w:val="0"/>
              <w:spacing w:after="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试运行至少1个月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6" w:type="dxa"/>
            <w:vAlign w:val="center"/>
          </w:tcPr>
          <w:p>
            <w:pPr>
              <w:pStyle w:val="17"/>
              <w:adjustRightInd w:val="0"/>
              <w:snapToGrid w:val="0"/>
              <w:spacing w:after="0"/>
              <w:ind w:left="0" w:leftChars="0"/>
              <w:rPr>
                <w:rFonts w:hint="eastAsia" w:ascii="仿宋" w:hAnsi="仿宋" w:eastAsia="仿宋" w:cs="仿宋"/>
                <w:sz w:val="21"/>
                <w:szCs w:val="21"/>
              </w:rPr>
            </w:pPr>
            <w:r>
              <w:rPr>
                <w:rFonts w:hint="eastAsia" w:ascii="仿宋" w:hAnsi="仿宋" w:eastAsia="仿宋" w:cs="仿宋"/>
                <w:sz w:val="21"/>
                <w:szCs w:val="21"/>
              </w:rPr>
              <w:t>项目验收交付</w:t>
            </w:r>
          </w:p>
        </w:tc>
        <w:tc>
          <w:tcPr>
            <w:tcW w:w="3191" w:type="dxa"/>
            <w:vAlign w:val="center"/>
          </w:tcPr>
          <w:p>
            <w:pPr>
              <w:pStyle w:val="17"/>
              <w:adjustRightInd w:val="0"/>
              <w:snapToGrid w:val="0"/>
              <w:spacing w:after="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试运行通过</w:t>
            </w:r>
            <w:r>
              <w:rPr>
                <w:rFonts w:hint="eastAsia" w:ascii="仿宋" w:hAnsi="仿宋" w:eastAsia="仿宋" w:cs="仿宋"/>
                <w:sz w:val="21"/>
                <w:szCs w:val="21"/>
                <w:lang w:val="en-US" w:eastAsia="zh-CN"/>
              </w:rPr>
              <w:t>0.5</w:t>
            </w:r>
            <w:r>
              <w:rPr>
                <w:rFonts w:hint="eastAsia" w:ascii="仿宋" w:hAnsi="仿宋" w:eastAsia="仿宋" w:cs="仿宋"/>
                <w:sz w:val="21"/>
                <w:szCs w:val="21"/>
              </w:rPr>
              <w:t>个月内</w:t>
            </w:r>
          </w:p>
        </w:tc>
      </w:tr>
    </w:tbl>
    <w:p>
      <w:pPr>
        <w:pStyle w:val="3"/>
        <w:spacing w:line="360" w:lineRule="auto"/>
        <w:ind w:right="180"/>
        <w:contextualSpacing/>
        <w:rPr>
          <w:rFonts w:hint="eastAsia" w:ascii="仿宋" w:hAnsi="仿宋" w:eastAsia="仿宋" w:cs="仿宋"/>
          <w:b/>
          <w:bCs/>
          <w:sz w:val="24"/>
          <w:szCs w:val="24"/>
        </w:rPr>
      </w:pPr>
      <w:r>
        <w:rPr>
          <w:rFonts w:hint="eastAsia" w:ascii="仿宋" w:hAnsi="仿宋" w:eastAsia="仿宋" w:cs="仿宋"/>
          <w:b/>
          <w:bCs/>
          <w:sz w:val="24"/>
          <w:szCs w:val="24"/>
        </w:rPr>
        <w:t>实施团队要求</w:t>
      </w:r>
    </w:p>
    <w:p>
      <w:pPr>
        <w:pStyle w:val="34"/>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服务商需要</w:t>
      </w:r>
      <w:r>
        <w:rPr>
          <w:rFonts w:hint="eastAsia" w:ascii="仿宋" w:hAnsi="仿宋" w:eastAsia="仿宋" w:cs="仿宋"/>
          <w:sz w:val="24"/>
          <w:szCs w:val="24"/>
          <w:lang w:eastAsia="zh-CN"/>
        </w:rPr>
        <w:t>提供不少于15人的系统集成服务团队</w:t>
      </w:r>
      <w:r>
        <w:rPr>
          <w:rFonts w:hint="eastAsia" w:ascii="仿宋" w:hAnsi="仿宋" w:eastAsia="仿宋" w:cs="仿宋"/>
          <w:sz w:val="24"/>
          <w:szCs w:val="24"/>
        </w:rPr>
        <w:t>，保障项目实施与质保工作的响应质量；</w:t>
      </w:r>
      <w:bookmarkStart w:id="2" w:name="_GoBack"/>
      <w:bookmarkEnd w:id="2"/>
    </w:p>
    <w:p>
      <w:pPr>
        <w:pStyle w:val="34"/>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为保证项目的顺利实施，响应供应商应成立商务支持小组与技术支持小组，全方位配合用户。</w:t>
      </w:r>
    </w:p>
    <w:p>
      <w:pPr>
        <w:pStyle w:val="34"/>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响应供应商应在响应文件中提供项目实施详细的项目小组人员名单及职责，</w:t>
      </w:r>
      <w:r>
        <w:rPr>
          <w:rFonts w:hint="eastAsia" w:ascii="仿宋" w:hAnsi="仿宋" w:eastAsia="仿宋" w:cs="仿宋"/>
          <w:sz w:val="24"/>
          <w:szCs w:val="24"/>
          <w:lang w:eastAsia="zh-CN"/>
        </w:rPr>
        <w:t>项目负责人</w:t>
      </w:r>
      <w:r>
        <w:rPr>
          <w:rFonts w:hint="eastAsia" w:ascii="仿宋" w:hAnsi="仿宋" w:eastAsia="仿宋" w:cs="仿宋"/>
          <w:sz w:val="24"/>
          <w:szCs w:val="24"/>
        </w:rPr>
        <w:t>具有</w:t>
      </w:r>
      <w:r>
        <w:rPr>
          <w:rFonts w:hint="eastAsia" w:ascii="仿宋" w:hAnsi="仿宋" w:eastAsia="仿宋" w:cs="仿宋"/>
          <w:sz w:val="24"/>
          <w:szCs w:val="24"/>
          <w:lang w:val="en-US" w:eastAsia="zh-CN"/>
        </w:rPr>
        <w:t>5</w:t>
      </w:r>
      <w:r>
        <w:rPr>
          <w:rFonts w:hint="eastAsia" w:ascii="仿宋" w:hAnsi="仿宋" w:eastAsia="仿宋" w:cs="仿宋"/>
          <w:sz w:val="24"/>
          <w:szCs w:val="24"/>
        </w:rPr>
        <w:t>年以上工作经历</w:t>
      </w:r>
      <w:r>
        <w:rPr>
          <w:rFonts w:hint="eastAsia" w:ascii="仿宋" w:hAnsi="仿宋" w:eastAsia="仿宋" w:cs="仿宋"/>
          <w:sz w:val="24"/>
          <w:szCs w:val="24"/>
          <w:lang w:eastAsia="zh-CN"/>
        </w:rPr>
        <w:t>、</w:t>
      </w:r>
      <w:r>
        <w:rPr>
          <w:rFonts w:hint="eastAsia" w:ascii="仿宋" w:hAnsi="仿宋" w:eastAsia="仿宋" w:cs="仿宋"/>
          <w:sz w:val="24"/>
          <w:szCs w:val="24"/>
        </w:rPr>
        <w:t>高级信息系统项目管理师证书或高级工程师证书的</w:t>
      </w:r>
      <w:r>
        <w:rPr>
          <w:rFonts w:hint="eastAsia" w:ascii="仿宋" w:hAnsi="仿宋" w:eastAsia="仿宋" w:cs="仿宋"/>
          <w:sz w:val="24"/>
          <w:szCs w:val="24"/>
          <w:lang w:eastAsia="zh-CN"/>
        </w:rPr>
        <w:t>优先考虑。</w:t>
      </w:r>
      <w:r>
        <w:rPr>
          <w:rFonts w:hint="eastAsia" w:ascii="仿宋" w:hAnsi="仿宋" w:eastAsia="仿宋" w:cs="仿宋"/>
          <w:sz w:val="24"/>
          <w:szCs w:val="24"/>
        </w:rPr>
        <w:t>项目团队应具有与本项目服务内容相匹配的资质能力，包括但不限于超融合类资质认证、操作系统认证、虚拟化认证、数据库类资格认证、信息系统安全类专业认证、网络类专业认证、IT服务过程管理类认证，项目团队人员具有注册信息安全人员CISP证书的</w:t>
      </w:r>
      <w:r>
        <w:rPr>
          <w:rFonts w:hint="eastAsia" w:ascii="仿宋" w:hAnsi="仿宋" w:eastAsia="仿宋" w:cs="仿宋"/>
          <w:sz w:val="24"/>
          <w:szCs w:val="24"/>
          <w:lang w:eastAsia="zh-CN"/>
        </w:rPr>
        <w:t>优先考虑。需要</w:t>
      </w:r>
      <w:r>
        <w:rPr>
          <w:rFonts w:hint="eastAsia" w:ascii="仿宋" w:hAnsi="仿宋" w:eastAsia="仿宋" w:cs="仿宋"/>
          <w:sz w:val="24"/>
          <w:szCs w:val="24"/>
        </w:rPr>
        <w:t>提供人员最近</w:t>
      </w:r>
      <w:r>
        <w:rPr>
          <w:rFonts w:hint="eastAsia" w:ascii="仿宋" w:hAnsi="仿宋" w:eastAsia="仿宋" w:cs="仿宋"/>
          <w:sz w:val="24"/>
          <w:szCs w:val="24"/>
          <w:lang w:eastAsia="zh-CN"/>
        </w:rPr>
        <w:t>一季度</w:t>
      </w:r>
      <w:r>
        <w:rPr>
          <w:rFonts w:hint="eastAsia" w:ascii="仿宋" w:hAnsi="仿宋" w:eastAsia="仿宋" w:cs="仿宋"/>
          <w:sz w:val="24"/>
          <w:szCs w:val="24"/>
        </w:rPr>
        <w:t>内任意一个月的社保证明，并加盖公章。</w:t>
      </w:r>
    </w:p>
    <w:p>
      <w:pPr>
        <w:pStyle w:val="34"/>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项目团队人员一旦得到确认，未经用户书面同意，不得随意变动，用户方有权根据实施情况要求更换项目经理和实施人员。</w:t>
      </w:r>
    </w:p>
    <w:p>
      <w:pPr>
        <w:pStyle w:val="3"/>
        <w:spacing w:line="360" w:lineRule="auto"/>
        <w:ind w:right="180"/>
        <w:contextualSpacing/>
        <w:rPr>
          <w:rFonts w:hint="eastAsia" w:ascii="仿宋" w:hAnsi="仿宋" w:eastAsia="仿宋" w:cs="仿宋"/>
          <w:b/>
          <w:bCs/>
          <w:sz w:val="24"/>
          <w:szCs w:val="24"/>
        </w:rPr>
      </w:pPr>
      <w:r>
        <w:rPr>
          <w:rFonts w:hint="eastAsia" w:ascii="仿宋" w:hAnsi="仿宋" w:eastAsia="仿宋" w:cs="仿宋"/>
          <w:b/>
          <w:bCs/>
          <w:sz w:val="24"/>
          <w:szCs w:val="24"/>
          <w:lang w:val="en-US" w:eastAsia="zh-CN"/>
        </w:rPr>
        <w:t>系统</w:t>
      </w:r>
      <w:r>
        <w:rPr>
          <w:rFonts w:hint="eastAsia" w:ascii="仿宋" w:hAnsi="仿宋" w:eastAsia="仿宋" w:cs="仿宋"/>
          <w:b/>
          <w:bCs/>
          <w:sz w:val="24"/>
          <w:szCs w:val="24"/>
        </w:rPr>
        <w:t>验收要求</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系统验收合格的条件至少满足以下三个要求：</w:t>
      </w:r>
    </w:p>
    <w:p>
      <w:pPr>
        <w:pStyle w:val="34"/>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已提供了合同的全部货物和资料；</w:t>
      </w:r>
    </w:p>
    <w:p>
      <w:pPr>
        <w:pStyle w:val="34"/>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试运行时性能满足合同要求；</w:t>
      </w:r>
    </w:p>
    <w:p>
      <w:pPr>
        <w:pStyle w:val="34"/>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测试和试运行验收时出现的问题已被解决。</w:t>
      </w:r>
    </w:p>
    <w:p>
      <w:pPr>
        <w:pStyle w:val="3"/>
        <w:spacing w:line="360" w:lineRule="auto"/>
        <w:ind w:right="180"/>
        <w:contextualSpacing/>
        <w:rPr>
          <w:rFonts w:hint="eastAsia" w:ascii="仿宋" w:hAnsi="仿宋" w:eastAsia="仿宋" w:cs="仿宋"/>
          <w:b/>
          <w:bCs/>
          <w:sz w:val="24"/>
          <w:szCs w:val="24"/>
        </w:rPr>
      </w:pPr>
      <w:r>
        <w:rPr>
          <w:rFonts w:hint="eastAsia" w:ascii="仿宋" w:hAnsi="仿宋" w:eastAsia="仿宋" w:cs="仿宋"/>
          <w:b/>
          <w:bCs/>
          <w:sz w:val="24"/>
          <w:szCs w:val="24"/>
        </w:rPr>
        <w:t>服务响应要求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项目实施及质保期间，服务商需提供7x24小时故障响应人工热线，质保期内满足10分钟内响应，2小时到现场</w:t>
      </w:r>
      <w:r>
        <w:rPr>
          <w:rFonts w:hint="eastAsia" w:ascii="仿宋" w:hAnsi="仿宋" w:eastAsia="仿宋" w:cs="仿宋"/>
          <w:sz w:val="24"/>
          <w:szCs w:val="24"/>
          <w:lang w:val="en-US" w:eastAsia="zh-CN"/>
        </w:rPr>
        <w:t>要求</w:t>
      </w:r>
      <w:r>
        <w:rPr>
          <w:rFonts w:hint="eastAsia" w:ascii="仿宋" w:hAnsi="仿宋" w:eastAsia="仿宋" w:cs="仿宋"/>
          <w:sz w:val="24"/>
          <w:szCs w:val="24"/>
        </w:rPr>
        <w:t>。</w:t>
      </w:r>
    </w:p>
    <w:p>
      <w:pPr>
        <w:pStyle w:val="3"/>
        <w:spacing w:line="360" w:lineRule="auto"/>
        <w:ind w:right="180"/>
        <w:contextualSpacing/>
        <w:rPr>
          <w:rFonts w:hint="eastAsia" w:ascii="仿宋" w:hAnsi="仿宋" w:eastAsia="仿宋" w:cs="仿宋"/>
          <w:b/>
          <w:bCs/>
          <w:sz w:val="24"/>
          <w:szCs w:val="24"/>
        </w:rPr>
      </w:pPr>
      <w:r>
        <w:rPr>
          <w:rFonts w:hint="eastAsia" w:ascii="仿宋" w:hAnsi="仿宋" w:eastAsia="仿宋" w:cs="仿宋"/>
          <w:b/>
          <w:bCs/>
          <w:sz w:val="24"/>
          <w:szCs w:val="24"/>
        </w:rPr>
        <w:t>技术文档要求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项目系统验收前，响应供应商需按院方要求提供详细的技术文档，包含但不限于：设计方案、安装报告、测试报告、试运行报告、随机材料、操作手册等。</w:t>
      </w:r>
    </w:p>
    <w:p>
      <w:pPr>
        <w:pStyle w:val="3"/>
        <w:spacing w:line="360" w:lineRule="auto"/>
        <w:ind w:right="180"/>
        <w:contextualSpacing/>
        <w:rPr>
          <w:rFonts w:hint="eastAsia" w:ascii="仿宋" w:hAnsi="仿宋" w:eastAsia="仿宋" w:cs="仿宋"/>
          <w:b/>
          <w:bCs/>
          <w:sz w:val="24"/>
          <w:szCs w:val="24"/>
        </w:rPr>
      </w:pPr>
      <w:r>
        <w:rPr>
          <w:rFonts w:hint="eastAsia" w:ascii="仿宋" w:hAnsi="仿宋" w:eastAsia="仿宋" w:cs="仿宋"/>
          <w:b/>
          <w:bCs/>
          <w:sz w:val="24"/>
          <w:szCs w:val="24"/>
        </w:rPr>
        <w:t>保密服务要求</w:t>
      </w:r>
    </w:p>
    <w:p>
      <w:pPr>
        <w:pStyle w:val="34"/>
        <w:numPr>
          <w:ilvl w:val="0"/>
          <w:numId w:val="3"/>
        </w:numPr>
        <w:spacing w:line="360" w:lineRule="auto"/>
        <w:rPr>
          <w:rFonts w:hint="eastAsia" w:ascii="仿宋" w:hAnsi="仿宋" w:eastAsia="仿宋" w:cs="仿宋"/>
          <w:sz w:val="24"/>
          <w:szCs w:val="24"/>
        </w:rPr>
      </w:pPr>
      <w:r>
        <w:rPr>
          <w:rFonts w:hint="eastAsia" w:ascii="仿宋" w:hAnsi="仿宋" w:eastAsia="仿宋" w:cs="仿宋"/>
          <w:sz w:val="24"/>
          <w:szCs w:val="24"/>
        </w:rPr>
        <w:t>响应供应商承诺参与本项目的所有服务人员需严格保守与本项目有关的技术秘密和商业秘密，任何涉及建设单位及使用单位的信息，包括但不限于数据、特有的功能需求等，未得到建设单位及使用单位的书面同意，不得对任何第三方展示、举例乃至销售，否则响应供应商将承担由此产生的一切后果。</w:t>
      </w:r>
    </w:p>
    <w:p>
      <w:pPr>
        <w:pStyle w:val="34"/>
        <w:numPr>
          <w:ilvl w:val="0"/>
          <w:numId w:val="3"/>
        </w:numPr>
        <w:spacing w:line="360" w:lineRule="auto"/>
        <w:rPr>
          <w:rFonts w:hint="eastAsia" w:ascii="仿宋" w:hAnsi="仿宋" w:eastAsia="仿宋" w:cs="仿宋"/>
          <w:sz w:val="24"/>
          <w:szCs w:val="24"/>
        </w:rPr>
      </w:pPr>
      <w:r>
        <w:rPr>
          <w:rFonts w:hint="eastAsia" w:ascii="仿宋" w:hAnsi="仿宋" w:eastAsia="仿宋" w:cs="仿宋"/>
          <w:sz w:val="24"/>
          <w:szCs w:val="24"/>
        </w:rPr>
        <w:t>响应供应商不以实施项目为名，侵害本项目各参与单位的技术、商业秘密或者知识产权。</w:t>
      </w:r>
    </w:p>
    <w:p>
      <w:pPr>
        <w:pStyle w:val="34"/>
        <w:numPr>
          <w:ilvl w:val="0"/>
          <w:numId w:val="3"/>
        </w:num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未经甲方书面同意，响应供应商不得</w:t>
      </w:r>
      <w:r>
        <w:rPr>
          <w:rFonts w:hint="eastAsia" w:ascii="仿宋" w:hAnsi="仿宋" w:eastAsia="仿宋" w:cs="仿宋"/>
          <w:b/>
          <w:bCs/>
          <w:sz w:val="24"/>
          <w:szCs w:val="24"/>
        </w:rPr>
        <w:t>对任何第三方</w:t>
      </w:r>
      <w:r>
        <w:rPr>
          <w:rFonts w:hint="eastAsia" w:ascii="仿宋" w:hAnsi="仿宋" w:eastAsia="仿宋" w:cs="仿宋"/>
          <w:b/>
          <w:bCs/>
          <w:sz w:val="24"/>
          <w:szCs w:val="24"/>
          <w:lang w:val="en-US" w:eastAsia="zh-CN"/>
        </w:rPr>
        <w:t>泄露本项目所涉及的医院详细网络拓扑、主机集群配置策略等信息。</w:t>
      </w:r>
    </w:p>
    <w:p>
      <w:pPr>
        <w:pStyle w:val="3"/>
        <w:spacing w:line="360" w:lineRule="auto"/>
        <w:ind w:right="180"/>
        <w:contextualSpacing/>
        <w:rPr>
          <w:rFonts w:hint="eastAsia" w:ascii="仿宋" w:hAnsi="仿宋" w:eastAsia="仿宋" w:cs="仿宋"/>
          <w:b/>
          <w:bCs/>
          <w:sz w:val="24"/>
          <w:szCs w:val="24"/>
        </w:rPr>
      </w:pPr>
      <w:r>
        <w:rPr>
          <w:rFonts w:hint="eastAsia" w:ascii="仿宋" w:hAnsi="仿宋" w:eastAsia="仿宋" w:cs="仿宋"/>
          <w:b/>
          <w:bCs/>
          <w:sz w:val="24"/>
          <w:szCs w:val="24"/>
        </w:rPr>
        <w:t>其他相关要求</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报价说明：本系统所涉及的与现有平台的对接、迁移费用，应包括在本次投报总价中，用户不再另行支付相关费用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提供盖章承诺书。</w:t>
      </w:r>
    </w:p>
    <w:p>
      <w:pPr>
        <w:pStyle w:val="2"/>
        <w:spacing w:line="360" w:lineRule="auto"/>
        <w:contextualSpacing/>
        <w:rPr>
          <w:rFonts w:hint="eastAsia" w:ascii="仿宋" w:hAnsi="仿宋" w:eastAsia="仿宋" w:cs="仿宋"/>
          <w:szCs w:val="28"/>
        </w:rPr>
      </w:pPr>
      <w:r>
        <w:rPr>
          <w:rFonts w:hint="eastAsia" w:ascii="仿宋" w:hAnsi="仿宋" w:eastAsia="仿宋" w:cs="仿宋"/>
          <w:szCs w:val="28"/>
        </w:rPr>
        <w:t>响应供应商要求</w:t>
      </w:r>
    </w:p>
    <w:p>
      <w:pPr>
        <w:pStyle w:val="34"/>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响应供应商需提供相应的技术服务，在满足用户方的应用与需求的前提下，完成相关系统集成工作。</w:t>
      </w:r>
    </w:p>
    <w:p>
      <w:pPr>
        <w:pStyle w:val="34"/>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响应供应商提供的产品及其配置应该是安全、可靠和成熟的，不是技术上已经或即将淘汰的。</w:t>
      </w:r>
    </w:p>
    <w:p>
      <w:pPr>
        <w:pStyle w:val="34"/>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响应供应商需熟悉医院信息化整体架构，提出扩展升级方案。</w:t>
      </w:r>
    </w:p>
    <w:p>
      <w:pPr>
        <w:pStyle w:val="34"/>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响应供应商应该保证所提供的所有产品皆不侵犯任何第三方的版权、知识产权和其他合法权利，所采购设备需提供原厂授权及服务承诺函。</w:t>
      </w:r>
    </w:p>
    <w:p>
      <w:pPr>
        <w:pStyle w:val="34"/>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供应商具有ISO9001质量管理体系认证证书的、运行维护资质（ITSS）</w:t>
      </w:r>
      <w:r>
        <w:rPr>
          <w:rFonts w:hint="eastAsia" w:ascii="仿宋" w:hAnsi="仿宋" w:eastAsia="仿宋" w:cs="仿宋"/>
          <w:sz w:val="24"/>
          <w:szCs w:val="24"/>
          <w:lang w:eastAsia="zh-CN"/>
        </w:rPr>
        <w:t>、CCRC 信息安全应急处理服务资质</w:t>
      </w:r>
      <w:r>
        <w:rPr>
          <w:rFonts w:hint="eastAsia" w:ascii="仿宋" w:hAnsi="仿宋" w:eastAsia="仿宋" w:cs="仿宋"/>
          <w:sz w:val="24"/>
          <w:szCs w:val="24"/>
        </w:rPr>
        <w:t>的优先考虑。</w:t>
      </w: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98D4"/>
    <w:multiLevelType w:val="multilevel"/>
    <w:tmpl w:val="35C298D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D4E16A4"/>
    <w:multiLevelType w:val="multilevel"/>
    <w:tmpl w:val="3D4E16A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1D31CF5"/>
    <w:multiLevelType w:val="multilevel"/>
    <w:tmpl w:val="61D31CF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DA61D68"/>
    <w:multiLevelType w:val="multilevel"/>
    <w:tmpl w:val="7DA61D6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97"/>
    <w:rsid w:val="00015C34"/>
    <w:rsid w:val="00033B39"/>
    <w:rsid w:val="000530AC"/>
    <w:rsid w:val="0005624B"/>
    <w:rsid w:val="000911FB"/>
    <w:rsid w:val="000B5089"/>
    <w:rsid w:val="000C74C6"/>
    <w:rsid w:val="00126B9A"/>
    <w:rsid w:val="001578AE"/>
    <w:rsid w:val="001B2982"/>
    <w:rsid w:val="001B653C"/>
    <w:rsid w:val="00203D33"/>
    <w:rsid w:val="00212C06"/>
    <w:rsid w:val="00253B2A"/>
    <w:rsid w:val="00255591"/>
    <w:rsid w:val="00276D63"/>
    <w:rsid w:val="002E23B5"/>
    <w:rsid w:val="002F289D"/>
    <w:rsid w:val="003512E9"/>
    <w:rsid w:val="00363B37"/>
    <w:rsid w:val="00376FED"/>
    <w:rsid w:val="003933EB"/>
    <w:rsid w:val="003B34C1"/>
    <w:rsid w:val="003C2FD8"/>
    <w:rsid w:val="003D5A29"/>
    <w:rsid w:val="00420969"/>
    <w:rsid w:val="0044701E"/>
    <w:rsid w:val="00465890"/>
    <w:rsid w:val="0046595C"/>
    <w:rsid w:val="00475F5F"/>
    <w:rsid w:val="0050027D"/>
    <w:rsid w:val="005113BB"/>
    <w:rsid w:val="00520857"/>
    <w:rsid w:val="00520B91"/>
    <w:rsid w:val="00520E21"/>
    <w:rsid w:val="005527AF"/>
    <w:rsid w:val="00555740"/>
    <w:rsid w:val="005D4713"/>
    <w:rsid w:val="00600C14"/>
    <w:rsid w:val="00677F5A"/>
    <w:rsid w:val="00691F2A"/>
    <w:rsid w:val="006D08D8"/>
    <w:rsid w:val="006D5068"/>
    <w:rsid w:val="006F3385"/>
    <w:rsid w:val="00714905"/>
    <w:rsid w:val="00762C8F"/>
    <w:rsid w:val="00766A01"/>
    <w:rsid w:val="007E0B8C"/>
    <w:rsid w:val="007F4DE3"/>
    <w:rsid w:val="00833A76"/>
    <w:rsid w:val="00846C3E"/>
    <w:rsid w:val="00855AC3"/>
    <w:rsid w:val="008A0521"/>
    <w:rsid w:val="008E508F"/>
    <w:rsid w:val="00912239"/>
    <w:rsid w:val="00930723"/>
    <w:rsid w:val="009844A7"/>
    <w:rsid w:val="009D1BC9"/>
    <w:rsid w:val="009D6C65"/>
    <w:rsid w:val="009E2521"/>
    <w:rsid w:val="009F52FB"/>
    <w:rsid w:val="00A2716F"/>
    <w:rsid w:val="00AA0676"/>
    <w:rsid w:val="00AB6AB7"/>
    <w:rsid w:val="00AE6070"/>
    <w:rsid w:val="00B00F8D"/>
    <w:rsid w:val="00B01E12"/>
    <w:rsid w:val="00B40F7B"/>
    <w:rsid w:val="00B467F9"/>
    <w:rsid w:val="00B55126"/>
    <w:rsid w:val="00B55A38"/>
    <w:rsid w:val="00B70D8C"/>
    <w:rsid w:val="00B91FA3"/>
    <w:rsid w:val="00BB4696"/>
    <w:rsid w:val="00BB5FDB"/>
    <w:rsid w:val="00BE4997"/>
    <w:rsid w:val="00BE5533"/>
    <w:rsid w:val="00BE73D1"/>
    <w:rsid w:val="00C0576A"/>
    <w:rsid w:val="00C0763C"/>
    <w:rsid w:val="00C30DE3"/>
    <w:rsid w:val="00C4123E"/>
    <w:rsid w:val="00C6729B"/>
    <w:rsid w:val="00C82B78"/>
    <w:rsid w:val="00C85C37"/>
    <w:rsid w:val="00C97F4C"/>
    <w:rsid w:val="00CA0965"/>
    <w:rsid w:val="00CB5874"/>
    <w:rsid w:val="00CD7424"/>
    <w:rsid w:val="00CD77AB"/>
    <w:rsid w:val="00D03400"/>
    <w:rsid w:val="00D34999"/>
    <w:rsid w:val="00D572F7"/>
    <w:rsid w:val="00D74091"/>
    <w:rsid w:val="00D8755F"/>
    <w:rsid w:val="00D970A5"/>
    <w:rsid w:val="00DA7286"/>
    <w:rsid w:val="00E03C52"/>
    <w:rsid w:val="00E27FBE"/>
    <w:rsid w:val="00E6150C"/>
    <w:rsid w:val="00E700D7"/>
    <w:rsid w:val="00E81BE1"/>
    <w:rsid w:val="00EB3D2B"/>
    <w:rsid w:val="00EB5F62"/>
    <w:rsid w:val="00EC2BF7"/>
    <w:rsid w:val="00EE7472"/>
    <w:rsid w:val="00EF0512"/>
    <w:rsid w:val="00F82616"/>
    <w:rsid w:val="00F9284D"/>
    <w:rsid w:val="055B6919"/>
    <w:rsid w:val="067B5FCF"/>
    <w:rsid w:val="07D168B6"/>
    <w:rsid w:val="08B7010A"/>
    <w:rsid w:val="090E6D07"/>
    <w:rsid w:val="0C8A77A0"/>
    <w:rsid w:val="0C953877"/>
    <w:rsid w:val="0E43752E"/>
    <w:rsid w:val="0F924B55"/>
    <w:rsid w:val="0F950E4E"/>
    <w:rsid w:val="10F87FF9"/>
    <w:rsid w:val="120C3B7B"/>
    <w:rsid w:val="12505813"/>
    <w:rsid w:val="17751A52"/>
    <w:rsid w:val="1851436B"/>
    <w:rsid w:val="188E275B"/>
    <w:rsid w:val="19853F5A"/>
    <w:rsid w:val="19E21486"/>
    <w:rsid w:val="1B0911B7"/>
    <w:rsid w:val="1B4C19A7"/>
    <w:rsid w:val="1D194291"/>
    <w:rsid w:val="1DE57C16"/>
    <w:rsid w:val="1E1862E1"/>
    <w:rsid w:val="1E847B54"/>
    <w:rsid w:val="1FC72DE9"/>
    <w:rsid w:val="202D7726"/>
    <w:rsid w:val="210448FA"/>
    <w:rsid w:val="210F442D"/>
    <w:rsid w:val="231911DA"/>
    <w:rsid w:val="25E775B5"/>
    <w:rsid w:val="26571970"/>
    <w:rsid w:val="28792173"/>
    <w:rsid w:val="2A56143C"/>
    <w:rsid w:val="2AEA6C19"/>
    <w:rsid w:val="2AFF099E"/>
    <w:rsid w:val="2DEC1CEC"/>
    <w:rsid w:val="309F1F4A"/>
    <w:rsid w:val="31561413"/>
    <w:rsid w:val="31CA749A"/>
    <w:rsid w:val="32052280"/>
    <w:rsid w:val="343B70D4"/>
    <w:rsid w:val="34CF007C"/>
    <w:rsid w:val="36127662"/>
    <w:rsid w:val="37B13FA1"/>
    <w:rsid w:val="382A087E"/>
    <w:rsid w:val="397C1E1E"/>
    <w:rsid w:val="3B904490"/>
    <w:rsid w:val="3BC97ABA"/>
    <w:rsid w:val="3BE61375"/>
    <w:rsid w:val="3CA37533"/>
    <w:rsid w:val="3DDA245A"/>
    <w:rsid w:val="3E285C74"/>
    <w:rsid w:val="40491675"/>
    <w:rsid w:val="408B5670"/>
    <w:rsid w:val="417C2E29"/>
    <w:rsid w:val="43E929BC"/>
    <w:rsid w:val="44C12C73"/>
    <w:rsid w:val="44C96510"/>
    <w:rsid w:val="45366711"/>
    <w:rsid w:val="46AD5CDB"/>
    <w:rsid w:val="47AF9642"/>
    <w:rsid w:val="482D3D6B"/>
    <w:rsid w:val="4904625A"/>
    <w:rsid w:val="49047580"/>
    <w:rsid w:val="4AA105E0"/>
    <w:rsid w:val="4B154342"/>
    <w:rsid w:val="4C0B44E0"/>
    <w:rsid w:val="4D9F1C26"/>
    <w:rsid w:val="4E5A36C0"/>
    <w:rsid w:val="4E866522"/>
    <w:rsid w:val="4F045817"/>
    <w:rsid w:val="4F5B752C"/>
    <w:rsid w:val="50612867"/>
    <w:rsid w:val="51051ABA"/>
    <w:rsid w:val="52070FA5"/>
    <w:rsid w:val="523A45B3"/>
    <w:rsid w:val="52607C81"/>
    <w:rsid w:val="53F01E6B"/>
    <w:rsid w:val="5629004A"/>
    <w:rsid w:val="58466FCB"/>
    <w:rsid w:val="5889647B"/>
    <w:rsid w:val="59417793"/>
    <w:rsid w:val="5A0C7152"/>
    <w:rsid w:val="5BB604BD"/>
    <w:rsid w:val="60E74B0B"/>
    <w:rsid w:val="62D90CB3"/>
    <w:rsid w:val="64357A9A"/>
    <w:rsid w:val="64994E96"/>
    <w:rsid w:val="672973BB"/>
    <w:rsid w:val="68E50904"/>
    <w:rsid w:val="6A1B138F"/>
    <w:rsid w:val="6A6D37C0"/>
    <w:rsid w:val="6A8D3122"/>
    <w:rsid w:val="6E267066"/>
    <w:rsid w:val="6F502086"/>
    <w:rsid w:val="6FE77ECB"/>
    <w:rsid w:val="73EA2918"/>
    <w:rsid w:val="74487C30"/>
    <w:rsid w:val="75D27E21"/>
    <w:rsid w:val="77300370"/>
    <w:rsid w:val="798B0086"/>
    <w:rsid w:val="79A978C7"/>
    <w:rsid w:val="79FE5E51"/>
    <w:rsid w:val="7B725D9C"/>
    <w:rsid w:val="7CE501B3"/>
    <w:rsid w:val="8DF906BA"/>
    <w:rsid w:val="B7FFB871"/>
    <w:rsid w:val="E4BF25F9"/>
    <w:rsid w:val="E5EFB71D"/>
    <w:rsid w:val="F677A6F9"/>
    <w:rsid w:val="F776554B"/>
    <w:rsid w:val="FFD5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34"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18"/>
      <w:szCs w:val="18"/>
      <w:lang w:val="en-US" w:eastAsia="zh-CN" w:bidi="ar-SA"/>
    </w:rPr>
  </w:style>
  <w:style w:type="paragraph" w:styleId="2">
    <w:name w:val="heading 1"/>
    <w:basedOn w:val="1"/>
    <w:next w:val="1"/>
    <w:link w:val="21"/>
    <w:qFormat/>
    <w:uiPriority w:val="34"/>
    <w:pPr>
      <w:keepNext/>
      <w:keepLines/>
      <w:spacing w:before="480" w:after="80"/>
      <w:outlineLvl w:val="0"/>
    </w:pPr>
    <w:rPr>
      <w:rFonts w:asciiTheme="majorAscii" w:hAnsiTheme="majorAscii" w:eastAsiaTheme="majorEastAsia" w:cstheme="majorBidi"/>
      <w:color w:val="000000" w:themeColor="text1"/>
      <w:sz w:val="48"/>
      <w:szCs w:val="48"/>
      <w14:textFill>
        <w14:solidFill>
          <w14:schemeClr w14:val="tx1"/>
        </w14:solidFill>
      </w14:textFill>
    </w:rPr>
  </w:style>
  <w:style w:type="paragraph" w:styleId="3">
    <w:name w:val="heading 2"/>
    <w:basedOn w:val="1"/>
    <w:next w:val="1"/>
    <w:link w:val="22"/>
    <w:unhideWhenUsed/>
    <w:qFormat/>
    <w:uiPriority w:val="0"/>
    <w:pPr>
      <w:keepNext/>
      <w:keepLines/>
      <w:spacing w:before="160" w:after="80"/>
      <w:outlineLvl w:val="1"/>
    </w:pPr>
    <w:rPr>
      <w:rFonts w:asciiTheme="majorAscii" w:hAnsiTheme="majorAscii" w:eastAsiaTheme="majorEastAsia" w:cstheme="majorBidi"/>
      <w:color w:val="000000" w:themeColor="text1"/>
      <w:sz w:val="40"/>
      <w:szCs w:val="40"/>
      <w14:textFill>
        <w14:solidFill>
          <w14:schemeClr w14:val="tx1"/>
        </w14:solidFill>
      </w14:textFill>
    </w:rPr>
  </w:style>
  <w:style w:type="paragraph" w:styleId="4">
    <w:name w:val="heading 3"/>
    <w:basedOn w:val="1"/>
    <w:next w:val="1"/>
    <w:link w:val="23"/>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unhideWhenUsed/>
    <w:qFormat/>
    <w:uiPriority w:val="0"/>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unhideWhenUsed/>
    <w:qFormat/>
    <w:uiPriority w:val="0"/>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6"/>
    <w:unhideWhenUsed/>
    <w:qFormat/>
    <w:uiPriority w:val="0"/>
    <w:pPr>
      <w:keepNext/>
      <w:keepLines/>
      <w:spacing w:before="40"/>
      <w:outlineLvl w:val="5"/>
    </w:pPr>
    <w:rPr>
      <w:rFonts w:cstheme="majorBidi"/>
      <w:b/>
      <w:bCs/>
      <w:color w:val="2F5597" w:themeColor="accent1" w:themeShade="BF"/>
    </w:rPr>
  </w:style>
  <w:style w:type="paragraph" w:styleId="8">
    <w:name w:val="heading 7"/>
    <w:basedOn w:val="1"/>
    <w:next w:val="1"/>
    <w:link w:val="27"/>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kern w:val="2"/>
      <w:sz w:val="21"/>
      <w:szCs w:val="22"/>
    </w:rPr>
  </w:style>
  <w:style w:type="paragraph" w:styleId="12">
    <w:name w:val="annotation text"/>
    <w:basedOn w:val="1"/>
    <w:semiHidden/>
    <w:unhideWhenUsed/>
    <w:qFormat/>
    <w:uiPriority w:val="99"/>
    <w:pPr>
      <w:jc w:val="left"/>
    </w:pPr>
  </w:style>
  <w:style w:type="paragraph" w:styleId="13">
    <w:name w:val="Plain Text"/>
    <w:basedOn w:val="1"/>
    <w:link w:val="46"/>
    <w:qFormat/>
    <w:uiPriority w:val="0"/>
    <w:rPr>
      <w:rFonts w:ascii="宋体"/>
      <w:kern w:val="2"/>
      <w:sz w:val="21"/>
      <w:szCs w:val="22"/>
    </w:rPr>
  </w:style>
  <w:style w:type="paragraph" w:styleId="14">
    <w:name w:val="footer"/>
    <w:basedOn w:val="1"/>
    <w:link w:val="45"/>
    <w:unhideWhenUsed/>
    <w:qFormat/>
    <w:uiPriority w:val="99"/>
    <w:pPr>
      <w:tabs>
        <w:tab w:val="center" w:pos="4153"/>
        <w:tab w:val="right" w:pos="8306"/>
      </w:tabs>
      <w:snapToGrid w:val="0"/>
      <w:jc w:val="left"/>
    </w:pPr>
  </w:style>
  <w:style w:type="paragraph" w:styleId="15">
    <w:name w:val="header"/>
    <w:basedOn w:val="1"/>
    <w:link w:val="44"/>
    <w:unhideWhenUsed/>
    <w:qFormat/>
    <w:uiPriority w:val="99"/>
    <w:pPr>
      <w:tabs>
        <w:tab w:val="center" w:pos="4153"/>
        <w:tab w:val="right" w:pos="8306"/>
      </w:tabs>
      <w:snapToGrid w:val="0"/>
      <w:jc w:val="center"/>
    </w:pPr>
  </w:style>
  <w:style w:type="paragraph" w:styleId="16">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Body Text Indent 3"/>
    <w:basedOn w:val="1"/>
    <w:link w:val="41"/>
    <w:unhideWhenUsed/>
    <w:qFormat/>
    <w:uiPriority w:val="99"/>
    <w:pPr>
      <w:spacing w:after="120" w:line="360" w:lineRule="auto"/>
      <w:ind w:left="420" w:leftChars="200"/>
    </w:pPr>
    <w:rPr>
      <w:rFonts w:asciiTheme="minorHAnsi" w:hAnsiTheme="minorHAnsi" w:eastAsiaTheme="minorEastAsia" w:cstheme="minorBidi"/>
      <w:kern w:val="2"/>
      <w:sz w:val="16"/>
      <w:szCs w:val="16"/>
    </w:rPr>
  </w:style>
  <w:style w:type="paragraph" w:styleId="18">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1">
    <w:name w:val="标题 1 字符"/>
    <w:basedOn w:val="20"/>
    <w:link w:val="2"/>
    <w:qFormat/>
    <w:uiPriority w:val="34"/>
    <w:rPr>
      <w:rFonts w:asciiTheme="majorAscii" w:hAnsiTheme="majorAscii" w:eastAsiaTheme="majorEastAsia" w:cstheme="majorBidi"/>
      <w:color w:val="000000" w:themeColor="text1"/>
      <w:sz w:val="48"/>
      <w:szCs w:val="48"/>
      <w14:textFill>
        <w14:solidFill>
          <w14:schemeClr w14:val="tx1"/>
        </w14:solidFill>
      </w14:textFill>
    </w:rPr>
  </w:style>
  <w:style w:type="character" w:customStyle="1" w:styleId="22">
    <w:name w:val="标题 2 字符"/>
    <w:basedOn w:val="20"/>
    <w:link w:val="3"/>
    <w:qFormat/>
    <w:uiPriority w:val="0"/>
    <w:rPr>
      <w:rFonts w:asciiTheme="majorAscii" w:hAnsiTheme="majorAscii" w:eastAsiaTheme="majorEastAsia" w:cstheme="majorBidi"/>
      <w:color w:val="000000" w:themeColor="text1"/>
      <w:sz w:val="40"/>
      <w:szCs w:val="40"/>
      <w14:textFill>
        <w14:solidFill>
          <w14:schemeClr w14:val="tx1"/>
        </w14:solidFill>
      </w14:textFill>
    </w:rPr>
  </w:style>
  <w:style w:type="character" w:customStyle="1" w:styleId="23">
    <w:name w:val="标题 3 字符"/>
    <w:basedOn w:val="20"/>
    <w:link w:val="4"/>
    <w:qFormat/>
    <w:uiPriority w:val="0"/>
    <w:rPr>
      <w:rFonts w:asciiTheme="majorHAnsi" w:hAnsiTheme="majorHAnsi" w:eastAsiaTheme="majorEastAsia" w:cstheme="majorBidi"/>
      <w:color w:val="2F5597" w:themeColor="accent1" w:themeShade="BF"/>
      <w:sz w:val="32"/>
      <w:szCs w:val="32"/>
    </w:rPr>
  </w:style>
  <w:style w:type="character" w:customStyle="1" w:styleId="24">
    <w:name w:val="标题 4 字符"/>
    <w:basedOn w:val="20"/>
    <w:link w:val="5"/>
    <w:qFormat/>
    <w:uiPriority w:val="0"/>
    <w:rPr>
      <w:rFonts w:cstheme="majorBidi"/>
      <w:color w:val="2F5597" w:themeColor="accent1" w:themeShade="BF"/>
      <w:sz w:val="28"/>
      <w:szCs w:val="28"/>
    </w:rPr>
  </w:style>
  <w:style w:type="character" w:customStyle="1" w:styleId="25">
    <w:name w:val="标题 5 字符"/>
    <w:basedOn w:val="20"/>
    <w:link w:val="6"/>
    <w:semiHidden/>
    <w:qFormat/>
    <w:uiPriority w:val="9"/>
    <w:rPr>
      <w:rFonts w:cstheme="majorBidi"/>
      <w:color w:val="2F5597" w:themeColor="accent1" w:themeShade="BF"/>
      <w:sz w:val="24"/>
      <w:szCs w:val="24"/>
    </w:rPr>
  </w:style>
  <w:style w:type="character" w:customStyle="1" w:styleId="26">
    <w:name w:val="标题 6 字符"/>
    <w:basedOn w:val="20"/>
    <w:link w:val="7"/>
    <w:semiHidden/>
    <w:qFormat/>
    <w:uiPriority w:val="9"/>
    <w:rPr>
      <w:rFonts w:cstheme="majorBidi"/>
      <w:b/>
      <w:bCs/>
      <w:color w:val="2F5597" w:themeColor="accent1" w:themeShade="BF"/>
    </w:rPr>
  </w:style>
  <w:style w:type="character" w:customStyle="1" w:styleId="27">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20"/>
    <w:link w:val="18"/>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20"/>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link w:val="40"/>
    <w:qFormat/>
    <w:uiPriority w:val="34"/>
    <w:pPr>
      <w:ind w:left="720"/>
      <w:contextualSpacing/>
    </w:pPr>
  </w:style>
  <w:style w:type="character" w:customStyle="1" w:styleId="35">
    <w:name w:val="Intense Emphasis"/>
    <w:basedOn w:val="20"/>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20"/>
    <w:link w:val="36"/>
    <w:qFormat/>
    <w:uiPriority w:val="30"/>
    <w:rPr>
      <w:i/>
      <w:iCs/>
      <w:color w:val="2F5597" w:themeColor="accent1" w:themeShade="BF"/>
    </w:rPr>
  </w:style>
  <w:style w:type="character" w:customStyle="1" w:styleId="38">
    <w:name w:val="Intense Reference"/>
    <w:basedOn w:val="20"/>
    <w:qFormat/>
    <w:uiPriority w:val="32"/>
    <w:rPr>
      <w:b/>
      <w:bCs/>
      <w:smallCaps/>
      <w:color w:val="2F5597" w:themeColor="accent1" w:themeShade="BF"/>
      <w:spacing w:val="5"/>
    </w:rPr>
  </w:style>
  <w:style w:type="paragraph" w:customStyle="1" w:styleId="39">
    <w:name w:val="Normal_7"/>
    <w:next w:val="1"/>
    <w:qFormat/>
    <w:uiPriority w:val="0"/>
    <w:pPr>
      <w:widowControl w:val="0"/>
      <w:jc w:val="both"/>
    </w:pPr>
    <w:rPr>
      <w:rFonts w:ascii="等线" w:hAnsi="等线" w:eastAsia="宋体" w:cs="Times New Roman"/>
      <w:kern w:val="2"/>
      <w:sz w:val="21"/>
      <w:szCs w:val="22"/>
      <w:lang w:val="en-US" w:eastAsia="zh-CN" w:bidi="ar-SA"/>
    </w:rPr>
  </w:style>
  <w:style w:type="character" w:customStyle="1" w:styleId="40">
    <w:name w:val="列表段落 字符"/>
    <w:link w:val="34"/>
    <w:qFormat/>
    <w:uiPriority w:val="34"/>
  </w:style>
  <w:style w:type="character" w:customStyle="1" w:styleId="41">
    <w:name w:val="正文文本缩进 3 字符"/>
    <w:basedOn w:val="20"/>
    <w:link w:val="17"/>
    <w:qFormat/>
    <w:uiPriority w:val="99"/>
    <w:rPr>
      <w:sz w:val="16"/>
      <w:szCs w:val="16"/>
    </w:rPr>
  </w:style>
  <w:style w:type="table" w:customStyle="1" w:styleId="42">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43">
    <w:name w:val="Table Paragraph"/>
    <w:basedOn w:val="1"/>
    <w:qFormat/>
    <w:uiPriority w:val="1"/>
    <w:pPr>
      <w:jc w:val="left"/>
    </w:pPr>
    <w:rPr>
      <w:rFonts w:asciiTheme="minorHAnsi" w:hAnsiTheme="minorHAnsi" w:eastAsiaTheme="minorEastAsia" w:cstheme="minorBidi"/>
      <w:sz w:val="22"/>
      <w:szCs w:val="22"/>
      <w:lang w:eastAsia="en-US"/>
    </w:rPr>
  </w:style>
  <w:style w:type="character" w:customStyle="1" w:styleId="44">
    <w:name w:val="页眉 字符"/>
    <w:basedOn w:val="20"/>
    <w:link w:val="15"/>
    <w:qFormat/>
    <w:uiPriority w:val="99"/>
    <w:rPr>
      <w:rFonts w:ascii="Calibri" w:hAnsi="Calibri" w:eastAsia="宋体" w:cs="Times New Roman"/>
      <w:kern w:val="0"/>
      <w:sz w:val="18"/>
      <w:szCs w:val="18"/>
    </w:rPr>
  </w:style>
  <w:style w:type="character" w:customStyle="1" w:styleId="45">
    <w:name w:val="页脚 字符"/>
    <w:basedOn w:val="20"/>
    <w:link w:val="14"/>
    <w:qFormat/>
    <w:uiPriority w:val="99"/>
    <w:rPr>
      <w:rFonts w:ascii="Calibri" w:hAnsi="Calibri" w:eastAsia="宋体" w:cs="Times New Roman"/>
      <w:kern w:val="0"/>
      <w:sz w:val="18"/>
      <w:szCs w:val="18"/>
    </w:rPr>
  </w:style>
  <w:style w:type="character" w:customStyle="1" w:styleId="46">
    <w:name w:val="纯文本 字符"/>
    <w:basedOn w:val="20"/>
    <w:link w:val="13"/>
    <w:qFormat/>
    <w:uiPriority w:val="0"/>
    <w:rPr>
      <w:rFonts w:ascii="宋体"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632</Words>
  <Characters>671</Characters>
  <Lines>56</Lines>
  <Paragraphs>15</Paragraphs>
  <TotalTime>13</TotalTime>
  <ScaleCrop>false</ScaleCrop>
  <LinksUpToDate>false</LinksUpToDate>
  <CharactersWithSpaces>671</CharactersWithSpaces>
  <Application>WPS Office_12.8.2.1113_F1E327BC-269C-435d-A152-05C5408002CA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2025-03-29T03:31:00Z</dcterms:created>
  <dc:creator>妍 陶</dc:creator>
  <cp:lastModifiedBy>user</cp:lastModifiedBy>
  <dcterms:modified xsi:type="dcterms:W3CDTF">2025-06-13T15:25:20Z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eyJoZGlkIjoiMjY1MjU1NWNmYmQ4ZDIyZmEzNzdmY2ExYzU1MWE0YmUiLCJ1c2VySWQiOiI1MzAwMjIzODEifQ==</vt:lpwstr>
  </property>
  <property fmtid="{D5CDD505-2E9C-101B-9397-08002B2CF9AE}" pid="3" name="KSOProductBuildVer">
    <vt:lpwstr>2052-12.8.2.1113</vt:lpwstr>
  </property>
  <property fmtid="{D5CDD505-2E9C-101B-9397-08002B2CF9AE}" pid="4" name="ICV">
    <vt:lpwstr>1679D8051B154CF482D5148B5617C4F7_13</vt:lpwstr>
  </property>
</Properties>
</file>