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sz w:val="48"/>
          <w:szCs w:val="48"/>
          <w:highlight w:val="none"/>
        </w:rPr>
      </w:pPr>
    </w:p>
    <w:p>
      <w:pPr>
        <w:ind w:firstLine="0" w:firstLineChars="0"/>
        <w:jc w:val="center"/>
        <w:rPr>
          <w:rFonts w:hint="eastAsia" w:ascii="黑体" w:hAnsi="黑体" w:eastAsia="黑体"/>
          <w:sz w:val="48"/>
          <w:szCs w:val="48"/>
          <w:highlight w:val="none"/>
        </w:rPr>
      </w:pPr>
    </w:p>
    <w:p>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上海市城运中心“一网统管”视觉中枢子系统建设项目</w:t>
      </w:r>
    </w:p>
    <w:p>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采购需求</w:t>
      </w:r>
    </w:p>
    <w:p>
      <w:pPr>
        <w:ind w:firstLine="0" w:firstLineChars="0"/>
        <w:jc w:val="center"/>
        <w:rPr>
          <w:rFonts w:hint="eastAsia" w:ascii="黑体" w:hAnsi="黑体" w:eastAsia="黑体"/>
          <w:sz w:val="72"/>
          <w:szCs w:val="72"/>
          <w:highlight w:val="none"/>
        </w:rPr>
      </w:pPr>
    </w:p>
    <w:p>
      <w:pPr>
        <w:ind w:firstLine="0" w:firstLineChars="0"/>
        <w:jc w:val="center"/>
        <w:rPr>
          <w:rFonts w:hint="eastAsia" w:ascii="黑体" w:hAnsi="黑体" w:eastAsia="黑体"/>
          <w:sz w:val="48"/>
          <w:szCs w:val="48"/>
          <w:highlight w:val="none"/>
        </w:rPr>
      </w:pPr>
    </w:p>
    <w:p>
      <w:pPr>
        <w:ind w:firstLine="0" w:firstLineChars="0"/>
        <w:jc w:val="center"/>
        <w:rPr>
          <w:rFonts w:hint="eastAsia" w:ascii="黑体" w:hAnsi="黑体" w:eastAsia="黑体"/>
          <w:sz w:val="52"/>
          <w:szCs w:val="52"/>
          <w:highlight w:val="none"/>
        </w:rPr>
      </w:pPr>
    </w:p>
    <w:p>
      <w:pPr>
        <w:ind w:firstLine="1040"/>
        <w:rPr>
          <w:rFonts w:hint="eastAsia" w:ascii="黑体" w:hAnsi="黑体" w:eastAsia="黑体"/>
          <w:sz w:val="52"/>
          <w:szCs w:val="52"/>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ind w:firstLine="1040"/>
        <w:rPr>
          <w:rFonts w:hint="eastAsia" w:ascii="黑体" w:hAnsi="黑体" w:eastAsia="黑体"/>
          <w:sz w:val="52"/>
          <w:szCs w:val="52"/>
          <w:highlight w:val="none"/>
        </w:rPr>
      </w:pPr>
    </w:p>
    <w:p>
      <w:pPr>
        <w:jc w:val="center"/>
        <w:rPr>
          <w:rFonts w:hint="eastAsia"/>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3"/>
        <w:rPr>
          <w:rFonts w:hint="eastAsia"/>
          <w:highlight w:val="none"/>
        </w:rPr>
      </w:pPr>
      <w:bookmarkStart w:id="0" w:name="_Toc63785461"/>
      <w:r>
        <w:rPr>
          <w:rFonts w:hint="eastAsia"/>
          <w:highlight w:val="none"/>
        </w:rPr>
        <w:t>项目概况</w:t>
      </w:r>
      <w:bookmarkEnd w:id="0"/>
    </w:p>
    <w:p>
      <w:pPr>
        <w:pStyle w:val="4"/>
        <w:ind w:left="425"/>
        <w:rPr>
          <w:rFonts w:hint="eastAsia"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建设背景</w:t>
      </w:r>
    </w:p>
    <w:p>
      <w:pPr>
        <w:widowControl/>
        <w:ind w:firstLine="566" w:firstLineChars="236"/>
        <w:rPr>
          <w:rFonts w:hint="eastAsia"/>
          <w:bCs/>
          <w:highlight w:val="none"/>
        </w:rPr>
      </w:pPr>
      <w:r>
        <w:rPr>
          <w:rFonts w:hint="eastAsia"/>
          <w:bCs/>
          <w:highlight w:val="none"/>
        </w:rPr>
        <w:t>2023年初，上海市委书记陈吉宁在市城运中心、市大数据中心调研时指出：实现高效能治理，是超大城市抵御风险挑战、永葆生机活力、始终安定有序的根本支撑。要深入学习贯彻党的二十大和习</w:t>
      </w:r>
      <w:r>
        <w:rPr>
          <w:rFonts w:hint="eastAsia"/>
          <w:bCs/>
          <w:highlight w:val="none"/>
          <w:lang w:val="en-US" w:eastAsia="zh-CN"/>
        </w:rPr>
        <w:t xml:space="preserve"> </w:t>
      </w:r>
      <w:r>
        <w:rPr>
          <w:rFonts w:hint="eastAsia"/>
          <w:bCs/>
          <w:highlight w:val="none"/>
        </w:rPr>
        <w:t>近</w:t>
      </w:r>
      <w:r>
        <w:rPr>
          <w:rFonts w:hint="eastAsia"/>
          <w:bCs/>
          <w:highlight w:val="none"/>
          <w:lang w:val="en-US" w:eastAsia="zh-CN"/>
        </w:rPr>
        <w:t xml:space="preserve"> </w:t>
      </w:r>
      <w:r>
        <w:rPr>
          <w:rFonts w:hint="eastAsia"/>
          <w:bCs/>
          <w:highlight w:val="none"/>
        </w:rPr>
        <w:t>平总</w:t>
      </w:r>
      <w:r>
        <w:rPr>
          <w:rFonts w:hint="eastAsia"/>
          <w:bCs/>
          <w:highlight w:val="none"/>
          <w:lang w:val="en-US" w:eastAsia="zh-CN"/>
        </w:rPr>
        <w:t xml:space="preserve"> </w:t>
      </w:r>
      <w:r>
        <w:rPr>
          <w:rFonts w:hint="eastAsia"/>
          <w:bCs/>
          <w:highlight w:val="none"/>
        </w:rPr>
        <w:t>书</w:t>
      </w:r>
      <w:r>
        <w:rPr>
          <w:rFonts w:hint="eastAsia"/>
          <w:bCs/>
          <w:highlight w:val="none"/>
          <w:lang w:val="en-US" w:eastAsia="zh-CN"/>
        </w:rPr>
        <w:t xml:space="preserve"> </w:t>
      </w:r>
      <w:bookmarkStart w:id="37" w:name="_GoBack"/>
      <w:bookmarkEnd w:id="37"/>
      <w:r>
        <w:rPr>
          <w:rFonts w:hint="eastAsia"/>
          <w:bCs/>
          <w:highlight w:val="none"/>
        </w:rPr>
        <w:t>记考察上海重要讲话精神，提高站位、深化认识，更好依托城市数字化转型和智慧城市建设，在科学化、精细化、智能化上下更大功夫，加强整体设计，不断迭代升级，持续提升政务服务“一网通办”、城市运行“一网统管”服务效能，切实做到实战中管用、基层干部爱用、群众感到受用。</w:t>
      </w:r>
    </w:p>
    <w:p>
      <w:pPr>
        <w:widowControl/>
        <w:ind w:firstLine="566" w:firstLineChars="236"/>
        <w:rPr>
          <w:rFonts w:hint="eastAsia"/>
          <w:bCs/>
          <w:highlight w:val="none"/>
        </w:rPr>
      </w:pPr>
      <w:r>
        <w:rPr>
          <w:rFonts w:hint="eastAsia"/>
          <w:bCs/>
          <w:highlight w:val="none"/>
        </w:rPr>
        <w:t>按照《上海市委市政府2024年重点工作任务书》和《2024年上海市城市运行“一网统管”工作要点》的工作要求，要立足实战实效，建设城运视觉中枢，多维提升“一网统管”实战指挥调度效能。目前，全市已有各级各类视频监控图像近百万路，亟需以城市运行“一网统管”重点工作为关键抓手，以全市”一网统管”视频资源的高效互联、科学治理、联动共享和高效应用，最终形成上海市城运中心“视觉中枢”为核心业务联动各层级、各部门、各领域视频能力的领跑全国的城市数字化转型视频能力。</w:t>
      </w:r>
    </w:p>
    <w:p>
      <w:pPr>
        <w:pStyle w:val="4"/>
        <w:ind w:left="425"/>
        <w:rPr>
          <w:rFonts w:hint="eastAsia"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项目基本情况</w:t>
      </w:r>
    </w:p>
    <w:p>
      <w:pPr>
        <w:widowControl/>
        <w:ind w:firstLine="566" w:firstLineChars="236"/>
        <w:rPr>
          <w:rFonts w:hint="eastAsia"/>
          <w:bCs/>
          <w:highlight w:val="none"/>
        </w:rPr>
      </w:pPr>
      <w:r>
        <w:rPr>
          <w:rFonts w:hint="eastAsia"/>
          <w:bCs/>
          <w:highlight w:val="none"/>
        </w:rPr>
        <w:t>建设期限：合同签订之日起6个月内</w:t>
      </w:r>
    </w:p>
    <w:p>
      <w:pPr>
        <w:widowControl/>
        <w:ind w:firstLine="566" w:firstLineChars="236"/>
        <w:rPr>
          <w:rFonts w:hint="default"/>
          <w:bCs/>
          <w:highlight w:val="none"/>
          <w:lang w:val="en-US"/>
        </w:rPr>
      </w:pPr>
      <w:r>
        <w:rPr>
          <w:rFonts w:hint="eastAsia"/>
          <w:bCs/>
          <w:highlight w:val="none"/>
        </w:rPr>
        <w:t>建设地点：上海市</w:t>
      </w:r>
      <w:r>
        <w:rPr>
          <w:rFonts w:hint="eastAsia"/>
          <w:bCs/>
          <w:highlight w:val="none"/>
          <w:lang w:val="en-US" w:eastAsia="zh-CN"/>
        </w:rPr>
        <w:t>大数据中心</w:t>
      </w:r>
    </w:p>
    <w:p>
      <w:pPr>
        <w:widowControl/>
        <w:ind w:firstLine="566" w:firstLineChars="236"/>
        <w:rPr>
          <w:rFonts w:hint="eastAsia"/>
          <w:bCs/>
          <w:highlight w:val="none"/>
        </w:rPr>
      </w:pPr>
      <w:r>
        <w:rPr>
          <w:rFonts w:hint="eastAsia"/>
          <w:bCs/>
          <w:highlight w:val="none"/>
        </w:rPr>
        <w:t>预算金额：14,609,657.00元</w:t>
      </w:r>
    </w:p>
    <w:p>
      <w:pPr>
        <w:widowControl/>
        <w:ind w:firstLine="566" w:firstLineChars="236"/>
        <w:rPr>
          <w:rFonts w:hint="eastAsia"/>
          <w:bCs/>
          <w:highlight w:val="none"/>
        </w:rPr>
      </w:pPr>
      <w:r>
        <w:rPr>
          <w:rFonts w:hint="eastAsia"/>
          <w:bCs/>
          <w:highlight w:val="none"/>
        </w:rPr>
        <w:t>采购金额（最高限价）：14,609,657.00元</w:t>
      </w:r>
    </w:p>
    <w:p>
      <w:pPr>
        <w:widowControl/>
        <w:ind w:firstLine="566" w:firstLineChars="236"/>
        <w:rPr>
          <w:rFonts w:hint="eastAsia"/>
          <w:bCs/>
          <w:highlight w:val="none"/>
        </w:rPr>
      </w:pPr>
      <w:r>
        <w:rPr>
          <w:rFonts w:hint="eastAsia"/>
          <w:bCs/>
          <w:highlight w:val="none"/>
        </w:rPr>
        <w:t>组织形式：集中采购</w:t>
      </w:r>
    </w:p>
    <w:p>
      <w:pPr>
        <w:widowControl/>
        <w:ind w:firstLine="566" w:firstLineChars="236"/>
        <w:rPr>
          <w:rFonts w:hint="eastAsia"/>
          <w:bCs/>
          <w:highlight w:val="none"/>
        </w:rPr>
      </w:pPr>
      <w:r>
        <w:rPr>
          <w:rFonts w:hint="eastAsia"/>
          <w:bCs/>
          <w:highlight w:val="none"/>
        </w:rPr>
        <w:t>采购方式：公开招标</w:t>
      </w:r>
    </w:p>
    <w:p>
      <w:pPr>
        <w:widowControl/>
        <w:ind w:firstLine="566" w:firstLineChars="236"/>
        <w:rPr>
          <w:rFonts w:hint="eastAsia"/>
          <w:bCs/>
          <w:highlight w:val="none"/>
        </w:rPr>
      </w:pPr>
      <w:r>
        <w:rPr>
          <w:rFonts w:hint="eastAsia"/>
          <w:bCs/>
          <w:highlight w:val="none"/>
        </w:rPr>
        <w:t>是否接受联合体投标：否</w:t>
      </w:r>
    </w:p>
    <w:p>
      <w:pPr>
        <w:widowControl/>
        <w:ind w:firstLine="566" w:firstLineChars="236"/>
        <w:rPr>
          <w:rFonts w:hint="eastAsia"/>
          <w:bCs/>
          <w:highlight w:val="none"/>
        </w:rPr>
      </w:pPr>
      <w:r>
        <w:rPr>
          <w:rFonts w:hint="eastAsia"/>
          <w:bCs/>
          <w:highlight w:val="none"/>
        </w:rPr>
        <w:t>是否按</w:t>
      </w:r>
      <w:r>
        <w:rPr>
          <w:rFonts w:hint="eastAsia"/>
          <w:bCs/>
          <w:highlight w:val="none"/>
          <w:lang w:eastAsia="zh-CN"/>
        </w:rPr>
        <w:t>XC</w:t>
      </w:r>
      <w:r>
        <w:rPr>
          <w:rFonts w:hint="eastAsia"/>
          <w:bCs/>
          <w:highlight w:val="none"/>
        </w:rPr>
        <w:t>要求建设：是</w:t>
      </w:r>
    </w:p>
    <w:p>
      <w:pPr>
        <w:widowControl/>
        <w:ind w:firstLine="566" w:firstLineChars="236"/>
        <w:rPr>
          <w:rFonts w:hint="eastAsia"/>
          <w:bCs/>
          <w:highlight w:val="none"/>
        </w:rPr>
      </w:pPr>
      <w:r>
        <w:rPr>
          <w:rFonts w:hint="eastAsia"/>
          <w:bCs/>
          <w:highlight w:val="none"/>
        </w:rPr>
        <w:t>运维后所属大系统：城市智理时空一体化大系统</w:t>
      </w:r>
    </w:p>
    <w:p>
      <w:pPr>
        <w:pStyle w:val="3"/>
        <w:rPr>
          <w:rFonts w:hint="eastAsia"/>
          <w:highlight w:val="none"/>
        </w:rPr>
      </w:pPr>
      <w:bookmarkStart w:id="1" w:name="_Toc47539070"/>
      <w:bookmarkEnd w:id="1"/>
      <w:bookmarkStart w:id="2" w:name="_Toc47532255"/>
      <w:bookmarkEnd w:id="2"/>
      <w:bookmarkStart w:id="3" w:name="_Toc47531634"/>
      <w:bookmarkEnd w:id="3"/>
      <w:bookmarkStart w:id="4" w:name="_Toc47536644"/>
      <w:bookmarkEnd w:id="4"/>
      <w:bookmarkStart w:id="5" w:name="_Toc47533256"/>
      <w:bookmarkEnd w:id="5"/>
      <w:bookmarkStart w:id="6" w:name="_Toc47532891"/>
      <w:bookmarkEnd w:id="6"/>
      <w:bookmarkStart w:id="7" w:name="_Toc47536272"/>
      <w:bookmarkEnd w:id="7"/>
      <w:bookmarkStart w:id="8" w:name="_Toc47537134"/>
      <w:bookmarkEnd w:id="8"/>
      <w:bookmarkStart w:id="9" w:name="_Toc48223882"/>
      <w:bookmarkStart w:id="10" w:name="_Toc63785463"/>
      <w:r>
        <w:rPr>
          <w:rFonts w:hint="eastAsia"/>
          <w:highlight w:val="none"/>
        </w:rPr>
        <w:t>建设目标</w:t>
      </w:r>
      <w:bookmarkEnd w:id="9"/>
      <w:bookmarkEnd w:id="10"/>
    </w:p>
    <w:p>
      <w:pPr>
        <w:pStyle w:val="4"/>
        <w:ind w:left="425"/>
        <w:rPr>
          <w:rFonts w:hint="eastAsia" w:asciiTheme="minorEastAsia" w:hAnsiTheme="minorEastAsia" w:eastAsiaTheme="minorEastAsia"/>
          <w:sz w:val="28"/>
          <w:szCs w:val="28"/>
          <w:highlight w:val="none"/>
          <w:lang w:bidi="ar"/>
        </w:rPr>
      </w:pPr>
      <w:r>
        <w:rPr>
          <w:rFonts w:hint="eastAsia" w:asciiTheme="minorEastAsia" w:hAnsiTheme="minorEastAsia" w:eastAsiaTheme="minorEastAsia"/>
          <w:sz w:val="28"/>
          <w:szCs w:val="28"/>
          <w:highlight w:val="none"/>
          <w:lang w:bidi="ar"/>
        </w:rPr>
        <w:t>建设目标</w:t>
      </w:r>
    </w:p>
    <w:p>
      <w:pPr>
        <w:rPr>
          <w:rFonts w:hint="eastAsia" w:cs="仿宋"/>
          <w:szCs w:val="28"/>
          <w:highlight w:val="none"/>
          <w:lang w:bidi="ar"/>
        </w:rPr>
      </w:pPr>
      <w:r>
        <w:rPr>
          <w:rFonts w:hint="eastAsia" w:cs="仿宋"/>
          <w:szCs w:val="28"/>
          <w:highlight w:val="none"/>
          <w:lang w:bidi="ar"/>
        </w:rPr>
        <w:t>根据国务院《关于加强数字政府建设的指导意见》、国家数据局《关于深化智慧城市发展 推进城市全域数字化转型的指导意见》、上海市《上海市全面推进城市数字化转型“十四五”规划》、《关于全面推进上海城市数字化转型的意见》和《上海市委市政府2024年工作任务书》等相关文件要求，依托本市现有视频资源，搭建视觉中枢系统。基于整体规划，聚焦完成市级城市运行管理中心视觉中枢的核心功能及能力搭建，通过构建围绕城运业务特色化视频应用、全链路视频安全、统一业务支撑和统一共享赋能四项能力，搭建满足未来城市运行“一网统管”实战指挥需求的视觉应用及共享中枢系统。</w:t>
      </w:r>
    </w:p>
    <w:p>
      <w:pPr>
        <w:rPr>
          <w:rFonts w:hint="eastAsia" w:cs="仿宋"/>
          <w:szCs w:val="28"/>
          <w:highlight w:val="none"/>
          <w:lang w:bidi="ar"/>
        </w:rPr>
      </w:pPr>
      <w:r>
        <w:rPr>
          <w:rFonts w:hint="eastAsia" w:cs="仿宋"/>
          <w:szCs w:val="28"/>
          <w:highlight w:val="none"/>
          <w:lang w:bidi="ar"/>
        </w:rPr>
        <w:t>一、围绕城运业务“实战管用”打造特色化视频指挥赋能应用</w:t>
      </w:r>
    </w:p>
    <w:p>
      <w:pPr>
        <w:rPr>
          <w:rFonts w:hint="eastAsia" w:cs="仿宋"/>
          <w:szCs w:val="28"/>
          <w:highlight w:val="none"/>
          <w:lang w:bidi="ar"/>
        </w:rPr>
      </w:pPr>
      <w:r>
        <w:rPr>
          <w:rFonts w:hint="eastAsia" w:cs="仿宋"/>
          <w:szCs w:val="28"/>
          <w:highlight w:val="none"/>
          <w:lang w:bidi="ar"/>
        </w:rPr>
        <w:t>按照市委、市政府主要领导在城市运行管理日常调度、重大保障和突发处置中的实战应用需求，及上海市城运中心指挥协调工作的实际需要，以全市已建”一网统管”视频资源为扎实基础，围绕“一网统管”业务实战打造特色化实战视频应用能力，并适度超前探索城运智能化应用场景。</w:t>
      </w:r>
    </w:p>
    <w:p>
      <w:pPr>
        <w:rPr>
          <w:rFonts w:hint="eastAsia" w:cs="仿宋"/>
          <w:szCs w:val="28"/>
          <w:highlight w:val="none"/>
          <w:lang w:bidi="ar"/>
        </w:rPr>
      </w:pPr>
      <w:r>
        <w:rPr>
          <w:rFonts w:hint="eastAsia" w:cs="仿宋"/>
          <w:szCs w:val="28"/>
          <w:highlight w:val="none"/>
          <w:lang w:bidi="ar"/>
        </w:rPr>
        <w:t>二、夯实加强城运业务视频数据安全管理能力</w:t>
      </w:r>
    </w:p>
    <w:p>
      <w:pPr>
        <w:rPr>
          <w:rFonts w:hint="eastAsia" w:cs="仿宋"/>
          <w:szCs w:val="28"/>
          <w:highlight w:val="none"/>
          <w:lang w:bidi="ar"/>
        </w:rPr>
      </w:pPr>
      <w:r>
        <w:rPr>
          <w:rFonts w:hint="eastAsia" w:cs="仿宋"/>
          <w:szCs w:val="28"/>
          <w:highlight w:val="none"/>
          <w:lang w:bidi="ar"/>
        </w:rPr>
        <w:t xml:space="preserve"> 依托政务外网现有安全基础设施条件，围绕视频“一网统管”联动应用的实战要求，进一步夯实城市运行管理视频数据联动应用过程中的视频数据安全管理能力，保障全市“一网统管”各单位在业务联动过程中的视频应用安全高效管控。</w:t>
      </w:r>
    </w:p>
    <w:p>
      <w:pPr>
        <w:rPr>
          <w:rFonts w:hint="eastAsia" w:cs="仿宋"/>
          <w:szCs w:val="28"/>
          <w:highlight w:val="none"/>
          <w:lang w:bidi="ar"/>
        </w:rPr>
      </w:pPr>
      <w:r>
        <w:rPr>
          <w:rFonts w:hint="eastAsia" w:cs="仿宋"/>
          <w:szCs w:val="28"/>
          <w:highlight w:val="none"/>
          <w:lang w:bidi="ar"/>
        </w:rPr>
        <w:t>三、构建城运业务“一网统管”视频统一支撑能力</w:t>
      </w:r>
    </w:p>
    <w:p>
      <w:pPr>
        <w:rPr>
          <w:rFonts w:hint="eastAsia" w:cs="仿宋"/>
          <w:szCs w:val="28"/>
          <w:highlight w:val="none"/>
          <w:lang w:bidi="ar"/>
        </w:rPr>
      </w:pPr>
      <w:r>
        <w:rPr>
          <w:rFonts w:hint="eastAsia" w:cs="仿宋"/>
          <w:szCs w:val="28"/>
          <w:highlight w:val="none"/>
          <w:lang w:bidi="ar"/>
        </w:rPr>
        <w:t>依托全市”一网统管”视频资源，通过构建市城运中心视觉应用共享中枢统一支撑能力，形成面向全市各主要“一网统管”单位的视频应用和共享联动体系。面向城运业务支撑和“一网统管”单位业务联动支撑，完善社会面各行业单位和互联网来源视频资源，构建围绕城市运行事件的视频多媒体库、城运移动指挥部智能拼控、业务联动申请管理等统一支撑能力，实现市城运中心与各城运业务单位高效联动指挥和实战应用。</w:t>
      </w:r>
    </w:p>
    <w:p>
      <w:pPr>
        <w:rPr>
          <w:rFonts w:hint="eastAsia" w:cs="仿宋"/>
          <w:szCs w:val="28"/>
          <w:highlight w:val="none"/>
          <w:lang w:bidi="ar"/>
        </w:rPr>
      </w:pPr>
      <w:r>
        <w:rPr>
          <w:rFonts w:hint="eastAsia" w:cs="仿宋"/>
          <w:szCs w:val="28"/>
          <w:highlight w:val="none"/>
          <w:lang w:bidi="ar"/>
        </w:rPr>
        <w:t>四、围绕“一网统管”实战打造全网共振的视频统一赋能能力</w:t>
      </w:r>
    </w:p>
    <w:p>
      <w:pPr>
        <w:rPr>
          <w:rFonts w:hint="eastAsia" w:cs="仿宋"/>
          <w:szCs w:val="28"/>
          <w:highlight w:val="none"/>
          <w:lang w:bidi="ar"/>
        </w:rPr>
      </w:pPr>
      <w:r>
        <w:rPr>
          <w:rFonts w:hint="eastAsia" w:cs="仿宋"/>
          <w:szCs w:val="28"/>
          <w:highlight w:val="none"/>
          <w:lang w:bidi="ar"/>
        </w:rPr>
        <w:t>按照“横向拉通、纵向赋能”的整体业务联动架构规划，通过构建丰富、多样和灵活的视频“业务+数据”统一赋能共享能力，并搭建体系化统一赋能态势分析能力，对以市城运为中心的全市“一网统管”联动单位的视频指挥协同形成持续赋能增效，最终实现全市 “一网统管”业务视频指挥联动良好局面。</w:t>
      </w:r>
    </w:p>
    <w:p>
      <w:pPr>
        <w:pStyle w:val="4"/>
        <w:ind w:left="425"/>
        <w:rPr>
          <w:rFonts w:hint="eastAsia" w:asciiTheme="minorEastAsia" w:hAnsiTheme="minorEastAsia" w:eastAsiaTheme="minorEastAsia"/>
          <w:sz w:val="28"/>
          <w:szCs w:val="28"/>
          <w:highlight w:val="none"/>
          <w:lang w:bidi="ar"/>
        </w:rPr>
      </w:pPr>
      <w:r>
        <w:rPr>
          <w:rFonts w:hint="eastAsia" w:asciiTheme="minorEastAsia" w:hAnsiTheme="minorEastAsia" w:eastAsiaTheme="minorEastAsia"/>
          <w:sz w:val="28"/>
          <w:szCs w:val="28"/>
          <w:highlight w:val="none"/>
          <w:lang w:bidi="ar"/>
        </w:rPr>
        <w:t>业务及技术绩效目标</w:t>
      </w:r>
    </w:p>
    <w:tbl>
      <w:tblPr>
        <w:tblStyle w:val="36"/>
        <w:tblW w:w="8299" w:type="dxa"/>
        <w:tblInd w:w="0" w:type="dxa"/>
        <w:tblLayout w:type="fixed"/>
        <w:tblCellMar>
          <w:top w:w="0" w:type="dxa"/>
          <w:left w:w="108" w:type="dxa"/>
          <w:bottom w:w="0" w:type="dxa"/>
          <w:right w:w="108" w:type="dxa"/>
        </w:tblCellMar>
      </w:tblPr>
      <w:tblGrid>
        <w:gridCol w:w="407"/>
        <w:gridCol w:w="941"/>
        <w:gridCol w:w="1456"/>
        <w:gridCol w:w="1736"/>
        <w:gridCol w:w="2345"/>
        <w:gridCol w:w="1414"/>
      </w:tblGrid>
      <w:tr>
        <w:tblPrEx>
          <w:tblCellMar>
            <w:top w:w="0" w:type="dxa"/>
            <w:left w:w="108" w:type="dxa"/>
            <w:bottom w:w="0" w:type="dxa"/>
            <w:right w:w="108" w:type="dxa"/>
          </w:tblCellMar>
        </w:tblPrEx>
        <w:trPr>
          <w:trHeight w:val="390" w:hRule="atLeast"/>
          <w:tblHeader/>
        </w:trPr>
        <w:tc>
          <w:tcPr>
            <w:tcW w:w="40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序号</w:t>
            </w:r>
          </w:p>
        </w:tc>
        <w:tc>
          <w:tcPr>
            <w:tcW w:w="941" w:type="dxa"/>
            <w:tcBorders>
              <w:top w:val="single" w:color="auto" w:sz="4" w:space="0"/>
              <w:left w:val="nil"/>
              <w:bottom w:val="single" w:color="auto" w:sz="4" w:space="0"/>
              <w:right w:val="single" w:color="auto" w:sz="4" w:space="0"/>
            </w:tcBorders>
            <w:noWrap/>
            <w:vAlign w:val="center"/>
          </w:tcPr>
          <w:p>
            <w:pPr>
              <w:widowControl/>
              <w:ind w:firstLine="0" w:firstLineChars="0"/>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一级指标</w:t>
            </w:r>
          </w:p>
        </w:tc>
        <w:tc>
          <w:tcPr>
            <w:tcW w:w="1456" w:type="dxa"/>
            <w:tcBorders>
              <w:top w:val="single" w:color="auto" w:sz="4" w:space="0"/>
              <w:left w:val="nil"/>
              <w:bottom w:val="single" w:color="auto" w:sz="4" w:space="0"/>
              <w:right w:val="single" w:color="auto" w:sz="4" w:space="0"/>
            </w:tcBorders>
            <w:noWrap/>
            <w:vAlign w:val="center"/>
          </w:tcPr>
          <w:p>
            <w:pPr>
              <w:widowControl/>
              <w:ind w:firstLine="0" w:firstLineChars="0"/>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二级指标</w:t>
            </w:r>
          </w:p>
        </w:tc>
        <w:tc>
          <w:tcPr>
            <w:tcW w:w="1736" w:type="dxa"/>
            <w:tcBorders>
              <w:top w:val="single" w:color="auto" w:sz="4" w:space="0"/>
              <w:left w:val="nil"/>
              <w:bottom w:val="single" w:color="auto" w:sz="4" w:space="0"/>
              <w:right w:val="single" w:color="auto" w:sz="4" w:space="0"/>
            </w:tcBorders>
            <w:noWrap/>
            <w:vAlign w:val="center"/>
          </w:tcPr>
          <w:p>
            <w:pPr>
              <w:widowControl/>
              <w:ind w:firstLine="0" w:firstLineChars="0"/>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三级指标</w:t>
            </w:r>
          </w:p>
        </w:tc>
        <w:tc>
          <w:tcPr>
            <w:tcW w:w="2345" w:type="dxa"/>
            <w:tcBorders>
              <w:top w:val="single" w:color="auto" w:sz="4" w:space="0"/>
              <w:left w:val="nil"/>
              <w:bottom w:val="single" w:color="auto" w:sz="4" w:space="0"/>
              <w:right w:val="single" w:color="000000" w:sz="4" w:space="0"/>
            </w:tcBorders>
            <w:noWrap/>
            <w:vAlign w:val="center"/>
          </w:tcPr>
          <w:p>
            <w:pPr>
              <w:widowControl/>
              <w:ind w:firstLine="0" w:firstLineChars="0"/>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四级指标</w:t>
            </w:r>
          </w:p>
        </w:tc>
        <w:tc>
          <w:tcPr>
            <w:tcW w:w="1414" w:type="dxa"/>
            <w:tcBorders>
              <w:top w:val="single" w:color="auto" w:sz="4" w:space="0"/>
              <w:left w:val="nil"/>
              <w:bottom w:val="single" w:color="auto" w:sz="4" w:space="0"/>
              <w:right w:val="single" w:color="000000" w:sz="4" w:space="0"/>
            </w:tcBorders>
            <w:noWrap/>
            <w:vAlign w:val="center"/>
          </w:tcPr>
          <w:p>
            <w:pPr>
              <w:widowControl/>
              <w:ind w:firstLine="0" w:firstLineChars="0"/>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目标值</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产出数量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软件产品购置完成率</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=100%</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产出数量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软件开发完成率</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=100%</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系统可靠性</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≥99.9%</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4</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一次性验收合格率</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=100%</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5</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密码测试达标</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通过</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6</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软件测试达标</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通过</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7</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安全测试达标</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通过</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8</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网络安全等级保护</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三级</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9</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安全事件发生次数</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0次</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产出时效</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项目建设周期</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≤6个月</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11</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共性平台</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系统共享水平</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跨部门数据共享程度</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≥80%</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12</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共性平台</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数据质量水平</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核心数据缺失率</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≤4.5%</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13</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共性平台</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平台整合能力</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统筹对接系统数量</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≥30个</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14</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共性平台</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平台整合能力</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覆盖部门数量</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≥15个</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15</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应用系统</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用户使用情况</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月活跃用户量</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≥2500人次/月</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16</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应用系统</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用户使用情况</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系统用户量</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≥100个</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17</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安全体系</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安全建设水平</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系统安全措施</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有</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18</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安全体系</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安全建设水平</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网络安全措施</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有</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19</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安全体系</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安全建设水平</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数据安全措施</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有</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产出成本</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标准化内容支出比例</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7.1%</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21</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通用指标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安全体系</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安全建设水平</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数据风险监测覆盖率</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=100%</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22</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支撑视频并发路数</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≥1250路</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23</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支撑视频接入路数</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≥60万路</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24</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支撑视频加速路数</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≥200路</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25</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支撑视频转发路数</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≥1250路</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26</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支撑前端视频管理路数</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≥1000路</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27</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支撑同时在线用户数</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≥1000人</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28</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支撑并发用户数</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≥200个</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29</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复杂查询响应时间</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≤5秒</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30</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系统视频开流时间</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≤5秒</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31</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产出质量</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系统时钟精度</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＜100毫秒</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32</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效益指标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社会效益</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实现调阅视频资源种类目录数量</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≥80种</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33</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效益指标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社会效益</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全景分览下多模式视频播放切换和应用能力</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实现</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34</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效益指标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社会效益</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实现城运视频调阅处置场景（如：防汛防台、突发火灾、进博会等）</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≥10个</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35</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效益指标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社会效益</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实现“一网统管”视频全域互联</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实现</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36</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效益指标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社会效益</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实现视频接入委办单位数量（含区级城运单位）</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≥25个</w:t>
            </w:r>
          </w:p>
        </w:tc>
      </w:tr>
      <w:tr>
        <w:tblPrEx>
          <w:tblCellMar>
            <w:top w:w="0" w:type="dxa"/>
            <w:left w:w="108" w:type="dxa"/>
            <w:bottom w:w="0" w:type="dxa"/>
            <w:right w:w="108" w:type="dxa"/>
          </w:tblCellMar>
        </w:tblPrEx>
        <w:trPr>
          <w:trHeight w:val="280" w:hRule="atLeast"/>
        </w:trPr>
        <w:tc>
          <w:tcPr>
            <w:tcW w:w="407" w:type="dxa"/>
            <w:tcBorders>
              <w:top w:val="nil"/>
              <w:left w:val="single" w:color="000000" w:sz="4" w:space="0"/>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37</w:t>
            </w:r>
          </w:p>
        </w:tc>
        <w:tc>
          <w:tcPr>
            <w:tcW w:w="941"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业务指标</w:t>
            </w:r>
          </w:p>
        </w:tc>
        <w:tc>
          <w:tcPr>
            <w:tcW w:w="145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效益指标</w:t>
            </w:r>
          </w:p>
        </w:tc>
        <w:tc>
          <w:tcPr>
            <w:tcW w:w="1736"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社会效益</w:t>
            </w:r>
          </w:p>
        </w:tc>
        <w:tc>
          <w:tcPr>
            <w:tcW w:w="2345"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提供视频转发服务委办单位数量（含区级城运单位）</w:t>
            </w:r>
          </w:p>
        </w:tc>
        <w:tc>
          <w:tcPr>
            <w:tcW w:w="1414" w:type="dxa"/>
            <w:tcBorders>
              <w:top w:val="single" w:color="000000" w:sz="4" w:space="0"/>
              <w:left w:val="nil"/>
              <w:bottom w:val="single" w:color="000000" w:sz="4" w:space="0"/>
              <w:right w:val="single" w:color="000000" w:sz="4" w:space="0"/>
            </w:tcBorders>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≥30个</w:t>
            </w:r>
          </w:p>
        </w:tc>
      </w:tr>
    </w:tbl>
    <w:p>
      <w:pPr>
        <w:rPr>
          <w:rFonts w:hint="eastAsia" w:cs="仿宋"/>
          <w:szCs w:val="28"/>
          <w:highlight w:val="none"/>
          <w:lang w:bidi="ar"/>
        </w:rPr>
      </w:pPr>
    </w:p>
    <w:p>
      <w:pPr>
        <w:rPr>
          <w:rFonts w:hint="eastAsia"/>
          <w:highlight w:val="none"/>
          <w:lang w:bidi="ar"/>
        </w:rPr>
      </w:pPr>
    </w:p>
    <w:p>
      <w:pPr>
        <w:pStyle w:val="3"/>
        <w:rPr>
          <w:rFonts w:hint="eastAsia"/>
          <w:highlight w:val="none"/>
        </w:rPr>
      </w:pPr>
      <w:bookmarkStart w:id="11" w:name="_Toc47533288"/>
      <w:bookmarkEnd w:id="11"/>
      <w:bookmarkStart w:id="12" w:name="_Toc47536304"/>
      <w:bookmarkEnd w:id="12"/>
      <w:bookmarkStart w:id="13" w:name="_Toc47536676"/>
      <w:bookmarkEnd w:id="13"/>
      <w:bookmarkStart w:id="14" w:name="_Toc47539102"/>
      <w:bookmarkEnd w:id="14"/>
      <w:bookmarkStart w:id="15" w:name="_Toc47537166"/>
      <w:bookmarkEnd w:id="15"/>
      <w:bookmarkStart w:id="16" w:name="_Toc47532923"/>
      <w:bookmarkEnd w:id="16"/>
      <w:r>
        <w:rPr>
          <w:rFonts w:hint="eastAsia"/>
          <w:highlight w:val="none"/>
        </w:rPr>
        <w:t>项目建设内容</w:t>
      </w:r>
    </w:p>
    <w:p>
      <w:pPr>
        <w:pStyle w:val="4"/>
        <w:ind w:left="425"/>
        <w:rPr>
          <w:rFonts w:hint="eastAsia"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建设内容</w:t>
      </w:r>
    </w:p>
    <w:p>
      <w:pPr>
        <w:ind w:firstLineChars="0"/>
        <w:rPr>
          <w:rFonts w:hint="eastAsia"/>
          <w:highlight w:val="none"/>
        </w:rPr>
      </w:pPr>
      <w:r>
        <w:rPr>
          <w:rFonts w:hint="eastAsia"/>
          <w:highlight w:val="none"/>
        </w:rPr>
        <w:t>市城运“一网统管”视觉中枢系统，旨在建成一套依托全市”一网统管”视频资源服务于“一网统管”城市运行管理业务的视频业务应用系统，具体建设内容包括以下：</w:t>
      </w:r>
    </w:p>
    <w:p>
      <w:pPr>
        <w:pStyle w:val="13"/>
        <w:spacing w:before="120" w:after="120" w:line="360" w:lineRule="auto"/>
        <w:ind w:firstLine="482"/>
        <w:rPr>
          <w:rFonts w:hint="eastAsia" w:ascii="宋体" w:hAnsi="宋体" w:cs="仿宋"/>
          <w:sz w:val="24"/>
          <w:highlight w:val="none"/>
          <w:lang w:bidi="ar"/>
        </w:rPr>
      </w:pPr>
      <w:r>
        <w:rPr>
          <w:rFonts w:hint="eastAsia" w:ascii="宋体" w:hAnsi="宋体" w:cs="仿宋"/>
          <w:b/>
          <w:bCs/>
          <w:sz w:val="24"/>
          <w:highlight w:val="none"/>
          <w:lang w:bidi="ar"/>
        </w:rPr>
        <w:t>视频应用</w:t>
      </w:r>
      <w:r>
        <w:rPr>
          <w:rFonts w:hint="eastAsia" w:ascii="宋体" w:hAnsi="宋体" w:cs="仿宋"/>
          <w:sz w:val="24"/>
          <w:highlight w:val="none"/>
          <w:lang w:bidi="ar"/>
        </w:rPr>
        <w:t>：负责提供围绕城市运行管理的“一网统管”视觉中枢实战业务应用。</w:t>
      </w:r>
    </w:p>
    <w:p>
      <w:pPr>
        <w:pStyle w:val="13"/>
        <w:spacing w:before="120" w:after="120" w:line="360" w:lineRule="auto"/>
        <w:ind w:firstLine="480"/>
        <w:rPr>
          <w:rFonts w:hint="eastAsia" w:ascii="宋体" w:hAnsi="宋体" w:cs="仿宋"/>
          <w:sz w:val="24"/>
          <w:highlight w:val="none"/>
          <w:lang w:bidi="ar"/>
        </w:rPr>
      </w:pPr>
      <w:r>
        <w:rPr>
          <w:rFonts w:hint="eastAsia" w:ascii="宋体" w:hAnsi="宋体" w:cs="仿宋"/>
          <w:sz w:val="24"/>
          <w:highlight w:val="none"/>
          <w:lang w:bidi="ar"/>
        </w:rPr>
        <w:t>（1）</w:t>
      </w:r>
      <w:r>
        <w:rPr>
          <w:rFonts w:hint="eastAsia" w:ascii="宋体" w:hAnsi="宋体" w:cs="仿宋"/>
          <w:b/>
          <w:bCs/>
          <w:sz w:val="24"/>
          <w:highlight w:val="none"/>
          <w:lang w:bidi="ar"/>
        </w:rPr>
        <w:t>视频指挥工作台</w:t>
      </w:r>
      <w:r>
        <w:rPr>
          <w:rFonts w:hint="eastAsia" w:ascii="宋体" w:hAnsi="宋体" w:cs="仿宋"/>
          <w:sz w:val="24"/>
          <w:highlight w:val="none"/>
          <w:lang w:bidi="ar"/>
        </w:rPr>
        <w:t>，围绕城运大厅日常值班及事件处置工作，构建视频指挥工作台以提供分管领导专题化视频驾驶舱调阅能力，实现围绕全市高快速路交通事故告警、高德事故上报、120急救事件、消防事件等在内重点关注事件的事件追踪视频指挥应用模块。</w:t>
      </w:r>
    </w:p>
    <w:p>
      <w:pPr>
        <w:pStyle w:val="13"/>
        <w:spacing w:before="120" w:after="120" w:line="360" w:lineRule="auto"/>
        <w:ind w:firstLine="480"/>
        <w:rPr>
          <w:rFonts w:hint="eastAsia" w:ascii="宋体" w:hAnsi="宋体" w:cs="仿宋"/>
          <w:sz w:val="24"/>
          <w:highlight w:val="none"/>
          <w:lang w:bidi="ar"/>
        </w:rPr>
      </w:pPr>
      <w:r>
        <w:rPr>
          <w:rFonts w:hint="eastAsia" w:ascii="宋体" w:hAnsi="宋体" w:cs="仿宋"/>
          <w:sz w:val="24"/>
          <w:highlight w:val="none"/>
          <w:lang w:bidi="ar"/>
        </w:rPr>
        <w:t>（2）</w:t>
      </w:r>
      <w:r>
        <w:rPr>
          <w:rFonts w:hint="eastAsia" w:ascii="宋体" w:hAnsi="宋体" w:cs="仿宋"/>
          <w:b/>
          <w:bCs/>
          <w:sz w:val="24"/>
          <w:highlight w:val="none"/>
          <w:lang w:bidi="ar"/>
        </w:rPr>
        <w:t>城运24小时</w:t>
      </w:r>
      <w:r>
        <w:rPr>
          <w:rFonts w:hint="eastAsia" w:ascii="宋体" w:hAnsi="宋体" w:cs="仿宋"/>
          <w:sz w:val="24"/>
          <w:highlight w:val="none"/>
          <w:lang w:bidi="ar"/>
        </w:rPr>
        <w:t>，基于城市运行全天候、全周期、多维度体征，提供城运各主题节点的“城运24小时”视频调阅能力，着力构建城运日常视频预案积累和经验沉淀机制，为市委、市府主要领导各场景专项工作调度提供体系化、可视化、主题化的视频调阅能力。</w:t>
      </w:r>
    </w:p>
    <w:p>
      <w:pPr>
        <w:pStyle w:val="13"/>
        <w:spacing w:before="120" w:after="120" w:line="360" w:lineRule="auto"/>
        <w:ind w:firstLine="480"/>
        <w:rPr>
          <w:rFonts w:hint="eastAsia" w:ascii="宋体" w:hAnsi="宋体" w:cs="仿宋"/>
          <w:sz w:val="24"/>
          <w:highlight w:val="none"/>
          <w:lang w:bidi="ar"/>
        </w:rPr>
      </w:pPr>
      <w:r>
        <w:rPr>
          <w:rFonts w:hint="eastAsia" w:ascii="宋体" w:hAnsi="宋体" w:cs="仿宋"/>
          <w:sz w:val="24"/>
          <w:highlight w:val="none"/>
          <w:lang w:bidi="ar"/>
        </w:rPr>
        <w:t>（3）</w:t>
      </w:r>
      <w:r>
        <w:rPr>
          <w:rFonts w:hint="eastAsia" w:ascii="宋体" w:hAnsi="宋体" w:cs="仿宋"/>
          <w:b/>
          <w:bCs/>
          <w:sz w:val="24"/>
          <w:highlight w:val="none"/>
          <w:lang w:bidi="ar"/>
        </w:rPr>
        <w:t>城运视频编辑应用</w:t>
      </w:r>
      <w:r>
        <w:rPr>
          <w:rFonts w:hint="eastAsia" w:ascii="宋体" w:hAnsi="宋体" w:cs="仿宋"/>
          <w:sz w:val="24"/>
          <w:highlight w:val="none"/>
          <w:lang w:bidi="ar"/>
        </w:rPr>
        <w:t>，围绕市级城市运行管理中主要城际道口、市内交通、防汛防台等领导调度指挥要求，提供灵活便捷的视频画面编辑应用能力，打造视频数据弹幕编辑可视化、视频指挥画板可视化、视频布局可编辑化等视频编辑模块。</w:t>
      </w:r>
    </w:p>
    <w:p>
      <w:pPr>
        <w:pStyle w:val="13"/>
        <w:spacing w:before="120" w:after="120" w:line="360" w:lineRule="auto"/>
        <w:ind w:firstLine="480"/>
        <w:rPr>
          <w:rFonts w:hint="eastAsia" w:ascii="宋体" w:hAnsi="宋体" w:cs="仿宋"/>
          <w:sz w:val="24"/>
          <w:highlight w:val="none"/>
          <w:lang w:bidi="ar"/>
        </w:rPr>
      </w:pPr>
      <w:r>
        <w:rPr>
          <w:rFonts w:hint="eastAsia" w:ascii="宋体" w:hAnsi="宋体" w:cs="仿宋"/>
          <w:sz w:val="24"/>
          <w:highlight w:val="none"/>
          <w:lang w:bidi="ar"/>
        </w:rPr>
        <w:t>（4）</w:t>
      </w:r>
      <w:r>
        <w:rPr>
          <w:rFonts w:hint="eastAsia" w:ascii="宋体" w:hAnsi="宋体" w:cs="仿宋"/>
          <w:b/>
          <w:bCs/>
          <w:sz w:val="24"/>
          <w:highlight w:val="none"/>
          <w:lang w:bidi="ar"/>
        </w:rPr>
        <w:t>城运智能化探索应用</w:t>
      </w:r>
      <w:r>
        <w:rPr>
          <w:rFonts w:hint="eastAsia" w:ascii="宋体" w:hAnsi="宋体" w:cs="仿宋"/>
          <w:sz w:val="24"/>
          <w:highlight w:val="none"/>
          <w:lang w:bidi="ar"/>
        </w:rPr>
        <w:t>，按照“适度超前、探索创新”的原则，结合开源多模态大模型技术发展，以小范围视频资源为基础，轻量化搭建城运业务视频联动智能化应用，探索开展城市AI标签、机器找点和城运图生文数据集应用等创新应用，形成可面向全市“一网统管”单位联动共享的智能化应用成果。</w:t>
      </w:r>
    </w:p>
    <w:p>
      <w:pPr>
        <w:pStyle w:val="13"/>
        <w:spacing w:before="120" w:after="120" w:line="360" w:lineRule="auto"/>
        <w:ind w:firstLine="482"/>
        <w:rPr>
          <w:rFonts w:hint="eastAsia" w:ascii="宋体" w:hAnsi="宋体" w:cs="仿宋"/>
          <w:sz w:val="24"/>
          <w:highlight w:val="none"/>
          <w:lang w:bidi="ar"/>
        </w:rPr>
      </w:pPr>
      <w:r>
        <w:rPr>
          <w:rFonts w:hint="eastAsia" w:ascii="宋体" w:hAnsi="宋体" w:cs="仿宋"/>
          <w:b/>
          <w:bCs/>
          <w:sz w:val="24"/>
          <w:highlight w:val="none"/>
          <w:lang w:bidi="ar"/>
        </w:rPr>
        <w:t>统一支撑</w:t>
      </w:r>
      <w:r>
        <w:rPr>
          <w:rFonts w:hint="eastAsia" w:ascii="宋体" w:hAnsi="宋体" w:cs="仿宋"/>
          <w:sz w:val="24"/>
          <w:highlight w:val="none"/>
          <w:lang w:bidi="ar"/>
        </w:rPr>
        <w:t>：负责“一网统管”视觉中枢的对城运内业务能力支撑及围绕城市运行管理的业务联动支撑。</w:t>
      </w:r>
    </w:p>
    <w:p>
      <w:pPr>
        <w:pStyle w:val="13"/>
        <w:spacing w:before="120" w:after="120" w:line="360" w:lineRule="auto"/>
        <w:ind w:firstLine="480"/>
        <w:rPr>
          <w:rFonts w:hint="eastAsia" w:ascii="宋体" w:hAnsi="宋体" w:cs="仿宋"/>
          <w:sz w:val="24"/>
          <w:highlight w:val="none"/>
          <w:lang w:bidi="ar"/>
        </w:rPr>
      </w:pPr>
      <w:r>
        <w:rPr>
          <w:rFonts w:hint="eastAsia" w:ascii="宋体" w:hAnsi="宋体" w:cs="仿宋"/>
          <w:sz w:val="24"/>
          <w:highlight w:val="none"/>
          <w:lang w:bidi="ar"/>
        </w:rPr>
        <w:t>（1）</w:t>
      </w:r>
      <w:r>
        <w:rPr>
          <w:rFonts w:hint="eastAsia" w:ascii="宋体" w:hAnsi="宋体" w:cs="仿宋"/>
          <w:b/>
          <w:bCs/>
          <w:sz w:val="24"/>
          <w:highlight w:val="none"/>
          <w:lang w:bidi="ar"/>
        </w:rPr>
        <w:t>城运业务支撑</w:t>
      </w:r>
      <w:r>
        <w:rPr>
          <w:rFonts w:hint="eastAsia" w:ascii="宋体" w:hAnsi="宋体" w:cs="仿宋"/>
          <w:sz w:val="24"/>
          <w:highlight w:val="none"/>
          <w:lang w:bidi="ar"/>
        </w:rPr>
        <w:t>，依托全市已建”一网统管”视频资源，实现本市”一网统管”视频资源的接入和流数据能力，形成满足本市”一网统管”视频资源接入规模和治理能效的流媒体联网和处理能力；完善本市社会面、行业单位和互联网的视频资源联网和流数据处理能力，通过对互联网行业专网公共视频数据的深化管理，实现对全市社会面互联网和行业专网视频资源基础数据、视频业务数据以及视频运营数据等全要素信息的深化管理；围绕市领导针对市城运中心指挥大厅及多场所移动指挥部工作开展的需要，提供不同场地大屏的视频上墙软件能力，实现不同指挥场所快速视频要素上屏的灵活搭建能力，为市政府各专项指挥移动指挥部提供视频能力支撑。</w:t>
      </w:r>
    </w:p>
    <w:p>
      <w:pPr>
        <w:pStyle w:val="13"/>
        <w:spacing w:before="120" w:after="120" w:line="360" w:lineRule="auto"/>
        <w:ind w:firstLine="480"/>
        <w:rPr>
          <w:rFonts w:hint="eastAsia" w:ascii="宋体" w:hAnsi="宋体" w:cs="仿宋"/>
          <w:sz w:val="24"/>
          <w:highlight w:val="none"/>
          <w:lang w:bidi="ar"/>
        </w:rPr>
      </w:pPr>
      <w:r>
        <w:rPr>
          <w:rFonts w:hint="eastAsia" w:ascii="宋体" w:hAnsi="宋体" w:cs="仿宋"/>
          <w:sz w:val="24"/>
          <w:highlight w:val="none"/>
          <w:lang w:bidi="ar"/>
        </w:rPr>
        <w:t>（2）</w:t>
      </w:r>
      <w:r>
        <w:rPr>
          <w:rFonts w:hint="eastAsia" w:ascii="宋体" w:hAnsi="宋体" w:cs="仿宋"/>
          <w:b/>
          <w:bCs/>
          <w:sz w:val="24"/>
          <w:highlight w:val="none"/>
          <w:lang w:bidi="ar"/>
        </w:rPr>
        <w:t>联动业务支撑</w:t>
      </w:r>
      <w:r>
        <w:rPr>
          <w:rFonts w:hint="eastAsia" w:ascii="宋体" w:hAnsi="宋体" w:cs="仿宋"/>
          <w:sz w:val="24"/>
          <w:highlight w:val="none"/>
          <w:lang w:bidi="ar"/>
        </w:rPr>
        <w:t>，按照全市各“一网统管”单位围绕城市运行管理的实战联动迫切需求，为高效提供和保障全市接入”一网统管”视频资源的实战实效，建设视频点位坐标纠偏和视频动静态加速管理模块；为实现全市各单位高效视频业务联动指挥，提供便捷化联动需求申请及业务联动管理模块，实现对城市运行管理“一网统管”的业务联动视频能力统一支撑。</w:t>
      </w:r>
    </w:p>
    <w:p>
      <w:pPr>
        <w:pStyle w:val="13"/>
        <w:spacing w:before="120" w:after="120" w:line="360" w:lineRule="auto"/>
        <w:ind w:firstLine="482"/>
        <w:rPr>
          <w:rFonts w:hint="eastAsia" w:ascii="宋体" w:hAnsi="宋体" w:cs="仿宋"/>
          <w:sz w:val="24"/>
          <w:highlight w:val="none"/>
          <w:lang w:bidi="ar"/>
        </w:rPr>
      </w:pPr>
      <w:r>
        <w:rPr>
          <w:rFonts w:hint="eastAsia" w:ascii="宋体" w:hAnsi="宋体" w:cs="仿宋"/>
          <w:b/>
          <w:bCs/>
          <w:sz w:val="24"/>
          <w:highlight w:val="none"/>
          <w:lang w:bidi="ar"/>
        </w:rPr>
        <w:t>统一赋能：</w:t>
      </w:r>
      <w:r>
        <w:rPr>
          <w:rFonts w:hint="eastAsia" w:ascii="宋体" w:hAnsi="宋体" w:cs="仿宋"/>
          <w:sz w:val="24"/>
          <w:highlight w:val="none"/>
          <w:lang w:bidi="ar"/>
        </w:rPr>
        <w:t>负责“一网统管”视觉中枢实现全方位、各层级视频能力高效联动赋能的整体看板管理和多形式联动赋能的管理。通过构建视频赋能态势分析、视频协议赋能、多类别丰富视频能力和业务联动申请等支撑模块，基于统一赋能出口和统一协议标准，以全域统一的实名证书为基础构建横向到边、纵向到底的赋能体系，实现全市“一网统管”统一的视频能力业务赋能出口管理。</w:t>
      </w:r>
    </w:p>
    <w:p>
      <w:pPr>
        <w:ind w:firstLine="482"/>
        <w:rPr>
          <w:rFonts w:hint="eastAsia" w:cs="仿宋"/>
          <w:highlight w:val="none"/>
          <w:lang w:bidi="ar"/>
        </w:rPr>
      </w:pPr>
      <w:r>
        <w:rPr>
          <w:rFonts w:hint="eastAsia" w:cs="仿宋"/>
          <w:b/>
          <w:bCs/>
          <w:highlight w:val="none"/>
          <w:lang w:bidi="ar"/>
        </w:rPr>
        <w:t>视频安全：</w:t>
      </w:r>
      <w:r>
        <w:rPr>
          <w:rFonts w:hint="eastAsia" w:cs="仿宋"/>
          <w:highlight w:val="none"/>
          <w:lang w:bidi="ar"/>
        </w:rPr>
        <w:t>负责提供“一网统管”视觉中枢的全链路多维度跨环节的视频应用安全管理，构建持续可靠的视频数据安全风控体系，实现视频图像数据在汇聚、存储、治理、应用过程中的全链路安全保障。负责全市基于“视觉中枢”进行的视频数据业务联动的用户权限和角色权限的精细化管理，通过构建用户分级配置、用户视频运行统计、功能权限、设备权限、服务权限和视频预案数据权限等在内的多层次、全方位权限体系，实现全市“一网统管”各部门基于统一共享中枢的视频能力有序联动。</w:t>
      </w:r>
    </w:p>
    <w:p>
      <w:pPr>
        <w:pStyle w:val="2"/>
        <w:rPr>
          <w:rFonts w:hint="eastAsia" w:ascii="宋体" w:hAnsi="宋体" w:cs="仿宋"/>
          <w:sz w:val="24"/>
          <w:highlight w:val="none"/>
          <w:lang w:bidi="ar"/>
        </w:rPr>
      </w:pPr>
    </w:p>
    <w:p>
      <w:pPr>
        <w:pStyle w:val="2"/>
        <w:rPr>
          <w:rFonts w:hint="eastAsia" w:ascii="宋体" w:hAnsi="宋体" w:cs="仿宋"/>
          <w:sz w:val="24"/>
          <w:highlight w:val="none"/>
          <w:lang w:bidi="ar"/>
        </w:rPr>
      </w:pPr>
    </w:p>
    <w:p>
      <w:pPr>
        <w:pStyle w:val="2"/>
        <w:rPr>
          <w:rFonts w:hint="eastAsia" w:ascii="宋体" w:hAnsi="宋体" w:cs="仿宋"/>
          <w:sz w:val="24"/>
          <w:highlight w:val="none"/>
          <w:lang w:bidi="ar"/>
        </w:rPr>
      </w:pPr>
    </w:p>
    <w:p>
      <w:pPr>
        <w:pStyle w:val="4"/>
        <w:ind w:left="425"/>
        <w:rPr>
          <w:rFonts w:hint="eastAsia" w:asciiTheme="minorEastAsia" w:hAnsiTheme="minorEastAsia" w:eastAsiaTheme="minorEastAsia"/>
          <w:sz w:val="28"/>
          <w:szCs w:val="28"/>
          <w:highlight w:val="none"/>
          <w:lang w:bidi="ar"/>
        </w:rPr>
      </w:pPr>
      <w:r>
        <w:rPr>
          <w:rFonts w:hint="eastAsia" w:asciiTheme="minorEastAsia" w:hAnsiTheme="minorEastAsia" w:eastAsiaTheme="minorEastAsia"/>
          <w:sz w:val="28"/>
          <w:szCs w:val="28"/>
          <w:highlight w:val="none"/>
          <w:lang w:bidi="ar"/>
        </w:rPr>
        <w:t>软件开发清单</w:t>
      </w:r>
    </w:p>
    <w:tbl>
      <w:tblPr>
        <w:tblStyle w:val="36"/>
        <w:tblW w:w="843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153"/>
        <w:gridCol w:w="1698"/>
        <w:gridCol w:w="5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kern w:val="0"/>
                <w:sz w:val="21"/>
                <w:szCs w:val="21"/>
                <w:highlight w:val="none"/>
                <w:lang w:bidi="ar"/>
              </w:rPr>
              <w:t>序号</w:t>
            </w:r>
          </w:p>
        </w:tc>
        <w:tc>
          <w:tcPr>
            <w:tcW w:w="1153" w:type="dxa"/>
            <w:vAlign w:val="center"/>
          </w:tcPr>
          <w:p>
            <w:pPr>
              <w:widowControl/>
              <w:ind w:firstLine="0" w:firstLineChars="0"/>
              <w:jc w:val="center"/>
              <w:textAlignment w:val="center"/>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kern w:val="0"/>
                <w:sz w:val="21"/>
                <w:szCs w:val="21"/>
                <w:highlight w:val="none"/>
                <w:lang w:bidi="ar"/>
              </w:rPr>
              <w:t>模块名称</w:t>
            </w: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kern w:val="0"/>
                <w:sz w:val="21"/>
                <w:szCs w:val="21"/>
                <w:highlight w:val="none"/>
                <w:lang w:bidi="ar"/>
              </w:rPr>
              <w:t>功能名称</w:t>
            </w:r>
          </w:p>
        </w:tc>
        <w:tc>
          <w:tcPr>
            <w:tcW w:w="5033" w:type="dxa"/>
            <w:vAlign w:val="center"/>
          </w:tcPr>
          <w:p>
            <w:pPr>
              <w:ind w:firstLine="422"/>
              <w:jc w:val="center"/>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kern w:val="0"/>
                <w:sz w:val="21"/>
                <w:szCs w:val="21"/>
                <w:highlight w:val="none"/>
                <w:lang w:bidi="ar"/>
              </w:rPr>
              <w:t>1</w:t>
            </w:r>
          </w:p>
        </w:tc>
        <w:tc>
          <w:tcPr>
            <w:tcW w:w="1153" w:type="dxa"/>
            <w:vMerge w:val="restart"/>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视频应用</w:t>
            </w: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kern w:val="0"/>
                <w:sz w:val="21"/>
                <w:szCs w:val="21"/>
                <w:highlight w:val="none"/>
                <w:lang w:bidi="ar"/>
              </w:rPr>
              <w:t>三类突发事件信息智能定位</w:t>
            </w:r>
          </w:p>
        </w:tc>
        <w:tc>
          <w:tcPr>
            <w:tcW w:w="5033" w:type="dxa"/>
            <w:vAlign w:val="center"/>
          </w:tcPr>
          <w:p>
            <w:pPr>
              <w:widowControl/>
              <w:ind w:firstLine="0" w:firstLineChars="0"/>
              <w:textAlignment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kern w:val="0"/>
                <w:sz w:val="21"/>
                <w:szCs w:val="21"/>
                <w:highlight w:val="none"/>
                <w:lang w:bidi="ar"/>
              </w:rPr>
              <w:t>接入交通事故、消防突发事件、120急救事件，提供视频 POI 定位，实现快速撒点。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三类突发事件信息展示</w:t>
            </w:r>
          </w:p>
        </w:tc>
        <w:tc>
          <w:tcPr>
            <w:tcW w:w="5033" w:type="dxa"/>
            <w:vAlign w:val="center"/>
          </w:tcPr>
          <w:p>
            <w:pPr>
              <w:widowControl/>
              <w:ind w:firstLine="0" w:firstLineChars="0"/>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列表展示三类事件信息，支持筛选检索，定时更新，可查详情。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3</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三类突发事件视频联动</w:t>
            </w:r>
          </w:p>
        </w:tc>
        <w:tc>
          <w:tcPr>
            <w:tcW w:w="5033" w:type="dxa"/>
            <w:vAlign w:val="center"/>
          </w:tcPr>
          <w:p>
            <w:pPr>
              <w:widowControl/>
              <w:ind w:firstLine="0" w:firstLineChars="0"/>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点击事件详情查看视频，自定义范围，智能排序，多图层显示。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4</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三类突发事件视频GIS控制</w:t>
            </w:r>
          </w:p>
        </w:tc>
        <w:tc>
          <w:tcPr>
            <w:tcW w:w="5033" w:type="dxa"/>
            <w:vAlign w:val="center"/>
          </w:tcPr>
          <w:p>
            <w:pPr>
              <w:widowControl/>
              <w:ind w:firstLine="0" w:firstLineChars="0"/>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实现按照摄像机位置类型进行图层控制；实现在gis地图上叠加里程桩信息、路况拥堵信息；实现在gis地图上对事件进行撒点，对对事件信息进行查看；实现展示地图上设备点位信息。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5</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视频接力路线配置及管理</w:t>
            </w:r>
          </w:p>
        </w:tc>
        <w:tc>
          <w:tcPr>
            <w:tcW w:w="5033" w:type="dxa"/>
            <w:vAlign w:val="center"/>
          </w:tcPr>
          <w:p>
            <w:pPr>
              <w:widowControl/>
              <w:ind w:firstLine="0" w:firstLineChars="0"/>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实现视频接力路线的配置及管理，含任务与线路增删改、信息配置、设备排序调整及任务查询调用。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6</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视频接力任务执行</w:t>
            </w:r>
          </w:p>
        </w:tc>
        <w:tc>
          <w:tcPr>
            <w:tcW w:w="5033" w:type="dxa"/>
            <w:vAlign w:val="center"/>
          </w:tcPr>
          <w:p>
            <w:pPr>
              <w:widowControl/>
              <w:ind w:firstLine="0" w:firstLineChars="0"/>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实现接力任务执行服务，含模拟 / 实时定位执行、自动 / 手动切视频画面。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7</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noWrap/>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调阅驾驶舱全景分览概览</w:t>
            </w:r>
          </w:p>
        </w:tc>
        <w:tc>
          <w:tcPr>
            <w:tcW w:w="5033" w:type="dxa"/>
            <w:vAlign w:val="center"/>
          </w:tcPr>
          <w:p>
            <w:pPr>
              <w:widowControl/>
              <w:ind w:firstLine="0" w:firstLineChars="0"/>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实现全市视频全景分览检索、概览展示和检索应用，按领导分管展资源、做检索统计，还能统计区域设备、支持多方式搜设备并排序。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8</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noWrap/>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调阅驾驶舱视频播放组件</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实现多模式视频播放切换和应用能力，含多画面显示、播放器画面增强，视频录像、截图、点位搜藏、历史回访、倍数播放等。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9</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工作台视频全要素呈现</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实现全天按各时段视频全要素呈现，含自动匹配视频、状态更新，支持业务切换，叠天气动效、显设备信息。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10</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24小时工作台专题自动巡播</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实现视频专题自动轮巡，能按日期选高优业务模式、按时点执行专题，自动更新时间轴并动态调编排位置。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11</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24小时工作台时序控制</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实现24h 工作台时间轴控制，日 / 月 / 重要节点视图各展信息并突出当前，支持拖动定位与专题快速切换。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12</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视频专题编排管理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 xml:space="preserve">实现视频专题编排基础管理，支持卡片 / </w:t>
            </w:r>
            <w:r>
              <w:rPr>
                <w:rFonts w:asciiTheme="minorEastAsia" w:hAnsiTheme="minorEastAsia" w:eastAsiaTheme="minorEastAsia" w:cstheme="minorEastAsia"/>
                <w:kern w:val="0"/>
                <w:sz w:val="21"/>
                <w:szCs w:val="21"/>
                <w:highlight w:val="none"/>
                <w:lang w:bidi="ar"/>
              </w:rPr>
              <w:t>列表展信息、自动生成封面，可执行编辑等操作，实现视频专题的克隆与查询</w:t>
            </w:r>
            <w:r>
              <w:rPr>
                <w:rFonts w:hint="eastAsia" w:asciiTheme="minorEastAsia" w:hAnsiTheme="minorEastAsia" w:eastAsiaTheme="minorEastAsia" w:cstheme="minorEastAsia"/>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13</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视频专题编排配置</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提供专题分组、运行周期、分组信息进行配置管理。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14</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轮巡播放规则定义</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实现专题编排下各分组下专题执行顺序定义，支持分组编号排序更新，可拖拽调视频顺序（跨分组），按分组顺序轮巡等。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15</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业务模式管理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提供业务模式基础信息管理，实现以列表或卡片视图展示业务模式信息。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16</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24小时应用配置</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提供日常工作、重大节点、专项任务场景下业务信息配置管理，实现业务信息配置。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17</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视频弹幕应用及显示控制</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提供视频弹幕显示、位置、动效等控制能力，实现弹幕显隐、位置、轮播间隔等；实现视频轮播过程中快速弹幕编辑上屏，实现将视频AI标签作为弹幕显示应用；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18</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视频弹幕内容信息管理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实现自定义弹幕内容；实现配置弹幕内容是否全部用户可见；实现历史弹幕数据增、删、改等操作，实现列表展示全量弹幕数据；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19</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视频弹幕快速检索点位</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提供通过视频弹幕内容快速检索定位视频点位能力，实现通过设备检索栏输入弹幕文字内容；实现相同视频弹幕内容视频点位快速一键轮巡播放、快速编组专题；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20</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视频指挥画板内容标注标记</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实现在单个视频画面或多个视频画面内通过文字，划线，箭头等对指挥要素信息快速标注。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21</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视频指挥画板内容管理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实现对已标注文字颜色进行配置；实现对已标注剪头、线条内容进行配置；实现一键清除设备上所有标注画板信息；实现已选中的单个标注信息快速删除和编辑；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22</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移动指挥部场所信息配置</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实现移动指挥部视频布局配置管理，树形展示信息，支持编辑删除及布局统计。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23</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移动指挥部屏幕布局管理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提供移动指挥部屏幕布局管理，实现对布局信息进行编辑、克隆、删除、设定默认布局操作；实现以卡片视图展示屏幕布局信息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24</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移动指挥部屏幕布局配置</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实现通过拖拽布局边缘，动态调整布局行和列间距大小；实现选定一个屏幕布局作为系统默认布局，实现系统初始化布局配置。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25</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城市AI标签应用</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提供AI标签视频点位智能化高效检索能力，实现按照智能打标、智能发现两类AI标签对视频进行快速检索。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26</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智能打标任务管理</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实现按照行政区划、类型、预案分组、快照分组等快速建立智能打标点位集合；实现快速创建智能打标AI标签任务。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27</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城市AI标签生成</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提供全市AI标签的结果生成和提取能力，实现图片理解任务从大模型理解结果中根据指标名称自动提取一个或多个指标的数值。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28</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实时快照秒级更新</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提供特定事发现场区域范围内视频点位、固定道路名称相似视频点位、特定标签筛选视频点位的快速建组，并通过“实时快照更新”实现不少于200个点位的瞬时（不超过60秒）快照拉取预览。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29</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经典机器找点模型配置</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提供不低于6个机器找点模型配置能力，实现机器找点算法与理解指标关联；支持组合创任务、推算法，展示快照及统计结果。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30</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机器找点模型实时计算</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实现多类视频点位快速计算与实时更新能力，实现模型计算结果与快照实时更新结果同步比对预览。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31</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找点结果便捷处置</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实现对任务快照图片进行转存至系统多媒体图片库；实现对任务快照关联设备进行历史录像存储，存储文件保存在系统多媒体视频库。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32</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图生文数据集配置</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设备理解结果信息管理。实现以设备为维度，自动关联设备所有的理解任务数据；实现以列表或卡片视图展示数据集信息；实现对数据集进行编辑、删除、查看详情操作；实现数据集类目管理；实现对类目进行新增子类目、删除、编辑、查询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33</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图生文内容管理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提供数据集版本信息管理。实现对数据集进行版本管理，包括新建、编辑、删除、查看详情操作，以及创建日期、版本号查询数据集版本功能。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34</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图生文共享管理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实现数据集共享审核管理，含权限配置、申请操作与记录展示，支持申请撤回、查询及审核操作，可查自建数据集审核信息。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35</w:t>
            </w:r>
          </w:p>
        </w:tc>
        <w:tc>
          <w:tcPr>
            <w:tcW w:w="1153" w:type="dxa"/>
            <w:vMerge w:val="restart"/>
            <w:vAlign w:val="center"/>
          </w:tcPr>
          <w:p>
            <w:pPr>
              <w:widowControl/>
              <w:ind w:firstLine="0" w:firstLineChars="0"/>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统一支撑</w:t>
            </w: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联动申请管理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提供根据申请单审批状态对申请单状态进行管理，审批通过后自动更新用户资源状态、创建临时角色及跨平台专题资源。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36</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联动视频点位资源申请</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提供平台内用户、跨平台用户、赋能用户设备资源申请管理，支持展示查询、撤回编辑、多方式查设备，配置权限及删除，跨平台用户可筛设备。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37</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联动视频专题资源申请</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提供跨平台用户专题资源申请管理。支持展示查询专题范围与申请信息，可配置、编辑、删除、撤回申请单。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38</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联动视频API能力申请</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提供赋能用户API接口调用资源申请管理。实现 API 接口列表展示与查询，支持赋能用户配置申请信息，可展示、编辑、删除、撤回申请单，允许二次编辑。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39</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联动视频应用申请</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提供平台内用户系统功能资源申请管理。支持平台内用户配置功能资源申请信息，可展示、编辑、删除、撤回申请单，允许二次编辑。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40</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联动资源发布</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提供设备资源和专题资源共享范围配置管理，实现展示设备资源共享范围。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41</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联动申请审批</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提供资源申请单审批管理，可列表查、多条件查申请，设备 / 功能申请各有展示，审核后站内消息通知申请人。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42</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视频动静态加速支撑配置</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提供视频点位动静态加速管理，实现重点视频点位快速开流。实现配置静态加速设备资源总量、动态加速设备资源总量及资源释放时间；实现新增、移除、导入加速设备。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43</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视频动静态加速支撑统计</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提供视频流加速处理的效果统计，支撑加速资源的配比合理性调整。实现静态加速统计，包括启动状态、取流状态、断流状态；实现动态加速统计，包括启动状态，取流状态、断流状态。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44</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视频动静态加速任务管理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提供加速任务详情查看，包括加速设备的名称、加速类型、取流状态、断流时间、断流次数；实现按照加速类型、取流状态筛选查询当前加速处理的视频设备。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45</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视频点位状态列表</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提供视频点位坐标治理状态应用服务，实现未标点设备和已标点设备在设备资源树上区别展示；实现设备标点状态实时更新，未标点设备标记后变为已标点设备。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46</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视频点位坐标修正</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视频点位坐标修改应用服务，实现根据设备信息及标签信息查询设备标点状态；未标点设备，实现通过拖拽修改点位在gis地图上坐标位置；已标点设备，实现通过点击设备点位，gis地图上联动展示设备撒点信息，包括设备经纬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47</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多媒体文件管理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提供视频、图片文件管理应用服务，实现多媒体浏览、多媒体收藏，多媒体详情查看，编辑、下载、分享、多组件检索能力。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48</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多媒体关联事件配置</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提供事件定义管理应用服务，实现按照事件管理多媒体资源，通过事件名称、事件创建日期、事件类型和上传来源查询筛选事件。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49</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多媒体文件收藏管理</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提供多媒体文件的用户收藏管理应用，包括：实现列表展示当前系统内多媒体图片、视频、事件收藏信息；实现通过多媒体/事件名称、创建日期、事件类型、上传来源查询筛选收藏信息。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50</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文件资源统计分析</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提供多媒体库综合分析应用，包括文件大小、共享情况、入库数量趋势、文件用途等维度分析统计。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51</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视觉拼控分类管理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提供拼控模板分类管理，支持分类列表展示与增删改，模板卡片展示、删查与名称查询操作。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6"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52</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视觉拼控模板配置</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提供拼控模板配置管理，支持多方式筛选查询设备、切换视图、调整 / 删除暂存架设备，配置模板基础信息与地图查看，实现清屏、配置天气 / 日历 / 图片 / 文本工具并预览文本。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53</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视觉拼控执行应用</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提供拼控执行管理，列表展示模板，自动切换设备，支持播放控制、扩展屏执行及快速切换上下页设备。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54</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视频质量AI分析任务管理</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 AI 视频质量分析应用，支持诊断任务管理、查询、统计，可配置参数，查看导出结果，以卡片列表展示详情。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55</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视频质量AI分析结果统计</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提供质量分析结果周期分析应用，多维度查询设备质量 / 信息，支持统计、导出及生成统计图，按故障类型分类统计。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56</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社会面视频资源接入对接</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提供社会面视频设备 / 平台接入管理，支持多协议接入与国标编号分配，同步设备、管理目录，可查同步记录及校验资源变化。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57</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社会面视频资源治理-设备信息管理</w:t>
            </w:r>
          </w:p>
        </w:tc>
        <w:tc>
          <w:tcPr>
            <w:tcW w:w="5033" w:type="dxa"/>
            <w:vAlign w:val="bottom"/>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实现为社会视频资源设备建立信息档案，提供展示查询、实时更新状态，监控异常，记维护变更，支持数据导出备份。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58</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社会面视频资源治理-设备资源治理</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按社会视频资源来源建立设备信息治理能力，包括针对获取的设备相关信息的自动校验、自动治理、手动治理；对下级平台上传的设备属性字段自动治理；字段映射、字段空值填充；添加治理规则，记录治理时间、治理前属性值、治理后属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59</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社会面视频资源治理-设备自动轮巡</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提供社会面视频资源自动轮巡能力，支持任务配置、执行控制与结果管理，可查询、导出信息及查看详情。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60</w:t>
            </w:r>
          </w:p>
        </w:tc>
        <w:tc>
          <w:tcPr>
            <w:tcW w:w="1153" w:type="dxa"/>
            <w:vMerge w:val="restart"/>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统一赋能</w:t>
            </w: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赋能态势分析</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提供视频资源整体态势展示，含多维度设备分析、流媒 / 加速资源使用，统计开流等数据并可视化，呈现平台资源总数。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61</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赋能趋势分析</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实现查看平台赋能系统、组织、用户的分布与使用，可视化展示并按频次排行，实现查看标签分布与检索趋势及服务统计。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62</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视频应用协议共享-28181共享</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提供GB/T 28181协议共享功能。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63</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视频应用协议共享-RTSP共享</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提供RTSP协议共享功能。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64</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视频应用能力共享-视频播放器共享</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提供视频播放器共享，支持第三方调用功能，可选视频服务接口，有多种开流机制，能配置流媒体最大并发调阅数量。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65</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视频应用能力共享-iframe页面嵌入共享</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提供系统视频应用的iframe页面嵌入的快捷共享能力。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66</w:t>
            </w:r>
          </w:p>
        </w:tc>
        <w:tc>
          <w:tcPr>
            <w:tcW w:w="1153" w:type="dxa"/>
            <w:vMerge w:val="restart"/>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视频安全</w:t>
            </w: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高频调用用户风险模型</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对高频调用的用户进行自动识别；对高频调用的用户提示风险告警信息。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67</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贴额调用用户风险模型</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对调用次数贴近其调用额度的用户进行自动识别；对贴额调用的用户提示风险告警信息。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68</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沉寂用户风险模型</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对长期未使用系统服务的用户进行自动识别；对沉寂用户提示风险告警信息。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69</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高频调用系统风险模型</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对被高频率调用的系统进行自动识别；对被高频率调用的系统提示风险告警信息。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70</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沉寂系统风险模型</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对长期未被调用的系统进行自动识别；对长期未被调用的系统提示风险告警信息。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71</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未授权角色风险模型</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对长期未授权用户的角色信息进行自动识别；对长期未授权用户的功能角色提示风险告警信息。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72</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高并发设备风险模型</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对被高并发调阅的设备进行自动识别；对被高并发调阅的设备提示风险告警信息。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73</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高频调用失败设备风险模型</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对频繁出现调阅失败的设备进行自动识别；对高频调用失败设备提示风险告警信息。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74</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高并发调用服务风险模型</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对被高并发调用服务进行自动识别；对被高并发调用服务提示风险告警信息。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75</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高频调用失败服务风险模型</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对频繁出现调用失败的服务进行自动识别；对调用失败的服务提示风险告警信息。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76</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沉寂服务风险模型</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对长期未被调用的服务进行自动识别；对长期未被调用的服务提示风险告警信息。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77</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风控指标</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注册风险模型信息，包括风险模型名称、风险类型、风险识别项；配置风险模型规则，包括触发条件，风险处置人员。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78</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告警管理</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提供风险告警展示功能，列表展示风险告警；根据告警类型、时段和告警级别查询告警结果。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79</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告警推送</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对不同风险等级的告警信息，通知不同的相关人员；根据风险告警的类型、级别，将告警按照设定的策略推送给系统设定的处置人员。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80</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风险概况</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实现以统计看板了解系统风险与风控，可自定义周期查近周 / 月风险统计结果。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81</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风控指数</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实现查看风控综合指数与评级，雷达图展示风险类型指数，按周期展示指数变化趋势。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82</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重大风险发现与处理</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查看在统计周期内产生的重大风险的数量，以及各个风险检测对象中涉及重大风险的数量及环比涨跌幅，在统计周期内产生的重大风险的处理率，以及环比涨跌幅。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83</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风险排行</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查看统计周期内最高频的top10风险项及其预警次数，与最高频的top10预警对象及其预警次数。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84</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地址映射</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识别并区分设备或平台所在的不同网络环境，动态检测和更新网络环境信息，并提供接口供其他模块调用。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85</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签名防伪</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对接入设备进行身份验证，确保只有合法设备可以接入网络；对网络传输的信令数据进行数字签名，确保信令数据的真实性与完整性。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86</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实时流水印叠加</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支持配置实时流水印，可设启用状态、应用范围（全局 / 指定用户）、内容（可选信息 / 自定义）及样式。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87</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录像水印叠加</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支持配置录像水印，可设启用状态、应用范围（全局 / 指定用户）、内容（可选信息 / 自定义）及样式。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88</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图片水印叠加</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支持配置图片水印，可设启用状态、应用范围（全局 / 指定用户）、内容（可选信息 / 自定义）及样式。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89</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视频文件水印配置</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配置视频下载文件水印，包括是否启用、应用范围、水印内容，水印样式，水印内容实现选择所属组织、登录账号、用户姓等信息，也可自定义水印内容。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90</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播放器水印配置</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配置播放器水印，包括是否启用、应用范围、水印内容，水印样式，应用范围实现选择全局用户或者指定用户。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91</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登录控制</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已注册用户凭凭证登录，支持免密登录与超级免密登录。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92</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统一认证</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实现用户身份认证，通过集中管理身份信息来提高安全性，包括用户名和密码的验证、登录IP验证等。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93</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数据鉴权</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实现数据访问控制，根据用户的角色和权限分配相应的访问权限，确保用户只能访问他们被授权的资源。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94</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白名单配置</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实现IP白名单配置，在服务器或网络设备的配置中，实现只允许特定的IP地址或IP地址范围访问服务器或网络资源。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95</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白名单统计</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实现白名单查看详情、编辑、查询、删除操作，包括白名单名称、白名单类型、创建时间等，并提供查询功能。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96</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系统日志采集</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自动收集系统日志信息，包括硬件名称、硬件地址、操作时间、ip地址等。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97</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操作日志采集</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自动收集操作日志信息；包括操作人员、所属组织机构、操作时间、ip地址等。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98</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国标网关日志采集</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自动采集国标网关的日志流，并实现在日志服务中进行查询，包括全文检索、多关键词检索等操作。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99</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日志分析</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按照操作时间、模块名称、功能名称、操作人员、关联设备等查询日志信息；实现日志记录查询结果导出。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100</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统一身份认证对接</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与市级统一身份认证对接。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101</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用户配置</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实现用户创建账户，配置用户信息包括用户基本信息、用户授权信息和临时授权信息。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102</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数据和隐私保护</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实现创建用户时录入的身份证号和手机号做脱敏展示，手机号取4-7位标为星号，身份证号生日数字标为星号。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103</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角色配置</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实现角色增、删、改、查信息管理操作及可用状态控制；实现角色的一键禁用/启用功能。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104</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颗粒度控制</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实现对用户访问资源的权限进行细致的管理和控制，以确保用户只能访问到他们被授权的资源。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105</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功能权限配置</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实现功能权限配置，包括授权角色名称、可用状态，并提供查询功能。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106</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设备权限配置</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实现设备权限配置，包括授权角色名称、可用状态，并提供查询功能。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107</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服务权限配置</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实现服务权限配置，包括授权角色名称、可用状态，并提供查询功能。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108</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专题权限配置</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实现专题权限配置，包括授权角色名称、可用状态，并提供查询功能。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109</w:t>
            </w:r>
          </w:p>
        </w:tc>
        <w:tc>
          <w:tcPr>
            <w:tcW w:w="1153" w:type="dxa"/>
            <w:vMerge w:val="continue"/>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概况分析</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展示用户统计信息，包括用户名称、组织机构、登录次数等。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6"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110</w:t>
            </w:r>
          </w:p>
        </w:tc>
        <w:tc>
          <w:tcPr>
            <w:tcW w:w="1153" w:type="dxa"/>
            <w:vMerge w:val="continue"/>
            <w:vAlign w:val="center"/>
          </w:tcPr>
          <w:p>
            <w:pPr>
              <w:ind w:firstLine="420"/>
              <w:jc w:val="center"/>
              <w:textAlignment w:val="center"/>
              <w:rPr>
                <w:rFonts w:hint="eastAsia" w:asciiTheme="minorEastAsia" w:hAnsiTheme="minorEastAsia" w:eastAsiaTheme="minorEastAsia" w:cstheme="minorEastAsia"/>
                <w:kern w:val="0"/>
                <w:sz w:val="21"/>
                <w:szCs w:val="21"/>
                <w:highlight w:val="none"/>
                <w:lang w:bidi="ar"/>
              </w:rPr>
            </w:pPr>
          </w:p>
        </w:tc>
        <w:tc>
          <w:tcPr>
            <w:tcW w:w="1698" w:type="dxa"/>
            <w:vAlign w:val="center"/>
          </w:tcPr>
          <w:p>
            <w:pPr>
              <w:widowControl/>
              <w:ind w:firstLine="0" w:firstLineChars="0"/>
              <w:jc w:val="center"/>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行为分析</w:t>
            </w:r>
          </w:p>
        </w:tc>
        <w:tc>
          <w:tcPr>
            <w:tcW w:w="5033" w:type="dxa"/>
            <w:vAlign w:val="center"/>
          </w:tcPr>
          <w:p>
            <w:pPr>
              <w:widowControl/>
              <w:ind w:firstLine="0" w:firstLineChars="0"/>
              <w:jc w:val="left"/>
              <w:textAlignment w:val="center"/>
              <w:rPr>
                <w:rFonts w:hint="eastAsia" w:asciiTheme="minorEastAsia" w:hAnsiTheme="minorEastAsia" w:eastAsiaTheme="minorEastAsia" w:cstheme="minorEastAsia"/>
                <w:kern w:val="0"/>
                <w:sz w:val="21"/>
                <w:szCs w:val="21"/>
                <w:highlight w:val="none"/>
                <w:lang w:bidi="ar"/>
              </w:rPr>
            </w:pPr>
            <w:r>
              <w:rPr>
                <w:rFonts w:hint="eastAsia" w:asciiTheme="minorEastAsia" w:hAnsiTheme="minorEastAsia" w:eastAsiaTheme="minorEastAsia" w:cstheme="minorEastAsia"/>
                <w:kern w:val="0"/>
                <w:sz w:val="21"/>
                <w:szCs w:val="21"/>
                <w:highlight w:val="none"/>
                <w:lang w:bidi="ar"/>
              </w:rPr>
              <w:t>实时监控记录用户活动，可统计分析单个用户平台使用情况，展示数据并支持查询及结果导出。</w:t>
            </w:r>
          </w:p>
        </w:tc>
      </w:tr>
    </w:tbl>
    <w:p>
      <w:pPr>
        <w:ind w:firstLine="0" w:firstLineChars="0"/>
        <w:rPr>
          <w:rFonts w:hint="eastAsia"/>
          <w:highlight w:val="none"/>
        </w:rPr>
      </w:pPr>
    </w:p>
    <w:p>
      <w:pPr>
        <w:pStyle w:val="2"/>
        <w:rPr>
          <w:highlight w:val="none"/>
        </w:rPr>
      </w:pPr>
    </w:p>
    <w:p>
      <w:pPr>
        <w:pStyle w:val="4"/>
        <w:widowControl/>
        <w:ind w:left="425"/>
        <w:rPr>
          <w:rFonts w:hint="eastAsia" w:asciiTheme="minorEastAsia" w:hAnsiTheme="minorEastAsia" w:eastAsiaTheme="minorEastAsia"/>
          <w:sz w:val="28"/>
          <w:szCs w:val="28"/>
          <w:highlight w:val="none"/>
          <w:lang w:bidi="ar"/>
        </w:rPr>
      </w:pPr>
      <w:r>
        <w:rPr>
          <w:rFonts w:hint="eastAsia" w:asciiTheme="minorEastAsia" w:hAnsiTheme="minorEastAsia" w:eastAsiaTheme="minorEastAsia"/>
          <w:sz w:val="28"/>
          <w:szCs w:val="28"/>
          <w:highlight w:val="none"/>
          <w:lang w:bidi="ar"/>
        </w:rPr>
        <w:t>产品软件购置清单</w:t>
      </w:r>
    </w:p>
    <w:tbl>
      <w:tblPr>
        <w:tblStyle w:val="36"/>
        <w:tblW w:w="83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885"/>
        <w:gridCol w:w="4519"/>
        <w:gridCol w:w="620"/>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序号</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软件名称</w:t>
            </w:r>
          </w:p>
        </w:tc>
        <w:tc>
          <w:tcPr>
            <w:tcW w:w="4519" w:type="dxa"/>
            <w:vAlign w:val="center"/>
          </w:tcPr>
          <w:p>
            <w:pPr>
              <w:widowControl/>
              <w:ind w:firstLine="0" w:firstLineChars="0"/>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规格参数</w:t>
            </w:r>
          </w:p>
        </w:tc>
        <w:tc>
          <w:tcPr>
            <w:tcW w:w="620" w:type="dxa"/>
            <w:vAlign w:val="center"/>
          </w:tcPr>
          <w:p>
            <w:pPr>
              <w:widowControl/>
              <w:ind w:firstLine="0" w:firstLineChars="0"/>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数量</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保修年限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1</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视频管理网关</w:t>
            </w:r>
          </w:p>
        </w:tc>
        <w:tc>
          <w:tcPr>
            <w:tcW w:w="4519" w:type="dxa"/>
            <w:vAlign w:val="center"/>
          </w:tcPr>
          <w:p>
            <w:pPr>
              <w:widowControl/>
              <w:ind w:firstLine="0" w:firstLineChars="0"/>
              <w:jc w:val="left"/>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提供国标平台、国标设备接入管理能力，单套软件支持10万路设备接入管理，符合GB28181及GB35114标准的设备通道注册。</w:t>
            </w:r>
          </w:p>
        </w:tc>
        <w:tc>
          <w:tcPr>
            <w:tcW w:w="620"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2</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流媒体转发</w:t>
            </w:r>
          </w:p>
        </w:tc>
        <w:tc>
          <w:tcPr>
            <w:tcW w:w="4519" w:type="dxa"/>
            <w:vAlign w:val="center"/>
          </w:tcPr>
          <w:p>
            <w:pPr>
              <w:widowControl/>
              <w:ind w:firstLine="0" w:firstLineChars="0"/>
              <w:jc w:val="left"/>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提供高清视频流转发能力，支持国标、WS-MP4、HLS、FLV等格式输出，单套软件支持250路1080P高清码流转发。</w:t>
            </w:r>
          </w:p>
        </w:tc>
        <w:tc>
          <w:tcPr>
            <w:tcW w:w="620" w:type="dxa"/>
            <w:shd w:val="clear" w:color="auto" w:fill="FFFFFF"/>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5</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视频快照</w:t>
            </w:r>
          </w:p>
        </w:tc>
        <w:tc>
          <w:tcPr>
            <w:tcW w:w="4519" w:type="dxa"/>
            <w:noWrap/>
            <w:vAlign w:val="center"/>
          </w:tcPr>
          <w:p>
            <w:pPr>
              <w:widowControl/>
              <w:ind w:firstLine="0" w:firstLineChars="0"/>
              <w:jc w:val="left"/>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提供视频流抽帧能力，支持抽帧的范围、频率、周期等策略配置，单套软件支持5万路/天次。</w:t>
            </w:r>
          </w:p>
        </w:tc>
        <w:tc>
          <w:tcPr>
            <w:tcW w:w="620" w:type="dxa"/>
            <w:shd w:val="clear" w:color="auto" w:fill="FFFFFF"/>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2</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4</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视频加速</w:t>
            </w:r>
          </w:p>
        </w:tc>
        <w:tc>
          <w:tcPr>
            <w:tcW w:w="4519" w:type="dxa"/>
            <w:vAlign w:val="center"/>
          </w:tcPr>
          <w:p>
            <w:pPr>
              <w:widowControl/>
              <w:ind w:firstLine="0" w:firstLineChars="0"/>
              <w:jc w:val="left"/>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提供视频流端到端动静态加速处理能力，开流时间小于500ms，单套软件支持200路1080P高清视频码流加速处理。</w:t>
            </w:r>
          </w:p>
        </w:tc>
        <w:tc>
          <w:tcPr>
            <w:tcW w:w="620"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1</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5</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视频存储管理</w:t>
            </w:r>
          </w:p>
        </w:tc>
        <w:tc>
          <w:tcPr>
            <w:tcW w:w="4519" w:type="dxa"/>
            <w:noWrap/>
            <w:vAlign w:val="center"/>
          </w:tcPr>
          <w:p>
            <w:pPr>
              <w:widowControl/>
              <w:ind w:firstLine="0" w:firstLineChars="0"/>
              <w:jc w:val="left"/>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提供视频流存储、读取管理能力，支持AWS3、OSS等存储管理协议，单套软件支持20套专用存储转发软件管理。</w:t>
            </w:r>
          </w:p>
        </w:tc>
        <w:tc>
          <w:tcPr>
            <w:tcW w:w="620"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1</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6</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专用存储转发</w:t>
            </w:r>
          </w:p>
        </w:tc>
        <w:tc>
          <w:tcPr>
            <w:tcW w:w="4519" w:type="dxa"/>
            <w:noWrap/>
            <w:vAlign w:val="center"/>
          </w:tcPr>
          <w:p>
            <w:pPr>
              <w:widowControl/>
              <w:ind w:firstLine="0" w:firstLineChars="0"/>
              <w:jc w:val="left"/>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提供视频录像数据读取转发能力，支持播放、暂停、下载等业务，单套软件支持200路1080P高清视频码流输出。</w:t>
            </w:r>
          </w:p>
        </w:tc>
        <w:tc>
          <w:tcPr>
            <w:tcW w:w="620"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1</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7</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视频水印处理</w:t>
            </w:r>
          </w:p>
        </w:tc>
        <w:tc>
          <w:tcPr>
            <w:tcW w:w="4519" w:type="dxa"/>
            <w:noWrap/>
            <w:vAlign w:val="center"/>
          </w:tcPr>
          <w:p>
            <w:pPr>
              <w:widowControl/>
              <w:ind w:firstLine="0" w:firstLineChars="0"/>
              <w:jc w:val="left"/>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提供实时视频流、历史视频流叠加水印混合编码输出能力，单套软件支持25路1080P高清码流并发叠加水印输出。</w:t>
            </w:r>
          </w:p>
        </w:tc>
        <w:tc>
          <w:tcPr>
            <w:tcW w:w="620"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2</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8</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视频管理网关</w:t>
            </w:r>
          </w:p>
        </w:tc>
        <w:tc>
          <w:tcPr>
            <w:tcW w:w="4519" w:type="dxa"/>
            <w:vAlign w:val="center"/>
          </w:tcPr>
          <w:p>
            <w:pPr>
              <w:widowControl/>
              <w:ind w:firstLine="0" w:firstLineChars="0"/>
              <w:jc w:val="left"/>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提供国标平台、国标设备接入管理能力，单套软件支持不低于1万路设备接入管理。</w:t>
            </w:r>
          </w:p>
        </w:tc>
        <w:tc>
          <w:tcPr>
            <w:tcW w:w="620"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9</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流媒体转发</w:t>
            </w:r>
          </w:p>
        </w:tc>
        <w:tc>
          <w:tcPr>
            <w:tcW w:w="4519" w:type="dxa"/>
            <w:vAlign w:val="center"/>
          </w:tcPr>
          <w:p>
            <w:pPr>
              <w:widowControl/>
              <w:ind w:firstLine="0" w:firstLineChars="0"/>
              <w:jc w:val="left"/>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提供高清视频流转发能力，支持国标、WS-MP4、HLS、FLV等格式输出，单套软件支持50路1080P高清码流转发。</w:t>
            </w:r>
          </w:p>
        </w:tc>
        <w:tc>
          <w:tcPr>
            <w:tcW w:w="620"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5</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1</w:t>
            </w:r>
            <w:r>
              <w:rPr>
                <w:rFonts w:hint="eastAsia" w:asciiTheme="minorEastAsia" w:hAnsiTheme="minorEastAsia" w:eastAsiaTheme="minorEastAsia" w:cstheme="minorEastAsia"/>
                <w:kern w:val="0"/>
                <w:sz w:val="18"/>
                <w:szCs w:val="18"/>
                <w:highlight w:val="none"/>
                <w:lang w:val="en-US" w:eastAsia="zh-CN" w:bidi="ar"/>
              </w:rPr>
              <w:t>0</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视频数据质量检测算法授权</w:t>
            </w:r>
          </w:p>
        </w:tc>
        <w:tc>
          <w:tcPr>
            <w:tcW w:w="4519" w:type="dxa"/>
            <w:noWrap/>
            <w:vAlign w:val="center"/>
          </w:tcPr>
          <w:p>
            <w:pPr>
              <w:widowControl/>
              <w:ind w:firstLine="0" w:firstLineChars="0"/>
              <w:jc w:val="left"/>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提供图像质量异常诊断能力，支持画面黑屏、偏色、模糊、遮挡、花屏、过曝检测。</w:t>
            </w:r>
          </w:p>
        </w:tc>
        <w:tc>
          <w:tcPr>
            <w:tcW w:w="620"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200</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04"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1</w:t>
            </w:r>
            <w:r>
              <w:rPr>
                <w:rFonts w:hint="eastAsia" w:asciiTheme="minorEastAsia" w:hAnsiTheme="minorEastAsia" w:eastAsiaTheme="minorEastAsia" w:cstheme="minorEastAsia"/>
                <w:kern w:val="0"/>
                <w:sz w:val="18"/>
                <w:szCs w:val="18"/>
                <w:highlight w:val="none"/>
                <w:lang w:val="en-US" w:eastAsia="zh-CN" w:bidi="ar"/>
              </w:rPr>
              <w:t>1</w:t>
            </w:r>
          </w:p>
        </w:tc>
        <w:tc>
          <w:tcPr>
            <w:tcW w:w="188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视频画面OSD信息采集算法授权</w:t>
            </w:r>
          </w:p>
        </w:tc>
        <w:tc>
          <w:tcPr>
            <w:tcW w:w="4519" w:type="dxa"/>
            <w:noWrap/>
            <w:vAlign w:val="center"/>
          </w:tcPr>
          <w:p>
            <w:pPr>
              <w:widowControl/>
              <w:ind w:firstLine="0" w:firstLineChars="0"/>
              <w:jc w:val="left"/>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提供图像OSD信息采集识别能力，支持时间戳、摄像机名称及OSD位置检测。</w:t>
            </w:r>
          </w:p>
        </w:tc>
        <w:tc>
          <w:tcPr>
            <w:tcW w:w="620"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200</w:t>
            </w:r>
          </w:p>
        </w:tc>
        <w:tc>
          <w:tcPr>
            <w:tcW w:w="755" w:type="dxa"/>
            <w:vAlign w:val="center"/>
          </w:tcPr>
          <w:p>
            <w:pPr>
              <w:widowControl/>
              <w:ind w:firstLine="0" w:firstLineChars="0"/>
              <w:jc w:val="center"/>
              <w:textAlignment w:val="center"/>
              <w:rPr>
                <w:rFonts w:hint="eastAsia" w:asciiTheme="minorEastAsia" w:hAnsiTheme="minorEastAsia" w:eastAsiaTheme="minorEastAsia" w:cstheme="minorEastAsia"/>
                <w:kern w:val="0"/>
                <w:sz w:val="18"/>
                <w:szCs w:val="18"/>
                <w:highlight w:val="none"/>
                <w:lang w:bidi="ar"/>
              </w:rPr>
            </w:pPr>
            <w:r>
              <w:rPr>
                <w:rFonts w:hint="eastAsia" w:asciiTheme="minorEastAsia" w:hAnsiTheme="minorEastAsia" w:eastAsiaTheme="minorEastAsia" w:cstheme="minorEastAsia"/>
                <w:kern w:val="0"/>
                <w:sz w:val="18"/>
                <w:szCs w:val="18"/>
                <w:highlight w:val="none"/>
                <w:lang w:bidi="ar"/>
              </w:rPr>
              <w:t>3</w:t>
            </w:r>
          </w:p>
        </w:tc>
      </w:tr>
    </w:tbl>
    <w:p>
      <w:pPr>
        <w:rPr>
          <w:rFonts w:hint="eastAsia"/>
          <w:highlight w:val="none"/>
        </w:rPr>
      </w:pPr>
    </w:p>
    <w:p>
      <w:pPr>
        <w:ind w:firstLine="0" w:firstLineChars="0"/>
        <w:rPr>
          <w:rFonts w:hint="eastAsia"/>
          <w:highlight w:val="none"/>
        </w:rPr>
      </w:pPr>
    </w:p>
    <w:p>
      <w:pPr>
        <w:pStyle w:val="3"/>
        <w:rPr>
          <w:rFonts w:hint="eastAsia"/>
          <w:highlight w:val="none"/>
        </w:rPr>
      </w:pPr>
      <w:bookmarkStart w:id="17" w:name="_Toc63785502"/>
      <w:r>
        <w:rPr>
          <w:rFonts w:hint="eastAsia"/>
          <w:highlight w:val="none"/>
        </w:rPr>
        <w:t>电子政务云资源需求</w:t>
      </w:r>
      <w:bookmarkEnd w:id="17"/>
    </w:p>
    <w:p>
      <w:pPr>
        <w:pStyle w:val="4"/>
        <w:ind w:left="425"/>
        <w:rPr>
          <w:rFonts w:hint="eastAsia"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主机资源</w:t>
      </w:r>
    </w:p>
    <w:p>
      <w:pPr>
        <w:rPr>
          <w:rFonts w:hint="eastAsia"/>
          <w:highlight w:val="none"/>
        </w:rPr>
      </w:pPr>
      <w:r>
        <w:rPr>
          <w:rFonts w:hint="eastAsia"/>
          <w:highlight w:val="none"/>
        </w:rPr>
        <w:t>根据项目前期资源现状，本次建设根据估算拟向电子政务云申请31台服务器，其中政务外网22台服务器；政务云互联网区9台服务器。其中CPU 476核、内存866G、存储7800G。</w:t>
      </w:r>
    </w:p>
    <w:tbl>
      <w:tblPr>
        <w:tblStyle w:val="36"/>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0"/>
        <w:gridCol w:w="889"/>
        <w:gridCol w:w="889"/>
        <w:gridCol w:w="889"/>
        <w:gridCol w:w="1172"/>
        <w:gridCol w:w="672"/>
        <w:gridCol w:w="731"/>
        <w:gridCol w:w="998"/>
        <w:gridCol w:w="1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blHeader/>
        </w:trPr>
        <w:tc>
          <w:tcPr>
            <w:tcW w:w="830" w:type="dxa"/>
            <w:vAlign w:val="center"/>
          </w:tcPr>
          <w:p>
            <w:pPr>
              <w:widowControl/>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序号</w:t>
            </w:r>
          </w:p>
        </w:tc>
        <w:tc>
          <w:tcPr>
            <w:tcW w:w="889" w:type="dxa"/>
            <w:noWrap/>
            <w:vAlign w:val="center"/>
          </w:tcPr>
          <w:p>
            <w:pPr>
              <w:widowControl/>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网络区域</w:t>
            </w:r>
          </w:p>
        </w:tc>
        <w:tc>
          <w:tcPr>
            <w:tcW w:w="889" w:type="dxa"/>
            <w:noWrap/>
            <w:vAlign w:val="center"/>
          </w:tcPr>
          <w:p>
            <w:pPr>
              <w:widowControl/>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资源类型</w:t>
            </w:r>
          </w:p>
        </w:tc>
        <w:tc>
          <w:tcPr>
            <w:tcW w:w="889" w:type="dxa"/>
            <w:noWrap/>
            <w:vAlign w:val="center"/>
          </w:tcPr>
          <w:p>
            <w:pPr>
              <w:widowControl/>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资源名称</w:t>
            </w:r>
          </w:p>
        </w:tc>
        <w:tc>
          <w:tcPr>
            <w:tcW w:w="1172" w:type="dxa"/>
            <w:vAlign w:val="center"/>
          </w:tcPr>
          <w:p>
            <w:pPr>
              <w:widowControl/>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资源说明</w:t>
            </w:r>
          </w:p>
        </w:tc>
        <w:tc>
          <w:tcPr>
            <w:tcW w:w="672" w:type="dxa"/>
            <w:vAlign w:val="center"/>
          </w:tcPr>
          <w:p>
            <w:pPr>
              <w:widowControl/>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CPU（核）</w:t>
            </w:r>
          </w:p>
        </w:tc>
        <w:tc>
          <w:tcPr>
            <w:tcW w:w="731" w:type="dxa"/>
            <w:noWrap/>
            <w:vAlign w:val="center"/>
          </w:tcPr>
          <w:p>
            <w:pPr>
              <w:widowControl/>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内存(GB)</w:t>
            </w:r>
          </w:p>
        </w:tc>
        <w:tc>
          <w:tcPr>
            <w:tcW w:w="998" w:type="dxa"/>
            <w:vAlign w:val="center"/>
          </w:tcPr>
          <w:p>
            <w:pPr>
              <w:widowControl/>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存储(GB)</w:t>
            </w:r>
          </w:p>
        </w:tc>
        <w:tc>
          <w:tcPr>
            <w:tcW w:w="1232" w:type="dxa"/>
            <w:noWrap/>
            <w:vAlign w:val="center"/>
          </w:tcPr>
          <w:p>
            <w:pPr>
              <w:widowControl/>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资源数量(台)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30"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政务外网</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虚拟机</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其他</w:t>
            </w:r>
          </w:p>
        </w:tc>
        <w:tc>
          <w:tcPr>
            <w:tcW w:w="11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前后端应用服务器</w:t>
            </w:r>
          </w:p>
        </w:tc>
        <w:tc>
          <w:tcPr>
            <w:tcW w:w="6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8</w:t>
            </w:r>
          </w:p>
        </w:tc>
        <w:tc>
          <w:tcPr>
            <w:tcW w:w="731"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16</w:t>
            </w:r>
          </w:p>
        </w:tc>
        <w:tc>
          <w:tcPr>
            <w:tcW w:w="998"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200</w:t>
            </w:r>
          </w:p>
        </w:tc>
        <w:tc>
          <w:tcPr>
            <w:tcW w:w="1232"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830"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政务外网</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虚拟机</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其他</w:t>
            </w:r>
          </w:p>
        </w:tc>
        <w:tc>
          <w:tcPr>
            <w:tcW w:w="11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视频应用服务器，用于视频管理网关</w:t>
            </w:r>
          </w:p>
        </w:tc>
        <w:tc>
          <w:tcPr>
            <w:tcW w:w="6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16</w:t>
            </w:r>
          </w:p>
        </w:tc>
        <w:tc>
          <w:tcPr>
            <w:tcW w:w="731"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32</w:t>
            </w:r>
          </w:p>
        </w:tc>
        <w:tc>
          <w:tcPr>
            <w:tcW w:w="998"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200</w:t>
            </w:r>
          </w:p>
        </w:tc>
        <w:tc>
          <w:tcPr>
            <w:tcW w:w="1232"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30"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政务外网</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虚拟机</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其他</w:t>
            </w:r>
          </w:p>
        </w:tc>
        <w:tc>
          <w:tcPr>
            <w:tcW w:w="11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视频应用服务器，用于流媒体转发</w:t>
            </w:r>
          </w:p>
        </w:tc>
        <w:tc>
          <w:tcPr>
            <w:tcW w:w="6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8</w:t>
            </w:r>
          </w:p>
        </w:tc>
        <w:tc>
          <w:tcPr>
            <w:tcW w:w="731"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16</w:t>
            </w:r>
          </w:p>
        </w:tc>
        <w:tc>
          <w:tcPr>
            <w:tcW w:w="998"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200</w:t>
            </w:r>
          </w:p>
        </w:tc>
        <w:tc>
          <w:tcPr>
            <w:tcW w:w="1232"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830"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4</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政务外网</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虚拟机</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其他</w:t>
            </w:r>
          </w:p>
        </w:tc>
        <w:tc>
          <w:tcPr>
            <w:tcW w:w="11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视频应用服务器，用于视频快照、加速</w:t>
            </w:r>
          </w:p>
        </w:tc>
        <w:tc>
          <w:tcPr>
            <w:tcW w:w="6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16</w:t>
            </w:r>
          </w:p>
        </w:tc>
        <w:tc>
          <w:tcPr>
            <w:tcW w:w="731"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32</w:t>
            </w:r>
          </w:p>
        </w:tc>
        <w:tc>
          <w:tcPr>
            <w:tcW w:w="998"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200</w:t>
            </w:r>
          </w:p>
        </w:tc>
        <w:tc>
          <w:tcPr>
            <w:tcW w:w="1232"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830"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5</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政务外网</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虚拟机</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其他</w:t>
            </w:r>
          </w:p>
        </w:tc>
        <w:tc>
          <w:tcPr>
            <w:tcW w:w="11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视频应用服务器，用于视频存储管理、存储转发</w:t>
            </w:r>
          </w:p>
        </w:tc>
        <w:tc>
          <w:tcPr>
            <w:tcW w:w="6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16</w:t>
            </w:r>
          </w:p>
        </w:tc>
        <w:tc>
          <w:tcPr>
            <w:tcW w:w="731"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32</w:t>
            </w:r>
          </w:p>
        </w:tc>
        <w:tc>
          <w:tcPr>
            <w:tcW w:w="998"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200</w:t>
            </w:r>
          </w:p>
        </w:tc>
        <w:tc>
          <w:tcPr>
            <w:tcW w:w="1232"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830"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6</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政务外网</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虚拟机</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其他</w:t>
            </w:r>
          </w:p>
        </w:tc>
        <w:tc>
          <w:tcPr>
            <w:tcW w:w="11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视频应用服务器，用于视频水印处理</w:t>
            </w:r>
          </w:p>
        </w:tc>
        <w:tc>
          <w:tcPr>
            <w:tcW w:w="6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50</w:t>
            </w:r>
          </w:p>
        </w:tc>
        <w:tc>
          <w:tcPr>
            <w:tcW w:w="731"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32</w:t>
            </w:r>
          </w:p>
        </w:tc>
        <w:tc>
          <w:tcPr>
            <w:tcW w:w="998"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200</w:t>
            </w:r>
          </w:p>
        </w:tc>
        <w:tc>
          <w:tcPr>
            <w:tcW w:w="1232"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30"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7</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政务外网</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虚拟机</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其他</w:t>
            </w:r>
          </w:p>
        </w:tc>
        <w:tc>
          <w:tcPr>
            <w:tcW w:w="11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数据库服务器</w:t>
            </w:r>
          </w:p>
        </w:tc>
        <w:tc>
          <w:tcPr>
            <w:tcW w:w="6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32</w:t>
            </w:r>
          </w:p>
        </w:tc>
        <w:tc>
          <w:tcPr>
            <w:tcW w:w="731"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64</w:t>
            </w:r>
          </w:p>
        </w:tc>
        <w:tc>
          <w:tcPr>
            <w:tcW w:w="998"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1000</w:t>
            </w:r>
          </w:p>
        </w:tc>
        <w:tc>
          <w:tcPr>
            <w:tcW w:w="1232"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30"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8</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互联网</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虚拟机</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应用服务器</w:t>
            </w:r>
          </w:p>
        </w:tc>
        <w:tc>
          <w:tcPr>
            <w:tcW w:w="11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用于视频管理网关</w:t>
            </w:r>
          </w:p>
        </w:tc>
        <w:tc>
          <w:tcPr>
            <w:tcW w:w="6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16</w:t>
            </w:r>
          </w:p>
        </w:tc>
        <w:tc>
          <w:tcPr>
            <w:tcW w:w="731"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32</w:t>
            </w:r>
          </w:p>
        </w:tc>
        <w:tc>
          <w:tcPr>
            <w:tcW w:w="998"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200</w:t>
            </w:r>
          </w:p>
        </w:tc>
        <w:tc>
          <w:tcPr>
            <w:tcW w:w="1232"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0"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9</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互联网</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虚拟机</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应用服务器</w:t>
            </w:r>
          </w:p>
        </w:tc>
        <w:tc>
          <w:tcPr>
            <w:tcW w:w="11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数据库</w:t>
            </w:r>
          </w:p>
        </w:tc>
        <w:tc>
          <w:tcPr>
            <w:tcW w:w="6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16</w:t>
            </w:r>
          </w:p>
        </w:tc>
        <w:tc>
          <w:tcPr>
            <w:tcW w:w="731"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32</w:t>
            </w:r>
          </w:p>
        </w:tc>
        <w:tc>
          <w:tcPr>
            <w:tcW w:w="998"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200</w:t>
            </w:r>
          </w:p>
        </w:tc>
        <w:tc>
          <w:tcPr>
            <w:tcW w:w="1232"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0"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10</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互联网</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虚拟机</w:t>
            </w:r>
          </w:p>
        </w:tc>
        <w:tc>
          <w:tcPr>
            <w:tcW w:w="889"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应用服务器</w:t>
            </w:r>
          </w:p>
        </w:tc>
        <w:tc>
          <w:tcPr>
            <w:tcW w:w="11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流媒体转发</w:t>
            </w:r>
          </w:p>
        </w:tc>
        <w:tc>
          <w:tcPr>
            <w:tcW w:w="672"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8</w:t>
            </w:r>
          </w:p>
        </w:tc>
        <w:tc>
          <w:tcPr>
            <w:tcW w:w="731"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26</w:t>
            </w:r>
          </w:p>
        </w:tc>
        <w:tc>
          <w:tcPr>
            <w:tcW w:w="998" w:type="dxa"/>
            <w:vAlign w:val="center"/>
          </w:tcPr>
          <w:p>
            <w:pPr>
              <w:widowControl/>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200</w:t>
            </w:r>
          </w:p>
        </w:tc>
        <w:tc>
          <w:tcPr>
            <w:tcW w:w="1232" w:type="dxa"/>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5</w:t>
            </w:r>
          </w:p>
        </w:tc>
      </w:tr>
    </w:tbl>
    <w:p>
      <w:pPr>
        <w:rPr>
          <w:rFonts w:hint="eastAsia"/>
          <w:highlight w:val="none"/>
        </w:rPr>
      </w:pPr>
    </w:p>
    <w:p>
      <w:pPr>
        <w:pStyle w:val="4"/>
        <w:ind w:left="425"/>
        <w:rPr>
          <w:rFonts w:hint="eastAsia"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 xml:space="preserve"> PaaS服务资源</w:t>
      </w:r>
    </w:p>
    <w:tbl>
      <w:tblPr>
        <w:tblStyle w:val="36"/>
        <w:tblW w:w="8299" w:type="dxa"/>
        <w:tblInd w:w="0" w:type="dxa"/>
        <w:tblLayout w:type="fixed"/>
        <w:tblCellMar>
          <w:top w:w="0" w:type="dxa"/>
          <w:left w:w="108" w:type="dxa"/>
          <w:bottom w:w="0" w:type="dxa"/>
          <w:right w:w="108" w:type="dxa"/>
        </w:tblCellMar>
      </w:tblPr>
      <w:tblGrid>
        <w:gridCol w:w="763"/>
        <w:gridCol w:w="3982"/>
        <w:gridCol w:w="1569"/>
        <w:gridCol w:w="1985"/>
      </w:tblGrid>
      <w:tr>
        <w:tblPrEx>
          <w:tblCellMar>
            <w:top w:w="0" w:type="dxa"/>
            <w:left w:w="108" w:type="dxa"/>
            <w:bottom w:w="0" w:type="dxa"/>
            <w:right w:w="108" w:type="dxa"/>
          </w:tblCellMar>
        </w:tblPrEx>
        <w:trPr>
          <w:trHeight w:val="570" w:hRule="atLeast"/>
          <w:tblHeader/>
        </w:trPr>
        <w:tc>
          <w:tcPr>
            <w:tcW w:w="76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序号</w:t>
            </w:r>
          </w:p>
        </w:tc>
        <w:tc>
          <w:tcPr>
            <w:tcW w:w="3982" w:type="dxa"/>
            <w:tcBorders>
              <w:top w:val="single" w:color="auto" w:sz="4" w:space="0"/>
              <w:left w:val="nil"/>
              <w:bottom w:val="single" w:color="auto" w:sz="4" w:space="0"/>
              <w:right w:val="single" w:color="auto" w:sz="4" w:space="0"/>
            </w:tcBorders>
            <w:noWrap/>
            <w:vAlign w:val="center"/>
          </w:tcPr>
          <w:p>
            <w:pPr>
              <w:widowControl/>
              <w:ind w:firstLine="361"/>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资源名称</w:t>
            </w:r>
          </w:p>
        </w:tc>
        <w:tc>
          <w:tcPr>
            <w:tcW w:w="1569" w:type="dxa"/>
            <w:tcBorders>
              <w:top w:val="single" w:color="auto" w:sz="4" w:space="0"/>
              <w:left w:val="nil"/>
              <w:bottom w:val="single" w:color="auto" w:sz="4" w:space="0"/>
              <w:right w:val="single" w:color="auto" w:sz="4" w:space="0"/>
            </w:tcBorders>
            <w:vAlign w:val="center"/>
          </w:tcPr>
          <w:p>
            <w:pPr>
              <w:widowControl/>
              <w:ind w:firstLine="361"/>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数量</w:t>
            </w:r>
          </w:p>
        </w:tc>
        <w:tc>
          <w:tcPr>
            <w:tcW w:w="1985" w:type="dxa"/>
            <w:tcBorders>
              <w:top w:val="single" w:color="auto" w:sz="4" w:space="0"/>
              <w:left w:val="nil"/>
              <w:bottom w:val="single" w:color="auto" w:sz="4" w:space="0"/>
              <w:right w:val="single" w:color="auto" w:sz="4" w:space="0"/>
            </w:tcBorders>
            <w:vAlign w:val="center"/>
          </w:tcPr>
          <w:p>
            <w:pPr>
              <w:widowControl/>
              <w:ind w:firstLine="361"/>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单位</w:t>
            </w:r>
          </w:p>
        </w:tc>
      </w:tr>
      <w:tr>
        <w:tblPrEx>
          <w:tblCellMar>
            <w:top w:w="0" w:type="dxa"/>
            <w:left w:w="108" w:type="dxa"/>
            <w:bottom w:w="0" w:type="dxa"/>
            <w:right w:w="108" w:type="dxa"/>
          </w:tblCellMar>
        </w:tblPrEx>
        <w:trPr>
          <w:trHeight w:val="280" w:hRule="atLeast"/>
        </w:trPr>
        <w:tc>
          <w:tcPr>
            <w:tcW w:w="763" w:type="dxa"/>
            <w:tcBorders>
              <w:top w:val="nil"/>
              <w:left w:val="single" w:color="000000" w:sz="4" w:space="0"/>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w:t>
            </w:r>
          </w:p>
        </w:tc>
        <w:tc>
          <w:tcPr>
            <w:tcW w:w="3982"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安全认证网关服务</w:t>
            </w:r>
          </w:p>
        </w:tc>
        <w:tc>
          <w:tcPr>
            <w:tcW w:w="1569"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w:t>
            </w:r>
          </w:p>
        </w:tc>
        <w:tc>
          <w:tcPr>
            <w:tcW w:w="1985"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套*年</w:t>
            </w:r>
          </w:p>
        </w:tc>
      </w:tr>
      <w:tr>
        <w:tblPrEx>
          <w:tblCellMar>
            <w:top w:w="0" w:type="dxa"/>
            <w:left w:w="108" w:type="dxa"/>
            <w:bottom w:w="0" w:type="dxa"/>
            <w:right w:w="108" w:type="dxa"/>
          </w:tblCellMar>
        </w:tblPrEx>
        <w:trPr>
          <w:trHeight w:val="280" w:hRule="atLeast"/>
        </w:trPr>
        <w:tc>
          <w:tcPr>
            <w:tcW w:w="763" w:type="dxa"/>
            <w:tcBorders>
              <w:top w:val="nil"/>
              <w:left w:val="single" w:color="000000" w:sz="4" w:space="0"/>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w:t>
            </w:r>
          </w:p>
        </w:tc>
        <w:tc>
          <w:tcPr>
            <w:tcW w:w="3982"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签名验签服务</w:t>
            </w:r>
          </w:p>
        </w:tc>
        <w:tc>
          <w:tcPr>
            <w:tcW w:w="1569"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w:t>
            </w:r>
          </w:p>
        </w:tc>
        <w:tc>
          <w:tcPr>
            <w:tcW w:w="1985"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套*年</w:t>
            </w:r>
          </w:p>
        </w:tc>
      </w:tr>
      <w:tr>
        <w:tblPrEx>
          <w:tblCellMar>
            <w:top w:w="0" w:type="dxa"/>
            <w:left w:w="108" w:type="dxa"/>
            <w:bottom w:w="0" w:type="dxa"/>
            <w:right w:w="108" w:type="dxa"/>
          </w:tblCellMar>
        </w:tblPrEx>
        <w:trPr>
          <w:trHeight w:val="280" w:hRule="atLeast"/>
        </w:trPr>
        <w:tc>
          <w:tcPr>
            <w:tcW w:w="763" w:type="dxa"/>
            <w:tcBorders>
              <w:top w:val="nil"/>
              <w:left w:val="single" w:color="000000" w:sz="4" w:space="0"/>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w:t>
            </w:r>
          </w:p>
        </w:tc>
        <w:tc>
          <w:tcPr>
            <w:tcW w:w="3982"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可信密码服务</w:t>
            </w:r>
          </w:p>
        </w:tc>
        <w:tc>
          <w:tcPr>
            <w:tcW w:w="1569"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w:t>
            </w:r>
          </w:p>
        </w:tc>
        <w:tc>
          <w:tcPr>
            <w:tcW w:w="1985"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应用*年</w:t>
            </w:r>
          </w:p>
        </w:tc>
      </w:tr>
      <w:tr>
        <w:tblPrEx>
          <w:tblCellMar>
            <w:top w:w="0" w:type="dxa"/>
            <w:left w:w="108" w:type="dxa"/>
            <w:bottom w:w="0" w:type="dxa"/>
            <w:right w:w="108" w:type="dxa"/>
          </w:tblCellMar>
        </w:tblPrEx>
        <w:trPr>
          <w:trHeight w:val="280" w:hRule="atLeast"/>
        </w:trPr>
        <w:tc>
          <w:tcPr>
            <w:tcW w:w="763" w:type="dxa"/>
            <w:tcBorders>
              <w:top w:val="nil"/>
              <w:left w:val="single" w:color="000000" w:sz="4" w:space="0"/>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4</w:t>
            </w:r>
          </w:p>
        </w:tc>
        <w:tc>
          <w:tcPr>
            <w:tcW w:w="3982"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数字证书服务 - 证书介质（key）</w:t>
            </w:r>
          </w:p>
        </w:tc>
        <w:tc>
          <w:tcPr>
            <w:tcW w:w="1569"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5</w:t>
            </w:r>
          </w:p>
        </w:tc>
        <w:tc>
          <w:tcPr>
            <w:tcW w:w="1985"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个</w:t>
            </w:r>
          </w:p>
        </w:tc>
      </w:tr>
      <w:tr>
        <w:tblPrEx>
          <w:tblCellMar>
            <w:top w:w="0" w:type="dxa"/>
            <w:left w:w="108" w:type="dxa"/>
            <w:bottom w:w="0" w:type="dxa"/>
            <w:right w:w="108" w:type="dxa"/>
          </w:tblCellMar>
        </w:tblPrEx>
        <w:trPr>
          <w:trHeight w:val="280" w:hRule="atLeast"/>
        </w:trPr>
        <w:tc>
          <w:tcPr>
            <w:tcW w:w="763" w:type="dxa"/>
            <w:tcBorders>
              <w:top w:val="nil"/>
              <w:left w:val="single" w:color="000000" w:sz="4" w:space="0"/>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5</w:t>
            </w:r>
          </w:p>
        </w:tc>
        <w:tc>
          <w:tcPr>
            <w:tcW w:w="3982"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数字证书服务 - 公务人员证书（key）</w:t>
            </w:r>
          </w:p>
        </w:tc>
        <w:tc>
          <w:tcPr>
            <w:tcW w:w="1569"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5</w:t>
            </w:r>
          </w:p>
        </w:tc>
        <w:tc>
          <w:tcPr>
            <w:tcW w:w="1985"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张*年</w:t>
            </w:r>
          </w:p>
        </w:tc>
      </w:tr>
      <w:tr>
        <w:tblPrEx>
          <w:tblCellMar>
            <w:top w:w="0" w:type="dxa"/>
            <w:left w:w="108" w:type="dxa"/>
            <w:bottom w:w="0" w:type="dxa"/>
            <w:right w:w="108" w:type="dxa"/>
          </w:tblCellMar>
        </w:tblPrEx>
        <w:trPr>
          <w:trHeight w:val="280" w:hRule="atLeast"/>
        </w:trPr>
        <w:tc>
          <w:tcPr>
            <w:tcW w:w="763" w:type="dxa"/>
            <w:tcBorders>
              <w:top w:val="nil"/>
              <w:left w:val="single" w:color="000000" w:sz="4" w:space="0"/>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6</w:t>
            </w:r>
          </w:p>
        </w:tc>
        <w:tc>
          <w:tcPr>
            <w:tcW w:w="3982"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数字证书服务 - SSL证书-通配符</w:t>
            </w:r>
          </w:p>
        </w:tc>
        <w:tc>
          <w:tcPr>
            <w:tcW w:w="1569"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2</w:t>
            </w:r>
          </w:p>
        </w:tc>
        <w:tc>
          <w:tcPr>
            <w:tcW w:w="1985"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张*年</w:t>
            </w:r>
          </w:p>
        </w:tc>
      </w:tr>
      <w:tr>
        <w:tblPrEx>
          <w:tblCellMar>
            <w:top w:w="0" w:type="dxa"/>
            <w:left w:w="108" w:type="dxa"/>
            <w:bottom w:w="0" w:type="dxa"/>
            <w:right w:w="108" w:type="dxa"/>
          </w:tblCellMar>
        </w:tblPrEx>
        <w:trPr>
          <w:trHeight w:val="280" w:hRule="atLeast"/>
        </w:trPr>
        <w:tc>
          <w:tcPr>
            <w:tcW w:w="763" w:type="dxa"/>
            <w:tcBorders>
              <w:top w:val="nil"/>
              <w:left w:val="single" w:color="000000" w:sz="4" w:space="0"/>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7</w:t>
            </w:r>
          </w:p>
        </w:tc>
        <w:tc>
          <w:tcPr>
            <w:tcW w:w="3982"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操作系统服务-统信UOS、麒麟</w:t>
            </w:r>
          </w:p>
        </w:tc>
        <w:tc>
          <w:tcPr>
            <w:tcW w:w="1569"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31</w:t>
            </w:r>
          </w:p>
        </w:tc>
        <w:tc>
          <w:tcPr>
            <w:tcW w:w="1985"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套*年</w:t>
            </w:r>
          </w:p>
        </w:tc>
      </w:tr>
      <w:tr>
        <w:tblPrEx>
          <w:tblCellMar>
            <w:top w:w="0" w:type="dxa"/>
            <w:left w:w="108" w:type="dxa"/>
            <w:bottom w:w="0" w:type="dxa"/>
            <w:right w:w="108" w:type="dxa"/>
          </w:tblCellMar>
        </w:tblPrEx>
        <w:trPr>
          <w:trHeight w:val="280" w:hRule="atLeast"/>
        </w:trPr>
        <w:tc>
          <w:tcPr>
            <w:tcW w:w="763" w:type="dxa"/>
            <w:tcBorders>
              <w:top w:val="nil"/>
              <w:left w:val="single" w:color="000000" w:sz="4" w:space="0"/>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8</w:t>
            </w:r>
          </w:p>
        </w:tc>
        <w:tc>
          <w:tcPr>
            <w:tcW w:w="3982"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数据库服务-达梦、人大金仓</w:t>
            </w:r>
          </w:p>
        </w:tc>
        <w:tc>
          <w:tcPr>
            <w:tcW w:w="1569"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w:t>
            </w:r>
          </w:p>
        </w:tc>
        <w:tc>
          <w:tcPr>
            <w:tcW w:w="1985"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套*年</w:t>
            </w:r>
          </w:p>
        </w:tc>
      </w:tr>
      <w:tr>
        <w:tblPrEx>
          <w:tblCellMar>
            <w:top w:w="0" w:type="dxa"/>
            <w:left w:w="108" w:type="dxa"/>
            <w:bottom w:w="0" w:type="dxa"/>
            <w:right w:w="108" w:type="dxa"/>
          </w:tblCellMar>
        </w:tblPrEx>
        <w:trPr>
          <w:trHeight w:val="280" w:hRule="atLeast"/>
        </w:trPr>
        <w:tc>
          <w:tcPr>
            <w:tcW w:w="763" w:type="dxa"/>
            <w:tcBorders>
              <w:top w:val="nil"/>
              <w:left w:val="single" w:color="000000" w:sz="4" w:space="0"/>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9</w:t>
            </w:r>
          </w:p>
        </w:tc>
        <w:tc>
          <w:tcPr>
            <w:tcW w:w="3982"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中间件-东方通、普元、金蝶</w:t>
            </w:r>
          </w:p>
        </w:tc>
        <w:tc>
          <w:tcPr>
            <w:tcW w:w="1569"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3</w:t>
            </w:r>
          </w:p>
        </w:tc>
        <w:tc>
          <w:tcPr>
            <w:tcW w:w="1985"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套*年</w:t>
            </w:r>
          </w:p>
        </w:tc>
      </w:tr>
    </w:tbl>
    <w:p>
      <w:pPr>
        <w:rPr>
          <w:rFonts w:hint="eastAsia"/>
          <w:highlight w:val="none"/>
        </w:rPr>
      </w:pPr>
    </w:p>
    <w:p>
      <w:pPr>
        <w:pStyle w:val="4"/>
        <w:ind w:left="425"/>
        <w:rPr>
          <w:rFonts w:hint="eastAsia"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GPU资源</w:t>
      </w:r>
    </w:p>
    <w:tbl>
      <w:tblPr>
        <w:tblStyle w:val="36"/>
        <w:tblW w:w="8299" w:type="dxa"/>
        <w:tblInd w:w="0" w:type="dxa"/>
        <w:tblLayout w:type="fixed"/>
        <w:tblCellMar>
          <w:top w:w="0" w:type="dxa"/>
          <w:left w:w="108" w:type="dxa"/>
          <w:bottom w:w="0" w:type="dxa"/>
          <w:right w:w="108" w:type="dxa"/>
        </w:tblCellMar>
      </w:tblPr>
      <w:tblGrid>
        <w:gridCol w:w="1077"/>
        <w:gridCol w:w="1842"/>
        <w:gridCol w:w="1753"/>
        <w:gridCol w:w="1587"/>
        <w:gridCol w:w="2040"/>
      </w:tblGrid>
      <w:tr>
        <w:tblPrEx>
          <w:tblCellMar>
            <w:top w:w="0" w:type="dxa"/>
            <w:left w:w="108" w:type="dxa"/>
            <w:bottom w:w="0" w:type="dxa"/>
            <w:right w:w="108" w:type="dxa"/>
          </w:tblCellMar>
        </w:tblPrEx>
        <w:trPr>
          <w:trHeight w:val="285" w:hRule="atLeast"/>
        </w:trPr>
        <w:tc>
          <w:tcPr>
            <w:tcW w:w="1077" w:type="dxa"/>
            <w:tcBorders>
              <w:top w:val="single" w:color="auto" w:sz="4" w:space="0"/>
              <w:left w:val="single" w:color="auto" w:sz="4" w:space="0"/>
              <w:bottom w:val="single" w:color="auto" w:sz="4" w:space="0"/>
              <w:right w:val="single" w:color="auto" w:sz="4" w:space="0"/>
            </w:tcBorders>
            <w:vAlign w:val="center"/>
          </w:tcPr>
          <w:p>
            <w:pPr>
              <w:widowControl/>
              <w:ind w:firstLine="361"/>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序号</w:t>
            </w:r>
          </w:p>
        </w:tc>
        <w:tc>
          <w:tcPr>
            <w:tcW w:w="1842" w:type="dxa"/>
            <w:tcBorders>
              <w:top w:val="single" w:color="auto" w:sz="4" w:space="0"/>
              <w:left w:val="nil"/>
              <w:bottom w:val="single" w:color="auto" w:sz="4" w:space="0"/>
              <w:right w:val="single" w:color="auto" w:sz="4" w:space="0"/>
            </w:tcBorders>
            <w:noWrap/>
            <w:vAlign w:val="center"/>
          </w:tcPr>
          <w:p>
            <w:pPr>
              <w:widowControl/>
              <w:ind w:firstLine="361"/>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GPU类型</w:t>
            </w:r>
          </w:p>
        </w:tc>
        <w:tc>
          <w:tcPr>
            <w:tcW w:w="1753" w:type="dxa"/>
            <w:tcBorders>
              <w:top w:val="single" w:color="auto" w:sz="4" w:space="0"/>
              <w:left w:val="nil"/>
              <w:bottom w:val="single" w:color="auto" w:sz="4" w:space="0"/>
              <w:right w:val="single" w:color="auto" w:sz="4" w:space="0"/>
            </w:tcBorders>
            <w:vAlign w:val="center"/>
          </w:tcPr>
          <w:p>
            <w:pPr>
              <w:widowControl/>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资源说明（填写GPU型号）</w:t>
            </w:r>
          </w:p>
        </w:tc>
        <w:tc>
          <w:tcPr>
            <w:tcW w:w="1587" w:type="dxa"/>
            <w:tcBorders>
              <w:top w:val="single" w:color="auto" w:sz="4" w:space="0"/>
              <w:left w:val="nil"/>
              <w:bottom w:val="single" w:color="auto" w:sz="4" w:space="0"/>
              <w:right w:val="single" w:color="auto" w:sz="4" w:space="0"/>
            </w:tcBorders>
            <w:noWrap/>
            <w:vAlign w:val="center"/>
          </w:tcPr>
          <w:p>
            <w:pPr>
              <w:widowControl/>
              <w:ind w:firstLine="361"/>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数量</w:t>
            </w:r>
          </w:p>
        </w:tc>
        <w:tc>
          <w:tcPr>
            <w:tcW w:w="2040" w:type="dxa"/>
            <w:tcBorders>
              <w:top w:val="single" w:color="auto" w:sz="4" w:space="0"/>
              <w:left w:val="nil"/>
              <w:bottom w:val="single" w:color="auto" w:sz="4" w:space="0"/>
              <w:right w:val="single" w:color="auto" w:sz="4" w:space="0"/>
            </w:tcBorders>
            <w:vAlign w:val="center"/>
          </w:tcPr>
          <w:p>
            <w:pPr>
              <w:widowControl/>
              <w:ind w:firstLine="361"/>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备注</w:t>
            </w:r>
          </w:p>
        </w:tc>
      </w:tr>
      <w:tr>
        <w:tblPrEx>
          <w:tblCellMar>
            <w:top w:w="0" w:type="dxa"/>
            <w:left w:w="108" w:type="dxa"/>
            <w:bottom w:w="0" w:type="dxa"/>
            <w:right w:w="108" w:type="dxa"/>
          </w:tblCellMar>
        </w:tblPrEx>
        <w:trPr>
          <w:trHeight w:val="280" w:hRule="atLeast"/>
        </w:trPr>
        <w:tc>
          <w:tcPr>
            <w:tcW w:w="1077" w:type="dxa"/>
            <w:tcBorders>
              <w:top w:val="nil"/>
              <w:left w:val="single" w:color="000000" w:sz="4" w:space="0"/>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w:t>
            </w:r>
          </w:p>
        </w:tc>
        <w:tc>
          <w:tcPr>
            <w:tcW w:w="1842"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推理GPU</w:t>
            </w:r>
          </w:p>
        </w:tc>
        <w:tc>
          <w:tcPr>
            <w:tcW w:w="1753"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T4卡*8</w:t>
            </w:r>
          </w:p>
        </w:tc>
        <w:tc>
          <w:tcPr>
            <w:tcW w:w="1587"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1</w:t>
            </w:r>
          </w:p>
        </w:tc>
        <w:tc>
          <w:tcPr>
            <w:tcW w:w="2040" w:type="dxa"/>
            <w:tcBorders>
              <w:top w:val="single" w:color="000000" w:sz="4" w:space="0"/>
              <w:left w:val="nil"/>
              <w:bottom w:val="single" w:color="000000" w:sz="4" w:space="0"/>
              <w:right w:val="single" w:color="000000" w:sz="4" w:space="0"/>
            </w:tcBorders>
            <w:vAlign w:val="center"/>
          </w:tcPr>
          <w:p>
            <w:pPr>
              <w:widowControl/>
              <w:ind w:firstLine="360"/>
              <w:jc w:val="center"/>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AI算法算力需求,使用T4卡</w:t>
            </w:r>
          </w:p>
        </w:tc>
      </w:tr>
    </w:tbl>
    <w:p>
      <w:pPr>
        <w:rPr>
          <w:rFonts w:hint="eastAsia"/>
          <w:highlight w:val="none"/>
        </w:rPr>
      </w:pPr>
    </w:p>
    <w:p>
      <w:pPr>
        <w:pStyle w:val="3"/>
        <w:rPr>
          <w:rFonts w:hint="eastAsia"/>
          <w:highlight w:val="none"/>
        </w:rPr>
      </w:pPr>
      <w:bookmarkStart w:id="18" w:name="_Toc63785503"/>
      <w:r>
        <w:rPr>
          <w:rFonts w:hint="eastAsia"/>
          <w:highlight w:val="none"/>
        </w:rPr>
        <w:t>其他工作要求</w:t>
      </w:r>
      <w:bookmarkEnd w:id="18"/>
    </w:p>
    <w:p>
      <w:pPr>
        <w:keepNext/>
        <w:keepLines/>
        <w:numPr>
          <w:ilvl w:val="1"/>
          <w:numId w:val="3"/>
        </w:numPr>
        <w:tabs>
          <w:tab w:val="left" w:pos="360"/>
        </w:tabs>
        <w:spacing w:before="120" w:line="240" w:lineRule="auto"/>
        <w:ind w:left="0" w:firstLine="0" w:firstLineChars="0"/>
        <w:outlineLvl w:val="1"/>
        <w:rPr>
          <w:rFonts w:hint="eastAsia" w:ascii="仿宋" w:hAnsi="仿宋" w:eastAsia="仿宋"/>
          <w:b/>
          <w:vanish/>
          <w:sz w:val="28"/>
          <w:szCs w:val="20"/>
          <w:highlight w:val="none"/>
        </w:rPr>
      </w:pPr>
      <w:bookmarkStart w:id="19" w:name="_Toc62209488"/>
      <w:bookmarkEnd w:id="19"/>
      <w:bookmarkStart w:id="20" w:name="_Toc62219358"/>
      <w:bookmarkEnd w:id="20"/>
      <w:bookmarkStart w:id="21" w:name="_Toc63785439"/>
      <w:bookmarkEnd w:id="21"/>
      <w:bookmarkStart w:id="22" w:name="_Toc63151871"/>
      <w:bookmarkEnd w:id="22"/>
      <w:bookmarkStart w:id="23" w:name="_Toc61968111"/>
      <w:bookmarkEnd w:id="23"/>
      <w:bookmarkStart w:id="24" w:name="_Toc63762370"/>
      <w:bookmarkEnd w:id="24"/>
      <w:bookmarkStart w:id="25" w:name="_Toc63785504"/>
      <w:bookmarkEnd w:id="25"/>
      <w:bookmarkStart w:id="26" w:name="_Toc63585480"/>
      <w:bookmarkEnd w:id="26"/>
    </w:p>
    <w:p>
      <w:pPr>
        <w:pStyle w:val="4"/>
        <w:ind w:left="425"/>
        <w:rPr>
          <w:rFonts w:hint="eastAsia" w:asciiTheme="minorEastAsia" w:hAnsiTheme="minorEastAsia" w:eastAsiaTheme="minorEastAsia"/>
          <w:sz w:val="28"/>
          <w:szCs w:val="28"/>
          <w:highlight w:val="none"/>
        </w:rPr>
      </w:pPr>
      <w:bookmarkStart w:id="27" w:name="_Toc63785505"/>
      <w:r>
        <w:rPr>
          <w:rFonts w:hint="eastAsia" w:asciiTheme="minorEastAsia" w:hAnsiTheme="minorEastAsia" w:eastAsiaTheme="minorEastAsia"/>
          <w:sz w:val="28"/>
          <w:szCs w:val="28"/>
          <w:highlight w:val="none"/>
        </w:rPr>
        <w:t>售后服务要求</w:t>
      </w:r>
      <w:bookmarkEnd w:id="27"/>
    </w:p>
    <w:p>
      <w:pPr>
        <w:pStyle w:val="108"/>
        <w:snapToGrid w:val="0"/>
        <w:spacing w:line="360" w:lineRule="auto"/>
        <w:ind w:firstLine="480"/>
        <w:rPr>
          <w:rFonts w:hint="default" w:ascii="宋体" w:hAnsi="宋体" w:eastAsia="宋体"/>
          <w:sz w:val="24"/>
          <w:szCs w:val="24"/>
          <w:highlight w:val="none"/>
          <w:lang w:val="en-US" w:eastAsia="zh-CN"/>
        </w:rPr>
      </w:pPr>
      <w:r>
        <w:rPr>
          <w:rFonts w:hint="eastAsia" w:ascii="宋体" w:hAnsi="宋体"/>
          <w:sz w:val="24"/>
          <w:szCs w:val="24"/>
          <w:highlight w:val="none"/>
        </w:rPr>
        <w:t>本项目从系统验收通过之日起1年内提供</w:t>
      </w:r>
      <w:r>
        <w:rPr>
          <w:rFonts w:ascii="宋体" w:hAnsi="宋体"/>
          <w:sz w:val="24"/>
          <w:szCs w:val="24"/>
          <w:highlight w:val="none"/>
        </w:rPr>
        <w:t>7*24小时免费技术支持</w:t>
      </w:r>
      <w:r>
        <w:rPr>
          <w:rFonts w:hint="eastAsia" w:ascii="宋体" w:hAnsi="宋体"/>
          <w:sz w:val="24"/>
          <w:szCs w:val="24"/>
          <w:highlight w:val="none"/>
        </w:rPr>
        <w:t>和售后服务，1年后进入有偿维护期。</w:t>
      </w:r>
      <w:r>
        <w:rPr>
          <w:rFonts w:hint="eastAsia" w:ascii="宋体" w:hAnsi="宋体"/>
          <w:sz w:val="24"/>
          <w:szCs w:val="24"/>
          <w:highlight w:val="none"/>
          <w:lang w:eastAsia="zh-CN"/>
        </w:rPr>
        <w:t>购置的成品软件质量保证期不低于</w:t>
      </w:r>
      <w:r>
        <w:rPr>
          <w:rFonts w:hint="eastAsia" w:ascii="宋体" w:hAnsi="宋体"/>
          <w:sz w:val="24"/>
          <w:szCs w:val="24"/>
          <w:highlight w:val="none"/>
          <w:lang w:val="en-US" w:eastAsia="zh-CN"/>
        </w:rPr>
        <w:t>3年。</w:t>
      </w:r>
    </w:p>
    <w:p>
      <w:pPr>
        <w:pStyle w:val="108"/>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在质量保证期内，供应商将按照售后服务的承诺提供保修和运行维护服务，</w:t>
      </w:r>
    </w:p>
    <w:p>
      <w:pPr>
        <w:pStyle w:val="108"/>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在质量保证期内，供应商负责信息系统的运行维护工作，确保信息系统安全、稳定、可靠地运行。</w:t>
      </w:r>
    </w:p>
    <w:p>
      <w:pPr>
        <w:numPr>
          <w:ilvl w:val="0"/>
          <w:numId w:val="4"/>
        </w:numPr>
        <w:ind w:left="283" w:firstLine="482" w:firstLineChars="0"/>
        <w:rPr>
          <w:rFonts w:hint="eastAsia"/>
          <w:b/>
          <w:highlight w:val="none"/>
        </w:rPr>
      </w:pPr>
      <w:r>
        <w:rPr>
          <w:rFonts w:hint="eastAsia"/>
          <w:b/>
          <w:highlight w:val="none"/>
        </w:rPr>
        <w:t>日常的应用维护服务</w:t>
      </w:r>
    </w:p>
    <w:p>
      <w:pPr>
        <w:rPr>
          <w:rFonts w:hint="eastAsia"/>
          <w:b/>
          <w:highlight w:val="none"/>
        </w:rPr>
      </w:pPr>
      <w:r>
        <w:rPr>
          <w:rFonts w:hint="eastAsia"/>
          <w:highlight w:val="none"/>
        </w:rPr>
        <w:t>维护单位在接到相关的日常维护要求后，诊断问题，分别提供各类日常维护服务，并将维修结果及时回复。提供的日常服务包括：</w:t>
      </w:r>
    </w:p>
    <w:p>
      <w:pPr>
        <w:numPr>
          <w:ilvl w:val="0"/>
          <w:numId w:val="5"/>
        </w:numPr>
        <w:adjustRightInd w:val="0"/>
        <w:ind w:firstLineChars="0"/>
        <w:textAlignment w:val="baseline"/>
        <w:rPr>
          <w:rFonts w:hint="eastAsia"/>
          <w:highlight w:val="none"/>
        </w:rPr>
      </w:pPr>
      <w:r>
        <w:rPr>
          <w:rFonts w:hint="eastAsia"/>
          <w:highlight w:val="none"/>
        </w:rPr>
        <w:t>供应商应设立专门的技术支持小组，指派专人常驻现场，为建设单位提供全面专业的技术支持。</w:t>
      </w:r>
    </w:p>
    <w:p>
      <w:pPr>
        <w:numPr>
          <w:ilvl w:val="0"/>
          <w:numId w:val="5"/>
        </w:numPr>
        <w:adjustRightInd w:val="0"/>
        <w:ind w:firstLineChars="0"/>
        <w:textAlignment w:val="baseline"/>
        <w:rPr>
          <w:rFonts w:hint="eastAsia"/>
          <w:highlight w:val="none"/>
        </w:rPr>
      </w:pPr>
      <w:r>
        <w:rPr>
          <w:rFonts w:hint="eastAsia"/>
          <w:highlight w:val="none"/>
        </w:rPr>
        <w:t>对应用系统提供相关技术咨询、系统调整、应用升级、性能调优和定期（每月）检测维护的服务。</w:t>
      </w:r>
    </w:p>
    <w:p>
      <w:pPr>
        <w:numPr>
          <w:ilvl w:val="0"/>
          <w:numId w:val="5"/>
        </w:numPr>
        <w:adjustRightInd w:val="0"/>
        <w:ind w:firstLineChars="0"/>
        <w:textAlignment w:val="baseline"/>
        <w:rPr>
          <w:rFonts w:hint="eastAsia"/>
          <w:highlight w:val="none"/>
        </w:rPr>
      </w:pPr>
      <w:r>
        <w:rPr>
          <w:rFonts w:hint="eastAsia"/>
          <w:highlight w:val="none"/>
        </w:rPr>
        <w:t>提供</w:t>
      </w:r>
      <w:r>
        <w:rPr>
          <w:highlight w:val="none"/>
        </w:rPr>
        <w:t>7*24*365小时专人电话支持服务。对于应用系统故障情况，查找原因，提出解决方案，并工作至故障消除，完全恢复正常服务为止。</w:t>
      </w:r>
    </w:p>
    <w:p>
      <w:pPr>
        <w:pStyle w:val="137"/>
        <w:numPr>
          <w:ilvl w:val="0"/>
          <w:numId w:val="5"/>
        </w:numPr>
        <w:spacing w:after="0"/>
        <w:ind w:firstLineChars="0"/>
        <w:rPr>
          <w:rFonts w:hint="eastAsia" w:ascii="宋体" w:hAnsi="宋体"/>
          <w:szCs w:val="24"/>
          <w:highlight w:val="none"/>
        </w:rPr>
      </w:pPr>
      <w:r>
        <w:rPr>
          <w:rFonts w:hint="eastAsia" w:ascii="宋体" w:hAnsi="宋体"/>
          <w:szCs w:val="24"/>
          <w:highlight w:val="none"/>
        </w:rPr>
        <w:t>无推诿承诺。即无论由于哪一方产生的问题而使系统发生不正常情况时，在得到通知后，项目开发小组与公司立刻响应派工程师到场，全力配合厂商和其他供应商，使系统尽快恢复正常。</w:t>
      </w:r>
    </w:p>
    <w:p>
      <w:pPr>
        <w:pStyle w:val="137"/>
        <w:numPr>
          <w:ilvl w:val="0"/>
          <w:numId w:val="5"/>
        </w:numPr>
        <w:spacing w:after="0"/>
        <w:ind w:firstLineChars="0"/>
        <w:rPr>
          <w:rFonts w:hint="eastAsia" w:ascii="宋体" w:hAnsi="宋体"/>
          <w:szCs w:val="24"/>
          <w:highlight w:val="none"/>
        </w:rPr>
      </w:pPr>
      <w:r>
        <w:rPr>
          <w:rFonts w:hint="eastAsia" w:ascii="宋体" w:hAnsi="宋体"/>
          <w:szCs w:val="24"/>
          <w:highlight w:val="none"/>
        </w:rPr>
        <w:t>在保修期结束前，进行一次全面检查，任何与要求不符的缺陷将由项目开发小组与公司负责修理，在修理之后，将缺陷原因、修理内容、完成修理及恢复正常的时间和日期等制成报告，报告一式两份；如在</w:t>
      </w:r>
      <w:r>
        <w:rPr>
          <w:rFonts w:hint="eastAsia"/>
          <w:highlight w:val="none"/>
        </w:rPr>
        <w:t>保修期结束时仍未完成修理的，则保修期自动顺延到修理工作完成之后</w:t>
      </w:r>
      <w:r>
        <w:rPr>
          <w:rFonts w:hint="eastAsia" w:ascii="宋体" w:hAnsi="宋体"/>
          <w:szCs w:val="24"/>
          <w:highlight w:val="none"/>
        </w:rPr>
        <w:t>。</w:t>
      </w:r>
    </w:p>
    <w:p>
      <w:pPr>
        <w:numPr>
          <w:ilvl w:val="0"/>
          <w:numId w:val="4"/>
        </w:numPr>
        <w:ind w:left="283" w:firstLine="482" w:firstLineChars="0"/>
        <w:rPr>
          <w:rFonts w:hint="eastAsia"/>
          <w:b/>
          <w:highlight w:val="none"/>
        </w:rPr>
      </w:pPr>
      <w:r>
        <w:rPr>
          <w:rFonts w:hint="eastAsia"/>
          <w:b/>
          <w:highlight w:val="none"/>
        </w:rPr>
        <w:t>应用系统功能调整服务</w:t>
      </w:r>
    </w:p>
    <w:p>
      <w:pPr>
        <w:ind w:firstLine="470" w:firstLineChars="196"/>
        <w:rPr>
          <w:rFonts w:hint="eastAsia"/>
          <w:highlight w:val="none"/>
        </w:rPr>
      </w:pPr>
      <w:r>
        <w:rPr>
          <w:rFonts w:hint="eastAsia"/>
          <w:highlight w:val="none"/>
        </w:rPr>
        <w:t>供应商在接到相关业务部门书面形式描述的部分更改要求后，与相关业务部门一起对需求进行确认，并对应用系统修改功能的实现提出书面的方案，由相关业务部门协调对应用修改方案进行确认并反馈给维护单位。</w:t>
      </w:r>
    </w:p>
    <w:p>
      <w:pPr>
        <w:ind w:firstLine="470" w:firstLineChars="196"/>
        <w:rPr>
          <w:rFonts w:hint="eastAsia"/>
          <w:b/>
          <w:highlight w:val="none"/>
        </w:rPr>
      </w:pPr>
      <w:r>
        <w:rPr>
          <w:rFonts w:hint="eastAsia"/>
          <w:highlight w:val="none"/>
        </w:rPr>
        <w:t>由于业务调整，维护单位需要对应用系统进行相应的功能调整服务。提供的服务包括：</w:t>
      </w:r>
    </w:p>
    <w:p>
      <w:pPr>
        <w:pStyle w:val="137"/>
        <w:numPr>
          <w:ilvl w:val="0"/>
          <w:numId w:val="5"/>
        </w:numPr>
        <w:spacing w:after="0"/>
        <w:ind w:firstLineChars="0"/>
        <w:rPr>
          <w:rFonts w:hint="eastAsia" w:ascii="宋体" w:hAnsi="宋体"/>
          <w:szCs w:val="24"/>
          <w:highlight w:val="none"/>
        </w:rPr>
      </w:pPr>
      <w:r>
        <w:rPr>
          <w:rFonts w:hint="eastAsia" w:ascii="宋体" w:hAnsi="宋体"/>
          <w:szCs w:val="24"/>
          <w:highlight w:val="none"/>
        </w:rPr>
        <w:t>应用方案的提出和论证：结合系统原来设计的结构和总体框架，对变化的需求或增加的需求进行可行性分析，整理并提出可行的方案，并与业务部门或其他用户一起对方案进行论证和确认。</w:t>
      </w:r>
    </w:p>
    <w:p>
      <w:pPr>
        <w:pStyle w:val="137"/>
        <w:numPr>
          <w:ilvl w:val="0"/>
          <w:numId w:val="5"/>
        </w:numPr>
        <w:spacing w:after="0"/>
        <w:ind w:firstLineChars="0"/>
        <w:rPr>
          <w:rFonts w:hint="eastAsia" w:ascii="宋体" w:hAnsi="宋体"/>
          <w:szCs w:val="24"/>
          <w:highlight w:val="none"/>
        </w:rPr>
      </w:pPr>
      <w:r>
        <w:rPr>
          <w:rFonts w:hint="eastAsia" w:ascii="宋体" w:hAnsi="宋体"/>
          <w:szCs w:val="24"/>
          <w:highlight w:val="none"/>
        </w:rPr>
        <w:t>修改应用系统相关的技术文档：根据应用修改的实际情况变更相关的应用技术文档，包括：需求文档、分析设计文档、测试文档、使用手册。</w:t>
      </w:r>
    </w:p>
    <w:p>
      <w:pPr>
        <w:pStyle w:val="137"/>
        <w:numPr>
          <w:ilvl w:val="0"/>
          <w:numId w:val="5"/>
        </w:numPr>
        <w:spacing w:after="0"/>
        <w:ind w:firstLineChars="0"/>
        <w:rPr>
          <w:rFonts w:hint="eastAsia" w:ascii="宋体" w:hAnsi="宋体"/>
          <w:szCs w:val="24"/>
          <w:highlight w:val="none"/>
        </w:rPr>
      </w:pPr>
      <w:r>
        <w:rPr>
          <w:rFonts w:hint="eastAsia" w:ascii="宋体" w:hAnsi="宋体"/>
          <w:szCs w:val="24"/>
          <w:highlight w:val="none"/>
        </w:rPr>
        <w:t>应用实现：实现对应用系统功能的修改，包括：对应用程序进行修改或增加功能，对实际运行的数据库结构进行修改，修改数据的复制逻辑，修改、调整相关的字典设置，应用系统功能的测试。</w:t>
      </w:r>
    </w:p>
    <w:p>
      <w:pPr>
        <w:pStyle w:val="137"/>
        <w:numPr>
          <w:ilvl w:val="0"/>
          <w:numId w:val="5"/>
        </w:numPr>
        <w:spacing w:after="0"/>
        <w:ind w:firstLineChars="0"/>
        <w:rPr>
          <w:rFonts w:hint="eastAsia" w:ascii="宋体" w:hAnsi="宋体"/>
          <w:szCs w:val="24"/>
          <w:highlight w:val="none"/>
        </w:rPr>
      </w:pPr>
      <w:r>
        <w:rPr>
          <w:rFonts w:hint="eastAsia" w:ascii="宋体" w:hAnsi="宋体"/>
          <w:szCs w:val="24"/>
          <w:highlight w:val="none"/>
        </w:rPr>
        <w:t>调整后功能推广：新功能的推广使用，包括：版本的升级、编写功能更新的说明、必要的用户培训、功能试用期间的支持。</w:t>
      </w:r>
    </w:p>
    <w:p>
      <w:pPr>
        <w:numPr>
          <w:ilvl w:val="0"/>
          <w:numId w:val="4"/>
        </w:numPr>
        <w:ind w:left="283" w:firstLine="482" w:firstLineChars="0"/>
        <w:rPr>
          <w:rFonts w:hint="eastAsia"/>
          <w:b/>
          <w:highlight w:val="none"/>
        </w:rPr>
      </w:pPr>
      <w:r>
        <w:rPr>
          <w:rFonts w:hint="eastAsia"/>
          <w:b/>
          <w:highlight w:val="none"/>
        </w:rPr>
        <w:t>系统接口支持配合服务</w:t>
      </w:r>
    </w:p>
    <w:p>
      <w:pPr>
        <w:pStyle w:val="108"/>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由其他公司承担开发并需要与本系统衔接的系统，提供接口部分的技术支持和相关部分的实施配合。</w:t>
      </w:r>
    </w:p>
    <w:p>
      <w:pPr>
        <w:pStyle w:val="4"/>
        <w:ind w:left="425"/>
        <w:rPr>
          <w:rFonts w:hint="eastAsia" w:asciiTheme="minorEastAsia" w:hAnsiTheme="minorEastAsia" w:eastAsiaTheme="minorEastAsia"/>
          <w:sz w:val="28"/>
          <w:szCs w:val="28"/>
          <w:highlight w:val="none"/>
        </w:rPr>
      </w:pPr>
      <w:bookmarkStart w:id="28" w:name="_Toc63785506"/>
      <w:r>
        <w:rPr>
          <w:rFonts w:hint="eastAsia" w:asciiTheme="minorEastAsia" w:hAnsiTheme="minorEastAsia" w:eastAsiaTheme="minorEastAsia"/>
          <w:sz w:val="28"/>
          <w:szCs w:val="28"/>
          <w:highlight w:val="none"/>
        </w:rPr>
        <w:t>应急响应要求</w:t>
      </w:r>
      <w:bookmarkEnd w:id="28"/>
    </w:p>
    <w:p>
      <w:pPr>
        <w:pStyle w:val="108"/>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供应商对系统故障应能够实时响应，若系统发生故障，接到通知后</w:t>
      </w:r>
      <w:r>
        <w:rPr>
          <w:rFonts w:ascii="宋体" w:hAnsi="宋体"/>
          <w:sz w:val="24"/>
          <w:szCs w:val="24"/>
          <w:highlight w:val="none"/>
        </w:rPr>
        <w:t>30分钟之内响应，专业工程师2小时内到达现场</w:t>
      </w:r>
      <w:r>
        <w:rPr>
          <w:rFonts w:hint="eastAsia" w:ascii="宋体" w:hAnsi="宋体"/>
          <w:sz w:val="24"/>
          <w:szCs w:val="24"/>
          <w:highlight w:val="none"/>
        </w:rPr>
        <w:t>。特殊故障与客户沟通协商后，按照协商的方式制定解决方案并进行处理。</w:t>
      </w:r>
    </w:p>
    <w:p>
      <w:pPr>
        <w:pStyle w:val="108"/>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具体故障级别及对应的应急响应要求如下：</w:t>
      </w:r>
    </w:p>
    <w:p>
      <w:pPr>
        <w:pStyle w:val="108"/>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一级故障：在</w:t>
      </w:r>
      <w:r>
        <w:rPr>
          <w:rFonts w:ascii="宋体" w:hAnsi="宋体"/>
          <w:sz w:val="24"/>
          <w:szCs w:val="24"/>
          <w:highlight w:val="none"/>
        </w:rPr>
        <w:t>1小时内确诊，总故障解决时间不超过4小时。</w:t>
      </w:r>
    </w:p>
    <w:p>
      <w:pPr>
        <w:pStyle w:val="108"/>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二级故障：在</w:t>
      </w:r>
      <w:r>
        <w:rPr>
          <w:rFonts w:ascii="宋体" w:hAnsi="宋体"/>
          <w:sz w:val="24"/>
          <w:szCs w:val="24"/>
          <w:highlight w:val="none"/>
        </w:rPr>
        <w:t>2小时内确诊，并在4小时内由专家到达现场确诊并解决，总故障解决时间不超过8小时；</w:t>
      </w:r>
    </w:p>
    <w:p>
      <w:pPr>
        <w:pStyle w:val="108"/>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三、四级故障：在</w:t>
      </w:r>
      <w:r>
        <w:rPr>
          <w:rFonts w:ascii="宋体" w:hAnsi="宋体"/>
          <w:sz w:val="24"/>
          <w:szCs w:val="24"/>
          <w:highlight w:val="none"/>
        </w:rPr>
        <w:t>4小时内确诊故障，总故障解决时间不超过16小时。</w:t>
      </w:r>
    </w:p>
    <w:p>
      <w:pPr>
        <w:pStyle w:val="4"/>
        <w:ind w:left="425"/>
        <w:rPr>
          <w:rFonts w:hint="eastAsia" w:asciiTheme="minorEastAsia" w:hAnsiTheme="minorEastAsia" w:eastAsiaTheme="minorEastAsia"/>
          <w:sz w:val="28"/>
          <w:szCs w:val="28"/>
          <w:highlight w:val="none"/>
        </w:rPr>
      </w:pPr>
      <w:bookmarkStart w:id="29" w:name="_Toc63785507"/>
      <w:r>
        <w:rPr>
          <w:rFonts w:hint="eastAsia" w:asciiTheme="minorEastAsia" w:hAnsiTheme="minorEastAsia" w:eastAsiaTheme="minorEastAsia"/>
          <w:sz w:val="28"/>
          <w:szCs w:val="28"/>
          <w:highlight w:val="none"/>
        </w:rPr>
        <w:t>培训要求</w:t>
      </w:r>
      <w:bookmarkEnd w:id="29"/>
    </w:p>
    <w:p>
      <w:pPr>
        <w:rPr>
          <w:rFonts w:hint="eastAsia"/>
          <w:highlight w:val="none"/>
        </w:rPr>
      </w:pPr>
      <w:r>
        <w:rPr>
          <w:rFonts w:hint="eastAsia"/>
          <w:highlight w:val="none"/>
        </w:rPr>
        <w:t>对系统使用单位提供业务操作培训，应提供详细培训方案。</w:t>
      </w:r>
    </w:p>
    <w:p>
      <w:pPr>
        <w:rPr>
          <w:rFonts w:hint="eastAsia"/>
          <w:highlight w:val="none"/>
        </w:rPr>
      </w:pPr>
      <w:r>
        <w:rPr>
          <w:rFonts w:hint="eastAsia"/>
          <w:highlight w:val="none"/>
        </w:rPr>
        <w:t>(1)在12个月的质量保证期内，提供2次与项目相关的必要培训。</w:t>
      </w:r>
    </w:p>
    <w:p>
      <w:pPr>
        <w:rPr>
          <w:rFonts w:hint="eastAsia"/>
          <w:highlight w:val="none"/>
        </w:rPr>
      </w:pPr>
      <w:r>
        <w:rPr>
          <w:rFonts w:hint="eastAsia"/>
          <w:highlight w:val="none"/>
        </w:rPr>
        <w:t>(2)供应商需要开展分层次的人员培训工作，每次培训后应对参加培训人员进行测试，评估培训成果。培训应具有培训教材、培训环境和高水平的培训讲师。</w:t>
      </w:r>
    </w:p>
    <w:p>
      <w:pPr>
        <w:rPr>
          <w:rFonts w:hint="eastAsia"/>
          <w:highlight w:val="none"/>
        </w:rPr>
      </w:pPr>
      <w:r>
        <w:rPr>
          <w:rFonts w:hint="eastAsia"/>
          <w:highlight w:val="none"/>
        </w:rPr>
        <w:t>(3)供应商应提供一般用户的基础操作培训和部门信息管理员的日常应用维护的培训，确保用户对象能够掌握对应的操作技能。</w:t>
      </w:r>
    </w:p>
    <w:p>
      <w:pPr>
        <w:pStyle w:val="4"/>
        <w:ind w:left="425"/>
        <w:rPr>
          <w:rFonts w:hint="eastAsia" w:asciiTheme="minorEastAsia" w:hAnsiTheme="minorEastAsia" w:eastAsiaTheme="minorEastAsia"/>
          <w:sz w:val="28"/>
          <w:szCs w:val="28"/>
          <w:highlight w:val="none"/>
        </w:rPr>
      </w:pPr>
      <w:bookmarkStart w:id="30" w:name="_Toc63785508"/>
      <w:r>
        <w:rPr>
          <w:rFonts w:hint="eastAsia" w:asciiTheme="minorEastAsia" w:hAnsiTheme="minorEastAsia" w:eastAsiaTheme="minorEastAsia"/>
          <w:sz w:val="28"/>
          <w:szCs w:val="28"/>
          <w:highlight w:val="none"/>
        </w:rPr>
        <w:t>验收要求</w:t>
      </w:r>
      <w:bookmarkEnd w:id="30"/>
    </w:p>
    <w:p>
      <w:pPr>
        <w:rPr>
          <w:rFonts w:hint="eastAsia"/>
          <w:szCs w:val="21"/>
          <w:highlight w:val="none"/>
        </w:rPr>
      </w:pPr>
      <w:r>
        <w:rPr>
          <w:rFonts w:hint="eastAsia"/>
          <w:szCs w:val="21"/>
          <w:highlight w:val="none"/>
        </w:rPr>
        <w:t>本项目按下述方式开展验收。</w:t>
      </w:r>
    </w:p>
    <w:p>
      <w:pPr>
        <w:rPr>
          <w:rFonts w:hint="eastAsia"/>
          <w:szCs w:val="21"/>
          <w:highlight w:val="none"/>
        </w:rPr>
      </w:pPr>
      <w:r>
        <w:rPr>
          <w:rFonts w:hint="eastAsia"/>
          <w:szCs w:val="21"/>
          <w:highlight w:val="none"/>
        </w:rPr>
        <w:t>（</w:t>
      </w:r>
      <w:r>
        <w:rPr>
          <w:szCs w:val="21"/>
          <w:highlight w:val="none"/>
        </w:rPr>
        <w:t>1）验收分初验和终验。</w:t>
      </w:r>
    </w:p>
    <w:p>
      <w:pPr>
        <w:rPr>
          <w:rFonts w:hint="eastAsia"/>
          <w:szCs w:val="21"/>
          <w:highlight w:val="none"/>
        </w:rPr>
      </w:pPr>
      <w:r>
        <w:rPr>
          <w:rFonts w:hint="eastAsia"/>
          <w:szCs w:val="21"/>
          <w:highlight w:val="none"/>
        </w:rPr>
        <w:t>（</w:t>
      </w:r>
      <w:r>
        <w:rPr>
          <w:szCs w:val="21"/>
          <w:highlight w:val="none"/>
        </w:rPr>
        <w:t>2）初验前，供应商须完成软件开发、软硬件安装和信息系统的调试等，并对本项目进行功能和运行检测，确保所有信息系统功能模块能够正常运行且已达到本项目约定的各类标准要求。供应商应以书面形式向</w:t>
      </w:r>
      <w:r>
        <w:rPr>
          <w:rFonts w:hint="eastAsia"/>
          <w:szCs w:val="21"/>
          <w:highlight w:val="none"/>
          <w:lang w:eastAsia="zh-CN"/>
        </w:rPr>
        <w:t>采购人</w:t>
      </w:r>
      <w:r>
        <w:rPr>
          <w:szCs w:val="21"/>
          <w:highlight w:val="none"/>
        </w:rPr>
        <w:t>递交初验通知书。</w:t>
      </w:r>
      <w:r>
        <w:rPr>
          <w:rFonts w:hint="eastAsia"/>
          <w:szCs w:val="21"/>
          <w:highlight w:val="none"/>
          <w:lang w:eastAsia="zh-CN"/>
        </w:rPr>
        <w:t>采购人</w:t>
      </w:r>
      <w:r>
        <w:rPr>
          <w:szCs w:val="21"/>
          <w:highlight w:val="none"/>
        </w:rPr>
        <w:t>应当在接到通知后的5个工作日内确定初验的具体日期，由双方按照本项目的约定完成本项目的初验。</w:t>
      </w:r>
      <w:r>
        <w:rPr>
          <w:rFonts w:hint="eastAsia"/>
          <w:szCs w:val="21"/>
          <w:highlight w:val="none"/>
          <w:lang w:eastAsia="zh-CN"/>
        </w:rPr>
        <w:t>采购人</w:t>
      </w:r>
      <w:r>
        <w:rPr>
          <w:szCs w:val="21"/>
          <w:highlight w:val="none"/>
        </w:rPr>
        <w:t>有权委托第三方检测机构进行验收，对此供应商应当配合。</w:t>
      </w:r>
    </w:p>
    <w:p>
      <w:pPr>
        <w:rPr>
          <w:rFonts w:hint="eastAsia"/>
          <w:szCs w:val="21"/>
          <w:highlight w:val="none"/>
        </w:rPr>
      </w:pPr>
      <w:r>
        <w:rPr>
          <w:rFonts w:hint="eastAsia"/>
          <w:szCs w:val="21"/>
          <w:highlight w:val="none"/>
        </w:rPr>
        <w:t>（</w:t>
      </w:r>
      <w:r>
        <w:rPr>
          <w:szCs w:val="21"/>
          <w:highlight w:val="none"/>
        </w:rPr>
        <w:t>3）初验时，供应商须提供软件文档包括《用户需求说明书》、《系统概要设计说明书》、《系统详细设计说明书》、</w:t>
      </w:r>
      <w:r>
        <w:rPr>
          <w:rFonts w:hint="eastAsia"/>
          <w:szCs w:val="21"/>
          <w:highlight w:val="none"/>
        </w:rPr>
        <w:t>《三方功能需求确认单》、</w:t>
      </w:r>
      <w:r>
        <w:rPr>
          <w:szCs w:val="21"/>
          <w:highlight w:val="none"/>
        </w:rP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szCs w:val="21"/>
          <w:highlight w:val="none"/>
          <w:lang w:eastAsia="zh-CN"/>
        </w:rPr>
        <w:t>采购人</w:t>
      </w:r>
      <w:r>
        <w:rPr>
          <w:szCs w:val="21"/>
          <w:highlight w:val="none"/>
        </w:rPr>
        <w:t>应向供应商出具书面报告，陈述需要改进的缺陷。供应商应立即严格依照</w:t>
      </w:r>
      <w:r>
        <w:rPr>
          <w:rFonts w:hint="eastAsia"/>
          <w:szCs w:val="21"/>
          <w:highlight w:val="none"/>
          <w:lang w:eastAsia="zh-CN"/>
        </w:rPr>
        <w:t>采购人</w:t>
      </w:r>
      <w:r>
        <w:rPr>
          <w:szCs w:val="21"/>
          <w:highlight w:val="none"/>
        </w:rPr>
        <w:t>的书面报告中的要求改进缺陷，并再次进行初验。</w:t>
      </w:r>
    </w:p>
    <w:p>
      <w:pPr>
        <w:rPr>
          <w:rFonts w:hint="eastAsia"/>
          <w:szCs w:val="21"/>
          <w:highlight w:val="none"/>
        </w:rPr>
      </w:pPr>
      <w:r>
        <w:rPr>
          <w:rFonts w:hint="eastAsia"/>
          <w:szCs w:val="21"/>
          <w:highlight w:val="none"/>
        </w:rPr>
        <w:t>（</w:t>
      </w:r>
      <w:r>
        <w:rPr>
          <w:szCs w:val="21"/>
          <w:highlight w:val="none"/>
        </w:rPr>
        <w:t>4）自初验通过之日起，</w:t>
      </w:r>
      <w:r>
        <w:rPr>
          <w:rFonts w:hint="eastAsia"/>
          <w:szCs w:val="21"/>
          <w:highlight w:val="none"/>
          <w:lang w:eastAsia="zh-CN"/>
        </w:rPr>
        <w:t>采购人</w:t>
      </w:r>
      <w:r>
        <w:rPr>
          <w:szCs w:val="21"/>
          <w:highlight w:val="none"/>
        </w:rPr>
        <w:t>享有供应商免费提供的</w:t>
      </w:r>
      <w:r>
        <w:rPr>
          <w:rFonts w:hint="eastAsia"/>
          <w:szCs w:val="21"/>
          <w:highlight w:val="none"/>
        </w:rPr>
        <w:t>30</w:t>
      </w:r>
      <w:r>
        <w:rPr>
          <w:szCs w:val="21"/>
          <w:highlight w:val="none"/>
        </w:rPr>
        <w:t>天的信息系统试运行现场驻场服务期。该期间内，供应商应当按照</w:t>
      </w:r>
      <w:r>
        <w:rPr>
          <w:rFonts w:hint="eastAsia"/>
          <w:szCs w:val="21"/>
          <w:highlight w:val="none"/>
          <w:lang w:eastAsia="zh-CN"/>
        </w:rPr>
        <w:t>采购人</w:t>
      </w:r>
      <w:r>
        <w:rPr>
          <w:szCs w:val="21"/>
          <w:highlight w:val="none"/>
        </w:rPr>
        <w:t>的要求提供现场技术支持服务，解决信息系统试运行期间可能出现的各类问题，或进一步提高与完善信息系统运行水平。</w:t>
      </w:r>
    </w:p>
    <w:p>
      <w:pPr>
        <w:rPr>
          <w:rFonts w:hint="eastAsia"/>
          <w:szCs w:val="21"/>
          <w:highlight w:val="none"/>
        </w:rPr>
      </w:pPr>
      <w:r>
        <w:rPr>
          <w:rFonts w:hint="eastAsia"/>
          <w:szCs w:val="21"/>
          <w:highlight w:val="none"/>
        </w:rPr>
        <w:t>（</w:t>
      </w:r>
      <w:r>
        <w:rPr>
          <w:szCs w:val="21"/>
          <w:highlight w:val="none"/>
        </w:rPr>
        <w:t>5）初验通过且信息系统试运行期已经达到本项目约定的时间，经供应商确认信息系统具备正常运行条件，且信息系统通过运行测试，供应商应以书面形式通知</w:t>
      </w:r>
      <w:r>
        <w:rPr>
          <w:rFonts w:hint="eastAsia"/>
          <w:szCs w:val="21"/>
          <w:highlight w:val="none"/>
          <w:lang w:eastAsia="zh-CN"/>
        </w:rPr>
        <w:t>采购人</w:t>
      </w:r>
      <w:r>
        <w:rPr>
          <w:szCs w:val="21"/>
          <w:highlight w:val="none"/>
        </w:rPr>
        <w:t>信息系统已准备就绪等待终验。</w:t>
      </w:r>
      <w:r>
        <w:rPr>
          <w:rFonts w:hint="eastAsia"/>
          <w:szCs w:val="21"/>
          <w:highlight w:val="none"/>
          <w:lang w:eastAsia="zh-CN"/>
        </w:rPr>
        <w:t>采购人</w:t>
      </w:r>
      <w:r>
        <w:rPr>
          <w:szCs w:val="21"/>
          <w:highlight w:val="none"/>
        </w:rPr>
        <w:t>在收到终验通知后的</w:t>
      </w:r>
      <w:r>
        <w:rPr>
          <w:rFonts w:hint="eastAsia"/>
          <w:szCs w:val="21"/>
          <w:highlight w:val="none"/>
        </w:rPr>
        <w:t>10</w:t>
      </w:r>
      <w:r>
        <w:rPr>
          <w:szCs w:val="21"/>
          <w:highlight w:val="none"/>
        </w:rPr>
        <w:t>个工作日内发起组织专家验收会。</w:t>
      </w:r>
    </w:p>
    <w:p>
      <w:pPr>
        <w:rPr>
          <w:rFonts w:hint="eastAsia"/>
          <w:szCs w:val="21"/>
          <w:highlight w:val="none"/>
        </w:rPr>
      </w:pPr>
      <w:r>
        <w:rPr>
          <w:rFonts w:hint="eastAsia"/>
          <w:szCs w:val="21"/>
          <w:highlight w:val="none"/>
        </w:rPr>
        <w:t>（6</w:t>
      </w:r>
      <w:r>
        <w:rPr>
          <w:szCs w:val="21"/>
          <w:highlight w:val="none"/>
        </w:rPr>
        <w:t>）如果属于供应商原因致使本项目未能通过终验，供应商应当排除缺陷，直至本项目完全符合验收标准，由上述情形而产生的相关费用应由供应商自行承担。</w:t>
      </w:r>
    </w:p>
    <w:p>
      <w:pPr>
        <w:rPr>
          <w:rFonts w:hint="eastAsia"/>
          <w:szCs w:val="21"/>
          <w:highlight w:val="none"/>
        </w:rPr>
      </w:pPr>
      <w:r>
        <w:rPr>
          <w:rFonts w:hint="eastAsia"/>
          <w:szCs w:val="21"/>
          <w:highlight w:val="none"/>
        </w:rPr>
        <w:t>（7</w:t>
      </w:r>
      <w:r>
        <w:rPr>
          <w:szCs w:val="21"/>
          <w:highlight w:val="none"/>
        </w:rPr>
        <w:t>）如果由于</w:t>
      </w:r>
      <w:r>
        <w:rPr>
          <w:rFonts w:hint="eastAsia"/>
          <w:szCs w:val="21"/>
          <w:highlight w:val="none"/>
          <w:lang w:eastAsia="zh-CN"/>
        </w:rPr>
        <w:t>采购人</w:t>
      </w:r>
      <w:r>
        <w:rPr>
          <w:szCs w:val="21"/>
          <w:highlight w:val="none"/>
        </w:rPr>
        <w:t>原因导致本项目在终验通过前出现故障或问题，供应商应及时配合排除该方面的故障或问题。</w:t>
      </w:r>
    </w:p>
    <w:p>
      <w:pPr>
        <w:rPr>
          <w:rFonts w:hint="eastAsia"/>
          <w:szCs w:val="21"/>
          <w:highlight w:val="none"/>
        </w:rPr>
      </w:pPr>
      <w:r>
        <w:rPr>
          <w:rFonts w:hint="eastAsia"/>
          <w:szCs w:val="21"/>
          <w:highlight w:val="none"/>
        </w:rPr>
        <w:t>（8</w:t>
      </w:r>
      <w:r>
        <w:rPr>
          <w:szCs w:val="21"/>
          <w:highlight w:val="none"/>
        </w:rPr>
        <w:t>）如本项目连续3次验收未通过（含初验未通过或终验未通过），</w:t>
      </w:r>
      <w:r>
        <w:rPr>
          <w:rFonts w:hint="eastAsia"/>
          <w:szCs w:val="21"/>
          <w:highlight w:val="none"/>
          <w:lang w:eastAsia="zh-CN"/>
        </w:rPr>
        <w:t>采购人</w:t>
      </w:r>
      <w:r>
        <w:rPr>
          <w:szCs w:val="21"/>
          <w:highlight w:val="none"/>
        </w:rPr>
        <w:t>有权解除项目，并有权依照本项目约定的违约条款追究供应商的违约责任。</w:t>
      </w:r>
    </w:p>
    <w:p>
      <w:pPr>
        <w:pStyle w:val="4"/>
        <w:ind w:left="425"/>
        <w:rPr>
          <w:rFonts w:hint="eastAsia" w:asciiTheme="minorEastAsia" w:hAnsiTheme="minorEastAsia" w:eastAsiaTheme="minorEastAsia"/>
          <w:sz w:val="28"/>
          <w:szCs w:val="28"/>
          <w:highlight w:val="none"/>
        </w:rPr>
      </w:pPr>
      <w:bookmarkStart w:id="31" w:name="_Toc63785509"/>
      <w:r>
        <w:rPr>
          <w:rFonts w:hint="eastAsia" w:asciiTheme="minorEastAsia" w:hAnsiTheme="minorEastAsia" w:eastAsiaTheme="minorEastAsia"/>
          <w:sz w:val="28"/>
          <w:szCs w:val="28"/>
          <w:highlight w:val="none"/>
        </w:rPr>
        <w:t>进度要求</w:t>
      </w:r>
      <w:bookmarkEnd w:id="31"/>
    </w:p>
    <w:p>
      <w:pPr>
        <w:rPr>
          <w:rFonts w:hint="eastAsia"/>
          <w:highlight w:val="none"/>
        </w:rPr>
      </w:pPr>
      <w:r>
        <w:rPr>
          <w:rFonts w:hint="eastAsia"/>
          <w:highlight w:val="none"/>
        </w:rPr>
        <w:t>投标人应根据建设内容，分阶段制定合理的时间进度，并且应根据</w:t>
      </w:r>
      <w:r>
        <w:rPr>
          <w:rFonts w:hint="eastAsia"/>
          <w:highlight w:val="none"/>
          <w:lang w:eastAsia="zh-CN"/>
        </w:rPr>
        <w:t>采购人</w:t>
      </w:r>
      <w:r>
        <w:rPr>
          <w:rFonts w:hint="eastAsia"/>
          <w:highlight w:val="none"/>
        </w:rPr>
        <w:t>要求进行调整和细化。</w:t>
      </w:r>
    </w:p>
    <w:p>
      <w:pPr>
        <w:rPr>
          <w:rFonts w:hint="eastAsia"/>
          <w:highlight w:val="none"/>
        </w:rPr>
      </w:pPr>
      <w:r>
        <w:rPr>
          <w:rFonts w:hint="eastAsia"/>
          <w:highlight w:val="none"/>
        </w:rPr>
        <w:t>总建设周期为自合同签订之日后6个月内完成项目建设及验收，分为4个阶段。</w:t>
      </w:r>
    </w:p>
    <w:p>
      <w:pPr>
        <w:rPr>
          <w:rFonts w:hint="eastAsia"/>
          <w:highlight w:val="none"/>
        </w:rPr>
      </w:pPr>
      <w:r>
        <w:rPr>
          <w:rFonts w:hint="eastAsia"/>
          <w:highlight w:val="none"/>
        </w:rPr>
        <w:t>第一阶段为T0+30日，完成平台规划设计工作。</w:t>
      </w:r>
    </w:p>
    <w:p>
      <w:pPr>
        <w:rPr>
          <w:rFonts w:hint="eastAsia"/>
          <w:highlight w:val="none"/>
        </w:rPr>
      </w:pPr>
      <w:r>
        <w:rPr>
          <w:rFonts w:hint="eastAsia"/>
          <w:highlight w:val="none"/>
        </w:rPr>
        <w:t>第二阶段为T0+140日，完成平台信息化各项能力的开发工作。</w:t>
      </w:r>
    </w:p>
    <w:p>
      <w:pPr>
        <w:rPr>
          <w:rFonts w:hint="eastAsia"/>
          <w:highlight w:val="none"/>
        </w:rPr>
      </w:pPr>
      <w:r>
        <w:rPr>
          <w:rFonts w:hint="eastAsia"/>
          <w:highlight w:val="none"/>
        </w:rPr>
        <w:t>第三阶段为T0+170日，完成平台试运行及迭代工作。</w:t>
      </w:r>
    </w:p>
    <w:p>
      <w:pPr>
        <w:rPr>
          <w:rFonts w:hint="eastAsia"/>
          <w:highlight w:val="none"/>
        </w:rPr>
      </w:pPr>
      <w:r>
        <w:rPr>
          <w:rFonts w:hint="eastAsia"/>
          <w:highlight w:val="none"/>
        </w:rPr>
        <w:t>第四阶段为T0+180日，完成验收工作。</w:t>
      </w:r>
    </w:p>
    <w:p>
      <w:pPr>
        <w:rPr>
          <w:rFonts w:hint="eastAsia"/>
          <w:highlight w:val="none"/>
        </w:rPr>
      </w:pPr>
    </w:p>
    <w:p>
      <w:pPr>
        <w:pStyle w:val="4"/>
        <w:ind w:left="425"/>
        <w:rPr>
          <w:rFonts w:hint="eastAsia" w:asciiTheme="minorEastAsia" w:hAnsiTheme="minorEastAsia" w:eastAsiaTheme="minorEastAsia"/>
          <w:sz w:val="28"/>
          <w:szCs w:val="28"/>
          <w:highlight w:val="none"/>
        </w:rPr>
      </w:pPr>
      <w:bookmarkStart w:id="32" w:name="_Toc63785510"/>
      <w:r>
        <w:rPr>
          <w:rFonts w:hint="eastAsia" w:asciiTheme="minorEastAsia" w:hAnsiTheme="minorEastAsia" w:eastAsiaTheme="minorEastAsia"/>
          <w:sz w:val="28"/>
          <w:szCs w:val="28"/>
          <w:highlight w:val="none"/>
        </w:rPr>
        <w:t>项目团队及驻场人员要求</w:t>
      </w:r>
      <w:bookmarkEnd w:id="32"/>
    </w:p>
    <w:p>
      <w:pPr>
        <w:rPr>
          <w:rFonts w:hint="eastAsia"/>
          <w:highlight w:val="none"/>
        </w:rPr>
      </w:pPr>
      <w:bookmarkStart w:id="33" w:name="_Toc63785511"/>
      <w:r>
        <w:rPr>
          <w:highlight w:val="none"/>
        </w:rPr>
        <w:t>1）投标人须具有稳定的在职技术保障力量，能够提供及时的技术支援或服务，应针对本项目提供不少于</w:t>
      </w:r>
      <w:r>
        <w:rPr>
          <w:rFonts w:hint="eastAsia"/>
          <w:highlight w:val="none"/>
        </w:rPr>
        <w:t>52</w:t>
      </w:r>
      <w:r>
        <w:rPr>
          <w:highlight w:val="none"/>
        </w:rPr>
        <w:t>人的项目服务团队（包括项目经理、产品经理、研发等），投标单位的相关服务人员需具备相应的服务能力，需提供相关证明。</w:t>
      </w:r>
    </w:p>
    <w:tbl>
      <w:tblPr>
        <w:tblStyle w:val="36"/>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882"/>
        <w:gridCol w:w="1180"/>
        <w:gridCol w:w="1941"/>
        <w:gridCol w:w="1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b/>
                <w:sz w:val="18"/>
                <w:szCs w:val="18"/>
                <w:highlight w:val="none"/>
              </w:rPr>
            </w:pPr>
            <w:r>
              <w:rPr>
                <w:rFonts w:hint="eastAsia"/>
                <w:b/>
                <w:sz w:val="18"/>
                <w:szCs w:val="18"/>
                <w:highlight w:val="none"/>
              </w:rPr>
              <w:t>角色</w:t>
            </w:r>
          </w:p>
        </w:tc>
        <w:tc>
          <w:tcPr>
            <w:tcW w:w="2882" w:type="dxa"/>
            <w:noWrap/>
            <w:vAlign w:val="center"/>
          </w:tcPr>
          <w:p>
            <w:pPr>
              <w:widowControl/>
              <w:spacing w:line="240" w:lineRule="auto"/>
              <w:ind w:firstLine="0" w:firstLineChars="0"/>
              <w:jc w:val="center"/>
              <w:rPr>
                <w:rFonts w:hint="eastAsia"/>
                <w:b/>
                <w:sz w:val="18"/>
                <w:szCs w:val="18"/>
                <w:highlight w:val="none"/>
              </w:rPr>
            </w:pPr>
            <w:r>
              <w:rPr>
                <w:rFonts w:hint="eastAsia"/>
                <w:b/>
                <w:sz w:val="18"/>
                <w:szCs w:val="18"/>
                <w:highlight w:val="none"/>
              </w:rPr>
              <w:t>主要职责</w:t>
            </w:r>
          </w:p>
        </w:tc>
        <w:tc>
          <w:tcPr>
            <w:tcW w:w="1180" w:type="dxa"/>
            <w:noWrap/>
            <w:vAlign w:val="center"/>
          </w:tcPr>
          <w:p>
            <w:pPr>
              <w:widowControl/>
              <w:spacing w:line="240" w:lineRule="auto"/>
              <w:ind w:firstLine="0" w:firstLineChars="0"/>
              <w:jc w:val="center"/>
              <w:rPr>
                <w:rFonts w:hint="eastAsia"/>
                <w:b/>
                <w:sz w:val="18"/>
                <w:szCs w:val="18"/>
                <w:highlight w:val="none"/>
              </w:rPr>
            </w:pPr>
            <w:r>
              <w:rPr>
                <w:rFonts w:hint="eastAsia"/>
                <w:b/>
                <w:sz w:val="18"/>
                <w:szCs w:val="18"/>
                <w:highlight w:val="none"/>
              </w:rPr>
              <w:t>人员数量</w:t>
            </w:r>
          </w:p>
        </w:tc>
        <w:tc>
          <w:tcPr>
            <w:tcW w:w="1941" w:type="dxa"/>
            <w:vAlign w:val="center"/>
          </w:tcPr>
          <w:p>
            <w:pPr>
              <w:widowControl/>
              <w:spacing w:line="240" w:lineRule="auto"/>
              <w:ind w:firstLine="0" w:firstLineChars="0"/>
              <w:jc w:val="center"/>
              <w:rPr>
                <w:rFonts w:hint="eastAsia"/>
                <w:b/>
                <w:sz w:val="18"/>
                <w:szCs w:val="18"/>
                <w:highlight w:val="none"/>
              </w:rPr>
            </w:pPr>
            <w:r>
              <w:rPr>
                <w:rFonts w:hint="eastAsia"/>
                <w:b/>
                <w:sz w:val="18"/>
                <w:szCs w:val="18"/>
                <w:highlight w:val="none"/>
              </w:rPr>
              <w:t>人员要求</w:t>
            </w:r>
          </w:p>
        </w:tc>
        <w:tc>
          <w:tcPr>
            <w:tcW w:w="1349" w:type="dxa"/>
            <w:noWrap/>
            <w:vAlign w:val="center"/>
          </w:tcPr>
          <w:p>
            <w:pPr>
              <w:widowControl/>
              <w:spacing w:line="240" w:lineRule="auto"/>
              <w:ind w:firstLine="0" w:firstLineChars="0"/>
              <w:jc w:val="center"/>
              <w:rPr>
                <w:rFonts w:hint="eastAsia"/>
                <w:b/>
                <w:sz w:val="18"/>
                <w:szCs w:val="18"/>
                <w:highlight w:val="none"/>
              </w:rPr>
            </w:pPr>
            <w:r>
              <w:rPr>
                <w:rFonts w:hint="eastAsia"/>
                <w:b/>
                <w:sz w:val="18"/>
                <w:szCs w:val="18"/>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项目经理</w:t>
            </w:r>
          </w:p>
        </w:tc>
        <w:tc>
          <w:tcPr>
            <w:tcW w:w="2882" w:type="dxa"/>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负责项目质量和进度控制</w:t>
            </w:r>
          </w:p>
        </w:tc>
        <w:tc>
          <w:tcPr>
            <w:tcW w:w="1180"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1人</w:t>
            </w:r>
          </w:p>
        </w:tc>
        <w:tc>
          <w:tcPr>
            <w:tcW w:w="1941" w:type="dxa"/>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具备</w:t>
            </w:r>
            <w:r>
              <w:rPr>
                <w:rFonts w:hint="eastAsia" w:cs="宋体"/>
                <w:kern w:val="0"/>
                <w:sz w:val="18"/>
                <w:szCs w:val="18"/>
                <w:highlight w:val="none"/>
              </w:rPr>
              <w:t>信息系统项目管理师证书（高级）和系统架构师证书</w:t>
            </w:r>
          </w:p>
        </w:tc>
        <w:tc>
          <w:tcPr>
            <w:tcW w:w="1349"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产品经理</w:t>
            </w:r>
          </w:p>
        </w:tc>
        <w:tc>
          <w:tcPr>
            <w:tcW w:w="2882" w:type="dxa"/>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负责项目需求评估与产品设计</w:t>
            </w:r>
          </w:p>
        </w:tc>
        <w:tc>
          <w:tcPr>
            <w:tcW w:w="1180"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1人</w:t>
            </w:r>
          </w:p>
        </w:tc>
        <w:tc>
          <w:tcPr>
            <w:tcW w:w="1941" w:type="dxa"/>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具备产品经理工作经历</w:t>
            </w:r>
          </w:p>
        </w:tc>
        <w:tc>
          <w:tcPr>
            <w:tcW w:w="1349"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76"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研发</w:t>
            </w:r>
          </w:p>
        </w:tc>
        <w:tc>
          <w:tcPr>
            <w:tcW w:w="2882"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负责项目具体开发与实施</w:t>
            </w:r>
          </w:p>
        </w:tc>
        <w:tc>
          <w:tcPr>
            <w:tcW w:w="1180"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50人</w:t>
            </w:r>
          </w:p>
        </w:tc>
        <w:tc>
          <w:tcPr>
            <w:tcW w:w="1941" w:type="dxa"/>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具备研发工作经历，具有</w:t>
            </w:r>
            <w:r>
              <w:rPr>
                <w:rFonts w:hint="eastAsia" w:cs="宋体"/>
                <w:kern w:val="0"/>
                <w:sz w:val="18"/>
                <w:szCs w:val="18"/>
                <w:highlight w:val="none"/>
              </w:rPr>
              <w:t>计算机类中、高级工程师、信息系统项目管理师、集成工程师、数据库工程师证书</w:t>
            </w:r>
          </w:p>
        </w:tc>
        <w:tc>
          <w:tcPr>
            <w:tcW w:w="1349"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部分驻场</w:t>
            </w:r>
          </w:p>
          <w:p>
            <w:pPr>
              <w:widowControl/>
              <w:spacing w:line="240" w:lineRule="auto"/>
              <w:ind w:firstLine="0" w:firstLineChars="0"/>
              <w:jc w:val="center"/>
              <w:rPr>
                <w:rFonts w:hint="eastAsia"/>
                <w:sz w:val="18"/>
                <w:szCs w:val="18"/>
                <w:highlight w:val="none"/>
              </w:rPr>
            </w:pPr>
            <w:r>
              <w:rPr>
                <w:rFonts w:hint="eastAsia"/>
                <w:sz w:val="18"/>
                <w:szCs w:val="18"/>
                <w:highlight w:val="none"/>
              </w:rPr>
              <w:t>（不少于20人）</w:t>
            </w:r>
          </w:p>
        </w:tc>
      </w:tr>
    </w:tbl>
    <w:p>
      <w:pPr>
        <w:numPr>
          <w:ilvl w:val="0"/>
          <w:numId w:val="6"/>
        </w:numPr>
        <w:rPr>
          <w:rFonts w:hint="eastAsia"/>
          <w:highlight w:val="none"/>
        </w:rPr>
      </w:pPr>
      <w:r>
        <w:rPr>
          <w:highlight w:val="none"/>
        </w:rPr>
        <w:t>投标人应针对本项目提供不少于10人的质保期间支撑团队（其中技术经理1人，产品经理1人，技术工程师不少于8人）</w:t>
      </w:r>
      <w:r>
        <w:rPr>
          <w:rFonts w:hint="eastAsia"/>
          <w:highlight w:val="none"/>
          <w:lang w:eastAsia="zh-CN"/>
        </w:rPr>
        <w:t>（不低于</w:t>
      </w:r>
      <w:r>
        <w:rPr>
          <w:rFonts w:hint="eastAsia"/>
          <w:highlight w:val="none"/>
          <w:lang w:val="en-US" w:eastAsia="zh-CN"/>
        </w:rPr>
        <w:t>1年</w:t>
      </w:r>
      <w:r>
        <w:rPr>
          <w:rFonts w:hint="eastAsia"/>
          <w:highlight w:val="none"/>
          <w:lang w:eastAsia="zh-CN"/>
        </w:rPr>
        <w:t>）</w:t>
      </w:r>
      <w:r>
        <w:rPr>
          <w:highlight w:val="none"/>
        </w:rPr>
        <w:t>；投标人的相关服务人员需具备相应的服务能力，需提供相关证明（最近一个季度依法缴纳社保费的证明）。</w:t>
      </w:r>
    </w:p>
    <w:tbl>
      <w:tblPr>
        <w:tblStyle w:val="36"/>
        <w:tblW w:w="81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556"/>
        <w:gridCol w:w="939"/>
        <w:gridCol w:w="2556"/>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16" w:type="dxa"/>
            <w:noWrap/>
            <w:vAlign w:val="center"/>
          </w:tcPr>
          <w:p>
            <w:pPr>
              <w:widowControl/>
              <w:spacing w:line="240" w:lineRule="auto"/>
              <w:ind w:firstLine="0" w:firstLineChars="0"/>
              <w:jc w:val="center"/>
              <w:rPr>
                <w:rFonts w:hint="eastAsia"/>
                <w:b/>
                <w:sz w:val="18"/>
                <w:szCs w:val="18"/>
                <w:highlight w:val="none"/>
              </w:rPr>
            </w:pPr>
            <w:r>
              <w:rPr>
                <w:rFonts w:hint="eastAsia"/>
                <w:b/>
                <w:sz w:val="18"/>
                <w:szCs w:val="18"/>
                <w:highlight w:val="none"/>
              </w:rPr>
              <w:t>角色</w:t>
            </w:r>
          </w:p>
        </w:tc>
        <w:tc>
          <w:tcPr>
            <w:tcW w:w="2556" w:type="dxa"/>
            <w:noWrap/>
            <w:vAlign w:val="center"/>
          </w:tcPr>
          <w:p>
            <w:pPr>
              <w:widowControl/>
              <w:spacing w:line="240" w:lineRule="auto"/>
              <w:ind w:firstLine="0" w:firstLineChars="0"/>
              <w:jc w:val="center"/>
              <w:rPr>
                <w:rFonts w:hint="eastAsia"/>
                <w:b/>
                <w:sz w:val="18"/>
                <w:szCs w:val="18"/>
                <w:highlight w:val="none"/>
              </w:rPr>
            </w:pPr>
            <w:r>
              <w:rPr>
                <w:rFonts w:hint="eastAsia"/>
                <w:b/>
                <w:sz w:val="18"/>
                <w:szCs w:val="18"/>
                <w:highlight w:val="none"/>
              </w:rPr>
              <w:t>主要职责</w:t>
            </w:r>
          </w:p>
        </w:tc>
        <w:tc>
          <w:tcPr>
            <w:tcW w:w="939" w:type="dxa"/>
            <w:noWrap/>
            <w:vAlign w:val="center"/>
          </w:tcPr>
          <w:p>
            <w:pPr>
              <w:widowControl/>
              <w:spacing w:line="240" w:lineRule="auto"/>
              <w:ind w:firstLine="0" w:firstLineChars="0"/>
              <w:jc w:val="center"/>
              <w:rPr>
                <w:rFonts w:hint="eastAsia"/>
                <w:b/>
                <w:sz w:val="18"/>
                <w:szCs w:val="18"/>
                <w:highlight w:val="none"/>
              </w:rPr>
            </w:pPr>
            <w:r>
              <w:rPr>
                <w:rFonts w:hint="eastAsia"/>
                <w:b/>
                <w:sz w:val="18"/>
                <w:szCs w:val="18"/>
                <w:highlight w:val="none"/>
              </w:rPr>
              <w:t>人员数量</w:t>
            </w:r>
          </w:p>
        </w:tc>
        <w:tc>
          <w:tcPr>
            <w:tcW w:w="2556" w:type="dxa"/>
            <w:vAlign w:val="center"/>
          </w:tcPr>
          <w:p>
            <w:pPr>
              <w:widowControl/>
              <w:spacing w:line="240" w:lineRule="auto"/>
              <w:ind w:firstLine="0" w:firstLineChars="0"/>
              <w:jc w:val="center"/>
              <w:rPr>
                <w:rFonts w:hint="eastAsia"/>
                <w:b/>
                <w:sz w:val="18"/>
                <w:szCs w:val="18"/>
                <w:highlight w:val="none"/>
              </w:rPr>
            </w:pPr>
            <w:r>
              <w:rPr>
                <w:rFonts w:hint="eastAsia"/>
                <w:b/>
                <w:sz w:val="18"/>
                <w:szCs w:val="18"/>
                <w:highlight w:val="none"/>
              </w:rPr>
              <w:t>人员要求</w:t>
            </w:r>
          </w:p>
        </w:tc>
        <w:tc>
          <w:tcPr>
            <w:tcW w:w="939" w:type="dxa"/>
            <w:noWrap/>
            <w:vAlign w:val="center"/>
          </w:tcPr>
          <w:p>
            <w:pPr>
              <w:widowControl/>
              <w:spacing w:line="240" w:lineRule="auto"/>
              <w:ind w:firstLine="0" w:firstLineChars="0"/>
              <w:jc w:val="center"/>
              <w:rPr>
                <w:rFonts w:hint="eastAsia"/>
                <w:b/>
                <w:sz w:val="18"/>
                <w:szCs w:val="18"/>
                <w:highlight w:val="none"/>
              </w:rPr>
            </w:pPr>
            <w:r>
              <w:rPr>
                <w:rFonts w:hint="eastAsia"/>
                <w:b/>
                <w:sz w:val="18"/>
                <w:szCs w:val="18"/>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16"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项目经理</w:t>
            </w:r>
          </w:p>
        </w:tc>
        <w:tc>
          <w:tcPr>
            <w:tcW w:w="2556" w:type="dxa"/>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负责项目质量和进度控制</w:t>
            </w:r>
          </w:p>
        </w:tc>
        <w:tc>
          <w:tcPr>
            <w:tcW w:w="939" w:type="dxa"/>
            <w:noWrap/>
            <w:vAlign w:val="center"/>
          </w:tcPr>
          <w:p>
            <w:pPr>
              <w:widowControl/>
              <w:spacing w:line="240" w:lineRule="auto"/>
              <w:ind w:firstLine="0" w:firstLineChars="0"/>
              <w:jc w:val="center"/>
              <w:rPr>
                <w:rFonts w:hint="eastAsia"/>
                <w:sz w:val="18"/>
                <w:szCs w:val="18"/>
                <w:highlight w:val="none"/>
              </w:rPr>
            </w:pPr>
            <w:r>
              <w:rPr>
                <w:sz w:val="18"/>
                <w:szCs w:val="18"/>
                <w:highlight w:val="none"/>
              </w:rPr>
              <w:t>1</w:t>
            </w:r>
            <w:r>
              <w:rPr>
                <w:rFonts w:hint="eastAsia"/>
                <w:sz w:val="18"/>
                <w:szCs w:val="18"/>
                <w:highlight w:val="none"/>
              </w:rPr>
              <w:t>人</w:t>
            </w:r>
          </w:p>
        </w:tc>
        <w:tc>
          <w:tcPr>
            <w:tcW w:w="2556" w:type="dxa"/>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具备</w:t>
            </w:r>
            <w:r>
              <w:rPr>
                <w:rFonts w:hint="eastAsia" w:cs="宋体"/>
                <w:kern w:val="0"/>
                <w:sz w:val="18"/>
                <w:szCs w:val="18"/>
                <w:highlight w:val="none"/>
              </w:rPr>
              <w:t>信息系统项目管理师证书</w:t>
            </w:r>
          </w:p>
        </w:tc>
        <w:tc>
          <w:tcPr>
            <w:tcW w:w="939"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16"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产品经理</w:t>
            </w:r>
          </w:p>
        </w:tc>
        <w:tc>
          <w:tcPr>
            <w:tcW w:w="2556" w:type="dxa"/>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负责项目需求评估与产品设计</w:t>
            </w:r>
          </w:p>
        </w:tc>
        <w:tc>
          <w:tcPr>
            <w:tcW w:w="939" w:type="dxa"/>
            <w:noWrap/>
            <w:vAlign w:val="center"/>
          </w:tcPr>
          <w:p>
            <w:pPr>
              <w:widowControl/>
              <w:spacing w:line="240" w:lineRule="auto"/>
              <w:ind w:firstLine="0" w:firstLineChars="0"/>
              <w:jc w:val="center"/>
              <w:rPr>
                <w:rFonts w:hint="eastAsia"/>
                <w:sz w:val="18"/>
                <w:szCs w:val="18"/>
                <w:highlight w:val="none"/>
              </w:rPr>
            </w:pPr>
            <w:r>
              <w:rPr>
                <w:sz w:val="18"/>
                <w:szCs w:val="18"/>
                <w:highlight w:val="none"/>
              </w:rPr>
              <w:t>1</w:t>
            </w:r>
            <w:r>
              <w:rPr>
                <w:rFonts w:hint="eastAsia"/>
                <w:sz w:val="18"/>
                <w:szCs w:val="18"/>
                <w:highlight w:val="none"/>
              </w:rPr>
              <w:t>人</w:t>
            </w:r>
          </w:p>
        </w:tc>
        <w:tc>
          <w:tcPr>
            <w:tcW w:w="2556" w:type="dxa"/>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具备产品经理工作经历</w:t>
            </w:r>
          </w:p>
        </w:tc>
        <w:tc>
          <w:tcPr>
            <w:tcW w:w="939"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16"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技术工程师</w:t>
            </w:r>
          </w:p>
        </w:tc>
        <w:tc>
          <w:tcPr>
            <w:tcW w:w="2556"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负责项目运行维护</w:t>
            </w:r>
          </w:p>
        </w:tc>
        <w:tc>
          <w:tcPr>
            <w:tcW w:w="939" w:type="dxa"/>
            <w:noWrap/>
            <w:vAlign w:val="center"/>
          </w:tcPr>
          <w:p>
            <w:pPr>
              <w:widowControl/>
              <w:spacing w:line="240" w:lineRule="auto"/>
              <w:ind w:firstLine="0" w:firstLineChars="0"/>
              <w:jc w:val="center"/>
              <w:rPr>
                <w:rFonts w:hint="eastAsia"/>
                <w:sz w:val="18"/>
                <w:szCs w:val="18"/>
                <w:highlight w:val="none"/>
              </w:rPr>
            </w:pPr>
            <w:r>
              <w:rPr>
                <w:sz w:val="18"/>
                <w:szCs w:val="18"/>
                <w:highlight w:val="none"/>
              </w:rPr>
              <w:t>8</w:t>
            </w:r>
            <w:r>
              <w:rPr>
                <w:rFonts w:hint="eastAsia"/>
                <w:sz w:val="18"/>
                <w:szCs w:val="18"/>
                <w:highlight w:val="none"/>
              </w:rPr>
              <w:t>人</w:t>
            </w:r>
          </w:p>
        </w:tc>
        <w:tc>
          <w:tcPr>
            <w:tcW w:w="2556" w:type="dxa"/>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具备研发工作经历</w:t>
            </w:r>
          </w:p>
        </w:tc>
        <w:tc>
          <w:tcPr>
            <w:tcW w:w="939" w:type="dxa"/>
            <w:noWrap/>
            <w:vAlign w:val="center"/>
          </w:tcPr>
          <w:p>
            <w:pPr>
              <w:widowControl/>
              <w:spacing w:line="240" w:lineRule="auto"/>
              <w:ind w:firstLine="0" w:firstLineChars="0"/>
              <w:jc w:val="center"/>
              <w:rPr>
                <w:rFonts w:hint="eastAsia"/>
                <w:sz w:val="18"/>
                <w:szCs w:val="18"/>
                <w:highlight w:val="none"/>
              </w:rPr>
            </w:pPr>
            <w:r>
              <w:rPr>
                <w:rFonts w:hint="eastAsia"/>
                <w:sz w:val="18"/>
                <w:szCs w:val="18"/>
                <w:highlight w:val="none"/>
              </w:rPr>
              <w:t>驻场</w:t>
            </w:r>
          </w:p>
        </w:tc>
      </w:tr>
    </w:tbl>
    <w:p>
      <w:pPr>
        <w:pStyle w:val="4"/>
        <w:ind w:left="425"/>
        <w:rPr>
          <w:rFonts w:hint="eastAsia"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等级保护要求</w:t>
      </w:r>
      <w:bookmarkEnd w:id="33"/>
    </w:p>
    <w:p>
      <w:pPr>
        <w:rPr>
          <w:rFonts w:hint="eastAsia"/>
          <w:highlight w:val="none"/>
        </w:rPr>
      </w:pPr>
      <w:r>
        <w:rPr>
          <w:highlight w:val="none"/>
        </w:rPr>
        <w:t>本项目等级保护要求：参照等保</w:t>
      </w:r>
      <w:r>
        <w:rPr>
          <w:rFonts w:hint="eastAsia"/>
          <w:highlight w:val="none"/>
        </w:rPr>
        <w:t>三</w:t>
      </w:r>
      <w:r>
        <w:rPr>
          <w:highlight w:val="none"/>
        </w:rPr>
        <w:t>级要求建设。</w:t>
      </w:r>
    </w:p>
    <w:p>
      <w:pPr>
        <w:pStyle w:val="4"/>
        <w:ind w:left="425"/>
        <w:rPr>
          <w:rFonts w:hint="eastAsia"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商业密码应用需求</w:t>
      </w:r>
    </w:p>
    <w:p>
      <w:pPr>
        <w:rPr>
          <w:rFonts w:hint="eastAsia"/>
          <w:highlight w:val="none"/>
        </w:rPr>
      </w:pPr>
      <w:r>
        <w:rPr>
          <w:rFonts w:hint="eastAsia"/>
          <w:highlight w:val="none"/>
        </w:rPr>
        <w:t>本项目应满足GB/T 39786-2021《信息安全技术 信息系统密码应用基本要求》第三级信息系统要求。供应商应免费协助建设单位向上海市大数据中心申请商业密码应用的相关资源。供应商应配合第三方测评机构完成商用密码测评工作。</w:t>
      </w:r>
    </w:p>
    <w:p>
      <w:pPr>
        <w:rPr>
          <w:rFonts w:hint="eastAsia"/>
          <w:highlight w:val="none"/>
        </w:rPr>
      </w:pPr>
      <w:r>
        <w:rPr>
          <w:rFonts w:hint="eastAsia"/>
          <w:highlight w:val="none"/>
        </w:rPr>
        <w:t>本系统的主要密码应用需求如下：</w:t>
      </w:r>
    </w:p>
    <w:tbl>
      <w:tblPr>
        <w:tblStyle w:val="36"/>
        <w:tblW w:w="8206" w:type="dxa"/>
        <w:tblInd w:w="96" w:type="dxa"/>
        <w:tblLayout w:type="fixed"/>
        <w:tblCellMar>
          <w:top w:w="0" w:type="dxa"/>
          <w:left w:w="108" w:type="dxa"/>
          <w:bottom w:w="0" w:type="dxa"/>
          <w:right w:w="108" w:type="dxa"/>
        </w:tblCellMar>
      </w:tblPr>
      <w:tblGrid>
        <w:gridCol w:w="889"/>
        <w:gridCol w:w="1551"/>
        <w:gridCol w:w="4281"/>
        <w:gridCol w:w="1485"/>
      </w:tblGrid>
      <w:tr>
        <w:tblPrEx>
          <w:tblCellMar>
            <w:top w:w="0" w:type="dxa"/>
            <w:left w:w="108" w:type="dxa"/>
            <w:bottom w:w="0" w:type="dxa"/>
            <w:right w:w="108" w:type="dxa"/>
          </w:tblCellMar>
        </w:tblPrEx>
        <w:trPr>
          <w:trHeight w:val="327" w:hRule="atLeast"/>
          <w:tblHeader/>
        </w:trPr>
        <w:tc>
          <w:tcPr>
            <w:tcW w:w="88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安全层面</w:t>
            </w: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指标要求</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361"/>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系统密码应用需求</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361"/>
              <w:jc w:val="center"/>
              <w:textAlignment w:val="center"/>
              <w:rPr>
                <w:rFonts w:hint="eastAsia" w:asciiTheme="minorEastAsia" w:hAnsiTheme="minorEastAsia" w:eastAsiaTheme="minorEastAsia" w:cstheme="minorEastAsia"/>
                <w:b/>
                <w:bCs/>
                <w:sz w:val="18"/>
                <w:szCs w:val="18"/>
                <w:highlight w:val="none"/>
              </w:rPr>
            </w:pPr>
            <w:r>
              <w:rPr>
                <w:rFonts w:hint="eastAsia" w:asciiTheme="minorEastAsia" w:hAnsiTheme="minorEastAsia" w:eastAsiaTheme="minorEastAsia" w:cstheme="minorEastAsia"/>
                <w:b/>
                <w:bCs/>
                <w:kern w:val="0"/>
                <w:sz w:val="18"/>
                <w:szCs w:val="18"/>
                <w:highlight w:val="none"/>
                <w:lang w:bidi="ar"/>
              </w:rPr>
              <w:t>不适用说明</w:t>
            </w:r>
          </w:p>
        </w:tc>
      </w:tr>
      <w:tr>
        <w:tblPrEx>
          <w:tblCellMar>
            <w:top w:w="0" w:type="dxa"/>
            <w:left w:w="108" w:type="dxa"/>
            <w:bottom w:w="0" w:type="dxa"/>
            <w:right w:w="108" w:type="dxa"/>
          </w:tblCellMar>
        </w:tblPrEx>
        <w:trPr>
          <w:trHeight w:val="489" w:hRule="atLeast"/>
          <w:tblHeader/>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r>
      <w:tr>
        <w:tblPrEx>
          <w:tblCellMar>
            <w:top w:w="0" w:type="dxa"/>
            <w:left w:w="108" w:type="dxa"/>
            <w:bottom w:w="0" w:type="dxa"/>
            <w:right w:w="108" w:type="dxa"/>
          </w:tblCellMar>
        </w:tblPrEx>
        <w:trPr>
          <w:trHeight w:val="312" w:hRule="atLeast"/>
        </w:trPr>
        <w:tc>
          <w:tcPr>
            <w:tcW w:w="88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物理和环境安全</w:t>
            </w:r>
          </w:p>
        </w:tc>
        <w:tc>
          <w:tcPr>
            <w:tcW w:w="15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身份鉴别</w:t>
            </w:r>
          </w:p>
        </w:tc>
        <w:tc>
          <w:tcPr>
            <w:tcW w:w="42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pacing w:val="21"/>
                <w:kern w:val="0"/>
                <w:sz w:val="18"/>
                <w:szCs w:val="18"/>
                <w:highlight w:val="none"/>
                <w:lang w:bidi="ar"/>
              </w:rPr>
              <w:t>确</w:t>
            </w:r>
            <w:r>
              <w:rPr>
                <w:rFonts w:hint="eastAsia" w:asciiTheme="minorEastAsia" w:hAnsiTheme="minorEastAsia" w:eastAsiaTheme="minorEastAsia" w:cstheme="minorEastAsia"/>
                <w:spacing w:val="17"/>
                <w:kern w:val="0"/>
                <w:sz w:val="18"/>
                <w:szCs w:val="18"/>
                <w:highlight w:val="none"/>
                <w:lang w:bidi="ar"/>
              </w:rPr>
              <w:t>认进入机房人员身份的真实</w:t>
            </w:r>
            <w:r>
              <w:rPr>
                <w:rFonts w:hint="eastAsia" w:asciiTheme="minorEastAsia" w:hAnsiTheme="minorEastAsia" w:eastAsiaTheme="minorEastAsia" w:cstheme="minorEastAsia"/>
                <w:spacing w:val="10"/>
                <w:kern w:val="0"/>
                <w:sz w:val="18"/>
                <w:szCs w:val="18"/>
                <w:highlight w:val="none"/>
                <w:lang w:bidi="ar"/>
              </w:rPr>
              <w:t>性</w:t>
            </w:r>
            <w:r>
              <w:rPr>
                <w:rFonts w:hint="eastAsia" w:asciiTheme="minorEastAsia" w:hAnsiTheme="minorEastAsia" w:eastAsiaTheme="minorEastAsia" w:cstheme="minorEastAsia"/>
                <w:spacing w:val="7"/>
                <w:kern w:val="0"/>
                <w:sz w:val="18"/>
                <w:szCs w:val="18"/>
                <w:highlight w:val="none"/>
                <w:lang w:bidi="ar"/>
              </w:rPr>
              <w:t>，防止假冒人员进入。</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系统的物理和环境安全由云平台提供安全保障。</w:t>
            </w:r>
          </w:p>
        </w:tc>
      </w:tr>
      <w:tr>
        <w:tblPrEx>
          <w:tblCellMar>
            <w:top w:w="0" w:type="dxa"/>
            <w:left w:w="108" w:type="dxa"/>
            <w:bottom w:w="0" w:type="dxa"/>
            <w:right w:w="108" w:type="dxa"/>
          </w:tblCellMar>
        </w:tblPrEx>
        <w:trPr>
          <w:trHeight w:val="576"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电子门禁记录数据完整性</w:t>
            </w:r>
          </w:p>
        </w:tc>
        <w:tc>
          <w:tcPr>
            <w:tcW w:w="42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pacing w:val="21"/>
                <w:kern w:val="0"/>
                <w:sz w:val="18"/>
                <w:szCs w:val="18"/>
                <w:highlight w:val="none"/>
                <w:lang w:bidi="ar"/>
              </w:rPr>
              <w:t>保</w:t>
            </w:r>
            <w:r>
              <w:rPr>
                <w:rFonts w:hint="eastAsia" w:asciiTheme="minorEastAsia" w:hAnsiTheme="minorEastAsia" w:eastAsiaTheme="minorEastAsia" w:cstheme="minorEastAsia"/>
                <w:spacing w:val="17"/>
                <w:kern w:val="0"/>
                <w:sz w:val="18"/>
                <w:szCs w:val="18"/>
                <w:highlight w:val="none"/>
                <w:lang w:bidi="ar"/>
              </w:rPr>
              <w:t>护电子门禁系统进出记录的完整性，</w:t>
            </w:r>
            <w:r>
              <w:rPr>
                <w:rFonts w:hint="eastAsia" w:asciiTheme="minorEastAsia" w:hAnsiTheme="minorEastAsia" w:eastAsiaTheme="minorEastAsia" w:cstheme="minorEastAsia"/>
                <w:spacing w:val="9"/>
                <w:kern w:val="0"/>
                <w:sz w:val="18"/>
                <w:szCs w:val="18"/>
                <w:highlight w:val="none"/>
                <w:lang w:bidi="ar"/>
              </w:rPr>
              <w:t>防</w:t>
            </w:r>
            <w:r>
              <w:rPr>
                <w:rFonts w:hint="eastAsia" w:asciiTheme="minorEastAsia" w:hAnsiTheme="minorEastAsia" w:eastAsiaTheme="minorEastAsia" w:cstheme="minorEastAsia"/>
                <w:spacing w:val="7"/>
                <w:kern w:val="0"/>
                <w:sz w:val="18"/>
                <w:szCs w:val="18"/>
                <w:highlight w:val="none"/>
                <w:lang w:bidi="ar"/>
              </w:rPr>
              <w:t>止被非授权篡改。</w:t>
            </w: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r>
      <w:tr>
        <w:tblPrEx>
          <w:tblCellMar>
            <w:top w:w="0" w:type="dxa"/>
            <w:left w:w="108" w:type="dxa"/>
            <w:bottom w:w="0" w:type="dxa"/>
            <w:right w:w="108" w:type="dxa"/>
          </w:tblCellMar>
        </w:tblPrEx>
        <w:trPr>
          <w:trHeight w:val="513"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视频监控记录数据完整性</w:t>
            </w:r>
          </w:p>
        </w:tc>
        <w:tc>
          <w:tcPr>
            <w:tcW w:w="42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保护视频监控音像记录的完整性，防止被非授权篡改。</w:t>
            </w: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r>
      <w:tr>
        <w:tblPrEx>
          <w:tblCellMar>
            <w:top w:w="0" w:type="dxa"/>
            <w:left w:w="108" w:type="dxa"/>
            <w:bottom w:w="0" w:type="dxa"/>
            <w:right w:w="108" w:type="dxa"/>
          </w:tblCellMar>
        </w:tblPrEx>
        <w:trPr>
          <w:trHeight w:val="312"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密码服务</w:t>
            </w:r>
          </w:p>
        </w:tc>
        <w:tc>
          <w:tcPr>
            <w:tcW w:w="42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不适用</w:t>
            </w: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r>
      <w:tr>
        <w:tblPrEx>
          <w:tblCellMar>
            <w:top w:w="0" w:type="dxa"/>
            <w:left w:w="108" w:type="dxa"/>
            <w:bottom w:w="0" w:type="dxa"/>
            <w:right w:w="108" w:type="dxa"/>
          </w:tblCellMar>
        </w:tblPrEx>
        <w:trPr>
          <w:trHeight w:val="312"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密码产品</w:t>
            </w:r>
          </w:p>
        </w:tc>
        <w:tc>
          <w:tcPr>
            <w:tcW w:w="42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采用的密码产品应达到GB/T 37092二级及以上安全要求。</w:t>
            </w: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r>
      <w:tr>
        <w:tblPrEx>
          <w:tblCellMar>
            <w:top w:w="0" w:type="dxa"/>
            <w:left w:w="108" w:type="dxa"/>
            <w:bottom w:w="0" w:type="dxa"/>
            <w:right w:w="108" w:type="dxa"/>
          </w:tblCellMar>
        </w:tblPrEx>
        <w:trPr>
          <w:trHeight w:val="327" w:hRule="atLeast"/>
        </w:trPr>
        <w:tc>
          <w:tcPr>
            <w:tcW w:w="88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网络和通信安全</w:t>
            </w: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身份鉴别</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确保PC端和服务端通信实体身份的真实性，防止与假冒实体进行通信。</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管理端的身份鉴别由云平台提供安全保障。</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通信数据完整性</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保护PC端和服务端通信过程中业务数据的完整性，防止数据被非授权篡改。</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管理端进行远程运维管理时的运维通信数据完整性由云平台提供安全保障。</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通信过程中重要数据的机密性</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保护PC端和服务端通信过程中业务数据的机密性，防止敏感数据泄露。</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管理端进行远程运维管理时的运维通信数据机密性由云平台提供安全保障。</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180"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网络边界访问控制信息的完整性</w:t>
            </w:r>
          </w:p>
        </w:tc>
        <w:tc>
          <w:tcPr>
            <w:tcW w:w="4281"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保护PC端和服务端通信过程中网络边界访问控制信息的完整性，防止被非授权篡改。</w:t>
            </w:r>
          </w:p>
        </w:tc>
        <w:tc>
          <w:tcPr>
            <w:tcW w:w="1485"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restar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系统网络拓扑中不同区域网络边界访问控制信息的完整性保护由云平台提供。</w:t>
            </w:r>
          </w:p>
        </w:tc>
        <w:tc>
          <w:tcPr>
            <w:tcW w:w="1485" w:type="dxa"/>
            <w:vMerge w:val="restart"/>
            <w:tcBorders>
              <w:top w:val="single" w:color="auto"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auto"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auto"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auto"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auto"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安全接入认证</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不适用。</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无外部设备接入本系统的需求。</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密码服务</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采用的数字证书由具备资质的电子认证服务机构签发。</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526"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444"/>
              <w:jc w:val="left"/>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采用的云密码服务由云平台提供。</w:t>
            </w:r>
          </w:p>
        </w:tc>
        <w:tc>
          <w:tcPr>
            <w:tcW w:w="14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密码产品</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客户端采用的安全浏览器、密码模块（二级）、USBKey达到GB/T 37092二级安全要求。</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05"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服务端相关的密码产品由云平台提供安全保障。</w:t>
            </w:r>
          </w:p>
        </w:tc>
        <w:tc>
          <w:tcPr>
            <w:tcW w:w="1485"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312" w:hRule="atLeast"/>
        </w:trPr>
        <w:tc>
          <w:tcPr>
            <w:tcW w:w="88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设备和计算安全</w:t>
            </w: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身份鉴别</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对服务器虚拟机等设备的远程运维管理员身份真实性进行识别和确认，防止假冒人员登录。</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远程管理通道安全</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对服务器虚拟机等设备的远程运维管理通道进行保护，防止鉴别信息泄漏。</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本系统采用线下在甲方单位政务外网环境下登录堡垒机进行运维。</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系统资源访问控制信息完整性</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保护服务器虚拟机、数据库等设备访问控制信息的完整性，防止被非授权篡改。</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重要信息资源安全标记完整性</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不适用。</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设备没有安全标记。</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日志记录完整性</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保护服务器虚拟机、数据库等设备中日志记录的完整性，防止被非授权篡改。</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重要可执行程序完整性、来源真实性</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保护应用服务器虚拟机等设备中重要可执行程序的完整性和来源真实性，防止被非授权篡改。</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密码服务</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采用的云密码服务由云平台提供。</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密码产品</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服务端相关的密码产品由云平台提供安全保障。</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312" w:hRule="atLeast"/>
        </w:trPr>
        <w:tc>
          <w:tcPr>
            <w:tcW w:w="889"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360"/>
              <w:textAlignment w:val="center"/>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kern w:val="0"/>
                <w:sz w:val="18"/>
                <w:szCs w:val="18"/>
                <w:highlight w:val="none"/>
                <w:lang w:bidi="ar"/>
              </w:rPr>
              <w:t>应用和数据安全</w:t>
            </w: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身份鉴别</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确认PC端登录用户的身份真实性，防止假冒人员登录。</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jc w:val="center"/>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访问控制信息完整性</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对应用系统的访问权限控制列表进行完整性保护，防止被非授权篡改。</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重要信息资源安全标记完整性</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不适用。</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应用没有安全标记。</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r>
      <w:tr>
        <w:tblPrEx>
          <w:tblCellMar>
            <w:top w:w="0" w:type="dxa"/>
            <w:left w:w="108" w:type="dxa"/>
            <w:bottom w:w="0" w:type="dxa"/>
            <w:right w:w="108" w:type="dxa"/>
          </w:tblCellMar>
        </w:tblPrEx>
        <w:trPr>
          <w:trHeight w:val="468"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重要数据传输机密性</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保护PC端与服务端之间传输和存储的用户身份鉴别信息等重要数据的机密性和完整性，防止数据泄露给非授权的个人、进程等。保护系统业务日志数据的完整性，防止该数据被非授权篡改。</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0"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重要数据存储机密性</w:t>
            </w: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546"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重要数据传输完整性</w:t>
            </w: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516"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重要数据存储完整性</w:t>
            </w: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312"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密码服务</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采用的数字证书由具备资质的电子认证服务机构签发。</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采用的云密码服务由云平台提供。</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textAlignment w:val="center"/>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444"/>
              <w:rPr>
                <w:rFonts w:hint="eastAsia" w:asciiTheme="minorEastAsia" w:hAnsiTheme="minorEastAsia" w:eastAsiaTheme="minorEastAsia" w:cstheme="minorEastAsia"/>
                <w:spacing w:val="21"/>
                <w:kern w:val="0"/>
                <w:sz w:val="18"/>
                <w:szCs w:val="18"/>
                <w:highlight w:val="none"/>
                <w:lang w:bidi="ar"/>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密码产品</w:t>
            </w:r>
          </w:p>
        </w:tc>
        <w:tc>
          <w:tcPr>
            <w:tcW w:w="428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服务端相关的密码产品由云平台提供安全保障。</w:t>
            </w:r>
          </w:p>
        </w:tc>
        <w:tc>
          <w:tcPr>
            <w:tcW w:w="148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wordWrap w:val="0"/>
              <w:autoSpaceDE w:val="0"/>
              <w:autoSpaceDN w:val="0"/>
              <w:adjustRightInd w:val="0"/>
              <w:snapToGrid w:val="0"/>
              <w:spacing w:line="240" w:lineRule="auto"/>
              <w:ind w:firstLine="0" w:firstLineChars="0"/>
              <w:jc w:val="left"/>
              <w:rPr>
                <w:rFonts w:hint="eastAsia" w:asciiTheme="minorEastAsia" w:hAnsiTheme="minorEastAsia" w:eastAsiaTheme="minorEastAsia" w:cstheme="minorEastAsia"/>
                <w:spacing w:val="21"/>
                <w:kern w:val="0"/>
                <w:sz w:val="18"/>
                <w:szCs w:val="18"/>
                <w:highlight w:val="none"/>
                <w:lang w:bidi="ar"/>
              </w:rPr>
            </w:pPr>
            <w:r>
              <w:rPr>
                <w:rFonts w:hint="eastAsia" w:asciiTheme="minorEastAsia" w:hAnsiTheme="minorEastAsia" w:eastAsiaTheme="minorEastAsia" w:cstheme="minorEastAsia"/>
                <w:spacing w:val="21"/>
                <w:kern w:val="0"/>
                <w:sz w:val="18"/>
                <w:szCs w:val="18"/>
                <w:highlight w:val="none"/>
                <w:lang w:bidi="ar"/>
              </w:rPr>
              <w:t>无</w:t>
            </w: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r>
      <w:tr>
        <w:tblPrEx>
          <w:tblCellMar>
            <w:top w:w="0" w:type="dxa"/>
            <w:left w:w="108" w:type="dxa"/>
            <w:bottom w:w="0" w:type="dxa"/>
            <w:right w:w="108" w:type="dxa"/>
          </w:tblCellMar>
        </w:tblPrEx>
        <w:trPr>
          <w:trHeight w:val="489" w:hRule="atLeast"/>
        </w:trPr>
        <w:tc>
          <w:tcPr>
            <w:tcW w:w="889"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5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428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c>
          <w:tcPr>
            <w:tcW w:w="148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ind w:firstLine="360"/>
              <w:rPr>
                <w:rFonts w:hint="eastAsia" w:asciiTheme="minorEastAsia" w:hAnsiTheme="minorEastAsia" w:eastAsiaTheme="minorEastAsia" w:cstheme="minorEastAsia"/>
                <w:sz w:val="18"/>
                <w:szCs w:val="18"/>
                <w:highlight w:val="none"/>
              </w:rPr>
            </w:pPr>
          </w:p>
        </w:tc>
      </w:tr>
    </w:tbl>
    <w:p>
      <w:pPr>
        <w:pStyle w:val="2"/>
        <w:rPr>
          <w:highlight w:val="none"/>
        </w:rPr>
      </w:pPr>
    </w:p>
    <w:p>
      <w:pPr>
        <w:pStyle w:val="4"/>
        <w:ind w:left="425"/>
        <w:rPr>
          <w:rFonts w:hint="eastAsia" w:asciiTheme="minorEastAsia" w:hAnsiTheme="minorEastAsia" w:eastAsiaTheme="minorEastAsia"/>
          <w:sz w:val="28"/>
          <w:szCs w:val="28"/>
          <w:highlight w:val="none"/>
        </w:rPr>
      </w:pPr>
      <w:bookmarkStart w:id="34" w:name="_Toc63785512"/>
      <w:r>
        <w:rPr>
          <w:rFonts w:hint="eastAsia" w:asciiTheme="minorEastAsia" w:hAnsiTheme="minorEastAsia" w:eastAsiaTheme="minorEastAsia"/>
          <w:sz w:val="28"/>
          <w:szCs w:val="28"/>
          <w:highlight w:val="none"/>
        </w:rPr>
        <w:t>技术文件要求</w:t>
      </w:r>
    </w:p>
    <w:p>
      <w:pPr>
        <w:rPr>
          <w:rFonts w:hint="eastAsia"/>
          <w:highlight w:val="none"/>
        </w:rPr>
      </w:pPr>
      <w:r>
        <w:rPr>
          <w:rFonts w:hint="eastAsia"/>
          <w:highlight w:val="none"/>
        </w:rPr>
        <w:t>投标人提供的书面技术资料应能确保系统正常运行所需的管理、运营及维护有关的全套文件。技术文件应该全面、完整、详细。投标人提供的技术文件至少应包括：</w:t>
      </w:r>
    </w:p>
    <w:p>
      <w:pPr>
        <w:rPr>
          <w:rFonts w:hint="eastAsia"/>
          <w:highlight w:val="none"/>
        </w:rPr>
      </w:pPr>
      <w:r>
        <w:rPr>
          <w:rFonts w:hint="eastAsia"/>
          <w:highlight w:val="none"/>
        </w:rPr>
        <w:t>－</w:t>
      </w:r>
      <w:r>
        <w:rPr>
          <w:highlight w:val="none"/>
        </w:rPr>
        <w:t xml:space="preserve"> 系统说明文件； </w:t>
      </w:r>
    </w:p>
    <w:p>
      <w:pPr>
        <w:rPr>
          <w:rFonts w:hint="eastAsia"/>
          <w:highlight w:val="none"/>
        </w:rPr>
      </w:pPr>
      <w:r>
        <w:rPr>
          <w:rFonts w:hint="eastAsia"/>
          <w:highlight w:val="none"/>
        </w:rPr>
        <w:t>－</w:t>
      </w:r>
      <w:r>
        <w:rPr>
          <w:highlight w:val="none"/>
        </w:rPr>
        <w:t xml:space="preserve"> 技术手册(安装、测试、操作、维护、故障排除等)； </w:t>
      </w:r>
    </w:p>
    <w:p>
      <w:pPr>
        <w:rPr>
          <w:rFonts w:hint="eastAsia"/>
          <w:highlight w:val="none"/>
        </w:rPr>
      </w:pPr>
      <w:r>
        <w:rPr>
          <w:rFonts w:hint="eastAsia"/>
          <w:highlight w:val="none"/>
        </w:rPr>
        <w:t>－</w:t>
      </w:r>
      <w:r>
        <w:rPr>
          <w:highlight w:val="none"/>
        </w:rPr>
        <w:t xml:space="preserve"> 项目文档，应该包括：</w:t>
      </w:r>
    </w:p>
    <w:p>
      <w:pPr>
        <w:ind w:left="360"/>
        <w:rPr>
          <w:rFonts w:hint="eastAsia"/>
          <w:highlight w:val="none"/>
        </w:rPr>
      </w:pPr>
      <w:r>
        <w:rPr>
          <w:highlight w:val="none"/>
        </w:rPr>
        <w:t>(1)软件需求说明书</w:t>
      </w:r>
    </w:p>
    <w:p>
      <w:pPr>
        <w:ind w:left="360"/>
        <w:rPr>
          <w:rFonts w:hint="eastAsia"/>
          <w:highlight w:val="none"/>
        </w:rPr>
      </w:pPr>
      <w:r>
        <w:rPr>
          <w:highlight w:val="none"/>
        </w:rPr>
        <w:t>(2)</w:t>
      </w:r>
      <w:r>
        <w:rPr>
          <w:highlight w:val="none"/>
        </w:rPr>
        <w:tab/>
      </w:r>
      <w:r>
        <w:rPr>
          <w:highlight w:val="none"/>
        </w:rPr>
        <w:t>系统总体设计说明书</w:t>
      </w:r>
    </w:p>
    <w:p>
      <w:pPr>
        <w:ind w:left="360"/>
        <w:rPr>
          <w:rFonts w:hint="eastAsia"/>
          <w:highlight w:val="none"/>
        </w:rPr>
      </w:pPr>
      <w:r>
        <w:rPr>
          <w:highlight w:val="none"/>
        </w:rPr>
        <w:t>(3)</w:t>
      </w:r>
      <w:r>
        <w:rPr>
          <w:highlight w:val="none"/>
        </w:rPr>
        <w:tab/>
      </w:r>
      <w:r>
        <w:rPr>
          <w:highlight w:val="none"/>
        </w:rPr>
        <w:t>应用软件功能清单</w:t>
      </w:r>
    </w:p>
    <w:p>
      <w:pPr>
        <w:rPr>
          <w:rFonts w:hint="eastAsia"/>
          <w:highlight w:val="none"/>
        </w:rPr>
      </w:pPr>
      <w:r>
        <w:rPr>
          <w:rFonts w:hint="eastAsia"/>
          <w:highlight w:val="none"/>
        </w:rPr>
        <w:t>提供全套技术文件纸介质</w:t>
      </w:r>
      <w:r>
        <w:rPr>
          <w:highlight w:val="none"/>
        </w:rPr>
        <w:t>3套以及电子文件1套。</w:t>
      </w:r>
    </w:p>
    <w:p>
      <w:pPr>
        <w:pStyle w:val="3"/>
        <w:rPr>
          <w:rFonts w:hint="eastAsia"/>
          <w:highlight w:val="none"/>
        </w:rPr>
      </w:pPr>
      <w:r>
        <w:rPr>
          <w:rFonts w:hint="eastAsia"/>
          <w:highlight w:val="none"/>
        </w:rPr>
        <w:t>供应商管理要求</w:t>
      </w:r>
      <w:bookmarkEnd w:id="34"/>
    </w:p>
    <w:p>
      <w:pPr>
        <w:pStyle w:val="83"/>
        <w:ind w:firstLine="480"/>
        <w:rPr>
          <w:rFonts w:hint="eastAsia"/>
          <w:sz w:val="24"/>
          <w:szCs w:val="24"/>
          <w:highlight w:val="none"/>
        </w:rPr>
      </w:pPr>
      <w:r>
        <w:rPr>
          <w:rFonts w:hint="eastAsia"/>
          <w:sz w:val="24"/>
          <w:szCs w:val="24"/>
          <w:highlight w:val="none"/>
        </w:rPr>
        <w:t>1、在项目实施期间，中标人应严格执行国家、地方、行业有关本项目业务管理和安全作业的法律、法规和制度并按规定承担相应的费用。中标人因违反规定等原因造成的一切损失和责任由中标人自行承担。</w:t>
      </w:r>
    </w:p>
    <w:p>
      <w:pPr>
        <w:pStyle w:val="83"/>
        <w:ind w:firstLine="480"/>
        <w:rPr>
          <w:rFonts w:hint="eastAsia"/>
          <w:sz w:val="24"/>
          <w:szCs w:val="24"/>
          <w:highlight w:val="none"/>
        </w:rPr>
      </w:pPr>
      <w:r>
        <w:rPr>
          <w:rFonts w:hint="eastAsia"/>
          <w:sz w:val="24"/>
          <w:szCs w:val="24"/>
          <w:highlight w:val="none"/>
        </w:rPr>
        <w:t>2、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pPr>
        <w:pStyle w:val="83"/>
        <w:ind w:firstLine="480"/>
        <w:rPr>
          <w:rFonts w:hint="eastAsia"/>
          <w:sz w:val="24"/>
          <w:szCs w:val="24"/>
          <w:highlight w:val="none"/>
        </w:rPr>
      </w:pPr>
      <w:r>
        <w:rPr>
          <w:rFonts w:hint="eastAsia"/>
          <w:sz w:val="24"/>
          <w:szCs w:val="24"/>
          <w:highlight w:val="none"/>
        </w:rPr>
        <w:t>3、中标人在项目实施期间，应按项目实际进度与环节落实所对应项目整体及各环节管理工作，按照规范做好项目实施期间相关管理与实施记录。</w:t>
      </w:r>
    </w:p>
    <w:p>
      <w:pPr>
        <w:pStyle w:val="83"/>
        <w:ind w:firstLine="480"/>
        <w:rPr>
          <w:rFonts w:hint="eastAsia"/>
          <w:sz w:val="24"/>
          <w:szCs w:val="24"/>
          <w:highlight w:val="none"/>
        </w:rPr>
      </w:pPr>
      <w:r>
        <w:rPr>
          <w:rFonts w:hint="eastAsia"/>
          <w:sz w:val="24"/>
          <w:szCs w:val="24"/>
          <w:highlight w:val="none"/>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pStyle w:val="83"/>
        <w:ind w:firstLine="480"/>
        <w:rPr>
          <w:rFonts w:hint="eastAsia"/>
          <w:sz w:val="24"/>
          <w:szCs w:val="24"/>
          <w:highlight w:val="none"/>
        </w:rPr>
      </w:pPr>
      <w:r>
        <w:rPr>
          <w:rFonts w:hint="eastAsia"/>
          <w:sz w:val="24"/>
          <w:szCs w:val="24"/>
          <w:highlight w:val="none"/>
        </w:rPr>
        <w:t>5、中标人在项目实施期间必须遵守采购人的规章制度并提供实施人员名单。</w:t>
      </w:r>
    </w:p>
    <w:p>
      <w:pPr>
        <w:pStyle w:val="83"/>
        <w:ind w:firstLine="480"/>
        <w:rPr>
          <w:rFonts w:hint="eastAsia"/>
          <w:sz w:val="24"/>
          <w:szCs w:val="24"/>
          <w:highlight w:val="none"/>
        </w:rPr>
      </w:pPr>
      <w:r>
        <w:rPr>
          <w:rFonts w:hint="eastAsia"/>
          <w:sz w:val="24"/>
          <w:szCs w:val="24"/>
          <w:highlight w:val="none"/>
        </w:rPr>
        <w:t>6、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pPr>
        <w:pStyle w:val="83"/>
        <w:ind w:firstLine="480"/>
        <w:rPr>
          <w:rFonts w:hint="eastAsia"/>
          <w:highlight w:val="none"/>
        </w:rPr>
      </w:pPr>
      <w:r>
        <w:rPr>
          <w:rFonts w:hint="eastAsia"/>
          <w:sz w:val="24"/>
          <w:szCs w:val="24"/>
          <w:highlight w:val="none"/>
        </w:rPr>
        <w:t>7、本项目软件开发及调试将纳入采购人的管理范围，中标人在此过程中须服从上述单位的管理协调。</w:t>
      </w:r>
    </w:p>
    <w:p>
      <w:pPr>
        <w:pStyle w:val="83"/>
        <w:ind w:firstLine="420"/>
        <w:rPr>
          <w:rFonts w:hint="eastAsia"/>
          <w:highlight w:val="none"/>
        </w:rPr>
      </w:pPr>
    </w:p>
    <w:p>
      <w:pPr>
        <w:pStyle w:val="3"/>
        <w:rPr>
          <w:rFonts w:hint="eastAsia"/>
          <w:highlight w:val="none"/>
        </w:rPr>
      </w:pPr>
      <w:bookmarkStart w:id="35" w:name="_Toc65170093"/>
      <w:r>
        <w:rPr>
          <w:highlight w:val="none"/>
        </w:rPr>
        <w:t>项目的变更、解除和终止</w:t>
      </w:r>
    </w:p>
    <w:p>
      <w:pPr>
        <w:ind w:firstLine="482"/>
        <w:rPr>
          <w:rFonts w:hint="eastAsia"/>
          <w:b/>
          <w:highlight w:val="none"/>
        </w:rPr>
      </w:pPr>
      <w:r>
        <w:rPr>
          <w:rFonts w:hint="eastAsia"/>
          <w:b/>
          <w:highlight w:val="none"/>
        </w:rPr>
        <w:t>明确项目的变更、解除和终止的情形和处置方式。</w:t>
      </w:r>
    </w:p>
    <w:p>
      <w:pPr>
        <w:rPr>
          <w:rFonts w:hint="eastAsia"/>
          <w:highlight w:val="none"/>
        </w:rPr>
      </w:pPr>
      <w:r>
        <w:rPr>
          <w:rFonts w:hint="eastAsia"/>
          <w:highlight w:val="none"/>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pPr>
        <w:rPr>
          <w:rFonts w:hint="eastAsia"/>
          <w:highlight w:val="none"/>
        </w:rPr>
      </w:pPr>
      <w:r>
        <w:rPr>
          <w:rFonts w:hint="eastAsia"/>
          <w:highlight w:val="none"/>
        </w:rPr>
        <w:t>如遇国家、行业管理部门等机构的有关标准和规定调整的，导致本项目内容须做相应调整时，双方应按照公平、合理的原则共同协商修改本项目对应的合同的相关条款。</w:t>
      </w:r>
    </w:p>
    <w:bookmarkEnd w:id="35"/>
    <w:p>
      <w:pPr>
        <w:pStyle w:val="3"/>
        <w:rPr>
          <w:rFonts w:hint="eastAsia"/>
          <w:highlight w:val="none"/>
        </w:rPr>
      </w:pPr>
      <w:bookmarkStart w:id="36" w:name="_Toc68798863"/>
      <w:r>
        <w:rPr>
          <w:rFonts w:hint="eastAsia"/>
          <w:highlight w:val="none"/>
        </w:rPr>
        <w:t>附录</w:t>
      </w:r>
      <w:bookmarkEnd w:id="36"/>
    </w:p>
    <w:p>
      <w:pPr>
        <w:ind w:firstLine="482"/>
        <w:rPr>
          <w:rFonts w:hint="eastAsia"/>
          <w:b/>
          <w:highlight w:val="none"/>
        </w:rPr>
      </w:pPr>
      <w:r>
        <w:rPr>
          <w:rFonts w:hint="eastAsia"/>
          <w:b/>
          <w:highlight w:val="none"/>
        </w:rPr>
        <w:t>若项目建设过程中需符合相关技术标准或规范文件的要求，请将相关文件作为附件列出。</w:t>
      </w:r>
    </w:p>
    <w:p>
      <w:pPr>
        <w:ind w:firstLine="0" w:firstLineChars="0"/>
        <w:rPr>
          <w:rFonts w:hint="eastAsia"/>
          <w:highlight w:val="none"/>
        </w:rPr>
      </w:pPr>
      <w:r>
        <w:rPr>
          <w:rFonts w:hint="eastAsia"/>
          <w:highlight w:val="none"/>
        </w:rPr>
        <w:t>1、</w:t>
      </w:r>
      <w:r>
        <w:rPr>
          <w:highlight w:val="none"/>
        </w:rPr>
        <w:t>《政务网络安全监测平台总体技术要求》</w:t>
      </w:r>
    </w:p>
    <w:p>
      <w:pPr>
        <w:ind w:firstLine="0" w:firstLineChars="0"/>
        <w:rPr>
          <w:rFonts w:hint="eastAsia"/>
          <w:highlight w:val="none"/>
        </w:rPr>
      </w:pPr>
      <w:r>
        <w:rPr>
          <w:highlight w:val="none"/>
        </w:rPr>
        <w:object>
          <v:shape id="_x0000_i1025" o:spt="75" type="#_x0000_t75" style="height:55pt;width:76.5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pPr>
        <w:ind w:firstLine="0" w:firstLineChars="0"/>
        <w:rPr>
          <w:rFonts w:hint="eastAsia"/>
          <w:highlight w:val="none"/>
        </w:rPr>
      </w:pPr>
    </w:p>
    <w:p>
      <w:pPr>
        <w:ind w:firstLine="0" w:firstLineChars="0"/>
        <w:jc w:val="left"/>
        <w:rPr>
          <w:rFonts w:hint="eastAsia"/>
          <w:highlight w:val="none"/>
        </w:rPr>
      </w:pPr>
      <w:r>
        <w:rPr>
          <w:rFonts w:hint="eastAsia"/>
          <w:highlight w:val="none"/>
        </w:rPr>
        <w:t>2、《上海市电子政务外网建设和运行管理指南（试行）》</w:t>
      </w:r>
    </w:p>
    <w:p>
      <w:pPr>
        <w:ind w:firstLine="0" w:firstLineChars="0"/>
        <w:jc w:val="left"/>
        <w:rPr>
          <w:rFonts w:hint="eastAsia"/>
          <w:highlight w:val="none"/>
        </w:rPr>
      </w:pPr>
      <w:r>
        <w:rPr>
          <w:highlight w:val="none"/>
        </w:rPr>
        <w:object>
          <v:shape id="_x0000_i1026" o:spt="75" type="#_x0000_t75" style="height:55pt;width:76.5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pPr>
        <w:ind w:firstLine="0" w:firstLineChars="0"/>
        <w:jc w:val="left"/>
        <w:rPr>
          <w:rFonts w:hint="eastAsia"/>
          <w:b/>
          <w:bCs/>
          <w:highlight w:val="none"/>
        </w:rPr>
      </w:pPr>
      <w:r>
        <w:rPr>
          <w:rFonts w:hint="eastAsia"/>
          <w:highlight w:val="none"/>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方正小标宋简体"/>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文泉驿微米黑">
    <w:panose1 w:val="020B0606030804020204"/>
    <w:charset w:val="86"/>
    <w:family w:val="auto"/>
    <w:pitch w:val="default"/>
    <w:sig w:usb0="E10002EF" w:usb1="6BDFFCFB" w:usb2="00800036" w:usb3="00000000" w:csb0="603E019F" w:csb1="DFD70000"/>
  </w:font>
  <w:font w:name="Microsoft Sans Serif">
    <w:altName w:val="DejaVu Sans"/>
    <w:panose1 w:val="020B0604020202020204"/>
    <w:charset w:val="00"/>
    <w:family w:val="swiss"/>
    <w:pitch w:val="default"/>
    <w:sig w:usb0="00000000" w:usb1="00000000" w:usb2="00000008" w:usb3="00000000" w:csb0="200101FF" w:csb1="2028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156B1947"/>
    <w:multiLevelType w:val="singleLevel"/>
    <w:tmpl w:val="156B1947"/>
    <w:lvl w:ilvl="0" w:tentative="0">
      <w:start w:val="2"/>
      <w:numFmt w:val="decimal"/>
      <w:suff w:val="nothing"/>
      <w:lvlText w:val="%1）"/>
      <w:lvlJc w:val="left"/>
    </w:lvl>
  </w:abstractNum>
  <w:abstractNum w:abstractNumId="2">
    <w:nsid w:val="1B164778"/>
    <w:multiLevelType w:val="multilevel"/>
    <w:tmpl w:val="1B164778"/>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3">
    <w:nsid w:val="1D642BBB"/>
    <w:multiLevelType w:val="multilevel"/>
    <w:tmpl w:val="1D642BBB"/>
    <w:lvl w:ilvl="0" w:tentative="0">
      <w:start w:val="1"/>
      <w:numFmt w:val="bullet"/>
      <w:lvlText w:val=""/>
      <w:lvlJc w:val="left"/>
      <w:pPr>
        <w:tabs>
          <w:tab w:val="left" w:pos="874"/>
        </w:tabs>
        <w:ind w:left="874" w:hanging="420"/>
      </w:pPr>
      <w:rPr>
        <w:rFonts w:hint="default" w:ascii="Wingdings" w:hAnsi="Wingdings"/>
      </w:rPr>
    </w:lvl>
    <w:lvl w:ilvl="1" w:tentative="0">
      <w:start w:val="1"/>
      <w:numFmt w:val="bullet"/>
      <w:lvlText w:val=""/>
      <w:lvlJc w:val="left"/>
      <w:pPr>
        <w:tabs>
          <w:tab w:val="left" w:pos="1294"/>
        </w:tabs>
        <w:ind w:left="1294" w:hanging="420"/>
      </w:pPr>
      <w:rPr>
        <w:rFonts w:hint="default" w:ascii="Wingdings" w:hAnsi="Wingdings"/>
      </w:rPr>
    </w:lvl>
    <w:lvl w:ilvl="2" w:tentative="0">
      <w:start w:val="1"/>
      <w:numFmt w:val="bullet"/>
      <w:lvlText w:val=""/>
      <w:lvlJc w:val="left"/>
      <w:pPr>
        <w:tabs>
          <w:tab w:val="left" w:pos="1714"/>
        </w:tabs>
        <w:ind w:left="1714" w:hanging="420"/>
      </w:pPr>
      <w:rPr>
        <w:rFonts w:hint="default" w:ascii="Wingdings" w:hAnsi="Wingdings"/>
      </w:rPr>
    </w:lvl>
    <w:lvl w:ilvl="3" w:tentative="0">
      <w:start w:val="1"/>
      <w:numFmt w:val="bullet"/>
      <w:lvlText w:val=""/>
      <w:lvlJc w:val="left"/>
      <w:pPr>
        <w:tabs>
          <w:tab w:val="left" w:pos="2134"/>
        </w:tabs>
        <w:ind w:left="2134" w:hanging="420"/>
      </w:pPr>
      <w:rPr>
        <w:rFonts w:hint="default" w:ascii="Wingdings" w:hAnsi="Wingdings"/>
      </w:rPr>
    </w:lvl>
    <w:lvl w:ilvl="4" w:tentative="0">
      <w:start w:val="1"/>
      <w:numFmt w:val="bullet"/>
      <w:lvlText w:val=""/>
      <w:lvlJc w:val="left"/>
      <w:pPr>
        <w:tabs>
          <w:tab w:val="left" w:pos="2554"/>
        </w:tabs>
        <w:ind w:left="2554" w:hanging="420"/>
      </w:pPr>
      <w:rPr>
        <w:rFonts w:hint="default" w:ascii="Wingdings" w:hAnsi="Wingdings"/>
      </w:rPr>
    </w:lvl>
    <w:lvl w:ilvl="5" w:tentative="0">
      <w:start w:val="1"/>
      <w:numFmt w:val="bullet"/>
      <w:lvlText w:val=""/>
      <w:lvlJc w:val="left"/>
      <w:pPr>
        <w:tabs>
          <w:tab w:val="left" w:pos="2974"/>
        </w:tabs>
        <w:ind w:left="2974" w:hanging="420"/>
      </w:pPr>
      <w:rPr>
        <w:rFonts w:hint="default" w:ascii="Wingdings" w:hAnsi="Wingdings"/>
      </w:rPr>
    </w:lvl>
    <w:lvl w:ilvl="6" w:tentative="0">
      <w:start w:val="1"/>
      <w:numFmt w:val="bullet"/>
      <w:lvlText w:val=""/>
      <w:lvlJc w:val="left"/>
      <w:pPr>
        <w:tabs>
          <w:tab w:val="left" w:pos="3394"/>
        </w:tabs>
        <w:ind w:left="3394" w:hanging="420"/>
      </w:pPr>
      <w:rPr>
        <w:rFonts w:hint="default" w:ascii="Wingdings" w:hAnsi="Wingdings"/>
      </w:rPr>
    </w:lvl>
    <w:lvl w:ilvl="7" w:tentative="0">
      <w:start w:val="1"/>
      <w:numFmt w:val="bullet"/>
      <w:lvlText w:val=""/>
      <w:lvlJc w:val="left"/>
      <w:pPr>
        <w:tabs>
          <w:tab w:val="left" w:pos="3814"/>
        </w:tabs>
        <w:ind w:left="3814" w:hanging="420"/>
      </w:pPr>
      <w:rPr>
        <w:rFonts w:hint="default" w:ascii="Wingdings" w:hAnsi="Wingdings"/>
      </w:rPr>
    </w:lvl>
    <w:lvl w:ilvl="8" w:tentative="0">
      <w:start w:val="1"/>
      <w:numFmt w:val="bullet"/>
      <w:lvlText w:val=""/>
      <w:lvlJc w:val="left"/>
      <w:pPr>
        <w:tabs>
          <w:tab w:val="left" w:pos="4234"/>
        </w:tabs>
        <w:ind w:left="4234" w:hanging="420"/>
      </w:pPr>
      <w:rPr>
        <w:rFonts w:hint="default" w:ascii="Wingdings" w:hAnsi="Wingdings"/>
      </w:rPr>
    </w:lvl>
  </w:abstractNum>
  <w:abstractNum w:abstractNumId="4">
    <w:nsid w:val="6350366A"/>
    <w:multiLevelType w:val="multilevel"/>
    <w:tmpl w:val="6350366A"/>
    <w:lvl w:ilvl="0" w:tentative="0">
      <w:start w:val="1"/>
      <w:numFmt w:val="none"/>
      <w:pStyle w:val="114"/>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6A2F4AB3"/>
    <w:multiLevelType w:val="multilevel"/>
    <w:tmpl w:val="6A2F4AB3"/>
    <w:lvl w:ilvl="0" w:tentative="0">
      <w:start w:val="1"/>
      <w:numFmt w:val="chineseCountingThousand"/>
      <w:pStyle w:val="3"/>
      <w:suff w:val="nothing"/>
      <w:lvlText w:val="%1、"/>
      <w:lvlJc w:val="left"/>
      <w:pPr>
        <w:ind w:left="425" w:hanging="425"/>
      </w:pPr>
      <w:rPr>
        <w:rFonts w:hint="eastAsia"/>
        <w:sz w:val="32"/>
        <w:szCs w:val="32"/>
      </w:rPr>
    </w:lvl>
    <w:lvl w:ilvl="1" w:tentative="0">
      <w:start w:val="1"/>
      <w:numFmt w:val="decimal"/>
      <w:pStyle w:val="4"/>
      <w:isLgl/>
      <w:suff w:val="nothing"/>
      <w:lvlText w:val="%1.%2、"/>
      <w:lvlJc w:val="left"/>
      <w:pPr>
        <w:ind w:left="1135" w:hanging="567"/>
      </w:pPr>
    </w:lvl>
    <w:lvl w:ilvl="2" w:tentative="0">
      <w:start w:val="1"/>
      <w:numFmt w:val="decimal"/>
      <w:pStyle w:val="5"/>
      <w:isLgl/>
      <w:suff w:val="nothing"/>
      <w:lvlText w:val="%1.%2.%3、"/>
      <w:lvlJc w:val="left"/>
      <w:pPr>
        <w:ind w:left="1069" w:hanging="1069"/>
      </w:pPr>
      <w:rPr>
        <w:rFonts w:hint="default" w:ascii="宋体" w:hAnsi="宋体" w:eastAsia="宋体" w:cs="Arial"/>
      </w:rPr>
    </w:lvl>
    <w:lvl w:ilvl="3" w:tentative="0">
      <w:start w:val="1"/>
      <w:numFmt w:val="decimal"/>
      <w:pStyle w:val="6"/>
      <w:isLgl/>
      <w:suff w:val="nothing"/>
      <w:lvlText w:val="%1.%2.%3.%4、"/>
      <w:lvlJc w:val="left"/>
      <w:pPr>
        <w:ind w:left="3403" w:hanging="851"/>
      </w:pPr>
    </w:lvl>
    <w:lvl w:ilvl="4" w:tentative="0">
      <w:start w:val="1"/>
      <w:numFmt w:val="decimal"/>
      <w:pStyle w:val="7"/>
      <w:isLgl/>
      <w:suff w:val="nothing"/>
      <w:lvlText w:val="%1.%2.%3.%4.%5、"/>
      <w:lvlJc w:val="left"/>
      <w:pPr>
        <w:ind w:left="3544" w:hanging="992"/>
      </w:pPr>
      <w:rPr>
        <w:rFonts w:hint="eastAsia"/>
      </w:rPr>
    </w:lvl>
    <w:lvl w:ilvl="5" w:tentative="0">
      <w:start w:val="1"/>
      <w:numFmt w:val="decimal"/>
      <w:pStyle w:val="8"/>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xYTNiNjU4OTI5YzE5YTM3YzVjMjMwYWU5MDUwNDgifQ=="/>
  </w:docVars>
  <w:rsids>
    <w:rsidRoot w:val="006910C0"/>
    <w:rsid w:val="0000005A"/>
    <w:rsid w:val="00000AED"/>
    <w:rsid w:val="00002DBA"/>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0BBF"/>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E9"/>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0C54"/>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30"/>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0CDF"/>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1E78"/>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6BE1"/>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3BBA"/>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08B"/>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8B"/>
    <w:rsid w:val="009147E3"/>
    <w:rsid w:val="00914D46"/>
    <w:rsid w:val="00920FD2"/>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2B98"/>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9BB"/>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66EF2"/>
    <w:rsid w:val="00D70F55"/>
    <w:rsid w:val="00D70FA5"/>
    <w:rsid w:val="00D74171"/>
    <w:rsid w:val="00D7474C"/>
    <w:rsid w:val="00D8032C"/>
    <w:rsid w:val="00D80CE2"/>
    <w:rsid w:val="00D83080"/>
    <w:rsid w:val="00D83E66"/>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3B2"/>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2836333"/>
    <w:rsid w:val="0323389B"/>
    <w:rsid w:val="032B3468"/>
    <w:rsid w:val="03430854"/>
    <w:rsid w:val="039F5FA6"/>
    <w:rsid w:val="03B95FF4"/>
    <w:rsid w:val="045521C0"/>
    <w:rsid w:val="05084E8C"/>
    <w:rsid w:val="051A0D14"/>
    <w:rsid w:val="06B868C2"/>
    <w:rsid w:val="06BF6017"/>
    <w:rsid w:val="075A3B1D"/>
    <w:rsid w:val="078057A6"/>
    <w:rsid w:val="078750AB"/>
    <w:rsid w:val="07D94EB6"/>
    <w:rsid w:val="082B65DB"/>
    <w:rsid w:val="09305ADA"/>
    <w:rsid w:val="0A1E250D"/>
    <w:rsid w:val="0A913826"/>
    <w:rsid w:val="0ABE2142"/>
    <w:rsid w:val="0B995089"/>
    <w:rsid w:val="0C7451AE"/>
    <w:rsid w:val="0E8013B7"/>
    <w:rsid w:val="0EAC35D3"/>
    <w:rsid w:val="0F841BAC"/>
    <w:rsid w:val="0FA638D0"/>
    <w:rsid w:val="1074577C"/>
    <w:rsid w:val="10D604C6"/>
    <w:rsid w:val="114A2DA0"/>
    <w:rsid w:val="11B515E0"/>
    <w:rsid w:val="12AB0F6A"/>
    <w:rsid w:val="1331204B"/>
    <w:rsid w:val="13486D30"/>
    <w:rsid w:val="13A53267"/>
    <w:rsid w:val="13F970D2"/>
    <w:rsid w:val="13FF78B5"/>
    <w:rsid w:val="145002AE"/>
    <w:rsid w:val="14AA4136"/>
    <w:rsid w:val="15D867AD"/>
    <w:rsid w:val="161B5B8F"/>
    <w:rsid w:val="163A420B"/>
    <w:rsid w:val="17562353"/>
    <w:rsid w:val="17F90C5D"/>
    <w:rsid w:val="18585984"/>
    <w:rsid w:val="19413B26"/>
    <w:rsid w:val="19BE7079"/>
    <w:rsid w:val="19D61256"/>
    <w:rsid w:val="1B965141"/>
    <w:rsid w:val="1C6D3688"/>
    <w:rsid w:val="1C716EAC"/>
    <w:rsid w:val="1C974DF7"/>
    <w:rsid w:val="1CC63D0A"/>
    <w:rsid w:val="1D091930"/>
    <w:rsid w:val="1DAC618C"/>
    <w:rsid w:val="1DC15D79"/>
    <w:rsid w:val="1DC2081A"/>
    <w:rsid w:val="1DD94266"/>
    <w:rsid w:val="1E1E31CB"/>
    <w:rsid w:val="1EB32D3F"/>
    <w:rsid w:val="1F7C1A84"/>
    <w:rsid w:val="1F9D0947"/>
    <w:rsid w:val="1FC7030B"/>
    <w:rsid w:val="1FFB29C6"/>
    <w:rsid w:val="20124FB2"/>
    <w:rsid w:val="20554990"/>
    <w:rsid w:val="214C004F"/>
    <w:rsid w:val="21E42719"/>
    <w:rsid w:val="22963C78"/>
    <w:rsid w:val="22AF3620"/>
    <w:rsid w:val="22E70AD4"/>
    <w:rsid w:val="240D3AC6"/>
    <w:rsid w:val="24F1508D"/>
    <w:rsid w:val="25140E84"/>
    <w:rsid w:val="25290DD3"/>
    <w:rsid w:val="266F634F"/>
    <w:rsid w:val="26AB0E96"/>
    <w:rsid w:val="27736336"/>
    <w:rsid w:val="27C84853"/>
    <w:rsid w:val="291059EA"/>
    <w:rsid w:val="29396C32"/>
    <w:rsid w:val="2A44045E"/>
    <w:rsid w:val="2B5273C5"/>
    <w:rsid w:val="2BBF12EC"/>
    <w:rsid w:val="2BC649D9"/>
    <w:rsid w:val="2DAC0C1E"/>
    <w:rsid w:val="2DED3693"/>
    <w:rsid w:val="2DEE6FDC"/>
    <w:rsid w:val="2E00469C"/>
    <w:rsid w:val="2F087CAC"/>
    <w:rsid w:val="2F8C268B"/>
    <w:rsid w:val="312D1C4B"/>
    <w:rsid w:val="317F3368"/>
    <w:rsid w:val="32686602"/>
    <w:rsid w:val="32B141B6"/>
    <w:rsid w:val="332D5F33"/>
    <w:rsid w:val="33435AC0"/>
    <w:rsid w:val="33ED2723"/>
    <w:rsid w:val="34DB376C"/>
    <w:rsid w:val="34F12F90"/>
    <w:rsid w:val="3515160D"/>
    <w:rsid w:val="35F82469"/>
    <w:rsid w:val="383B62B9"/>
    <w:rsid w:val="39B765FA"/>
    <w:rsid w:val="39C944DB"/>
    <w:rsid w:val="39EF3F42"/>
    <w:rsid w:val="3A546240"/>
    <w:rsid w:val="3AA80595"/>
    <w:rsid w:val="3C352ED2"/>
    <w:rsid w:val="3C7D00D8"/>
    <w:rsid w:val="3CA06C0C"/>
    <w:rsid w:val="3CE93C7A"/>
    <w:rsid w:val="3D9D765D"/>
    <w:rsid w:val="3E6F3473"/>
    <w:rsid w:val="3EA25851"/>
    <w:rsid w:val="3F6C3757"/>
    <w:rsid w:val="405D6A10"/>
    <w:rsid w:val="406F722A"/>
    <w:rsid w:val="40DB5220"/>
    <w:rsid w:val="41790595"/>
    <w:rsid w:val="41DA6594"/>
    <w:rsid w:val="43442AB2"/>
    <w:rsid w:val="444C1A75"/>
    <w:rsid w:val="449D4FE4"/>
    <w:rsid w:val="44A3526F"/>
    <w:rsid w:val="44B032F4"/>
    <w:rsid w:val="451A208F"/>
    <w:rsid w:val="457D25F7"/>
    <w:rsid w:val="468341CD"/>
    <w:rsid w:val="472C2589"/>
    <w:rsid w:val="49776048"/>
    <w:rsid w:val="4A563B69"/>
    <w:rsid w:val="4A672C72"/>
    <w:rsid w:val="4A760AEB"/>
    <w:rsid w:val="4ABA7602"/>
    <w:rsid w:val="4B58121B"/>
    <w:rsid w:val="4B842010"/>
    <w:rsid w:val="4BFC604B"/>
    <w:rsid w:val="4C9C4528"/>
    <w:rsid w:val="4EBB043F"/>
    <w:rsid w:val="4EF7487A"/>
    <w:rsid w:val="4F3162CA"/>
    <w:rsid w:val="50010825"/>
    <w:rsid w:val="50D95873"/>
    <w:rsid w:val="50FD6555"/>
    <w:rsid w:val="51F2607E"/>
    <w:rsid w:val="526102AF"/>
    <w:rsid w:val="5264494A"/>
    <w:rsid w:val="528444DA"/>
    <w:rsid w:val="531225F7"/>
    <w:rsid w:val="531D69FF"/>
    <w:rsid w:val="53213F70"/>
    <w:rsid w:val="5370275D"/>
    <w:rsid w:val="537745D5"/>
    <w:rsid w:val="53E45D42"/>
    <w:rsid w:val="54613836"/>
    <w:rsid w:val="552306F6"/>
    <w:rsid w:val="56576C9F"/>
    <w:rsid w:val="56694C24"/>
    <w:rsid w:val="56E352D5"/>
    <w:rsid w:val="577218B7"/>
    <w:rsid w:val="57E435FE"/>
    <w:rsid w:val="582D0655"/>
    <w:rsid w:val="58C0309C"/>
    <w:rsid w:val="5904742C"/>
    <w:rsid w:val="5951205C"/>
    <w:rsid w:val="59D079E8"/>
    <w:rsid w:val="59D40847"/>
    <w:rsid w:val="5AE37F25"/>
    <w:rsid w:val="5AE94C84"/>
    <w:rsid w:val="5BBBBF26"/>
    <w:rsid w:val="5C25488C"/>
    <w:rsid w:val="5C390BF5"/>
    <w:rsid w:val="5CB23D47"/>
    <w:rsid w:val="5E0841BC"/>
    <w:rsid w:val="5FAF09C4"/>
    <w:rsid w:val="608C4642"/>
    <w:rsid w:val="62195750"/>
    <w:rsid w:val="626A3683"/>
    <w:rsid w:val="62795572"/>
    <w:rsid w:val="63DF6DD7"/>
    <w:rsid w:val="643C5726"/>
    <w:rsid w:val="649410BE"/>
    <w:rsid w:val="64DD6417"/>
    <w:rsid w:val="66004745"/>
    <w:rsid w:val="66DC4593"/>
    <w:rsid w:val="67FA1B80"/>
    <w:rsid w:val="6A567F20"/>
    <w:rsid w:val="6A86594D"/>
    <w:rsid w:val="6C762120"/>
    <w:rsid w:val="6CD97953"/>
    <w:rsid w:val="6ED30FD7"/>
    <w:rsid w:val="727D78FD"/>
    <w:rsid w:val="72A057C0"/>
    <w:rsid w:val="73CC655F"/>
    <w:rsid w:val="73F3494A"/>
    <w:rsid w:val="75492D31"/>
    <w:rsid w:val="75957445"/>
    <w:rsid w:val="75D01AE1"/>
    <w:rsid w:val="767D3776"/>
    <w:rsid w:val="76D86389"/>
    <w:rsid w:val="76FC7B72"/>
    <w:rsid w:val="77524363"/>
    <w:rsid w:val="77811976"/>
    <w:rsid w:val="77B917B5"/>
    <w:rsid w:val="78703975"/>
    <w:rsid w:val="78C22246"/>
    <w:rsid w:val="78FAB1BD"/>
    <w:rsid w:val="79156A14"/>
    <w:rsid w:val="798A3C76"/>
    <w:rsid w:val="7B9D6B59"/>
    <w:rsid w:val="7BE420FD"/>
    <w:rsid w:val="7D0D296B"/>
    <w:rsid w:val="7D4E0B54"/>
    <w:rsid w:val="7D503E78"/>
    <w:rsid w:val="7DBEF022"/>
    <w:rsid w:val="7DE60785"/>
    <w:rsid w:val="7DF05160"/>
    <w:rsid w:val="7DFBDCF5"/>
    <w:rsid w:val="7E0160D4"/>
    <w:rsid w:val="7E994343"/>
    <w:rsid w:val="7EFD1A58"/>
    <w:rsid w:val="7F2826D7"/>
    <w:rsid w:val="7F5434CC"/>
    <w:rsid w:val="7F7E8786"/>
    <w:rsid w:val="7F9C146B"/>
    <w:rsid w:val="BF3AD3E3"/>
    <w:rsid w:val="E6EEBF98"/>
    <w:rsid w:val="F78F7A88"/>
    <w:rsid w:val="F9E6877B"/>
    <w:rsid w:val="FDFFCDC3"/>
    <w:rsid w:val="FF7FDA91"/>
    <w:rsid w:val="FFDE9E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3">
    <w:name w:val="heading 1"/>
    <w:basedOn w:val="1"/>
    <w:next w:val="1"/>
    <w:link w:val="78"/>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4">
    <w:name w:val="heading 2"/>
    <w:basedOn w:val="1"/>
    <w:next w:val="1"/>
    <w:link w:val="90"/>
    <w:qFormat/>
    <w:uiPriority w:val="9"/>
    <w:pPr>
      <w:keepNext/>
      <w:keepLines/>
      <w:numPr>
        <w:ilvl w:val="1"/>
        <w:numId w:val="1"/>
      </w:numPr>
      <w:spacing w:before="120" w:after="120"/>
      <w:ind w:firstLine="0" w:firstLineChars="0"/>
      <w:outlineLvl w:val="1"/>
    </w:pPr>
    <w:rPr>
      <w:b/>
      <w:bCs/>
      <w:sz w:val="30"/>
      <w:szCs w:val="32"/>
    </w:rPr>
  </w:style>
  <w:style w:type="paragraph" w:styleId="5">
    <w:name w:val="heading 3"/>
    <w:basedOn w:val="1"/>
    <w:next w:val="1"/>
    <w:link w:val="84"/>
    <w:qFormat/>
    <w:uiPriority w:val="0"/>
    <w:pPr>
      <w:keepNext/>
      <w:keepLines/>
      <w:numPr>
        <w:ilvl w:val="2"/>
        <w:numId w:val="1"/>
      </w:numPr>
      <w:spacing w:before="120" w:after="120"/>
      <w:ind w:firstLine="0" w:firstLineChars="0"/>
      <w:outlineLvl w:val="2"/>
    </w:pPr>
    <w:rPr>
      <w:b/>
      <w:bCs/>
      <w:sz w:val="28"/>
      <w:szCs w:val="28"/>
    </w:rPr>
  </w:style>
  <w:style w:type="paragraph" w:styleId="6">
    <w:name w:val="heading 4"/>
    <w:basedOn w:val="1"/>
    <w:next w:val="1"/>
    <w:link w:val="61"/>
    <w:qFormat/>
    <w:uiPriority w:val="0"/>
    <w:pPr>
      <w:keepNext/>
      <w:keepLines/>
      <w:numPr>
        <w:ilvl w:val="3"/>
        <w:numId w:val="1"/>
      </w:numPr>
      <w:spacing w:before="120" w:after="120"/>
      <w:ind w:left="851" w:firstLine="0" w:firstLineChars="0"/>
      <w:outlineLvl w:val="3"/>
    </w:pPr>
    <w:rPr>
      <w:b/>
      <w:bCs/>
      <w:sz w:val="30"/>
      <w:szCs w:val="30"/>
    </w:rPr>
  </w:style>
  <w:style w:type="paragraph" w:styleId="7">
    <w:name w:val="heading 5"/>
    <w:basedOn w:val="1"/>
    <w:next w:val="1"/>
    <w:link w:val="88"/>
    <w:qFormat/>
    <w:uiPriority w:val="0"/>
    <w:pPr>
      <w:keepNext/>
      <w:keepLines/>
      <w:numPr>
        <w:ilvl w:val="4"/>
        <w:numId w:val="1"/>
      </w:numPr>
      <w:spacing w:before="120" w:after="120"/>
      <w:ind w:left="0" w:firstLine="0" w:firstLineChars="0"/>
      <w:outlineLvl w:val="4"/>
    </w:pPr>
    <w:rPr>
      <w:b/>
      <w:bCs/>
      <w:szCs w:val="28"/>
    </w:rPr>
  </w:style>
  <w:style w:type="paragraph" w:styleId="8">
    <w:name w:val="heading 6"/>
    <w:basedOn w:val="1"/>
    <w:next w:val="1"/>
    <w:link w:val="101"/>
    <w:qFormat/>
    <w:uiPriority w:val="0"/>
    <w:pPr>
      <w:keepNext/>
      <w:keepLines/>
      <w:numPr>
        <w:ilvl w:val="5"/>
        <w:numId w:val="1"/>
      </w:numPr>
      <w:spacing w:before="120" w:after="120"/>
      <w:ind w:firstLine="0" w:firstLineChars="0"/>
      <w:outlineLvl w:val="5"/>
    </w:pPr>
    <w:rPr>
      <w:rFonts w:ascii="Cambria" w:hAnsi="Cambria"/>
      <w:b/>
      <w:bCs/>
    </w:rPr>
  </w:style>
  <w:style w:type="paragraph" w:styleId="9">
    <w:name w:val="heading 7"/>
    <w:basedOn w:val="1"/>
    <w:next w:val="1"/>
    <w:link w:val="75"/>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10">
    <w:name w:val="heading 8"/>
    <w:basedOn w:val="1"/>
    <w:next w:val="1"/>
    <w:link w:val="100"/>
    <w:qFormat/>
    <w:uiPriority w:val="9"/>
    <w:pPr>
      <w:keepNext/>
      <w:keepLines/>
      <w:spacing w:before="240" w:after="64" w:line="319" w:lineRule="auto"/>
      <w:ind w:firstLine="0" w:firstLineChars="0"/>
      <w:outlineLvl w:val="7"/>
    </w:pPr>
    <w:rPr>
      <w:rFonts w:ascii="Cambria" w:hAnsi="Cambria"/>
      <w:sz w:val="21"/>
    </w:rPr>
  </w:style>
  <w:style w:type="paragraph" w:styleId="11">
    <w:name w:val="heading 9"/>
    <w:basedOn w:val="1"/>
    <w:next w:val="1"/>
    <w:link w:val="51"/>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62"/>
    <w:unhideWhenUsed/>
    <w:qFormat/>
    <w:uiPriority w:val="0"/>
    <w:pPr>
      <w:spacing w:after="120" w:line="240" w:lineRule="auto"/>
      <w:ind w:firstLine="0" w:firstLineChars="0"/>
    </w:pPr>
    <w:rPr>
      <w:rFonts w:ascii="Times New Roman" w:hAnsi="Times New Roman"/>
      <w:sz w:val="21"/>
    </w:rPr>
  </w:style>
  <w:style w:type="paragraph" w:styleId="12">
    <w:name w:val="toc 7"/>
    <w:basedOn w:val="1"/>
    <w:next w:val="1"/>
    <w:unhideWhenUsed/>
    <w:qFormat/>
    <w:uiPriority w:val="39"/>
    <w:pPr>
      <w:ind w:left="2520" w:leftChars="1200"/>
    </w:pPr>
    <w:rPr>
      <w:rFonts w:ascii="等线" w:hAnsi="等线" w:eastAsia="等线"/>
      <w:szCs w:val="22"/>
    </w:rPr>
  </w:style>
  <w:style w:type="paragraph" w:styleId="13">
    <w:name w:val="Normal Indent"/>
    <w:basedOn w:val="1"/>
    <w:unhideWhenUsed/>
    <w:qFormat/>
    <w:uiPriority w:val="99"/>
    <w:pPr>
      <w:spacing w:line="240" w:lineRule="auto"/>
      <w:ind w:firstLine="420"/>
    </w:pPr>
    <w:rPr>
      <w:rFonts w:ascii="Calibri" w:hAnsi="Calibri"/>
      <w:sz w:val="21"/>
    </w:rPr>
  </w:style>
  <w:style w:type="paragraph" w:styleId="14">
    <w:name w:val="caption"/>
    <w:basedOn w:val="1"/>
    <w:next w:val="1"/>
    <w:link w:val="57"/>
    <w:qFormat/>
    <w:uiPriority w:val="0"/>
    <w:pPr>
      <w:spacing w:afterLines="50"/>
      <w:ind w:firstLine="200"/>
    </w:pPr>
    <w:rPr>
      <w:rFonts w:ascii="Arial" w:hAnsi="Arial" w:eastAsia="黑体"/>
      <w:sz w:val="20"/>
      <w:szCs w:val="20"/>
    </w:rPr>
  </w:style>
  <w:style w:type="paragraph" w:styleId="15">
    <w:name w:val="Document Map"/>
    <w:basedOn w:val="1"/>
    <w:link w:val="93"/>
    <w:qFormat/>
    <w:uiPriority w:val="0"/>
    <w:rPr>
      <w:rFonts w:hAnsi="Times New Roman"/>
      <w:sz w:val="18"/>
      <w:szCs w:val="18"/>
    </w:rPr>
  </w:style>
  <w:style w:type="paragraph" w:styleId="16">
    <w:name w:val="annotation text"/>
    <w:basedOn w:val="1"/>
    <w:link w:val="48"/>
    <w:qFormat/>
    <w:uiPriority w:val="99"/>
    <w:pPr>
      <w:jc w:val="left"/>
    </w:pPr>
    <w:rPr>
      <w:rFonts w:ascii="Times New Roman" w:hAnsi="Times New Roman" w:eastAsia="仿宋"/>
      <w:sz w:val="28"/>
    </w:rPr>
  </w:style>
  <w:style w:type="paragraph" w:styleId="17">
    <w:name w:val="Body Text Indent"/>
    <w:basedOn w:val="1"/>
    <w:link w:val="87"/>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9"/>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50"/>
    <w:qFormat/>
    <w:uiPriority w:val="0"/>
    <w:pPr>
      <w:ind w:left="100" w:leftChars="2500"/>
    </w:pPr>
    <w:rPr>
      <w:rFonts w:ascii="Times New Roman" w:hAnsi="Times New Roman"/>
      <w:sz w:val="21"/>
    </w:rPr>
  </w:style>
  <w:style w:type="paragraph" w:styleId="23">
    <w:name w:val="Balloon Text"/>
    <w:basedOn w:val="1"/>
    <w:link w:val="98"/>
    <w:qFormat/>
    <w:uiPriority w:val="0"/>
    <w:rPr>
      <w:rFonts w:ascii="Times New Roman" w:hAnsi="Times New Roman"/>
      <w:sz w:val="18"/>
      <w:szCs w:val="18"/>
    </w:rPr>
  </w:style>
  <w:style w:type="paragraph" w:styleId="24">
    <w:name w:val="footer"/>
    <w:basedOn w:val="1"/>
    <w:link w:val="91"/>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9"/>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9"/>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7"/>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6"/>
    <w:next w:val="16"/>
    <w:link w:val="85"/>
    <w:qFormat/>
    <w:uiPriority w:val="0"/>
    <w:rPr>
      <w:b/>
      <w:bCs/>
      <w:sz w:val="21"/>
    </w:rPr>
  </w:style>
  <w:style w:type="paragraph" w:styleId="35">
    <w:name w:val="Body Text First Indent"/>
    <w:basedOn w:val="2"/>
    <w:semiHidden/>
    <w:unhideWhenUsed/>
    <w:qFormat/>
    <w:uiPriority w:val="0"/>
    <w:pPr>
      <w:spacing w:line="360" w:lineRule="auto"/>
      <w:ind w:firstLine="420" w:firstLineChars="100"/>
    </w:pPr>
    <w:rPr>
      <w:rFonts w:ascii="宋体" w:hAnsi="宋体"/>
      <w:sz w:val="24"/>
    </w:rPr>
  </w:style>
  <w:style w:type="table" w:styleId="37">
    <w:name w:val="Table Grid"/>
    <w:basedOn w:val="36"/>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page number"/>
    <w:basedOn w:val="38"/>
    <w:qFormat/>
    <w:uiPriority w:val="0"/>
  </w:style>
  <w:style w:type="character" w:styleId="40">
    <w:name w:val="FollowedHyperlink"/>
    <w:unhideWhenUsed/>
    <w:qFormat/>
    <w:uiPriority w:val="99"/>
    <w:rPr>
      <w:color w:val="954F72"/>
      <w:u w:val="single"/>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character" w:customStyle="1" w:styleId="43">
    <w:name w:val="标题 4 字符"/>
    <w:semiHidden/>
    <w:qFormat/>
    <w:uiPriority w:val="9"/>
    <w:rPr>
      <w:rFonts w:ascii="等线 Light" w:hAnsi="等线 Light" w:eastAsia="等线 Light" w:cs="Times New Roman"/>
      <w:b/>
      <w:bCs/>
      <w:kern w:val="2"/>
      <w:sz w:val="28"/>
      <w:szCs w:val="28"/>
    </w:rPr>
  </w:style>
  <w:style w:type="paragraph" w:customStyle="1" w:styleId="44">
    <w:name w:val="列出段落1"/>
    <w:basedOn w:val="1"/>
    <w:qFormat/>
    <w:uiPriority w:val="34"/>
    <w:pPr>
      <w:spacing w:line="240" w:lineRule="auto"/>
      <w:ind w:firstLine="420"/>
    </w:pPr>
    <w:rPr>
      <w:rFonts w:ascii="Calibri" w:hAnsi="Calibri"/>
      <w:sz w:val="21"/>
      <w:szCs w:val="22"/>
    </w:rPr>
  </w:style>
  <w:style w:type="character" w:customStyle="1" w:styleId="45">
    <w:name w:val="标题 3 字符1"/>
    <w:qFormat/>
    <w:uiPriority w:val="0"/>
    <w:rPr>
      <w:rFonts w:ascii="宋体" w:hAnsi="宋体"/>
      <w:b/>
      <w:bCs/>
      <w:kern w:val="2"/>
      <w:sz w:val="28"/>
      <w:szCs w:val="28"/>
    </w:rPr>
  </w:style>
  <w:style w:type="character" w:customStyle="1" w:styleId="46">
    <w:name w:val="首行缩进正文 Char"/>
    <w:link w:val="47"/>
    <w:qFormat/>
    <w:uiPriority w:val="0"/>
    <w:rPr>
      <w:kern w:val="2"/>
      <w:sz w:val="24"/>
    </w:rPr>
  </w:style>
  <w:style w:type="paragraph" w:customStyle="1" w:styleId="47">
    <w:name w:val="首行缩进正文"/>
    <w:basedOn w:val="1"/>
    <w:link w:val="46"/>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8">
    <w:name w:val="批注文字 字符1"/>
    <w:link w:val="16"/>
    <w:qFormat/>
    <w:uiPriority w:val="99"/>
    <w:rPr>
      <w:rFonts w:eastAsia="仿宋"/>
      <w:kern w:val="2"/>
      <w:sz w:val="28"/>
      <w:szCs w:val="24"/>
    </w:rPr>
  </w:style>
  <w:style w:type="character" w:customStyle="1" w:styleId="49">
    <w:name w:val="日期 字符"/>
    <w:semiHidden/>
    <w:qFormat/>
    <w:uiPriority w:val="99"/>
    <w:rPr>
      <w:rFonts w:ascii="宋体" w:hAnsi="宋体"/>
      <w:kern w:val="2"/>
      <w:sz w:val="24"/>
      <w:szCs w:val="24"/>
    </w:rPr>
  </w:style>
  <w:style w:type="character" w:customStyle="1" w:styleId="50">
    <w:name w:val="日期 字符1"/>
    <w:link w:val="22"/>
    <w:qFormat/>
    <w:uiPriority w:val="0"/>
    <w:rPr>
      <w:kern w:val="2"/>
      <w:sz w:val="21"/>
      <w:szCs w:val="24"/>
    </w:rPr>
  </w:style>
  <w:style w:type="character" w:customStyle="1" w:styleId="51">
    <w:name w:val="标题 9 字符"/>
    <w:link w:val="11"/>
    <w:qFormat/>
    <w:uiPriority w:val="9"/>
    <w:rPr>
      <w:rFonts w:ascii="Cambria" w:hAnsi="Cambria"/>
      <w:kern w:val="2"/>
      <w:sz w:val="21"/>
      <w:szCs w:val="21"/>
    </w:rPr>
  </w:style>
  <w:style w:type="character" w:customStyle="1" w:styleId="52">
    <w:name w:val="未处理的提及1"/>
    <w:unhideWhenUsed/>
    <w:qFormat/>
    <w:uiPriority w:val="99"/>
    <w:rPr>
      <w:color w:val="605E5C"/>
      <w:shd w:val="clear" w:color="auto" w:fill="E1DFDD"/>
    </w:rPr>
  </w:style>
  <w:style w:type="character" w:customStyle="1" w:styleId="53">
    <w:name w:val="标题 1 字符"/>
    <w:qFormat/>
    <w:uiPriority w:val="9"/>
    <w:rPr>
      <w:rFonts w:ascii="宋体" w:hAnsi="宋体"/>
      <w:b/>
      <w:bCs/>
      <w:kern w:val="44"/>
      <w:sz w:val="44"/>
      <w:szCs w:val="44"/>
    </w:rPr>
  </w:style>
  <w:style w:type="character" w:customStyle="1" w:styleId="54">
    <w:name w:val="标题 3 字符"/>
    <w:semiHidden/>
    <w:qFormat/>
    <w:uiPriority w:val="9"/>
    <w:rPr>
      <w:rFonts w:ascii="宋体" w:hAnsi="宋体"/>
      <w:b/>
      <w:bCs/>
      <w:kern w:val="2"/>
      <w:sz w:val="32"/>
      <w:szCs w:val="32"/>
    </w:rPr>
  </w:style>
  <w:style w:type="character" w:customStyle="1" w:styleId="55">
    <w:name w:val="页脚 字符"/>
    <w:qFormat/>
    <w:uiPriority w:val="99"/>
  </w:style>
  <w:style w:type="character" w:customStyle="1" w:styleId="56">
    <w:name w:val="标题 5 字符"/>
    <w:semiHidden/>
    <w:qFormat/>
    <w:uiPriority w:val="9"/>
    <w:rPr>
      <w:rFonts w:ascii="宋体" w:hAnsi="宋体"/>
      <w:b/>
      <w:bCs/>
      <w:kern w:val="2"/>
      <w:sz w:val="28"/>
      <w:szCs w:val="28"/>
    </w:rPr>
  </w:style>
  <w:style w:type="character" w:customStyle="1" w:styleId="57">
    <w:name w:val="题注 字符"/>
    <w:link w:val="14"/>
    <w:qFormat/>
    <w:locked/>
    <w:uiPriority w:val="0"/>
    <w:rPr>
      <w:rFonts w:ascii="Arial" w:hAnsi="Arial" w:eastAsia="黑体"/>
      <w:kern w:val="2"/>
    </w:rPr>
  </w:style>
  <w:style w:type="character" w:customStyle="1" w:styleId="58">
    <w:name w:val="标题 2 字符"/>
    <w:semiHidden/>
    <w:qFormat/>
    <w:uiPriority w:val="9"/>
    <w:rPr>
      <w:rFonts w:ascii="等线 Light" w:hAnsi="等线 Light" w:eastAsia="等线 Light" w:cs="Times New Roman"/>
      <w:b/>
      <w:bCs/>
      <w:kern w:val="2"/>
      <w:sz w:val="32"/>
      <w:szCs w:val="32"/>
    </w:rPr>
  </w:style>
  <w:style w:type="character" w:customStyle="1" w:styleId="59">
    <w:name w:val="纯文本 字符"/>
    <w:qFormat/>
    <w:uiPriority w:val="0"/>
    <w:rPr>
      <w:rFonts w:ascii="宋体" w:hAnsi="Courier New" w:cs="Courier New"/>
      <w:kern w:val="2"/>
      <w:sz w:val="21"/>
      <w:szCs w:val="21"/>
    </w:rPr>
  </w:style>
  <w:style w:type="character" w:customStyle="1" w:styleId="60">
    <w:name w:val="列表段落 字符"/>
    <w:qFormat/>
    <w:uiPriority w:val="34"/>
    <w:rPr>
      <w:kern w:val="2"/>
      <w:sz w:val="21"/>
      <w:szCs w:val="22"/>
    </w:rPr>
  </w:style>
  <w:style w:type="character" w:customStyle="1" w:styleId="61">
    <w:name w:val="标题 4 字符1"/>
    <w:link w:val="6"/>
    <w:qFormat/>
    <w:uiPriority w:val="0"/>
    <w:rPr>
      <w:rFonts w:ascii="宋体" w:hAnsi="宋体"/>
      <w:b/>
      <w:bCs/>
      <w:kern w:val="2"/>
      <w:sz w:val="30"/>
      <w:szCs w:val="30"/>
    </w:rPr>
  </w:style>
  <w:style w:type="character" w:customStyle="1" w:styleId="62">
    <w:name w:val="正文文本 字符"/>
    <w:link w:val="2"/>
    <w:qFormat/>
    <w:uiPriority w:val="0"/>
    <w:rPr>
      <w:kern w:val="2"/>
      <w:sz w:val="21"/>
      <w:szCs w:val="24"/>
    </w:rPr>
  </w:style>
  <w:style w:type="character" w:customStyle="1" w:styleId="63">
    <w:name w:val="列表段落 字符1"/>
    <w:link w:val="64"/>
    <w:qFormat/>
    <w:uiPriority w:val="34"/>
    <w:rPr>
      <w:kern w:val="2"/>
      <w:sz w:val="21"/>
      <w:szCs w:val="24"/>
    </w:rPr>
  </w:style>
  <w:style w:type="paragraph" w:styleId="64">
    <w:name w:val="List Paragraph"/>
    <w:basedOn w:val="1"/>
    <w:link w:val="63"/>
    <w:qFormat/>
    <w:uiPriority w:val="34"/>
    <w:pPr>
      <w:ind w:firstLine="420"/>
    </w:pPr>
    <w:rPr>
      <w:rFonts w:ascii="Times New Roman" w:hAnsi="Times New Roman"/>
      <w:sz w:val="21"/>
    </w:rPr>
  </w:style>
  <w:style w:type="character" w:customStyle="1" w:styleId="65">
    <w:name w:val="font21"/>
    <w:qFormat/>
    <w:uiPriority w:val="0"/>
    <w:rPr>
      <w:rFonts w:ascii="Calibri" w:hAnsi="Calibri" w:cs="Calibri"/>
      <w:color w:val="000000"/>
      <w:sz w:val="21"/>
      <w:szCs w:val="21"/>
      <w:u w:val="none"/>
    </w:rPr>
  </w:style>
  <w:style w:type="character" w:customStyle="1" w:styleId="66">
    <w:name w:val="*正文 Char"/>
    <w:link w:val="67"/>
    <w:qFormat/>
    <w:uiPriority w:val="0"/>
    <w:rPr>
      <w:rFonts w:ascii="time" w:hAnsi="time"/>
      <w:sz w:val="24"/>
      <w:szCs w:val="24"/>
      <w:lang w:bidi="en-US"/>
    </w:rPr>
  </w:style>
  <w:style w:type="paragraph" w:customStyle="1" w:styleId="67">
    <w:name w:val="*正文"/>
    <w:basedOn w:val="1"/>
    <w:link w:val="66"/>
    <w:qFormat/>
    <w:uiPriority w:val="0"/>
    <w:pPr>
      <w:widowControl/>
      <w:ind w:firstLine="200"/>
      <w:contextualSpacing/>
    </w:pPr>
    <w:rPr>
      <w:rFonts w:ascii="time" w:hAnsi="time"/>
      <w:kern w:val="0"/>
      <w:lang w:bidi="en-US"/>
    </w:rPr>
  </w:style>
  <w:style w:type="character" w:customStyle="1" w:styleId="68">
    <w:name w:val="正文文本缩进 字符"/>
    <w:semiHidden/>
    <w:qFormat/>
    <w:uiPriority w:val="99"/>
    <w:rPr>
      <w:rFonts w:ascii="宋体" w:hAnsi="宋体"/>
      <w:kern w:val="2"/>
      <w:sz w:val="24"/>
      <w:szCs w:val="24"/>
    </w:rPr>
  </w:style>
  <w:style w:type="character" w:customStyle="1" w:styleId="69">
    <w:name w:val="纯文本 字符1"/>
    <w:link w:val="20"/>
    <w:qFormat/>
    <w:locked/>
    <w:uiPriority w:val="0"/>
    <w:rPr>
      <w:rFonts w:ascii="宋体" w:hAnsi="Courier New"/>
      <w:kern w:val="2"/>
      <w:sz w:val="21"/>
    </w:rPr>
  </w:style>
  <w:style w:type="character" w:customStyle="1" w:styleId="70">
    <w:name w:val="my正文 Char"/>
    <w:link w:val="71"/>
    <w:qFormat/>
    <w:uiPriority w:val="0"/>
    <w:rPr>
      <w:kern w:val="2"/>
      <w:sz w:val="21"/>
      <w:szCs w:val="24"/>
    </w:rPr>
  </w:style>
  <w:style w:type="paragraph" w:customStyle="1" w:styleId="71">
    <w:name w:val="my正文"/>
    <w:basedOn w:val="1"/>
    <w:link w:val="70"/>
    <w:qFormat/>
    <w:uiPriority w:val="0"/>
    <w:pPr>
      <w:spacing w:line="240" w:lineRule="auto"/>
      <w:ind w:firstLine="0" w:firstLineChars="0"/>
    </w:pPr>
    <w:rPr>
      <w:rFonts w:ascii="Times New Roman" w:hAnsi="Times New Roman"/>
      <w:sz w:val="21"/>
    </w:rPr>
  </w:style>
  <w:style w:type="character" w:customStyle="1" w:styleId="72">
    <w:name w:val="正文2 字符"/>
    <w:link w:val="73"/>
    <w:qFormat/>
    <w:uiPriority w:val="0"/>
    <w:rPr>
      <w:kern w:val="2"/>
      <w:sz w:val="21"/>
      <w:szCs w:val="24"/>
    </w:rPr>
  </w:style>
  <w:style w:type="paragraph" w:customStyle="1" w:styleId="73">
    <w:name w:val="正文2"/>
    <w:basedOn w:val="1"/>
    <w:link w:val="72"/>
    <w:qFormat/>
    <w:uiPriority w:val="0"/>
    <w:pPr>
      <w:ind w:firstLine="420"/>
    </w:pPr>
    <w:rPr>
      <w:rFonts w:ascii="Times New Roman" w:hAnsi="Times New Roman"/>
      <w:sz w:val="21"/>
    </w:rPr>
  </w:style>
  <w:style w:type="character" w:customStyle="1" w:styleId="74">
    <w:name w:val="font41"/>
    <w:qFormat/>
    <w:uiPriority w:val="0"/>
    <w:rPr>
      <w:rFonts w:hint="eastAsia" w:ascii="宋体" w:hAnsi="宋体" w:eastAsia="宋体" w:cs="宋体"/>
      <w:color w:val="000000"/>
      <w:sz w:val="21"/>
      <w:szCs w:val="21"/>
      <w:u w:val="none"/>
    </w:rPr>
  </w:style>
  <w:style w:type="character" w:customStyle="1" w:styleId="75">
    <w:name w:val="标题 7 字符"/>
    <w:link w:val="9"/>
    <w:qFormat/>
    <w:uiPriority w:val="9"/>
    <w:rPr>
      <w:b/>
      <w:bCs/>
      <w:kern w:val="2"/>
      <w:sz w:val="21"/>
      <w:szCs w:val="24"/>
    </w:rPr>
  </w:style>
  <w:style w:type="character" w:customStyle="1" w:styleId="76">
    <w:name w:val="批注框文本 字符"/>
    <w:semiHidden/>
    <w:qFormat/>
    <w:uiPriority w:val="99"/>
    <w:rPr>
      <w:rFonts w:ascii="宋体" w:hAnsi="宋体"/>
      <w:kern w:val="2"/>
      <w:sz w:val="18"/>
      <w:szCs w:val="18"/>
    </w:rPr>
  </w:style>
  <w:style w:type="character" w:customStyle="1" w:styleId="77">
    <w:name w:val="副标题 Char1"/>
    <w:qFormat/>
    <w:uiPriority w:val="0"/>
    <w:rPr>
      <w:rFonts w:ascii="Calibri Light" w:hAnsi="Calibri Light" w:cs="Times New Roman"/>
      <w:b/>
      <w:bCs/>
      <w:kern w:val="28"/>
      <w:sz w:val="32"/>
      <w:szCs w:val="32"/>
    </w:rPr>
  </w:style>
  <w:style w:type="character" w:customStyle="1" w:styleId="78">
    <w:name w:val="标题 1 字符1"/>
    <w:link w:val="3"/>
    <w:qFormat/>
    <w:uiPriority w:val="0"/>
    <w:rPr>
      <w:rFonts w:ascii="宋体" w:hAnsi="宋体" w:eastAsia="黑体"/>
      <w:b/>
      <w:bCs/>
      <w:kern w:val="44"/>
      <w:sz w:val="32"/>
      <w:szCs w:val="28"/>
    </w:rPr>
  </w:style>
  <w:style w:type="character" w:customStyle="1" w:styleId="79">
    <w:name w:val="批注文字 字符"/>
    <w:qFormat/>
    <w:uiPriority w:val="99"/>
    <w:rPr>
      <w:rFonts w:ascii="宋体" w:hAnsi="宋体"/>
      <w:kern w:val="2"/>
      <w:sz w:val="24"/>
      <w:szCs w:val="24"/>
    </w:rPr>
  </w:style>
  <w:style w:type="character" w:customStyle="1" w:styleId="80">
    <w:name w:val="文档结构图 字符"/>
    <w:semiHidden/>
    <w:qFormat/>
    <w:uiPriority w:val="99"/>
    <w:rPr>
      <w:rFonts w:ascii="Microsoft YaHei UI" w:hAnsi="宋体" w:eastAsia="Microsoft YaHei UI"/>
      <w:kern w:val="2"/>
      <w:sz w:val="18"/>
      <w:szCs w:val="18"/>
    </w:rPr>
  </w:style>
  <w:style w:type="character" w:customStyle="1" w:styleId="81">
    <w:name w:val="标题 6 字符"/>
    <w:semiHidden/>
    <w:qFormat/>
    <w:uiPriority w:val="9"/>
    <w:rPr>
      <w:rFonts w:ascii="等线 Light" w:hAnsi="等线 Light" w:eastAsia="等线 Light" w:cs="Times New Roman"/>
      <w:b/>
      <w:bCs/>
      <w:kern w:val="2"/>
      <w:sz w:val="24"/>
      <w:szCs w:val="24"/>
    </w:rPr>
  </w:style>
  <w:style w:type="character" w:customStyle="1" w:styleId="82">
    <w:name w:val="正文正文2 Char"/>
    <w:link w:val="83"/>
    <w:qFormat/>
    <w:uiPriority w:val="0"/>
    <w:rPr>
      <w:rFonts w:ascii="宋体" w:hAnsi="宋体"/>
      <w:kern w:val="2"/>
      <w:sz w:val="21"/>
      <w:szCs w:val="21"/>
    </w:rPr>
  </w:style>
  <w:style w:type="paragraph" w:customStyle="1" w:styleId="83">
    <w:name w:val="正文正文2"/>
    <w:basedOn w:val="1"/>
    <w:link w:val="82"/>
    <w:qFormat/>
    <w:uiPriority w:val="0"/>
    <w:pPr>
      <w:ind w:firstLine="460"/>
    </w:pPr>
    <w:rPr>
      <w:sz w:val="21"/>
      <w:szCs w:val="21"/>
    </w:rPr>
  </w:style>
  <w:style w:type="character" w:customStyle="1" w:styleId="84">
    <w:name w:val="标题 3 字符2"/>
    <w:link w:val="5"/>
    <w:qFormat/>
    <w:uiPriority w:val="0"/>
    <w:rPr>
      <w:rFonts w:ascii="宋体" w:hAnsi="宋体"/>
      <w:b/>
      <w:bCs/>
      <w:kern w:val="2"/>
      <w:sz w:val="28"/>
      <w:szCs w:val="28"/>
    </w:rPr>
  </w:style>
  <w:style w:type="character" w:customStyle="1" w:styleId="85">
    <w:name w:val="批注主题 字符1"/>
    <w:link w:val="34"/>
    <w:qFormat/>
    <w:uiPriority w:val="0"/>
    <w:rPr>
      <w:rFonts w:eastAsia="仿宋"/>
      <w:b/>
      <w:bCs/>
      <w:kern w:val="2"/>
      <w:sz w:val="21"/>
      <w:szCs w:val="24"/>
    </w:rPr>
  </w:style>
  <w:style w:type="character" w:customStyle="1" w:styleId="86">
    <w:name w:val="页眉 字符"/>
    <w:semiHidden/>
    <w:qFormat/>
    <w:uiPriority w:val="99"/>
    <w:rPr>
      <w:rFonts w:ascii="宋体" w:hAnsi="宋体"/>
      <w:kern w:val="2"/>
      <w:sz w:val="18"/>
      <w:szCs w:val="18"/>
    </w:rPr>
  </w:style>
  <w:style w:type="character" w:customStyle="1" w:styleId="87">
    <w:name w:val="正文文本缩进 字符1"/>
    <w:link w:val="17"/>
    <w:qFormat/>
    <w:uiPriority w:val="0"/>
    <w:rPr>
      <w:kern w:val="2"/>
      <w:sz w:val="21"/>
    </w:rPr>
  </w:style>
  <w:style w:type="character" w:customStyle="1" w:styleId="88">
    <w:name w:val="标题 5 字符1"/>
    <w:link w:val="7"/>
    <w:qFormat/>
    <w:uiPriority w:val="0"/>
    <w:rPr>
      <w:rFonts w:ascii="宋体" w:hAnsi="宋体"/>
      <w:b/>
      <w:bCs/>
      <w:kern w:val="2"/>
      <w:sz w:val="24"/>
      <w:szCs w:val="28"/>
    </w:rPr>
  </w:style>
  <w:style w:type="character" w:customStyle="1" w:styleId="89">
    <w:name w:val="副标题 字符1"/>
    <w:link w:val="28"/>
    <w:qFormat/>
    <w:uiPriority w:val="0"/>
    <w:rPr>
      <w:rFonts w:ascii="Calibri Light" w:hAnsi="Calibri Light"/>
      <w:b/>
      <w:bCs/>
      <w:kern w:val="28"/>
      <w:sz w:val="32"/>
      <w:szCs w:val="32"/>
    </w:rPr>
  </w:style>
  <w:style w:type="character" w:customStyle="1" w:styleId="90">
    <w:name w:val="标题 2 字符1"/>
    <w:link w:val="4"/>
    <w:qFormat/>
    <w:uiPriority w:val="9"/>
    <w:rPr>
      <w:rFonts w:ascii="宋体" w:hAnsi="宋体"/>
      <w:b/>
      <w:bCs/>
      <w:kern w:val="2"/>
      <w:sz w:val="30"/>
      <w:szCs w:val="32"/>
    </w:rPr>
  </w:style>
  <w:style w:type="character" w:customStyle="1" w:styleId="91">
    <w:name w:val="页脚 字符1"/>
    <w:link w:val="24"/>
    <w:qFormat/>
    <w:uiPriority w:val="99"/>
    <w:rPr>
      <w:kern w:val="2"/>
      <w:sz w:val="18"/>
      <w:szCs w:val="18"/>
    </w:rPr>
  </w:style>
  <w:style w:type="character" w:customStyle="1" w:styleId="92">
    <w:name w:val="批注主题 字符"/>
    <w:semiHidden/>
    <w:qFormat/>
    <w:uiPriority w:val="99"/>
    <w:rPr>
      <w:rFonts w:ascii="宋体" w:hAnsi="宋体"/>
      <w:b/>
      <w:bCs/>
      <w:kern w:val="2"/>
      <w:sz w:val="24"/>
      <w:szCs w:val="24"/>
    </w:rPr>
  </w:style>
  <w:style w:type="character" w:customStyle="1" w:styleId="93">
    <w:name w:val="文档结构图 字符1"/>
    <w:link w:val="15"/>
    <w:qFormat/>
    <w:uiPriority w:val="0"/>
    <w:rPr>
      <w:rFonts w:ascii="宋体"/>
      <w:kern w:val="2"/>
      <w:sz w:val="18"/>
      <w:szCs w:val="18"/>
    </w:rPr>
  </w:style>
  <w:style w:type="character" w:customStyle="1" w:styleId="94">
    <w:name w:val="font31"/>
    <w:qFormat/>
    <w:uiPriority w:val="0"/>
    <w:rPr>
      <w:rFonts w:hint="eastAsia" w:ascii="宋体" w:hAnsi="宋体" w:eastAsia="宋体" w:cs="宋体"/>
      <w:color w:val="000000"/>
      <w:sz w:val="21"/>
      <w:szCs w:val="21"/>
      <w:u w:val="none"/>
    </w:rPr>
  </w:style>
  <w:style w:type="character" w:customStyle="1" w:styleId="95">
    <w:name w:val="标准正文 Char"/>
    <w:link w:val="96"/>
    <w:qFormat/>
    <w:uiPriority w:val="0"/>
    <w:rPr>
      <w:rFonts w:ascii="Arial" w:hAnsi="Arial"/>
      <w:kern w:val="2"/>
      <w:sz w:val="24"/>
    </w:rPr>
  </w:style>
  <w:style w:type="paragraph" w:customStyle="1" w:styleId="96">
    <w:name w:val="标准正文"/>
    <w:basedOn w:val="17"/>
    <w:link w:val="95"/>
    <w:qFormat/>
    <w:uiPriority w:val="0"/>
    <w:pPr>
      <w:spacing w:before="60" w:after="60"/>
      <w:ind w:firstLine="482" w:firstLineChars="0"/>
    </w:pPr>
    <w:rPr>
      <w:rFonts w:ascii="Arial" w:hAnsi="Arial"/>
      <w:sz w:val="24"/>
    </w:rPr>
  </w:style>
  <w:style w:type="character" w:customStyle="1" w:styleId="97">
    <w:name w:val="标题 字符1"/>
    <w:link w:val="33"/>
    <w:qFormat/>
    <w:uiPriority w:val="0"/>
    <w:rPr>
      <w:rFonts w:ascii="Cambria" w:hAnsi="Cambria" w:eastAsia="黑体"/>
      <w:b/>
      <w:bCs/>
      <w:kern w:val="2"/>
      <w:sz w:val="52"/>
      <w:szCs w:val="32"/>
    </w:rPr>
  </w:style>
  <w:style w:type="character" w:customStyle="1" w:styleId="98">
    <w:name w:val="批注框文本 字符1"/>
    <w:link w:val="23"/>
    <w:qFormat/>
    <w:uiPriority w:val="0"/>
    <w:rPr>
      <w:kern w:val="2"/>
      <w:sz w:val="18"/>
      <w:szCs w:val="18"/>
    </w:rPr>
  </w:style>
  <w:style w:type="character" w:customStyle="1" w:styleId="99">
    <w:name w:val="页眉 字符1"/>
    <w:link w:val="25"/>
    <w:qFormat/>
    <w:uiPriority w:val="99"/>
    <w:rPr>
      <w:kern w:val="2"/>
      <w:sz w:val="18"/>
      <w:szCs w:val="18"/>
    </w:rPr>
  </w:style>
  <w:style w:type="character" w:customStyle="1" w:styleId="100">
    <w:name w:val="标题 8 字符"/>
    <w:link w:val="10"/>
    <w:qFormat/>
    <w:uiPriority w:val="9"/>
    <w:rPr>
      <w:rFonts w:ascii="Cambria" w:hAnsi="Cambria"/>
      <w:kern w:val="2"/>
      <w:sz w:val="21"/>
      <w:szCs w:val="24"/>
    </w:rPr>
  </w:style>
  <w:style w:type="character" w:customStyle="1" w:styleId="101">
    <w:name w:val="标题 6 字符1"/>
    <w:link w:val="8"/>
    <w:qFormat/>
    <w:uiPriority w:val="0"/>
    <w:rPr>
      <w:rFonts w:ascii="Cambria" w:hAnsi="Cambria"/>
      <w:b/>
      <w:bCs/>
      <w:kern w:val="2"/>
      <w:sz w:val="24"/>
      <w:szCs w:val="24"/>
    </w:rPr>
  </w:style>
  <w:style w:type="character" w:customStyle="1" w:styleId="102">
    <w:name w:val="标题 字符"/>
    <w:qFormat/>
    <w:uiPriority w:val="10"/>
    <w:rPr>
      <w:rFonts w:ascii="等线 Light" w:hAnsi="等线 Light" w:eastAsia="等线 Light" w:cs="Times New Roman"/>
      <w:b/>
      <w:bCs/>
      <w:kern w:val="2"/>
      <w:sz w:val="32"/>
      <w:szCs w:val="32"/>
    </w:rPr>
  </w:style>
  <w:style w:type="character" w:customStyle="1" w:styleId="103">
    <w:name w:val="副标题 字符"/>
    <w:qFormat/>
    <w:uiPriority w:val="11"/>
    <w:rPr>
      <w:rFonts w:ascii="等线" w:hAnsi="等线" w:eastAsia="等线" w:cs="Times New Roman"/>
      <w:b/>
      <w:bCs/>
      <w:kern w:val="28"/>
      <w:sz w:val="32"/>
      <w:szCs w:val="32"/>
    </w:rPr>
  </w:style>
  <w:style w:type="paragraph" w:customStyle="1" w:styleId="104">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5">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6">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7">
    <w:name w:val="_Style 2"/>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8">
    <w:name w:val="正文缩进1"/>
    <w:basedOn w:val="1"/>
    <w:qFormat/>
    <w:uiPriority w:val="0"/>
    <w:pPr>
      <w:spacing w:line="240" w:lineRule="auto"/>
      <w:ind w:firstLine="420"/>
    </w:pPr>
    <w:rPr>
      <w:rFonts w:ascii="Times New Roman" w:hAnsi="Times New Roman"/>
      <w:sz w:val="21"/>
      <w:szCs w:val="20"/>
    </w:rPr>
  </w:style>
  <w:style w:type="paragraph" w:customStyle="1" w:styleId="109">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10">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1">
    <w:name w:val="Indent Normal"/>
    <w:basedOn w:val="1"/>
    <w:qFormat/>
    <w:uiPriority w:val="0"/>
    <w:pPr>
      <w:ind w:firstLine="150" w:firstLineChars="150"/>
    </w:pPr>
  </w:style>
  <w:style w:type="paragraph" w:customStyle="1" w:styleId="112">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3">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4">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5">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6">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7">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8">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9">
    <w:name w:val="Char Char Char Char Char Char1 Char"/>
    <w:basedOn w:val="1"/>
    <w:qFormat/>
    <w:uiPriority w:val="0"/>
    <w:pPr>
      <w:widowControl/>
      <w:spacing w:after="160" w:line="240" w:lineRule="exact"/>
      <w:jc w:val="left"/>
    </w:pPr>
  </w:style>
  <w:style w:type="paragraph" w:customStyle="1" w:styleId="120">
    <w:name w:val="PM_Body"/>
    <w:basedOn w:val="1"/>
    <w:qFormat/>
    <w:locked/>
    <w:uiPriority w:val="0"/>
    <w:rPr>
      <w:szCs w:val="21"/>
    </w:rPr>
  </w:style>
  <w:style w:type="paragraph" w:customStyle="1" w:styleId="121">
    <w:name w:val="Char Char1"/>
    <w:basedOn w:val="1"/>
    <w:qFormat/>
    <w:uiPriority w:val="0"/>
    <w:pPr>
      <w:widowControl/>
      <w:spacing w:before="120" w:after="120"/>
    </w:pPr>
    <w:rPr>
      <w:rFonts w:ascii="Times New Roman" w:hAnsi="Times New Roman" w:cs="宋体"/>
    </w:rPr>
  </w:style>
  <w:style w:type="paragraph" w:customStyle="1" w:styleId="122">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3">
    <w:name w:val="修订1"/>
    <w:unhideWhenUsed/>
    <w:qFormat/>
    <w:uiPriority w:val="99"/>
    <w:rPr>
      <w:rFonts w:ascii="宋体" w:hAnsi="宋体" w:eastAsia="宋体" w:cs="Times New Roman"/>
      <w:kern w:val="2"/>
      <w:sz w:val="24"/>
      <w:szCs w:val="24"/>
      <w:lang w:val="en-US" w:eastAsia="zh-CN" w:bidi="ar-SA"/>
    </w:rPr>
  </w:style>
  <w:style w:type="paragraph" w:customStyle="1" w:styleId="124">
    <w:name w:val="列出段落2"/>
    <w:basedOn w:val="1"/>
    <w:qFormat/>
    <w:uiPriority w:val="0"/>
    <w:pPr>
      <w:spacing w:line="240" w:lineRule="auto"/>
      <w:ind w:firstLine="420"/>
    </w:pPr>
    <w:rPr>
      <w:rFonts w:ascii="等线" w:hAnsi="等线" w:eastAsia="等线" w:cs="等线"/>
      <w:sz w:val="21"/>
      <w:szCs w:val="21"/>
    </w:rPr>
  </w:style>
  <w:style w:type="paragraph" w:customStyle="1" w:styleId="125">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7">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8">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9">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30">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1">
    <w:name w:val="TOC 标题1"/>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2">
    <w:name w:val="!我的表格1"/>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
    <w:name w:val="网格型1"/>
    <w:basedOn w:val="36"/>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4">
    <w:name w:val="标题 1 Char"/>
    <w:qFormat/>
    <w:uiPriority w:val="0"/>
    <w:rPr>
      <w:rFonts w:ascii="宋体" w:hAnsi="宋体" w:eastAsia="黑体"/>
      <w:b/>
      <w:bCs/>
      <w:kern w:val="44"/>
      <w:sz w:val="32"/>
      <w:szCs w:val="28"/>
    </w:rPr>
  </w:style>
  <w:style w:type="character" w:customStyle="1" w:styleId="135">
    <w:name w:val="纯文本 Char2"/>
    <w:qFormat/>
    <w:uiPriority w:val="0"/>
    <w:rPr>
      <w:rFonts w:ascii="宋体" w:hAnsi="宋体" w:eastAsia="宋体" w:cs="Times New Roman"/>
      <w:color w:val="000000"/>
      <w:kern w:val="0"/>
      <w:sz w:val="24"/>
      <w:szCs w:val="24"/>
    </w:rPr>
  </w:style>
  <w:style w:type="paragraph" w:customStyle="1" w:styleId="136">
    <w:name w:val="表正文"/>
    <w:qFormat/>
    <w:uiPriority w:val="0"/>
    <w:rPr>
      <w:rFonts w:ascii="Times New Roman" w:hAnsi="Times New Roman" w:eastAsia="仿宋" w:cstheme="minorBidi"/>
      <w:kern w:val="2"/>
      <w:sz w:val="21"/>
      <w:szCs w:val="24"/>
      <w:lang w:val="en-US" w:eastAsia="zh-CN" w:bidi="ar-SA"/>
    </w:rPr>
  </w:style>
  <w:style w:type="paragraph" w:customStyle="1" w:styleId="137">
    <w:name w:val="_Style 145"/>
    <w:basedOn w:val="2"/>
    <w:next w:val="35"/>
    <w:unhideWhenUsed/>
    <w:qFormat/>
    <w:uiPriority w:val="0"/>
    <w:pPr>
      <w:spacing w:line="360" w:lineRule="auto"/>
      <w:ind w:firstLine="420" w:firstLineChars="100"/>
    </w:pPr>
    <w:rPr>
      <w:rFonts w:ascii="等线" w:hAnsi="等线"/>
      <w:sz w:val="24"/>
      <w:szCs w:val="22"/>
      <w:lang w:val="zh-CN"/>
    </w:rPr>
  </w:style>
  <w:style w:type="paragraph" w:customStyle="1" w:styleId="138">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35</Pages>
  <Words>13613</Words>
  <Characters>14122</Characters>
  <Lines>167</Lines>
  <Paragraphs>47</Paragraphs>
  <TotalTime>108</TotalTime>
  <ScaleCrop>false</ScaleCrop>
  <LinksUpToDate>false</LinksUpToDate>
  <CharactersWithSpaces>14181</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2025-10-03T06:03:00Z</dcterms:created>
  <dc:creator>gtig_tzb</dc:creator>
  <cp:lastModifiedBy>user</cp:lastModifiedBy>
  <cp:lastPrinted>2020-08-10T12:08:00Z</cp:lastPrinted>
  <dcterms:modified xsi:type="dcterms:W3CDTF">2025-10-28T11:42:50Z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D256C4AC672B0437B3C9FE68FAB362D5_43</vt:lpwstr>
  </property>
  <property fmtid="{D5CDD505-2E9C-101B-9397-08002B2CF9AE}" pid="4" name="KSOTemplateDocerSaveRecord">
    <vt:lpwstr>eyJoZGlkIjoiZTMzMGZmODZjY2ZmNGY3OGQyMjZkZWI5ZWRiODA2ZDAiLCJ1c2VySWQiOiIzMTEwOTgzNjkifQ==</vt:lpwstr>
  </property>
</Properties>
</file>