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F68B6">
      <w:pPr>
        <w:spacing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上海市临港新片区综合产业片区ZH-04单元K09、K10、K14、K15、K19、K20街坊控制性详细规划</w:t>
      </w:r>
    </w:p>
    <w:p w14:paraId="21543413">
      <w:pPr>
        <w:spacing w:line="600" w:lineRule="exact"/>
        <w:ind w:firstLine="720" w:firstLineChars="20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采购</w:t>
      </w:r>
      <w:r>
        <w:rPr>
          <w:rFonts w:hint="eastAsia" w:ascii="方正小标宋简体" w:hAnsi="方正小标宋简体" w:eastAsia="方正小标宋简体" w:cs="方正小标宋简体"/>
          <w:kern w:val="0"/>
          <w:sz w:val="36"/>
          <w:szCs w:val="36"/>
        </w:rPr>
        <w:t>需求</w:t>
      </w:r>
    </w:p>
    <w:p w14:paraId="503ECE11">
      <w:pPr>
        <w:spacing w:line="600" w:lineRule="exact"/>
        <w:jc w:val="center"/>
        <w:rPr>
          <w:rFonts w:ascii="方正小标宋简体" w:hAnsi="方正小标宋简体" w:eastAsia="方正小标宋简体" w:cs="方正小标宋简体"/>
          <w:kern w:val="0"/>
          <w:sz w:val="36"/>
          <w:szCs w:val="36"/>
        </w:rPr>
      </w:pPr>
    </w:p>
    <w:p w14:paraId="1FE0BFE1">
      <w:pPr>
        <w:pStyle w:val="2"/>
        <w:numPr>
          <w:ilvl w:val="0"/>
          <w:numId w:val="2"/>
        </w:numPr>
        <w:tabs>
          <w:tab w:val="left" w:pos="360"/>
        </w:tabs>
      </w:pPr>
      <w:bookmarkStart w:id="0" w:name="_Toc465174714"/>
      <w:bookmarkStart w:id="1" w:name="_Toc487722832"/>
      <w:bookmarkStart w:id="2" w:name="_Toc35593473"/>
      <w:bookmarkStart w:id="3" w:name="_Toc465946340"/>
      <w:r>
        <w:rPr>
          <w:rFonts w:hint="eastAsia"/>
        </w:rPr>
        <w:t>工作</w:t>
      </w:r>
      <w:r>
        <w:t>背景</w:t>
      </w:r>
      <w:bookmarkEnd w:id="0"/>
      <w:bookmarkEnd w:id="1"/>
      <w:bookmarkEnd w:id="2"/>
      <w:bookmarkEnd w:id="3"/>
    </w:p>
    <w:p w14:paraId="78EFE13A">
      <w:pPr>
        <w:spacing w:line="360" w:lineRule="auto"/>
        <w:ind w:firstLine="560" w:firstLineChars="200"/>
      </w:pPr>
      <w:bookmarkStart w:id="4" w:name="_Hlk69129381"/>
      <w:r>
        <w:rPr>
          <w:rFonts w:hint="eastAsia"/>
        </w:rPr>
        <w:t>近期临港综合产业片区拟选址一处高等院校，充分发挥高等院校对区域发展的综合赋能作用，促进产学研深度融合。由于部分区域暂无控制性详细规划覆盖，缺少法定规划支撑，近期实施存在困难。</w:t>
      </w:r>
    </w:p>
    <w:p w14:paraId="5A7880E0">
      <w:pPr>
        <w:spacing w:line="360" w:lineRule="auto"/>
        <w:ind w:firstLine="560" w:firstLineChars="200"/>
      </w:pPr>
      <w:r>
        <w:rPr>
          <w:rFonts w:hint="eastAsia"/>
        </w:rPr>
        <w:t>为衔接地区建设发展需要，导入城市功能，开展本次控规新编及相关研究工作，为校区建设提供法定规划支撑。</w:t>
      </w:r>
    </w:p>
    <w:bookmarkEnd w:id="4"/>
    <w:p w14:paraId="06EBCE24">
      <w:pPr>
        <w:pStyle w:val="2"/>
        <w:numPr>
          <w:ilvl w:val="0"/>
          <w:numId w:val="2"/>
        </w:numPr>
        <w:tabs>
          <w:tab w:val="left" w:pos="360"/>
        </w:tabs>
      </w:pPr>
      <w:r>
        <w:rPr>
          <w:rFonts w:hint="eastAsia"/>
        </w:rPr>
        <w:t>规划范围</w:t>
      </w:r>
    </w:p>
    <w:p w14:paraId="5008CE87">
      <w:pPr>
        <w:spacing w:line="360" w:lineRule="auto"/>
        <w:ind w:firstLine="560" w:firstLineChars="200"/>
        <w:rPr>
          <w:rFonts w:ascii="仿宋" w:hAnsi="仿宋"/>
        </w:rPr>
      </w:pPr>
      <w:bookmarkStart w:id="5" w:name="_Hlk77239184"/>
      <w:r>
        <w:rPr>
          <w:rFonts w:hint="eastAsia" w:ascii="仿宋" w:hAnsi="仿宋"/>
        </w:rPr>
        <w:t>本项目</w:t>
      </w:r>
      <w:r>
        <w:rPr>
          <w:rFonts w:ascii="仿宋" w:hAnsi="仿宋"/>
        </w:rPr>
        <w:t>涉及</w:t>
      </w:r>
      <w:r>
        <w:rPr>
          <w:rFonts w:hint="eastAsia" w:ascii="仿宋" w:hAnsi="仿宋"/>
        </w:rPr>
        <w:t>两类</w:t>
      </w:r>
      <w:r>
        <w:rPr>
          <w:rFonts w:ascii="仿宋" w:hAnsi="仿宋"/>
        </w:rPr>
        <w:t>规划范围</w:t>
      </w:r>
      <w:r>
        <w:rPr>
          <w:rFonts w:hint="eastAsia" w:ascii="仿宋" w:hAnsi="仿宋"/>
        </w:rPr>
        <w:t>：</w:t>
      </w:r>
    </w:p>
    <w:p w14:paraId="13E19C03">
      <w:pPr>
        <w:spacing w:line="360" w:lineRule="auto"/>
        <w:ind w:firstLine="562" w:firstLineChars="200"/>
        <w:rPr>
          <w:rFonts w:ascii="仿宋" w:hAnsi="仿宋"/>
        </w:rPr>
      </w:pPr>
      <w:r>
        <w:rPr>
          <w:rFonts w:hint="eastAsia" w:ascii="仿宋" w:hAnsi="仿宋"/>
          <w:b/>
        </w:rPr>
        <w:t>城市设计研究</w:t>
      </w:r>
      <w:r>
        <w:rPr>
          <w:rFonts w:ascii="仿宋" w:hAnsi="仿宋"/>
          <w:b/>
        </w:rPr>
        <w:t>范围</w:t>
      </w:r>
      <w:r>
        <w:rPr>
          <w:rFonts w:hint="eastAsia" w:ascii="仿宋" w:hAnsi="仿宋"/>
        </w:rPr>
        <w:t>东至业波路、西至浩通路与茂海路、北至纬一路、南至洲涛路，范围面积约</w:t>
      </w:r>
      <w:r>
        <w:rPr>
          <w:rFonts w:ascii="仿宋" w:hAnsi="仿宋"/>
        </w:rPr>
        <w:t>196</w:t>
      </w:r>
      <w:r>
        <w:rPr>
          <w:rFonts w:hint="eastAsia" w:ascii="仿宋" w:hAnsi="仿宋"/>
        </w:rPr>
        <w:t>公顷。</w:t>
      </w:r>
    </w:p>
    <w:p w14:paraId="27CED39C">
      <w:pPr>
        <w:spacing w:line="360" w:lineRule="auto"/>
        <w:ind w:firstLine="562" w:firstLineChars="200"/>
        <w:rPr>
          <w:rFonts w:ascii="仿宋" w:hAnsi="仿宋"/>
        </w:rPr>
      </w:pPr>
      <w:r>
        <w:rPr>
          <w:rFonts w:hint="eastAsia" w:ascii="仿宋" w:hAnsi="仿宋"/>
          <w:b/>
        </w:rPr>
        <w:t>控规新编范围</w:t>
      </w:r>
      <w:r>
        <w:rPr>
          <w:rFonts w:hint="eastAsia" w:ascii="仿宋" w:hAnsi="仿宋"/>
        </w:rPr>
        <w:t>为综合产业片区ZH-</w:t>
      </w:r>
      <w:r>
        <w:rPr>
          <w:rFonts w:ascii="仿宋" w:hAnsi="仿宋"/>
        </w:rPr>
        <w:t>04</w:t>
      </w:r>
      <w:r>
        <w:rPr>
          <w:rFonts w:hint="eastAsia" w:ascii="仿宋" w:hAnsi="仿宋"/>
        </w:rPr>
        <w:t>单元K</w:t>
      </w:r>
      <w:r>
        <w:rPr>
          <w:rFonts w:ascii="仿宋" w:hAnsi="仿宋"/>
        </w:rPr>
        <w:t>09</w:t>
      </w:r>
      <w:r>
        <w:rPr>
          <w:rFonts w:hint="eastAsia" w:ascii="仿宋" w:hAnsi="仿宋"/>
        </w:rPr>
        <w:t>、K10、K14、K15、K</w:t>
      </w:r>
      <w:r>
        <w:rPr>
          <w:rFonts w:ascii="仿宋" w:hAnsi="仿宋"/>
        </w:rPr>
        <w:t>19</w:t>
      </w:r>
      <w:r>
        <w:rPr>
          <w:rFonts w:hint="eastAsia" w:ascii="仿宋" w:hAnsi="仿宋"/>
        </w:rPr>
        <w:t>、K20街坊，东至春景路、西至茂海路、北至青汀路、南至洲涛路，范围面积约4</w:t>
      </w:r>
      <w:r>
        <w:rPr>
          <w:rFonts w:ascii="仿宋" w:hAnsi="仿宋"/>
        </w:rPr>
        <w:t>8公顷</w:t>
      </w:r>
      <w:r>
        <w:rPr>
          <w:rFonts w:hint="eastAsia" w:ascii="仿宋" w:hAnsi="仿宋"/>
        </w:rPr>
        <w:t>。</w:t>
      </w:r>
    </w:p>
    <w:p w14:paraId="6FEFF0AF">
      <w:pPr>
        <w:pStyle w:val="2"/>
        <w:numPr>
          <w:ilvl w:val="0"/>
          <w:numId w:val="2"/>
        </w:numPr>
      </w:pPr>
      <w:r>
        <w:rPr>
          <w:rFonts w:hint="eastAsia"/>
        </w:rPr>
        <w:t>采购人提供资料清单</w:t>
      </w:r>
    </w:p>
    <w:p w14:paraId="7006940B">
      <w:pPr>
        <w:spacing w:line="360" w:lineRule="auto"/>
        <w:ind w:firstLine="560" w:firstLineChars="200"/>
        <w:rPr>
          <w:rFonts w:ascii="仿宋" w:hAnsi="仿宋"/>
        </w:rPr>
      </w:pPr>
      <w:r>
        <w:rPr>
          <w:rFonts w:hint="eastAsia" w:ascii="仿宋" w:hAnsi="仿宋"/>
        </w:rPr>
        <w:t>采购人提供的资料包括：</w:t>
      </w:r>
    </w:p>
    <w:p w14:paraId="0F44C97F">
      <w:pPr>
        <w:spacing w:line="360" w:lineRule="auto"/>
        <w:ind w:firstLine="600" w:firstLineChars="200"/>
        <w:rPr>
          <w:rFonts w:ascii="仿宋" w:hAnsi="仿宋"/>
          <w:sz w:val="30"/>
          <w:szCs w:val="30"/>
        </w:rPr>
      </w:pPr>
      <w:r>
        <w:rPr>
          <w:rFonts w:ascii="仿宋" w:hAnsi="仿宋"/>
          <w:sz w:val="30"/>
          <w:szCs w:val="30"/>
        </w:rPr>
        <w:t>（1）</w:t>
      </w:r>
      <w:r>
        <w:rPr>
          <w:rFonts w:hint="eastAsia" w:ascii="仿宋" w:hAnsi="仿宋"/>
          <w:sz w:val="30"/>
          <w:szCs w:val="30"/>
        </w:rPr>
        <w:t>《中国（上海）自由贸易试验区临港新片区国土空间总体规划（20</w:t>
      </w:r>
      <w:r>
        <w:rPr>
          <w:rFonts w:ascii="仿宋" w:hAnsi="仿宋"/>
          <w:sz w:val="30"/>
          <w:szCs w:val="30"/>
        </w:rPr>
        <w:t>21</w:t>
      </w:r>
      <w:r>
        <w:rPr>
          <w:rFonts w:hint="eastAsia" w:ascii="仿宋" w:hAnsi="仿宋"/>
          <w:sz w:val="30"/>
          <w:szCs w:val="30"/>
        </w:rPr>
        <w:t>-2035年）》（在编）；</w:t>
      </w:r>
    </w:p>
    <w:p w14:paraId="03D4B063">
      <w:pPr>
        <w:spacing w:line="360" w:lineRule="auto"/>
        <w:ind w:firstLine="560" w:firstLineChars="200"/>
        <w:rPr>
          <w:rFonts w:ascii="仿宋" w:hAnsi="仿宋"/>
        </w:rPr>
      </w:pPr>
      <w:r>
        <w:rPr>
          <w:rFonts w:hint="eastAsia" w:ascii="仿宋" w:hAnsi="仿宋"/>
        </w:rPr>
        <w:t>（</w:t>
      </w:r>
      <w:r>
        <w:rPr>
          <w:rFonts w:ascii="仿宋" w:hAnsi="仿宋"/>
        </w:rPr>
        <w:t>2</w:t>
      </w:r>
      <w:r>
        <w:rPr>
          <w:rFonts w:hint="eastAsia" w:ascii="仿宋" w:hAnsi="仿宋"/>
        </w:rPr>
        <w:t>）《中国（上海）自由贸易试验区临港新片区综合产业片区单元规划》（</w:t>
      </w:r>
      <w:r>
        <w:rPr>
          <w:rFonts w:ascii="仿宋" w:hAnsi="仿宋"/>
        </w:rPr>
        <w:t>沪府规划</w:t>
      </w:r>
      <w:r>
        <w:rPr>
          <w:rFonts w:hint="eastAsia" w:ascii="仿宋" w:hAnsi="仿宋"/>
        </w:rPr>
        <w:t>〔202</w:t>
      </w:r>
      <w:r>
        <w:rPr>
          <w:rFonts w:ascii="仿宋" w:hAnsi="仿宋"/>
        </w:rPr>
        <w:t>3</w:t>
      </w:r>
      <w:r>
        <w:rPr>
          <w:rFonts w:hint="eastAsia" w:ascii="仿宋" w:hAnsi="仿宋"/>
        </w:rPr>
        <w:t>〕</w:t>
      </w:r>
      <w:r>
        <w:rPr>
          <w:rFonts w:ascii="仿宋" w:hAnsi="仿宋"/>
        </w:rPr>
        <w:t>56号</w:t>
      </w:r>
      <w:r>
        <w:rPr>
          <w:rFonts w:hint="eastAsia" w:ascii="仿宋" w:hAnsi="仿宋"/>
        </w:rPr>
        <w:t>）；</w:t>
      </w:r>
    </w:p>
    <w:p w14:paraId="1F0774F7">
      <w:pPr>
        <w:spacing w:line="360" w:lineRule="auto"/>
        <w:ind w:firstLine="560" w:firstLineChars="200"/>
        <w:rPr>
          <w:rFonts w:ascii="仿宋" w:hAnsi="仿宋"/>
        </w:rPr>
      </w:pPr>
      <w:r>
        <w:rPr>
          <w:rFonts w:hint="eastAsia" w:ascii="仿宋" w:hAnsi="仿宋"/>
        </w:rPr>
        <w:t>（</w:t>
      </w:r>
      <w:r>
        <w:rPr>
          <w:rFonts w:ascii="仿宋" w:hAnsi="仿宋"/>
        </w:rPr>
        <w:t>3</w:t>
      </w:r>
      <w:r>
        <w:rPr>
          <w:rFonts w:hint="eastAsia" w:ascii="仿宋" w:hAnsi="仿宋"/>
        </w:rPr>
        <w:t>）《上海市临港新片区综合产业片区ZH-04单元K21等街坊（两港快线综合区站点及周边地区）控制性详细规划》（</w:t>
      </w:r>
      <w:r>
        <w:rPr>
          <w:rFonts w:ascii="仿宋" w:hAnsi="仿宋"/>
        </w:rPr>
        <w:t>沪府规划</w:t>
      </w:r>
      <w:r>
        <w:rPr>
          <w:rFonts w:hint="eastAsia" w:ascii="仿宋" w:hAnsi="仿宋"/>
        </w:rPr>
        <w:t>〔202</w:t>
      </w:r>
      <w:r>
        <w:rPr>
          <w:rFonts w:ascii="仿宋" w:hAnsi="仿宋"/>
        </w:rPr>
        <w:t>3</w:t>
      </w:r>
      <w:r>
        <w:rPr>
          <w:rFonts w:hint="eastAsia" w:ascii="仿宋" w:hAnsi="仿宋"/>
        </w:rPr>
        <w:t>〕</w:t>
      </w:r>
      <w:r>
        <w:rPr>
          <w:rFonts w:ascii="仿宋" w:hAnsi="仿宋"/>
        </w:rPr>
        <w:t>102号</w:t>
      </w:r>
      <w:r>
        <w:rPr>
          <w:rFonts w:hint="eastAsia" w:ascii="仿宋" w:hAnsi="仿宋"/>
        </w:rPr>
        <w:t>）；</w:t>
      </w:r>
    </w:p>
    <w:p w14:paraId="60B05BAA">
      <w:pPr>
        <w:spacing w:line="360" w:lineRule="auto"/>
        <w:ind w:firstLine="560" w:firstLineChars="200"/>
        <w:rPr>
          <w:rFonts w:ascii="仿宋" w:hAnsi="仿宋"/>
        </w:rPr>
      </w:pPr>
      <w:r>
        <w:rPr>
          <w:rFonts w:hint="eastAsia" w:ascii="仿宋" w:hAnsi="仿宋"/>
        </w:rPr>
        <w:t>（4）综合产业片区ZH</w:t>
      </w:r>
      <w:r>
        <w:rPr>
          <w:rFonts w:ascii="仿宋" w:hAnsi="仿宋"/>
        </w:rPr>
        <w:t>-04</w:t>
      </w:r>
      <w:r>
        <w:rPr>
          <w:rFonts w:hint="eastAsia" w:ascii="仿宋" w:hAnsi="仿宋"/>
        </w:rPr>
        <w:t>单元范围城市设计、土地权属、河道蓝线等相关资料。</w:t>
      </w:r>
    </w:p>
    <w:bookmarkEnd w:id="5"/>
    <w:p w14:paraId="0293074B">
      <w:pPr>
        <w:pStyle w:val="2"/>
        <w:numPr>
          <w:ilvl w:val="0"/>
          <w:numId w:val="2"/>
        </w:numPr>
        <w:tabs>
          <w:tab w:val="left" w:pos="360"/>
        </w:tabs>
      </w:pPr>
      <w:r>
        <w:rPr>
          <w:rFonts w:hint="eastAsia"/>
        </w:rPr>
        <w:t>工作内容</w:t>
      </w:r>
    </w:p>
    <w:p w14:paraId="7FECA2A0">
      <w:pPr>
        <w:spacing w:line="360" w:lineRule="auto"/>
        <w:ind w:firstLine="562" w:firstLineChars="200"/>
        <w:rPr>
          <w:b/>
          <w:bCs/>
        </w:rPr>
      </w:pPr>
      <w:bookmarkStart w:id="6" w:name="_Hlk77239205"/>
      <w:r>
        <w:rPr>
          <w:rFonts w:hint="eastAsia"/>
          <w:b/>
          <w:bCs/>
        </w:rPr>
        <w:t>（一）控规新编</w:t>
      </w:r>
    </w:p>
    <w:p w14:paraId="5C0F1590">
      <w:pPr>
        <w:spacing w:line="360" w:lineRule="auto"/>
        <w:ind w:firstLine="560" w:firstLineChars="200"/>
      </w:pPr>
      <w:r>
        <w:rPr>
          <w:rFonts w:hint="eastAsia"/>
        </w:rPr>
        <w:t>梳理上位规划及相关规划梳理相关规划要求及指标要求；重点关注公服设施、高度强度、蓝绿系统、道路交通等系统内容。对场地现状进行系统性分析评估，总结现状各系统的主要问题和规划建议。基于前期规划评估结论，结合控制性详细规划技术准则，提出控规编制方案，重点关注用地功能布局、开发强度、建筑高度、公服设施、道路交通等方面，明确各地块的管控指标，并启动控规新编（法定成果）相关程序。</w:t>
      </w:r>
    </w:p>
    <w:p w14:paraId="01B7F201">
      <w:pPr>
        <w:spacing w:line="360" w:lineRule="auto"/>
        <w:ind w:firstLine="562" w:firstLineChars="200"/>
        <w:rPr>
          <w:b/>
          <w:bCs/>
        </w:rPr>
      </w:pPr>
      <w:r>
        <w:rPr>
          <w:rFonts w:hint="eastAsia"/>
          <w:b/>
          <w:bCs/>
        </w:rPr>
        <w:t>（二）城市设计整合</w:t>
      </w:r>
    </w:p>
    <w:p w14:paraId="11742C71">
      <w:pPr>
        <w:spacing w:line="360" w:lineRule="auto"/>
        <w:ind w:firstLine="560" w:firstLineChars="200"/>
      </w:pPr>
      <w:r>
        <w:rPr>
          <w:rFonts w:hint="eastAsia"/>
        </w:rPr>
        <w:t>聚焦城市设计研究范围，梳理上位规划及相关规划中城市设计相关管控要求，将本次规划范围内城市设计方案与综合区站点原城市设计方案进行整合，重点针对建筑高度、城市界面、公共空间、慢行系统等方面展开研究，进一步分析研判规划范围内城市设计方案与周边地区的衔接关系，为控规新编方案及后续编制附加图则提供支撑。</w:t>
      </w:r>
    </w:p>
    <w:bookmarkEnd w:id="6"/>
    <w:p w14:paraId="377953E9">
      <w:pPr>
        <w:pStyle w:val="2"/>
        <w:numPr>
          <w:ilvl w:val="0"/>
          <w:numId w:val="2"/>
        </w:numPr>
        <w:tabs>
          <w:tab w:val="left" w:pos="360"/>
        </w:tabs>
      </w:pPr>
      <w:bookmarkStart w:id="7" w:name="_Hlk198651889"/>
      <w:r>
        <w:rPr>
          <w:rFonts w:hint="eastAsia"/>
        </w:rPr>
        <w:t>成果构成</w:t>
      </w:r>
    </w:p>
    <w:bookmarkEnd w:id="7"/>
    <w:p w14:paraId="1E45DB62">
      <w:pPr>
        <w:ind w:firstLine="560" w:firstLineChars="200"/>
      </w:pPr>
      <w:r>
        <w:rPr>
          <w:rFonts w:hint="eastAsia"/>
        </w:rPr>
        <w:t>制作成果文本，包括法定文件、技术文件和数据文件。其中法定文件为规划文本和图纸，技术文件为说明书和编制文件，数据文件为入库文件。</w:t>
      </w:r>
    </w:p>
    <w:p w14:paraId="5BDDF1F5">
      <w:pPr>
        <w:ind w:firstLine="560" w:firstLineChars="200"/>
      </w:pPr>
      <w:r>
        <w:rPr>
          <w:rFonts w:hint="eastAsia"/>
        </w:rPr>
        <w:t>验收质量标准：控制性详细规划获得市局批复。</w:t>
      </w:r>
    </w:p>
    <w:p w14:paraId="57F473CA">
      <w:pPr>
        <w:ind w:firstLine="560" w:firstLineChars="200"/>
      </w:pPr>
      <w:r>
        <w:rPr>
          <w:rFonts w:hint="eastAsia"/>
        </w:rPr>
        <w:t>成果数量及成果形式：成果一式</w:t>
      </w:r>
      <w:r>
        <w:t>2</w:t>
      </w:r>
      <w:r>
        <w:rPr>
          <w:rFonts w:hint="eastAsia"/>
        </w:rPr>
        <w:t>份，包含以上成果的纸质文本和电子文件光盘。</w:t>
      </w:r>
    </w:p>
    <w:p w14:paraId="6F6C42A2">
      <w:pPr>
        <w:pStyle w:val="2"/>
        <w:numPr>
          <w:ilvl w:val="0"/>
          <w:numId w:val="2"/>
        </w:numPr>
        <w:tabs>
          <w:tab w:val="left" w:pos="360"/>
        </w:tabs>
      </w:pPr>
      <w:bookmarkStart w:id="8" w:name="_Hlk198651966"/>
      <w:r>
        <w:rPr>
          <w:rFonts w:hint="eastAsia"/>
        </w:rPr>
        <w:t>验收方式</w:t>
      </w:r>
    </w:p>
    <w:p w14:paraId="048A5873">
      <w:pPr>
        <w:spacing w:line="360" w:lineRule="auto"/>
        <w:ind w:firstLine="560" w:firstLineChars="200"/>
      </w:pPr>
      <w:r>
        <w:rPr>
          <w:rFonts w:hint="eastAsia"/>
        </w:rPr>
        <w:t>最终提交成果应符合工作内容要求，采用规划批复方式验收。</w:t>
      </w:r>
    </w:p>
    <w:bookmarkEnd w:id="8"/>
    <w:p w14:paraId="45F5EF67">
      <w:pPr>
        <w:pStyle w:val="10"/>
        <w:numPr>
          <w:ilvl w:val="0"/>
          <w:numId w:val="3"/>
        </w:numPr>
        <w:spacing w:line="600" w:lineRule="exact"/>
        <w:ind w:firstLineChars="0"/>
        <w:rPr>
          <w:rFonts w:ascii="方正黑体_GBK" w:hAnsi="方正黑体_GBK" w:eastAsia="方正黑体_GBK" w:cs="方正黑体_GBK"/>
          <w:sz w:val="32"/>
        </w:rPr>
      </w:pPr>
      <w:r>
        <w:rPr>
          <w:rFonts w:hint="eastAsia" w:ascii="方正黑体_GBK" w:hAnsi="方正黑体_GBK" w:eastAsia="方正黑体_GBK" w:cs="方正黑体_GBK"/>
          <w:sz w:val="32"/>
        </w:rPr>
        <w:t>团队及人员要求</w:t>
      </w:r>
    </w:p>
    <w:p w14:paraId="150A6A73">
      <w:pPr>
        <w:spacing w:line="360" w:lineRule="auto"/>
        <w:ind w:firstLine="562" w:firstLineChars="200"/>
      </w:pPr>
      <w:bookmarkStart w:id="9" w:name="_Hlk198651867"/>
      <w:r>
        <w:rPr>
          <w:rFonts w:hint="eastAsia"/>
          <w:b/>
          <w:bCs/>
        </w:rPr>
        <w:t>人员要求：</w:t>
      </w:r>
      <w:r>
        <w:rPr>
          <w:rFonts w:hint="eastAsia"/>
        </w:rPr>
        <w:t>项目负责人具有高级工程师职称优先考虑，项目组服务人员不少于</w:t>
      </w:r>
      <w:r>
        <w:t>2</w:t>
      </w:r>
      <w:r>
        <w:rPr>
          <w:rFonts w:hint="eastAsia"/>
        </w:rPr>
        <w:t>人。</w:t>
      </w:r>
    </w:p>
    <w:bookmarkEnd w:id="9"/>
    <w:p w14:paraId="50ED071D">
      <w:pPr>
        <w:spacing w:line="360" w:lineRule="auto"/>
        <w:ind w:firstLine="562" w:firstLineChars="200"/>
      </w:pPr>
      <w:r>
        <w:rPr>
          <w:rFonts w:hint="eastAsia"/>
          <w:b/>
          <w:bCs/>
        </w:rPr>
        <w:t>业绩要求：</w:t>
      </w:r>
      <w:r>
        <w:rPr>
          <w:rFonts w:hint="eastAsia"/>
        </w:rPr>
        <w:t>近三年承担过类似项目业绩及经验，可加分。</w:t>
      </w:r>
      <w:bookmarkStart w:id="10" w:name="_GoBack"/>
      <w:bookmarkEnd w:id="10"/>
    </w:p>
    <w:p w14:paraId="623E5B1C">
      <w:pPr>
        <w:pStyle w:val="2"/>
        <w:numPr>
          <w:ilvl w:val="0"/>
          <w:numId w:val="2"/>
        </w:numPr>
        <w:tabs>
          <w:tab w:val="left" w:pos="360"/>
        </w:tabs>
      </w:pPr>
      <w:r>
        <w:t>时间计划</w:t>
      </w:r>
    </w:p>
    <w:p w14:paraId="665EAFF3">
      <w:pPr>
        <w:spacing w:line="360" w:lineRule="auto"/>
        <w:ind w:firstLine="560" w:firstLineChars="200"/>
      </w:pPr>
      <w:r>
        <w:t>2025</w:t>
      </w:r>
      <w:r>
        <w:rPr>
          <w:rFonts w:hint="eastAsia"/>
        </w:rPr>
        <w:t>年</w:t>
      </w:r>
      <w:r>
        <w:rPr>
          <w:rFonts w:hint="eastAsia"/>
          <w:lang w:val="en-US" w:eastAsia="zh-CN"/>
        </w:rPr>
        <w:t>8</w:t>
      </w:r>
      <w:r>
        <w:rPr>
          <w:rFonts w:hint="eastAsia"/>
        </w:rPr>
        <w:t>月：项目启动，开展现状调研、资料收集等基础工作，完成规划初步方案。</w:t>
      </w:r>
    </w:p>
    <w:p w14:paraId="09686533">
      <w:pPr>
        <w:spacing w:line="360" w:lineRule="auto"/>
        <w:ind w:firstLine="560" w:firstLineChars="200"/>
      </w:pPr>
      <w:r>
        <w:t>2025</w:t>
      </w:r>
      <w:r>
        <w:rPr>
          <w:rFonts w:hint="eastAsia"/>
        </w:rPr>
        <w:t>年</w:t>
      </w:r>
      <w:r>
        <w:rPr>
          <w:rFonts w:hint="eastAsia"/>
          <w:lang w:val="en-US" w:eastAsia="zh-CN"/>
        </w:rPr>
        <w:t>11</w:t>
      </w:r>
      <w:r>
        <w:t>-</w:t>
      </w:r>
      <w:r>
        <w:rPr>
          <w:rFonts w:hint="eastAsia"/>
          <w:lang w:val="en-US" w:eastAsia="zh-CN"/>
        </w:rPr>
        <w:t>12</w:t>
      </w:r>
      <w:r>
        <w:rPr>
          <w:rFonts w:hint="eastAsia"/>
        </w:rPr>
        <w:t>月：召开部门意见征询会，深化初步方案，上报控规任务书。</w:t>
      </w:r>
    </w:p>
    <w:p w14:paraId="142A2613">
      <w:pPr>
        <w:spacing w:line="360" w:lineRule="auto"/>
        <w:ind w:firstLine="560" w:firstLineChars="200"/>
      </w:pPr>
      <w:r>
        <w:t>202</w:t>
      </w:r>
      <w:r>
        <w:rPr>
          <w:rFonts w:hint="eastAsia"/>
          <w:lang w:val="en-US" w:eastAsia="zh-CN"/>
        </w:rPr>
        <w:t>6</w:t>
      </w:r>
      <w:r>
        <w:rPr>
          <w:rFonts w:hint="eastAsia"/>
        </w:rPr>
        <w:t>年</w:t>
      </w:r>
      <w:r>
        <w:rPr>
          <w:rFonts w:hint="eastAsia"/>
          <w:lang w:val="en-US" w:eastAsia="zh-CN"/>
        </w:rPr>
        <w:t>1月</w:t>
      </w:r>
      <w:r>
        <w:t>-</w:t>
      </w:r>
      <w:r>
        <w:rPr>
          <w:rFonts w:hint="eastAsia"/>
          <w:lang w:val="en-US" w:eastAsia="zh-CN"/>
        </w:rPr>
        <w:t>2026年7</w:t>
      </w:r>
      <w:r>
        <w:rPr>
          <w:rFonts w:hint="eastAsia"/>
        </w:rPr>
        <w:t>月：落实任务书意见要求，编制规划草案并开展公示，形成上报稿。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96BB5"/>
    <w:multiLevelType w:val="multilevel"/>
    <w:tmpl w:val="4F496BB5"/>
    <w:lvl w:ilvl="0" w:tentative="0">
      <w:start w:val="1"/>
      <w:numFmt w:val="decimal"/>
      <w:pStyle w:val="2"/>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4FAB262D"/>
    <w:multiLevelType w:val="multilevel"/>
    <w:tmpl w:val="4FAB262D"/>
    <w:lvl w:ilvl="0" w:tentative="0">
      <w:start w:val="1"/>
      <w:numFmt w:val="chineseCountingThousand"/>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50686F3B"/>
    <w:multiLevelType w:val="multilevel"/>
    <w:tmpl w:val="50686F3B"/>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MzJiYTgyNTJkM2E5NzA5NDNiNGU0YmVkYTRiODEifQ=="/>
  </w:docVars>
  <w:rsids>
    <w:rsidRoot w:val="002B213D"/>
    <w:rsid w:val="00010C98"/>
    <w:rsid w:val="0002482A"/>
    <w:rsid w:val="000261AE"/>
    <w:rsid w:val="00082305"/>
    <w:rsid w:val="000B6529"/>
    <w:rsid w:val="000C4420"/>
    <w:rsid w:val="001D1F35"/>
    <w:rsid w:val="001E058E"/>
    <w:rsid w:val="001E05D1"/>
    <w:rsid w:val="001F1CA1"/>
    <w:rsid w:val="0025296C"/>
    <w:rsid w:val="00257109"/>
    <w:rsid w:val="002B213D"/>
    <w:rsid w:val="002C0798"/>
    <w:rsid w:val="002C199E"/>
    <w:rsid w:val="002C2773"/>
    <w:rsid w:val="00353369"/>
    <w:rsid w:val="00372D00"/>
    <w:rsid w:val="003C000F"/>
    <w:rsid w:val="003C5C48"/>
    <w:rsid w:val="00447AC8"/>
    <w:rsid w:val="004768D7"/>
    <w:rsid w:val="004A6E4E"/>
    <w:rsid w:val="004C1C04"/>
    <w:rsid w:val="00523FCC"/>
    <w:rsid w:val="005938C7"/>
    <w:rsid w:val="005F032C"/>
    <w:rsid w:val="00605C60"/>
    <w:rsid w:val="00614E44"/>
    <w:rsid w:val="006363B9"/>
    <w:rsid w:val="006C225B"/>
    <w:rsid w:val="006D0F27"/>
    <w:rsid w:val="006D26A4"/>
    <w:rsid w:val="006E5FF9"/>
    <w:rsid w:val="00765461"/>
    <w:rsid w:val="00795802"/>
    <w:rsid w:val="007A004E"/>
    <w:rsid w:val="007A14DE"/>
    <w:rsid w:val="007B65C4"/>
    <w:rsid w:val="007C7613"/>
    <w:rsid w:val="00840655"/>
    <w:rsid w:val="00970B7B"/>
    <w:rsid w:val="009F3248"/>
    <w:rsid w:val="009F73A9"/>
    <w:rsid w:val="00A4656D"/>
    <w:rsid w:val="00A67EF1"/>
    <w:rsid w:val="00A8690F"/>
    <w:rsid w:val="00AA76F4"/>
    <w:rsid w:val="00AC6E86"/>
    <w:rsid w:val="00AD08B5"/>
    <w:rsid w:val="00AE23C4"/>
    <w:rsid w:val="00B34E80"/>
    <w:rsid w:val="00B84474"/>
    <w:rsid w:val="00BD3A7C"/>
    <w:rsid w:val="00C348F6"/>
    <w:rsid w:val="00C4363E"/>
    <w:rsid w:val="00C475E8"/>
    <w:rsid w:val="00C50648"/>
    <w:rsid w:val="00CD0257"/>
    <w:rsid w:val="00CD5CD1"/>
    <w:rsid w:val="00CE1FD0"/>
    <w:rsid w:val="00CE53F9"/>
    <w:rsid w:val="00D1376A"/>
    <w:rsid w:val="00D3230E"/>
    <w:rsid w:val="00D33617"/>
    <w:rsid w:val="00D83516"/>
    <w:rsid w:val="00DB4083"/>
    <w:rsid w:val="00DB5606"/>
    <w:rsid w:val="00DE3422"/>
    <w:rsid w:val="00E231D2"/>
    <w:rsid w:val="00EA7D46"/>
    <w:rsid w:val="00EE608E"/>
    <w:rsid w:val="00F1734D"/>
    <w:rsid w:val="00F30F35"/>
    <w:rsid w:val="00F45DA7"/>
    <w:rsid w:val="274537B9"/>
    <w:rsid w:val="3FC638D4"/>
    <w:rsid w:val="42C00B48"/>
    <w:rsid w:val="7F6E6FBF"/>
    <w:rsid w:val="BDECD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9"/>
    <w:qFormat/>
    <w:uiPriority w:val="9"/>
    <w:pPr>
      <w:keepNext/>
      <w:keepLines/>
      <w:numPr>
        <w:ilvl w:val="0"/>
        <w:numId w:val="1"/>
      </w:numPr>
      <w:spacing w:after="120" w:line="360" w:lineRule="auto"/>
      <w:outlineLvl w:val="0"/>
    </w:pPr>
    <w:rPr>
      <w:rFonts w:ascii="仿宋" w:hAnsi="仿宋" w:eastAsia="黑体" w:cs="Times New Roman"/>
      <w:b/>
      <w:bCs/>
      <w:kern w:val="44"/>
      <w:sz w:val="32"/>
      <w:szCs w:val="44"/>
    </w:rPr>
  </w:style>
  <w:style w:type="paragraph" w:styleId="3">
    <w:name w:val="heading 2"/>
    <w:basedOn w:val="1"/>
    <w:next w:val="1"/>
    <w:link w:val="13"/>
    <w:unhideWhenUsed/>
    <w:qFormat/>
    <w:uiPriority w:val="9"/>
    <w:pPr>
      <w:keepNext/>
      <w:keepLines/>
      <w:spacing w:before="120" w:after="120" w:line="360" w:lineRule="auto"/>
      <w:outlineLvl w:val="1"/>
    </w:pPr>
    <w:rPr>
      <w:rFonts w:eastAsia="黑体" w:asciiTheme="majorHAnsi" w:hAnsiTheme="majorHAnsi" w:cstheme="majorBidi"/>
      <w:b/>
      <w:bCs/>
      <w:szCs w:val="32"/>
    </w:rPr>
  </w:style>
  <w:style w:type="paragraph" w:styleId="4">
    <w:name w:val="heading 3"/>
    <w:basedOn w:val="1"/>
    <w:next w:val="1"/>
    <w:link w:val="14"/>
    <w:unhideWhenUsed/>
    <w:qFormat/>
    <w:uiPriority w:val="9"/>
    <w:pPr>
      <w:keepNext/>
      <w:keepLines/>
      <w:spacing w:line="360" w:lineRule="auto"/>
      <w:outlineLvl w:val="2"/>
    </w:pPr>
    <w:rPr>
      <w:rFonts w:ascii="仿宋" w:hAnsi="仿宋" w:eastAsia="黑体" w:cs="Times New Roman"/>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9"/>
    <w:rPr>
      <w:rFonts w:ascii="仿宋" w:hAnsi="仿宋" w:eastAsia="黑体" w:cs="Times New Roman"/>
      <w:b/>
      <w:bCs/>
      <w:kern w:val="44"/>
      <w:sz w:val="32"/>
      <w:szCs w:val="44"/>
    </w:rPr>
  </w:style>
  <w:style w:type="paragraph" w:styleId="10">
    <w:name w:val="List Paragraph"/>
    <w:basedOn w:val="1"/>
    <w:qFormat/>
    <w:uiPriority w:val="99"/>
    <w:pPr>
      <w:ind w:firstLine="420" w:firstLineChars="200"/>
    </w:pPr>
  </w:style>
  <w:style w:type="character" w:customStyle="1" w:styleId="11">
    <w:name w:val="页眉 字符"/>
    <w:basedOn w:val="8"/>
    <w:link w:val="6"/>
    <w:qFormat/>
    <w:uiPriority w:val="99"/>
    <w:rPr>
      <w:rFonts w:eastAsia="仿宋"/>
      <w:sz w:val="18"/>
      <w:szCs w:val="18"/>
    </w:rPr>
  </w:style>
  <w:style w:type="character" w:customStyle="1" w:styleId="12">
    <w:name w:val="页脚 字符"/>
    <w:basedOn w:val="8"/>
    <w:link w:val="5"/>
    <w:qFormat/>
    <w:uiPriority w:val="99"/>
    <w:rPr>
      <w:rFonts w:eastAsia="仿宋"/>
      <w:sz w:val="18"/>
      <w:szCs w:val="18"/>
    </w:rPr>
  </w:style>
  <w:style w:type="character" w:customStyle="1" w:styleId="13">
    <w:name w:val="标题 2 字符"/>
    <w:basedOn w:val="8"/>
    <w:link w:val="3"/>
    <w:qFormat/>
    <w:uiPriority w:val="9"/>
    <w:rPr>
      <w:rFonts w:eastAsia="黑体" w:asciiTheme="majorHAnsi" w:hAnsiTheme="majorHAnsi" w:cstheme="majorBidi"/>
      <w:b/>
      <w:bCs/>
      <w:sz w:val="28"/>
      <w:szCs w:val="32"/>
    </w:rPr>
  </w:style>
  <w:style w:type="character" w:customStyle="1" w:styleId="14">
    <w:name w:val="标题 3 字符"/>
    <w:basedOn w:val="8"/>
    <w:link w:val="4"/>
    <w:qFormat/>
    <w:uiPriority w:val="9"/>
    <w:rPr>
      <w:rFonts w:ascii="仿宋" w:hAnsi="仿宋" w:eastAsia="黑体" w:cs="Times New Roman"/>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1244</Words>
  <Characters>1323</Characters>
  <Lines>9</Lines>
  <Paragraphs>2</Paragraphs>
  <TotalTime>71</TotalTime>
  <ScaleCrop>false</ScaleCrop>
  <LinksUpToDate>false</LinksUpToDate>
  <CharactersWithSpaces>1323</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2025-05-21T00:48:00Z</dcterms:created>
  <dc:creator>Administrator</dc:creator>
  <cp:lastModifiedBy>user</cp:lastModifiedBy>
  <dcterms:modified xsi:type="dcterms:W3CDTF">2025-07-21T13:27:34Z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73A349748B7646B59C09DF85126D8654_12</vt:lpwstr>
  </property>
</Properties>
</file>