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0"/>
        </w:numPr>
        <w:jc w:val="center"/>
      </w:pPr>
      <w:bookmarkStart w:id="33" w:name="_GoBack"/>
      <w:bookmarkEnd w:id="33"/>
      <w:bookmarkStart w:id="0" w:name="_Toc63785461"/>
      <w:r>
        <w:rPr>
          <w:rFonts w:hint="eastAsia"/>
        </w:rPr>
        <w:t>新华医院示范性研究型病房信息化建设项目采购需求</w:t>
      </w:r>
    </w:p>
    <w:p>
      <w:pPr>
        <w:pStyle w:val="2"/>
      </w:pPr>
      <w:r>
        <w:rPr>
          <w:rFonts w:hint="eastAsia"/>
        </w:rPr>
        <w:t>项目概况</w:t>
      </w:r>
      <w:bookmarkEnd w:id="0"/>
    </w:p>
    <w:p>
      <w:pPr>
        <w:pStyle w:val="12"/>
      </w:pPr>
      <w:r>
        <w:rPr>
          <w:rFonts w:hint="eastAsia"/>
        </w:rPr>
        <w:t>依托目前新华医院现有信息系统，进一步构建临床研究一体化数字平台，以研究型病房的业务全流程为基础，借助信息化技术，分别构建面向研究病房管理、研究数据管理、研究项目管理及智能远程临床研究服务的应用，以满足研究人员进行项目管理、患者管理、随访管理、样本管理、数据采集、数据质控等需求，加强临床研究病房运营效率和质量，提高项目承接能力。完善以智能化数据采集、数据质控为核心，覆盖项目管理、受试者管理、病例表设计、稽查轨迹等内容在内的数字化管理系统，提升其临床研究的工作效率。完善以包含临床试验的立项、伦理、协议、结题等环节的在线审查、试验用药管理、质量控制、经费管理、免费检验检查等过程的临床试验信息化技术服务与协同工作平台，实现临床试验在医院的实施过程管理及临床试验的机构、伦理委员会的信息化管理，从而提高临床试验的过程质量、降低临床试验风险。借助信息化平台的搭建，进一步提高申康中心HI-CLIP发起的临床研究项目响应率和承接率，保障其效率、质量，从而实现临床转化的作用。</w:t>
      </w:r>
    </w:p>
    <w:p>
      <w:pPr>
        <w:pStyle w:val="2"/>
      </w:pPr>
      <w:bookmarkStart w:id="1" w:name="_Toc47536644"/>
      <w:bookmarkEnd w:id="1"/>
      <w:bookmarkStart w:id="2" w:name="_Toc47539070"/>
      <w:bookmarkEnd w:id="2"/>
      <w:bookmarkStart w:id="3" w:name="_Toc47532255"/>
      <w:bookmarkEnd w:id="3"/>
      <w:bookmarkStart w:id="4" w:name="_Toc47536272"/>
      <w:bookmarkEnd w:id="4"/>
      <w:bookmarkStart w:id="5" w:name="_Toc47532891"/>
      <w:bookmarkEnd w:id="5"/>
      <w:bookmarkStart w:id="6" w:name="_Toc47531634"/>
      <w:bookmarkEnd w:id="6"/>
      <w:bookmarkStart w:id="7" w:name="_Toc47533256"/>
      <w:bookmarkEnd w:id="7"/>
      <w:bookmarkStart w:id="8" w:name="_Toc47537134"/>
      <w:bookmarkEnd w:id="8"/>
      <w:bookmarkStart w:id="9" w:name="_Toc63785463"/>
      <w:bookmarkStart w:id="10" w:name="_Toc48223882"/>
      <w:r>
        <w:rPr>
          <w:rFonts w:hint="eastAsia"/>
        </w:rPr>
        <w:t>建设目标</w:t>
      </w:r>
      <w:bookmarkEnd w:id="9"/>
      <w:bookmarkEnd w:id="10"/>
    </w:p>
    <w:p>
      <w:pPr>
        <w:pStyle w:val="12"/>
      </w:pPr>
      <w:r>
        <w:rPr>
          <w:rFonts w:hint="eastAsia"/>
        </w:rPr>
        <w:t>为了满足临床研究型病房专区网络的接入，部署数字生物样本库，专病库应用以及提供存储空间。</w:t>
      </w:r>
    </w:p>
    <w:p>
      <w:pPr>
        <w:pStyle w:val="2"/>
      </w:pPr>
      <w:bookmarkStart w:id="11" w:name="_Toc47536676"/>
      <w:bookmarkEnd w:id="11"/>
      <w:bookmarkStart w:id="12" w:name="_Toc47532923"/>
      <w:bookmarkEnd w:id="12"/>
      <w:bookmarkStart w:id="13" w:name="_Toc47533288"/>
      <w:bookmarkEnd w:id="13"/>
      <w:bookmarkStart w:id="14" w:name="_Toc47537166"/>
      <w:bookmarkEnd w:id="14"/>
      <w:bookmarkStart w:id="15" w:name="_Toc47539102"/>
      <w:bookmarkEnd w:id="15"/>
      <w:bookmarkStart w:id="16" w:name="_Toc47536304"/>
      <w:bookmarkEnd w:id="16"/>
      <w:r>
        <w:rPr>
          <w:rFonts w:hint="eastAsia"/>
        </w:rPr>
        <w:t>项目建设内容</w:t>
      </w:r>
    </w:p>
    <w:p>
      <w:pPr>
        <w:pStyle w:val="3"/>
      </w:pPr>
      <w:r>
        <w:rPr>
          <w:rFonts w:hint="eastAsia"/>
        </w:rPr>
        <w:t>集成要求</w:t>
      </w:r>
    </w:p>
    <w:p>
      <w:pPr>
        <w:pStyle w:val="12"/>
      </w:pPr>
      <w:r>
        <w:rPr>
          <w:rFonts w:hint="eastAsia"/>
        </w:rPr>
        <w:t>本项目供应商负责本信息系统的系统集成工作，确保信息系统安全、稳定、可靠地运行。本项目涉及的系统集成工作范围为：</w:t>
      </w:r>
    </w:p>
    <w:p>
      <w:pPr>
        <w:pStyle w:val="12"/>
        <w:numPr>
          <w:ilvl w:val="0"/>
          <w:numId w:val="3"/>
        </w:numPr>
        <w:ind w:firstLineChars="0"/>
      </w:pPr>
      <w:r>
        <w:t>平台搭建</w:t>
      </w:r>
    </w:p>
    <w:p>
      <w:pPr>
        <w:pStyle w:val="12"/>
      </w:pPr>
      <w:r>
        <w:rPr>
          <w:rFonts w:hint="eastAsia"/>
        </w:rPr>
        <w:t>安装硬件设备、服务器资源配置，搭建底层应用系统，安装平台软件，组建主机集群并调试、配置统一管理平台，提供HA能力保障业务连续性运行，快速响应业务需求。</w:t>
      </w:r>
    </w:p>
    <w:p>
      <w:pPr>
        <w:pStyle w:val="12"/>
        <w:numPr>
          <w:ilvl w:val="0"/>
          <w:numId w:val="3"/>
        </w:numPr>
        <w:ind w:firstLineChars="0"/>
      </w:pPr>
      <w:r>
        <w:rPr>
          <w:rFonts w:hint="eastAsia"/>
        </w:rPr>
        <w:t>存储</w:t>
      </w:r>
      <w:r>
        <w:t>双活</w:t>
      </w:r>
    </w:p>
    <w:p>
      <w:pPr>
        <w:pStyle w:val="12"/>
      </w:pPr>
      <w:r>
        <w:rPr>
          <w:rFonts w:hint="eastAsia"/>
        </w:rPr>
        <w:t>部署高速存储、大容量存储双活链路架构，接入至管理平台以供核心业务系统使用高速存储区域，其他业务系统使用大容量存储区域，提升核心系统存储效率和存储空间，同时保证服务器与数据库之间的传输效率和低延迟性，以此来保障核心业务的扩展和效率。</w:t>
      </w:r>
    </w:p>
    <w:p>
      <w:pPr>
        <w:pStyle w:val="3"/>
      </w:pPr>
      <w:r>
        <w:rPr>
          <w:rFonts w:hint="eastAsia"/>
        </w:rPr>
        <w:t>数据库迁移要求</w:t>
      </w:r>
    </w:p>
    <w:p>
      <w:pPr>
        <w:pStyle w:val="12"/>
      </w:pPr>
      <w:r>
        <w:rPr>
          <w:rFonts w:hint="eastAsia"/>
        </w:rPr>
        <w:t>本项目供应商负责本信息系统中</w:t>
      </w:r>
      <w:r>
        <w:t>方案</w:t>
      </w:r>
      <w:r>
        <w:rPr>
          <w:rFonts w:hint="eastAsia"/>
        </w:rPr>
        <w:t>管理、</w:t>
      </w:r>
      <w:r>
        <w:t>随访管理</w:t>
      </w:r>
      <w:r>
        <w:rPr>
          <w:rFonts w:hint="eastAsia"/>
        </w:rPr>
        <w:t>、样本管理、质控管理、任务管理、</w:t>
      </w:r>
      <w:r>
        <w:t>医嘱</w:t>
      </w:r>
      <w:r>
        <w:rPr>
          <w:rFonts w:hint="eastAsia"/>
        </w:rPr>
        <w:t>管理模块所需的现有数据迁移工作，确保数据库可支撑信息系统安全、稳定、可靠地运行。</w:t>
      </w:r>
    </w:p>
    <w:p>
      <w:pPr>
        <w:pStyle w:val="3"/>
      </w:pPr>
      <w:r>
        <w:rPr>
          <w:rFonts w:hint="eastAsia"/>
        </w:rPr>
        <w:t>配合平台对接要求</w:t>
      </w:r>
    </w:p>
    <w:p>
      <w:pPr>
        <w:pStyle w:val="12"/>
      </w:pPr>
      <w:r>
        <w:rPr>
          <w:rFonts w:hint="eastAsia"/>
        </w:rPr>
        <w:t>本项目供应商负责本信息系统的平台对接配合工作，确保信息系统安全、稳定、可靠地运行。本项目涉及的平台对接配合工作范围为：</w:t>
      </w:r>
    </w:p>
    <w:p>
      <w:pPr>
        <w:pStyle w:val="12"/>
        <w:numPr>
          <w:ilvl w:val="0"/>
          <w:numId w:val="4"/>
        </w:numPr>
        <w:ind w:firstLineChars="0"/>
      </w:pPr>
      <w:r>
        <w:rPr>
          <w:rFonts w:hint="eastAsia" w:ascii="宋体" w:hAnsi="宋体" w:cs="宋体"/>
        </w:rPr>
        <w:t>本院</w:t>
      </w:r>
      <w:r>
        <w:rPr>
          <w:rFonts w:ascii="宋体" w:hAnsi="宋体" w:cs="宋体"/>
        </w:rPr>
        <w:t>CTMS一体化平台</w:t>
      </w:r>
      <w:r>
        <w:rPr>
          <w:rFonts w:hint="eastAsia" w:ascii="宋体" w:hAnsi="宋体" w:cs="宋体"/>
        </w:rPr>
        <w:t>中</w:t>
      </w:r>
      <w:r>
        <w:rPr>
          <w:rFonts w:hint="eastAsia"/>
          <w:szCs w:val="21"/>
        </w:rPr>
        <w:t>受试者数据管理、方案拆分、随访管理模块与本平台中</w:t>
      </w:r>
      <w:r>
        <w:rPr>
          <w:szCs w:val="21"/>
        </w:rPr>
        <w:t>专科专病数据库管理</w:t>
      </w:r>
      <w:r>
        <w:rPr>
          <w:rFonts w:hint="eastAsia"/>
          <w:szCs w:val="21"/>
        </w:rPr>
        <w:t>、方案管理、</w:t>
      </w:r>
      <w:r>
        <w:t>随访管理</w:t>
      </w:r>
      <w:r>
        <w:rPr>
          <w:rFonts w:hint="eastAsia"/>
        </w:rPr>
        <w:t>模块的基础设施平台对接。</w:t>
      </w:r>
    </w:p>
    <w:p>
      <w:pPr>
        <w:pStyle w:val="12"/>
        <w:numPr>
          <w:ilvl w:val="0"/>
          <w:numId w:val="4"/>
        </w:numPr>
        <w:ind w:firstLineChars="0"/>
      </w:pPr>
      <w:r>
        <w:rPr>
          <w:rFonts w:hint="eastAsia"/>
        </w:rPr>
        <w:t>业务平台对接互通后的信息安全</w:t>
      </w:r>
    </w:p>
    <w:p>
      <w:pPr>
        <w:pStyle w:val="3"/>
      </w:pPr>
      <w:r>
        <w:rPr>
          <w:rFonts w:hint="eastAsia"/>
        </w:rPr>
        <w:t>硬件参数要求：</w:t>
      </w:r>
    </w:p>
    <w:p>
      <w:r>
        <w:rPr>
          <w:rFonts w:hint="eastAsia"/>
        </w:rPr>
        <w:t>以下参数要求中标注▲指标的为关键指标，供应商需提供专门的▲技术参数偏离表，标明偏离情况，并且提供满足该指标的相关证明材料（如需提供相应的第三方测试报告、适配证明、加盖原厂公章的产品官方技术资料白皮书或网页截图、专门承诺函等相关证明文件），需标明证明材料在响应文件中的位置，并明确标示出满足▲的内容。</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742"/>
        <w:gridCol w:w="743"/>
        <w:gridCol w:w="3243"/>
        <w:gridCol w:w="936"/>
        <w:gridCol w:w="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96" w:type="dxa"/>
            <w:shd w:val="clear" w:color="000000" w:fill="auto"/>
            <w:noWrap/>
          </w:tcPr>
          <w:p>
            <w:pPr>
              <w:ind w:firstLine="0" w:firstLineChars="0"/>
            </w:pPr>
            <w:r>
              <w:rPr>
                <w:rFonts w:hint="eastAsia"/>
              </w:rPr>
              <w:t>序号</w:t>
            </w:r>
          </w:p>
        </w:tc>
        <w:tc>
          <w:tcPr>
            <w:tcW w:w="742" w:type="dxa"/>
            <w:shd w:val="clear" w:color="000000" w:fill="auto"/>
            <w:noWrap/>
          </w:tcPr>
          <w:p>
            <w:pPr>
              <w:ind w:firstLine="0" w:firstLineChars="0"/>
            </w:pPr>
            <w:r>
              <w:rPr>
                <w:rFonts w:hint="eastAsia"/>
              </w:rPr>
              <w:t>名称</w:t>
            </w:r>
          </w:p>
        </w:tc>
        <w:tc>
          <w:tcPr>
            <w:tcW w:w="743" w:type="dxa"/>
            <w:shd w:val="clear" w:color="000000" w:fill="auto"/>
            <w:noWrap/>
          </w:tcPr>
          <w:p>
            <w:pPr>
              <w:ind w:firstLine="0" w:firstLineChars="0"/>
            </w:pPr>
            <w:r>
              <w:t>类别</w:t>
            </w:r>
          </w:p>
        </w:tc>
        <w:tc>
          <w:tcPr>
            <w:tcW w:w="3243" w:type="dxa"/>
            <w:shd w:val="clear" w:color="000000" w:fill="auto"/>
          </w:tcPr>
          <w:p>
            <w:r>
              <w:t>配置要求</w:t>
            </w:r>
          </w:p>
        </w:tc>
        <w:tc>
          <w:tcPr>
            <w:tcW w:w="936" w:type="dxa"/>
            <w:shd w:val="clear" w:color="000000" w:fill="auto"/>
          </w:tcPr>
          <w:p>
            <w:pPr>
              <w:ind w:firstLine="0" w:firstLineChars="0"/>
            </w:pPr>
            <w:r>
              <w:rPr>
                <w:rFonts w:hint="eastAsia"/>
              </w:rPr>
              <w:t>数</w:t>
            </w:r>
            <w:r>
              <w:t>量</w:t>
            </w:r>
          </w:p>
        </w:tc>
        <w:tc>
          <w:tcPr>
            <w:tcW w:w="971" w:type="dxa"/>
            <w:shd w:val="clear" w:color="000000" w:fill="auto"/>
          </w:tcPr>
          <w:p>
            <w:pPr>
              <w:ind w:firstLine="0" w:firstLineChars="0"/>
            </w:pPr>
            <w:r>
              <w:rPr>
                <w:rFonts w:hint="eastAsia"/>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696" w:type="dxa"/>
            <w:shd w:val="clear" w:color="auto" w:fill="FFFFFF"/>
          </w:tcPr>
          <w:p>
            <w:pPr>
              <w:ind w:firstLine="0" w:firstLineChars="0"/>
            </w:pPr>
            <w:r>
              <w:t>1</w:t>
            </w:r>
          </w:p>
        </w:tc>
        <w:tc>
          <w:tcPr>
            <w:tcW w:w="742" w:type="dxa"/>
            <w:shd w:val="clear" w:color="auto" w:fill="FFFFFF"/>
          </w:tcPr>
          <w:p>
            <w:pPr>
              <w:ind w:firstLine="0" w:firstLineChars="0"/>
            </w:pPr>
            <w:r>
              <w:t>网络设备</w:t>
            </w:r>
          </w:p>
        </w:tc>
        <w:tc>
          <w:tcPr>
            <w:tcW w:w="743" w:type="dxa"/>
            <w:shd w:val="clear" w:color="auto" w:fill="FFFFFF"/>
          </w:tcPr>
          <w:p>
            <w:pPr>
              <w:ind w:firstLine="0" w:firstLineChars="0"/>
            </w:pPr>
            <w:r>
              <w:rPr>
                <w:rFonts w:hint="eastAsia"/>
              </w:rPr>
              <w:t>交换机</w:t>
            </w:r>
          </w:p>
        </w:tc>
        <w:tc>
          <w:tcPr>
            <w:tcW w:w="3243" w:type="dxa"/>
            <w:shd w:val="clear" w:color="auto" w:fill="FFFFFF"/>
          </w:tcPr>
          <w:p>
            <w:pPr>
              <w:ind w:firstLine="0" w:firstLineChars="0"/>
              <w:rPr>
                <w:rFonts w:ascii="Tahoma" w:hAnsi="Tahoma" w:cs="Tahoma"/>
                <w:kern w:val="0"/>
              </w:rPr>
            </w:pPr>
            <w:r>
              <w:rPr>
                <w:rFonts w:hint="eastAsia"/>
              </w:rPr>
              <w:t>24口万兆交换机，含24个多模模块，5年服务</w:t>
            </w:r>
          </w:p>
        </w:tc>
        <w:tc>
          <w:tcPr>
            <w:tcW w:w="936" w:type="dxa"/>
            <w:shd w:val="clear" w:color="auto" w:fill="FFFFFF"/>
          </w:tcPr>
          <w:p>
            <w:r>
              <w:rPr>
                <w:rFonts w:hint="eastAsia"/>
              </w:rPr>
              <w:t>1</w:t>
            </w:r>
          </w:p>
        </w:tc>
        <w:tc>
          <w:tcPr>
            <w:tcW w:w="971" w:type="dxa"/>
            <w:shd w:val="clear" w:color="auto" w:fill="FFFFFF"/>
          </w:tcPr>
          <w:p>
            <w:r>
              <w:rPr>
                <w:rFonts w:hint="eastAsia"/>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40" w:hRule="atLeast"/>
          <w:jc w:val="center"/>
        </w:trPr>
        <w:tc>
          <w:tcPr>
            <w:tcW w:w="696" w:type="dxa"/>
            <w:shd w:val="clear" w:color="auto" w:fill="FFFFFF"/>
          </w:tcPr>
          <w:p>
            <w:pPr>
              <w:ind w:firstLine="0" w:firstLineChars="0"/>
            </w:pPr>
            <w:r>
              <w:rPr>
                <w:rFonts w:hint="eastAsia"/>
              </w:rPr>
              <w:t>2</w:t>
            </w:r>
          </w:p>
        </w:tc>
        <w:tc>
          <w:tcPr>
            <w:tcW w:w="742" w:type="dxa"/>
            <w:shd w:val="clear" w:color="auto" w:fill="FFFFFF"/>
          </w:tcPr>
          <w:p>
            <w:pPr>
              <w:ind w:firstLine="0" w:firstLineChars="0"/>
            </w:pPr>
            <w:r>
              <w:rPr>
                <w:rFonts w:hint="eastAsia"/>
              </w:rPr>
              <w:t>网络设备</w:t>
            </w:r>
          </w:p>
        </w:tc>
        <w:tc>
          <w:tcPr>
            <w:tcW w:w="743" w:type="dxa"/>
            <w:shd w:val="clear" w:color="auto" w:fill="FFFFFF"/>
          </w:tcPr>
          <w:p>
            <w:pPr>
              <w:ind w:firstLine="0" w:firstLineChars="0"/>
            </w:pPr>
            <w:r>
              <w:rPr>
                <w:rFonts w:hint="eastAsia"/>
              </w:rPr>
              <w:t>服务器1</w:t>
            </w:r>
          </w:p>
        </w:tc>
        <w:tc>
          <w:tcPr>
            <w:tcW w:w="3243" w:type="dxa"/>
            <w:shd w:val="clear" w:color="auto" w:fill="FFFFFF"/>
          </w:tcPr>
          <w:p>
            <w:pPr>
              <w:ind w:firstLine="0" w:firstLineChars="0"/>
              <w:rPr>
                <w:rFonts w:ascii="Tahoma" w:hAnsi="Tahoma" w:cs="Tahoma"/>
                <w:kern w:val="0"/>
              </w:rPr>
            </w:pPr>
            <w:r>
              <w:rPr>
                <w:rFonts w:hint="eastAsia"/>
              </w:rPr>
              <w:t>2颗26C处理器，384GB内存，2块1.2T SAS盘，3块6TB NL-SAS盘，Raid卡，4个千兆电口，2个万兆光口(含多模模块)，冗余电源，5年服务</w:t>
            </w:r>
          </w:p>
        </w:tc>
        <w:tc>
          <w:tcPr>
            <w:tcW w:w="936" w:type="dxa"/>
            <w:shd w:val="clear" w:color="auto" w:fill="FFFFFF"/>
          </w:tcPr>
          <w:p>
            <w:r>
              <w:rPr>
                <w:rFonts w:hint="eastAsia"/>
              </w:rPr>
              <w:t>2</w:t>
            </w:r>
          </w:p>
        </w:tc>
        <w:tc>
          <w:tcPr>
            <w:tcW w:w="971" w:type="dxa"/>
            <w:shd w:val="clear" w:color="auto" w:fill="FFFFFF"/>
          </w:tcPr>
          <w:p>
            <w:r>
              <w:rPr>
                <w:rFonts w:hint="eastAsia"/>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696" w:type="dxa"/>
            <w:shd w:val="clear" w:color="auto" w:fill="FFFFFF"/>
          </w:tcPr>
          <w:p>
            <w:pPr>
              <w:ind w:firstLine="0" w:firstLineChars="0"/>
            </w:pPr>
            <w:r>
              <w:rPr>
                <w:rFonts w:hint="eastAsia"/>
              </w:rPr>
              <w:t>3</w:t>
            </w:r>
          </w:p>
        </w:tc>
        <w:tc>
          <w:tcPr>
            <w:tcW w:w="742" w:type="dxa"/>
            <w:shd w:val="clear" w:color="auto" w:fill="FFFFFF"/>
          </w:tcPr>
          <w:p>
            <w:pPr>
              <w:ind w:firstLine="0" w:firstLineChars="0"/>
            </w:pPr>
            <w:r>
              <w:rPr>
                <w:rFonts w:hint="eastAsia"/>
              </w:rPr>
              <w:t>网络设备</w:t>
            </w:r>
          </w:p>
        </w:tc>
        <w:tc>
          <w:tcPr>
            <w:tcW w:w="743" w:type="dxa"/>
            <w:shd w:val="clear" w:color="auto" w:fill="FFFFFF"/>
          </w:tcPr>
          <w:p>
            <w:pPr>
              <w:ind w:firstLine="0" w:firstLineChars="0"/>
            </w:pPr>
            <w:r>
              <w:rPr>
                <w:rFonts w:hint="eastAsia"/>
              </w:rPr>
              <w:t>服务器2</w:t>
            </w:r>
          </w:p>
        </w:tc>
        <w:tc>
          <w:tcPr>
            <w:tcW w:w="3243" w:type="dxa"/>
            <w:shd w:val="clear" w:color="auto" w:fill="FFFFFF"/>
          </w:tcPr>
          <w:p>
            <w:pPr>
              <w:ind w:firstLine="0" w:firstLineChars="0"/>
              <w:rPr>
                <w:rFonts w:ascii="Tahoma" w:hAnsi="Tahoma" w:cs="Tahoma"/>
                <w:kern w:val="0"/>
              </w:rPr>
            </w:pPr>
            <w:r>
              <w:rPr>
                <w:rFonts w:hint="eastAsia"/>
              </w:rPr>
              <w:t>4颗16C处理器，512GB内存，2*1.2TB SAS,2块32G HBA卡，2块双网口万兆网卡(含模块)，4个千兆电口，冗余电源，5年服务</w:t>
            </w:r>
          </w:p>
        </w:tc>
        <w:tc>
          <w:tcPr>
            <w:tcW w:w="936" w:type="dxa"/>
            <w:shd w:val="clear" w:color="auto" w:fill="FFFFFF"/>
          </w:tcPr>
          <w:p>
            <w:r>
              <w:rPr>
                <w:rFonts w:hint="eastAsia"/>
              </w:rPr>
              <w:t>1</w:t>
            </w:r>
          </w:p>
        </w:tc>
        <w:tc>
          <w:tcPr>
            <w:tcW w:w="971" w:type="dxa"/>
            <w:shd w:val="clear" w:color="auto" w:fill="FFFFFF"/>
          </w:tcPr>
          <w:p>
            <w:r>
              <w:rPr>
                <w:rFonts w:hint="eastAsia"/>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40" w:hRule="atLeast"/>
          <w:jc w:val="center"/>
        </w:trPr>
        <w:tc>
          <w:tcPr>
            <w:tcW w:w="696" w:type="dxa"/>
            <w:shd w:val="clear" w:color="auto" w:fill="FFFFFF"/>
          </w:tcPr>
          <w:p>
            <w:pPr>
              <w:ind w:firstLine="0" w:firstLineChars="0"/>
            </w:pPr>
            <w:r>
              <w:rPr>
                <w:rFonts w:hint="eastAsia"/>
              </w:rPr>
              <w:t>4</w:t>
            </w:r>
          </w:p>
        </w:tc>
        <w:tc>
          <w:tcPr>
            <w:tcW w:w="742" w:type="dxa"/>
            <w:shd w:val="clear" w:color="auto" w:fill="FFFFFF"/>
          </w:tcPr>
          <w:p>
            <w:pPr>
              <w:ind w:firstLine="0" w:firstLineChars="0"/>
            </w:pPr>
            <w:r>
              <w:rPr>
                <w:rFonts w:hint="eastAsia"/>
              </w:rPr>
              <w:t>网络设备</w:t>
            </w:r>
          </w:p>
        </w:tc>
        <w:tc>
          <w:tcPr>
            <w:tcW w:w="743" w:type="dxa"/>
            <w:shd w:val="clear" w:color="auto" w:fill="FFFFFF"/>
          </w:tcPr>
          <w:p>
            <w:pPr>
              <w:ind w:firstLine="0" w:firstLineChars="0"/>
            </w:pPr>
            <w:r>
              <w:rPr>
                <w:rFonts w:hint="eastAsia"/>
              </w:rPr>
              <w:t>服务器3</w:t>
            </w:r>
          </w:p>
        </w:tc>
        <w:tc>
          <w:tcPr>
            <w:tcW w:w="3243" w:type="dxa"/>
            <w:shd w:val="clear" w:color="auto" w:fill="FFFFFF"/>
          </w:tcPr>
          <w:p>
            <w:pPr>
              <w:ind w:firstLine="0" w:firstLineChars="0"/>
              <w:rPr>
                <w:rFonts w:ascii="Tahoma" w:hAnsi="Tahoma" w:cs="Tahoma"/>
                <w:kern w:val="0"/>
              </w:rPr>
            </w:pPr>
            <w:r>
              <w:rPr>
                <w:rFonts w:hint="eastAsia"/>
              </w:rPr>
              <w:t>4颗16C处理器，512GB内存，2*1.2TB SAS,2块32G HBA卡，2块双网口万兆网卡(含模块)，4个千兆电口，冗余电源，5年服务</w:t>
            </w:r>
          </w:p>
        </w:tc>
        <w:tc>
          <w:tcPr>
            <w:tcW w:w="936" w:type="dxa"/>
            <w:shd w:val="clear" w:color="auto" w:fill="FFFFFF"/>
          </w:tcPr>
          <w:p>
            <w:r>
              <w:rPr>
                <w:rFonts w:hint="eastAsia"/>
              </w:rPr>
              <w:t>2</w:t>
            </w:r>
          </w:p>
        </w:tc>
        <w:tc>
          <w:tcPr>
            <w:tcW w:w="971" w:type="dxa"/>
            <w:shd w:val="clear" w:color="auto" w:fill="FFFFFF"/>
          </w:tcPr>
          <w:p>
            <w:r>
              <w:rPr>
                <w:rFonts w:hint="eastAsia"/>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696" w:type="dxa"/>
            <w:shd w:val="clear" w:color="auto" w:fill="FFFFFF"/>
          </w:tcPr>
          <w:p>
            <w:pPr>
              <w:ind w:firstLine="0" w:firstLineChars="0"/>
            </w:pPr>
            <w:r>
              <w:rPr>
                <w:rFonts w:hint="eastAsia"/>
              </w:rPr>
              <w:t>5</w:t>
            </w:r>
          </w:p>
        </w:tc>
        <w:tc>
          <w:tcPr>
            <w:tcW w:w="742" w:type="dxa"/>
            <w:shd w:val="clear" w:color="auto" w:fill="FFFFFF"/>
          </w:tcPr>
          <w:p>
            <w:pPr>
              <w:ind w:firstLine="0" w:firstLineChars="0"/>
            </w:pPr>
            <w:r>
              <w:rPr>
                <w:rFonts w:hint="eastAsia"/>
              </w:rPr>
              <w:t>网络设备</w:t>
            </w:r>
          </w:p>
        </w:tc>
        <w:tc>
          <w:tcPr>
            <w:tcW w:w="743" w:type="dxa"/>
            <w:shd w:val="clear" w:color="auto" w:fill="FFFFFF"/>
          </w:tcPr>
          <w:p>
            <w:pPr>
              <w:ind w:firstLine="0" w:firstLineChars="0"/>
            </w:pPr>
            <w:r>
              <w:rPr>
                <w:rFonts w:hint="eastAsia"/>
              </w:rPr>
              <w:t>光交换机</w:t>
            </w:r>
          </w:p>
        </w:tc>
        <w:tc>
          <w:tcPr>
            <w:tcW w:w="3243" w:type="dxa"/>
            <w:shd w:val="clear" w:color="auto" w:fill="FFFFFF"/>
          </w:tcPr>
          <w:p>
            <w:pPr>
              <w:ind w:firstLine="0" w:firstLineChars="0"/>
              <w:rPr>
                <w:rFonts w:ascii="Tahoma" w:hAnsi="Tahoma" w:cs="Tahoma"/>
                <w:kern w:val="0"/>
              </w:rPr>
            </w:pPr>
            <w:r>
              <w:rPr>
                <w:rFonts w:hint="eastAsia"/>
              </w:rPr>
              <w:t>24口32GB速率,激活16口，5年服务</w:t>
            </w:r>
          </w:p>
        </w:tc>
        <w:tc>
          <w:tcPr>
            <w:tcW w:w="936" w:type="dxa"/>
            <w:shd w:val="clear" w:color="auto" w:fill="FFFFFF"/>
          </w:tcPr>
          <w:p>
            <w:r>
              <w:rPr>
                <w:rFonts w:hint="eastAsia"/>
              </w:rPr>
              <w:t>2</w:t>
            </w:r>
          </w:p>
        </w:tc>
        <w:tc>
          <w:tcPr>
            <w:tcW w:w="971" w:type="dxa"/>
            <w:shd w:val="clear" w:color="auto" w:fill="FFFFFF"/>
          </w:tcPr>
          <w:p>
            <w:r>
              <w:rPr>
                <w:rFonts w:hint="eastAsia"/>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40" w:hRule="atLeast"/>
          <w:jc w:val="center"/>
        </w:trPr>
        <w:tc>
          <w:tcPr>
            <w:tcW w:w="696" w:type="dxa"/>
            <w:shd w:val="clear" w:color="auto" w:fill="FFFFFF"/>
          </w:tcPr>
          <w:p>
            <w:pPr>
              <w:ind w:firstLine="0" w:firstLineChars="0"/>
            </w:pPr>
            <w:r>
              <w:rPr>
                <w:rFonts w:hint="eastAsia"/>
              </w:rPr>
              <w:t>6</w:t>
            </w:r>
          </w:p>
        </w:tc>
        <w:tc>
          <w:tcPr>
            <w:tcW w:w="742" w:type="dxa"/>
            <w:shd w:val="clear" w:color="auto" w:fill="FFFFFF"/>
          </w:tcPr>
          <w:p>
            <w:pPr>
              <w:ind w:firstLine="0" w:firstLineChars="0"/>
            </w:pPr>
            <w:r>
              <w:rPr>
                <w:rFonts w:hint="eastAsia"/>
              </w:rPr>
              <w:t>网络设备</w:t>
            </w:r>
          </w:p>
        </w:tc>
        <w:tc>
          <w:tcPr>
            <w:tcW w:w="743" w:type="dxa"/>
            <w:shd w:val="clear" w:color="auto" w:fill="FFFFFF"/>
          </w:tcPr>
          <w:p>
            <w:pPr>
              <w:ind w:firstLine="0" w:firstLineChars="0"/>
            </w:pPr>
            <w:r>
              <w:rPr>
                <w:rFonts w:hint="eastAsia"/>
              </w:rPr>
              <w:t>存储</w:t>
            </w:r>
          </w:p>
        </w:tc>
        <w:tc>
          <w:tcPr>
            <w:tcW w:w="3243" w:type="dxa"/>
            <w:shd w:val="clear" w:color="auto" w:fill="FFFFFF"/>
          </w:tcPr>
          <w:p>
            <w:pPr>
              <w:ind w:firstLine="0" w:firstLineChars="0"/>
              <w:rPr>
                <w:rFonts w:ascii="Tahoma" w:hAnsi="Tahoma" w:cs="Tahoma"/>
                <w:kern w:val="0"/>
              </w:rPr>
            </w:pPr>
            <w:r>
              <w:rPr>
                <w:rFonts w:hint="eastAsia"/>
              </w:rPr>
              <w:t>冗余控制器，384G缓存，配置不少于15T裸容量SSD存储空间:配置不少于200T裸容量SAS存储空间;配置不限容量存储双活、快照、克隆、在线重删、在线压缩、远程复制、精简配置、存储阵列控制软件功能，5年服务器</w:t>
            </w:r>
          </w:p>
        </w:tc>
        <w:tc>
          <w:tcPr>
            <w:tcW w:w="936" w:type="dxa"/>
            <w:shd w:val="clear" w:color="auto" w:fill="FFFFFF"/>
          </w:tcPr>
          <w:p>
            <w:r>
              <w:rPr>
                <w:rFonts w:hint="eastAsia"/>
              </w:rPr>
              <w:t>2</w:t>
            </w:r>
          </w:p>
        </w:tc>
        <w:tc>
          <w:tcPr>
            <w:tcW w:w="971" w:type="dxa"/>
            <w:shd w:val="clear" w:color="auto" w:fill="FFFFFF"/>
          </w:tcPr>
          <w:p>
            <w:r>
              <w:rPr>
                <w:rFonts w:hint="eastAsia"/>
              </w:rPr>
              <w:t>台</w:t>
            </w:r>
          </w:p>
        </w:tc>
      </w:tr>
    </w:tbl>
    <w:p>
      <w:pPr>
        <w:pStyle w:val="2"/>
      </w:pPr>
      <w:bookmarkStart w:id="17" w:name="_Toc63785503"/>
      <w:r>
        <w:rPr>
          <w:rFonts w:hint="eastAsia"/>
        </w:rPr>
        <w:t>具体参数要求</w:t>
      </w:r>
    </w:p>
    <w:p>
      <w:pPr>
        <w:pStyle w:val="3"/>
      </w:pPr>
      <w:r>
        <w:rPr>
          <w:rFonts w:hint="eastAsia"/>
        </w:rPr>
        <w:t xml:space="preserve">交换机 </w:t>
      </w:r>
    </w:p>
    <w:tbl>
      <w:tblPr>
        <w:tblStyle w:val="9"/>
        <w:tblW w:w="8537" w:type="dxa"/>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76"/>
        <w:gridCol w:w="73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0" w:hRule="atLeast"/>
        </w:trPr>
        <w:tc>
          <w:tcPr>
            <w:tcW w:w="1176" w:type="dxa"/>
            <w:vMerge w:val="restart"/>
            <w:tcBorders>
              <w:tl2br w:val="nil"/>
              <w:tr2bl w:val="nil"/>
            </w:tcBorders>
            <w:shd w:val="clear" w:color="auto" w:fill="auto"/>
            <w:vAlign w:val="center"/>
          </w:tcPr>
          <w:p>
            <w:pPr>
              <w:ind w:firstLine="0" w:firstLineChars="0"/>
              <w:jc w:val="center"/>
            </w:pPr>
            <w:r>
              <w:rPr>
                <w:rFonts w:hint="eastAsia"/>
              </w:rPr>
              <w:t>指标项</w:t>
            </w:r>
          </w:p>
        </w:tc>
        <w:tc>
          <w:tcPr>
            <w:tcW w:w="7361" w:type="dxa"/>
            <w:vMerge w:val="restart"/>
            <w:tcBorders>
              <w:tl2br w:val="nil"/>
              <w:tr2bl w:val="nil"/>
            </w:tcBorders>
            <w:shd w:val="clear" w:color="auto" w:fill="auto"/>
            <w:vAlign w:val="center"/>
          </w:tcPr>
          <w:p>
            <w:pPr>
              <w:jc w:val="center"/>
            </w:pPr>
            <w:r>
              <w:rPr>
                <w:rFonts w:hint="eastAsia"/>
              </w:rPr>
              <w:t>技术规格要求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9" w:hRule="atLeast"/>
        </w:trPr>
        <w:tc>
          <w:tcPr>
            <w:tcW w:w="1176" w:type="dxa"/>
            <w:vMerge w:val="continue"/>
            <w:tcBorders>
              <w:tl2br w:val="nil"/>
              <w:tr2bl w:val="nil"/>
            </w:tcBorders>
            <w:shd w:val="clear" w:color="auto" w:fill="auto"/>
            <w:vAlign w:val="center"/>
          </w:tcPr>
          <w:p/>
        </w:tc>
        <w:tc>
          <w:tcPr>
            <w:tcW w:w="7361" w:type="dxa"/>
            <w:vMerge w:val="continue"/>
            <w:tcBorders>
              <w:tl2br w:val="nil"/>
              <w:tr2bl w:val="nil"/>
            </w:tcBorders>
            <w:shd w:val="clear" w:color="auto" w:fill="auto"/>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2" w:hRule="atLeast"/>
        </w:trPr>
        <w:tc>
          <w:tcPr>
            <w:tcW w:w="1176" w:type="dxa"/>
            <w:tcBorders>
              <w:tl2br w:val="nil"/>
              <w:tr2bl w:val="nil"/>
            </w:tcBorders>
            <w:shd w:val="clear" w:color="auto" w:fill="auto"/>
            <w:noWrap/>
            <w:vAlign w:val="center"/>
          </w:tcPr>
          <w:p>
            <w:pPr>
              <w:ind w:firstLine="0" w:firstLineChars="0"/>
            </w:pPr>
            <w:r>
              <w:rPr>
                <w:rFonts w:hint="eastAsia"/>
              </w:rPr>
              <w:t>转发性能</w:t>
            </w:r>
          </w:p>
        </w:tc>
        <w:tc>
          <w:tcPr>
            <w:tcW w:w="7361" w:type="dxa"/>
            <w:tcBorders>
              <w:tl2br w:val="nil"/>
              <w:tr2bl w:val="nil"/>
            </w:tcBorders>
            <w:shd w:val="clear" w:color="auto" w:fill="auto"/>
            <w:vAlign w:val="center"/>
          </w:tcPr>
          <w:p>
            <w:pPr>
              <w:ind w:firstLine="0" w:firstLineChars="0"/>
              <w:rPr>
                <w:rStyle w:val="14"/>
                <w:rFonts w:hint="default"/>
              </w:rPr>
            </w:pPr>
            <w:r>
              <w:rPr>
                <w:rStyle w:val="14"/>
                <w:rFonts w:hint="default"/>
              </w:rPr>
              <w:t>最大交换容量≥25Tbps，最大包转发率≥1200Mpps；支持24个万兆SFP+，6个40G光口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trPr>
        <w:tc>
          <w:tcPr>
            <w:tcW w:w="1176" w:type="dxa"/>
            <w:vMerge w:val="restart"/>
            <w:tcBorders>
              <w:tl2br w:val="nil"/>
              <w:tr2bl w:val="nil"/>
            </w:tcBorders>
            <w:shd w:val="clear" w:color="auto" w:fill="auto"/>
            <w:vAlign w:val="center"/>
          </w:tcPr>
          <w:p>
            <w:pPr>
              <w:ind w:firstLine="0" w:firstLineChars="0"/>
            </w:pPr>
            <w:r>
              <w:rPr>
                <w:rFonts w:hint="eastAsia"/>
              </w:rPr>
              <w:t>硬件性能</w:t>
            </w:r>
          </w:p>
        </w:tc>
        <w:tc>
          <w:tcPr>
            <w:tcW w:w="7361" w:type="dxa"/>
            <w:tcBorders>
              <w:tl2br w:val="nil"/>
              <w:tr2bl w:val="nil"/>
            </w:tcBorders>
            <w:shd w:val="clear" w:color="auto" w:fill="auto"/>
            <w:vAlign w:val="center"/>
          </w:tcPr>
          <w:p>
            <w:pPr>
              <w:ind w:firstLine="0" w:firstLineChars="0"/>
              <w:rPr>
                <w:rStyle w:val="14"/>
                <w:rFonts w:hint="default"/>
              </w:rPr>
            </w:pPr>
            <w:r>
              <w:rPr>
                <w:rStyle w:val="14"/>
                <w:rFonts w:hint="default"/>
              </w:rPr>
              <w:t>提高设备散热性能和可靠性，支持可插拔风扇框，风扇框个数≥4，支持可插拔的双电源，提供官网链接及截图证明。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trPr>
        <w:tc>
          <w:tcPr>
            <w:tcW w:w="1176" w:type="dxa"/>
            <w:vMerge w:val="continue"/>
            <w:tcBorders>
              <w:tl2br w:val="nil"/>
              <w:tr2bl w:val="nil"/>
            </w:tcBorders>
            <w:shd w:val="clear" w:color="auto" w:fill="auto"/>
            <w:vAlign w:val="center"/>
          </w:tcPr>
          <w:p/>
        </w:tc>
        <w:tc>
          <w:tcPr>
            <w:tcW w:w="7361" w:type="dxa"/>
            <w:tcBorders>
              <w:tl2br w:val="nil"/>
              <w:tr2bl w:val="nil"/>
            </w:tcBorders>
            <w:shd w:val="clear" w:color="auto" w:fill="auto"/>
            <w:vAlign w:val="center"/>
          </w:tcPr>
          <w:p>
            <w:pPr>
              <w:ind w:firstLine="0" w:firstLineChars="0"/>
              <w:rPr>
                <w:rStyle w:val="14"/>
                <w:rFonts w:hint="default"/>
              </w:rPr>
            </w:pPr>
            <w:r>
              <w:rPr>
                <w:rStyle w:val="14"/>
                <w:rFonts w:hint="default"/>
              </w:rPr>
              <w:t>▲关键元器件如CPU、转发芯片</w:t>
            </w:r>
            <w:r>
              <w:rPr>
                <w:rStyle w:val="14"/>
              </w:rPr>
              <w:t>应为国内研发</w:t>
            </w:r>
            <w:r>
              <w:rPr>
                <w:rStyle w:val="14"/>
                <w:rFonts w:hint="default"/>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trPr>
        <w:tc>
          <w:tcPr>
            <w:tcW w:w="1176" w:type="dxa"/>
            <w:vMerge w:val="restart"/>
            <w:tcBorders>
              <w:tl2br w:val="nil"/>
              <w:tr2bl w:val="nil"/>
            </w:tcBorders>
            <w:shd w:val="clear" w:color="auto" w:fill="auto"/>
            <w:vAlign w:val="center"/>
          </w:tcPr>
          <w:p>
            <w:r>
              <w:rPr>
                <w:rFonts w:hint="eastAsia"/>
              </w:rPr>
              <w:t>二层</w:t>
            </w:r>
          </w:p>
        </w:tc>
        <w:tc>
          <w:tcPr>
            <w:tcW w:w="7361" w:type="dxa"/>
            <w:tcBorders>
              <w:tl2br w:val="nil"/>
              <w:tr2bl w:val="nil"/>
            </w:tcBorders>
            <w:shd w:val="clear" w:color="auto" w:fill="auto"/>
            <w:vAlign w:val="center"/>
          </w:tcPr>
          <w:p>
            <w:pPr>
              <w:ind w:firstLine="0" w:firstLineChars="0"/>
              <w:rPr>
                <w:rStyle w:val="14"/>
                <w:rFonts w:hint="default"/>
              </w:rPr>
            </w:pPr>
            <w:r>
              <w:rPr>
                <w:rStyle w:val="14"/>
                <w:rFonts w:hint="default"/>
              </w:rPr>
              <w:t>支持MAC地址≥64K，支持ARP表项≥64K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trPr>
        <w:tc>
          <w:tcPr>
            <w:tcW w:w="1176" w:type="dxa"/>
            <w:vMerge w:val="continue"/>
            <w:tcBorders>
              <w:tl2br w:val="nil"/>
              <w:tr2bl w:val="nil"/>
            </w:tcBorders>
            <w:shd w:val="clear" w:color="auto" w:fill="auto"/>
            <w:vAlign w:val="center"/>
          </w:tcPr>
          <w:p/>
        </w:tc>
        <w:tc>
          <w:tcPr>
            <w:tcW w:w="7361" w:type="dxa"/>
            <w:tcBorders>
              <w:tl2br w:val="nil"/>
              <w:tr2bl w:val="nil"/>
            </w:tcBorders>
            <w:shd w:val="clear" w:color="auto" w:fill="auto"/>
            <w:vAlign w:val="center"/>
          </w:tcPr>
          <w:p>
            <w:pPr>
              <w:ind w:firstLine="0" w:firstLineChars="0"/>
              <w:rPr>
                <w:rStyle w:val="14"/>
                <w:rFonts w:hint="default"/>
              </w:rPr>
            </w:pPr>
            <w:r>
              <w:rPr>
                <w:rStyle w:val="14"/>
                <w:rFonts w:hint="default"/>
              </w:rPr>
              <w:t>支持4K个VLAN，支持Voice VLAN，基于端口的VLAN，基于MAC的VLAN，基于协议的VLAN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0" w:hRule="atLeast"/>
        </w:trPr>
        <w:tc>
          <w:tcPr>
            <w:tcW w:w="1176" w:type="dxa"/>
            <w:vMerge w:val="restart"/>
            <w:tcBorders>
              <w:tl2br w:val="nil"/>
              <w:tr2bl w:val="nil"/>
            </w:tcBorders>
            <w:shd w:val="clear" w:color="auto" w:fill="auto"/>
            <w:vAlign w:val="center"/>
          </w:tcPr>
          <w:p>
            <w:r>
              <w:rPr>
                <w:rFonts w:hint="eastAsia"/>
              </w:rPr>
              <w:t>三层</w:t>
            </w:r>
          </w:p>
        </w:tc>
        <w:tc>
          <w:tcPr>
            <w:tcW w:w="7361" w:type="dxa"/>
            <w:tcBorders>
              <w:tl2br w:val="nil"/>
              <w:tr2bl w:val="nil"/>
            </w:tcBorders>
            <w:shd w:val="clear" w:color="auto" w:fill="auto"/>
            <w:vAlign w:val="center"/>
          </w:tcPr>
          <w:p>
            <w:pPr>
              <w:ind w:firstLine="0" w:firstLineChars="0"/>
              <w:rPr>
                <w:rStyle w:val="14"/>
                <w:rFonts w:hint="default"/>
              </w:rPr>
            </w:pPr>
            <w:r>
              <w:rPr>
                <w:rStyle w:val="14"/>
                <w:rFonts w:hint="default"/>
              </w:rPr>
              <w:t>支持静态路由、RIP v1/v2、OSPF、BGP、ISIS、RIPng、OSPFv3、ISISv6、BGP4+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0" w:hRule="atLeast"/>
        </w:trPr>
        <w:tc>
          <w:tcPr>
            <w:tcW w:w="1176" w:type="dxa"/>
            <w:vMerge w:val="continue"/>
            <w:tcBorders>
              <w:tl2br w:val="nil"/>
              <w:tr2bl w:val="nil"/>
            </w:tcBorders>
            <w:shd w:val="clear" w:color="auto" w:fill="auto"/>
            <w:vAlign w:val="center"/>
          </w:tcPr>
          <w:p/>
        </w:tc>
        <w:tc>
          <w:tcPr>
            <w:tcW w:w="7361" w:type="dxa"/>
            <w:tcBorders>
              <w:tl2br w:val="nil"/>
              <w:tr2bl w:val="nil"/>
            </w:tcBorders>
            <w:shd w:val="clear" w:color="auto" w:fill="auto"/>
            <w:vAlign w:val="center"/>
          </w:tcPr>
          <w:p>
            <w:pPr>
              <w:ind w:firstLine="0" w:firstLineChars="0"/>
              <w:rPr>
                <w:rStyle w:val="14"/>
                <w:rFonts w:hint="default"/>
              </w:rPr>
            </w:pPr>
            <w:r>
              <w:rPr>
                <w:rStyle w:val="14"/>
                <w:rFonts w:hint="default"/>
              </w:rPr>
              <w:t>支持IPv4 FIB表项≥64K，支持IPv6 路由表≥32K；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trPr>
        <w:tc>
          <w:tcPr>
            <w:tcW w:w="1176" w:type="dxa"/>
            <w:tcBorders>
              <w:tl2br w:val="nil"/>
              <w:tr2bl w:val="nil"/>
            </w:tcBorders>
            <w:shd w:val="clear" w:color="auto" w:fill="auto"/>
            <w:vAlign w:val="center"/>
          </w:tcPr>
          <w:p>
            <w:pPr>
              <w:ind w:firstLine="0" w:firstLineChars="0"/>
            </w:pPr>
            <w:r>
              <w:rPr>
                <w:rFonts w:hint="eastAsia"/>
              </w:rPr>
              <w:t>用户管理</w:t>
            </w:r>
          </w:p>
        </w:tc>
        <w:tc>
          <w:tcPr>
            <w:tcW w:w="7361" w:type="dxa"/>
            <w:tcBorders>
              <w:tl2br w:val="nil"/>
              <w:tr2bl w:val="nil"/>
            </w:tcBorders>
            <w:shd w:val="clear" w:color="auto" w:fill="auto"/>
            <w:vAlign w:val="center"/>
          </w:tcPr>
          <w:p>
            <w:pPr>
              <w:ind w:firstLine="0" w:firstLineChars="0"/>
              <w:rPr>
                <w:rStyle w:val="14"/>
                <w:rFonts w:hint="default"/>
              </w:rPr>
            </w:pPr>
            <w:r>
              <w:rPr>
                <w:rStyle w:val="14"/>
                <w:rFonts w:hint="default"/>
              </w:rPr>
              <w:t>支持交换机基于UCL用户组方式，用户组内的用户，不论是有线还是无线用户，也不论用户在何处登录，获得任何IP地址，用户都拥有相同的访问权限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trPr>
        <w:tc>
          <w:tcPr>
            <w:tcW w:w="1176" w:type="dxa"/>
            <w:tcBorders>
              <w:tl2br w:val="nil"/>
              <w:tr2bl w:val="nil"/>
            </w:tcBorders>
            <w:shd w:val="clear" w:color="auto" w:fill="auto"/>
            <w:vAlign w:val="center"/>
          </w:tcPr>
          <w:p>
            <w:pPr>
              <w:ind w:firstLine="0" w:firstLineChars="0"/>
            </w:pPr>
            <w:r>
              <w:rPr>
                <w:rFonts w:hint="eastAsia"/>
              </w:rPr>
              <w:t>VxLAN</w:t>
            </w:r>
          </w:p>
        </w:tc>
        <w:tc>
          <w:tcPr>
            <w:tcW w:w="7361" w:type="dxa"/>
            <w:tcBorders>
              <w:tl2br w:val="nil"/>
              <w:tr2bl w:val="nil"/>
            </w:tcBorders>
            <w:shd w:val="clear" w:color="auto" w:fill="auto"/>
            <w:vAlign w:val="center"/>
          </w:tcPr>
          <w:p>
            <w:pPr>
              <w:ind w:firstLine="0" w:firstLineChars="0"/>
              <w:rPr>
                <w:rStyle w:val="14"/>
                <w:rFonts w:hint="default"/>
              </w:rPr>
            </w:pPr>
            <w:r>
              <w:rPr>
                <w:rStyle w:val="14"/>
                <w:rFonts w:hint="default"/>
              </w:rPr>
              <w:t>支持VxLAN功能，支持BGP EVPN，支持分布式 Anycast 网关；支持控制器基于WEB界面进行VxLAN Fabric配置并下发给交换机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0" w:hRule="atLeast"/>
        </w:trPr>
        <w:tc>
          <w:tcPr>
            <w:tcW w:w="1176" w:type="dxa"/>
            <w:vMerge w:val="restart"/>
            <w:tcBorders>
              <w:tl2br w:val="nil"/>
              <w:tr2bl w:val="nil"/>
            </w:tcBorders>
            <w:shd w:val="clear" w:color="auto" w:fill="auto"/>
            <w:vAlign w:val="center"/>
          </w:tcPr>
          <w:p>
            <w:r>
              <w:rPr>
                <w:rFonts w:hint="eastAsia"/>
              </w:rPr>
              <w:t>安全</w:t>
            </w:r>
          </w:p>
        </w:tc>
        <w:tc>
          <w:tcPr>
            <w:tcW w:w="7361" w:type="dxa"/>
            <w:tcBorders>
              <w:tl2br w:val="nil"/>
              <w:tr2bl w:val="nil"/>
            </w:tcBorders>
            <w:shd w:val="clear" w:color="auto" w:fill="auto"/>
            <w:vAlign w:val="center"/>
          </w:tcPr>
          <w:p>
            <w:pPr>
              <w:ind w:firstLine="0" w:firstLineChars="0"/>
              <w:rPr>
                <w:rStyle w:val="14"/>
                <w:rFonts w:hint="default"/>
              </w:rPr>
            </w:pPr>
            <w:r>
              <w:rPr>
                <w:rStyle w:val="14"/>
                <w:rFonts w:hint="default"/>
              </w:rPr>
              <w:t>支持802.1x、MAC认证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0" w:hRule="atLeast"/>
        </w:trPr>
        <w:tc>
          <w:tcPr>
            <w:tcW w:w="1176" w:type="dxa"/>
            <w:vMerge w:val="continue"/>
            <w:tcBorders>
              <w:tl2br w:val="nil"/>
              <w:tr2bl w:val="nil"/>
            </w:tcBorders>
            <w:shd w:val="clear" w:color="auto" w:fill="auto"/>
            <w:vAlign w:val="center"/>
          </w:tcPr>
          <w:p/>
        </w:tc>
        <w:tc>
          <w:tcPr>
            <w:tcW w:w="7361" w:type="dxa"/>
            <w:tcBorders>
              <w:tl2br w:val="nil"/>
              <w:tr2bl w:val="nil"/>
            </w:tcBorders>
            <w:shd w:val="clear" w:color="auto" w:fill="auto"/>
            <w:vAlign w:val="center"/>
          </w:tcPr>
          <w:p>
            <w:pPr>
              <w:ind w:firstLine="0" w:firstLineChars="0"/>
              <w:rPr>
                <w:rStyle w:val="14"/>
                <w:rFonts w:hint="default"/>
              </w:rPr>
            </w:pPr>
            <w:r>
              <w:rPr>
                <w:rStyle w:val="14"/>
                <w:rFonts w:hint="default"/>
              </w:rPr>
              <w:t>支持DHCPv6 Snooping，IP Source Guard，SAVI等安全特性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trPr>
        <w:tc>
          <w:tcPr>
            <w:tcW w:w="1176" w:type="dxa"/>
            <w:vMerge w:val="continue"/>
            <w:tcBorders>
              <w:tl2br w:val="nil"/>
              <w:tr2bl w:val="nil"/>
            </w:tcBorders>
            <w:shd w:val="clear" w:color="auto" w:fill="auto"/>
            <w:vAlign w:val="center"/>
          </w:tcPr>
          <w:p/>
        </w:tc>
        <w:tc>
          <w:tcPr>
            <w:tcW w:w="7361" w:type="dxa"/>
            <w:tcBorders>
              <w:tl2br w:val="nil"/>
              <w:tr2bl w:val="nil"/>
            </w:tcBorders>
            <w:shd w:val="clear" w:color="auto" w:fill="auto"/>
            <w:vAlign w:val="center"/>
          </w:tcPr>
          <w:p>
            <w:pPr>
              <w:ind w:firstLine="0" w:firstLineChars="0"/>
              <w:rPr>
                <w:rStyle w:val="14"/>
                <w:rFonts w:hint="default"/>
              </w:rPr>
            </w:pPr>
            <w:r>
              <w:rPr>
                <w:rStyle w:val="14"/>
                <w:rFonts w:hint="default"/>
              </w:rPr>
              <w:t>支持安全启动，通过安全CPU、eFuse等安全措施，从可信硬件锚开始，启动过程中的每一步进行验证，确保每一阶段运行程序是可信的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trPr>
        <w:tc>
          <w:tcPr>
            <w:tcW w:w="1176" w:type="dxa"/>
            <w:vMerge w:val="restart"/>
            <w:tcBorders>
              <w:tl2br w:val="nil"/>
              <w:tr2bl w:val="nil"/>
            </w:tcBorders>
            <w:shd w:val="clear" w:color="auto" w:fill="auto"/>
            <w:vAlign w:val="center"/>
          </w:tcPr>
          <w:p>
            <w:pPr>
              <w:ind w:firstLine="0" w:firstLineChars="0"/>
            </w:pPr>
            <w:r>
              <w:rPr>
                <w:rFonts w:hint="eastAsia"/>
              </w:rPr>
              <w:t>大数据安全协防</w:t>
            </w:r>
          </w:p>
        </w:tc>
        <w:tc>
          <w:tcPr>
            <w:tcW w:w="7361" w:type="dxa"/>
            <w:tcBorders>
              <w:tl2br w:val="nil"/>
              <w:tr2bl w:val="nil"/>
            </w:tcBorders>
            <w:shd w:val="clear" w:color="auto" w:fill="auto"/>
            <w:vAlign w:val="center"/>
          </w:tcPr>
          <w:p>
            <w:pPr>
              <w:ind w:firstLine="0" w:firstLineChars="0"/>
              <w:rPr>
                <w:rStyle w:val="14"/>
                <w:rFonts w:hint="default"/>
              </w:rPr>
            </w:pPr>
            <w:r>
              <w:rPr>
                <w:rStyle w:val="14"/>
                <w:rFonts w:hint="default"/>
              </w:rPr>
              <w:t>交换机支持报告攻击事件给网络安全智能系统，与网络安全智能系统和SDN控制器联动，以实现全网安全协防，提供权威第三方测试报告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0" w:hRule="atLeast"/>
        </w:trPr>
        <w:tc>
          <w:tcPr>
            <w:tcW w:w="1176" w:type="dxa"/>
            <w:vMerge w:val="continue"/>
            <w:tcBorders>
              <w:tl2br w:val="nil"/>
              <w:tr2bl w:val="nil"/>
            </w:tcBorders>
            <w:shd w:val="clear" w:color="auto" w:fill="auto"/>
            <w:vAlign w:val="center"/>
          </w:tcPr>
          <w:p/>
        </w:tc>
        <w:tc>
          <w:tcPr>
            <w:tcW w:w="7361" w:type="dxa"/>
            <w:tcBorders>
              <w:tl2br w:val="nil"/>
              <w:tr2bl w:val="nil"/>
            </w:tcBorders>
            <w:shd w:val="clear" w:color="auto" w:fill="auto"/>
            <w:vAlign w:val="center"/>
          </w:tcPr>
          <w:p>
            <w:pPr>
              <w:ind w:firstLine="0" w:firstLineChars="0"/>
              <w:rPr>
                <w:rStyle w:val="14"/>
                <w:rFonts w:hint="default"/>
              </w:rPr>
            </w:pPr>
            <w:r>
              <w:rPr>
                <w:rStyle w:val="14"/>
                <w:rFonts w:hint="default"/>
              </w:rPr>
              <w:t>交换机支持将IP和端口扫描流量重定向给网络安全智能系统进行诱捕，与网络安全智能系统和SDN控制器联动实施反制措施，以实现网络安全协防，提供权威第三方测试报告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0" w:hRule="atLeast"/>
        </w:trPr>
        <w:tc>
          <w:tcPr>
            <w:tcW w:w="1176" w:type="dxa"/>
            <w:vMerge w:val="restart"/>
            <w:tcBorders>
              <w:tl2br w:val="nil"/>
              <w:tr2bl w:val="nil"/>
            </w:tcBorders>
            <w:shd w:val="clear" w:color="auto" w:fill="auto"/>
            <w:vAlign w:val="center"/>
          </w:tcPr>
          <w:p>
            <w:pPr>
              <w:ind w:firstLine="0" w:firstLineChars="0"/>
            </w:pPr>
            <w:r>
              <w:rPr>
                <w:rFonts w:hint="eastAsia"/>
              </w:rPr>
              <w:t>可靠性</w:t>
            </w:r>
          </w:p>
        </w:tc>
        <w:tc>
          <w:tcPr>
            <w:tcW w:w="7361" w:type="dxa"/>
            <w:tcBorders>
              <w:tl2br w:val="nil"/>
              <w:tr2bl w:val="nil"/>
            </w:tcBorders>
            <w:shd w:val="clear" w:color="auto" w:fill="auto"/>
            <w:vAlign w:val="center"/>
          </w:tcPr>
          <w:p>
            <w:pPr>
              <w:ind w:firstLine="0" w:firstLineChars="0"/>
              <w:rPr>
                <w:rStyle w:val="14"/>
                <w:rFonts w:hint="default"/>
              </w:rPr>
            </w:pPr>
            <w:r>
              <w:rPr>
                <w:rStyle w:val="14"/>
                <w:rFonts w:hint="default"/>
              </w:rPr>
              <w:t>支持以太网环网保护协议ERPS，故障倒换时间小于50ms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trPr>
        <w:tc>
          <w:tcPr>
            <w:tcW w:w="1176" w:type="dxa"/>
            <w:vMerge w:val="continue"/>
            <w:tcBorders>
              <w:tl2br w:val="nil"/>
              <w:tr2bl w:val="nil"/>
            </w:tcBorders>
            <w:shd w:val="clear" w:color="auto" w:fill="auto"/>
            <w:vAlign w:val="center"/>
          </w:tcPr>
          <w:p/>
        </w:tc>
        <w:tc>
          <w:tcPr>
            <w:tcW w:w="7361" w:type="dxa"/>
            <w:tcBorders>
              <w:tl2br w:val="nil"/>
              <w:tr2bl w:val="nil"/>
            </w:tcBorders>
            <w:shd w:val="clear" w:color="auto" w:fill="auto"/>
            <w:vAlign w:val="center"/>
          </w:tcPr>
          <w:p>
            <w:pPr>
              <w:ind w:firstLine="0" w:firstLineChars="0"/>
              <w:rPr>
                <w:rStyle w:val="14"/>
                <w:rFonts w:hint="default"/>
              </w:rPr>
            </w:pPr>
            <w:r>
              <w:rPr>
                <w:rStyle w:val="14"/>
                <w:rFonts w:hint="default"/>
              </w:rPr>
              <w:t>支持真实业务流实时检测技术，提供权威第三方测试报告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trPr>
        <w:tc>
          <w:tcPr>
            <w:tcW w:w="1176" w:type="dxa"/>
            <w:vMerge w:val="restart"/>
            <w:tcBorders>
              <w:tl2br w:val="nil"/>
              <w:tr2bl w:val="nil"/>
            </w:tcBorders>
            <w:shd w:val="clear" w:color="auto" w:fill="auto"/>
            <w:vAlign w:val="center"/>
          </w:tcPr>
          <w:p>
            <w:pPr>
              <w:ind w:firstLine="0" w:firstLineChars="0"/>
            </w:pPr>
            <w:r>
              <w:rPr>
                <w:rFonts w:hint="eastAsia"/>
              </w:rPr>
              <w:t>管理维护</w:t>
            </w:r>
          </w:p>
        </w:tc>
        <w:tc>
          <w:tcPr>
            <w:tcW w:w="7361" w:type="dxa"/>
            <w:tcBorders>
              <w:tl2br w:val="nil"/>
              <w:tr2bl w:val="nil"/>
            </w:tcBorders>
            <w:shd w:val="clear" w:color="auto" w:fill="auto"/>
            <w:vAlign w:val="center"/>
          </w:tcPr>
          <w:p>
            <w:pPr>
              <w:ind w:firstLine="0" w:firstLineChars="0"/>
              <w:rPr>
                <w:rStyle w:val="14"/>
                <w:rFonts w:hint="default"/>
              </w:rPr>
            </w:pPr>
            <w:r>
              <w:rPr>
                <w:rStyle w:val="14"/>
                <w:rFonts w:hint="default"/>
              </w:rPr>
              <w:t>支持SNMP v1/v2/v3、Telnet、RMON、SSHv2；</w:t>
            </w:r>
          </w:p>
          <w:p>
            <w:pPr>
              <w:ind w:firstLine="0" w:firstLineChars="0"/>
              <w:rPr>
                <w:rStyle w:val="14"/>
                <w:rFonts w:hint="default"/>
              </w:rPr>
            </w:pPr>
            <w:r>
              <w:rPr>
                <w:rStyle w:val="14"/>
                <w:rFonts w:hint="default"/>
              </w:rPr>
              <w:t>支持通过命令行、Web、中文图形化配置软件等方式进行配置和管理；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0" w:hRule="atLeast"/>
        </w:trPr>
        <w:tc>
          <w:tcPr>
            <w:tcW w:w="1176" w:type="dxa"/>
            <w:vMerge w:val="continue"/>
            <w:tcBorders>
              <w:tl2br w:val="nil"/>
              <w:tr2bl w:val="nil"/>
            </w:tcBorders>
            <w:shd w:val="clear" w:color="auto" w:fill="auto"/>
            <w:vAlign w:val="center"/>
          </w:tcPr>
          <w:p/>
        </w:tc>
        <w:tc>
          <w:tcPr>
            <w:tcW w:w="7361" w:type="dxa"/>
            <w:tcBorders>
              <w:tl2br w:val="nil"/>
              <w:tr2bl w:val="nil"/>
            </w:tcBorders>
            <w:shd w:val="clear" w:color="auto" w:fill="auto"/>
            <w:vAlign w:val="center"/>
          </w:tcPr>
          <w:p>
            <w:pPr>
              <w:ind w:firstLine="0" w:firstLineChars="0"/>
              <w:rPr>
                <w:rStyle w:val="14"/>
                <w:rFonts w:hint="default"/>
              </w:rPr>
            </w:pPr>
            <w:r>
              <w:rPr>
                <w:rStyle w:val="14"/>
                <w:rFonts w:hint="default"/>
              </w:rPr>
              <w:t>支持Telemetry技术，配合网络分析组件通过智能故障识别算法对网络数据进行分析，精准展现网络实时状态，并能及时有效地定界故障以及定位故障发生原因，发现影响用户体验的网络问题，精准保障用户体验+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0" w:hRule="atLeast"/>
        </w:trPr>
        <w:tc>
          <w:tcPr>
            <w:tcW w:w="1176" w:type="dxa"/>
            <w:tcBorders>
              <w:tl2br w:val="nil"/>
              <w:tr2bl w:val="nil"/>
            </w:tcBorders>
            <w:shd w:val="clear" w:color="auto" w:fill="auto"/>
            <w:vAlign w:val="center"/>
          </w:tcPr>
          <w:p>
            <w:pPr>
              <w:ind w:firstLine="0" w:firstLineChars="0"/>
            </w:pPr>
            <w:r>
              <w:rPr>
                <w:rFonts w:hint="eastAsia"/>
              </w:rPr>
              <w:t>云管理</w:t>
            </w:r>
          </w:p>
        </w:tc>
        <w:tc>
          <w:tcPr>
            <w:tcW w:w="7361" w:type="dxa"/>
            <w:tcBorders>
              <w:tl2br w:val="nil"/>
              <w:tr2bl w:val="nil"/>
            </w:tcBorders>
            <w:shd w:val="clear" w:color="auto" w:fill="auto"/>
            <w:vAlign w:val="center"/>
          </w:tcPr>
          <w:p>
            <w:pPr>
              <w:ind w:firstLine="0" w:firstLineChars="0"/>
              <w:rPr>
                <w:rStyle w:val="14"/>
                <w:rFonts w:hint="default"/>
              </w:rPr>
            </w:pPr>
            <w:r>
              <w:rPr>
                <w:rStyle w:val="14"/>
                <w:rFonts w:hint="default"/>
              </w:rPr>
              <w:t>支持本地管理和云盒两种方式，可以通过云管理平台对交换机进行云端配置、监控、巡检等，减少部署和运维的投入，降低网络的OPEX+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trPr>
        <w:tc>
          <w:tcPr>
            <w:tcW w:w="1176" w:type="dxa"/>
            <w:tcBorders>
              <w:tl2br w:val="nil"/>
              <w:tr2bl w:val="nil"/>
            </w:tcBorders>
            <w:shd w:val="clear" w:color="auto" w:fill="auto"/>
            <w:vAlign w:val="center"/>
          </w:tcPr>
          <w:p>
            <w:r>
              <w:rPr>
                <w:rFonts w:hint="eastAsia"/>
              </w:rPr>
              <w:t>资质</w:t>
            </w:r>
          </w:p>
        </w:tc>
        <w:tc>
          <w:tcPr>
            <w:tcW w:w="7361" w:type="dxa"/>
            <w:tcBorders>
              <w:tl2br w:val="nil"/>
              <w:tr2bl w:val="nil"/>
            </w:tcBorders>
            <w:shd w:val="clear" w:color="auto" w:fill="auto"/>
            <w:vAlign w:val="center"/>
          </w:tcPr>
          <w:p>
            <w:pPr>
              <w:ind w:firstLine="0" w:firstLineChars="0"/>
              <w:rPr>
                <w:rStyle w:val="14"/>
                <w:rFonts w:hint="default"/>
              </w:rPr>
            </w:pPr>
            <w:r>
              <w:rPr>
                <w:rStyle w:val="14"/>
                <w:rFonts w:hint="default"/>
              </w:rPr>
              <w:t>提供工信部入网证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6" w:hRule="atLeast"/>
        </w:trPr>
        <w:tc>
          <w:tcPr>
            <w:tcW w:w="1176" w:type="dxa"/>
            <w:tcBorders>
              <w:tl2br w:val="nil"/>
              <w:tr2bl w:val="nil"/>
            </w:tcBorders>
            <w:shd w:val="clear" w:color="auto" w:fill="auto"/>
            <w:vAlign w:val="center"/>
          </w:tcPr>
          <w:p>
            <w:r>
              <w:rPr>
                <w:rFonts w:hint="eastAsia"/>
              </w:rPr>
              <w:t>实配</w:t>
            </w:r>
          </w:p>
        </w:tc>
        <w:tc>
          <w:tcPr>
            <w:tcW w:w="7361" w:type="dxa"/>
            <w:tcBorders>
              <w:tl2br w:val="nil"/>
              <w:tr2bl w:val="nil"/>
            </w:tcBorders>
            <w:shd w:val="clear" w:color="auto" w:fill="auto"/>
            <w:vAlign w:val="center"/>
          </w:tcPr>
          <w:p>
            <w:pPr>
              <w:ind w:firstLine="0" w:firstLineChars="0"/>
              <w:rPr>
                <w:rStyle w:val="14"/>
                <w:rFonts w:hint="default"/>
              </w:rPr>
            </w:pPr>
            <w:r>
              <w:rPr>
                <w:rStyle w:val="14"/>
                <w:rFonts w:hint="default"/>
              </w:rPr>
              <w:t>单台实配：双电源，24个万兆多模模块，提供5年原厂维保</w:t>
            </w:r>
          </w:p>
        </w:tc>
      </w:tr>
    </w:tbl>
    <w:p/>
    <w:p>
      <w:pPr>
        <w:pStyle w:val="3"/>
      </w:pPr>
      <w:r>
        <w:rPr>
          <w:rFonts w:hint="eastAsia"/>
        </w:rPr>
        <w:t>服务器1</w:t>
      </w:r>
    </w:p>
    <w:tbl>
      <w:tblPr>
        <w:tblStyle w:val="9"/>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0"/>
        <w:gridCol w:w="7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00" w:type="dxa"/>
            <w:shd w:val="clear" w:color="auto" w:fill="auto"/>
            <w:vAlign w:val="center"/>
          </w:tcPr>
          <w:p>
            <w:pPr>
              <w:ind w:firstLine="0" w:firstLineChars="0"/>
              <w:rPr>
                <w:rFonts w:ascii="微软雅黑 Light" w:hAnsi="微软雅黑 Light" w:eastAsia="微软雅黑 Light"/>
                <w:sz w:val="22"/>
              </w:rPr>
            </w:pPr>
            <w:r>
              <w:rPr>
                <w:rFonts w:hint="eastAsia"/>
              </w:rPr>
              <w:t>指标项</w:t>
            </w:r>
          </w:p>
        </w:tc>
        <w:tc>
          <w:tcPr>
            <w:tcW w:w="7100" w:type="dxa"/>
            <w:shd w:val="clear" w:color="auto" w:fill="auto"/>
            <w:vAlign w:val="center"/>
          </w:tcPr>
          <w:p>
            <w:pPr>
              <w:rPr>
                <w:rFonts w:ascii="微软雅黑 Light" w:hAnsi="微软雅黑 Light" w:eastAsia="微软雅黑 Light"/>
                <w:sz w:val="22"/>
              </w:rPr>
            </w:pPr>
            <w:r>
              <w:rPr>
                <w:rFonts w:hint="eastAsia"/>
              </w:rPr>
              <w:t>技术规格要求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00" w:type="dxa"/>
            <w:shd w:val="clear" w:color="auto" w:fill="auto"/>
            <w:vAlign w:val="center"/>
          </w:tcPr>
          <w:p>
            <w:pPr>
              <w:ind w:firstLine="0" w:firstLineChars="0"/>
            </w:pPr>
            <w:r>
              <w:rPr>
                <w:rFonts w:hint="eastAsia"/>
              </w:rPr>
              <w:t>机箱规格</w:t>
            </w:r>
          </w:p>
        </w:tc>
        <w:tc>
          <w:tcPr>
            <w:tcW w:w="7100" w:type="dxa"/>
            <w:shd w:val="clear" w:color="auto" w:fill="auto"/>
            <w:vAlign w:val="center"/>
          </w:tcPr>
          <w:p>
            <w:r>
              <w:t>≥</w:t>
            </w:r>
            <w:r>
              <w:rPr>
                <w:rFonts w:hint="eastAsia"/>
              </w:rPr>
              <w:t>2U标准机架式服务器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00" w:type="dxa"/>
            <w:shd w:val="clear" w:color="auto" w:fill="auto"/>
            <w:vAlign w:val="center"/>
          </w:tcPr>
          <w:p>
            <w:pPr>
              <w:ind w:firstLine="0" w:firstLineChars="0"/>
            </w:pPr>
            <w:r>
              <w:rPr>
                <w:rFonts w:hint="eastAsia"/>
              </w:rPr>
              <w:t>处理器</w:t>
            </w:r>
          </w:p>
        </w:tc>
        <w:tc>
          <w:tcPr>
            <w:tcW w:w="7100" w:type="dxa"/>
            <w:shd w:val="clear" w:color="auto" w:fill="auto"/>
            <w:vAlign w:val="center"/>
          </w:tcPr>
          <w:p>
            <w:r>
              <w:rPr>
                <w:rStyle w:val="14"/>
                <w:rFonts w:hint="default"/>
              </w:rPr>
              <w:t>≥</w:t>
            </w:r>
            <w:r>
              <w:rPr>
                <w:rFonts w:hint="eastAsia"/>
              </w:rPr>
              <w:t>2颗英特尔CPU (主频≥2.0GHz, 物理核心数≥28)；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00" w:type="dxa"/>
            <w:shd w:val="clear" w:color="auto" w:fill="auto"/>
            <w:vAlign w:val="center"/>
          </w:tcPr>
          <w:p>
            <w:r>
              <w:rPr>
                <w:rFonts w:hint="eastAsia"/>
              </w:rPr>
              <w:t>内存</w:t>
            </w:r>
          </w:p>
        </w:tc>
        <w:tc>
          <w:tcPr>
            <w:tcW w:w="7100" w:type="dxa"/>
            <w:shd w:val="clear" w:color="auto" w:fill="auto"/>
            <w:vAlign w:val="center"/>
          </w:tcPr>
          <w:p>
            <w:r>
              <w:rPr>
                <w:rFonts w:hint="eastAsia"/>
              </w:rPr>
              <w:t>内存容量≥384G，频率≥3200MHz；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00" w:type="dxa"/>
            <w:shd w:val="clear" w:color="auto" w:fill="auto"/>
            <w:vAlign w:val="center"/>
          </w:tcPr>
          <w:p>
            <w:r>
              <w:rPr>
                <w:rFonts w:hint="eastAsia"/>
              </w:rPr>
              <w:t>存储</w:t>
            </w:r>
          </w:p>
        </w:tc>
        <w:tc>
          <w:tcPr>
            <w:tcW w:w="7100" w:type="dxa"/>
            <w:shd w:val="clear" w:color="auto" w:fill="auto"/>
            <w:vAlign w:val="center"/>
          </w:tcPr>
          <w:p>
            <w:r>
              <w:rPr>
                <w:rFonts w:hint="eastAsia"/>
              </w:rPr>
              <w:t>2块≥ 1.2T SAS硬盘/块  ，3块≥8TB NL-SAS硬盘/块；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400" w:type="dxa"/>
            <w:shd w:val="clear" w:color="auto" w:fill="auto"/>
            <w:vAlign w:val="center"/>
          </w:tcPr>
          <w:p>
            <w:pPr>
              <w:ind w:firstLine="0" w:firstLineChars="0"/>
            </w:pPr>
            <w:r>
              <w:rPr>
                <w:rFonts w:hint="eastAsia"/>
              </w:rPr>
              <w:t>内置存储</w:t>
            </w:r>
          </w:p>
        </w:tc>
        <w:tc>
          <w:tcPr>
            <w:tcW w:w="7100" w:type="dxa"/>
            <w:shd w:val="clear" w:color="auto" w:fill="auto"/>
            <w:vAlign w:val="center"/>
          </w:tcPr>
          <w:p>
            <w:r>
              <w:rPr>
                <w:rFonts w:hint="eastAsia"/>
              </w:rPr>
              <w:t>支持 2*M.2 SATA SSD，支持硬RAID1，支持免开箱热插拔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00" w:type="dxa"/>
            <w:shd w:val="clear" w:color="auto" w:fill="auto"/>
            <w:vAlign w:val="center"/>
          </w:tcPr>
          <w:p>
            <w:r>
              <w:rPr>
                <w:rFonts w:hint="eastAsia"/>
              </w:rPr>
              <w:t>RAID</w:t>
            </w:r>
          </w:p>
        </w:tc>
        <w:tc>
          <w:tcPr>
            <w:tcW w:w="7100" w:type="dxa"/>
            <w:shd w:val="clear" w:color="auto" w:fill="auto"/>
            <w:vAlign w:val="center"/>
          </w:tcPr>
          <w:p>
            <w:r>
              <w:rPr>
                <w:rFonts w:hint="eastAsia"/>
              </w:rPr>
              <w:t xml:space="preserve">独立缓存≥2GB 智能SAS阵列控制器；可支持RAID 0/1/10/5/50/6/60/10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400" w:type="dxa"/>
            <w:vMerge w:val="restart"/>
            <w:shd w:val="clear" w:color="auto" w:fill="auto"/>
            <w:vAlign w:val="center"/>
          </w:tcPr>
          <w:p>
            <w:pPr>
              <w:ind w:firstLine="0" w:firstLineChars="0"/>
            </w:pPr>
            <w:r>
              <w:rPr>
                <w:rFonts w:hint="eastAsia"/>
              </w:rPr>
              <w:t>I/O扩展槽</w:t>
            </w:r>
          </w:p>
        </w:tc>
        <w:tc>
          <w:tcPr>
            <w:tcW w:w="7100" w:type="dxa"/>
            <w:shd w:val="clear" w:color="auto" w:fill="auto"/>
            <w:vAlign w:val="center"/>
          </w:tcPr>
          <w:p>
            <w:r>
              <w:rPr>
                <w:rFonts w:hint="eastAsia"/>
              </w:rPr>
              <w:t>可提供≥14个PCIe 4.0槽位的机型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400" w:type="dxa"/>
            <w:vMerge w:val="continue"/>
            <w:vAlign w:val="center"/>
          </w:tcPr>
          <w:p/>
        </w:tc>
        <w:tc>
          <w:tcPr>
            <w:tcW w:w="7100" w:type="dxa"/>
            <w:shd w:val="clear" w:color="auto" w:fill="auto"/>
            <w:vAlign w:val="center"/>
          </w:tcPr>
          <w:p>
            <w:r>
              <w:rPr>
                <w:rFonts w:hint="eastAsia"/>
              </w:rPr>
              <w:t>可提供≥4个双宽GPU的机型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400" w:type="dxa"/>
            <w:vMerge w:val="restart"/>
            <w:shd w:val="clear" w:color="auto" w:fill="auto"/>
            <w:vAlign w:val="center"/>
          </w:tcPr>
          <w:p>
            <w:r>
              <w:rPr>
                <w:rFonts w:hint="eastAsia"/>
              </w:rPr>
              <w:t>网络</w:t>
            </w:r>
          </w:p>
        </w:tc>
        <w:tc>
          <w:tcPr>
            <w:tcW w:w="7100" w:type="dxa"/>
            <w:shd w:val="clear" w:color="auto" w:fill="auto"/>
            <w:vAlign w:val="center"/>
          </w:tcPr>
          <w:p>
            <w:r>
              <w:rPr>
                <w:rFonts w:hint="eastAsia"/>
              </w:rPr>
              <w:t>支持≥2个OCP3.0接口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00" w:type="dxa"/>
            <w:vMerge w:val="continue"/>
            <w:vAlign w:val="center"/>
          </w:tcPr>
          <w:p/>
        </w:tc>
        <w:tc>
          <w:tcPr>
            <w:tcW w:w="7100" w:type="dxa"/>
            <w:shd w:val="clear" w:color="auto" w:fill="auto"/>
            <w:vAlign w:val="center"/>
          </w:tcPr>
          <w:p>
            <w:r>
              <w:rPr>
                <w:rFonts w:hint="eastAsia"/>
              </w:rPr>
              <w:t>≥2*双口万兆光口卡（含多模光模块）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00" w:type="dxa"/>
            <w:vMerge w:val="continue"/>
            <w:vAlign w:val="center"/>
          </w:tcPr>
          <w:p/>
        </w:tc>
        <w:tc>
          <w:tcPr>
            <w:tcW w:w="7100" w:type="dxa"/>
            <w:shd w:val="clear" w:color="auto" w:fill="auto"/>
            <w:vAlign w:val="center"/>
          </w:tcPr>
          <w:p>
            <w:r>
              <w:rPr>
                <w:rFonts w:hint="eastAsia"/>
              </w:rPr>
              <w:t>≥4*千兆电口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00" w:type="dxa"/>
            <w:shd w:val="clear" w:color="auto" w:fill="auto"/>
            <w:vAlign w:val="center"/>
          </w:tcPr>
          <w:p>
            <w:pPr>
              <w:ind w:firstLine="0" w:firstLineChars="0"/>
            </w:pPr>
            <w:r>
              <w:rPr>
                <w:rFonts w:hint="eastAsia"/>
              </w:rPr>
              <w:t>USB端口</w:t>
            </w:r>
          </w:p>
        </w:tc>
        <w:tc>
          <w:tcPr>
            <w:tcW w:w="7100" w:type="dxa"/>
            <w:shd w:val="clear" w:color="auto" w:fill="auto"/>
            <w:vAlign w:val="center"/>
          </w:tcPr>
          <w:p>
            <w:r>
              <w:rPr>
                <w:rFonts w:hint="eastAsia"/>
              </w:rPr>
              <w:t>≥5个USB3.0;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400" w:type="dxa"/>
            <w:shd w:val="clear" w:color="auto" w:fill="auto"/>
            <w:vAlign w:val="center"/>
          </w:tcPr>
          <w:p>
            <w:pPr>
              <w:ind w:firstLine="0" w:firstLineChars="0"/>
              <w:rPr>
                <w:rFonts w:ascii="微软雅黑 Light" w:hAnsi="微软雅黑 Light" w:eastAsia="微软雅黑 Light"/>
                <w:sz w:val="20"/>
                <w:szCs w:val="20"/>
              </w:rPr>
            </w:pPr>
            <w:r>
              <w:t>管理性</w:t>
            </w:r>
          </w:p>
        </w:tc>
        <w:tc>
          <w:tcPr>
            <w:tcW w:w="7100" w:type="dxa"/>
            <w:shd w:val="clear" w:color="auto" w:fill="auto"/>
            <w:vAlign w:val="center"/>
          </w:tcPr>
          <w:p>
            <w:pPr>
              <w:rPr>
                <w:rStyle w:val="14"/>
                <w:rFonts w:hint="default"/>
              </w:rPr>
            </w:pPr>
            <w:r>
              <w:rPr>
                <w:rStyle w:val="14"/>
                <w:rFonts w:hint="default"/>
              </w:rPr>
              <w:t>▲服务器管理软件支持在中华人民共和国境内登记注册的厂商的芯片。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400" w:type="dxa"/>
            <w:shd w:val="clear" w:color="auto" w:fill="auto"/>
            <w:vAlign w:val="center"/>
          </w:tcPr>
          <w:p>
            <w:pPr>
              <w:ind w:firstLine="0" w:firstLineChars="0"/>
              <w:rPr>
                <w:rFonts w:ascii="微软雅黑 Light" w:hAnsi="微软雅黑 Light" w:eastAsia="微软雅黑 Light"/>
                <w:sz w:val="20"/>
                <w:szCs w:val="20"/>
              </w:rPr>
            </w:pPr>
            <w:r>
              <w:rPr>
                <w:rFonts w:hint="eastAsia"/>
              </w:rPr>
              <w:t>安全性</w:t>
            </w:r>
          </w:p>
        </w:tc>
        <w:tc>
          <w:tcPr>
            <w:tcW w:w="7100" w:type="dxa"/>
            <w:shd w:val="clear" w:color="auto" w:fill="auto"/>
            <w:vAlign w:val="center"/>
          </w:tcPr>
          <w:p>
            <w:pPr>
              <w:rPr>
                <w:rStyle w:val="14"/>
                <w:rFonts w:hint="default"/>
              </w:rPr>
            </w:pPr>
            <w:r>
              <w:rPr>
                <w:rFonts w:hint="eastAsia"/>
              </w:rPr>
              <w:t>▲支持支持基于Kerberos协议的用户认证管理机制，基于芯片可信根实现固件启动前的完整性校验，支持TLS 1.2、TLS 1.3版本，支持SNMP功能及SHA256/SHA384/SHA512鉴权和AES256加密算法。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400" w:type="dxa"/>
            <w:shd w:val="clear" w:color="auto" w:fill="auto"/>
            <w:vAlign w:val="center"/>
          </w:tcPr>
          <w:p>
            <w:r>
              <w:rPr>
                <w:rFonts w:hint="eastAsia"/>
              </w:rPr>
              <w:t>电源</w:t>
            </w:r>
          </w:p>
        </w:tc>
        <w:tc>
          <w:tcPr>
            <w:tcW w:w="7100" w:type="dxa"/>
            <w:shd w:val="clear" w:color="auto" w:fill="auto"/>
            <w:vAlign w:val="center"/>
          </w:tcPr>
          <w:p>
            <w:r>
              <w:rPr>
                <w:rFonts w:hint="eastAsia"/>
              </w:rPr>
              <w:t>冗余电源，单电源最大可支持3000W额定功率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400" w:type="dxa"/>
            <w:shd w:val="clear" w:color="auto" w:fill="auto"/>
            <w:vAlign w:val="center"/>
          </w:tcPr>
          <w:p>
            <w:r>
              <w:rPr>
                <w:rFonts w:hint="eastAsia"/>
              </w:rPr>
              <w:t>质保</w:t>
            </w:r>
          </w:p>
        </w:tc>
        <w:tc>
          <w:tcPr>
            <w:tcW w:w="7100" w:type="dxa"/>
            <w:shd w:val="clear" w:color="auto" w:fill="auto"/>
            <w:vAlign w:val="center"/>
          </w:tcPr>
          <w:p>
            <w:pPr>
              <w:rPr>
                <w:rStyle w:val="14"/>
                <w:rFonts w:hint="default"/>
              </w:rPr>
            </w:pPr>
            <w:r>
              <w:rPr>
                <w:rStyle w:val="14"/>
                <w:rFonts w:hint="default"/>
              </w:rPr>
              <w:t>原厂5年质保</w:t>
            </w:r>
          </w:p>
        </w:tc>
      </w:tr>
    </w:tbl>
    <w:p>
      <w:pPr>
        <w:ind w:firstLine="0" w:firstLineChars="0"/>
      </w:pPr>
    </w:p>
    <w:p>
      <w:pPr>
        <w:pStyle w:val="3"/>
      </w:pPr>
      <w:r>
        <w:rPr>
          <w:rFonts w:hint="eastAsia"/>
        </w:rPr>
        <w:t>服务器2</w:t>
      </w:r>
    </w:p>
    <w:tbl>
      <w:tblPr>
        <w:tblStyle w:val="9"/>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0"/>
        <w:gridCol w:w="7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00" w:type="dxa"/>
            <w:shd w:val="clear" w:color="auto" w:fill="auto"/>
            <w:vAlign w:val="center"/>
          </w:tcPr>
          <w:p>
            <w:pPr>
              <w:ind w:firstLine="0" w:firstLineChars="0"/>
            </w:pPr>
            <w:r>
              <w:rPr>
                <w:rFonts w:hint="eastAsia"/>
              </w:rPr>
              <w:t>机箱规格</w:t>
            </w:r>
          </w:p>
        </w:tc>
        <w:tc>
          <w:tcPr>
            <w:tcW w:w="7100" w:type="dxa"/>
            <w:shd w:val="clear" w:color="auto" w:fill="auto"/>
            <w:vAlign w:val="center"/>
          </w:tcPr>
          <w:p>
            <w:r>
              <w:t>≥</w:t>
            </w:r>
            <w:r>
              <w:rPr>
                <w:rFonts w:hint="eastAsia"/>
              </w:rPr>
              <w:t>2U标准机架式服务器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00" w:type="dxa"/>
            <w:shd w:val="clear" w:color="auto" w:fill="auto"/>
            <w:vAlign w:val="center"/>
          </w:tcPr>
          <w:p>
            <w:pPr>
              <w:ind w:firstLine="0" w:firstLineChars="0"/>
            </w:pPr>
            <w:r>
              <w:rPr>
                <w:rFonts w:hint="eastAsia"/>
              </w:rPr>
              <w:t>处理器</w:t>
            </w:r>
          </w:p>
        </w:tc>
        <w:tc>
          <w:tcPr>
            <w:tcW w:w="7100" w:type="dxa"/>
            <w:shd w:val="clear" w:color="auto" w:fill="auto"/>
            <w:vAlign w:val="center"/>
          </w:tcPr>
          <w:p>
            <w:r>
              <w:rPr>
                <w:rFonts w:hint="eastAsia"/>
              </w:rPr>
              <w:t>≥4颗英特尔CPU (主频≥2.5GHz，物理核心数≥18)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00" w:type="dxa"/>
            <w:shd w:val="clear" w:color="auto" w:fill="auto"/>
            <w:vAlign w:val="center"/>
          </w:tcPr>
          <w:p>
            <w:r>
              <w:rPr>
                <w:rFonts w:hint="eastAsia"/>
              </w:rPr>
              <w:t>内存</w:t>
            </w:r>
          </w:p>
        </w:tc>
        <w:tc>
          <w:tcPr>
            <w:tcW w:w="7100" w:type="dxa"/>
            <w:shd w:val="clear" w:color="auto" w:fill="auto"/>
            <w:vAlign w:val="center"/>
          </w:tcPr>
          <w:p>
            <w:r>
              <w:rPr>
                <w:rFonts w:hint="eastAsia"/>
              </w:rPr>
              <w:t>内存容量≥512G，频率≥3200MHz；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00" w:type="dxa"/>
            <w:shd w:val="clear" w:color="auto" w:fill="auto"/>
            <w:vAlign w:val="center"/>
          </w:tcPr>
          <w:p>
            <w:r>
              <w:rPr>
                <w:rFonts w:hint="eastAsia"/>
              </w:rPr>
              <w:t>存储</w:t>
            </w:r>
          </w:p>
        </w:tc>
        <w:tc>
          <w:tcPr>
            <w:tcW w:w="7100" w:type="dxa"/>
            <w:shd w:val="clear" w:color="auto" w:fill="auto"/>
            <w:vAlign w:val="center"/>
          </w:tcPr>
          <w:p>
            <w:r>
              <w:rPr>
                <w:rFonts w:hint="eastAsia"/>
              </w:rPr>
              <w:t>2块≥1200GB SAS 硬盘/块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00" w:type="dxa"/>
            <w:shd w:val="clear" w:color="auto" w:fill="auto"/>
            <w:vAlign w:val="center"/>
          </w:tcPr>
          <w:p>
            <w:pPr>
              <w:ind w:firstLine="0" w:firstLineChars="0"/>
            </w:pPr>
            <w:r>
              <w:rPr>
                <w:rFonts w:hint="eastAsia"/>
              </w:rPr>
              <w:t>内置存储</w:t>
            </w:r>
          </w:p>
        </w:tc>
        <w:tc>
          <w:tcPr>
            <w:tcW w:w="7100" w:type="dxa"/>
            <w:shd w:val="clear" w:color="auto" w:fill="auto"/>
            <w:vAlign w:val="center"/>
          </w:tcPr>
          <w:p>
            <w:r>
              <w:rPr>
                <w:rFonts w:hint="eastAsia"/>
              </w:rPr>
              <w:t>支持2*M.2 SATA SSD，硬RAID1，支持免开箱热插拔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00" w:type="dxa"/>
            <w:shd w:val="clear" w:color="auto" w:fill="auto"/>
            <w:vAlign w:val="center"/>
          </w:tcPr>
          <w:p>
            <w:r>
              <w:rPr>
                <w:rFonts w:hint="eastAsia"/>
              </w:rPr>
              <w:t>RAID</w:t>
            </w:r>
          </w:p>
        </w:tc>
        <w:tc>
          <w:tcPr>
            <w:tcW w:w="7100" w:type="dxa"/>
            <w:shd w:val="clear" w:color="auto" w:fill="auto"/>
            <w:vAlign w:val="center"/>
          </w:tcPr>
          <w:p>
            <w:r>
              <w:rPr>
                <w:rFonts w:hint="eastAsia"/>
              </w:rPr>
              <w:t>独立缓存≥2GB 智能SAS阵列控制器；支持RAID 0/1/10/5/50/6/60/10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00" w:type="dxa"/>
            <w:vMerge w:val="restart"/>
            <w:shd w:val="clear" w:color="auto" w:fill="auto"/>
            <w:vAlign w:val="center"/>
          </w:tcPr>
          <w:p>
            <w:r>
              <w:rPr>
                <w:rFonts w:hint="eastAsia"/>
              </w:rPr>
              <w:t>I/O扩展槽</w:t>
            </w:r>
          </w:p>
        </w:tc>
        <w:tc>
          <w:tcPr>
            <w:tcW w:w="7100" w:type="dxa"/>
            <w:shd w:val="clear" w:color="auto" w:fill="auto"/>
            <w:vAlign w:val="center"/>
          </w:tcPr>
          <w:p>
            <w:r>
              <w:rPr>
                <w:rFonts w:hint="eastAsia"/>
              </w:rPr>
              <w:t>支持≥9个PCIe 4.0槽位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00" w:type="dxa"/>
            <w:vMerge w:val="continue"/>
            <w:vAlign w:val="center"/>
          </w:tcPr>
          <w:p/>
        </w:tc>
        <w:tc>
          <w:tcPr>
            <w:tcW w:w="7100" w:type="dxa"/>
            <w:shd w:val="clear" w:color="auto" w:fill="auto"/>
            <w:vAlign w:val="center"/>
          </w:tcPr>
          <w:p>
            <w:r>
              <w:rPr>
                <w:rFonts w:hint="eastAsia"/>
              </w:rPr>
              <w:t>支持≥2个双宽GPU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400" w:type="dxa"/>
            <w:vMerge w:val="restart"/>
            <w:shd w:val="clear" w:color="auto" w:fill="auto"/>
            <w:vAlign w:val="center"/>
          </w:tcPr>
          <w:p>
            <w:r>
              <w:rPr>
                <w:rFonts w:hint="eastAsia"/>
              </w:rPr>
              <w:t>网络</w:t>
            </w:r>
          </w:p>
        </w:tc>
        <w:tc>
          <w:tcPr>
            <w:tcW w:w="7100" w:type="dxa"/>
            <w:shd w:val="clear" w:color="auto" w:fill="auto"/>
            <w:vAlign w:val="center"/>
          </w:tcPr>
          <w:p>
            <w:r>
              <w:rPr>
                <w:rFonts w:hint="eastAsia"/>
              </w:rPr>
              <w:t>OCP卡支持热插拔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00" w:type="dxa"/>
            <w:vMerge w:val="continue"/>
            <w:vAlign w:val="center"/>
          </w:tcPr>
          <w:p/>
        </w:tc>
        <w:tc>
          <w:tcPr>
            <w:tcW w:w="7100" w:type="dxa"/>
            <w:shd w:val="clear" w:color="auto" w:fill="auto"/>
            <w:vAlign w:val="center"/>
          </w:tcPr>
          <w:p>
            <w:r>
              <w:rPr>
                <w:rFonts w:hint="eastAsia"/>
              </w:rPr>
              <w:t>≥2*双口32GHBA卡（含多模光模块）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00" w:type="dxa"/>
            <w:vMerge w:val="continue"/>
            <w:vAlign w:val="center"/>
          </w:tcPr>
          <w:p/>
        </w:tc>
        <w:tc>
          <w:tcPr>
            <w:tcW w:w="7100" w:type="dxa"/>
            <w:shd w:val="clear" w:color="auto" w:fill="auto"/>
            <w:vAlign w:val="center"/>
          </w:tcPr>
          <w:p>
            <w:r>
              <w:rPr>
                <w:rFonts w:hint="eastAsia"/>
              </w:rPr>
              <w:t>≥2*双口万兆光口卡（含多模光模块）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00" w:type="dxa"/>
            <w:vMerge w:val="continue"/>
            <w:vAlign w:val="center"/>
          </w:tcPr>
          <w:p/>
        </w:tc>
        <w:tc>
          <w:tcPr>
            <w:tcW w:w="7100" w:type="dxa"/>
            <w:shd w:val="clear" w:color="auto" w:fill="auto"/>
            <w:vAlign w:val="center"/>
          </w:tcPr>
          <w:p>
            <w:r>
              <w:rPr>
                <w:rFonts w:hint="eastAsia"/>
              </w:rPr>
              <w:t>≥4*千兆电口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00" w:type="dxa"/>
            <w:shd w:val="clear" w:color="auto" w:fill="auto"/>
            <w:vAlign w:val="center"/>
          </w:tcPr>
          <w:p>
            <w:pPr>
              <w:ind w:firstLine="0" w:firstLineChars="0"/>
            </w:pPr>
            <w:r>
              <w:rPr>
                <w:rFonts w:hint="eastAsia"/>
              </w:rPr>
              <w:t>USB端口</w:t>
            </w:r>
          </w:p>
        </w:tc>
        <w:tc>
          <w:tcPr>
            <w:tcW w:w="7100" w:type="dxa"/>
            <w:shd w:val="clear" w:color="auto" w:fill="auto"/>
            <w:vAlign w:val="center"/>
          </w:tcPr>
          <w:p>
            <w:r>
              <w:rPr>
                <w:rFonts w:hint="eastAsia"/>
              </w:rPr>
              <w:t>≥5个USB3.0;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400" w:type="dxa"/>
            <w:shd w:val="clear" w:color="auto" w:fill="auto"/>
            <w:vAlign w:val="center"/>
          </w:tcPr>
          <w:p>
            <w:pPr>
              <w:ind w:firstLine="0" w:firstLineChars="0"/>
              <w:rPr>
                <w:rFonts w:ascii="微软雅黑 Light" w:hAnsi="微软雅黑 Light" w:eastAsia="微软雅黑 Light"/>
                <w:sz w:val="20"/>
                <w:szCs w:val="20"/>
              </w:rPr>
            </w:pPr>
            <w:r>
              <w:t>管理性</w:t>
            </w:r>
          </w:p>
        </w:tc>
        <w:tc>
          <w:tcPr>
            <w:tcW w:w="7100" w:type="dxa"/>
            <w:shd w:val="clear" w:color="auto" w:fill="auto"/>
            <w:vAlign w:val="center"/>
          </w:tcPr>
          <w:p>
            <w:pPr>
              <w:ind w:firstLine="0" w:firstLineChars="0"/>
              <w:rPr>
                <w:rStyle w:val="14"/>
                <w:rFonts w:hint="default"/>
              </w:rPr>
            </w:pPr>
            <w:r>
              <w:rPr>
                <w:rStyle w:val="14"/>
                <w:rFonts w:hint="default"/>
              </w:rPr>
              <w:t>▲服务器管理软件支持在中华人民共和国境内登记注册的厂商的芯片。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400" w:type="dxa"/>
            <w:shd w:val="clear" w:color="auto" w:fill="auto"/>
            <w:vAlign w:val="center"/>
          </w:tcPr>
          <w:p>
            <w:pPr>
              <w:ind w:firstLine="0" w:firstLineChars="0"/>
              <w:rPr>
                <w:rFonts w:ascii="微软雅黑 Light" w:hAnsi="微软雅黑 Light" w:eastAsia="微软雅黑 Light"/>
                <w:sz w:val="20"/>
                <w:szCs w:val="20"/>
              </w:rPr>
            </w:pPr>
            <w:r>
              <w:rPr>
                <w:rFonts w:hint="eastAsia"/>
              </w:rPr>
              <w:t>安全性</w:t>
            </w:r>
          </w:p>
        </w:tc>
        <w:tc>
          <w:tcPr>
            <w:tcW w:w="7100" w:type="dxa"/>
            <w:shd w:val="clear" w:color="auto" w:fill="auto"/>
            <w:vAlign w:val="center"/>
          </w:tcPr>
          <w:p>
            <w:pPr>
              <w:ind w:firstLine="0" w:firstLineChars="0"/>
              <w:rPr>
                <w:rStyle w:val="14"/>
                <w:rFonts w:hint="default"/>
              </w:rPr>
            </w:pPr>
            <w:r>
              <w:rPr>
                <w:rFonts w:hint="eastAsia"/>
              </w:rPr>
              <w:t>▲支持支持基于Kerberos协议的用户认证管理机制，基于芯片可信根实现固件启动前的完整性校验，支持TLS 1.2、TLS 1.3版本，支持SNMP功能及SHA256/SHA384/SHA512鉴权和AES256加密算法。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400" w:type="dxa"/>
            <w:shd w:val="clear" w:color="auto" w:fill="auto"/>
            <w:vAlign w:val="center"/>
          </w:tcPr>
          <w:p>
            <w:r>
              <w:rPr>
                <w:rFonts w:hint="eastAsia"/>
              </w:rPr>
              <w:t>电源</w:t>
            </w:r>
          </w:p>
        </w:tc>
        <w:tc>
          <w:tcPr>
            <w:tcW w:w="7100" w:type="dxa"/>
            <w:shd w:val="clear" w:color="auto" w:fill="auto"/>
            <w:vAlign w:val="center"/>
          </w:tcPr>
          <w:p>
            <w:r>
              <w:rPr>
                <w:rFonts w:hint="eastAsia"/>
              </w:rPr>
              <w:t>冗余电源，单电源最大可支持3000W额定功率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400" w:type="dxa"/>
            <w:shd w:val="clear" w:color="auto" w:fill="auto"/>
            <w:vAlign w:val="center"/>
          </w:tcPr>
          <w:p>
            <w:r>
              <w:rPr>
                <w:rFonts w:hint="eastAsia"/>
              </w:rPr>
              <w:t>质保</w:t>
            </w:r>
          </w:p>
        </w:tc>
        <w:tc>
          <w:tcPr>
            <w:tcW w:w="7100" w:type="dxa"/>
            <w:shd w:val="clear" w:color="auto" w:fill="auto"/>
            <w:vAlign w:val="center"/>
          </w:tcPr>
          <w:p>
            <w:pPr>
              <w:rPr>
                <w:rStyle w:val="14"/>
                <w:rFonts w:hint="default"/>
              </w:rPr>
            </w:pPr>
            <w:r>
              <w:rPr>
                <w:rStyle w:val="14"/>
                <w:rFonts w:hint="default"/>
              </w:rPr>
              <w:t>原厂5年质保</w:t>
            </w:r>
          </w:p>
        </w:tc>
      </w:tr>
    </w:tbl>
    <w:p/>
    <w:p>
      <w:pPr>
        <w:pStyle w:val="3"/>
      </w:pPr>
      <w:r>
        <w:rPr>
          <w:rFonts w:hint="eastAsia"/>
        </w:rPr>
        <w:t>服务器3</w:t>
      </w:r>
    </w:p>
    <w:tbl>
      <w:tblPr>
        <w:tblStyle w:val="9"/>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0"/>
        <w:gridCol w:w="7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00" w:type="dxa"/>
            <w:shd w:val="clear" w:color="auto" w:fill="auto"/>
            <w:vAlign w:val="center"/>
          </w:tcPr>
          <w:p>
            <w:pPr>
              <w:ind w:firstLine="0" w:firstLineChars="0"/>
            </w:pPr>
            <w:r>
              <w:rPr>
                <w:rFonts w:hint="eastAsia"/>
              </w:rPr>
              <w:t>机箱规格</w:t>
            </w:r>
          </w:p>
        </w:tc>
        <w:tc>
          <w:tcPr>
            <w:tcW w:w="7100" w:type="dxa"/>
            <w:shd w:val="clear" w:color="auto" w:fill="auto"/>
            <w:vAlign w:val="center"/>
          </w:tcPr>
          <w:p>
            <w:r>
              <w:t>≥</w:t>
            </w:r>
            <w:r>
              <w:rPr>
                <w:rFonts w:hint="eastAsia"/>
              </w:rPr>
              <w:t>2U标准机架式服务器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00" w:type="dxa"/>
            <w:shd w:val="clear" w:color="auto" w:fill="auto"/>
            <w:vAlign w:val="center"/>
          </w:tcPr>
          <w:p>
            <w:pPr>
              <w:ind w:firstLine="0" w:firstLineChars="0"/>
            </w:pPr>
            <w:r>
              <w:rPr>
                <w:rFonts w:hint="eastAsia"/>
              </w:rPr>
              <w:t>处理器</w:t>
            </w:r>
          </w:p>
        </w:tc>
        <w:tc>
          <w:tcPr>
            <w:tcW w:w="7100" w:type="dxa"/>
            <w:shd w:val="clear" w:color="auto" w:fill="auto"/>
            <w:vAlign w:val="center"/>
          </w:tcPr>
          <w:p>
            <w:r>
              <w:rPr>
                <w:rFonts w:hint="eastAsia"/>
              </w:rPr>
              <w:t>≥4颗英特尔CPU (主频≥2.5GHz，物理核心数≥18)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00" w:type="dxa"/>
            <w:shd w:val="clear" w:color="auto" w:fill="auto"/>
            <w:vAlign w:val="center"/>
          </w:tcPr>
          <w:p>
            <w:r>
              <w:rPr>
                <w:rFonts w:hint="eastAsia"/>
              </w:rPr>
              <w:t>内存</w:t>
            </w:r>
          </w:p>
        </w:tc>
        <w:tc>
          <w:tcPr>
            <w:tcW w:w="7100" w:type="dxa"/>
            <w:shd w:val="clear" w:color="auto" w:fill="auto"/>
            <w:vAlign w:val="center"/>
          </w:tcPr>
          <w:p>
            <w:r>
              <w:rPr>
                <w:rFonts w:hint="eastAsia"/>
              </w:rPr>
              <w:t>内存容量≥512G，频率≥3200MHz；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00" w:type="dxa"/>
            <w:shd w:val="clear" w:color="auto" w:fill="auto"/>
            <w:vAlign w:val="center"/>
          </w:tcPr>
          <w:p>
            <w:r>
              <w:rPr>
                <w:rFonts w:hint="eastAsia"/>
              </w:rPr>
              <w:t>存储</w:t>
            </w:r>
          </w:p>
        </w:tc>
        <w:tc>
          <w:tcPr>
            <w:tcW w:w="7100" w:type="dxa"/>
            <w:shd w:val="clear" w:color="auto" w:fill="auto"/>
            <w:vAlign w:val="center"/>
          </w:tcPr>
          <w:p>
            <w:r>
              <w:rPr>
                <w:rFonts w:hint="eastAsia"/>
              </w:rPr>
              <w:t>2块≥1200GB SAS 硬盘/块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00" w:type="dxa"/>
            <w:shd w:val="clear" w:color="auto" w:fill="auto"/>
            <w:vAlign w:val="center"/>
          </w:tcPr>
          <w:p>
            <w:pPr>
              <w:ind w:firstLine="0" w:firstLineChars="0"/>
            </w:pPr>
            <w:r>
              <w:rPr>
                <w:rFonts w:hint="eastAsia"/>
              </w:rPr>
              <w:t>内置存储</w:t>
            </w:r>
          </w:p>
        </w:tc>
        <w:tc>
          <w:tcPr>
            <w:tcW w:w="7100" w:type="dxa"/>
            <w:shd w:val="clear" w:color="auto" w:fill="auto"/>
            <w:vAlign w:val="center"/>
          </w:tcPr>
          <w:p>
            <w:r>
              <w:rPr>
                <w:rFonts w:hint="eastAsia"/>
              </w:rPr>
              <w:t>支持2*M.2 SATA SSD，硬RAID1，支持免开箱热插拔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00" w:type="dxa"/>
            <w:shd w:val="clear" w:color="auto" w:fill="auto"/>
            <w:vAlign w:val="center"/>
          </w:tcPr>
          <w:p>
            <w:r>
              <w:rPr>
                <w:rFonts w:hint="eastAsia"/>
              </w:rPr>
              <w:t>RAID</w:t>
            </w:r>
          </w:p>
        </w:tc>
        <w:tc>
          <w:tcPr>
            <w:tcW w:w="7100" w:type="dxa"/>
            <w:shd w:val="clear" w:color="auto" w:fill="auto"/>
            <w:vAlign w:val="center"/>
          </w:tcPr>
          <w:p>
            <w:r>
              <w:rPr>
                <w:rFonts w:hint="eastAsia"/>
              </w:rPr>
              <w:t>独立缓存≥2GB 智能SAS阵列控制器；支持RAID 0/1/10/5/50/6/60/10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00" w:type="dxa"/>
            <w:vMerge w:val="restart"/>
            <w:shd w:val="clear" w:color="auto" w:fill="auto"/>
            <w:vAlign w:val="center"/>
          </w:tcPr>
          <w:p>
            <w:pPr>
              <w:ind w:firstLine="0" w:firstLineChars="0"/>
            </w:pPr>
            <w:r>
              <w:rPr>
                <w:rFonts w:hint="eastAsia"/>
              </w:rPr>
              <w:t>I/O扩展槽</w:t>
            </w:r>
          </w:p>
        </w:tc>
        <w:tc>
          <w:tcPr>
            <w:tcW w:w="7100" w:type="dxa"/>
            <w:shd w:val="clear" w:color="auto" w:fill="auto"/>
            <w:vAlign w:val="center"/>
          </w:tcPr>
          <w:p>
            <w:r>
              <w:rPr>
                <w:rFonts w:hint="eastAsia"/>
              </w:rPr>
              <w:t>支持≥9个PCIe 4.0槽位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00" w:type="dxa"/>
            <w:vMerge w:val="continue"/>
            <w:vAlign w:val="center"/>
          </w:tcPr>
          <w:p/>
        </w:tc>
        <w:tc>
          <w:tcPr>
            <w:tcW w:w="7100" w:type="dxa"/>
            <w:shd w:val="clear" w:color="auto" w:fill="auto"/>
            <w:vAlign w:val="center"/>
          </w:tcPr>
          <w:p>
            <w:r>
              <w:rPr>
                <w:rFonts w:hint="eastAsia"/>
              </w:rPr>
              <w:t>支持≥2个双宽GPU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400" w:type="dxa"/>
            <w:vMerge w:val="restart"/>
            <w:shd w:val="clear" w:color="auto" w:fill="auto"/>
            <w:vAlign w:val="center"/>
          </w:tcPr>
          <w:p>
            <w:r>
              <w:rPr>
                <w:rFonts w:hint="eastAsia"/>
              </w:rPr>
              <w:t>网络</w:t>
            </w:r>
          </w:p>
        </w:tc>
        <w:tc>
          <w:tcPr>
            <w:tcW w:w="7100" w:type="dxa"/>
            <w:shd w:val="clear" w:color="auto" w:fill="auto"/>
            <w:vAlign w:val="center"/>
          </w:tcPr>
          <w:p>
            <w:r>
              <w:rPr>
                <w:rFonts w:hint="eastAsia"/>
              </w:rPr>
              <w:t>OCP卡支持热插拔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00" w:type="dxa"/>
            <w:vMerge w:val="continue"/>
            <w:vAlign w:val="center"/>
          </w:tcPr>
          <w:p/>
        </w:tc>
        <w:tc>
          <w:tcPr>
            <w:tcW w:w="7100" w:type="dxa"/>
            <w:shd w:val="clear" w:color="auto" w:fill="auto"/>
            <w:vAlign w:val="center"/>
          </w:tcPr>
          <w:p>
            <w:r>
              <w:rPr>
                <w:rFonts w:hint="eastAsia"/>
              </w:rPr>
              <w:t>≥2*双口32GHBA卡（含多模光模块）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00" w:type="dxa"/>
            <w:vMerge w:val="continue"/>
            <w:vAlign w:val="center"/>
          </w:tcPr>
          <w:p/>
        </w:tc>
        <w:tc>
          <w:tcPr>
            <w:tcW w:w="7100" w:type="dxa"/>
            <w:shd w:val="clear" w:color="auto" w:fill="auto"/>
            <w:vAlign w:val="center"/>
          </w:tcPr>
          <w:p>
            <w:r>
              <w:rPr>
                <w:rFonts w:hint="eastAsia"/>
              </w:rPr>
              <w:t>≥2*双口万兆光口卡（含多模光模块）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00" w:type="dxa"/>
            <w:vMerge w:val="continue"/>
            <w:vAlign w:val="center"/>
          </w:tcPr>
          <w:p/>
        </w:tc>
        <w:tc>
          <w:tcPr>
            <w:tcW w:w="7100" w:type="dxa"/>
            <w:shd w:val="clear" w:color="auto" w:fill="auto"/>
            <w:vAlign w:val="center"/>
          </w:tcPr>
          <w:p>
            <w:r>
              <w:rPr>
                <w:rFonts w:hint="eastAsia"/>
              </w:rPr>
              <w:t>≥4*千兆电口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00" w:type="dxa"/>
            <w:shd w:val="clear" w:color="auto" w:fill="auto"/>
            <w:vAlign w:val="center"/>
          </w:tcPr>
          <w:p>
            <w:pPr>
              <w:ind w:firstLine="0" w:firstLineChars="0"/>
            </w:pPr>
            <w:r>
              <w:rPr>
                <w:rFonts w:hint="eastAsia"/>
              </w:rPr>
              <w:t>USB端口</w:t>
            </w:r>
          </w:p>
        </w:tc>
        <w:tc>
          <w:tcPr>
            <w:tcW w:w="7100" w:type="dxa"/>
            <w:shd w:val="clear" w:color="auto" w:fill="auto"/>
            <w:vAlign w:val="center"/>
          </w:tcPr>
          <w:p>
            <w:r>
              <w:rPr>
                <w:rFonts w:hint="eastAsia"/>
              </w:rPr>
              <w:t>≥5个USB3.0;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400" w:type="dxa"/>
            <w:shd w:val="clear" w:color="auto" w:fill="auto"/>
            <w:vAlign w:val="center"/>
          </w:tcPr>
          <w:p>
            <w:pPr>
              <w:ind w:firstLine="0" w:firstLineChars="0"/>
              <w:rPr>
                <w:rFonts w:ascii="微软雅黑 Light" w:hAnsi="微软雅黑 Light" w:eastAsia="微软雅黑 Light"/>
                <w:sz w:val="20"/>
                <w:szCs w:val="20"/>
              </w:rPr>
            </w:pPr>
            <w:r>
              <w:t>管理性</w:t>
            </w:r>
          </w:p>
        </w:tc>
        <w:tc>
          <w:tcPr>
            <w:tcW w:w="7100" w:type="dxa"/>
            <w:shd w:val="clear" w:color="auto" w:fill="auto"/>
            <w:vAlign w:val="center"/>
          </w:tcPr>
          <w:p>
            <w:pPr>
              <w:rPr>
                <w:rStyle w:val="14"/>
                <w:rFonts w:hint="default"/>
              </w:rPr>
            </w:pPr>
            <w:r>
              <w:rPr>
                <w:rStyle w:val="14"/>
                <w:rFonts w:hint="default"/>
              </w:rPr>
              <w:t>▲服务器管理软件支持在中华人民共和国境内登记注册的厂商的芯片。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400" w:type="dxa"/>
            <w:shd w:val="clear" w:color="auto" w:fill="auto"/>
            <w:vAlign w:val="center"/>
          </w:tcPr>
          <w:p>
            <w:pPr>
              <w:ind w:firstLine="0" w:firstLineChars="0"/>
              <w:rPr>
                <w:rFonts w:ascii="微软雅黑 Light" w:hAnsi="微软雅黑 Light" w:eastAsia="微软雅黑 Light"/>
                <w:sz w:val="20"/>
                <w:szCs w:val="20"/>
              </w:rPr>
            </w:pPr>
            <w:r>
              <w:rPr>
                <w:rFonts w:hint="eastAsia"/>
              </w:rPr>
              <w:t>安全性</w:t>
            </w:r>
          </w:p>
        </w:tc>
        <w:tc>
          <w:tcPr>
            <w:tcW w:w="7100" w:type="dxa"/>
            <w:shd w:val="clear" w:color="auto" w:fill="auto"/>
            <w:vAlign w:val="center"/>
          </w:tcPr>
          <w:p>
            <w:pPr>
              <w:rPr>
                <w:rStyle w:val="14"/>
                <w:rFonts w:hint="default"/>
              </w:rPr>
            </w:pPr>
            <w:r>
              <w:rPr>
                <w:rFonts w:hint="eastAsia"/>
              </w:rPr>
              <w:t>▲支持支持基于Kerberos协议的用户认证管理机制，基于芯片可信根实现固件启动前的完整性校验，支持TLS 1.2、TLS 1.3版本，支持SNMP功能及SHA256/SHA384/SHA512鉴权和AES256加密算法。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400" w:type="dxa"/>
            <w:shd w:val="clear" w:color="auto" w:fill="auto"/>
            <w:vAlign w:val="center"/>
          </w:tcPr>
          <w:p>
            <w:r>
              <w:rPr>
                <w:rFonts w:hint="eastAsia"/>
              </w:rPr>
              <w:t>电源</w:t>
            </w:r>
          </w:p>
        </w:tc>
        <w:tc>
          <w:tcPr>
            <w:tcW w:w="7100" w:type="dxa"/>
            <w:shd w:val="clear" w:color="auto" w:fill="auto"/>
            <w:vAlign w:val="center"/>
          </w:tcPr>
          <w:p>
            <w:r>
              <w:rPr>
                <w:rFonts w:hint="eastAsia"/>
              </w:rPr>
              <w:t>冗余电源，单电源最大可支持3000W额定功率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400" w:type="dxa"/>
            <w:shd w:val="clear" w:color="auto" w:fill="auto"/>
            <w:vAlign w:val="center"/>
          </w:tcPr>
          <w:p>
            <w:r>
              <w:rPr>
                <w:rFonts w:hint="eastAsia"/>
              </w:rPr>
              <w:t>质保</w:t>
            </w:r>
          </w:p>
        </w:tc>
        <w:tc>
          <w:tcPr>
            <w:tcW w:w="7100" w:type="dxa"/>
            <w:shd w:val="clear" w:color="auto" w:fill="auto"/>
            <w:vAlign w:val="center"/>
          </w:tcPr>
          <w:p>
            <w:pPr>
              <w:rPr>
                <w:rStyle w:val="14"/>
                <w:rFonts w:hint="default"/>
              </w:rPr>
            </w:pPr>
            <w:r>
              <w:rPr>
                <w:rStyle w:val="14"/>
                <w:rFonts w:hint="default"/>
              </w:rPr>
              <w:t>原厂5年质保</w:t>
            </w:r>
          </w:p>
        </w:tc>
      </w:tr>
    </w:tbl>
    <w:p/>
    <w:p>
      <w:pPr>
        <w:pStyle w:val="3"/>
      </w:pPr>
      <w:r>
        <w:rPr>
          <w:rFonts w:hint="eastAsia"/>
        </w:rPr>
        <w:t>光交换机</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8"/>
        <w:gridCol w:w="6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37" w:type="pct"/>
            <w:shd w:val="clear" w:color="auto" w:fill="auto"/>
            <w:noWrap/>
            <w:vAlign w:val="center"/>
          </w:tcPr>
          <w:p>
            <w:r>
              <w:rPr>
                <w:rFonts w:hint="eastAsia"/>
              </w:rPr>
              <w:t>指标项</w:t>
            </w:r>
          </w:p>
        </w:tc>
        <w:tc>
          <w:tcPr>
            <w:tcW w:w="4063" w:type="pct"/>
            <w:shd w:val="clear" w:color="auto" w:fill="auto"/>
            <w:noWrap/>
            <w:vAlign w:val="center"/>
          </w:tcPr>
          <w:p>
            <w:r>
              <w:rPr>
                <w:rFonts w:hint="eastAsia"/>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37" w:type="pct"/>
            <w:vMerge w:val="restart"/>
            <w:noWrap/>
            <w:vAlign w:val="center"/>
          </w:tcPr>
          <w:p>
            <w:pPr>
              <w:ind w:firstLine="0" w:firstLineChars="0"/>
            </w:pPr>
            <w:r>
              <w:rPr>
                <w:rFonts w:hint="eastAsia"/>
              </w:rPr>
              <w:t>端口性能</w:t>
            </w:r>
          </w:p>
        </w:tc>
        <w:tc>
          <w:tcPr>
            <w:tcW w:w="4063" w:type="pct"/>
            <w:vAlign w:val="center"/>
          </w:tcPr>
          <w:p>
            <w:r>
              <w:rPr>
                <w:rFonts w:hint="eastAsia"/>
              </w:rPr>
              <w:t>最大支持FC端口数为≥24个。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37" w:type="pct"/>
            <w:vMerge w:val="continue"/>
            <w:noWrap/>
            <w:vAlign w:val="center"/>
          </w:tcPr>
          <w:p/>
        </w:tc>
        <w:tc>
          <w:tcPr>
            <w:tcW w:w="4063" w:type="pct"/>
            <w:vAlign w:val="center"/>
          </w:tcPr>
          <w:p>
            <w:r>
              <w:rPr>
                <w:rFonts w:hint="eastAsia"/>
              </w:rPr>
              <w:t>配置≥16个32Gbps FC端口（含模块）。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37" w:type="pct"/>
            <w:vMerge w:val="continue"/>
            <w:vAlign w:val="center"/>
          </w:tcPr>
          <w:p/>
        </w:tc>
        <w:tc>
          <w:tcPr>
            <w:tcW w:w="4063" w:type="pct"/>
            <w:noWrap/>
            <w:vAlign w:val="center"/>
          </w:tcPr>
          <w:p>
            <w:r>
              <w:rPr>
                <w:rFonts w:hint="eastAsia"/>
              </w:rPr>
              <w:t>支持端口最大速率≥32Gbps；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37" w:type="pct"/>
            <w:vMerge w:val="restart"/>
            <w:noWrap/>
            <w:vAlign w:val="center"/>
          </w:tcPr>
          <w:p>
            <w:pPr>
              <w:ind w:firstLine="0" w:firstLineChars="0"/>
            </w:pPr>
            <w:r>
              <w:rPr>
                <w:rFonts w:hint="eastAsia"/>
              </w:rPr>
              <w:t>接口光模块特性</w:t>
            </w:r>
          </w:p>
        </w:tc>
        <w:tc>
          <w:tcPr>
            <w:tcW w:w="4063" w:type="pct"/>
            <w:noWrap/>
            <w:vAlign w:val="center"/>
          </w:tcPr>
          <w:p>
            <w:r>
              <w:rPr>
                <w:rFonts w:hint="eastAsia"/>
              </w:rPr>
              <w:t>支持32,16,10,8,4Gbps自适应；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37" w:type="pct"/>
            <w:vMerge w:val="continue"/>
            <w:vAlign w:val="center"/>
          </w:tcPr>
          <w:p/>
        </w:tc>
        <w:tc>
          <w:tcPr>
            <w:tcW w:w="4063" w:type="pct"/>
            <w:noWrap/>
            <w:vAlign w:val="center"/>
          </w:tcPr>
          <w:p>
            <w:r>
              <w:rPr>
                <w:rFonts w:hint="eastAsia"/>
              </w:rPr>
              <w:t>支持接口模块在线热插拔；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37" w:type="pct"/>
            <w:noWrap/>
            <w:vAlign w:val="center"/>
          </w:tcPr>
          <w:p>
            <w:pPr>
              <w:ind w:firstLine="0" w:firstLineChars="0"/>
            </w:pPr>
            <w:r>
              <w:rPr>
                <w:rFonts w:hint="eastAsia"/>
              </w:rPr>
              <w:t>单机聚合带宽</w:t>
            </w:r>
          </w:p>
        </w:tc>
        <w:tc>
          <w:tcPr>
            <w:tcW w:w="4063" w:type="pct"/>
            <w:noWrap/>
            <w:vAlign w:val="center"/>
          </w:tcPr>
          <w:p>
            <w:r>
              <w:rPr>
                <w:rFonts w:hint="eastAsia"/>
              </w:rPr>
              <w:t>支持≥2Tbps单机聚合带宽；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37" w:type="pct"/>
            <w:noWrap/>
            <w:vAlign w:val="center"/>
          </w:tcPr>
          <w:p>
            <w:r>
              <w:rPr>
                <w:rFonts w:hint="eastAsia"/>
              </w:rPr>
              <w:t>延迟</w:t>
            </w:r>
          </w:p>
        </w:tc>
        <w:tc>
          <w:tcPr>
            <w:tcW w:w="4063" w:type="pct"/>
            <w:noWrap/>
            <w:vAlign w:val="center"/>
          </w:tcPr>
          <w:p>
            <w:r>
              <w:rPr>
                <w:rFonts w:hint="eastAsia"/>
              </w:rPr>
              <w:t>本地交换端口延迟≤780 ns（打开FEC）；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37" w:type="pct"/>
            <w:noWrap/>
            <w:vAlign w:val="center"/>
          </w:tcPr>
          <w:p>
            <w:pPr>
              <w:ind w:firstLine="0" w:firstLineChars="0"/>
            </w:pPr>
            <w:r>
              <w:rPr>
                <w:rFonts w:hint="eastAsia"/>
              </w:rPr>
              <w:t>可管理性</w:t>
            </w:r>
          </w:p>
        </w:tc>
        <w:tc>
          <w:tcPr>
            <w:tcW w:w="4063" w:type="pct"/>
            <w:noWrap/>
            <w:vAlign w:val="center"/>
          </w:tcPr>
          <w:p>
            <w:r>
              <w:rPr>
                <w:rFonts w:hint="eastAsia"/>
              </w:rPr>
              <w:t>支持SNMPv1/v3 、Telnet、Web管理／GUI界面；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937" w:type="pct"/>
            <w:noWrap/>
            <w:vAlign w:val="center"/>
          </w:tcPr>
          <w:p>
            <w:pPr>
              <w:rPr>
                <w:szCs w:val="21"/>
              </w:rPr>
            </w:pPr>
            <w:r>
              <w:rPr>
                <w:rFonts w:hint="eastAsia"/>
              </w:rPr>
              <w:t>质保</w:t>
            </w:r>
          </w:p>
        </w:tc>
        <w:tc>
          <w:tcPr>
            <w:tcW w:w="4063" w:type="pct"/>
            <w:noWrap/>
            <w:vAlign w:val="center"/>
          </w:tcPr>
          <w:p>
            <w:pPr>
              <w:rPr>
                <w:szCs w:val="21"/>
              </w:rPr>
            </w:pPr>
            <w:r>
              <w:rPr>
                <w:rStyle w:val="14"/>
                <w:rFonts w:hint="default"/>
              </w:rPr>
              <w:t>原厂5年质保</w:t>
            </w:r>
          </w:p>
        </w:tc>
      </w:tr>
    </w:tbl>
    <w:p/>
    <w:p>
      <w:pPr>
        <w:pStyle w:val="3"/>
      </w:pPr>
      <w:r>
        <w:rPr>
          <w:rFonts w:hint="eastAsia"/>
        </w:rPr>
        <w:t>存储</w:t>
      </w:r>
    </w:p>
    <w:tbl>
      <w:tblPr>
        <w:tblStyle w:val="9"/>
        <w:tblW w:w="486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3"/>
        <w:gridCol w:w="6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0" w:type="pct"/>
            <w:shd w:val="clear" w:color="auto" w:fill="auto"/>
            <w:vAlign w:val="center"/>
          </w:tcPr>
          <w:p>
            <w:r>
              <w:rPr>
                <w:rFonts w:hint="eastAsia"/>
              </w:rPr>
              <w:t>指标项</w:t>
            </w:r>
          </w:p>
        </w:tc>
        <w:tc>
          <w:tcPr>
            <w:tcW w:w="3950" w:type="pct"/>
            <w:shd w:val="clear" w:color="auto" w:fill="auto"/>
            <w:vAlign w:val="center"/>
          </w:tcPr>
          <w:p>
            <w:r>
              <w:rPr>
                <w:rFonts w:hint="eastAsia"/>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050" w:type="pct"/>
            <w:shd w:val="clear" w:color="auto" w:fill="auto"/>
            <w:vAlign w:val="center"/>
          </w:tcPr>
          <w:p>
            <w:r>
              <w:rPr>
                <w:rFonts w:hint="eastAsia"/>
              </w:rPr>
              <w:t>体系架构</w:t>
            </w:r>
          </w:p>
        </w:tc>
        <w:tc>
          <w:tcPr>
            <w:tcW w:w="3950" w:type="pct"/>
            <w:shd w:val="clear" w:color="auto" w:fill="auto"/>
            <w:vAlign w:val="center"/>
          </w:tcPr>
          <w:p>
            <w:r>
              <w:rPr>
                <w:rFonts w:hint="eastAsia"/>
              </w:rPr>
              <w:t>控制器采用</w:t>
            </w:r>
            <w:r>
              <w:t>Active-Active架构，LUN不归属于某一个控制器，单个LUN业务负载均衡到所有控制器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0" w:type="pct"/>
            <w:shd w:val="clear" w:color="auto" w:fill="auto"/>
            <w:vAlign w:val="center"/>
          </w:tcPr>
          <w:p>
            <w:pPr>
              <w:ind w:firstLine="0" w:firstLineChars="0"/>
            </w:pPr>
            <w:r>
              <w:rPr>
                <w:rFonts w:hint="eastAsia"/>
              </w:rPr>
              <w:t>SAN&amp;NAS融合</w:t>
            </w:r>
          </w:p>
        </w:tc>
        <w:tc>
          <w:tcPr>
            <w:tcW w:w="3950" w:type="pct"/>
            <w:shd w:val="clear" w:color="auto" w:fill="auto"/>
            <w:vAlign w:val="center"/>
          </w:tcPr>
          <w:p>
            <w:r>
              <w:rPr>
                <w:rFonts w:hint="eastAsia"/>
              </w:rPr>
              <w:t>支持</w:t>
            </w:r>
            <w:r>
              <w:t>SAN和NAS一体化，</w:t>
            </w:r>
            <w:r>
              <w:rPr>
                <w:rFonts w:hint="eastAsia"/>
              </w:rPr>
              <w:t>本次</w:t>
            </w:r>
            <w:r>
              <w:t>配置IP SAN和FC SAN协议，不需额外配置NAS网关，支持SAN和NAS共资源池，无需独立分配。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050" w:type="pct"/>
            <w:shd w:val="clear" w:color="auto" w:fill="auto"/>
            <w:vAlign w:val="center"/>
          </w:tcPr>
          <w:p>
            <w:pPr>
              <w:ind w:firstLine="0" w:firstLineChars="0"/>
            </w:pPr>
            <w:r>
              <w:rPr>
                <w:rFonts w:hint="eastAsia"/>
              </w:rPr>
              <w:t>控制器扩展</w:t>
            </w:r>
          </w:p>
        </w:tc>
        <w:tc>
          <w:tcPr>
            <w:tcW w:w="3950" w:type="pct"/>
            <w:shd w:val="clear" w:color="auto" w:fill="auto"/>
            <w:vAlign w:val="center"/>
          </w:tcPr>
          <w:p>
            <w:r>
              <w:rPr>
                <w:rFonts w:hint="eastAsia"/>
              </w:rPr>
              <w:t>支持控制器扩展，最大支持≥</w:t>
            </w:r>
            <w:r>
              <w:t>16控；</w:t>
            </w:r>
            <w:r>
              <w:rPr>
                <w:rFonts w:hint="eastAsia"/>
              </w:rPr>
              <w:t>提供官方证明材料。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0" w:type="pct"/>
            <w:shd w:val="clear" w:color="auto" w:fill="auto"/>
            <w:vAlign w:val="center"/>
          </w:tcPr>
          <w:p>
            <w:pPr>
              <w:ind w:firstLine="0" w:firstLineChars="0"/>
            </w:pPr>
            <w:r>
              <w:rPr>
                <w:rFonts w:hint="eastAsia"/>
              </w:rPr>
              <w:t>控制器配置</w:t>
            </w:r>
          </w:p>
        </w:tc>
        <w:tc>
          <w:tcPr>
            <w:tcW w:w="3950" w:type="pct"/>
            <w:shd w:val="clear" w:color="auto" w:fill="auto"/>
            <w:vAlign w:val="center"/>
          </w:tcPr>
          <w:p>
            <w:r>
              <w:rPr>
                <w:rFonts w:hint="eastAsia"/>
              </w:rPr>
              <w:t>配置≥</w:t>
            </w:r>
            <w:r>
              <w:t>2</w:t>
            </w:r>
            <w:r>
              <w:rPr>
                <w:rFonts w:hint="eastAsia"/>
              </w:rPr>
              <w:t>个控制器，系统内总一级缓存容量配置≥384G</w:t>
            </w:r>
            <w:r>
              <w:t>B（不含任何性能加速模块、FlashCache</w:t>
            </w:r>
            <w:r>
              <w:rPr>
                <w:rFonts w:hint="eastAsia"/>
              </w:rPr>
              <w:t>、</w:t>
            </w:r>
            <w:r>
              <w:t>PAM卡，SSD Cache、SCM等）</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050" w:type="pct"/>
            <w:shd w:val="clear" w:color="auto" w:fill="auto"/>
            <w:vAlign w:val="center"/>
          </w:tcPr>
          <w:p>
            <w:pPr>
              <w:ind w:firstLine="0" w:firstLineChars="0"/>
            </w:pPr>
            <w:r>
              <w:rPr>
                <w:rFonts w:hint="eastAsia"/>
              </w:rPr>
              <w:t>多核处理器</w:t>
            </w:r>
          </w:p>
        </w:tc>
        <w:tc>
          <w:tcPr>
            <w:tcW w:w="3950" w:type="pct"/>
            <w:shd w:val="clear" w:color="auto" w:fill="auto"/>
            <w:vAlign w:val="center"/>
          </w:tcPr>
          <w:p>
            <w:r>
              <w:rPr>
                <w:rFonts w:hint="eastAsia"/>
              </w:rPr>
              <w:t>控制器采用多核处理器，且控制器处理器总核心数≥9</w:t>
            </w:r>
            <w:r>
              <w:t>6核</w:t>
            </w:r>
            <w:r>
              <w:rPr>
                <w:rFonts w:hint="eastAsia"/>
              </w:rPr>
              <w:t>。提供官方证明材料。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0" w:type="pct"/>
            <w:shd w:val="clear" w:color="000000" w:fill="FFFFFF"/>
            <w:vAlign w:val="center"/>
          </w:tcPr>
          <w:p>
            <w:pPr>
              <w:ind w:firstLine="0" w:firstLineChars="0"/>
            </w:pPr>
            <w:r>
              <w:rPr>
                <w:rFonts w:hint="eastAsia"/>
              </w:rPr>
              <w:t>前端主机通道接口</w:t>
            </w:r>
          </w:p>
        </w:tc>
        <w:tc>
          <w:tcPr>
            <w:tcW w:w="3950" w:type="pct"/>
            <w:shd w:val="clear" w:color="FFFFFF" w:fill="FFFFFF"/>
            <w:vAlign w:val="center"/>
          </w:tcPr>
          <w:p>
            <w:r>
              <w:rPr>
                <w:rFonts w:hint="eastAsia"/>
              </w:rPr>
              <w:t>配置≥8个</w:t>
            </w:r>
            <w:r>
              <w:t>32Gbps FC接口（含光模块），支持配置8/16/32G FC接口，10/25/40/100 GE接口。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050" w:type="pct"/>
            <w:shd w:val="clear" w:color="000000" w:fill="FFFFFF"/>
            <w:vAlign w:val="center"/>
          </w:tcPr>
          <w:p>
            <w:r>
              <w:rPr>
                <w:rFonts w:hint="eastAsia"/>
              </w:rPr>
              <w:t>配置硬盘</w:t>
            </w:r>
          </w:p>
        </w:tc>
        <w:tc>
          <w:tcPr>
            <w:tcW w:w="3950" w:type="pct"/>
            <w:shd w:val="clear" w:color="000000" w:fill="FFFFFF"/>
            <w:vAlign w:val="center"/>
          </w:tcPr>
          <w:p>
            <w:r>
              <w:rPr>
                <w:rFonts w:hint="eastAsia"/>
              </w:rPr>
              <w:t>配置≥4个</w:t>
            </w:r>
            <w:r>
              <w:t>3.84TB 企业级SSD硬盘</w:t>
            </w:r>
            <w:r>
              <w:rPr>
                <w:rFonts w:hint="eastAsia"/>
              </w:rPr>
              <w:t>，≥20个1</w:t>
            </w:r>
            <w:r>
              <w:t xml:space="preserve">0TB </w:t>
            </w:r>
            <w:r>
              <w:rPr>
                <w:rFonts w:hint="eastAsia"/>
              </w:rPr>
              <w:t>NL SAS</w:t>
            </w:r>
            <w:r>
              <w:t>硬盘。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0" w:type="pct"/>
            <w:shd w:val="clear" w:color="000000" w:fill="FFFFFF"/>
            <w:vAlign w:val="center"/>
          </w:tcPr>
          <w:p>
            <w:pPr>
              <w:ind w:firstLine="0" w:firstLineChars="0"/>
            </w:pPr>
            <w:r>
              <w:rPr>
                <w:rFonts w:hint="eastAsia"/>
              </w:rPr>
              <w:t>支持热插拔</w:t>
            </w:r>
          </w:p>
        </w:tc>
        <w:tc>
          <w:tcPr>
            <w:tcW w:w="3950" w:type="pct"/>
            <w:shd w:val="clear" w:color="000000" w:fill="FFFFFF"/>
            <w:vAlign w:val="center"/>
          </w:tcPr>
          <w:p>
            <w:r>
              <w:rPr>
                <w:rFonts w:hint="eastAsia"/>
              </w:rPr>
              <w:t>支持</w:t>
            </w:r>
            <w:r>
              <w:t>SSD盘、电源模块、接口等</w:t>
            </w:r>
            <w:r>
              <w:rPr>
                <w:rFonts w:hint="eastAsia"/>
              </w:rPr>
              <w:t>不停机热插拔。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050" w:type="pct"/>
            <w:shd w:val="clear" w:color="000000" w:fill="FFFFFF"/>
            <w:vAlign w:val="center"/>
          </w:tcPr>
          <w:p>
            <w:pPr>
              <w:ind w:firstLine="0" w:firstLineChars="0"/>
            </w:pPr>
            <w:r>
              <w:rPr>
                <w:rFonts w:hint="eastAsia"/>
              </w:rPr>
              <w:t>最大硬盘数</w:t>
            </w:r>
          </w:p>
        </w:tc>
        <w:tc>
          <w:tcPr>
            <w:tcW w:w="3950" w:type="pct"/>
            <w:shd w:val="clear" w:color="000000" w:fill="FFFFFF"/>
            <w:vAlign w:val="center"/>
          </w:tcPr>
          <w:p>
            <w:r>
              <w:rPr>
                <w:rFonts w:hint="eastAsia"/>
              </w:rPr>
              <w:t>系统最大支持磁盘插槽个数≥</w:t>
            </w:r>
            <w:r>
              <w:t>1000</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0" w:type="pct"/>
            <w:shd w:val="clear" w:color="auto" w:fill="auto"/>
            <w:vAlign w:val="center"/>
          </w:tcPr>
          <w:p>
            <w:r>
              <w:t>RAID支持</w:t>
            </w:r>
          </w:p>
        </w:tc>
        <w:tc>
          <w:tcPr>
            <w:tcW w:w="3950" w:type="pct"/>
            <w:shd w:val="clear" w:color="auto" w:fill="auto"/>
            <w:vAlign w:val="center"/>
          </w:tcPr>
          <w:p>
            <w:r>
              <w:rPr>
                <w:rFonts w:hint="eastAsia"/>
              </w:rPr>
              <w:t>支持</w:t>
            </w:r>
            <w:r>
              <w:t>RAID5、RAID6和</w:t>
            </w:r>
            <w:r>
              <w:rPr>
                <w:rFonts w:hint="eastAsia"/>
              </w:rPr>
              <w:t>容忍三盘失效技术，支持RAID组内三盘同时故障，数据不丢失，业务不中断。</w:t>
            </w:r>
            <w:r>
              <w:t>提供第三方检测报告</w:t>
            </w:r>
            <w:r>
              <w:rPr>
                <w:rFonts w:hint="eastAsia"/>
              </w:rPr>
              <w:t>证明</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050" w:type="pct"/>
            <w:shd w:val="clear" w:color="auto" w:fill="auto"/>
            <w:vAlign w:val="center"/>
          </w:tcPr>
          <w:p>
            <w:r>
              <w:rPr>
                <w:rFonts w:hint="eastAsia"/>
              </w:rPr>
              <w:t>QoS</w:t>
            </w:r>
          </w:p>
        </w:tc>
        <w:tc>
          <w:tcPr>
            <w:tcW w:w="3950" w:type="pct"/>
            <w:shd w:val="clear" w:color="auto" w:fill="auto"/>
            <w:vAlign w:val="center"/>
          </w:tcPr>
          <w:p>
            <w:r>
              <w:rPr>
                <w:rFonts w:hint="eastAsia"/>
              </w:rPr>
              <w:t>支持按照</w:t>
            </w:r>
            <w:r>
              <w:t>LUN、LUN组和主机的方式进行流量控制。</w:t>
            </w:r>
            <w:r>
              <w:rPr>
                <w:rFonts w:hint="eastAsia"/>
              </w:rPr>
              <w:t>提供上限控制和下限保障两种</w:t>
            </w:r>
            <w:r>
              <w:t>QoS策略，分别都支持从IOPS和带宽两个维度进行配置。同时上限控制策略支持burst配置，下限保障策略支持时延配置。</w:t>
            </w:r>
            <w:r>
              <w:rPr>
                <w:rFonts w:hint="eastAsia"/>
              </w:rPr>
              <w:t>提供第三方检测报告证明。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0" w:type="pct"/>
            <w:shd w:val="clear" w:color="auto" w:fill="auto"/>
            <w:vAlign w:val="center"/>
          </w:tcPr>
          <w:p>
            <w:r>
              <w:rPr>
                <w:rFonts w:hint="eastAsia"/>
              </w:rPr>
              <w:t>快照</w:t>
            </w:r>
          </w:p>
        </w:tc>
        <w:tc>
          <w:tcPr>
            <w:tcW w:w="3950" w:type="pct"/>
            <w:shd w:val="clear" w:color="000000" w:fill="FFFFFF"/>
            <w:vAlign w:val="center"/>
          </w:tcPr>
          <w:p>
            <w:r>
              <w:rPr>
                <w:rFonts w:hint="eastAsia"/>
              </w:rPr>
              <w:t>配置快照功能。支持</w:t>
            </w:r>
            <w:r>
              <w:t>无损快照模式，系统≥200万个</w:t>
            </w:r>
            <w:r>
              <w:rPr>
                <w:rFonts w:hint="eastAsia"/>
              </w:rPr>
              <w:t>CDP</w:t>
            </w:r>
            <w:r>
              <w:t>快照</w:t>
            </w:r>
            <w:r>
              <w:rPr>
                <w:rFonts w:hint="eastAsia"/>
              </w:rPr>
              <w:t>，</w:t>
            </w:r>
            <w:r>
              <w:t>每3秒做一次快照备份，</w:t>
            </w:r>
            <w:r>
              <w:rPr>
                <w:rFonts w:hint="eastAsia"/>
              </w:rPr>
              <w:t>支持</w:t>
            </w:r>
            <w:r>
              <w:t>可视化管理界面，恢复任意时间点快照，其他时间点快照不丢失</w:t>
            </w:r>
            <w:r>
              <w:rPr>
                <w:rFonts w:hint="eastAsia"/>
              </w:rPr>
              <w:t>；</w:t>
            </w:r>
            <w:r>
              <w:t>提供无损快照功能，系统性能不因快照数量增加而下降，同时开启快照功能时阵列时延能够稳定在＜1ms</w:t>
            </w:r>
            <w:r>
              <w:rPr>
                <w:rFonts w:hint="eastAsia"/>
              </w:rPr>
              <w:t>；提供第三方检测报告证明。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050" w:type="pct"/>
            <w:shd w:val="clear" w:color="auto" w:fill="auto"/>
            <w:vAlign w:val="center"/>
          </w:tcPr>
          <w:p>
            <w:r>
              <w:rPr>
                <w:rFonts w:hint="eastAsia"/>
              </w:rPr>
              <w:t>克隆</w:t>
            </w:r>
          </w:p>
        </w:tc>
        <w:tc>
          <w:tcPr>
            <w:tcW w:w="3950" w:type="pct"/>
            <w:shd w:val="clear" w:color="000000" w:fill="FFFFFF"/>
            <w:vAlign w:val="center"/>
          </w:tcPr>
          <w:p>
            <w:r>
              <w:rPr>
                <w:rFonts w:hint="eastAsia"/>
              </w:rPr>
              <w:t>配置克隆功能，可为快照和源</w:t>
            </w:r>
            <w:r>
              <w:t>LUN</w:t>
            </w:r>
            <w:r>
              <w:rPr>
                <w:rFonts w:hint="eastAsia"/>
              </w:rPr>
              <w:t>提供一个实体副本；支持克隆立即可用、克隆一致性组、级联克隆、正向和反向同步；分裂后支持实体副本。</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0" w:type="pct"/>
            <w:shd w:val="clear" w:color="auto" w:fill="auto"/>
            <w:vAlign w:val="center"/>
          </w:tcPr>
          <w:p>
            <w:r>
              <w:rPr>
                <w:rFonts w:hint="eastAsia"/>
              </w:rPr>
              <w:t>远程复制</w:t>
            </w:r>
          </w:p>
        </w:tc>
        <w:tc>
          <w:tcPr>
            <w:tcW w:w="3950" w:type="pct"/>
            <w:shd w:val="clear" w:color="auto" w:fill="auto"/>
            <w:vAlign w:val="center"/>
          </w:tcPr>
          <w:p>
            <w:r>
              <w:rPr>
                <w:rFonts w:hint="eastAsia"/>
              </w:rPr>
              <w:t>配置数据复制功能，支持同步和异步远程复制功能，支持把主中心数据复制到另一个数据中心，</w:t>
            </w:r>
            <w:r>
              <w:t>支持FC和IP两种链路复制</w:t>
            </w:r>
            <w:r>
              <w:rPr>
                <w:rFonts w:hint="eastAsia"/>
              </w:rPr>
              <w:t>，支持</w:t>
            </w:r>
            <w:r>
              <w:t>自定义远程数据异步传输时间间隔，最小支持3S</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050" w:type="pct"/>
            <w:shd w:val="clear" w:color="auto" w:fill="auto"/>
            <w:vAlign w:val="center"/>
          </w:tcPr>
          <w:p>
            <w:pPr>
              <w:ind w:firstLine="0" w:firstLineChars="0"/>
            </w:pPr>
            <w:r>
              <w:rPr>
                <w:rFonts w:hint="eastAsia"/>
              </w:rPr>
              <w:t>免网关双活▲</w:t>
            </w:r>
          </w:p>
        </w:tc>
        <w:tc>
          <w:tcPr>
            <w:tcW w:w="3950" w:type="pct"/>
            <w:shd w:val="clear" w:color="auto" w:fill="auto"/>
            <w:vAlign w:val="center"/>
          </w:tcPr>
          <w:p>
            <w:r>
              <w:rPr>
                <w:rFonts w:hint="eastAsia"/>
              </w:rPr>
              <w:t>配置本地高可靠的双活功能，提供A-A免网关双活架构，实现两套核心存储数据双活（主机能够并发读写同一双活卷），任何一套设备宕机均不影响上层业务系统运行；双活引擎采用集群冗余架构，双活引擎数据传送采用FC协议；一个站点发生故障后，另一个站点可自动快速拉起业务（秒级）；一个站点故障恢复后，双活关系可自动恢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0" w:type="pct"/>
            <w:shd w:val="clear" w:color="auto" w:fill="auto"/>
            <w:vAlign w:val="center"/>
          </w:tcPr>
          <w:p>
            <w:r>
              <w:rPr>
                <w:rFonts w:hint="eastAsia"/>
              </w:rPr>
              <w:t>配额</w:t>
            </w:r>
          </w:p>
        </w:tc>
        <w:tc>
          <w:tcPr>
            <w:tcW w:w="3950" w:type="pct"/>
            <w:shd w:val="clear" w:color="auto" w:fill="auto"/>
            <w:vAlign w:val="center"/>
          </w:tcPr>
          <w:p>
            <w:r>
              <w:rPr>
                <w:rFonts w:hint="eastAsia"/>
              </w:rPr>
              <w:t>支持针对目录、用户、用户组这三类对象进行配额限制，配额选项支持空间软配额、空间硬配额、文件数软配额、文件数硬配额。提供第三方检测报告证明。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050" w:type="pct"/>
            <w:shd w:val="clear" w:color="auto" w:fill="auto"/>
            <w:vAlign w:val="center"/>
          </w:tcPr>
          <w:p>
            <w:r>
              <w:t>DIF校验</w:t>
            </w:r>
          </w:p>
        </w:tc>
        <w:tc>
          <w:tcPr>
            <w:tcW w:w="3950" w:type="pct"/>
            <w:shd w:val="clear" w:color="auto" w:fill="auto"/>
            <w:vAlign w:val="center"/>
          </w:tcPr>
          <w:p>
            <w:r>
              <w:rPr>
                <w:rFonts w:hint="eastAsia"/>
              </w:rPr>
              <w:t>支持端到端的</w:t>
            </w:r>
            <w:r>
              <w:t>DIF + T10 PI，防止静默数据错误。</w:t>
            </w:r>
            <w:r>
              <w:rPr>
                <w:rFonts w:hint="eastAsia"/>
              </w:rPr>
              <w:t>提供第三方检测报告证明。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0" w:type="pct"/>
            <w:shd w:val="clear" w:color="auto" w:fill="auto"/>
            <w:vAlign w:val="center"/>
          </w:tcPr>
          <w:p>
            <w:pPr>
              <w:ind w:firstLine="0" w:firstLineChars="0"/>
            </w:pPr>
            <w:r>
              <w:rPr>
                <w:rFonts w:hint="eastAsia"/>
              </w:rPr>
              <w:t>无中断在线升级▲</w:t>
            </w:r>
          </w:p>
        </w:tc>
        <w:tc>
          <w:tcPr>
            <w:tcW w:w="3950" w:type="pct"/>
            <w:shd w:val="clear" w:color="auto" w:fill="auto"/>
            <w:vAlign w:val="center"/>
          </w:tcPr>
          <w:p>
            <w:r>
              <w:rPr>
                <w:rFonts w:hint="eastAsia"/>
              </w:rPr>
              <w:t>存储系统需支持单链路场景下无中断系统软件在线升级和回退。在版本升级和回退的过程中无需重启控制器，业务链路无中断，客户端无感知，升级时长小于</w:t>
            </w:r>
            <w:r>
              <w:t>10分钟</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050" w:type="pct"/>
            <w:shd w:val="clear" w:color="auto" w:fill="auto"/>
            <w:vAlign w:val="center"/>
          </w:tcPr>
          <w:p>
            <w:pPr>
              <w:ind w:firstLine="0" w:firstLineChars="0"/>
            </w:pPr>
            <w:r>
              <w:rPr>
                <w:rFonts w:hint="eastAsia"/>
              </w:rPr>
              <w:t>存储专用多路径软件▲</w:t>
            </w:r>
          </w:p>
        </w:tc>
        <w:tc>
          <w:tcPr>
            <w:tcW w:w="3950" w:type="pct"/>
            <w:shd w:val="clear" w:color="auto" w:fill="auto"/>
            <w:vAlign w:val="center"/>
          </w:tcPr>
          <w:p>
            <w:r>
              <w:rPr>
                <w:rFonts w:hint="eastAsia"/>
              </w:rPr>
              <w:t>存储厂商提供自研专有多路径（非操作系统自带多路径）软件，提供故障切换和负载均衡功能，支持</w:t>
            </w:r>
            <w:r>
              <w:t>Windows\Linux\AIX\Solaris。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0" w:type="pct"/>
            <w:shd w:val="clear" w:color="auto" w:fill="auto"/>
            <w:vAlign w:val="center"/>
          </w:tcPr>
          <w:p>
            <w:pPr>
              <w:ind w:firstLine="0" w:firstLineChars="0"/>
            </w:pPr>
            <w:r>
              <w:rPr>
                <w:rFonts w:hint="eastAsia"/>
              </w:rPr>
              <w:t>智能管理运维</w:t>
            </w:r>
          </w:p>
        </w:tc>
        <w:tc>
          <w:tcPr>
            <w:tcW w:w="3950" w:type="pct"/>
            <w:shd w:val="clear" w:color="auto" w:fill="auto"/>
            <w:vAlign w:val="center"/>
          </w:tcPr>
          <w:p>
            <w:r>
              <w:rPr>
                <w:rFonts w:hint="eastAsia"/>
              </w:rPr>
              <w:t>具有功能全面，图形化的管理软件，包括：盘阵，卷管理软件。配置存储的图形化管理配置和监控软件。支持提前</w:t>
            </w:r>
            <w:r>
              <w:t>365天容量预测</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050" w:type="pct"/>
            <w:shd w:val="clear" w:color="auto" w:fill="auto"/>
            <w:vAlign w:val="center"/>
          </w:tcPr>
          <w:p>
            <w:r>
              <w:rPr>
                <w:rFonts w:hint="eastAsia"/>
              </w:rPr>
              <w:t>质保</w:t>
            </w:r>
          </w:p>
        </w:tc>
        <w:tc>
          <w:tcPr>
            <w:tcW w:w="3950" w:type="pct"/>
            <w:shd w:val="clear" w:color="auto" w:fill="auto"/>
            <w:vAlign w:val="center"/>
          </w:tcPr>
          <w:p>
            <w:r>
              <w:rPr>
                <w:rFonts w:hint="eastAsia"/>
              </w:rPr>
              <w:t>原厂5年质保</w:t>
            </w:r>
          </w:p>
        </w:tc>
      </w:tr>
    </w:tbl>
    <w:p/>
    <w:p>
      <w:pPr>
        <w:pStyle w:val="2"/>
      </w:pPr>
      <w:r>
        <w:rPr>
          <w:rFonts w:hint="eastAsia"/>
        </w:rPr>
        <w:t>其他工作要求</w:t>
      </w:r>
      <w:bookmarkEnd w:id="17"/>
      <w:bookmarkStart w:id="18" w:name="_Toc62209488"/>
      <w:bookmarkEnd w:id="18"/>
      <w:bookmarkStart w:id="19" w:name="_Toc61968111"/>
      <w:bookmarkEnd w:id="19"/>
      <w:bookmarkStart w:id="20" w:name="_Toc63762370"/>
      <w:bookmarkEnd w:id="20"/>
      <w:bookmarkStart w:id="21" w:name="_Toc63785504"/>
      <w:bookmarkEnd w:id="21"/>
      <w:bookmarkStart w:id="22" w:name="_Toc63785439"/>
      <w:bookmarkEnd w:id="22"/>
      <w:bookmarkStart w:id="23" w:name="_Toc62219358"/>
      <w:bookmarkEnd w:id="23"/>
      <w:bookmarkStart w:id="24" w:name="_Toc63151871"/>
      <w:bookmarkEnd w:id="24"/>
      <w:bookmarkStart w:id="25" w:name="_Toc63585480"/>
      <w:bookmarkEnd w:id="25"/>
      <w:bookmarkStart w:id="26" w:name="_Toc63785505"/>
    </w:p>
    <w:p>
      <w:pPr>
        <w:pStyle w:val="3"/>
      </w:pPr>
      <w:r>
        <w:rPr>
          <w:rFonts w:hint="eastAsia"/>
        </w:rPr>
        <w:t>售后服务要求</w:t>
      </w:r>
      <w:bookmarkEnd w:id="26"/>
    </w:p>
    <w:p>
      <w:pPr>
        <w:pStyle w:val="12"/>
      </w:pPr>
      <w:r>
        <w:rPr>
          <w:rFonts w:hint="eastAsia"/>
        </w:rPr>
        <w:t>本项目整体系统从系统验收通过之日起1年内提供</w:t>
      </w:r>
      <w:r>
        <w:t>7*24小时免费技术支持</w:t>
      </w:r>
      <w:r>
        <w:rPr>
          <w:rFonts w:hint="eastAsia"/>
        </w:rPr>
        <w:t>和售后服务，硬件部分提供原厂5年质保。</w:t>
      </w:r>
    </w:p>
    <w:p>
      <w:pPr>
        <w:pStyle w:val="12"/>
      </w:pPr>
      <w:r>
        <w:rPr>
          <w:rFonts w:hint="eastAsia"/>
        </w:rPr>
        <w:t>在质量保证期内，供应商将按照售后服务的承诺提供保修和运行维护服务，如果厂商对信息系统中软、硬件设备等产品中的部分保修期超过上述期限的，则按照厂商的规定进行免费保修。</w:t>
      </w:r>
    </w:p>
    <w:p>
      <w:pPr>
        <w:pStyle w:val="12"/>
      </w:pPr>
      <w:r>
        <w:rPr>
          <w:rFonts w:hint="eastAsia"/>
        </w:rPr>
        <w:t>在质量保证期内，供应商负责信息系统的运行维护工作，确保信息系统安全、稳定、可靠地运行。本项目涉及的运行维护工作范围为：</w:t>
      </w:r>
    </w:p>
    <w:p>
      <w:pPr>
        <w:pStyle w:val="12"/>
      </w:pPr>
    </w:p>
    <w:p>
      <w:pPr>
        <w:pStyle w:val="3"/>
      </w:pPr>
      <w:bookmarkStart w:id="27" w:name="_Toc63785506"/>
      <w:r>
        <w:rPr>
          <w:rFonts w:hint="eastAsia"/>
        </w:rPr>
        <w:t>应急响应要求</w:t>
      </w:r>
      <w:bookmarkEnd w:id="27"/>
    </w:p>
    <w:p>
      <w:pPr>
        <w:pStyle w:val="12"/>
      </w:pPr>
      <w:r>
        <w:rPr>
          <w:rFonts w:hint="eastAsia"/>
        </w:rPr>
        <w:t>供应商对系统故障应能够实时响应，若系统发生故障，接到通知后</w:t>
      </w:r>
      <w:r>
        <w:t>30分钟之内响应，专业工程师2小时内到达现场</w:t>
      </w:r>
      <w:r>
        <w:rPr>
          <w:rFonts w:hint="eastAsia"/>
        </w:rPr>
        <w:t>。特殊故障与客户沟通协商后，按照协商的方式制定解决方案并进行处理。</w:t>
      </w:r>
    </w:p>
    <w:p>
      <w:pPr>
        <w:pStyle w:val="12"/>
      </w:pPr>
      <w:r>
        <w:rPr>
          <w:rFonts w:hint="eastAsia"/>
        </w:rPr>
        <w:t>具体故障级别及对应的应急响应要求如下：</w:t>
      </w:r>
    </w:p>
    <w:p>
      <w:pPr>
        <w:pStyle w:val="12"/>
        <w:numPr>
          <w:ilvl w:val="0"/>
          <w:numId w:val="5"/>
        </w:numPr>
        <w:ind w:firstLineChars="0"/>
      </w:pPr>
      <w:r>
        <w:rPr>
          <w:rFonts w:hint="eastAsia"/>
        </w:rPr>
        <w:t>一级故障：在</w:t>
      </w:r>
      <w:r>
        <w:t>1小时内确诊，总故障解决时间不超过4小时。</w:t>
      </w:r>
    </w:p>
    <w:p>
      <w:pPr>
        <w:pStyle w:val="12"/>
        <w:numPr>
          <w:ilvl w:val="0"/>
          <w:numId w:val="5"/>
        </w:numPr>
        <w:ind w:firstLineChars="0"/>
      </w:pPr>
      <w:r>
        <w:rPr>
          <w:rFonts w:hint="eastAsia"/>
        </w:rPr>
        <w:t>二级故障：在</w:t>
      </w:r>
      <w:r>
        <w:t>2小时内确诊，并在4小时内由专家到达现场确诊并解决，总故障解决时间不超过8小时；</w:t>
      </w:r>
    </w:p>
    <w:p>
      <w:pPr>
        <w:pStyle w:val="12"/>
        <w:numPr>
          <w:ilvl w:val="0"/>
          <w:numId w:val="5"/>
        </w:numPr>
        <w:ind w:firstLineChars="0"/>
      </w:pPr>
      <w:r>
        <w:rPr>
          <w:rFonts w:hint="eastAsia"/>
        </w:rPr>
        <w:t>三、四级故障：在</w:t>
      </w:r>
      <w:r>
        <w:t>4小时内确诊故障，总故障解决时间不超过16小时。</w:t>
      </w:r>
    </w:p>
    <w:p>
      <w:pPr>
        <w:pStyle w:val="3"/>
      </w:pPr>
      <w:bookmarkStart w:id="28" w:name="_Toc63785507"/>
      <w:r>
        <w:rPr>
          <w:rFonts w:hint="eastAsia"/>
        </w:rPr>
        <w:t>培训要求</w:t>
      </w:r>
      <w:bookmarkEnd w:id="28"/>
    </w:p>
    <w:p>
      <w:r>
        <w:rPr>
          <w:rFonts w:hint="eastAsia"/>
        </w:rPr>
        <w:t>对系统使用单位提供业务操作培训，应提供详细培训方案。</w:t>
      </w:r>
    </w:p>
    <w:p>
      <w:pPr>
        <w:pStyle w:val="15"/>
        <w:numPr>
          <w:ilvl w:val="0"/>
          <w:numId w:val="6"/>
        </w:num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w:t>
      </w:r>
      <w:r>
        <w:rPr>
          <w:rFonts w:asciiTheme="minorEastAsia" w:hAnsiTheme="minorEastAsia" w:eastAsiaTheme="minorEastAsia" w:cstheme="minorEastAsia"/>
          <w:sz w:val="24"/>
          <w:szCs w:val="24"/>
        </w:rPr>
        <w:t>12个月的质量保证期内，提供2次与项目相关的必要培训。</w:t>
      </w:r>
    </w:p>
    <w:p>
      <w:pPr>
        <w:pStyle w:val="15"/>
        <w:numPr>
          <w:ilvl w:val="0"/>
          <w:numId w:val="6"/>
        </w:num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供应商需要开展分层次的人员培训工作，每次培训后应对参加培训人员进行测试，评估培训成果。培训应具有培训教材、培训环境和高水平的培训讲师。</w:t>
      </w:r>
    </w:p>
    <w:p>
      <w:pPr>
        <w:pStyle w:val="15"/>
        <w:numPr>
          <w:ilvl w:val="0"/>
          <w:numId w:val="6"/>
        </w:num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供应商应提供一般用户的基础操作培训和部门信息管理员的日常应用维护的培训，确保用户对象能够掌握对应的操作技能。</w:t>
      </w:r>
    </w:p>
    <w:p>
      <w:pPr>
        <w:pStyle w:val="3"/>
      </w:pPr>
      <w:bookmarkStart w:id="29" w:name="_Toc63785509"/>
      <w:r>
        <w:rPr>
          <w:rFonts w:hint="eastAsia"/>
        </w:rPr>
        <w:t>进度要求</w:t>
      </w:r>
      <w:bookmarkEnd w:id="29"/>
    </w:p>
    <w:p>
      <w:r>
        <w:rPr>
          <w:rFonts w:hint="eastAsia"/>
        </w:rPr>
        <w:t>投标人应根据建设内容，分阶段制定合理的时间进度，并且应根据招标方要求进行调整和细化。</w:t>
      </w:r>
    </w:p>
    <w:p>
      <w:r>
        <w:rPr>
          <w:rFonts w:hint="eastAsia"/>
        </w:rPr>
        <w:t>总建设周期为3个月，分为二个阶段。</w:t>
      </w:r>
    </w:p>
    <w:p>
      <w:r>
        <w:rPr>
          <w:rFonts w:hint="eastAsia"/>
        </w:rPr>
        <w:t>第一阶段为1个月，完成到货验收。</w:t>
      </w:r>
    </w:p>
    <w:p>
      <w:r>
        <w:rPr>
          <w:rFonts w:hint="eastAsia"/>
        </w:rPr>
        <w:t>第二阶段为2个月，完成项目验收。</w:t>
      </w:r>
    </w:p>
    <w:p>
      <w:pPr>
        <w:pStyle w:val="3"/>
      </w:pPr>
      <w:bookmarkStart w:id="30" w:name="_Toc63785510"/>
      <w:r>
        <w:rPr>
          <w:rFonts w:hint="eastAsia"/>
        </w:rPr>
        <w:t>项目团队及驻场人员要求</w:t>
      </w:r>
      <w:bookmarkEnd w:id="30"/>
    </w:p>
    <w:p>
      <w:pPr>
        <w:pStyle w:val="15"/>
        <w:numPr>
          <w:ilvl w:val="0"/>
          <w:numId w:val="7"/>
        </w:num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投标人须具有稳定的在职技术保障力量，能够提供及时的技术支援或服务，应针对本项目提供不少于</w:t>
      </w:r>
      <w:r>
        <w:rPr>
          <w:rFonts w:asciiTheme="minorEastAsia" w:hAnsiTheme="minorEastAsia" w:eastAsiaTheme="minorEastAsia" w:cstheme="minorEastAsia"/>
          <w:sz w:val="24"/>
          <w:szCs w:val="24"/>
        </w:rPr>
        <w:t>4人的项目服务团队</w:t>
      </w:r>
      <w:r>
        <w:rPr>
          <w:rFonts w:hint="eastAsia" w:asciiTheme="minorEastAsia" w:hAnsiTheme="minorEastAsia" w:eastAsiaTheme="minorEastAsia" w:cstheme="minorEastAsia"/>
          <w:sz w:val="24"/>
          <w:szCs w:val="24"/>
        </w:rPr>
        <w:t>（包括项目经理、产品经理、技术负责人、研发等），投标单位的相关服务人员需具备相应的服务能力，需提供相关证明。</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8"/>
        <w:gridCol w:w="2471"/>
        <w:gridCol w:w="1200"/>
        <w:gridCol w:w="2373"/>
        <w:gridCol w:w="1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08" w:type="dxa"/>
            <w:shd w:val="clear" w:color="auto" w:fill="auto"/>
            <w:noWrap/>
            <w:vAlign w:val="center"/>
          </w:tcPr>
          <w:p>
            <w:r>
              <w:rPr>
                <w:rFonts w:hint="eastAsia"/>
              </w:rPr>
              <w:t>角色</w:t>
            </w:r>
          </w:p>
        </w:tc>
        <w:tc>
          <w:tcPr>
            <w:tcW w:w="2471" w:type="dxa"/>
            <w:shd w:val="clear" w:color="auto" w:fill="auto"/>
            <w:noWrap/>
            <w:vAlign w:val="center"/>
          </w:tcPr>
          <w:p>
            <w:r>
              <w:rPr>
                <w:rFonts w:hint="eastAsia"/>
              </w:rPr>
              <w:t>主要职责</w:t>
            </w:r>
          </w:p>
        </w:tc>
        <w:tc>
          <w:tcPr>
            <w:tcW w:w="1200" w:type="dxa"/>
            <w:shd w:val="clear" w:color="auto" w:fill="auto"/>
            <w:noWrap/>
            <w:vAlign w:val="center"/>
          </w:tcPr>
          <w:p>
            <w:pPr>
              <w:ind w:firstLine="0" w:firstLineChars="0"/>
            </w:pPr>
            <w:r>
              <w:rPr>
                <w:rFonts w:hint="eastAsia"/>
              </w:rPr>
              <w:t>人员数量</w:t>
            </w:r>
          </w:p>
        </w:tc>
        <w:tc>
          <w:tcPr>
            <w:tcW w:w="2373" w:type="dxa"/>
            <w:vAlign w:val="center"/>
          </w:tcPr>
          <w:p>
            <w:r>
              <w:rPr>
                <w:rFonts w:hint="eastAsia"/>
              </w:rPr>
              <w:t>人员要求</w:t>
            </w:r>
          </w:p>
        </w:tc>
        <w:tc>
          <w:tcPr>
            <w:tcW w:w="1176" w:type="dxa"/>
            <w:shd w:val="clear" w:color="auto" w:fill="auto"/>
            <w:noWrap/>
            <w:vAlign w:val="center"/>
          </w:tcPr>
          <w:p>
            <w:pPr>
              <w:ind w:firstLine="0" w:firstLineChars="0"/>
            </w:pPr>
            <w:r>
              <w:rPr>
                <w:rFonts w:hint="eastAsia"/>
              </w:rPr>
              <w:t>驻场要求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08" w:type="dxa"/>
            <w:shd w:val="clear" w:color="auto" w:fill="auto"/>
            <w:noWrap/>
            <w:vAlign w:val="center"/>
          </w:tcPr>
          <w:p>
            <w:r>
              <w:rPr>
                <w:rFonts w:hint="eastAsia"/>
              </w:rPr>
              <w:t>项目经理</w:t>
            </w:r>
          </w:p>
        </w:tc>
        <w:tc>
          <w:tcPr>
            <w:tcW w:w="2471" w:type="dxa"/>
            <w:shd w:val="clear" w:color="auto" w:fill="auto"/>
            <w:vAlign w:val="center"/>
          </w:tcPr>
          <w:p>
            <w:r>
              <w:rPr>
                <w:rFonts w:hint="eastAsia"/>
              </w:rPr>
              <w:t>负责项目质量和进度控制</w:t>
            </w:r>
          </w:p>
        </w:tc>
        <w:tc>
          <w:tcPr>
            <w:tcW w:w="1200" w:type="dxa"/>
            <w:shd w:val="clear" w:color="auto" w:fill="auto"/>
            <w:noWrap/>
            <w:vAlign w:val="center"/>
          </w:tcPr>
          <w:p>
            <w:r>
              <w:rPr>
                <w:rFonts w:hint="eastAsia"/>
              </w:rPr>
              <w:t>1人</w:t>
            </w:r>
          </w:p>
        </w:tc>
        <w:tc>
          <w:tcPr>
            <w:tcW w:w="2373" w:type="dxa"/>
            <w:vAlign w:val="center"/>
          </w:tcPr>
          <w:p>
            <w:pPr>
              <w:ind w:firstLine="0" w:firstLineChars="0"/>
            </w:pPr>
            <w:r>
              <w:rPr>
                <w:rFonts w:hint="eastAsia"/>
              </w:rPr>
              <w:t>本科以上学历，5年以上工作经历</w:t>
            </w:r>
          </w:p>
        </w:tc>
        <w:tc>
          <w:tcPr>
            <w:tcW w:w="1176" w:type="dxa"/>
            <w:shd w:val="clear" w:color="auto" w:fill="auto"/>
            <w:noWrap/>
            <w:vAlign w:val="center"/>
          </w:tcPr>
          <w:p>
            <w:pPr>
              <w:ind w:firstLine="0" w:firstLineChars="0"/>
            </w:pPr>
            <w:r>
              <w:rPr>
                <w:rFonts w:hint="eastAsia"/>
              </w:rPr>
              <w:t>不驻场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08" w:type="dxa"/>
            <w:shd w:val="clear" w:color="auto" w:fill="auto"/>
            <w:noWrap/>
            <w:vAlign w:val="center"/>
          </w:tcPr>
          <w:p>
            <w:pPr>
              <w:ind w:firstLine="0" w:firstLineChars="0"/>
            </w:pPr>
            <w:r>
              <w:rPr>
                <w:rFonts w:hint="eastAsia" w:asciiTheme="minorEastAsia" w:hAnsiTheme="minorEastAsia" w:eastAsiaTheme="minorEastAsia" w:cstheme="minorEastAsia"/>
              </w:rPr>
              <w:t>实施工程师</w:t>
            </w:r>
          </w:p>
        </w:tc>
        <w:tc>
          <w:tcPr>
            <w:tcW w:w="2471" w:type="dxa"/>
            <w:shd w:val="clear" w:color="auto" w:fill="auto"/>
            <w:noWrap/>
            <w:vAlign w:val="center"/>
          </w:tcPr>
          <w:p>
            <w:pPr>
              <w:ind w:firstLine="0" w:firstLineChars="0"/>
            </w:pPr>
            <w:r>
              <w:rPr>
                <w:rFonts w:hint="eastAsia"/>
              </w:rPr>
              <w:t>负责项目运行维护</w:t>
            </w:r>
          </w:p>
        </w:tc>
        <w:tc>
          <w:tcPr>
            <w:tcW w:w="1200" w:type="dxa"/>
            <w:shd w:val="clear" w:color="auto" w:fill="auto"/>
            <w:noWrap/>
            <w:vAlign w:val="center"/>
          </w:tcPr>
          <w:p>
            <w:r>
              <w:rPr>
                <w:rFonts w:hint="eastAsia"/>
              </w:rPr>
              <w:t>3人</w:t>
            </w:r>
          </w:p>
        </w:tc>
        <w:tc>
          <w:tcPr>
            <w:tcW w:w="2373" w:type="dxa"/>
            <w:vAlign w:val="center"/>
          </w:tcPr>
          <w:p>
            <w:r>
              <w:rPr>
                <w:rFonts w:hint="eastAsia"/>
              </w:rPr>
              <w:t>专科以上学历，5年以上工作经历</w:t>
            </w:r>
          </w:p>
        </w:tc>
        <w:tc>
          <w:tcPr>
            <w:tcW w:w="1176" w:type="dxa"/>
            <w:shd w:val="clear" w:color="auto" w:fill="auto"/>
            <w:noWrap/>
            <w:vAlign w:val="center"/>
          </w:tcPr>
          <w:p>
            <w:pPr>
              <w:ind w:firstLine="0" w:firstLineChars="0"/>
            </w:pPr>
            <w:r>
              <w:rPr>
                <w:rFonts w:hint="eastAsia"/>
              </w:rPr>
              <w:t>不驻场</w:t>
            </w:r>
          </w:p>
        </w:tc>
      </w:tr>
    </w:tbl>
    <w:p>
      <w:pPr>
        <w:pStyle w:val="15"/>
        <w:numPr>
          <w:ilvl w:val="255"/>
          <w:numId w:val="0"/>
        </w:numPr>
        <w:rPr>
          <w:rFonts w:asciiTheme="minorEastAsia" w:hAnsiTheme="minorEastAsia" w:eastAsiaTheme="minorEastAsia" w:cstheme="minorEastAsia"/>
          <w:sz w:val="24"/>
          <w:szCs w:val="24"/>
        </w:rPr>
      </w:pPr>
    </w:p>
    <w:p>
      <w:pPr>
        <w:pStyle w:val="15"/>
        <w:numPr>
          <w:ilvl w:val="0"/>
          <w:numId w:val="7"/>
        </w:num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投标人应针对本项目提供不少于</w:t>
      </w:r>
      <w:r>
        <w:rPr>
          <w:rFonts w:asciiTheme="minorEastAsia" w:hAnsiTheme="minorEastAsia" w:eastAsiaTheme="minorEastAsia" w:cstheme="minorEastAsia"/>
          <w:sz w:val="24"/>
          <w:szCs w:val="24"/>
        </w:rPr>
        <w:t>2人的质</w:t>
      </w:r>
      <w:r>
        <w:rPr>
          <w:rFonts w:hint="eastAsia" w:asciiTheme="minorEastAsia" w:hAnsiTheme="minorEastAsia" w:eastAsiaTheme="minorEastAsia" w:cstheme="minorEastAsia"/>
          <w:sz w:val="24"/>
          <w:szCs w:val="24"/>
        </w:rPr>
        <w:t>保期间支撑团队（其中项目经理</w:t>
      </w:r>
      <w:r>
        <w:rPr>
          <w:rFonts w:asciiTheme="minorEastAsia" w:hAnsiTheme="minorEastAsia" w:eastAsiaTheme="minorEastAsia" w:cstheme="minorEastAsia"/>
          <w:sz w:val="24"/>
          <w:szCs w:val="24"/>
        </w:rPr>
        <w:t>1人，技术工程师不少于1人）；投标人的相关服务人员需具备相应的服务能力，需提供相关证明（最近一个季度依法缴纳社保费的证</w:t>
      </w:r>
      <w:r>
        <w:rPr>
          <w:rFonts w:hint="eastAsia" w:asciiTheme="minorEastAsia" w:hAnsiTheme="minorEastAsia" w:eastAsiaTheme="minorEastAsia" w:cstheme="minorEastAsia"/>
          <w:sz w:val="24"/>
          <w:szCs w:val="24"/>
        </w:rPr>
        <w:t>明）。</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8"/>
        <w:gridCol w:w="2471"/>
        <w:gridCol w:w="1200"/>
        <w:gridCol w:w="2373"/>
        <w:gridCol w:w="1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08" w:type="dxa"/>
            <w:shd w:val="clear" w:color="auto" w:fill="auto"/>
            <w:noWrap/>
            <w:vAlign w:val="center"/>
          </w:tcPr>
          <w:p>
            <w:r>
              <w:rPr>
                <w:rFonts w:hint="eastAsia"/>
              </w:rPr>
              <w:t>角色</w:t>
            </w:r>
          </w:p>
        </w:tc>
        <w:tc>
          <w:tcPr>
            <w:tcW w:w="2471" w:type="dxa"/>
            <w:shd w:val="clear" w:color="auto" w:fill="auto"/>
            <w:noWrap/>
            <w:vAlign w:val="center"/>
          </w:tcPr>
          <w:p>
            <w:r>
              <w:rPr>
                <w:rFonts w:hint="eastAsia"/>
              </w:rPr>
              <w:t>主要职责</w:t>
            </w:r>
          </w:p>
        </w:tc>
        <w:tc>
          <w:tcPr>
            <w:tcW w:w="1200" w:type="dxa"/>
            <w:shd w:val="clear" w:color="auto" w:fill="auto"/>
            <w:noWrap/>
            <w:vAlign w:val="center"/>
          </w:tcPr>
          <w:p>
            <w:pPr>
              <w:ind w:firstLine="0" w:firstLineChars="0"/>
            </w:pPr>
            <w:r>
              <w:rPr>
                <w:rFonts w:hint="eastAsia"/>
              </w:rPr>
              <w:t>人员数量</w:t>
            </w:r>
          </w:p>
        </w:tc>
        <w:tc>
          <w:tcPr>
            <w:tcW w:w="2373" w:type="dxa"/>
            <w:vAlign w:val="center"/>
          </w:tcPr>
          <w:p>
            <w:r>
              <w:rPr>
                <w:rFonts w:hint="eastAsia"/>
              </w:rPr>
              <w:t>人员要求</w:t>
            </w:r>
          </w:p>
        </w:tc>
        <w:tc>
          <w:tcPr>
            <w:tcW w:w="1176" w:type="dxa"/>
            <w:shd w:val="clear" w:color="auto" w:fill="auto"/>
            <w:noWrap/>
            <w:vAlign w:val="center"/>
          </w:tcPr>
          <w:p>
            <w:pPr>
              <w:ind w:firstLine="0" w:firstLineChars="0"/>
            </w:pPr>
            <w:r>
              <w:rPr>
                <w:rFonts w:hint="eastAsia"/>
              </w:rPr>
              <w:t>驻场要求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08" w:type="dxa"/>
            <w:shd w:val="clear" w:color="auto" w:fill="auto"/>
            <w:noWrap/>
            <w:vAlign w:val="center"/>
          </w:tcPr>
          <w:p>
            <w:r>
              <w:rPr>
                <w:rFonts w:hint="eastAsia"/>
              </w:rPr>
              <w:t>项目经理</w:t>
            </w:r>
          </w:p>
        </w:tc>
        <w:tc>
          <w:tcPr>
            <w:tcW w:w="2471" w:type="dxa"/>
            <w:shd w:val="clear" w:color="auto" w:fill="auto"/>
            <w:vAlign w:val="center"/>
          </w:tcPr>
          <w:p>
            <w:r>
              <w:rPr>
                <w:rFonts w:hint="eastAsia"/>
              </w:rPr>
              <w:t>负责项目质量和进度控制</w:t>
            </w:r>
          </w:p>
        </w:tc>
        <w:tc>
          <w:tcPr>
            <w:tcW w:w="1200" w:type="dxa"/>
            <w:shd w:val="clear" w:color="auto" w:fill="auto"/>
            <w:noWrap/>
            <w:vAlign w:val="center"/>
          </w:tcPr>
          <w:p>
            <w:r>
              <w:rPr>
                <w:rFonts w:hint="eastAsia"/>
              </w:rPr>
              <w:t>1人</w:t>
            </w:r>
          </w:p>
        </w:tc>
        <w:tc>
          <w:tcPr>
            <w:tcW w:w="2373" w:type="dxa"/>
            <w:vAlign w:val="center"/>
          </w:tcPr>
          <w:p>
            <w:pPr>
              <w:ind w:firstLine="0" w:firstLineChars="0"/>
            </w:pPr>
            <w:r>
              <w:rPr>
                <w:rFonts w:hint="eastAsia"/>
              </w:rPr>
              <w:t>本科以上学历，5年以上工作经历</w:t>
            </w:r>
          </w:p>
        </w:tc>
        <w:tc>
          <w:tcPr>
            <w:tcW w:w="1176" w:type="dxa"/>
            <w:shd w:val="clear" w:color="auto" w:fill="auto"/>
            <w:noWrap/>
            <w:vAlign w:val="center"/>
          </w:tcPr>
          <w:p>
            <w:pPr>
              <w:ind w:firstLine="0" w:firstLineChars="0"/>
            </w:pPr>
            <w:r>
              <w:rPr>
                <w:rFonts w:hint="eastAsia"/>
              </w:rPr>
              <w:t>不驻场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08" w:type="dxa"/>
            <w:shd w:val="clear" w:color="auto" w:fill="auto"/>
            <w:noWrap/>
            <w:vAlign w:val="center"/>
          </w:tcPr>
          <w:p>
            <w:pPr>
              <w:ind w:firstLine="0" w:firstLineChars="0"/>
            </w:pPr>
            <w:r>
              <w:rPr>
                <w:rFonts w:hint="eastAsia"/>
              </w:rPr>
              <w:t>技术工程师</w:t>
            </w:r>
          </w:p>
        </w:tc>
        <w:tc>
          <w:tcPr>
            <w:tcW w:w="2471" w:type="dxa"/>
            <w:shd w:val="clear" w:color="auto" w:fill="auto"/>
            <w:noWrap/>
            <w:vAlign w:val="center"/>
          </w:tcPr>
          <w:p>
            <w:pPr>
              <w:ind w:firstLine="0" w:firstLineChars="0"/>
            </w:pPr>
            <w:r>
              <w:rPr>
                <w:rFonts w:hint="eastAsia"/>
              </w:rPr>
              <w:t>负责项目运行维护</w:t>
            </w:r>
          </w:p>
        </w:tc>
        <w:tc>
          <w:tcPr>
            <w:tcW w:w="1200" w:type="dxa"/>
            <w:shd w:val="clear" w:color="auto" w:fill="auto"/>
            <w:noWrap/>
            <w:vAlign w:val="center"/>
          </w:tcPr>
          <w:p>
            <w:r>
              <w:rPr>
                <w:rFonts w:hint="eastAsia"/>
              </w:rPr>
              <w:t>1人</w:t>
            </w:r>
          </w:p>
        </w:tc>
        <w:tc>
          <w:tcPr>
            <w:tcW w:w="2373" w:type="dxa"/>
            <w:vAlign w:val="center"/>
          </w:tcPr>
          <w:p>
            <w:r>
              <w:rPr>
                <w:rFonts w:hint="eastAsia"/>
              </w:rPr>
              <w:t>专科以上学历，5年以上工作经历</w:t>
            </w:r>
          </w:p>
        </w:tc>
        <w:tc>
          <w:tcPr>
            <w:tcW w:w="1176" w:type="dxa"/>
            <w:shd w:val="clear" w:color="auto" w:fill="auto"/>
            <w:noWrap/>
            <w:vAlign w:val="center"/>
          </w:tcPr>
          <w:p>
            <w:pPr>
              <w:ind w:firstLine="0" w:firstLineChars="0"/>
            </w:pPr>
            <w:r>
              <w:rPr>
                <w:rFonts w:hint="eastAsia"/>
              </w:rPr>
              <w:t>不驻场</w:t>
            </w:r>
          </w:p>
        </w:tc>
      </w:tr>
    </w:tbl>
    <w:p>
      <w:pPr>
        <w:pStyle w:val="3"/>
      </w:pPr>
      <w:bookmarkStart w:id="31" w:name="_Toc63785512"/>
      <w:r>
        <w:rPr>
          <w:rFonts w:hint="eastAsia"/>
        </w:rPr>
        <w:t>技术文件要求</w:t>
      </w:r>
    </w:p>
    <w:p>
      <w:r>
        <w:rPr>
          <w:rFonts w:hint="eastAsia"/>
        </w:rPr>
        <w:t>投标人提供的书面技术资料应能确保系统正常运行所需的管理、运营及维护有关的全套文件。技术文件应该全面、完整、详细。</w:t>
      </w:r>
    </w:p>
    <w:bookmarkEnd w:id="31"/>
    <w:p>
      <w:pPr>
        <w:pStyle w:val="3"/>
      </w:pPr>
      <w:r>
        <w:rPr>
          <w:rFonts w:hint="eastAsia"/>
        </w:rPr>
        <w:t>供应商要求</w:t>
      </w:r>
    </w:p>
    <w:p>
      <w:r>
        <w:rPr>
          <w:rFonts w:hint="eastAsia"/>
        </w:rPr>
        <w:t>投标人应当具有类似项目建设经验，通过ISO9001质量管理体系认证、ISO 20000信息技术服务管理体系认证、ISO27001信息安全管理体系认证；具有</w:t>
      </w:r>
      <w:r>
        <w:rPr>
          <w:rFonts w:hint="eastAsia" w:asciiTheme="minorEastAsia" w:hAnsiTheme="minorEastAsia"/>
          <w:szCs w:val="21"/>
        </w:rPr>
        <w:t>CCRC信息安全服务资质认证证书（</w:t>
      </w:r>
      <w:r>
        <w:rPr>
          <w:rFonts w:hint="eastAsia"/>
        </w:rPr>
        <w:t>信息系统安全集成、信息系统安全运维、信息系统灾难备份与恢复方向</w:t>
      </w:r>
      <w:r>
        <w:rPr>
          <w:rFonts w:hint="eastAsia" w:asciiTheme="minorEastAsia" w:hAnsiTheme="minorEastAsia"/>
          <w:szCs w:val="21"/>
        </w:rPr>
        <w:t>）；</w:t>
      </w:r>
      <w:r>
        <w:rPr>
          <w:rFonts w:hint="eastAsia"/>
        </w:rPr>
        <w:t>具有信息系统建设和能力服务等级证书（CS3级或以上）、ITSS信息技术服务标准符合性证书（三级或以上）的优先。</w:t>
      </w:r>
    </w:p>
    <w:p>
      <w:pPr>
        <w:pStyle w:val="13"/>
        <w:ind w:firstLine="420"/>
      </w:pPr>
    </w:p>
    <w:p>
      <w:pPr>
        <w:pStyle w:val="2"/>
      </w:pPr>
      <w:bookmarkStart w:id="32" w:name="_Toc68798863"/>
      <w:r>
        <w:rPr>
          <w:rFonts w:hint="eastAsia"/>
        </w:rPr>
        <w:t>附录</w:t>
      </w:r>
      <w:bookmarkEnd w:id="32"/>
    </w:p>
    <w:p>
      <w:r>
        <w:rPr>
          <w:rFonts w:hint="eastAsia"/>
        </w:rPr>
        <w:t>若项目建设过程中需符合相关技术标准或规范文件的要求，请将相关文件作为附件列出。</w:t>
      </w:r>
    </w:p>
    <w:p>
      <w:r>
        <w:rPr>
          <w:rFonts w:hint="eastAsia"/>
        </w:rPr>
        <w:t>参考如下：</w:t>
      </w:r>
    </w:p>
    <w:p>
      <w:r>
        <w:rPr>
          <w:rFonts w:hint="eastAsia"/>
        </w:rPr>
        <w:t>1、</w:t>
      </w:r>
      <w:r>
        <w:t>《政务网络安全监测平台总体技术要求》</w:t>
      </w:r>
    </w:p>
    <w:p>
      <w:r>
        <w:rPr>
          <w:rFonts w:hint="eastAsia"/>
        </w:rPr>
        <w:t>2、《上海市电子政务外网建设和运行管理指南（试行）》</w:t>
      </w:r>
    </w:p>
    <w:p>
      <w:pPr>
        <w:rPr>
          <w:b/>
          <w:bCs/>
        </w:rPr>
      </w:pPr>
      <w:r>
        <w:rPr>
          <w:rFonts w:hint="eastAsia"/>
        </w:rPr>
        <w:t>3、其他标准</w:t>
      </w:r>
    </w:p>
    <w:p/>
    <w:sectPr>
      <w:footerReference r:id="rId5" w:type="first"/>
      <w:pgSz w:w="11906" w:h="16838"/>
      <w:pgMar w:top="1134" w:right="1797" w:bottom="1135" w:left="1797" w:header="340" w:footer="7" w:gutter="0"/>
      <w:pgNumType w:start="1"/>
      <w:cols w:space="720" w:num="1"/>
      <w:titlePg/>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Arial">
    <w:altName w:val="DejaVu Sans"/>
    <w:panose1 w:val="020B0604020202020204"/>
    <w:charset w:val="00"/>
    <w:family w:val="swiss"/>
    <w:pitch w:val="default"/>
    <w:sig w:usb0="00000000" w:usb1="00000000" w:usb2="00000009" w:usb3="00000000" w:csb0="000001FF" w:csb1="00000000"/>
  </w:font>
  <w:font w:name="方正黑体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000101FF" w:csb1="00000000"/>
  </w:font>
  <w:font w:name="微软雅黑 Light">
    <w:altName w:val="方正黑体_GBK"/>
    <w:panose1 w:val="020B0502040204020203"/>
    <w:charset w:val="86"/>
    <w:family w:val="swiss"/>
    <w:pitch w:val="default"/>
    <w:sig w:usb0="00000000" w:usb1="00000000" w:usb2="00000016" w:usb3="00000000" w:csb0="0004001F" w:csb1="00000000"/>
  </w:font>
  <w:font w:name="微软雅黑">
    <w:altName w:val="方正黑体_GBK"/>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lang w:val="zh-CN"/>
      </w:rPr>
    </w:pPr>
    <w:r>
      <w:rPr>
        <w:lang w:val="zh-CN"/>
      </w:rPr>
      <w:fldChar w:fldCharType="begin"/>
    </w:r>
    <w:r>
      <w:rPr>
        <w:lang w:val="zh-CN"/>
      </w:rPr>
      <w:instrText xml:space="preserve">PAGE   \* MERGEFORMAT</w:instrText>
    </w:r>
    <w:r>
      <w:rPr>
        <w:lang w:val="zh-CN"/>
      </w:rPr>
      <w:fldChar w:fldCharType="separate"/>
    </w:r>
    <w:r>
      <w:rPr>
        <w:lang w:val="zh-CN"/>
      </w:rPr>
      <w:t>1</w:t>
    </w:r>
    <w:r>
      <w:rPr>
        <w:lang w:val="zh-CN"/>
      </w:rPr>
      <w:fldChar w:fldCharType="end"/>
    </w:r>
  </w:p>
  <w:p/>
  <w:p/>
  <w:p/>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15"/>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2C3A77EA"/>
    <w:multiLevelType w:val="multilevel"/>
    <w:tmpl w:val="2C3A77EA"/>
    <w:lvl w:ilvl="0" w:tentative="0">
      <w:start w:val="1"/>
      <w:numFmt w:val="decimal"/>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
    <w:nsid w:val="399004AC"/>
    <w:multiLevelType w:val="multilevel"/>
    <w:tmpl w:val="399004AC"/>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3">
    <w:nsid w:val="53DA2318"/>
    <w:multiLevelType w:val="multilevel"/>
    <w:tmpl w:val="53DA2318"/>
    <w:lvl w:ilvl="0" w:tentative="0">
      <w:start w:val="1"/>
      <w:numFmt w:val="decimal"/>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4">
    <w:nsid w:val="666929FC"/>
    <w:multiLevelType w:val="multilevel"/>
    <w:tmpl w:val="666929FC"/>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5">
    <w:nsid w:val="6995529C"/>
    <w:multiLevelType w:val="multilevel"/>
    <w:tmpl w:val="6995529C"/>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6">
    <w:nsid w:val="6A2F4AB3"/>
    <w:multiLevelType w:val="multilevel"/>
    <w:tmpl w:val="6A2F4AB3"/>
    <w:lvl w:ilvl="0" w:tentative="0">
      <w:start w:val="1"/>
      <w:numFmt w:val="chineseCountingThousand"/>
      <w:pStyle w:val="2"/>
      <w:suff w:val="nothing"/>
      <w:lvlText w:val="%1、"/>
      <w:lvlJc w:val="left"/>
      <w:pPr>
        <w:ind w:left="567" w:hanging="425"/>
      </w:pPr>
      <w:rPr>
        <w:rFonts w:hint="eastAsia"/>
        <w:sz w:val="32"/>
        <w:szCs w:val="32"/>
      </w:rPr>
    </w:lvl>
    <w:lvl w:ilvl="1" w:tentative="0">
      <w:start w:val="1"/>
      <w:numFmt w:val="decimal"/>
      <w:pStyle w:val="3"/>
      <w:isLgl/>
      <w:suff w:val="nothing"/>
      <w:lvlText w:val="%1.%2、"/>
      <w:lvlJc w:val="left"/>
      <w:pPr>
        <w:ind w:left="1277" w:hanging="567"/>
      </w:pPr>
    </w:lvl>
    <w:lvl w:ilvl="2" w:tentative="0">
      <w:start w:val="1"/>
      <w:numFmt w:val="decimal"/>
      <w:isLgl/>
      <w:suff w:val="nothing"/>
      <w:lvlText w:val="%1.%2.%3、"/>
      <w:lvlJc w:val="left"/>
      <w:pPr>
        <w:ind w:left="1211" w:hanging="1069"/>
      </w:pPr>
      <w:rPr>
        <w:rFonts w:hint="default" w:ascii="宋体" w:hAnsi="宋体" w:eastAsia="宋体" w:cs="Arial"/>
      </w:rPr>
    </w:lvl>
    <w:lvl w:ilvl="3" w:tentative="0">
      <w:start w:val="1"/>
      <w:numFmt w:val="decimal"/>
      <w:isLgl/>
      <w:suff w:val="nothing"/>
      <w:lvlText w:val="%1.%2.%3.%4、"/>
      <w:lvlJc w:val="left"/>
      <w:pPr>
        <w:ind w:left="3545" w:hanging="851"/>
      </w:pPr>
    </w:lvl>
    <w:lvl w:ilvl="4" w:tentative="0">
      <w:start w:val="1"/>
      <w:numFmt w:val="decimal"/>
      <w:isLgl/>
      <w:suff w:val="nothing"/>
      <w:lvlText w:val="%1.%2.%3.%4.%5、"/>
      <w:lvlJc w:val="left"/>
      <w:pPr>
        <w:ind w:left="3686" w:hanging="992"/>
      </w:pPr>
      <w:rPr>
        <w:rFonts w:hint="eastAsia"/>
      </w:rPr>
    </w:lvl>
    <w:lvl w:ilvl="5" w:tentative="0">
      <w:start w:val="1"/>
      <w:numFmt w:val="decimal"/>
      <w:isLgl/>
      <w:suff w:val="nothing"/>
      <w:lvlText w:val="%1.%2.%3.%4.%5.%6、"/>
      <w:lvlJc w:val="left"/>
      <w:pPr>
        <w:ind w:left="1276" w:hanging="1134"/>
      </w:pPr>
      <w:rPr>
        <w:rFonts w:hint="eastAsia"/>
      </w:rPr>
    </w:lvl>
    <w:lvl w:ilvl="6" w:tentative="0">
      <w:start w:val="1"/>
      <w:numFmt w:val="decimal"/>
      <w:isLgl/>
      <w:lvlText w:val="%1.%2.%3.%4.%5.%6.%7"/>
      <w:lvlJc w:val="left"/>
      <w:pPr>
        <w:tabs>
          <w:tab w:val="left" w:pos="1942"/>
        </w:tabs>
        <w:ind w:left="1418" w:hanging="1276"/>
      </w:pPr>
      <w:rPr>
        <w:rFonts w:hint="eastAsia"/>
      </w:rPr>
    </w:lvl>
    <w:lvl w:ilvl="7" w:tentative="0">
      <w:start w:val="1"/>
      <w:numFmt w:val="decimal"/>
      <w:isLgl/>
      <w:lvlText w:val="%1.%2.%3.%4.%5.%6.%7.%8"/>
      <w:lvlJc w:val="left"/>
      <w:pPr>
        <w:tabs>
          <w:tab w:val="left" w:pos="1942"/>
        </w:tabs>
        <w:ind w:left="1560" w:hanging="1418"/>
      </w:pPr>
      <w:rPr>
        <w:rFonts w:hint="eastAsia"/>
      </w:rPr>
    </w:lvl>
    <w:lvl w:ilvl="8" w:tentative="0">
      <w:start w:val="1"/>
      <w:numFmt w:val="decimal"/>
      <w:isLgl/>
      <w:lvlText w:val="%1.%2.%3.%4.%5.%6.%7.%8.%9"/>
      <w:lvlJc w:val="left"/>
      <w:pPr>
        <w:tabs>
          <w:tab w:val="left" w:pos="2302"/>
        </w:tabs>
        <w:ind w:left="1701" w:hanging="1559"/>
      </w:pPr>
      <w:rPr>
        <w:rFonts w:hint="eastAsia"/>
      </w:rPr>
    </w:lvl>
  </w:abstractNum>
  <w:num w:numId="1">
    <w:abstractNumId w:val="6"/>
  </w:num>
  <w:num w:numId="2">
    <w:abstractNumId w:val="0"/>
  </w:num>
  <w:num w:numId="3">
    <w:abstractNumId w:val="1"/>
  </w:num>
  <w:num w:numId="4">
    <w:abstractNumId w:val="4"/>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ExOTY4NzZkNzQ1ZDc5NjM1MzljZjg3MTcyMjkwMzkifQ=="/>
  </w:docVars>
  <w:rsids>
    <w:rsidRoot w:val="00461C10"/>
    <w:rsid w:val="000110EC"/>
    <w:rsid w:val="00070567"/>
    <w:rsid w:val="000D0267"/>
    <w:rsid w:val="001771A9"/>
    <w:rsid w:val="00224F3B"/>
    <w:rsid w:val="00254DDF"/>
    <w:rsid w:val="002C290E"/>
    <w:rsid w:val="002D7076"/>
    <w:rsid w:val="00362E93"/>
    <w:rsid w:val="00461C10"/>
    <w:rsid w:val="0049785A"/>
    <w:rsid w:val="004A7D8E"/>
    <w:rsid w:val="004D5573"/>
    <w:rsid w:val="0061320C"/>
    <w:rsid w:val="00643969"/>
    <w:rsid w:val="006B42FC"/>
    <w:rsid w:val="006C3AAE"/>
    <w:rsid w:val="0070430B"/>
    <w:rsid w:val="00704CB0"/>
    <w:rsid w:val="0073450C"/>
    <w:rsid w:val="00752405"/>
    <w:rsid w:val="007E327C"/>
    <w:rsid w:val="008754F1"/>
    <w:rsid w:val="009276A9"/>
    <w:rsid w:val="009674BE"/>
    <w:rsid w:val="00973773"/>
    <w:rsid w:val="00990714"/>
    <w:rsid w:val="009E0504"/>
    <w:rsid w:val="00A7707B"/>
    <w:rsid w:val="00B2047A"/>
    <w:rsid w:val="00B42380"/>
    <w:rsid w:val="00B42A18"/>
    <w:rsid w:val="00B55FBA"/>
    <w:rsid w:val="00B573BE"/>
    <w:rsid w:val="00B84ED1"/>
    <w:rsid w:val="00BA595E"/>
    <w:rsid w:val="00BE0B02"/>
    <w:rsid w:val="00C04088"/>
    <w:rsid w:val="00D0473B"/>
    <w:rsid w:val="00D16C96"/>
    <w:rsid w:val="00E969FF"/>
    <w:rsid w:val="00ED32A0"/>
    <w:rsid w:val="00EE2B1E"/>
    <w:rsid w:val="00EE4078"/>
    <w:rsid w:val="00FB183D"/>
    <w:rsid w:val="00FD6D6B"/>
    <w:rsid w:val="00FF4F87"/>
    <w:rsid w:val="0F486821"/>
    <w:rsid w:val="4AF74168"/>
    <w:rsid w:val="5FF7F80A"/>
    <w:rsid w:val="645D785C"/>
    <w:rsid w:val="7CDA2F19"/>
    <w:rsid w:val="BAF92CC2"/>
    <w:rsid w:val="BFFD2916"/>
    <w:rsid w:val="C3EF044E"/>
    <w:rsid w:val="C5DC6115"/>
    <w:rsid w:val="E3DF6F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480" w:firstLineChars="200"/>
      <w:jc w:val="both"/>
    </w:pPr>
    <w:rPr>
      <w:rFonts w:ascii="宋体" w:hAnsi="宋体" w:eastAsia="宋体" w:cs="Times New Roman"/>
      <w:kern w:val="2"/>
      <w:sz w:val="24"/>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0" w:firstLineChars="0"/>
      <w:outlineLvl w:val="0"/>
    </w:pPr>
    <w:rPr>
      <w:rFonts w:eastAsia="黑体"/>
      <w:b/>
      <w:bCs/>
      <w:kern w:val="44"/>
      <w:sz w:val="32"/>
      <w:szCs w:val="28"/>
    </w:rPr>
  </w:style>
  <w:style w:type="paragraph" w:styleId="3">
    <w:name w:val="heading 2"/>
    <w:basedOn w:val="1"/>
    <w:next w:val="1"/>
    <w:qFormat/>
    <w:uiPriority w:val="9"/>
    <w:pPr>
      <w:keepNext/>
      <w:keepLines/>
      <w:numPr>
        <w:ilvl w:val="1"/>
        <w:numId w:val="1"/>
      </w:numPr>
      <w:spacing w:before="120" w:after="120"/>
      <w:ind w:firstLine="0" w:firstLineChars="0"/>
      <w:outlineLvl w:val="1"/>
    </w:pPr>
    <w:rPr>
      <w:b/>
      <w:bCs/>
      <w:sz w:val="30"/>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6"/>
    <w:qFormat/>
    <w:uiPriority w:val="99"/>
    <w:pPr>
      <w:spacing w:line="240" w:lineRule="auto"/>
      <w:ind w:firstLine="0" w:firstLineChars="0"/>
      <w:jc w:val="left"/>
    </w:pPr>
    <w:rPr>
      <w:rFonts w:ascii="等线" w:hAnsi="等线" w:eastAsia="等线" w:cs="宋体"/>
      <w:sz w:val="21"/>
      <w:szCs w:val="22"/>
    </w:rPr>
  </w:style>
  <w:style w:type="paragraph" w:styleId="5">
    <w:name w:val="Body Text"/>
    <w:basedOn w:val="1"/>
    <w:unhideWhenUsed/>
    <w:qFormat/>
    <w:uiPriority w:val="1"/>
    <w:pPr>
      <w:autoSpaceDE w:val="0"/>
      <w:autoSpaceDN w:val="0"/>
      <w:jc w:val="left"/>
    </w:pPr>
    <w:rPr>
      <w:rFonts w:ascii="仿宋_GB2312" w:hAnsi="仿宋_GB2312" w:eastAsia="仿宋_GB2312" w:cs="仿宋_GB2312"/>
      <w:kern w:val="0"/>
      <w:sz w:val="32"/>
      <w:szCs w:val="32"/>
      <w:lang w:eastAsia="en-US"/>
    </w:rPr>
  </w:style>
  <w:style w:type="paragraph" w:styleId="6">
    <w:name w:val="Balloon Text"/>
    <w:basedOn w:val="1"/>
    <w:link w:val="18"/>
    <w:uiPriority w:val="0"/>
    <w:pPr>
      <w:spacing w:line="240" w:lineRule="auto"/>
    </w:pPr>
    <w:rPr>
      <w:sz w:val="18"/>
      <w:szCs w:val="18"/>
    </w:rPr>
  </w:style>
  <w:style w:type="paragraph" w:styleId="7">
    <w:name w:val="header"/>
    <w:basedOn w:val="1"/>
    <w:qFormat/>
    <w:uiPriority w:val="99"/>
    <w:pPr>
      <w:pBdr>
        <w:bottom w:val="single" w:color="auto" w:sz="4" w:space="0"/>
      </w:pBdr>
      <w:tabs>
        <w:tab w:val="center" w:pos="4153"/>
        <w:tab w:val="right" w:pos="8306"/>
      </w:tabs>
      <w:snapToGrid w:val="0"/>
      <w:jc w:val="center"/>
    </w:pPr>
    <w:rPr>
      <w:rFonts w:ascii="Times New Roman" w:hAnsi="Times New Roman"/>
      <w:sz w:val="18"/>
      <w:szCs w:val="18"/>
    </w:rPr>
  </w:style>
  <w:style w:type="paragraph" w:styleId="8">
    <w:name w:val="annotation subject"/>
    <w:basedOn w:val="4"/>
    <w:next w:val="4"/>
    <w:link w:val="19"/>
    <w:uiPriority w:val="0"/>
    <w:pPr>
      <w:spacing w:line="360" w:lineRule="auto"/>
      <w:ind w:firstLine="480" w:firstLineChars="200"/>
    </w:pPr>
    <w:rPr>
      <w:rFonts w:ascii="宋体" w:hAnsi="宋体" w:eastAsia="宋体" w:cs="Times New Roman"/>
      <w:b/>
      <w:bCs/>
      <w:sz w:val="24"/>
      <w:szCs w:val="24"/>
    </w:rPr>
  </w:style>
  <w:style w:type="character" w:styleId="11">
    <w:name w:val="annotation reference"/>
    <w:basedOn w:val="10"/>
    <w:uiPriority w:val="0"/>
    <w:rPr>
      <w:sz w:val="21"/>
      <w:szCs w:val="21"/>
    </w:rPr>
  </w:style>
  <w:style w:type="paragraph" w:customStyle="1" w:styleId="12">
    <w:name w:val="正文缩进1"/>
    <w:basedOn w:val="1"/>
    <w:autoRedefine/>
    <w:qFormat/>
    <w:uiPriority w:val="0"/>
    <w:pPr>
      <w:spacing w:line="240" w:lineRule="auto"/>
    </w:pPr>
    <w:rPr>
      <w:rFonts w:ascii="Times New Roman" w:hAnsi="Times New Roman"/>
    </w:rPr>
  </w:style>
  <w:style w:type="paragraph" w:customStyle="1" w:styleId="13">
    <w:name w:val="正文正文2"/>
    <w:basedOn w:val="1"/>
    <w:autoRedefine/>
    <w:qFormat/>
    <w:uiPriority w:val="0"/>
    <w:pPr>
      <w:ind w:firstLine="460"/>
    </w:pPr>
    <w:rPr>
      <w:sz w:val="21"/>
      <w:szCs w:val="21"/>
    </w:rPr>
  </w:style>
  <w:style w:type="character" w:customStyle="1" w:styleId="14">
    <w:name w:val="font21"/>
    <w:basedOn w:val="10"/>
    <w:qFormat/>
    <w:uiPriority w:val="0"/>
    <w:rPr>
      <w:rFonts w:hint="eastAsia" w:ascii="宋体" w:hAnsi="宋体" w:eastAsia="宋体" w:cs="宋体"/>
      <w:color w:val="000000"/>
      <w:sz w:val="24"/>
      <w:szCs w:val="24"/>
      <w:u w:val="none"/>
    </w:rPr>
  </w:style>
  <w:style w:type="paragraph" w:styleId="15">
    <w:name w:val="List Paragraph"/>
    <w:basedOn w:val="1"/>
    <w:qFormat/>
    <w:uiPriority w:val="34"/>
    <w:pPr>
      <w:numPr>
        <w:ilvl w:val="0"/>
        <w:numId w:val="2"/>
      </w:numPr>
      <w:ind w:firstLine="0" w:firstLineChars="0"/>
    </w:pPr>
    <w:rPr>
      <w:rFonts w:ascii="等线" w:hAnsi="等线" w:eastAsia="等线" w:cs="宋体"/>
      <w:sz w:val="21"/>
      <w:szCs w:val="22"/>
    </w:rPr>
  </w:style>
  <w:style w:type="character" w:customStyle="1" w:styleId="16">
    <w:name w:val="批注文字 字符"/>
    <w:basedOn w:val="10"/>
    <w:link w:val="4"/>
    <w:qFormat/>
    <w:uiPriority w:val="99"/>
    <w:rPr>
      <w:rFonts w:ascii="等线" w:hAnsi="等线" w:eastAsia="等线" w:cs="宋体"/>
      <w:kern w:val="2"/>
      <w:sz w:val="21"/>
      <w:szCs w:val="22"/>
    </w:rPr>
  </w:style>
  <w:style w:type="paragraph" w:customStyle="1" w:styleId="17">
    <w:name w:val="修订1"/>
    <w:hidden/>
    <w:unhideWhenUsed/>
    <w:qFormat/>
    <w:uiPriority w:val="99"/>
    <w:rPr>
      <w:rFonts w:ascii="宋体" w:hAnsi="宋体" w:eastAsia="宋体" w:cs="Times New Roman"/>
      <w:kern w:val="2"/>
      <w:sz w:val="24"/>
      <w:szCs w:val="24"/>
      <w:lang w:val="en-US" w:eastAsia="zh-CN" w:bidi="ar-SA"/>
    </w:rPr>
  </w:style>
  <w:style w:type="character" w:customStyle="1" w:styleId="18">
    <w:name w:val="批注框文本 字符"/>
    <w:basedOn w:val="10"/>
    <w:link w:val="6"/>
    <w:qFormat/>
    <w:uiPriority w:val="0"/>
    <w:rPr>
      <w:rFonts w:ascii="宋体" w:hAnsi="宋体"/>
      <w:kern w:val="2"/>
      <w:sz w:val="18"/>
      <w:szCs w:val="18"/>
    </w:rPr>
  </w:style>
  <w:style w:type="character" w:customStyle="1" w:styleId="19">
    <w:name w:val="批注主题 字符"/>
    <w:basedOn w:val="16"/>
    <w:link w:val="8"/>
    <w:qFormat/>
    <w:uiPriority w:val="0"/>
    <w:rPr>
      <w:rFonts w:ascii="宋体" w:hAnsi="宋体" w:eastAsia="等线" w:cs="宋体"/>
      <w:b/>
      <w:bCs/>
      <w:kern w:val="2"/>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1156</Words>
  <Characters>6590</Characters>
  <Lines>54</Lines>
  <Paragraphs>15</Paragraphs>
  <TotalTime>23</TotalTime>
  <ScaleCrop>false</ScaleCrop>
  <LinksUpToDate>false</LinksUpToDate>
  <CharactersWithSpaces>7731</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2024-11-20T14:47:00Z</dcterms:created>
  <dc:creator>user</dc:creator>
  <cp:lastModifiedBy>李  瑶</cp:lastModifiedBy>
  <dcterms:modified xsi:type="dcterms:W3CDTF">2024-11-25T15:34:30Z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9388B1DBD805B1565B6F2C67EB9EB33C_43</vt:lpwstr>
  </property>
</Properties>
</file>