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ind w:left="425"/>
        <w:jc w:val="center"/>
      </w:pPr>
      <w:bookmarkStart w:id="0" w:name="_Toc63785461"/>
      <w:r>
        <w:rPr>
          <w:rFonts w:hint="eastAsia"/>
          <w:sz w:val="28"/>
          <w:szCs w:val="24"/>
        </w:rPr>
        <w:t>上海博物馆文物保护科技中心信息系统项目（2025年升级改造）采购需求</w:t>
      </w:r>
    </w:p>
    <w:p>
      <w:pPr>
        <w:pStyle w:val="2"/>
      </w:pPr>
      <w:r>
        <w:rPr>
          <w:rFonts w:hint="eastAsia"/>
        </w:rPr>
        <w:t>项目概况</w:t>
      </w:r>
      <w:bookmarkEnd w:id="0"/>
    </w:p>
    <w:p>
      <w:pPr>
        <w:spacing w:line="560" w:lineRule="exact"/>
      </w:pPr>
      <w:r>
        <w:rPr>
          <w:rFonts w:hint="eastAsia"/>
        </w:rPr>
        <w:t>随着上海博物馆文物数量的不断增加和种类的日益丰富，传统的文物保护方法已经难以满足需求。通过网络升级改造，可以实现文物信息的数字化采集、存储、管理和利用，提高文物保护的效率和水平。同时，网络升级改造还可以加强文物安全监控和预警能力，通过系统手段及时发现和处理安全隐患，确保文物的安全。</w:t>
      </w:r>
    </w:p>
    <w:p>
      <w:pPr>
        <w:spacing w:line="560" w:lineRule="exact"/>
      </w:pPr>
      <w:r>
        <w:rPr>
          <w:rFonts w:hint="eastAsia"/>
        </w:rPr>
        <w:t>上海博物馆文物保护科技中心现有的网络系统已经运行长达九年之久，部分设备老化、性能下降，无法满足日益增长的文物保护需求。同时，网络安全问题也日益突出，存在被黑客攻击、数据泄露等风险。因此，需要对现有网络系统进行全面升级改造，提升网络性能、安全性和稳定性。</w:t>
      </w:r>
    </w:p>
    <w:p>
      <w:pPr>
        <w:spacing w:line="560" w:lineRule="exact"/>
      </w:pPr>
      <w:r>
        <w:rPr>
          <w:rFonts w:hint="eastAsia"/>
        </w:rPr>
        <w:t>为落实相关法律法规对于信息系统密码应用的要求，结合《国家政务信息化项目建设管理办法》《政务信息系统政府采购管理暂行办法》等规范性依据，我单位决定对已运行的电子公文处理系统进行密码应用改造。</w:t>
      </w:r>
    </w:p>
    <w:p>
      <w:pPr>
        <w:spacing w:line="560" w:lineRule="exact"/>
      </w:pPr>
      <w:r>
        <w:rPr>
          <w:rFonts w:hint="eastAsia"/>
        </w:rPr>
        <w:t>通过对该系统的现状和密码应用需求分析，依据</w:t>
      </w:r>
      <w:r>
        <w:t>GB/T 39786-2021《信息安全技术 信息系统密码应用基本要求》（以下简称《密码应用基本要求》）、GB/T 43207-2023《信息安全技术 信息系统密码应用设计指南》（以下简称《密码应用设计指南》），从物理和环境安全、网络和通信安全、设备和计算安全、应用和数据安全、密钥管理、安全管理等层面，设计了该系统密码应用的技术方案、安全管理方案和实施保障方案。</w:t>
      </w:r>
    </w:p>
    <w:p>
      <w:pPr>
        <w:spacing w:line="560" w:lineRule="exact"/>
      </w:pPr>
      <w:r>
        <w:rPr>
          <w:rFonts w:hint="eastAsia"/>
        </w:rPr>
        <w:t>为落实国务院《关于进一步加强文物工作的指导意见》</w:t>
      </w:r>
      <w:r>
        <w:t>(国发2016-17 号)和《关于积极推进“互联网+”行动的指导意见》(国发2017-40 号)，把互联网的创新成果与中华传统文化的传承、创新与发展深度融合，深入挖掘和拓展文物蕴含的历史、艺术、科学价值和时代精神，彰显中华文明的独特魅力，丰富文化供给，促进文化消费，五部委特制定“互联网+中华文明”三年行动计划。</w:t>
      </w:r>
    </w:p>
    <w:p>
      <w:pPr>
        <w:spacing w:line="560" w:lineRule="exact"/>
      </w:pPr>
      <w:r>
        <w:rPr>
          <w:rFonts w:hint="eastAsia"/>
        </w:rPr>
        <w:t>现有应用系统如下：</w:t>
      </w:r>
    </w:p>
    <w:tbl>
      <w:tblPr>
        <w:tblStyle w:val="9"/>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54"/>
        <w:gridCol w:w="2847"/>
        <w:gridCol w:w="432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4" w:type="pct"/>
          </w:tcPr>
          <w:p>
            <w:pPr>
              <w:pStyle w:val="15"/>
              <w:jc w:val="center"/>
              <w:rPr>
                <w:rFonts w:ascii="宋体" w:hAnsi="宋体" w:eastAsia="宋体" w:cs="Times New Roman"/>
                <w:sz w:val="24"/>
              </w:rPr>
            </w:pPr>
            <w:r>
              <w:rPr>
                <w:rFonts w:hint="eastAsia" w:ascii="宋体" w:hAnsi="宋体" w:eastAsia="宋体" w:cs="Times New Roman"/>
                <w:sz w:val="24"/>
              </w:rPr>
              <w:t>序号</w:t>
            </w:r>
          </w:p>
        </w:tc>
        <w:tc>
          <w:tcPr>
            <w:tcW w:w="1669" w:type="pct"/>
          </w:tcPr>
          <w:p>
            <w:pPr>
              <w:pStyle w:val="15"/>
              <w:jc w:val="center"/>
              <w:rPr>
                <w:rFonts w:ascii="宋体" w:hAnsi="宋体" w:eastAsia="宋体" w:cs="Times New Roman"/>
                <w:sz w:val="24"/>
              </w:rPr>
            </w:pPr>
            <w:r>
              <w:rPr>
                <w:rFonts w:hint="eastAsia" w:ascii="宋体" w:hAnsi="宋体" w:eastAsia="宋体" w:cs="Times New Roman"/>
                <w:sz w:val="24"/>
              </w:rPr>
              <w:t>系统名称</w:t>
            </w:r>
          </w:p>
        </w:tc>
        <w:tc>
          <w:tcPr>
            <w:tcW w:w="2537" w:type="pct"/>
          </w:tcPr>
          <w:p>
            <w:pPr>
              <w:pStyle w:val="15"/>
              <w:jc w:val="center"/>
              <w:rPr>
                <w:rFonts w:ascii="宋体" w:hAnsi="宋体" w:eastAsia="宋体" w:cs="Times New Roman"/>
                <w:sz w:val="24"/>
              </w:rPr>
            </w:pPr>
            <w:r>
              <w:rPr>
                <w:rFonts w:hint="eastAsia" w:ascii="宋体" w:hAnsi="宋体" w:eastAsia="宋体" w:cs="Times New Roman"/>
                <w:sz w:val="24"/>
              </w:rPr>
              <w:t>主要功能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4" w:type="pct"/>
          </w:tcPr>
          <w:p>
            <w:pPr>
              <w:pStyle w:val="15"/>
              <w:spacing w:before="156"/>
              <w:jc w:val="center"/>
              <w:rPr>
                <w:rFonts w:ascii="宋体" w:hAnsi="宋体" w:eastAsia="宋体" w:cs="Times New Roman"/>
                <w:sz w:val="22"/>
                <w:szCs w:val="22"/>
              </w:rPr>
            </w:pPr>
            <w:r>
              <w:rPr>
                <w:rFonts w:hint="eastAsia" w:ascii="宋体" w:hAnsi="宋体" w:eastAsia="宋体" w:cs="Times New Roman"/>
                <w:sz w:val="22"/>
                <w:szCs w:val="22"/>
              </w:rPr>
              <w:t>1</w:t>
            </w:r>
          </w:p>
        </w:tc>
        <w:tc>
          <w:tcPr>
            <w:tcW w:w="1669" w:type="pct"/>
          </w:tcPr>
          <w:p>
            <w:pPr>
              <w:pStyle w:val="15"/>
              <w:spacing w:before="156"/>
              <w:rPr>
                <w:rFonts w:ascii="宋体" w:hAnsi="宋体" w:eastAsia="宋体" w:cs="Times New Roman"/>
                <w:sz w:val="22"/>
                <w:szCs w:val="22"/>
              </w:rPr>
            </w:pPr>
            <w:r>
              <w:rPr>
                <w:rFonts w:hint="eastAsia" w:ascii="宋体" w:hAnsi="宋体" w:eastAsia="宋体" w:cs="Times New Roman"/>
                <w:sz w:val="22"/>
                <w:szCs w:val="22"/>
              </w:rPr>
              <w:t>上海博物馆文物保护科技中心信息系统（以下简称本系统）</w:t>
            </w:r>
          </w:p>
        </w:tc>
        <w:tc>
          <w:tcPr>
            <w:tcW w:w="2537" w:type="pct"/>
          </w:tcPr>
          <w:p>
            <w:pPr>
              <w:pStyle w:val="15"/>
              <w:spacing w:before="156"/>
              <w:rPr>
                <w:rFonts w:ascii="宋体" w:hAnsi="宋体" w:eastAsia="宋体" w:cs="Times New Roman"/>
                <w:sz w:val="22"/>
                <w:szCs w:val="22"/>
              </w:rPr>
            </w:pPr>
            <w:r>
              <w:rPr>
                <w:rFonts w:hint="eastAsia" w:ascii="宋体" w:hAnsi="宋体" w:eastAsia="宋体" w:cs="Times New Roman"/>
                <w:sz w:val="22"/>
                <w:szCs w:val="22"/>
              </w:rPr>
              <w:t>主要是为了满足上海博物馆文物保护中心业务的需要，包含：文物修复系统、检测检验管理系统、科研项目管理系统、古代工艺管理系统、学术活动管理系统。</w:t>
            </w:r>
          </w:p>
        </w:tc>
      </w:tr>
    </w:tbl>
    <w:p>
      <w:pPr>
        <w:spacing w:line="560" w:lineRule="exact"/>
      </w:pPr>
      <w:r>
        <w:rPr>
          <w:rFonts w:hint="eastAsia"/>
        </w:rPr>
        <w:t>本系统部署在我单位机房中，系统网络划分为网络接入区、核心交换区、终端接入区、数据中心、安全管理区等五个区。</w:t>
      </w:r>
    </w:p>
    <w:p>
      <w:pPr>
        <w:spacing w:line="560" w:lineRule="exact"/>
      </w:pPr>
      <w:r>
        <w:rPr>
          <w:rFonts w:hint="eastAsia"/>
        </w:rPr>
        <w:t>现有设备清单如下：</w:t>
      </w:r>
    </w:p>
    <w:tbl>
      <w:tblPr>
        <w:tblStyle w:val="8"/>
        <w:tblW w:w="5000" w:type="pct"/>
        <w:tblInd w:w="0" w:type="dxa"/>
        <w:tblLayout w:type="autofit"/>
        <w:tblCellMar>
          <w:top w:w="0" w:type="dxa"/>
          <w:left w:w="108" w:type="dxa"/>
          <w:bottom w:w="0" w:type="dxa"/>
          <w:right w:w="108" w:type="dxa"/>
        </w:tblCellMar>
      </w:tblPr>
      <w:tblGrid>
        <w:gridCol w:w="1330"/>
        <w:gridCol w:w="4536"/>
        <w:gridCol w:w="1331"/>
        <w:gridCol w:w="1331"/>
      </w:tblGrid>
      <w:tr>
        <w:tblPrEx>
          <w:tblCellMar>
            <w:top w:w="0" w:type="dxa"/>
            <w:left w:w="108" w:type="dxa"/>
            <w:bottom w:w="0" w:type="dxa"/>
            <w:right w:w="108" w:type="dxa"/>
          </w:tblCellMar>
        </w:tblPrEx>
        <w:trPr>
          <w:trHeight w:val="527" w:hRule="atLeast"/>
        </w:trPr>
        <w:tc>
          <w:tcPr>
            <w:tcW w:w="780" w:type="pct"/>
            <w:tcBorders>
              <w:top w:val="single" w:color="auto" w:sz="8" w:space="0"/>
              <w:left w:val="single" w:color="auto" w:sz="8" w:space="0"/>
              <w:bottom w:val="single" w:color="auto" w:sz="8" w:space="0"/>
              <w:right w:val="single" w:color="auto" w:sz="8" w:space="0"/>
            </w:tcBorders>
            <w:shd w:val="clear" w:color="000000" w:fill="5B9BD5"/>
            <w:vAlign w:val="center"/>
          </w:tcPr>
          <w:p>
            <w:pPr>
              <w:widowControl/>
              <w:spacing w:line="240" w:lineRule="auto"/>
              <w:ind w:firstLine="402" w:firstLineChars="0"/>
              <w:jc w:val="center"/>
              <w:rPr>
                <w:rFonts w:cs="宋体" w:asciiTheme="minorEastAsia" w:hAnsiTheme="minorEastAsia" w:eastAsiaTheme="minorEastAsia"/>
                <w:b/>
                <w:bCs/>
                <w:color w:val="FFFFFF"/>
                <w:kern w:val="0"/>
              </w:rPr>
            </w:pPr>
            <w:r>
              <w:rPr>
                <w:rFonts w:hint="eastAsia" w:cs="宋体" w:asciiTheme="minorEastAsia" w:hAnsiTheme="minorEastAsia" w:eastAsiaTheme="minorEastAsia"/>
                <w:b/>
                <w:bCs/>
                <w:color w:val="FFFFFF"/>
                <w:kern w:val="0"/>
              </w:rPr>
              <w:t>序号</w:t>
            </w:r>
          </w:p>
        </w:tc>
        <w:tc>
          <w:tcPr>
            <w:tcW w:w="2659" w:type="pct"/>
            <w:tcBorders>
              <w:top w:val="single" w:color="auto" w:sz="8" w:space="0"/>
              <w:left w:val="nil"/>
              <w:bottom w:val="single" w:color="auto" w:sz="8" w:space="0"/>
              <w:right w:val="single" w:color="auto" w:sz="8" w:space="0"/>
            </w:tcBorders>
            <w:shd w:val="clear" w:color="000000" w:fill="5B9BD5"/>
            <w:vAlign w:val="center"/>
          </w:tcPr>
          <w:p>
            <w:pPr>
              <w:widowControl/>
              <w:spacing w:line="240" w:lineRule="auto"/>
              <w:ind w:firstLine="0" w:firstLineChars="0"/>
              <w:jc w:val="center"/>
              <w:rPr>
                <w:rFonts w:cs="宋体" w:asciiTheme="minorEastAsia" w:hAnsiTheme="minorEastAsia" w:eastAsiaTheme="minorEastAsia"/>
                <w:b/>
                <w:bCs/>
                <w:color w:val="FFFFFF"/>
                <w:kern w:val="0"/>
              </w:rPr>
            </w:pPr>
            <w:r>
              <w:rPr>
                <w:rFonts w:hint="eastAsia" w:cs="宋体" w:asciiTheme="minorEastAsia" w:hAnsiTheme="minorEastAsia" w:eastAsiaTheme="minorEastAsia"/>
                <w:b/>
                <w:bCs/>
                <w:color w:val="FFFFFF"/>
                <w:kern w:val="0"/>
              </w:rPr>
              <w:t>产品名称</w:t>
            </w:r>
          </w:p>
        </w:tc>
        <w:tc>
          <w:tcPr>
            <w:tcW w:w="780" w:type="pct"/>
            <w:tcBorders>
              <w:top w:val="single" w:color="auto" w:sz="8" w:space="0"/>
              <w:left w:val="nil"/>
              <w:bottom w:val="single" w:color="auto" w:sz="8" w:space="0"/>
              <w:right w:val="single" w:color="auto" w:sz="8" w:space="0"/>
            </w:tcBorders>
            <w:shd w:val="clear" w:color="000000" w:fill="5B9BD5"/>
            <w:vAlign w:val="center"/>
          </w:tcPr>
          <w:p>
            <w:pPr>
              <w:widowControl/>
              <w:spacing w:line="240" w:lineRule="auto"/>
              <w:ind w:firstLine="0" w:firstLineChars="0"/>
              <w:jc w:val="center"/>
              <w:rPr>
                <w:rFonts w:cs="宋体" w:asciiTheme="minorEastAsia" w:hAnsiTheme="minorEastAsia" w:eastAsiaTheme="minorEastAsia"/>
                <w:b/>
                <w:bCs/>
                <w:color w:val="FFFFFF"/>
                <w:kern w:val="0"/>
              </w:rPr>
            </w:pPr>
            <w:r>
              <w:rPr>
                <w:rFonts w:hint="eastAsia" w:cs="宋体" w:asciiTheme="minorEastAsia" w:hAnsiTheme="minorEastAsia" w:eastAsiaTheme="minorEastAsia"/>
                <w:b/>
                <w:bCs/>
                <w:color w:val="FFFFFF"/>
                <w:kern w:val="0"/>
              </w:rPr>
              <w:t>数量</w:t>
            </w:r>
          </w:p>
        </w:tc>
        <w:tc>
          <w:tcPr>
            <w:tcW w:w="780" w:type="pct"/>
            <w:tcBorders>
              <w:top w:val="single" w:color="auto" w:sz="8" w:space="0"/>
              <w:left w:val="nil"/>
              <w:bottom w:val="single" w:color="auto" w:sz="8" w:space="0"/>
              <w:right w:val="single" w:color="auto" w:sz="8" w:space="0"/>
            </w:tcBorders>
            <w:shd w:val="clear" w:color="000000" w:fill="5B9BD5"/>
            <w:vAlign w:val="center"/>
          </w:tcPr>
          <w:p>
            <w:pPr>
              <w:widowControl/>
              <w:spacing w:line="240" w:lineRule="auto"/>
              <w:ind w:firstLine="0" w:firstLineChars="0"/>
              <w:jc w:val="center"/>
              <w:rPr>
                <w:rFonts w:cs="宋体" w:asciiTheme="minorEastAsia" w:hAnsiTheme="minorEastAsia" w:eastAsiaTheme="minorEastAsia"/>
                <w:b/>
                <w:bCs/>
                <w:color w:val="FFFFFF"/>
                <w:kern w:val="0"/>
              </w:rPr>
            </w:pPr>
            <w:r>
              <w:rPr>
                <w:rFonts w:hint="eastAsia" w:cs="宋体" w:asciiTheme="minorEastAsia" w:hAnsiTheme="minorEastAsia" w:eastAsiaTheme="minorEastAsia"/>
                <w:b/>
                <w:bCs/>
                <w:color w:val="FFFFFF"/>
                <w:kern w:val="0"/>
              </w:rPr>
              <w:t>单位</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千兆三层核心交换机</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2</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2</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千兆以太网交换机</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4</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3</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千兆以太网交换机</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8</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4</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POE交换机</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6</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5</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企业级路由器</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6</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安全审计系统</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7</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VPN</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8</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应用服务器（机架式）</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9</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光纤交换机</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4</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10</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网闸</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11</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刀片机箱</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套</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12</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刀片服务器</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13</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机架式服务器</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14</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外网防火墙</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15</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上网控制网关</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16</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内网刀片机箱</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套</w:t>
            </w:r>
          </w:p>
        </w:tc>
      </w:tr>
      <w:tr>
        <w:tblPrEx>
          <w:tblCellMar>
            <w:top w:w="0" w:type="dxa"/>
            <w:left w:w="108" w:type="dxa"/>
            <w:bottom w:w="0" w:type="dxa"/>
            <w:right w:w="108" w:type="dxa"/>
          </w:tblCellMar>
        </w:tblPrEx>
        <w:trPr>
          <w:trHeight w:val="527" w:hRule="atLeast"/>
        </w:trPr>
        <w:tc>
          <w:tcPr>
            <w:tcW w:w="780"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17</w:t>
            </w:r>
          </w:p>
        </w:tc>
        <w:tc>
          <w:tcPr>
            <w:tcW w:w="265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内网刀片服务器</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780"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bl>
    <w:p>
      <w:pPr>
        <w:spacing w:line="560" w:lineRule="exact"/>
        <w:ind w:firstLine="0" w:firstLineChars="0"/>
      </w:pPr>
      <w:r>
        <w:rPr>
          <w:rFonts w:hint="eastAsia"/>
        </w:rPr>
        <w:t>改造后清单及所需内容如下：</w:t>
      </w:r>
    </w:p>
    <w:tbl>
      <w:tblPr>
        <w:tblStyle w:val="8"/>
        <w:tblW w:w="5000" w:type="pct"/>
        <w:tblInd w:w="0" w:type="dxa"/>
        <w:tblLayout w:type="autofit"/>
        <w:tblCellMar>
          <w:top w:w="0" w:type="dxa"/>
          <w:left w:w="108" w:type="dxa"/>
          <w:bottom w:w="0" w:type="dxa"/>
          <w:right w:w="108" w:type="dxa"/>
        </w:tblCellMar>
      </w:tblPr>
      <w:tblGrid>
        <w:gridCol w:w="1115"/>
        <w:gridCol w:w="5183"/>
        <w:gridCol w:w="1115"/>
        <w:gridCol w:w="1115"/>
      </w:tblGrid>
      <w:tr>
        <w:tblPrEx>
          <w:tblCellMar>
            <w:top w:w="0" w:type="dxa"/>
            <w:left w:w="108" w:type="dxa"/>
            <w:bottom w:w="0" w:type="dxa"/>
            <w:right w:w="108" w:type="dxa"/>
          </w:tblCellMar>
        </w:tblPrEx>
        <w:trPr>
          <w:trHeight w:val="527" w:hRule="atLeast"/>
        </w:trPr>
        <w:tc>
          <w:tcPr>
            <w:tcW w:w="654" w:type="pct"/>
            <w:tcBorders>
              <w:top w:val="single" w:color="auto" w:sz="8" w:space="0"/>
              <w:left w:val="single" w:color="auto" w:sz="8" w:space="0"/>
              <w:bottom w:val="single" w:color="auto" w:sz="8" w:space="0"/>
              <w:right w:val="single" w:color="auto" w:sz="8" w:space="0"/>
            </w:tcBorders>
            <w:shd w:val="clear" w:color="000000" w:fill="5B9BD5"/>
            <w:vAlign w:val="center"/>
          </w:tcPr>
          <w:p>
            <w:pPr>
              <w:widowControl/>
              <w:spacing w:line="240" w:lineRule="auto"/>
              <w:ind w:firstLine="402" w:firstLineChars="0"/>
              <w:jc w:val="center"/>
              <w:rPr>
                <w:rFonts w:cs="宋体" w:asciiTheme="minorEastAsia" w:hAnsiTheme="minorEastAsia" w:eastAsiaTheme="minorEastAsia"/>
                <w:b/>
                <w:bCs/>
                <w:color w:val="FFFFFF"/>
                <w:kern w:val="0"/>
              </w:rPr>
            </w:pPr>
            <w:r>
              <w:rPr>
                <w:rFonts w:hint="eastAsia" w:cs="宋体" w:asciiTheme="minorEastAsia" w:hAnsiTheme="minorEastAsia" w:eastAsiaTheme="minorEastAsia"/>
                <w:b/>
                <w:bCs/>
                <w:color w:val="FFFFFF"/>
                <w:kern w:val="0"/>
              </w:rPr>
              <w:t>序号</w:t>
            </w:r>
          </w:p>
        </w:tc>
        <w:tc>
          <w:tcPr>
            <w:tcW w:w="3039" w:type="pct"/>
            <w:tcBorders>
              <w:top w:val="single" w:color="auto" w:sz="8" w:space="0"/>
              <w:left w:val="nil"/>
              <w:bottom w:val="single" w:color="auto" w:sz="8" w:space="0"/>
              <w:right w:val="single" w:color="auto" w:sz="8" w:space="0"/>
            </w:tcBorders>
            <w:shd w:val="clear" w:color="000000" w:fill="5B9BD5"/>
            <w:vAlign w:val="center"/>
          </w:tcPr>
          <w:p>
            <w:pPr>
              <w:widowControl/>
              <w:spacing w:line="240" w:lineRule="auto"/>
              <w:ind w:firstLine="0" w:firstLineChars="0"/>
              <w:jc w:val="center"/>
              <w:rPr>
                <w:rFonts w:cs="宋体" w:asciiTheme="minorEastAsia" w:hAnsiTheme="minorEastAsia" w:eastAsiaTheme="minorEastAsia"/>
                <w:b/>
                <w:bCs/>
                <w:color w:val="FFFFFF"/>
                <w:kern w:val="0"/>
              </w:rPr>
            </w:pPr>
            <w:r>
              <w:rPr>
                <w:rFonts w:hint="eastAsia" w:cs="宋体" w:asciiTheme="minorEastAsia" w:hAnsiTheme="minorEastAsia" w:eastAsiaTheme="minorEastAsia"/>
                <w:b/>
                <w:bCs/>
                <w:color w:val="FFFFFF"/>
                <w:kern w:val="0"/>
              </w:rPr>
              <w:t>产品名称</w:t>
            </w:r>
          </w:p>
        </w:tc>
        <w:tc>
          <w:tcPr>
            <w:tcW w:w="654" w:type="pct"/>
            <w:tcBorders>
              <w:top w:val="single" w:color="auto" w:sz="8" w:space="0"/>
              <w:left w:val="nil"/>
              <w:bottom w:val="single" w:color="auto" w:sz="8" w:space="0"/>
              <w:right w:val="single" w:color="auto" w:sz="8" w:space="0"/>
            </w:tcBorders>
            <w:shd w:val="clear" w:color="000000" w:fill="5B9BD5"/>
            <w:vAlign w:val="center"/>
          </w:tcPr>
          <w:p>
            <w:pPr>
              <w:widowControl/>
              <w:spacing w:line="240" w:lineRule="auto"/>
              <w:ind w:firstLine="0" w:firstLineChars="0"/>
              <w:jc w:val="center"/>
              <w:rPr>
                <w:rFonts w:cs="宋体" w:asciiTheme="minorEastAsia" w:hAnsiTheme="minorEastAsia" w:eastAsiaTheme="minorEastAsia"/>
                <w:b/>
                <w:bCs/>
                <w:color w:val="FFFFFF"/>
                <w:kern w:val="0"/>
              </w:rPr>
            </w:pPr>
            <w:r>
              <w:rPr>
                <w:rFonts w:hint="eastAsia" w:cs="宋体" w:asciiTheme="minorEastAsia" w:hAnsiTheme="minorEastAsia" w:eastAsiaTheme="minorEastAsia"/>
                <w:b/>
                <w:bCs/>
                <w:color w:val="FFFFFF"/>
                <w:kern w:val="0"/>
              </w:rPr>
              <w:t>数量</w:t>
            </w:r>
          </w:p>
        </w:tc>
        <w:tc>
          <w:tcPr>
            <w:tcW w:w="653" w:type="pct"/>
            <w:tcBorders>
              <w:top w:val="single" w:color="auto" w:sz="8" w:space="0"/>
              <w:left w:val="nil"/>
              <w:bottom w:val="single" w:color="auto" w:sz="8" w:space="0"/>
              <w:right w:val="single" w:color="auto" w:sz="8" w:space="0"/>
            </w:tcBorders>
            <w:shd w:val="clear" w:color="000000" w:fill="5B9BD5"/>
            <w:vAlign w:val="center"/>
          </w:tcPr>
          <w:p>
            <w:pPr>
              <w:widowControl/>
              <w:spacing w:line="240" w:lineRule="auto"/>
              <w:ind w:firstLine="0" w:firstLineChars="0"/>
              <w:jc w:val="center"/>
              <w:rPr>
                <w:rFonts w:cs="宋体" w:asciiTheme="minorEastAsia" w:hAnsiTheme="minorEastAsia" w:eastAsiaTheme="minorEastAsia"/>
                <w:b/>
                <w:bCs/>
                <w:color w:val="FFFFFF"/>
                <w:kern w:val="0"/>
              </w:rPr>
            </w:pPr>
            <w:r>
              <w:rPr>
                <w:rFonts w:hint="eastAsia" w:cs="宋体" w:asciiTheme="minorEastAsia" w:hAnsiTheme="minorEastAsia" w:eastAsiaTheme="minorEastAsia"/>
                <w:b/>
                <w:bCs/>
                <w:color w:val="FFFFFF"/>
                <w:kern w:val="0"/>
              </w:rPr>
              <w:t>单位</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统一身份认证</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2</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安全管理平台产品</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3</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统一身份认证</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4</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防毒墙</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套</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5</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防火墙</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2</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6</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上网行为管理产品</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7</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入侵检测系统（</w:t>
            </w:r>
            <w:r>
              <w:rPr>
                <w:rFonts w:cs="宋体" w:asciiTheme="minorEastAsia" w:hAnsiTheme="minorEastAsia" w:eastAsiaTheme="minorEastAsia"/>
                <w:color w:val="000000"/>
                <w:kern w:val="0"/>
              </w:rPr>
              <w:t>IDS）</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8</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路由器</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heme="minorEastAsia" w:hAnsiTheme="minorEastAsia" w:eastAsiaTheme="minorEastAsia"/>
                <w:color w:val="000000"/>
                <w:kern w:val="0"/>
              </w:rPr>
            </w:pPr>
            <w:r>
              <w:rPr>
                <w:rFonts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9</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交换机</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7</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10</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交换机</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2</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11</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光模块</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44</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12</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交换机</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13</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13</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其他安全产品</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14</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其他安全产品</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套</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15</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其他安全产品</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台</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16</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其他安全产品</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10</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套</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17</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其他安全产品</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套</w:t>
            </w:r>
          </w:p>
        </w:tc>
      </w:tr>
      <w:tr>
        <w:tblPrEx>
          <w:tblCellMar>
            <w:top w:w="0" w:type="dxa"/>
            <w:left w:w="108" w:type="dxa"/>
            <w:bottom w:w="0" w:type="dxa"/>
            <w:right w:w="108" w:type="dxa"/>
          </w:tblCellMar>
        </w:tblPrEx>
        <w:trPr>
          <w:trHeight w:val="527" w:hRule="atLeast"/>
        </w:trPr>
        <w:tc>
          <w:tcPr>
            <w:tcW w:w="654"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18</w:t>
            </w:r>
          </w:p>
        </w:tc>
        <w:tc>
          <w:tcPr>
            <w:tcW w:w="3039"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密码应用功能模块</w:t>
            </w:r>
          </w:p>
        </w:tc>
        <w:tc>
          <w:tcPr>
            <w:tcW w:w="65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2</w:t>
            </w:r>
          </w:p>
        </w:tc>
        <w:tc>
          <w:tcPr>
            <w:tcW w:w="653"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人/月</w:t>
            </w:r>
          </w:p>
        </w:tc>
      </w:tr>
    </w:tbl>
    <w:p>
      <w:pPr>
        <w:rPr>
          <w:bCs/>
        </w:rPr>
      </w:pPr>
      <w:r>
        <w:rPr>
          <w:rFonts w:hint="eastAsia"/>
          <w:bCs/>
        </w:rPr>
        <w:t>是否按信</w:t>
      </w:r>
      <w:r>
        <w:rPr>
          <w:rFonts w:hint="eastAsia"/>
          <w:bCs/>
          <w:lang w:val="en-US" w:eastAsia="zh-CN"/>
        </w:rPr>
        <w:t>`</w:t>
      </w:r>
      <w:bookmarkStart w:id="37" w:name="_GoBack"/>
      <w:bookmarkEnd w:id="37"/>
      <w:r>
        <w:rPr>
          <w:rFonts w:hint="eastAsia"/>
          <w:bCs/>
        </w:rPr>
        <w:t>创要求建设：是</w:t>
      </w:r>
    </w:p>
    <w:p>
      <w:pPr>
        <w:pStyle w:val="2"/>
      </w:pPr>
      <w:bookmarkStart w:id="1" w:name="_Toc47531634"/>
      <w:bookmarkEnd w:id="1"/>
      <w:bookmarkStart w:id="2" w:name="_Toc47533256"/>
      <w:bookmarkEnd w:id="2"/>
      <w:bookmarkStart w:id="3" w:name="_Toc47536644"/>
      <w:bookmarkEnd w:id="3"/>
      <w:bookmarkStart w:id="4" w:name="_Toc47532891"/>
      <w:bookmarkEnd w:id="4"/>
      <w:bookmarkStart w:id="5" w:name="_Toc47532255"/>
      <w:bookmarkEnd w:id="5"/>
      <w:bookmarkStart w:id="6" w:name="_Toc47536272"/>
      <w:bookmarkEnd w:id="6"/>
      <w:bookmarkStart w:id="7" w:name="_Toc47537134"/>
      <w:bookmarkEnd w:id="7"/>
      <w:bookmarkStart w:id="8" w:name="_Toc47539070"/>
      <w:bookmarkEnd w:id="8"/>
      <w:bookmarkStart w:id="9" w:name="_Toc63785463"/>
      <w:bookmarkStart w:id="10" w:name="_Toc48223882"/>
      <w:r>
        <w:rPr>
          <w:rFonts w:hint="eastAsia"/>
        </w:rPr>
        <w:t>建设目标</w:t>
      </w:r>
      <w:bookmarkEnd w:id="9"/>
      <w:bookmarkEnd w:id="10"/>
    </w:p>
    <w:p>
      <w:pPr>
        <w:rPr>
          <w:bCs/>
        </w:rPr>
      </w:pPr>
      <w:r>
        <w:rPr>
          <w:rFonts w:hint="eastAsia"/>
          <w:bCs/>
        </w:rPr>
        <w:t>根据《信息安全技术网络安全等级保护基本要求》（</w:t>
      </w:r>
      <w:r>
        <w:rPr>
          <w:bCs/>
        </w:rPr>
        <w:t>GB/T 22239-2019）的有关规定，本次网络安全等级保护建设完成后，系统应当具备如下安全保护能力：</w:t>
      </w:r>
    </w:p>
    <w:p>
      <w:pPr>
        <w:rPr>
          <w:bCs/>
        </w:rPr>
      </w:pPr>
      <w:r>
        <w:rPr>
          <w:rFonts w:hint="eastAsia"/>
          <w:bCs/>
        </w:rPr>
        <w:t>应能够防护免受来自外部小型组织的、拥有少量资源的威胁源发起的恶意攻击、一般的自然灾难、以及其他相当危害程度的威胁所造成的重要资源损害，能够发现重要的安全漏洞和处置安全事件，在自身遭到损害后，能够在一段时间内恢复部分功能。</w:t>
      </w:r>
    </w:p>
    <w:p>
      <w:pPr>
        <w:rPr>
          <w:bCs/>
        </w:rPr>
      </w:pPr>
      <w:r>
        <w:rPr>
          <w:rFonts w:hint="eastAsia"/>
          <w:bCs/>
        </w:rPr>
        <w:t>为满足上述安全保护能力，将通过系统性、体系化的需求分析、方案设计和风险控制等方式，达到以下</w:t>
      </w:r>
      <w:r>
        <w:rPr>
          <w:bCs/>
        </w:rPr>
        <w:t>4个方面的建设目标：</w:t>
      </w:r>
    </w:p>
    <w:p>
      <w:pPr>
        <w:pStyle w:val="14"/>
        <w:numPr>
          <w:ilvl w:val="0"/>
          <w:numId w:val="2"/>
        </w:numPr>
        <w:ind w:firstLineChars="0"/>
        <w:rPr>
          <w:bCs/>
        </w:rPr>
      </w:pPr>
      <w:r>
        <w:rPr>
          <w:rFonts w:hint="eastAsia"/>
          <w:bCs/>
        </w:rPr>
        <w:t>完善网络安全防护技术措施，通过“一个中心、三重防护”的安全设计，形成网络安全综合技术防护体系，满足第二级系统网络安全等级保护相关技术要求；</w:t>
      </w:r>
    </w:p>
    <w:p>
      <w:pPr>
        <w:pStyle w:val="14"/>
        <w:numPr>
          <w:ilvl w:val="0"/>
          <w:numId w:val="2"/>
        </w:numPr>
        <w:ind w:firstLineChars="0"/>
        <w:rPr>
          <w:bCs/>
        </w:rPr>
      </w:pPr>
      <w:r>
        <w:rPr>
          <w:rFonts w:hint="eastAsia"/>
          <w:bCs/>
        </w:rPr>
        <w:t>建立、健全网络安全管理制度、机构和人员要求，提升网络安全管理能力，满足第二级系统网络安全等级保护相关管理要求；</w:t>
      </w:r>
    </w:p>
    <w:p>
      <w:pPr>
        <w:pStyle w:val="14"/>
        <w:numPr>
          <w:ilvl w:val="0"/>
          <w:numId w:val="2"/>
        </w:numPr>
        <w:ind w:firstLineChars="0"/>
        <w:rPr>
          <w:bCs/>
        </w:rPr>
      </w:pPr>
      <w:r>
        <w:rPr>
          <w:rFonts w:hint="eastAsia"/>
          <w:bCs/>
        </w:rPr>
        <w:t>通过体系化的网络安全建设，满足第二级系统等级保护合法、合规要求，有效维护社会秩序、公共利益以及公民、法人和其他组织的合法权益。</w:t>
      </w:r>
    </w:p>
    <w:p>
      <w:pPr>
        <w:pStyle w:val="14"/>
        <w:numPr>
          <w:ilvl w:val="0"/>
          <w:numId w:val="2"/>
        </w:numPr>
        <w:ind w:firstLineChars="0"/>
        <w:rPr>
          <w:bCs/>
        </w:rPr>
      </w:pPr>
      <w:r>
        <w:rPr>
          <w:rFonts w:hint="eastAsia"/>
          <w:bCs/>
        </w:rPr>
        <w:t>综合考虑本系统在物理和环境、网络和通信、设备和计算、应用和数据等层面的密码应用需求，充分利用已有密码资源，设计合规、正确、有效的密码应用技术方案，以达到《密码应用基本要求》中二级指标要求，并为后续密码保障体系建设、密码应用测评和密码应用安全性评估奠定坚实基础。</w:t>
      </w:r>
    </w:p>
    <w:p>
      <w:pPr>
        <w:pStyle w:val="14"/>
        <w:numPr>
          <w:ilvl w:val="0"/>
          <w:numId w:val="3"/>
        </w:numPr>
        <w:ind w:firstLineChars="0"/>
        <w:rPr>
          <w:bCs/>
        </w:rPr>
      </w:pPr>
      <w:r>
        <w:rPr>
          <w:bCs/>
        </w:rPr>
        <w:t>项目效益：</w:t>
      </w:r>
    </w:p>
    <w:p>
      <w:pPr>
        <w:rPr>
          <w:bCs/>
        </w:rPr>
      </w:pPr>
      <w:r>
        <w:rPr>
          <w:bCs/>
        </w:rPr>
        <w:t>1)</w:t>
      </w:r>
      <w:r>
        <w:rPr>
          <w:bCs/>
        </w:rPr>
        <w:tab/>
      </w:r>
      <w:r>
        <w:rPr>
          <w:bCs/>
        </w:rPr>
        <w:t>提高网络性能：通过更新网络设备，提高了网络带宽和传输速度，为博物馆的各项业务提供了更加高效的网络支持。</w:t>
      </w:r>
    </w:p>
    <w:p>
      <w:pPr>
        <w:rPr>
          <w:bCs/>
        </w:rPr>
      </w:pPr>
      <w:r>
        <w:rPr>
          <w:bCs/>
        </w:rPr>
        <w:t>2)</w:t>
      </w:r>
      <w:r>
        <w:rPr>
          <w:bCs/>
        </w:rPr>
        <w:tab/>
      </w:r>
      <w:r>
        <w:rPr>
          <w:bCs/>
        </w:rPr>
        <w:t>加强安全防护：通过升级安全设备，构建了多层次的安全防护体系，有效保障了文物数据、管理信息的安全性和完整性。</w:t>
      </w:r>
    </w:p>
    <w:p>
      <w:pPr>
        <w:rPr>
          <w:bCs/>
        </w:rPr>
      </w:pPr>
      <w:r>
        <w:rPr>
          <w:bCs/>
        </w:rPr>
        <w:t>3)</w:t>
      </w:r>
      <w:r>
        <w:rPr>
          <w:bCs/>
        </w:rPr>
        <w:tab/>
      </w:r>
      <w:r>
        <w:rPr>
          <w:bCs/>
        </w:rPr>
        <w:t>节约成本：通过充分利旧和选择性价比高的设备，我们实现了节约建设成本的目标。</w:t>
      </w:r>
    </w:p>
    <w:p>
      <w:pPr>
        <w:pStyle w:val="2"/>
      </w:pPr>
      <w:bookmarkStart w:id="11" w:name="_Toc47536676"/>
      <w:bookmarkEnd w:id="11"/>
      <w:bookmarkStart w:id="12" w:name="_Toc47533288"/>
      <w:bookmarkEnd w:id="12"/>
      <w:bookmarkStart w:id="13" w:name="_Toc47537166"/>
      <w:bookmarkEnd w:id="13"/>
      <w:bookmarkStart w:id="14" w:name="_Toc47539102"/>
      <w:bookmarkEnd w:id="14"/>
      <w:bookmarkStart w:id="15" w:name="_Toc47536304"/>
      <w:bookmarkEnd w:id="15"/>
      <w:bookmarkStart w:id="16" w:name="_Toc47532923"/>
      <w:bookmarkEnd w:id="16"/>
      <w:r>
        <w:rPr>
          <w:rFonts w:hint="eastAsia"/>
        </w:rPr>
        <w:t>项目建设内容</w:t>
      </w:r>
    </w:p>
    <w:p>
      <w:pPr>
        <w:rPr>
          <w:bCs/>
        </w:rPr>
      </w:pPr>
      <w:r>
        <w:rPr>
          <w:rFonts w:hint="eastAsia"/>
          <w:bCs/>
        </w:rPr>
        <w:t>本次项目建设为网络及安全设备的升级改造，不涉及新业务的建设开发。不涉及软件系统的用户角色分配问题。不涉及服务器及存储的需求。不涉及新的业务系统开发建设。本项目涉及商密等要求，因此会涉及到已有系统的改造。</w:t>
      </w:r>
    </w:p>
    <w:p>
      <w:pPr>
        <w:rPr>
          <w:bCs/>
        </w:rPr>
      </w:pPr>
      <w:r>
        <w:rPr>
          <w:rFonts w:hint="eastAsia"/>
          <w:bCs/>
        </w:rPr>
        <w:t>上海博物馆文物保护中心作为目前国内规模最大的文物保护科技中心，是我国文物保护科研的重要组成部分，应按照网络安全等级保护制度和行业法规标准的要求，开展网络安全等级保护建设工作，以建立、健全单位网络安全防护体系，提升系统整体网络安全防护能力，本项目将按照《信息安全等级保护管理办法》的规定，设定信息系统的安全保护等级为：二级。</w:t>
      </w:r>
    </w:p>
    <w:p>
      <w:pPr>
        <w:rPr>
          <w:bCs/>
        </w:rPr>
      </w:pPr>
      <w:r>
        <w:rPr>
          <w:rFonts w:hint="eastAsia"/>
          <w:bCs/>
        </w:rPr>
        <w:t>本系统的安全性有较高的要求，系统的设计必须严格保障系统的安全性能，包括对整个系统管理、设备、软件、网络等全方位的体现。</w:t>
      </w:r>
    </w:p>
    <w:p>
      <w:pPr>
        <w:rPr>
          <w:bCs/>
        </w:rPr>
      </w:pPr>
      <w:r>
        <w:rPr>
          <w:rFonts w:hint="eastAsia"/>
          <w:bCs/>
        </w:rPr>
        <w:t>由于在网络环境下，任何用户都有可能对任何资源包括硬件和软件资源的共享，所以必须通过制定相应的安全策略来防止非法访问者访问数据资源，对数据资源的存储以及传输进行安全性保护。在本系统中，参考OSI的七层协议，从网络级安全、传输级安全、系统级安全和应用级安全等几方面进行考虑，主要遵循下面的设计原则：</w:t>
      </w:r>
    </w:p>
    <w:p>
      <w:pPr>
        <w:rPr>
          <w:bCs/>
        </w:rPr>
      </w:pPr>
      <w:r>
        <w:rPr>
          <w:rFonts w:hint="eastAsia"/>
          <w:bCs/>
        </w:rPr>
        <w:t>标识与确认（Identification &amp; Authentication）</w:t>
      </w:r>
    </w:p>
    <w:p>
      <w:pPr>
        <w:rPr>
          <w:bCs/>
        </w:rPr>
      </w:pPr>
      <w:r>
        <w:rPr>
          <w:rFonts w:hint="eastAsia"/>
          <w:bCs/>
        </w:rPr>
        <w:t>任何用户访问系统资源，必须得到系统的身份认证以及身份标识，如用户的数据证书、用户号码、密码。当用户信息与确认信息一致时，才能获准访问系统。在本系统中，对操作系统，数据库系统和应用系统都有相应的用户和权限的设置。</w:t>
      </w:r>
    </w:p>
    <w:p>
      <w:pPr>
        <w:rPr>
          <w:bCs/>
        </w:rPr>
      </w:pPr>
      <w:r>
        <w:rPr>
          <w:rFonts w:hint="eastAsia"/>
          <w:bCs/>
        </w:rPr>
        <w:t>授权（Authorization）</w:t>
      </w:r>
    </w:p>
    <w:p>
      <w:pPr>
        <w:rPr>
          <w:bCs/>
        </w:rPr>
      </w:pPr>
      <w:r>
        <w:rPr>
          <w:rFonts w:hint="eastAsia"/>
          <w:bCs/>
        </w:rPr>
        <w:t>对系统资源，包括程序、数据文件、数据库等，根据其特性定义其保护等级；对不同的用户，规定不同的访问资源权限，系统将根据用户权限，授予其不同等级的系统资源的权限。</w:t>
      </w:r>
    </w:p>
    <w:p>
      <w:pPr>
        <w:rPr>
          <w:bCs/>
        </w:rPr>
      </w:pPr>
      <w:r>
        <w:rPr>
          <w:rFonts w:hint="eastAsia"/>
          <w:bCs/>
        </w:rPr>
        <w:t>日志（Logging）</w:t>
      </w:r>
    </w:p>
    <w:p>
      <w:pPr>
        <w:rPr>
          <w:bCs/>
        </w:rPr>
      </w:pPr>
      <w:r>
        <w:rPr>
          <w:rFonts w:hint="eastAsia"/>
          <w:bCs/>
        </w:rPr>
        <w:t>为了保护数据资源的安全，在系统中对所保护的资源进行任何存取操作，都做相应的记录，形成日志存档，完成基本的审计功能。</w:t>
      </w:r>
    </w:p>
    <w:p>
      <w:pPr>
        <w:rPr>
          <w:bCs/>
        </w:rPr>
      </w:pPr>
      <w:r>
        <w:rPr>
          <w:rFonts w:hint="eastAsia"/>
          <w:bCs/>
        </w:rPr>
        <w:t>加密（Encrypt）</w:t>
      </w:r>
    </w:p>
    <w:p>
      <w:pPr>
        <w:rPr>
          <w:bCs/>
        </w:rPr>
      </w:pPr>
      <w:r>
        <w:rPr>
          <w:rFonts w:hint="eastAsia"/>
          <w:bCs/>
        </w:rPr>
        <w:t>为了保护数据资源的安全，在系统中对在网络中传输的重要信息必须经过高强度的加密处理来保证数据传输过程的安全性。</w:t>
      </w:r>
    </w:p>
    <w:p>
      <w:pPr>
        <w:rPr>
          <w:bCs/>
        </w:rPr>
      </w:pPr>
      <w:r>
        <w:rPr>
          <w:rFonts w:hint="eastAsia"/>
          <w:bCs/>
        </w:rPr>
        <w:t>通过整体考虑来保证网络服务的可用性（Avaliability）、网络信息的保密性（Confidentiality）和网络信息的完整性（Integrity）。</w:t>
      </w:r>
    </w:p>
    <w:p>
      <w:pPr>
        <w:rPr>
          <w:bCs/>
        </w:rPr>
      </w:pPr>
      <w:r>
        <w:rPr>
          <w:rFonts w:hint="eastAsia"/>
          <w:bCs/>
        </w:rPr>
        <w:t>综上，本次方案安全系统涉及建设规划如下：</w:t>
      </w:r>
    </w:p>
    <w:p>
      <w:pPr>
        <w:ind w:firstLine="482"/>
        <w:rPr>
          <w:b/>
        </w:rPr>
      </w:pPr>
      <w:r>
        <w:rPr>
          <w:rFonts w:hint="eastAsia"/>
          <w:b/>
        </w:rPr>
        <w:t>1、软件开发清单：</w:t>
      </w:r>
    </w:p>
    <w:tbl>
      <w:tblPr>
        <w:tblStyle w:val="8"/>
        <w:tblW w:w="5000" w:type="pct"/>
        <w:jc w:val="center"/>
        <w:tblLayout w:type="autofit"/>
        <w:tblCellMar>
          <w:top w:w="0" w:type="dxa"/>
          <w:left w:w="108" w:type="dxa"/>
          <w:bottom w:w="0" w:type="dxa"/>
          <w:right w:w="108" w:type="dxa"/>
        </w:tblCellMar>
      </w:tblPr>
      <w:tblGrid>
        <w:gridCol w:w="658"/>
        <w:gridCol w:w="1542"/>
        <w:gridCol w:w="3164"/>
        <w:gridCol w:w="3164"/>
      </w:tblGrid>
      <w:tr>
        <w:tblPrEx>
          <w:tblCellMar>
            <w:top w:w="0" w:type="dxa"/>
            <w:left w:w="108" w:type="dxa"/>
            <w:bottom w:w="0" w:type="dxa"/>
            <w:right w:w="108" w:type="dxa"/>
          </w:tblCellMar>
        </w:tblPrEx>
        <w:trPr>
          <w:trHeight w:val="270" w:hRule="atLeast"/>
          <w:jc w:val="center"/>
        </w:trPr>
        <w:tc>
          <w:tcPr>
            <w:tcW w:w="386" w:type="pct"/>
            <w:tcBorders>
              <w:top w:val="single" w:color="auto" w:sz="4" w:space="0"/>
              <w:left w:val="single" w:color="auto" w:sz="4" w:space="0"/>
              <w:bottom w:val="single" w:color="auto" w:sz="4" w:space="0"/>
              <w:right w:val="single" w:color="auto" w:sz="4" w:space="0"/>
            </w:tcBorders>
            <w:shd w:val="clear" w:color="000000" w:fill="F3F8FC"/>
            <w:noWrap/>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序号</w:t>
            </w:r>
          </w:p>
        </w:tc>
        <w:tc>
          <w:tcPr>
            <w:tcW w:w="904" w:type="pct"/>
            <w:tcBorders>
              <w:top w:val="single" w:color="auto" w:sz="4" w:space="0"/>
              <w:left w:val="nil"/>
              <w:bottom w:val="single" w:color="auto" w:sz="4" w:space="0"/>
              <w:right w:val="single" w:color="auto" w:sz="4" w:space="0"/>
            </w:tcBorders>
            <w:shd w:val="clear" w:color="000000" w:fill="F3F8FC"/>
            <w:noWrap/>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应用系统名称</w:t>
            </w:r>
          </w:p>
        </w:tc>
        <w:tc>
          <w:tcPr>
            <w:tcW w:w="1855" w:type="pct"/>
            <w:tcBorders>
              <w:top w:val="single" w:color="auto" w:sz="4" w:space="0"/>
              <w:left w:val="nil"/>
              <w:bottom w:val="single" w:color="auto" w:sz="4" w:space="0"/>
              <w:right w:val="single" w:color="auto" w:sz="4" w:space="0"/>
            </w:tcBorders>
            <w:shd w:val="clear" w:color="000000" w:fill="F3F8FC"/>
            <w:noWrap/>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模块名称</w:t>
            </w:r>
          </w:p>
        </w:tc>
        <w:tc>
          <w:tcPr>
            <w:tcW w:w="1855" w:type="pct"/>
            <w:tcBorders>
              <w:top w:val="single" w:color="auto" w:sz="4" w:space="0"/>
              <w:left w:val="nil"/>
              <w:bottom w:val="single" w:color="auto" w:sz="4" w:space="0"/>
              <w:right w:val="single" w:color="auto" w:sz="4" w:space="0"/>
            </w:tcBorders>
            <w:shd w:val="clear" w:color="000000" w:fill="F3F8FC"/>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模块描述</w:t>
            </w:r>
          </w:p>
        </w:tc>
      </w:tr>
      <w:tr>
        <w:tblPrEx>
          <w:tblCellMar>
            <w:top w:w="0" w:type="dxa"/>
            <w:left w:w="108" w:type="dxa"/>
            <w:bottom w:w="0" w:type="dxa"/>
            <w:right w:w="108" w:type="dxa"/>
          </w:tblCellMar>
        </w:tblPrEx>
        <w:trPr>
          <w:trHeight w:val="699"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1</w:t>
            </w:r>
          </w:p>
        </w:tc>
        <w:tc>
          <w:tcPr>
            <w:tcW w:w="904"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密码应用适配开发</w:t>
            </w:r>
          </w:p>
        </w:tc>
        <w:tc>
          <w:tcPr>
            <w:tcW w:w="1855"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文物修复系统、检测检验管理系统、科研项目管理系统、古代工艺管理系统、学术活动管理系统等模块的密码应用适配开发</w:t>
            </w:r>
          </w:p>
        </w:tc>
        <w:tc>
          <w:tcPr>
            <w:tcW w:w="1855"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为实现网络和通信、设备和计算、应用和数据等层面的密码应用功能，开发适配文物修复系统、检测检验管理系统、科研项目管理系统、古代工艺管理系统、学术活动管理系统等密码应用的适配开发。</w:t>
            </w:r>
          </w:p>
        </w:tc>
      </w:tr>
    </w:tbl>
    <w:p>
      <w:pPr>
        <w:ind w:firstLine="482"/>
        <w:rPr>
          <w:b/>
        </w:rPr>
      </w:pPr>
      <w:r>
        <w:rPr>
          <w:rFonts w:hint="eastAsia"/>
          <w:b/>
        </w:rPr>
        <w:t>2、</w:t>
      </w:r>
      <w:r>
        <w:rPr>
          <w:rFonts w:hint="eastAsia"/>
          <w:b/>
          <w:lang w:eastAsia="zh-CN"/>
        </w:rPr>
        <w:t>网络</w:t>
      </w:r>
      <w:r>
        <w:rPr>
          <w:rFonts w:hint="eastAsia"/>
          <w:b/>
        </w:rPr>
        <w:t>产品购置清单：</w:t>
      </w:r>
    </w:p>
    <w:tbl>
      <w:tblPr>
        <w:tblStyle w:val="8"/>
        <w:tblW w:w="5000" w:type="pct"/>
        <w:jc w:val="center"/>
        <w:tblLayout w:type="autofit"/>
        <w:tblCellMar>
          <w:top w:w="0" w:type="dxa"/>
          <w:left w:w="108" w:type="dxa"/>
          <w:bottom w:w="0" w:type="dxa"/>
          <w:right w:w="108" w:type="dxa"/>
        </w:tblCellMar>
      </w:tblPr>
      <w:tblGrid>
        <w:gridCol w:w="658"/>
        <w:gridCol w:w="727"/>
        <w:gridCol w:w="764"/>
        <w:gridCol w:w="5091"/>
        <w:gridCol w:w="817"/>
        <w:gridCol w:w="471"/>
      </w:tblGrid>
      <w:tr>
        <w:tblPrEx>
          <w:tblCellMar>
            <w:top w:w="0" w:type="dxa"/>
            <w:left w:w="108" w:type="dxa"/>
            <w:bottom w:w="0" w:type="dxa"/>
            <w:right w:w="108" w:type="dxa"/>
          </w:tblCellMar>
        </w:tblPrEx>
        <w:trPr>
          <w:trHeight w:val="270" w:hRule="atLeast"/>
          <w:jc w:val="center"/>
        </w:trPr>
        <w:tc>
          <w:tcPr>
            <w:tcW w:w="386" w:type="pct"/>
            <w:tcBorders>
              <w:top w:val="single" w:color="auto" w:sz="4" w:space="0"/>
              <w:left w:val="single" w:color="auto" w:sz="4" w:space="0"/>
              <w:bottom w:val="single" w:color="auto" w:sz="4" w:space="0"/>
              <w:right w:val="single" w:color="auto" w:sz="4" w:space="0"/>
            </w:tcBorders>
            <w:shd w:val="clear" w:color="000000" w:fill="F3F8FC"/>
            <w:noWrap/>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序号</w:t>
            </w:r>
          </w:p>
        </w:tc>
        <w:tc>
          <w:tcPr>
            <w:tcW w:w="426" w:type="pct"/>
            <w:tcBorders>
              <w:top w:val="single" w:color="auto" w:sz="4" w:space="0"/>
              <w:left w:val="nil"/>
              <w:bottom w:val="single" w:color="auto" w:sz="4" w:space="0"/>
              <w:right w:val="single" w:color="auto" w:sz="4" w:space="0"/>
            </w:tcBorders>
            <w:shd w:val="clear" w:color="000000" w:fill="F3F8FC"/>
            <w:noWrap/>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名称</w:t>
            </w:r>
          </w:p>
        </w:tc>
        <w:tc>
          <w:tcPr>
            <w:tcW w:w="448" w:type="pct"/>
            <w:tcBorders>
              <w:top w:val="single" w:color="auto" w:sz="4" w:space="0"/>
              <w:left w:val="nil"/>
              <w:bottom w:val="single" w:color="auto" w:sz="4" w:space="0"/>
              <w:right w:val="single" w:color="auto" w:sz="4" w:space="0"/>
            </w:tcBorders>
            <w:shd w:val="clear" w:color="000000" w:fill="F3F8FC"/>
            <w:noWrap/>
            <w:vAlign w:val="center"/>
          </w:tcPr>
          <w:p>
            <w:pPr>
              <w:widowControl/>
              <w:spacing w:line="240" w:lineRule="auto"/>
              <w:ind w:firstLine="0" w:firstLineChars="0"/>
              <w:jc w:val="center"/>
              <w:rPr>
                <w:rFonts w:cs="宋体"/>
                <w:b/>
                <w:color w:val="000000"/>
                <w:kern w:val="0"/>
                <w:sz w:val="22"/>
                <w:szCs w:val="22"/>
              </w:rPr>
            </w:pPr>
            <w:r>
              <w:rPr>
                <w:rFonts w:cs="宋体"/>
                <w:b/>
                <w:color w:val="000000"/>
                <w:kern w:val="0"/>
                <w:sz w:val="22"/>
                <w:szCs w:val="22"/>
              </w:rPr>
              <w:t>类别</w:t>
            </w:r>
          </w:p>
        </w:tc>
        <w:tc>
          <w:tcPr>
            <w:tcW w:w="2985" w:type="pct"/>
            <w:tcBorders>
              <w:top w:val="single" w:color="auto" w:sz="4" w:space="0"/>
              <w:left w:val="nil"/>
              <w:bottom w:val="single" w:color="auto" w:sz="4" w:space="0"/>
              <w:right w:val="single" w:color="auto" w:sz="4" w:space="0"/>
            </w:tcBorders>
            <w:shd w:val="clear" w:color="000000" w:fill="F3F8FC"/>
            <w:vAlign w:val="center"/>
          </w:tcPr>
          <w:p>
            <w:pPr>
              <w:widowControl/>
              <w:spacing w:line="240" w:lineRule="auto"/>
              <w:ind w:firstLine="0" w:firstLineChars="0"/>
              <w:jc w:val="center"/>
              <w:rPr>
                <w:rFonts w:cs="宋体"/>
                <w:b/>
                <w:color w:val="000000"/>
                <w:kern w:val="0"/>
                <w:sz w:val="22"/>
                <w:szCs w:val="22"/>
              </w:rPr>
            </w:pPr>
            <w:r>
              <w:rPr>
                <w:rFonts w:cs="宋体"/>
                <w:b/>
                <w:color w:val="000000"/>
                <w:kern w:val="0"/>
                <w:sz w:val="22"/>
                <w:szCs w:val="22"/>
              </w:rPr>
              <w:t>配置要求</w:t>
            </w:r>
          </w:p>
        </w:tc>
        <w:tc>
          <w:tcPr>
            <w:tcW w:w="479" w:type="pct"/>
            <w:tcBorders>
              <w:top w:val="single" w:color="auto" w:sz="4" w:space="0"/>
              <w:left w:val="nil"/>
              <w:bottom w:val="single" w:color="auto" w:sz="4" w:space="0"/>
              <w:right w:val="single" w:color="auto" w:sz="4" w:space="0"/>
            </w:tcBorders>
            <w:shd w:val="clear" w:color="000000" w:fill="F3F8FC"/>
            <w:vAlign w:val="center"/>
          </w:tcPr>
          <w:p>
            <w:pPr>
              <w:widowControl/>
              <w:spacing w:line="240" w:lineRule="auto"/>
              <w:ind w:firstLine="0" w:firstLineChars="0"/>
              <w:jc w:val="center"/>
              <w:rPr>
                <w:rFonts w:cs="宋体"/>
                <w:b/>
                <w:color w:val="000000"/>
                <w:kern w:val="0"/>
                <w:sz w:val="22"/>
                <w:szCs w:val="22"/>
              </w:rPr>
            </w:pPr>
            <w:r>
              <w:rPr>
                <w:rFonts w:cs="宋体"/>
                <w:b/>
                <w:color w:val="000000"/>
                <w:kern w:val="0"/>
                <w:sz w:val="22"/>
                <w:szCs w:val="22"/>
              </w:rPr>
              <w:t>数量</w:t>
            </w:r>
          </w:p>
        </w:tc>
        <w:tc>
          <w:tcPr>
            <w:tcW w:w="277" w:type="pct"/>
            <w:tcBorders>
              <w:top w:val="single" w:color="auto" w:sz="4" w:space="0"/>
              <w:left w:val="nil"/>
              <w:bottom w:val="single" w:color="auto" w:sz="4" w:space="0"/>
              <w:right w:val="single" w:color="auto" w:sz="4" w:space="0"/>
            </w:tcBorders>
            <w:shd w:val="clear" w:color="000000" w:fill="F3F8FC"/>
            <w:vAlign w:val="center"/>
          </w:tcPr>
          <w:p>
            <w:pPr>
              <w:widowControl/>
              <w:spacing w:line="240" w:lineRule="auto"/>
              <w:ind w:firstLine="0" w:firstLineChars="0"/>
              <w:jc w:val="center"/>
              <w:rPr>
                <w:rFonts w:cs="宋体"/>
                <w:b/>
                <w:color w:val="000000"/>
                <w:kern w:val="0"/>
                <w:sz w:val="22"/>
                <w:szCs w:val="22"/>
              </w:rPr>
            </w:pPr>
            <w:r>
              <w:rPr>
                <w:rFonts w:cs="宋体"/>
                <w:b/>
                <w:color w:val="000000"/>
                <w:kern w:val="0"/>
                <w:sz w:val="22"/>
                <w:szCs w:val="22"/>
              </w:rPr>
              <w:t>单位</w:t>
            </w:r>
          </w:p>
        </w:tc>
      </w:tr>
      <w:tr>
        <w:tblPrEx>
          <w:tblCellMar>
            <w:top w:w="0" w:type="dxa"/>
            <w:left w:w="108" w:type="dxa"/>
            <w:bottom w:w="0" w:type="dxa"/>
            <w:right w:w="108" w:type="dxa"/>
          </w:tblCellMar>
        </w:tblPrEx>
        <w:trPr>
          <w:trHeight w:val="1140"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1</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bookmarkStart w:id="17" w:name="OLE_LINK16"/>
            <w:bookmarkStart w:id="18" w:name="OLE_LINK17"/>
            <w:r>
              <w:rPr>
                <w:rFonts w:ascii="Tahoma" w:hAnsi="Tahoma" w:cs="Tahoma"/>
                <w:color w:val="000000"/>
                <w:kern w:val="0"/>
                <w:sz w:val="22"/>
                <w:szCs w:val="22"/>
              </w:rPr>
              <w:t>网络设备</w:t>
            </w:r>
            <w:bookmarkEnd w:id="17"/>
            <w:bookmarkEnd w:id="18"/>
          </w:p>
        </w:tc>
        <w:tc>
          <w:tcPr>
            <w:tcW w:w="448"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路由器</w:t>
            </w:r>
          </w:p>
        </w:tc>
        <w:tc>
          <w:tcPr>
            <w:tcW w:w="2985"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交换容量≥</w:t>
            </w:r>
            <w:r>
              <w:rPr>
                <w:rFonts w:ascii="Tahoma" w:hAnsi="Tahoma" w:cs="Tahoma"/>
                <w:color w:val="000000"/>
                <w:kern w:val="0"/>
                <w:sz w:val="22"/>
                <w:szCs w:val="22"/>
              </w:rPr>
              <w:t>400Gbps；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包转发率≥</w:t>
            </w:r>
            <w:r>
              <w:rPr>
                <w:rFonts w:ascii="Tahoma" w:hAnsi="Tahoma" w:cs="Tahoma"/>
                <w:color w:val="000000"/>
                <w:kern w:val="0"/>
                <w:sz w:val="22"/>
                <w:szCs w:val="22"/>
              </w:rPr>
              <w:t>400Mpps；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交换架构：集中式；</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满足国产化要求，设备关键核心芯片（</w:t>
            </w:r>
            <w:r>
              <w:rPr>
                <w:rFonts w:ascii="Tahoma" w:hAnsi="Tahoma" w:cs="Tahoma"/>
                <w:color w:val="000000"/>
                <w:kern w:val="0"/>
                <w:sz w:val="22"/>
                <w:szCs w:val="22"/>
              </w:rPr>
              <w:t>CPU/内存/以太网MAC（FPGA）/以太网PHY）采用国产化芯片；</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配置万兆光接口≥</w:t>
            </w:r>
            <w:r>
              <w:rPr>
                <w:rFonts w:ascii="Tahoma" w:hAnsi="Tahoma" w:cs="Tahoma"/>
                <w:color w:val="000000"/>
                <w:kern w:val="0"/>
                <w:sz w:val="22"/>
                <w:szCs w:val="22"/>
              </w:rPr>
              <w:t>6个，千兆电接口≥8个，光电复用口≥2个，提供官网链接及截图证明；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支持扩展槽数量≥</w:t>
            </w:r>
            <w:r>
              <w:rPr>
                <w:rFonts w:ascii="Tahoma" w:hAnsi="Tahoma" w:cs="Tahoma"/>
                <w:color w:val="000000"/>
                <w:kern w:val="0"/>
                <w:sz w:val="22"/>
                <w:szCs w:val="22"/>
              </w:rPr>
              <w:t>8，提供官网链接及截图证明；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支持静态路由，</w:t>
            </w:r>
            <w:r>
              <w:rPr>
                <w:rFonts w:ascii="Tahoma" w:hAnsi="Tahoma" w:cs="Tahoma"/>
                <w:color w:val="000000"/>
                <w:kern w:val="0"/>
                <w:sz w:val="22"/>
                <w:szCs w:val="22"/>
              </w:rPr>
              <w:t>RIP，OSPF，IS-IS，BGP；</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支持内置智能管理中心功能，能作为管理中心，对接入设备进行统一智能化管理，提供官网链接及截图；</w:t>
            </w:r>
          </w:p>
        </w:tc>
        <w:tc>
          <w:tcPr>
            <w:tcW w:w="4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277"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台</w:t>
            </w:r>
          </w:p>
        </w:tc>
      </w:tr>
      <w:tr>
        <w:tblPrEx>
          <w:tblCellMar>
            <w:top w:w="0" w:type="dxa"/>
            <w:left w:w="108" w:type="dxa"/>
            <w:bottom w:w="0" w:type="dxa"/>
            <w:right w:w="108" w:type="dxa"/>
          </w:tblCellMar>
        </w:tblPrEx>
        <w:trPr>
          <w:trHeight w:val="1140"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网络设备</w:t>
            </w:r>
          </w:p>
        </w:tc>
        <w:tc>
          <w:tcPr>
            <w:tcW w:w="448"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POE交换机</w:t>
            </w:r>
          </w:p>
        </w:tc>
        <w:tc>
          <w:tcPr>
            <w:tcW w:w="2985"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交换容量≥</w:t>
            </w:r>
            <w:r>
              <w:rPr>
                <w:rFonts w:ascii="Tahoma" w:hAnsi="Tahoma" w:cs="Tahoma"/>
                <w:color w:val="000000"/>
                <w:kern w:val="0"/>
                <w:sz w:val="22"/>
                <w:szCs w:val="22"/>
              </w:rPr>
              <w:t>672Gbps/6.72Tbps，包转发率≥171Mpps，L2以太网交换机主机,支持20个10/100/1000BASE-TPoE+电囗,4组GE/SFP Combo囗,4个1G/10G BASE-XSFP+端口,支持AC；</w:t>
            </w:r>
          </w:p>
        </w:tc>
        <w:tc>
          <w:tcPr>
            <w:tcW w:w="4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w:t>
            </w:r>
          </w:p>
        </w:tc>
        <w:tc>
          <w:tcPr>
            <w:tcW w:w="277"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台</w:t>
            </w:r>
          </w:p>
        </w:tc>
      </w:tr>
      <w:tr>
        <w:tblPrEx>
          <w:tblCellMar>
            <w:top w:w="0" w:type="dxa"/>
            <w:left w:w="108" w:type="dxa"/>
            <w:bottom w:w="0" w:type="dxa"/>
            <w:right w:w="108" w:type="dxa"/>
          </w:tblCellMar>
        </w:tblPrEx>
        <w:trPr>
          <w:trHeight w:val="1140"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网络设备</w:t>
            </w:r>
          </w:p>
        </w:tc>
        <w:tc>
          <w:tcPr>
            <w:tcW w:w="448"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核心交换机</w:t>
            </w:r>
          </w:p>
        </w:tc>
        <w:tc>
          <w:tcPr>
            <w:tcW w:w="2985"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交换容量≥</w:t>
            </w:r>
            <w:r>
              <w:rPr>
                <w:rFonts w:ascii="Tahoma" w:hAnsi="Tahoma" w:cs="Tahoma"/>
                <w:color w:val="000000"/>
                <w:kern w:val="0"/>
                <w:sz w:val="22"/>
                <w:szCs w:val="22"/>
              </w:rPr>
              <w:t>50Tbps；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包转发率≥</w:t>
            </w:r>
            <w:r>
              <w:rPr>
                <w:rFonts w:ascii="Tahoma" w:hAnsi="Tahoma" w:cs="Tahoma"/>
                <w:color w:val="000000"/>
                <w:kern w:val="0"/>
                <w:sz w:val="22"/>
                <w:szCs w:val="22"/>
              </w:rPr>
              <w:t>37000Mpps；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支持主控≥</w:t>
            </w:r>
            <w:r>
              <w:rPr>
                <w:rFonts w:ascii="Tahoma" w:hAnsi="Tahoma" w:cs="Tahoma"/>
                <w:color w:val="000000"/>
                <w:kern w:val="0"/>
                <w:sz w:val="22"/>
                <w:szCs w:val="22"/>
              </w:rPr>
              <w:t>2，独立业务槽位≥3，电源≥2，提供官网链接及截图；</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为支持后续方案演进，支持</w:t>
            </w:r>
            <w:r>
              <w:rPr>
                <w:rFonts w:ascii="Tahoma" w:hAnsi="Tahoma" w:cs="Tahoma"/>
                <w:color w:val="000000"/>
                <w:kern w:val="0"/>
                <w:sz w:val="22"/>
                <w:szCs w:val="22"/>
              </w:rPr>
              <w:t>FW防火墙和IPS防火墙业务卡，提供官网链接及截图；</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为支持后续方案演进，支持</w:t>
            </w:r>
            <w:r>
              <w:rPr>
                <w:rFonts w:ascii="Tahoma" w:hAnsi="Tahoma" w:cs="Tahoma"/>
                <w:color w:val="000000"/>
                <w:kern w:val="0"/>
                <w:sz w:val="22"/>
                <w:szCs w:val="22"/>
              </w:rPr>
              <w:t>PON插卡，提供官网链接及截图；</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满足国产化要求，设备关键核心芯片（</w:t>
            </w:r>
            <w:r>
              <w:rPr>
                <w:rFonts w:ascii="Tahoma" w:hAnsi="Tahoma" w:cs="Tahoma"/>
                <w:color w:val="000000"/>
                <w:kern w:val="0"/>
                <w:sz w:val="22"/>
                <w:szCs w:val="22"/>
              </w:rPr>
              <w:t>CPU/交换芯片）采用国产化芯片；</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4K个VLAN，支持QINQ和灵活QINQ；</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支持集群或堆叠多虚一技术，支持</w:t>
            </w:r>
            <w:r>
              <w:rPr>
                <w:rFonts w:ascii="Tahoma" w:hAnsi="Tahoma" w:cs="Tahoma"/>
                <w:color w:val="000000"/>
                <w:kern w:val="0"/>
                <w:sz w:val="22"/>
                <w:szCs w:val="22"/>
              </w:rPr>
              <w:t>M-LAG或VPC技术，提供官网链接及截图；</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IPv4、IPv6静态路由，RIP等三层动态路由协议支持策略路由器；支持RIP v1/2、RIPng；支持等价路由、VRRP、OSPFv1/v2、OSPF v3、BGP、ISIS等增强三层路由协议；</w:t>
            </w:r>
          </w:p>
        </w:tc>
        <w:tc>
          <w:tcPr>
            <w:tcW w:w="4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w:t>
            </w:r>
          </w:p>
        </w:tc>
        <w:tc>
          <w:tcPr>
            <w:tcW w:w="277"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台</w:t>
            </w:r>
          </w:p>
        </w:tc>
      </w:tr>
      <w:tr>
        <w:tblPrEx>
          <w:tblCellMar>
            <w:top w:w="0" w:type="dxa"/>
            <w:left w:w="108" w:type="dxa"/>
            <w:bottom w:w="0" w:type="dxa"/>
            <w:right w:w="108" w:type="dxa"/>
          </w:tblCellMar>
        </w:tblPrEx>
        <w:trPr>
          <w:trHeight w:val="1140"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网络设备</w:t>
            </w:r>
          </w:p>
        </w:tc>
        <w:tc>
          <w:tcPr>
            <w:tcW w:w="448"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光模块</w:t>
            </w:r>
          </w:p>
        </w:tc>
        <w:tc>
          <w:tcPr>
            <w:tcW w:w="2985"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hint="eastAsia" w:ascii="Tahoma" w:hAnsi="Tahoma" w:eastAsia="宋体" w:cs="Tahoma"/>
                <w:color w:val="000000"/>
                <w:kern w:val="0"/>
                <w:sz w:val="22"/>
                <w:szCs w:val="22"/>
                <w:lang w:eastAsia="zh-CN"/>
              </w:rPr>
            </w:pPr>
            <w:r>
              <w:rPr>
                <w:rFonts w:ascii="Tahoma" w:hAnsi="Tahoma" w:cs="Tahoma"/>
                <w:color w:val="000000"/>
                <w:kern w:val="0"/>
                <w:sz w:val="22"/>
                <w:szCs w:val="22"/>
              </w:rPr>
              <w:t>千兆多模</w:t>
            </w:r>
            <w:r>
              <w:rPr>
                <w:rFonts w:hint="eastAsia" w:ascii="Tahoma" w:hAnsi="Tahoma" w:cs="Tahoma"/>
                <w:color w:val="000000"/>
                <w:kern w:val="0"/>
                <w:sz w:val="22"/>
                <w:szCs w:val="22"/>
                <w:lang w:val="en-US" w:eastAsia="zh-CN"/>
              </w:rPr>
              <w:t xml:space="preserve"> </w:t>
            </w:r>
          </w:p>
        </w:tc>
        <w:tc>
          <w:tcPr>
            <w:tcW w:w="4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44</w:t>
            </w:r>
          </w:p>
        </w:tc>
        <w:tc>
          <w:tcPr>
            <w:tcW w:w="277"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台</w:t>
            </w:r>
          </w:p>
        </w:tc>
      </w:tr>
      <w:tr>
        <w:tblPrEx>
          <w:tblCellMar>
            <w:top w:w="0" w:type="dxa"/>
            <w:left w:w="108" w:type="dxa"/>
            <w:bottom w:w="0" w:type="dxa"/>
            <w:right w:w="108" w:type="dxa"/>
          </w:tblCellMar>
        </w:tblPrEx>
        <w:trPr>
          <w:trHeight w:val="1140"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网络设备</w:t>
            </w:r>
          </w:p>
        </w:tc>
        <w:tc>
          <w:tcPr>
            <w:tcW w:w="448"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楼层交换机</w:t>
            </w:r>
          </w:p>
        </w:tc>
        <w:tc>
          <w:tcPr>
            <w:tcW w:w="2985"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交换容量≥</w:t>
            </w:r>
            <w:r>
              <w:rPr>
                <w:rFonts w:ascii="Tahoma" w:hAnsi="Tahoma" w:cs="Tahoma"/>
                <w:color w:val="000000"/>
                <w:kern w:val="0"/>
                <w:sz w:val="22"/>
                <w:szCs w:val="22"/>
              </w:rPr>
              <w:t>672Gbps/6.72Tbps；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包转发≥</w:t>
            </w:r>
            <w:r>
              <w:rPr>
                <w:rFonts w:ascii="Tahoma" w:hAnsi="Tahoma" w:cs="Tahoma"/>
                <w:color w:val="000000"/>
                <w:kern w:val="0"/>
                <w:sz w:val="22"/>
                <w:szCs w:val="22"/>
              </w:rPr>
              <w:t>171Mpps；</w:t>
            </w:r>
          </w:p>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L2以太网交换机主机,支持24个10/100/1000BASE-T电7,支持4个1G/10G BASE-XSFP+端口,支持AC；</w:t>
            </w:r>
          </w:p>
        </w:tc>
        <w:tc>
          <w:tcPr>
            <w:tcW w:w="4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w:t>
            </w:r>
          </w:p>
        </w:tc>
        <w:tc>
          <w:tcPr>
            <w:tcW w:w="277"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台</w:t>
            </w:r>
          </w:p>
        </w:tc>
      </w:tr>
    </w:tbl>
    <w:p>
      <w:pPr>
        <w:ind w:firstLine="482"/>
        <w:rPr>
          <w:b/>
        </w:rPr>
      </w:pPr>
      <w:r>
        <w:rPr>
          <w:rFonts w:hint="eastAsia"/>
          <w:b/>
        </w:rPr>
        <w:t>3、安全产品购置清单:</w:t>
      </w:r>
    </w:p>
    <w:tbl>
      <w:tblPr>
        <w:tblStyle w:val="8"/>
        <w:tblW w:w="5000" w:type="pct"/>
        <w:jc w:val="center"/>
        <w:tblLayout w:type="autofit"/>
        <w:tblCellMar>
          <w:top w:w="0" w:type="dxa"/>
          <w:left w:w="108" w:type="dxa"/>
          <w:bottom w:w="0" w:type="dxa"/>
          <w:right w:w="108" w:type="dxa"/>
        </w:tblCellMar>
      </w:tblPr>
      <w:tblGrid>
        <w:gridCol w:w="496"/>
        <w:gridCol w:w="480"/>
        <w:gridCol w:w="724"/>
        <w:gridCol w:w="5760"/>
        <w:gridCol w:w="497"/>
        <w:gridCol w:w="571"/>
      </w:tblGrid>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序号</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名称</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类别</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功能说明/配置要求</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数量</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textAlignment w:val="center"/>
              <w:rPr>
                <w:rFonts w:cs="宋体"/>
                <w:b/>
                <w:bCs/>
                <w:color w:val="000000"/>
                <w:kern w:val="0"/>
                <w:sz w:val="22"/>
                <w:szCs w:val="22"/>
              </w:rPr>
            </w:pPr>
            <w:r>
              <w:rPr>
                <w:rFonts w:hint="eastAsia" w:cs="宋体"/>
                <w:b/>
                <w:bCs/>
                <w:color w:val="000000"/>
                <w:kern w:val="0"/>
                <w:sz w:val="22"/>
                <w:szCs w:val="22"/>
              </w:rPr>
              <w:t>单位</w:t>
            </w:r>
          </w:p>
        </w:tc>
      </w:tr>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统一身份认证</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规格：</w:t>
            </w:r>
            <w:r>
              <w:rPr>
                <w:rFonts w:ascii="Tahoma" w:hAnsi="Tahoma" w:cs="Tahoma"/>
                <w:color w:val="000000"/>
                <w:kern w:val="0"/>
                <w:sz w:val="22"/>
                <w:szCs w:val="22"/>
              </w:rPr>
              <w:t>1U，内存≥16G，硬盘容量≥480G SSD，电源：冗余电源，接口：千兆电口≥6、千兆光口SFP≥4</w:t>
            </w:r>
            <w:r>
              <w:rPr>
                <w:rFonts w:hint="eastAsia" w:ascii="Tahoma" w:hAnsi="Tahoma" w:cs="Tahoma"/>
                <w:color w:val="000000"/>
                <w:kern w:val="0"/>
                <w:sz w:val="22"/>
                <w:szCs w:val="22"/>
              </w:rPr>
              <w:t>。</w:t>
            </w:r>
          </w:p>
          <w:p>
            <w:pPr>
              <w:widowControl/>
              <w:spacing w:line="240" w:lineRule="auto"/>
              <w:ind w:firstLine="0" w:firstLineChars="0"/>
              <w:rPr>
                <w:rFonts w:hint="eastAsia" w:ascii="Tahoma" w:hAnsi="Tahoma" w:cs="Tahoma"/>
                <w:color w:val="000000"/>
                <w:kern w:val="0"/>
                <w:sz w:val="22"/>
                <w:szCs w:val="22"/>
              </w:rPr>
            </w:pPr>
            <w:r>
              <w:rPr>
                <w:rFonts w:hint="eastAsia" w:ascii="Tahoma" w:hAnsi="Tahoma" w:cs="Tahoma"/>
                <w:color w:val="000000"/>
                <w:kern w:val="0"/>
                <w:sz w:val="22"/>
                <w:szCs w:val="22"/>
              </w:rPr>
              <w:t>最大理论加密流量≥</w:t>
            </w:r>
            <w:r>
              <w:rPr>
                <w:rFonts w:ascii="Tahoma" w:hAnsi="Tahoma" w:cs="Tahoma"/>
                <w:color w:val="000000"/>
                <w:kern w:val="0"/>
                <w:sz w:val="22"/>
                <w:szCs w:val="22"/>
              </w:rPr>
              <w:t>600 Mbps，最大理论建议并发用户数≥1200</w:t>
            </w:r>
            <w:r>
              <w:rPr>
                <w:rFonts w:hint="eastAsia"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为保证产品稳定性和先进性，所投产品需采用零信任架构，满足默认不信任，持续验证的要求。</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满足身份安全要求，应支持多因素认证，至少包括：账号密码认证、短信认证、证书认证、动态令牌认证、扫码认证，以及对接统一认证平台实现单点登录等认证方式。账号密码认证应支持设备自带账号密码认证，或通过</w:t>
            </w:r>
            <w:r>
              <w:rPr>
                <w:rFonts w:ascii="Tahoma" w:hAnsi="Tahoma" w:cs="Tahoma"/>
                <w:color w:val="000000"/>
                <w:kern w:val="0"/>
                <w:sz w:val="22"/>
                <w:szCs w:val="22"/>
              </w:rPr>
              <w:t>LDAP/Radius/HTTPS协议对接第三方认证服务器。扫码认证应至少支持零信任客户端、企微、钉钉、飞书扫码认证。单点登录应支持标准的CAS、OAuth2.0、OIDC协议对接；</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强化系统认证安全性，可配置在触发异常环境的条件时，用户需完成增强认证才可登录。可配置的异常环境包括但不限于：账号首次登录、账号在该终端首次登录、闲置账号登录、弱密码登录、异常时间登录、非常用地点登录等（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为满足组织灵活的管理要求，支持配置动态访问规则，可配置化的</w:t>
            </w:r>
            <w:r>
              <w:rPr>
                <w:rFonts w:ascii="Tahoma" w:hAnsi="Tahoma" w:cs="Tahoma"/>
                <w:color w:val="000000"/>
                <w:kern w:val="0"/>
                <w:sz w:val="22"/>
                <w:szCs w:val="22"/>
              </w:rPr>
              <w:t>ACL规则引擎，可以灵活地将终端环境、用户身份、处置动作等进行配置，针对不同操作系统设定单独或多系统访问控制策略。动态访问控制策略支持“与”、“或”条件嵌套，并可通过单一条件或条件组的方式灵活组合嵌套，可支持多种条件变量设置，当检测到不符合安全条件时，支持如短信增强认证、告警等灵活的补救动作，实现灰度处置，有效平衡员工访问体验和安全保障（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为保障业务正常访问，客户端应兼容主流操作系统和芯片，操作系统至少包括</w:t>
            </w:r>
            <w:r>
              <w:rPr>
                <w:rFonts w:ascii="Tahoma" w:hAnsi="Tahoma" w:cs="Tahoma"/>
                <w:color w:val="000000"/>
                <w:kern w:val="0"/>
                <w:sz w:val="22"/>
                <w:szCs w:val="22"/>
              </w:rPr>
              <w:t>Windows、macOS、Ubuntu、Android、iOS、UOS、Kylin、NFS、Harmony next，芯片至少包括兆芯、海光、飞腾、鲲鹏、海思麒麟、龙芯（需提供相关兼容性证明）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为了提升终端用户访问体验，支持时延优先的选路模式，支持周期性探测线路时延和多次探测确认恶化后切换（需提供产品相关功能截图证明）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为提升在弱网环境下访问体验，应支持优化</w:t>
            </w:r>
            <w:r>
              <w:rPr>
                <w:rFonts w:ascii="Tahoma" w:hAnsi="Tahoma" w:cs="Tahoma"/>
                <w:color w:val="000000"/>
                <w:kern w:val="0"/>
                <w:sz w:val="22"/>
                <w:szCs w:val="22"/>
              </w:rPr>
              <w:t>TCP协议，增强隧道抗丢包、抗抖动特性，实现弱网环境的访问加速（需提供产品相关功能截图证明）；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▲为降低业务访问时延，提升访问体验，应支持将短隧道资源新建连接耗时优化至</w:t>
            </w:r>
            <w:r>
              <w:rPr>
                <w:rFonts w:ascii="Tahoma" w:hAnsi="Tahoma" w:cs="Tahoma"/>
                <w:color w:val="000000"/>
                <w:kern w:val="0"/>
                <w:sz w:val="22"/>
                <w:szCs w:val="22"/>
              </w:rPr>
              <w:t xml:space="preserve"> 0RTT，大幅降低业务访问的网络时延，实现同等网络环境下访问速度接近甚至达到直连访问（需提供产品相关功能截图证明）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为方便管理员统筹查看管理零信任系统的整体运行状态，支持对设备自身的安全状态和策略配置进行巡检，对设备的整体状态进行打分，统计所有检查的正常项、异常项和告警项，并输出巡检报告；支持在设备上查看及下载巡检报告。报告应至少包含检测项、检查状态、存在的问题描述、建议改进措施等。</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▲支持对免认证应用的授信证书进行检查；支持对免认证应用的前端地址进行检查；支持检测是否启用了防中间人配置；支持</w:t>
            </w:r>
            <w:r>
              <w:rPr>
                <w:rFonts w:ascii="Tahoma" w:hAnsi="Tahoma" w:cs="Tahoma"/>
                <w:color w:val="000000"/>
                <w:kern w:val="0"/>
                <w:sz w:val="22"/>
                <w:szCs w:val="22"/>
              </w:rPr>
              <w:t>HTTP监听端口开启检查；支持对启用的TLS协议是否安全进行检查；支持对是否启用应用防护策略进行检查（需提供产品相关功能截图证明）；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远程系统接入的用户身份安全、终端</w:t>
            </w:r>
            <w:r>
              <w:rPr>
                <w:rFonts w:ascii="Tahoma" w:hAnsi="Tahoma" w:cs="Tahoma"/>
                <w:color w:val="000000"/>
                <w:kern w:val="0"/>
                <w:sz w:val="22"/>
                <w:szCs w:val="22"/>
              </w:rPr>
              <w:t>/数据安全、传输安全、应用权限安全和审计安全，符合国家商用密码标准，具有快速、易用、全面等优势特点。</w:t>
            </w:r>
          </w:p>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SDP安全网关软件V2.0(*1套)</w:t>
            </w:r>
            <w:r>
              <w:rPr>
                <w:rFonts w:hint="eastAsia" w:ascii="Tahoma" w:hAnsi="Tahoma" w:cs="Tahoma"/>
                <w:color w:val="000000"/>
                <w:kern w:val="0"/>
                <w:sz w:val="22"/>
                <w:szCs w:val="22"/>
              </w:rPr>
              <w:t>。</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台</w:t>
            </w:r>
          </w:p>
        </w:tc>
      </w:tr>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安全管理平台产品</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规格：</w:t>
            </w:r>
            <w:r>
              <w:rPr>
                <w:rFonts w:ascii="Tahoma" w:hAnsi="Tahoma" w:cs="Tahoma"/>
                <w:color w:val="000000"/>
                <w:kern w:val="0"/>
                <w:sz w:val="22"/>
                <w:szCs w:val="22"/>
              </w:rPr>
              <w:t>2U，内存≥16G，硬盘容量≥128G minisata+2T SATA*2，电源：单电源，接口：千兆电口≥6、万兆光口SFP+≥2；</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包含主机审计许可证书数量≥</w:t>
            </w:r>
            <w:r>
              <w:rPr>
                <w:rFonts w:ascii="Tahoma" w:hAnsi="Tahoma" w:cs="Tahoma"/>
                <w:color w:val="000000"/>
                <w:kern w:val="0"/>
                <w:sz w:val="22"/>
                <w:szCs w:val="22"/>
              </w:rPr>
              <w:t>50，最大可扩展审计主机许可数≥150，可用存储量：2TB（RAID1 模式），平均每秒处理日志数（eps）最大性能：2500；</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 xml:space="preserve"> Deepin(深之度) Linux、Harmony(鸿蒙) OS、Ubuntu Kylin(优麒麟)、UnionTech(统信) UOS 等 25款 国产化操作系统日志接入；</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支持通过正则、分隔符、</w:t>
            </w:r>
            <w:r>
              <w:rPr>
                <w:rFonts w:ascii="Tahoma" w:hAnsi="Tahoma" w:cs="Tahoma"/>
                <w:color w:val="000000"/>
                <w:kern w:val="0"/>
                <w:sz w:val="22"/>
                <w:szCs w:val="22"/>
              </w:rPr>
              <w:t>json、xml的可视方式进行自定义规则解析，支持对解析结果字段的新增、合并、映射，以满足除内置解析规则之外未被覆盖的日志类型的解析（需提供产品相关功能截图证明）；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TLS加密方式进行日志传输，支持日志传输状态、最近同步时间进行监控，可统计每个日志源的今日传输量和传输总量（需提供产品相关功能截图证明）；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▲支持网站攻击、漏洞利用、</w:t>
            </w:r>
            <w:r>
              <w:rPr>
                <w:rFonts w:ascii="Tahoma" w:hAnsi="Tahoma" w:cs="Tahoma"/>
                <w:color w:val="000000"/>
                <w:kern w:val="0"/>
                <w:sz w:val="22"/>
                <w:szCs w:val="22"/>
              </w:rPr>
              <w:t>C&amp;C通信、暴力破解、拒绝服务、主机脆弱性、主机异常、恶意软件、账号异常、权限异常、侦查探测等内置关联分析规则，内置关联分析规则数量达到350条以上，支持自定义关联分析规则（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POC测试工具一键生成数据,验证日志数据采集是否成功，避免设备部署后采集失效但不被发现等风险（需提供产品相关功能截图证明）；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支持等保合规检测，用户可自查设备是否满足等保要求</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日志审计分析管理系统软件</w:t>
            </w:r>
            <w:r>
              <w:rPr>
                <w:rFonts w:ascii="Tahoma" w:hAnsi="Tahoma" w:cs="Tahoma"/>
                <w:color w:val="000000"/>
                <w:kern w:val="0"/>
                <w:sz w:val="22"/>
                <w:szCs w:val="22"/>
              </w:rPr>
              <w:t>V3.0(*1套);</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台</w:t>
            </w:r>
          </w:p>
        </w:tc>
      </w:tr>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统一身份认证</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规格：</w:t>
            </w:r>
            <w:r>
              <w:rPr>
                <w:rFonts w:ascii="Tahoma" w:hAnsi="Tahoma" w:cs="Tahoma"/>
                <w:color w:val="000000"/>
                <w:kern w:val="0"/>
                <w:sz w:val="22"/>
                <w:szCs w:val="22"/>
              </w:rPr>
              <w:t>1U，内存≥8G，硬盘容量≥1.92T SSD，电源：单电源，接口：千兆电口≥6、千兆光口SFP≥4;</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包含运维授权数≥</w:t>
            </w:r>
            <w:r>
              <w:rPr>
                <w:rFonts w:ascii="Tahoma" w:hAnsi="Tahoma" w:cs="Tahoma"/>
                <w:color w:val="000000"/>
                <w:kern w:val="0"/>
                <w:sz w:val="22"/>
                <w:szCs w:val="22"/>
              </w:rPr>
              <w:t>50，最大可扩展资产数≥150，图形运维最大并发数≥100，字符运维最大并发数≥200;</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支持通过动作流配置提供广泛的应用接入支持，无论被接入的资源如何设计登录动作，通过动作流配置都可以实现单点登陆和审计接入（需提供产品相关功能截图证明）</w:t>
            </w:r>
            <w:r>
              <w:rPr>
                <w:rFonts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支持首次使用手机动态口令由用户自行扫码配置</w:t>
            </w:r>
            <w:r>
              <w:rPr>
                <w:rFonts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用户登陆认证方式支持静态口令认证、手机动态口令认证、</w:t>
            </w:r>
            <w:r>
              <w:rPr>
                <w:rFonts w:ascii="Tahoma" w:hAnsi="Tahoma" w:cs="Tahoma"/>
                <w:color w:val="000000"/>
                <w:kern w:val="0"/>
                <w:sz w:val="22"/>
                <w:szCs w:val="22"/>
              </w:rPr>
              <w:t>Usbkey认证、短信认证、AD域/LADP认证、Radius认证等认证方式；并支持各种认证方式和静态口令组合认证;</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支持在授权基础上自定义访问审批流程，可设置一级或多级审批人，每级审批可指定通过投票数，需逐级审批通过才可最终发起运维操作（需提供产品相关功能截图证明）</w:t>
            </w:r>
            <w:r>
              <w:rPr>
                <w:rFonts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SQL语句阻断，对select、delete、drop等SQL语句执行进行阻断;</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web页面直接发起运维，无需安装任何控件，并同时支持调用SecureCRT、Xshell、Putty、WinSCP、FileZilla、RDP等客户端工具实现单点登陆，不改变运维人员操作习惯（需提供产品相关功能截图证明）;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图形资源访问时，支持键盘、剪切板、窗口标题、文件传输记录，并且对图形资源的审计回放时，可以从某个键盘、剪切板、窗口标题、文件传输记录的指定位置开始回放（需提供产品相关功能截图证明）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支持标准</w:t>
            </w:r>
            <w:r>
              <w:rPr>
                <w:rFonts w:ascii="Tahoma" w:hAnsi="Tahoma" w:cs="Tahoma"/>
                <w:color w:val="000000"/>
                <w:kern w:val="0"/>
                <w:sz w:val="22"/>
                <w:szCs w:val="22"/>
              </w:rPr>
              <w:t>SNMP v1、v2、v3管理协议，支持syslog等标准日志格式外发;</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所投产品需具备</w:t>
            </w:r>
            <w:r>
              <w:rPr>
                <w:rFonts w:ascii="Tahoma" w:hAnsi="Tahoma" w:cs="Tahoma"/>
                <w:color w:val="000000"/>
                <w:kern w:val="0"/>
                <w:sz w:val="22"/>
                <w:szCs w:val="22"/>
              </w:rPr>
              <w:t>IPv6 Ready Logo认证证书，提供相关证书复印件；</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台</w:t>
            </w:r>
          </w:p>
        </w:tc>
      </w:tr>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bookmarkStart w:id="19" w:name="_Hlk200103259"/>
            <w:r>
              <w:rPr>
                <w:rFonts w:hint="eastAsia" w:ascii="Tahoma" w:hAnsi="Tahoma" w:cs="Tahoma"/>
                <w:color w:val="000000"/>
                <w:kern w:val="0"/>
                <w:sz w:val="22"/>
                <w:szCs w:val="22"/>
              </w:rPr>
              <w:t>4</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防毒墙</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产品以纯软件交付，包含管理控制中心软件及服务器客户端软件，软件授权不少于</w:t>
            </w:r>
            <w:r>
              <w:rPr>
                <w:rFonts w:ascii="Tahoma" w:hAnsi="Tahoma" w:cs="Tahoma"/>
                <w:color w:val="000000"/>
                <w:kern w:val="0"/>
                <w:sz w:val="22"/>
                <w:szCs w:val="22"/>
              </w:rPr>
              <w:t>50;</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支持跳转链接至云端威胁情报中心，针对已发生的威胁提供详细的分析结果，包含威胁分析、网络行为、静态分析、分析环境和影响分析。</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▲支持一键云鉴定服务，提供云端专家</w:t>
            </w:r>
            <w:r>
              <w:rPr>
                <w:rFonts w:ascii="Tahoma" w:hAnsi="Tahoma" w:cs="Tahoma"/>
                <w:color w:val="000000"/>
                <w:kern w:val="0"/>
                <w:sz w:val="22"/>
                <w:szCs w:val="22"/>
              </w:rPr>
              <w:t>+沙箱+多引擎鉴定能力，结合云端威胁情报对已告警的威胁文件再次进行综合研判并给出100%黑白结果，用户可自助对管理平台告警的威胁快速判断是否误报和了解威胁详情（需提供产品相关功能截图证明）;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windows服务器RDP远程登录保护，可开启RDP远程登录二次认证，以防止黑客对服务器的入侵（需提供产品相关功能截图证明）；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Linux服务器SSH远程登录保护，可开启SSH远程登录二次认证，以防止黑客利用弱密码脆弱性对服务器的入侵；支持设置验证码验证或自定义密码验证，支持设置登录认证提示、生效时间段和免二次认证白名单（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基于勒索病毒攻击过程，建立多维度立体防护机制，提供事前入侵防御</w:t>
            </w:r>
            <w:r>
              <w:rPr>
                <w:rFonts w:ascii="Tahoma" w:hAnsi="Tahoma" w:cs="Tahoma"/>
                <w:color w:val="000000"/>
                <w:kern w:val="0"/>
                <w:sz w:val="22"/>
                <w:szCs w:val="22"/>
              </w:rPr>
              <w:t>-事中反加密-事后检测响应的完整防护体系，展示勒索病毒处置情况，对勒索病毒及变种实现专门有效防御（需提供产品相关功能截图证明）;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具备强力专杀云端下发通道，支持在管理端批量下发强力专杀工具到内网各终端快速响应终端威胁（需提供产品相关功能截图证明）</w:t>
            </w:r>
            <w:r>
              <w:rPr>
                <w:rFonts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为同厂商的防火墙提供溯源举证功能，即本产品检测到僵木蠕毒的恶意域名访问时，会共享事件信息给同厂商的防火墙，包含事件相关的文件、进程、域名连接、注册表修改操作等关键项，并且可以在防火墙侧进行威胁事件的溯源分析。支持对根据回溯出的风险项一键根除，清除后进程无法被创建、运行（需提供产品相关功能截图证明）</w:t>
            </w:r>
            <w:r>
              <w:rPr>
                <w:rFonts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支持流行</w:t>
            </w:r>
            <w:r>
              <w:rPr>
                <w:rFonts w:ascii="Tahoma" w:hAnsi="Tahoma" w:cs="Tahoma"/>
                <w:color w:val="000000"/>
                <w:kern w:val="0"/>
                <w:sz w:val="22"/>
                <w:szCs w:val="22"/>
              </w:rPr>
              <w:t>Windows高危漏洞的轻补丁免疫防御，支持Windows补丁批量一键修复;</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支持基于威胁情报的病毒文件哈希值、行为、域名、网络连接等各项终端系统层、应用层行为数据在全网终端发起搜索，挖掘潜伏攻击，快速定位出全网终端感染该威胁的情况（需提供产品相关功能截图证明）</w:t>
            </w:r>
            <w:r>
              <w:rPr>
                <w:rFonts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终端安全管理系统软件</w:t>
            </w:r>
            <w:r>
              <w:rPr>
                <w:rFonts w:ascii="Tahoma" w:hAnsi="Tahoma" w:cs="Tahoma"/>
                <w:color w:val="000000"/>
                <w:kern w:val="0"/>
                <w:sz w:val="22"/>
                <w:szCs w:val="22"/>
              </w:rPr>
              <w:t>V3.0（产品控制中心）;</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台</w:t>
            </w:r>
          </w:p>
        </w:tc>
      </w:tr>
      <w:bookmarkEnd w:id="19"/>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防火墙</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内存≥</w:t>
            </w:r>
            <w:r>
              <w:rPr>
                <w:rFonts w:ascii="Tahoma" w:hAnsi="Tahoma" w:cs="Tahoma"/>
                <w:color w:val="000000"/>
                <w:kern w:val="0"/>
                <w:sz w:val="22"/>
                <w:szCs w:val="22"/>
              </w:rPr>
              <w:t>16G，硬盘容量≥128G SSD，电源：冗余电源，接口：千兆电口≥6;</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网络层吞吐量≥</w:t>
            </w:r>
            <w:r>
              <w:rPr>
                <w:rFonts w:ascii="Tahoma" w:hAnsi="Tahoma" w:cs="Tahoma"/>
                <w:color w:val="000000"/>
                <w:kern w:val="0"/>
                <w:sz w:val="22"/>
                <w:szCs w:val="22"/>
              </w:rPr>
              <w:t>20G，应用层吞吐量≥15G，防病毒吞吐量≥2G，IPS吞吐量≥2G，全威胁吞吐量≥1.5G，并发连接数≥800万，HTTP新建连接数≥16万;</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所投产品采用自主知识产权的“高性能多核并行安全操作系统”</w:t>
            </w:r>
            <w:r>
              <w:rPr>
                <w:rFonts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所投产品支持静态路由、策略路由和多播路由协议，并支持</w:t>
            </w:r>
            <w:r>
              <w:rPr>
                <w:rFonts w:ascii="Tahoma" w:hAnsi="Tahoma" w:cs="Tahoma"/>
                <w:color w:val="000000"/>
                <w:kern w:val="0"/>
                <w:sz w:val="22"/>
                <w:szCs w:val="22"/>
              </w:rPr>
              <w:t>BGP、RIP、OSPF等动态路由协议;</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产品支持路由类型、协议类型、网络对象、国家地区等条件进行自动选路的策略路由，支持不少于</w:t>
            </w:r>
            <w:r>
              <w:rPr>
                <w:rFonts w:ascii="Tahoma" w:hAnsi="Tahoma" w:cs="Tahoma"/>
                <w:color w:val="000000"/>
                <w:kern w:val="0"/>
                <w:sz w:val="22"/>
                <w:szCs w:val="22"/>
              </w:rPr>
              <w:t>3种的调度算法，至少包括带宽比例、加权流量、线路优先等（需提供产品相关功能截图证明）;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产品支持对不少于</w:t>
            </w:r>
            <w:r>
              <w:rPr>
                <w:rFonts w:ascii="Tahoma" w:hAnsi="Tahoma" w:cs="Tahoma"/>
                <w:color w:val="000000"/>
                <w:kern w:val="0"/>
                <w:sz w:val="22"/>
                <w:szCs w:val="22"/>
              </w:rPr>
              <w:t>9000种应用的识别和控制，应用类型包括游戏、购物、图书百科、工作招聘、P2P下载、聊天工具、旅游出行、股票软件等类型应用进行检测与控制（需提供产品相关功能截图证明）;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▲产品支持云威胁情报网关技术，通过全球超过</w:t>
            </w:r>
            <w:r>
              <w:rPr>
                <w:rFonts w:ascii="Tahoma" w:hAnsi="Tahoma" w:cs="Tahoma"/>
                <w:color w:val="000000"/>
                <w:kern w:val="0"/>
                <w:sz w:val="22"/>
                <w:szCs w:val="22"/>
              </w:rPr>
              <w:t>30+pop节点，实现对威胁流量就近进行实时检测&amp;拦截，实现失陷外联实时阻断，保护资产安全。（需提供产品相关功能截图证明</w:t>
            </w:r>
            <w:r>
              <w:rPr>
                <w:rFonts w:hint="eastAsia" w:ascii="Tahoma" w:hAnsi="Tahoma" w:cs="Tahoma"/>
                <w:color w:val="000000"/>
                <w:kern w:val="0"/>
                <w:sz w:val="22"/>
                <w:szCs w:val="22"/>
              </w:rPr>
              <w:t>或</w:t>
            </w:r>
            <w:r>
              <w:rPr>
                <w:rFonts w:ascii="Tahoma" w:hAnsi="Tahoma" w:cs="Tahoma"/>
                <w:color w:val="000000"/>
                <w:kern w:val="0"/>
                <w:sz w:val="22"/>
                <w:szCs w:val="22"/>
              </w:rPr>
              <w:t>具备 CMA标识的第三方检测报告）</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▲产品支持云端未知威胁主动探测技术，实现</w:t>
            </w:r>
            <w:r>
              <w:rPr>
                <w:rFonts w:ascii="Tahoma" w:hAnsi="Tahoma" w:cs="Tahoma"/>
                <w:color w:val="000000"/>
                <w:kern w:val="0"/>
                <w:sz w:val="22"/>
                <w:szCs w:val="22"/>
              </w:rPr>
              <w:t>5min内未知威胁情报全网设备下发。（需提供产品相关功能截图证明</w:t>
            </w:r>
            <w:r>
              <w:rPr>
                <w:rFonts w:hint="eastAsia" w:ascii="Tahoma" w:hAnsi="Tahoma" w:cs="Tahoma"/>
                <w:color w:val="000000"/>
                <w:kern w:val="0"/>
                <w:sz w:val="22"/>
                <w:szCs w:val="22"/>
              </w:rPr>
              <w:t>或</w:t>
            </w:r>
            <w:r>
              <w:rPr>
                <w:rFonts w:ascii="Tahoma" w:hAnsi="Tahoma" w:cs="Tahoma"/>
                <w:color w:val="000000"/>
                <w:kern w:val="0"/>
                <w:sz w:val="22"/>
                <w:szCs w:val="22"/>
              </w:rPr>
              <w:t>具备 CMA标识的第三方检测报告）</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产品内置不低于</w:t>
            </w:r>
            <w:r>
              <w:rPr>
                <w:rFonts w:ascii="Tahoma" w:hAnsi="Tahoma" w:cs="Tahoma"/>
                <w:color w:val="000000"/>
                <w:kern w:val="0"/>
                <w:sz w:val="22"/>
                <w:szCs w:val="22"/>
              </w:rPr>
              <w:t>16000种漏洞规则，同时支持在控制台界面通过漏洞ID、漏洞名称、危险等级、漏洞CVE标识、漏洞描述等条件查询漏洞特征信息，支持用户自定义IPS规则（需提供产品相关功能截图证明）;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产品支持僵尸主机检测功能，产品内置僵尸网络特征库超过</w:t>
            </w:r>
            <w:r>
              <w:rPr>
                <w:rFonts w:ascii="Tahoma" w:hAnsi="Tahoma" w:cs="Tahoma"/>
                <w:color w:val="000000"/>
                <w:kern w:val="0"/>
                <w:sz w:val="22"/>
                <w:szCs w:val="22"/>
              </w:rPr>
              <w:t>120万种，可识别主机的异常外联行为（需提供产品相关功能截图证明）;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产品支持独立的账号安全防护模块，具备事前账号脆弱性、事中账号爆破、事后账号失陷的全生命周期安全防护，在设备界面可以详细展示账号安全相关信息，包括风险业务、风险等级、存在账号入口、存在弱口令、遭受口令爆破、异常登录账号登（需提供产品相关功能截图证明）</w:t>
            </w:r>
            <w:r>
              <w:rPr>
                <w:rFonts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防火墙软件基础级</w:t>
            </w:r>
            <w:r>
              <w:rPr>
                <w:rFonts w:ascii="Tahoma" w:hAnsi="Tahoma" w:cs="Tahoma"/>
                <w:color w:val="000000"/>
                <w:kern w:val="0"/>
                <w:sz w:val="22"/>
                <w:szCs w:val="22"/>
              </w:rPr>
              <w:t>(*1套);云智订阅软件【云智+云威胁情报网关】(*3套);云威胁情报网关订阅软件【云智+云威胁情报网关】(*3年);</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台</w:t>
            </w:r>
          </w:p>
        </w:tc>
      </w:tr>
      <w:tr>
        <w:tblPrEx>
          <w:tblCellMar>
            <w:top w:w="0" w:type="dxa"/>
            <w:left w:w="108" w:type="dxa"/>
            <w:bottom w:w="0" w:type="dxa"/>
            <w:right w:w="108" w:type="dxa"/>
          </w:tblCellMar>
        </w:tblPrEx>
        <w:trPr>
          <w:trHeight w:val="711"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上网行为管理产品</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网络层吞吐量≥</w:t>
            </w:r>
            <w:r>
              <w:rPr>
                <w:rFonts w:ascii="Tahoma" w:hAnsi="Tahoma" w:cs="Tahoma"/>
                <w:color w:val="000000"/>
                <w:kern w:val="0"/>
                <w:sz w:val="22"/>
                <w:szCs w:val="22"/>
              </w:rPr>
              <w:t>5.8Gb，应用层吞吐量≥750Mb，带宽性能≥500Mb，支持用户数≥4000，包转发率≥90Kpps，每秒新建连接数≥10000，最大并发连接数≥500000；规格：1U；内存≥8G；硬盘容量≥480G SSD；电源：单电源；接口：千兆电口≥6。</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全网行为管理系统软件</w:t>
            </w:r>
            <w:r>
              <w:rPr>
                <w:rFonts w:ascii="Tahoma" w:hAnsi="Tahoma" w:cs="Tahoma"/>
                <w:color w:val="000000"/>
                <w:kern w:val="0"/>
                <w:sz w:val="22"/>
                <w:szCs w:val="22"/>
              </w:rPr>
              <w:t>V13.0(*1套);URL&amp;应用识别规则库升级(*3套);</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支持首页分析显示接入用户人数、终端类型；带宽质量分析、实时流量排名；资产类型分布、新设备发现趋势、终端违规检查项排行、终端违规用户排行；</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▲支持客户端</w:t>
            </w:r>
            <w:r>
              <w:rPr>
                <w:rFonts w:ascii="Tahoma" w:hAnsi="Tahoma" w:cs="Tahoma"/>
                <w:color w:val="000000"/>
                <w:kern w:val="0"/>
                <w:sz w:val="22"/>
                <w:szCs w:val="22"/>
              </w:rPr>
              <w:t>SSL解密，客户端会自动推送根证书安装（需提供产品相关功能截图证明）;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设备内置应用识别规则库，支持超过</w:t>
            </w:r>
            <w:r>
              <w:rPr>
                <w:rFonts w:ascii="Tahoma" w:hAnsi="Tahoma" w:cs="Tahoma"/>
                <w:color w:val="000000"/>
                <w:kern w:val="0"/>
                <w:sz w:val="22"/>
                <w:szCs w:val="22"/>
              </w:rPr>
              <w:t>9000种以上应用规则数、支持超过6000种以上的应用；支持根据标签选择应用，并支持给每个应用自定义标签；支持根据标签选择一类应用做控制;</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支持允许用户登录</w:t>
            </w:r>
            <w:r>
              <w:rPr>
                <w:rFonts w:ascii="Tahoma" w:hAnsi="Tahoma" w:cs="Tahoma"/>
                <w:color w:val="000000"/>
                <w:kern w:val="0"/>
                <w:sz w:val="22"/>
                <w:szCs w:val="22"/>
              </w:rPr>
              <w:t>Webmail收邮件，而禁止发送Webmail邮件的功能（需提供产品相关功能截图证明）;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支持图形化查看当前内网</w:t>
            </w:r>
            <w:r>
              <w:rPr>
                <w:rFonts w:ascii="Tahoma" w:hAnsi="Tahoma" w:cs="Tahoma"/>
                <w:color w:val="000000"/>
                <w:kern w:val="0"/>
                <w:sz w:val="22"/>
                <w:szCs w:val="22"/>
              </w:rPr>
              <w:t>IP使用情况，帮助管理员减少人工维护IP表的工作量;</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▲支持与同品牌下一代防火墙系统实现认证联动，可以转发用户认证信息到下一代防火墙，实现单点登录；支持与同品牌安全态势感知产品实现联动，实现资产信息上报；支持与同品牌</w:t>
            </w:r>
            <w:r>
              <w:rPr>
                <w:rFonts w:ascii="Tahoma" w:hAnsi="Tahoma" w:cs="Tahoma"/>
                <w:color w:val="000000"/>
                <w:kern w:val="0"/>
                <w:sz w:val="22"/>
                <w:szCs w:val="22"/>
              </w:rPr>
              <w:t>EDR产品实现联动，当检测到终端未安装EDR产品时，禁止上网并提示需要安装EDR终端软件（需提供产品相关功能截图证明）;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所投产品需具备《网络安全专用产品安全检测证书》或同等效力的其他证书，提供相关证书复印件</w:t>
            </w:r>
            <w:r>
              <w:rPr>
                <w:rFonts w:ascii="Tahoma" w:hAnsi="Tahoma" w:cs="Tahoma"/>
                <w:color w:val="000000"/>
                <w:kern w:val="0"/>
                <w:sz w:val="22"/>
                <w:szCs w:val="22"/>
              </w:rPr>
              <w:t>;</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支持终端用户账号绑定手机号码和微信号，绑定后可以通过手机验证码和微信扫码实现上网快捷登录认证</w:t>
            </w:r>
            <w:r>
              <w:rPr>
                <w:rFonts w:ascii="Tahoma" w:hAnsi="Tahoma" w:cs="Tahoma"/>
                <w:color w:val="000000"/>
                <w:kern w:val="0"/>
                <w:sz w:val="22"/>
                <w:szCs w:val="22"/>
              </w:rPr>
              <w:t>;</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套</w:t>
            </w:r>
          </w:p>
        </w:tc>
      </w:tr>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入侵检测系统</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规格：</w:t>
            </w:r>
            <w:r>
              <w:rPr>
                <w:rFonts w:ascii="Tahoma" w:hAnsi="Tahoma" w:cs="Tahoma"/>
                <w:color w:val="000000"/>
                <w:kern w:val="0"/>
                <w:sz w:val="22"/>
                <w:szCs w:val="22"/>
              </w:rPr>
              <w:t>1U，内存≥8G，硬盘容量≥128G SSD，电源：单电源，接口：千兆电口≥6、千兆光口SFP≥4;</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网络层吞吐量≥</w:t>
            </w:r>
            <w:r>
              <w:rPr>
                <w:rFonts w:ascii="Tahoma" w:hAnsi="Tahoma" w:cs="Tahoma"/>
                <w:color w:val="000000"/>
                <w:kern w:val="0"/>
                <w:sz w:val="22"/>
                <w:szCs w:val="22"/>
              </w:rPr>
              <w:t>1Gbps，应用层吞吐量≥500Mbps;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支持命令注入检测、</w:t>
            </w:r>
            <w:r>
              <w:rPr>
                <w:rFonts w:ascii="Tahoma" w:hAnsi="Tahoma" w:cs="Tahoma"/>
                <w:color w:val="000000"/>
                <w:kern w:val="0"/>
                <w:sz w:val="22"/>
                <w:szCs w:val="22"/>
              </w:rPr>
              <w:t>PHP代码检测、XSS攻击检测、Webshell上传检测、SQL注入检测、XXE攻击检测、JAVA代码检测、SQL非注入型检测、MYSQL解析增强、php反序列化检测等自定义配置启用，针对命令注入检测、SQL注入检测等类型支持自定义高检出、低误报模式。（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▲支持敏感信息检测功能，内置身份证、</w:t>
            </w:r>
            <w:r>
              <w:rPr>
                <w:rFonts w:ascii="Tahoma" w:hAnsi="Tahoma" w:cs="Tahoma"/>
                <w:color w:val="000000"/>
                <w:kern w:val="0"/>
                <w:sz w:val="22"/>
                <w:szCs w:val="22"/>
              </w:rPr>
              <w:t>MD5、手机号码、银行卡号、邮箱等敏感信息，可自定义敏感信息检测策略选择组合的敏感信息，可基于IP统计和连接统计2种方式进行命中次数统计（需提供产品相关功能截图证明）;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支持基于</w:t>
            </w:r>
            <w:r>
              <w:rPr>
                <w:rFonts w:ascii="Tahoma" w:hAnsi="Tahoma" w:cs="Tahoma"/>
                <w:color w:val="000000"/>
                <w:kern w:val="0"/>
                <w:sz w:val="22"/>
                <w:szCs w:val="22"/>
              </w:rPr>
              <w:t>IP和域名的旁路阻断，能够在实时镜像的流量中发现恶意IP并实现实时阻断，支持24小时/7天/最近30天/永久或者自定义时间阻断威胁（需提供产品相关功能截图证明）;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支持传输协议审计日志，包括</w:t>
            </w:r>
            <w:r>
              <w:rPr>
                <w:rFonts w:ascii="Tahoma" w:hAnsi="Tahoma" w:cs="Tahoma"/>
                <w:color w:val="000000"/>
                <w:kern w:val="0"/>
                <w:sz w:val="22"/>
                <w:szCs w:val="22"/>
              </w:rPr>
              <w:t>https、http、DNS、邮件协议审计日志、SMB、AD域、WEB登录、FTP、TELNET、ICMP 、SNMP 、SSL 、SSH、SIP 、ONVIF 、NFS 、SOCKS 、dhcp、netbios_nbns、流量元数据审计、数据库审计协议等（需提供产品相关功能截图证明）;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支持流量抓包分析，基于五元组灵活抓取数据包，可定义配置源</w:t>
            </w:r>
            <w:r>
              <w:rPr>
                <w:rFonts w:ascii="Tahoma" w:hAnsi="Tahoma" w:cs="Tahoma"/>
                <w:color w:val="000000"/>
                <w:kern w:val="0"/>
                <w:sz w:val="22"/>
                <w:szCs w:val="22"/>
              </w:rPr>
              <w:t>IP、源端口、目的IP和目的端口、传输层协议选择添加抓包任务，并支持带标签抓取vlan、mpls等协议数据包，帮助安全工程师高效分析威胁（需提供产品相关功能截图证明）;</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潜伏威胁探针系统软件</w:t>
            </w:r>
            <w:r>
              <w:rPr>
                <w:rFonts w:ascii="Tahoma" w:hAnsi="Tahoma" w:cs="Tahoma"/>
                <w:color w:val="000000"/>
                <w:kern w:val="0"/>
                <w:sz w:val="22"/>
                <w:szCs w:val="22"/>
              </w:rPr>
              <w:t>V3.0(*1套);安全感知系统探针特征库软件V2.0(*2套);</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套</w:t>
            </w:r>
          </w:p>
        </w:tc>
      </w:tr>
      <w:tr>
        <w:tblPrEx>
          <w:tblCellMar>
            <w:top w:w="0" w:type="dxa"/>
            <w:left w:w="108" w:type="dxa"/>
            <w:bottom w:w="0" w:type="dxa"/>
            <w:right w:w="108" w:type="dxa"/>
          </w:tblCellMar>
        </w:tblPrEx>
        <w:trPr>
          <w:trHeight w:val="428"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密码设备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其他安全产品</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2U设备，支持双电源，支持国产操作系统，不少于8核16线程国产CPU X1，不少于1T硬盘，不少于32G内存，不少于6个千兆电口，不少于4个千兆光口，默认配备满模块;</w:t>
            </w:r>
          </w:p>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SSL吞吐率（国际）不少于4.5Gbps;</w:t>
            </w:r>
          </w:p>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SSL每秒新建连接数（国际）不少于3600;</w:t>
            </w:r>
          </w:p>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SSL吞吐率（国密）不少于3.5Gbps;</w:t>
            </w:r>
          </w:p>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SSL每秒新建连接数（国密）不少于9000;</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四层吞吐率不少于</w:t>
            </w:r>
            <w:r>
              <w:rPr>
                <w:rFonts w:ascii="Tahoma" w:hAnsi="Tahoma" w:cs="Tahoma"/>
                <w:color w:val="000000"/>
                <w:kern w:val="0"/>
                <w:sz w:val="22"/>
                <w:szCs w:val="22"/>
              </w:rPr>
              <w:t>4.5Gbps;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四层每秒新建连接数不少于</w:t>
            </w:r>
            <w:r>
              <w:rPr>
                <w:rFonts w:ascii="Tahoma" w:hAnsi="Tahoma" w:cs="Tahoma"/>
                <w:color w:val="000000"/>
                <w:kern w:val="0"/>
                <w:sz w:val="22"/>
                <w:szCs w:val="22"/>
              </w:rPr>
              <w:t>750000;</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四层并发连接数不少于</w:t>
            </w:r>
            <w:r>
              <w:rPr>
                <w:rFonts w:ascii="Tahoma" w:hAnsi="Tahoma" w:cs="Tahoma"/>
                <w:color w:val="000000"/>
                <w:kern w:val="0"/>
                <w:sz w:val="22"/>
                <w:szCs w:val="22"/>
              </w:rPr>
              <w:t>15000000;</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七层吞吐率不少于</w:t>
            </w:r>
            <w:r>
              <w:rPr>
                <w:rFonts w:ascii="Tahoma" w:hAnsi="Tahoma" w:cs="Tahoma"/>
                <w:color w:val="000000"/>
                <w:kern w:val="0"/>
                <w:sz w:val="22"/>
                <w:szCs w:val="22"/>
              </w:rPr>
              <w:t>4.5Gbps;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七层每秒新建请求数不少于</w:t>
            </w:r>
            <w:r>
              <w:rPr>
                <w:rFonts w:ascii="Tahoma" w:hAnsi="Tahoma" w:cs="Tahoma"/>
                <w:color w:val="000000"/>
                <w:kern w:val="0"/>
                <w:sz w:val="22"/>
                <w:szCs w:val="22"/>
              </w:rPr>
              <w:t>2400000;</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七层并发连接数不少于</w:t>
            </w:r>
            <w:r>
              <w:rPr>
                <w:rFonts w:ascii="Tahoma" w:hAnsi="Tahoma" w:cs="Tahoma"/>
                <w:color w:val="000000"/>
                <w:kern w:val="0"/>
                <w:sz w:val="22"/>
                <w:szCs w:val="22"/>
              </w:rPr>
              <w:t>4800000;</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▲支持后量子密码算法</w:t>
            </w:r>
            <w:r>
              <w:rPr>
                <w:rFonts w:ascii="Tahoma" w:hAnsi="Tahoma" w:cs="Tahoma"/>
                <w:color w:val="000000"/>
                <w:kern w:val="0"/>
                <w:sz w:val="22"/>
                <w:szCs w:val="22"/>
              </w:rPr>
              <w:t>Dilithium、Falcon、Kyber，支持产生后量子证书请求、导入后量子密钥及证书、证书查看等后量子证书管理功能。支持通过后量子密码算法进行SSL通信，保证用户数据的传输安全（提供产品截图证明材料）;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QUIC/HTTP3协议（提供产品截图证明材料）;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OCSP stapling通过优化证书状态查询流程，显著提升SSL/TLS连接的效率和安全性。（提供产品截图证明材料）;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SSL拦截白名单，只允许通过指定的域名访问特定的SSL服务;</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HTTP、HTTPS、HTTP3、TCP、DNS TCP、DNS UDP、Diameter、RDP、SIP over TCP、SIP over UDP、RTSP等虚拟服务类型。（提供产品截图证明材料）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支持基于</w:t>
            </w:r>
            <w:r>
              <w:rPr>
                <w:rFonts w:ascii="Tahoma" w:hAnsi="Tahoma" w:cs="Tahoma"/>
                <w:color w:val="000000"/>
                <w:kern w:val="0"/>
                <w:sz w:val="22"/>
                <w:szCs w:val="22"/>
              </w:rPr>
              <w:t>OAuth、SAML、LDAP、Radius等方式的安全认证代理功能，可在应用无改造的情况下实现虚拟服务对应客户端的身份认证与单点登录功能。（提供产品截图证明材料）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所投产品具备适配国产化的操作系统：统信、银河麒麟的适配证明（提供证明材料）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▲所投产品具备适配国产化的</w:t>
            </w:r>
            <w:r>
              <w:rPr>
                <w:rFonts w:ascii="Tahoma" w:hAnsi="Tahoma" w:cs="Tahoma"/>
                <w:color w:val="000000"/>
                <w:kern w:val="0"/>
                <w:sz w:val="22"/>
                <w:szCs w:val="22"/>
              </w:rPr>
              <w:t>CPU 环境：海光和兆芯的适配证明（提供证明材料）</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台</w:t>
            </w:r>
          </w:p>
        </w:tc>
      </w:tr>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密码设备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其他安全产品</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2U设备，支持双电源，支持国产操作系统，不少于16核32线程国产CPU X1，不少于1T硬盘，不少于128G内存，具备高性能虚拟密码卡X1，不少于2个千兆电口，不少于4个万兆光口，默认配备满模块；</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短信令牌</w:t>
            </w:r>
            <w:r>
              <w:rPr>
                <w:rFonts w:ascii="Tahoma" w:hAnsi="Tahoma" w:cs="Tahoma"/>
                <w:color w:val="000000"/>
                <w:kern w:val="0"/>
                <w:sz w:val="22"/>
                <w:szCs w:val="22"/>
              </w:rPr>
              <w:t>(SM3)生成不少于</w:t>
            </w:r>
            <w:r>
              <w:rPr>
                <w:rFonts w:hint="eastAsia" w:ascii="Tahoma" w:hAnsi="Tahoma" w:cs="Tahoma"/>
                <w:color w:val="000000"/>
                <w:kern w:val="0"/>
                <w:sz w:val="22"/>
                <w:szCs w:val="22"/>
              </w:rPr>
              <w:t>4500</w:t>
            </w:r>
            <w:r>
              <w:rPr>
                <w:rFonts w:ascii="Tahoma" w:hAnsi="Tahoma" w:cs="Tahoma"/>
                <w:color w:val="000000"/>
                <w:kern w:val="0"/>
                <w:sz w:val="22"/>
                <w:szCs w:val="22"/>
              </w:rPr>
              <w:t>次每秒</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短信口令</w:t>
            </w:r>
            <w:r>
              <w:rPr>
                <w:rFonts w:ascii="Tahoma" w:hAnsi="Tahoma" w:cs="Tahoma"/>
                <w:color w:val="000000"/>
                <w:kern w:val="0"/>
                <w:sz w:val="22"/>
                <w:szCs w:val="22"/>
              </w:rPr>
              <w:t>(SM3)生成不少于</w:t>
            </w:r>
            <w:r>
              <w:rPr>
                <w:rFonts w:hint="eastAsia" w:ascii="Tahoma" w:hAnsi="Tahoma" w:cs="Tahoma"/>
                <w:color w:val="000000"/>
                <w:kern w:val="0"/>
                <w:sz w:val="22"/>
                <w:szCs w:val="22"/>
              </w:rPr>
              <w:t>12</w:t>
            </w:r>
            <w:r>
              <w:rPr>
                <w:rFonts w:ascii="Tahoma" w:hAnsi="Tahoma" w:cs="Tahoma"/>
                <w:color w:val="000000"/>
                <w:kern w:val="0"/>
                <w:sz w:val="22"/>
                <w:szCs w:val="22"/>
              </w:rPr>
              <w:t>700次每秒</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动态令牌</w:t>
            </w:r>
            <w:r>
              <w:rPr>
                <w:rFonts w:ascii="Tahoma" w:hAnsi="Tahoma" w:cs="Tahoma"/>
                <w:color w:val="000000"/>
                <w:kern w:val="0"/>
                <w:sz w:val="22"/>
                <w:szCs w:val="22"/>
              </w:rPr>
              <w:t>(SM3)验证不少于</w:t>
            </w:r>
            <w:r>
              <w:rPr>
                <w:rFonts w:hint="eastAsia" w:ascii="Tahoma" w:hAnsi="Tahoma" w:cs="Tahoma"/>
                <w:color w:val="000000"/>
                <w:kern w:val="0"/>
                <w:sz w:val="22"/>
                <w:szCs w:val="22"/>
              </w:rPr>
              <w:t>1</w:t>
            </w:r>
            <w:r>
              <w:rPr>
                <w:rFonts w:ascii="Tahoma" w:hAnsi="Tahoma" w:cs="Tahoma"/>
                <w:color w:val="000000"/>
                <w:kern w:val="0"/>
                <w:sz w:val="22"/>
                <w:szCs w:val="22"/>
              </w:rPr>
              <w:t>2000次每秒</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同时支持基于</w:t>
            </w:r>
            <w:r>
              <w:rPr>
                <w:rFonts w:ascii="Tahoma" w:hAnsi="Tahoma" w:cs="Tahoma"/>
                <w:color w:val="000000"/>
                <w:kern w:val="0"/>
                <w:sz w:val="22"/>
                <w:szCs w:val="22"/>
              </w:rPr>
              <w:t>SM3、SHA1算法的动态令牌(提供投标产品功能截图）</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支持时间型令牌、挑战型令牌及挑战</w:t>
            </w:r>
            <w:r>
              <w:rPr>
                <w:rFonts w:ascii="Tahoma" w:hAnsi="Tahoma" w:cs="Tahoma"/>
                <w:color w:val="000000"/>
                <w:kern w:val="0"/>
                <w:sz w:val="22"/>
                <w:szCs w:val="22"/>
              </w:rPr>
              <w:t>-时间型复合令牌，(提供投标产品功能截图）</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w:t>
            </w:r>
            <w:r>
              <w:rPr>
                <w:rFonts w:ascii="Tahoma" w:hAnsi="Tahoma" w:cs="Tahoma"/>
                <w:color w:val="000000"/>
                <w:kern w:val="0"/>
                <w:sz w:val="22"/>
                <w:szCs w:val="22"/>
              </w:rPr>
              <w:t>Radius认证服务，支持RADIUS PEAP、PAP、CHAP、MSCHAP、MSCHAPv2协议(提供投标产品功能截图）</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支持系统登录时动态口令与静态口令验证方式一键切换功能</w:t>
            </w:r>
            <w:r>
              <w:rPr>
                <w:rFonts w:ascii="Tahoma" w:hAnsi="Tahoma" w:cs="Tahoma"/>
                <w:color w:val="000000"/>
                <w:kern w:val="0"/>
                <w:sz w:val="22"/>
                <w:szCs w:val="22"/>
              </w:rPr>
              <w:t>(提供投标产品功能截图）</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提供一键巡检功能，自动对系统软、硬件进行健康检查并生成巡检报告；</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提供日志和审计功能，可分类审计系统日志，对日志进行审计和统计</w:t>
            </w:r>
          </w:p>
          <w:p>
            <w:pPr>
              <w:widowControl/>
              <w:spacing w:line="240" w:lineRule="auto"/>
              <w:ind w:firstLine="0" w:firstLineChars="0"/>
              <w:rPr>
                <w:rFonts w:hint="eastAsia"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NAS登录黑白名单控制机制，可自定义登录NAS的IP范围，防止未经授权的恶意访问(提供投标产品功能截图）。</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所投产品具有《商用密码产品认证证书》（提供证明材料）。</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套</w:t>
            </w:r>
          </w:p>
        </w:tc>
      </w:tr>
      <w:tr>
        <w:tblPrEx>
          <w:tblCellMar>
            <w:top w:w="0" w:type="dxa"/>
            <w:left w:w="108" w:type="dxa"/>
            <w:bottom w:w="0" w:type="dxa"/>
            <w:right w:w="108" w:type="dxa"/>
          </w:tblCellMar>
        </w:tblPrEx>
        <w:trPr>
          <w:trHeight w:val="415"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密码设备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其他安全产品</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1U设备，支持双电源，不少于4核国产CPU X1，不少于128G固态硬盘 X1，不少于8G内存，国产操作系统，不少于6个千兆电口，不少于4个千兆光口，默认配备满模块；</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签名：</w:t>
            </w:r>
            <w:r>
              <w:rPr>
                <w:rFonts w:ascii="Tahoma" w:hAnsi="Tahoma" w:cs="Tahoma"/>
                <w:color w:val="000000"/>
                <w:kern w:val="0"/>
                <w:sz w:val="22"/>
                <w:szCs w:val="22"/>
              </w:rPr>
              <w:t>RSA2048不少于0.25KTPS，SM2不少于2.5KTPS；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验签：</w:t>
            </w:r>
            <w:r>
              <w:rPr>
                <w:rFonts w:ascii="Tahoma" w:hAnsi="Tahoma" w:cs="Tahoma"/>
                <w:color w:val="000000"/>
                <w:kern w:val="0"/>
                <w:sz w:val="22"/>
                <w:szCs w:val="22"/>
              </w:rPr>
              <w:t>RSA2048不少于4.8KTPS，SM2不少于1.8KTPS；</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支持非对称算法：</w:t>
            </w:r>
            <w:r>
              <w:rPr>
                <w:rFonts w:ascii="Tahoma" w:hAnsi="Tahoma" w:cs="Tahoma"/>
                <w:color w:val="000000"/>
                <w:kern w:val="0"/>
                <w:sz w:val="22"/>
                <w:szCs w:val="22"/>
              </w:rPr>
              <w:t>RSA、SM2、ECC；</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支持摘要算法：</w:t>
            </w:r>
            <w:r>
              <w:rPr>
                <w:rFonts w:ascii="Tahoma" w:hAnsi="Tahoma" w:cs="Tahoma"/>
                <w:color w:val="000000"/>
                <w:kern w:val="0"/>
                <w:sz w:val="22"/>
                <w:szCs w:val="22"/>
              </w:rPr>
              <w:t>SM3、MD5、SHA1、SHA256、SHA512；</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支持对称算法：</w:t>
            </w:r>
            <w:r>
              <w:rPr>
                <w:rFonts w:ascii="Tahoma" w:hAnsi="Tahoma" w:cs="Tahoma"/>
                <w:color w:val="000000"/>
                <w:kern w:val="0"/>
                <w:sz w:val="22"/>
                <w:szCs w:val="22"/>
              </w:rPr>
              <w:t>SM4、3DES、AES、DES、RC4、RC2；</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PDF签名验签功能（要求提供产品截图证明材料）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支持大文件签名（要求提供产品截图证明材料）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KEK和默认两种方式的密钥加密导入导出功能以实现多机部署（要求提供产品截图证明材料）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支持对非对称算法、摘要算法、对称算法进行弱算法过滤的设置（要求提供产品截图证明材料）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XML封皮、封内、分离签名验签；支持支付宝XML签名验签；支持财付通XML签名验签（要求提供产品截图证明材料）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支持多台设备（包括生产系统和灾备系统）之间对称密钥同步（要求提供产品截图证明材料）</w:t>
            </w:r>
          </w:p>
          <w:p>
            <w:pPr>
              <w:widowControl/>
              <w:spacing w:line="240" w:lineRule="auto"/>
              <w:ind w:firstLine="0" w:firstLineChars="0"/>
              <w:rPr>
                <w:rFonts w:ascii="Tahoma" w:hAnsi="Tahoma" w:cs="Tahoma"/>
                <w:color w:val="000000"/>
                <w:kern w:val="0"/>
                <w:sz w:val="22"/>
                <w:szCs w:val="22"/>
              </w:rPr>
            </w:pPr>
            <w:r>
              <w:rPr>
                <w:rFonts w:ascii="Tahoma" w:hAnsi="Tahoma" w:cs="Tahoma"/>
                <w:color w:val="000000"/>
                <w:kern w:val="0"/>
                <w:sz w:val="22"/>
                <w:szCs w:val="22"/>
              </w:rPr>
              <w:t>API和Server间可实现加密方式传输（要求提供产品截图证明材料）</w:t>
            </w:r>
          </w:p>
          <w:p>
            <w:pPr>
              <w:widowControl/>
              <w:spacing w:line="240" w:lineRule="auto"/>
              <w:ind w:firstLine="0" w:firstLineChars="0"/>
              <w:rPr>
                <w:rFonts w:hint="eastAsia" w:ascii="Tahoma" w:hAnsi="Tahoma" w:cs="Tahoma"/>
                <w:color w:val="000000"/>
                <w:kern w:val="0"/>
                <w:sz w:val="22"/>
                <w:szCs w:val="22"/>
              </w:rPr>
            </w:pPr>
            <w:r>
              <w:rPr>
                <w:rFonts w:hint="eastAsia" w:ascii="Tahoma" w:hAnsi="Tahoma" w:cs="Tahoma"/>
                <w:color w:val="000000"/>
                <w:kern w:val="0"/>
                <w:sz w:val="22"/>
                <w:szCs w:val="22"/>
              </w:rPr>
              <w:t>可批量执行巡检指令实现一键巡检并生成巡检报告；包括日常巡检、应急巡检和深度巡检。（要求提供产品截图证明材料）。</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所投产品具</w:t>
            </w:r>
            <w:r>
              <w:rPr>
                <w:rFonts w:hint="eastAsia" w:ascii="Tahoma" w:hAnsi="Tahoma" w:cs="Tahoma"/>
                <w:color w:val="000000"/>
                <w:kern w:val="0"/>
                <w:sz w:val="22"/>
                <w:szCs w:val="22"/>
                <w:lang w:eastAsia="zh-CN"/>
              </w:rPr>
              <w:t>有</w:t>
            </w:r>
            <w:r>
              <w:rPr>
                <w:rFonts w:hint="eastAsia" w:ascii="Tahoma" w:hAnsi="Tahoma" w:cs="Tahoma"/>
                <w:color w:val="000000"/>
                <w:kern w:val="0"/>
                <w:sz w:val="22"/>
                <w:szCs w:val="22"/>
              </w:rPr>
              <w:t>《商用密码产品认证证书》，并标明</w:t>
            </w:r>
            <w:r>
              <w:rPr>
                <w:rFonts w:ascii="Tahoma" w:hAnsi="Tahoma" w:cs="Tahoma"/>
                <w:color w:val="000000"/>
                <w:kern w:val="0"/>
                <w:sz w:val="22"/>
                <w:szCs w:val="22"/>
              </w:rPr>
              <w:t>GM/T 0028-2014密码模块技术要求中第二级要求（提供证明材料）。</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台</w:t>
            </w:r>
          </w:p>
        </w:tc>
      </w:tr>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密码设备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其他安全产品</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用于密评网络和通信层、设备和计算层整改。遵循国密</w:t>
            </w:r>
            <w:r>
              <w:rPr>
                <w:rFonts w:ascii="Tahoma" w:hAnsi="Tahoma" w:cs="Tahoma"/>
                <w:color w:val="000000"/>
                <w:kern w:val="0"/>
                <w:sz w:val="22"/>
                <w:szCs w:val="22"/>
              </w:rPr>
              <w:t>SSL协议规范的通用浏览器；</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w:t>
            </w:r>
            <w:r>
              <w:rPr>
                <w:rFonts w:ascii="Tahoma" w:hAnsi="Tahoma" w:cs="Tahoma"/>
                <w:color w:val="000000"/>
                <w:kern w:val="0"/>
                <w:sz w:val="22"/>
                <w:szCs w:val="22"/>
              </w:rPr>
              <w:t>HTTP/1.1、HTTP/2.0协议、Web Workers、MathML、支持W3C标准、HTML5最新标准支持WebGL(Web图形库)；</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页面解析、页面标签栏、标签栏支持标签分组、页面地址栏、书签栏、下载管理、登录密码自动保存、页面查找、网页内容字体自定义、页面缩放、页面恢复、超级拖拽、证书管理、扩展程序管理、网页静音、快捷键、鼠标手势、全屏模式、无痕浏览模式、新标签页背景个性化设置、新标签页自定义导航个数、网页翻译、保存网页为图片等功能；</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支持沙箱机制、浏览器内核隔离域、跨域安全隔离、站点安全隔离防护、可信证书校验等功能；</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支持兼容模式下开启数据执行保护，保证应用数据安全；</w:t>
            </w:r>
          </w:p>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支持国密算法，包括：</w:t>
            </w:r>
            <w:r>
              <w:rPr>
                <w:rFonts w:ascii="Tahoma" w:hAnsi="Tahoma" w:cs="Tahoma"/>
                <w:color w:val="000000"/>
                <w:kern w:val="0"/>
                <w:sz w:val="22"/>
                <w:szCs w:val="22"/>
              </w:rPr>
              <w:t>SM2/SM3/SM4；支持SSL单/双向协议；支持最新TLCP标准；支持极速、兼容模式下通过国密协议访问，针对国密网站优先通过国密协议访问；</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套</w:t>
            </w:r>
          </w:p>
        </w:tc>
      </w:tr>
      <w:tr>
        <w:tblPrEx>
          <w:tblCellMar>
            <w:top w:w="0" w:type="dxa"/>
            <w:left w:w="108" w:type="dxa"/>
            <w:bottom w:w="0" w:type="dxa"/>
            <w:right w:w="108" w:type="dxa"/>
          </w:tblCellMar>
        </w:tblPrEx>
        <w:trPr>
          <w:trHeight w:val="1140"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密码设备</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其他安全产品</w:t>
            </w:r>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域名证书，部署在应用安全网关，用于在客户端和服务端之间建立国密</w:t>
            </w:r>
            <w:r>
              <w:rPr>
                <w:rFonts w:ascii="Tahoma" w:hAnsi="Tahoma" w:cs="Tahoma"/>
                <w:color w:val="000000"/>
                <w:kern w:val="0"/>
                <w:sz w:val="22"/>
                <w:szCs w:val="22"/>
              </w:rPr>
              <w:t>SSL通道</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套</w:t>
            </w:r>
          </w:p>
        </w:tc>
      </w:tr>
      <w:tr>
        <w:tblPrEx>
          <w:tblCellMar>
            <w:top w:w="0" w:type="dxa"/>
            <w:left w:w="108" w:type="dxa"/>
            <w:bottom w:w="0" w:type="dxa"/>
            <w:right w:w="108" w:type="dxa"/>
          </w:tblCellMar>
        </w:tblPrEx>
        <w:trPr>
          <w:trHeight w:val="711" w:hRule="atLeast"/>
          <w:jc w:val="center"/>
        </w:trPr>
        <w:tc>
          <w:tcPr>
            <w:tcW w:w="283"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w:t>
            </w:r>
          </w:p>
        </w:tc>
        <w:tc>
          <w:tcPr>
            <w:tcW w:w="28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密码应用功能模块</w:t>
            </w:r>
          </w:p>
        </w:tc>
        <w:tc>
          <w:tcPr>
            <w:tcW w:w="42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bookmarkStart w:id="20" w:name="OLE_LINK73"/>
            <w:bookmarkStart w:id="21" w:name="OLE_LINK74"/>
            <w:r>
              <w:rPr>
                <w:rFonts w:hint="eastAsia" w:ascii="Tahoma" w:hAnsi="Tahoma" w:cs="Tahoma"/>
                <w:color w:val="000000"/>
                <w:kern w:val="0"/>
                <w:sz w:val="22"/>
                <w:szCs w:val="22"/>
              </w:rPr>
              <w:t>密码应用功能模块</w:t>
            </w:r>
            <w:bookmarkEnd w:id="20"/>
            <w:bookmarkEnd w:id="21"/>
          </w:p>
        </w:tc>
        <w:tc>
          <w:tcPr>
            <w:tcW w:w="3379"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rPr>
                <w:rFonts w:ascii="Tahoma" w:hAnsi="Tahoma" w:cs="Tahoma"/>
                <w:color w:val="000000"/>
                <w:kern w:val="0"/>
                <w:sz w:val="22"/>
                <w:szCs w:val="22"/>
              </w:rPr>
            </w:pPr>
            <w:r>
              <w:rPr>
                <w:rFonts w:hint="eastAsia" w:ascii="Tahoma" w:hAnsi="Tahoma" w:cs="Tahoma"/>
                <w:color w:val="000000"/>
                <w:kern w:val="0"/>
                <w:sz w:val="22"/>
                <w:szCs w:val="22"/>
              </w:rPr>
              <w:t>配合密评开展针对内部系统做相应功能开发</w:t>
            </w:r>
          </w:p>
        </w:tc>
        <w:tc>
          <w:tcPr>
            <w:tcW w:w="293"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w:t>
            </w:r>
          </w:p>
        </w:tc>
        <w:tc>
          <w:tcPr>
            <w:tcW w:w="336" w:type="pct"/>
            <w:tcBorders>
              <w:top w:val="single" w:color="auto" w:sz="4" w:space="0"/>
              <w:left w:val="nil"/>
              <w:bottom w:val="single" w:color="auto" w:sz="4" w:space="0"/>
              <w:right w:val="single" w:color="auto" w:sz="4" w:space="0"/>
            </w:tcBorders>
            <w:shd w:val="clear" w:color="auto" w:fill="FFFFFF"/>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人月</w:t>
            </w:r>
          </w:p>
        </w:tc>
      </w:tr>
    </w:tbl>
    <w:p>
      <w:pPr>
        <w:ind w:firstLine="0" w:firstLineChars="0"/>
      </w:pPr>
    </w:p>
    <w:p>
      <w:pPr>
        <w:pStyle w:val="2"/>
      </w:pPr>
      <w:bookmarkStart w:id="22" w:name="_Toc63785503"/>
      <w:r>
        <w:rPr>
          <w:rFonts w:hint="eastAsia"/>
        </w:rPr>
        <w:t>其他工作要求</w:t>
      </w:r>
      <w:bookmarkEnd w:id="22"/>
    </w:p>
    <w:p>
      <w:pPr>
        <w:keepNext/>
        <w:keepLines/>
        <w:numPr>
          <w:ilvl w:val="1"/>
          <w:numId w:val="4"/>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23" w:name="_Toc61968111"/>
      <w:bookmarkEnd w:id="23"/>
      <w:bookmarkStart w:id="24" w:name="_Toc63785439"/>
      <w:bookmarkEnd w:id="24"/>
      <w:bookmarkStart w:id="25" w:name="_Toc63585480"/>
      <w:bookmarkEnd w:id="25"/>
      <w:bookmarkStart w:id="26" w:name="_Toc63762370"/>
      <w:bookmarkEnd w:id="26"/>
      <w:bookmarkStart w:id="27" w:name="_Toc63151871"/>
      <w:bookmarkEnd w:id="27"/>
      <w:bookmarkStart w:id="28" w:name="_Toc62219358"/>
      <w:bookmarkEnd w:id="28"/>
      <w:bookmarkStart w:id="29" w:name="_Toc63785504"/>
      <w:bookmarkEnd w:id="29"/>
      <w:bookmarkStart w:id="30" w:name="_Toc62209488"/>
      <w:bookmarkEnd w:id="30"/>
    </w:p>
    <w:p>
      <w:pPr>
        <w:pStyle w:val="3"/>
      </w:pPr>
      <w:bookmarkStart w:id="31" w:name="_Toc63785505"/>
      <w:r>
        <w:rPr>
          <w:rFonts w:hint="eastAsia"/>
        </w:rPr>
        <w:t>售后服务要求</w:t>
      </w:r>
      <w:bookmarkEnd w:id="31"/>
    </w:p>
    <w:p>
      <w:pPr>
        <w:pStyle w:val="12"/>
        <w:snapToGrid w:val="0"/>
        <w:spacing w:line="360" w:lineRule="auto"/>
        <w:ind w:firstLine="480"/>
        <w:rPr>
          <w:rFonts w:ascii="宋体" w:hAnsi="宋体"/>
          <w:sz w:val="24"/>
          <w:szCs w:val="24"/>
        </w:rPr>
      </w:pPr>
      <w:r>
        <w:rPr>
          <w:rFonts w:hint="eastAsia" w:ascii="宋体" w:hAnsi="宋体"/>
          <w:sz w:val="24"/>
          <w:szCs w:val="24"/>
        </w:rPr>
        <w:t>本项目从系统验收通过之日起质保</w:t>
      </w:r>
      <w:r>
        <w:rPr>
          <w:rFonts w:ascii="宋体" w:hAnsi="宋体"/>
          <w:sz w:val="24"/>
          <w:szCs w:val="24"/>
        </w:rPr>
        <w:t>3年。质保期内，成交供应商必须承诺提供免费技术后援支持，包括专业技术咨询、故障排查、紧急事件处理等工作；至少提供7*8客户咨询服务，对用户的故障通知，成交供应商应在接报后1小时内响应，24小时内排除故障。</w:t>
      </w:r>
    </w:p>
    <w:p>
      <w:pPr>
        <w:pStyle w:val="3"/>
      </w:pPr>
      <w:bookmarkStart w:id="32" w:name="_Toc63785506"/>
      <w:r>
        <w:rPr>
          <w:rFonts w:hint="eastAsia"/>
        </w:rPr>
        <w:t>应急响应要求</w:t>
      </w:r>
      <w:bookmarkEnd w:id="32"/>
    </w:p>
    <w:p>
      <w:pPr>
        <w:pStyle w:val="12"/>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w:t>
      </w:r>
      <w:r>
        <w:rPr>
          <w:rFonts w:hint="eastAsia" w:ascii="宋体" w:hAnsi="宋体"/>
          <w:sz w:val="24"/>
          <w:szCs w:val="24"/>
        </w:rPr>
        <w:t>2</w:t>
      </w:r>
      <w:r>
        <w:rPr>
          <w:rFonts w:ascii="宋体" w:hAnsi="宋体"/>
          <w:sz w:val="24"/>
          <w:szCs w:val="24"/>
        </w:rPr>
        <w:t>小时内到达现场</w:t>
      </w:r>
      <w:r>
        <w:rPr>
          <w:rFonts w:hint="eastAsia" w:ascii="宋体" w:hAnsi="宋体"/>
          <w:sz w:val="24"/>
          <w:szCs w:val="24"/>
        </w:rPr>
        <w:t>。特殊故障与客户沟通协商后，按照协商的方式制定解决方案并进行处理。</w:t>
      </w:r>
    </w:p>
    <w:p>
      <w:pPr>
        <w:pStyle w:val="12"/>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pPr>
        <w:pStyle w:val="12"/>
        <w:snapToGrid w:val="0"/>
        <w:spacing w:line="360" w:lineRule="auto"/>
        <w:ind w:firstLine="480"/>
        <w:rPr>
          <w:rFonts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pPr>
        <w:pStyle w:val="12"/>
        <w:snapToGrid w:val="0"/>
        <w:spacing w:line="360" w:lineRule="auto"/>
        <w:ind w:firstLine="480"/>
        <w:rPr>
          <w:rFonts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pPr>
        <w:pStyle w:val="12"/>
        <w:snapToGrid w:val="0"/>
        <w:spacing w:line="360" w:lineRule="auto"/>
        <w:ind w:firstLine="480"/>
        <w:rPr>
          <w:rFonts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pPr>
        <w:pStyle w:val="3"/>
      </w:pPr>
      <w:bookmarkStart w:id="33" w:name="_Toc63785507"/>
      <w:r>
        <w:rPr>
          <w:rFonts w:hint="eastAsia"/>
        </w:rPr>
        <w:t>培训要求</w:t>
      </w:r>
      <w:bookmarkEnd w:id="33"/>
    </w:p>
    <w:p>
      <w:r>
        <w:rPr>
          <w:rFonts w:hint="eastAsia"/>
        </w:rPr>
        <w:t>对系统使用单位提供业务操作培训，应提供详细培训方案。</w:t>
      </w:r>
    </w:p>
    <w:p>
      <w:r>
        <w:rPr>
          <w:rFonts w:hint="eastAsia"/>
        </w:rPr>
        <w:t>(1)提供至少2次与项目相关的必要培训。</w:t>
      </w:r>
    </w:p>
    <w:p>
      <w:r>
        <w:rPr>
          <w:rFonts w:hint="eastAsia"/>
        </w:rPr>
        <w:t>(2)供应商需要开展分层次的人员培训工作，每次培训后应对参加培训人员进行测试，评估培训成果。培训应具有培训教材、培训环境和高水平的培训讲师。</w:t>
      </w:r>
    </w:p>
    <w:p>
      <w:pPr>
        <w:rPr>
          <w:strike/>
          <w:szCs w:val="21"/>
        </w:rPr>
      </w:pPr>
      <w:r>
        <w:rPr>
          <w:rFonts w:hint="eastAsia"/>
        </w:rPr>
        <w:t>(3)供应商应提供一般用户的基础操作培训和部门信息管理员的日常应用维护的培训，确保用户对象能够掌握对应的操作技能。</w:t>
      </w:r>
    </w:p>
    <w:p>
      <w:pPr>
        <w:pStyle w:val="3"/>
      </w:pPr>
      <w:bookmarkStart w:id="34" w:name="_Toc63785509"/>
      <w:r>
        <w:rPr>
          <w:rFonts w:hint="eastAsia"/>
        </w:rPr>
        <w:t>进度要求</w:t>
      </w:r>
      <w:bookmarkEnd w:id="34"/>
    </w:p>
    <w:p>
      <w:r>
        <w:rPr>
          <w:rFonts w:hint="eastAsia"/>
        </w:rPr>
        <w:t>投标人应根据建设内容，分阶段制定合理的时间进度，并且应根据招标方要求进行调整和细化。总建设周期为</w:t>
      </w:r>
      <w:r>
        <w:t>6</w:t>
      </w:r>
      <w:r>
        <w:rPr>
          <w:rFonts w:hint="eastAsia"/>
        </w:rPr>
        <w:t>个月。</w:t>
      </w:r>
    </w:p>
    <w:p>
      <w:pPr>
        <w:pStyle w:val="3"/>
      </w:pPr>
      <w:bookmarkStart w:id="35" w:name="_Toc63785511"/>
      <w:r>
        <w:t>等级保护要求</w:t>
      </w:r>
      <w:bookmarkEnd w:id="35"/>
    </w:p>
    <w:p>
      <w:r>
        <w:t xml:space="preserve">本项目等级保护要求： </w:t>
      </w:r>
      <w:r>
        <w:rPr>
          <w:rFonts w:hint="eastAsia"/>
        </w:rPr>
        <w:t>二级等保。</w:t>
      </w:r>
    </w:p>
    <w:p>
      <w:pPr>
        <w:pStyle w:val="3"/>
      </w:pPr>
      <w:r>
        <w:rPr>
          <w:rFonts w:hint="eastAsia"/>
        </w:rPr>
        <w:t>商业密码应用需求</w:t>
      </w:r>
    </w:p>
    <w:p>
      <w:r>
        <w:rPr>
          <w:rFonts w:hint="eastAsia"/>
        </w:rPr>
        <w:t>本项目另一项内容主要对我单位电子公文处理系统进行密码应用改造，以达到《密码应用基本要求》对信息系统密码应用安全二级的要求，合规、正确、有效地使用商用密码对系统进行保护，并通过密码应用安全性评估。</w:t>
      </w:r>
    </w:p>
    <w:p>
      <w:r>
        <w:rPr>
          <w:rFonts w:hint="eastAsia"/>
        </w:rPr>
        <w:t>本项目将依据方案中确定的密码应用需求、密码应用设计方案，使用经检测认证合格的商用密码产品、服务，对现有的应用进行开发改造、系统集成、联调测试等方式建设密码技术体系；依据安全管理方案，制定密码安全相关人员、制度、业务、运维、应急等方面的管理措施，同步建立密码安全管理体系。</w:t>
      </w:r>
    </w:p>
    <w:p>
      <w:r>
        <w:rPr>
          <w:rFonts w:hint="eastAsia"/>
        </w:rPr>
        <w:t>密码建设内容如下表所示：</w:t>
      </w:r>
    </w:p>
    <w:tbl>
      <w:tblPr>
        <w:tblStyle w:val="8"/>
        <w:tblW w:w="5000" w:type="pct"/>
        <w:tblInd w:w="0" w:type="dxa"/>
        <w:tblLayout w:type="autofit"/>
        <w:tblCellMar>
          <w:top w:w="0" w:type="dxa"/>
          <w:left w:w="108" w:type="dxa"/>
          <w:bottom w:w="0" w:type="dxa"/>
          <w:right w:w="108" w:type="dxa"/>
        </w:tblCellMar>
      </w:tblPr>
      <w:tblGrid>
        <w:gridCol w:w="1242"/>
        <w:gridCol w:w="4663"/>
        <w:gridCol w:w="1313"/>
        <w:gridCol w:w="1310"/>
      </w:tblGrid>
      <w:tr>
        <w:tblPrEx>
          <w:tblCellMar>
            <w:top w:w="0" w:type="dxa"/>
            <w:left w:w="108" w:type="dxa"/>
            <w:bottom w:w="0" w:type="dxa"/>
            <w:right w:w="108" w:type="dxa"/>
          </w:tblCellMar>
        </w:tblPrEx>
        <w:trPr>
          <w:trHeight w:val="501" w:hRule="atLeast"/>
        </w:trPr>
        <w:tc>
          <w:tcPr>
            <w:tcW w:w="728" w:type="pct"/>
            <w:tcBorders>
              <w:top w:val="single" w:color="auto" w:sz="4" w:space="0"/>
              <w:left w:val="single" w:color="auto" w:sz="4" w:space="0"/>
              <w:bottom w:val="single" w:color="auto" w:sz="4" w:space="0"/>
              <w:right w:val="single" w:color="auto" w:sz="4" w:space="0"/>
            </w:tcBorders>
            <w:shd w:val="clear" w:color="000000" w:fill="5B9BD5"/>
            <w:vAlign w:val="center"/>
          </w:tcPr>
          <w:p>
            <w:pPr>
              <w:widowControl/>
              <w:ind w:firstLine="0" w:firstLineChars="0"/>
              <w:jc w:val="center"/>
              <w:rPr>
                <w:rFonts w:cs="宋体"/>
                <w:b/>
                <w:bCs/>
                <w:color w:val="FFFFFF"/>
                <w:kern w:val="0"/>
                <w:sz w:val="20"/>
                <w:szCs w:val="20"/>
              </w:rPr>
            </w:pPr>
            <w:r>
              <w:rPr>
                <w:rFonts w:hint="eastAsia" w:cs="宋体"/>
                <w:b/>
                <w:bCs/>
                <w:color w:val="FFFFFF"/>
                <w:kern w:val="0"/>
                <w:sz w:val="20"/>
                <w:szCs w:val="20"/>
              </w:rPr>
              <w:t>序号</w:t>
            </w:r>
          </w:p>
        </w:tc>
        <w:tc>
          <w:tcPr>
            <w:tcW w:w="2734" w:type="pct"/>
            <w:tcBorders>
              <w:top w:val="single" w:color="auto" w:sz="4" w:space="0"/>
              <w:left w:val="nil"/>
              <w:bottom w:val="single" w:color="auto" w:sz="4" w:space="0"/>
              <w:right w:val="single" w:color="auto" w:sz="4" w:space="0"/>
            </w:tcBorders>
            <w:shd w:val="clear" w:color="000000" w:fill="5B9BD5"/>
            <w:vAlign w:val="center"/>
          </w:tcPr>
          <w:p>
            <w:pPr>
              <w:widowControl/>
              <w:ind w:firstLine="0" w:firstLineChars="0"/>
              <w:rPr>
                <w:rFonts w:cs="宋体"/>
                <w:b/>
                <w:bCs/>
                <w:color w:val="FFFFFF"/>
                <w:kern w:val="0"/>
                <w:sz w:val="20"/>
                <w:szCs w:val="20"/>
              </w:rPr>
            </w:pPr>
            <w:r>
              <w:rPr>
                <w:rFonts w:hint="eastAsia" w:cs="宋体"/>
                <w:b/>
                <w:bCs/>
                <w:color w:val="FFFFFF"/>
                <w:kern w:val="0"/>
                <w:sz w:val="20"/>
                <w:szCs w:val="20"/>
              </w:rPr>
              <w:t>产品名称</w:t>
            </w:r>
          </w:p>
        </w:tc>
        <w:tc>
          <w:tcPr>
            <w:tcW w:w="770" w:type="pct"/>
            <w:tcBorders>
              <w:top w:val="single" w:color="auto" w:sz="4" w:space="0"/>
              <w:left w:val="nil"/>
              <w:bottom w:val="single" w:color="auto" w:sz="4" w:space="0"/>
              <w:right w:val="single" w:color="auto" w:sz="4" w:space="0"/>
            </w:tcBorders>
            <w:shd w:val="clear" w:color="000000" w:fill="5B9BD5"/>
            <w:vAlign w:val="center"/>
          </w:tcPr>
          <w:p>
            <w:pPr>
              <w:widowControl/>
              <w:ind w:firstLine="0" w:firstLineChars="0"/>
              <w:jc w:val="center"/>
              <w:rPr>
                <w:rFonts w:cs="宋体"/>
                <w:b/>
                <w:bCs/>
                <w:color w:val="FFFFFF"/>
                <w:kern w:val="0"/>
                <w:sz w:val="20"/>
                <w:szCs w:val="20"/>
              </w:rPr>
            </w:pPr>
            <w:r>
              <w:rPr>
                <w:rFonts w:hint="eastAsia" w:cs="宋体"/>
                <w:b/>
                <w:bCs/>
                <w:color w:val="FFFFFF"/>
                <w:kern w:val="0"/>
                <w:sz w:val="20"/>
                <w:szCs w:val="20"/>
              </w:rPr>
              <w:t>数量</w:t>
            </w:r>
          </w:p>
        </w:tc>
        <w:tc>
          <w:tcPr>
            <w:tcW w:w="768" w:type="pct"/>
            <w:tcBorders>
              <w:top w:val="single" w:color="auto" w:sz="4" w:space="0"/>
              <w:left w:val="nil"/>
              <w:bottom w:val="single" w:color="auto" w:sz="4" w:space="0"/>
              <w:right w:val="single" w:color="auto" w:sz="4" w:space="0"/>
            </w:tcBorders>
            <w:shd w:val="clear" w:color="000000" w:fill="5B9BD5"/>
            <w:vAlign w:val="center"/>
          </w:tcPr>
          <w:p>
            <w:pPr>
              <w:widowControl/>
              <w:ind w:firstLine="0" w:firstLineChars="0"/>
              <w:jc w:val="center"/>
              <w:rPr>
                <w:rFonts w:cs="宋体"/>
                <w:b/>
                <w:bCs/>
                <w:color w:val="FFFFFF"/>
                <w:kern w:val="0"/>
                <w:sz w:val="20"/>
                <w:szCs w:val="20"/>
              </w:rPr>
            </w:pPr>
            <w:r>
              <w:rPr>
                <w:rFonts w:hint="eastAsia" w:cs="宋体"/>
                <w:b/>
                <w:bCs/>
                <w:color w:val="FFFFFF"/>
                <w:kern w:val="0"/>
                <w:sz w:val="20"/>
                <w:szCs w:val="20"/>
              </w:rPr>
              <w:t>单位</w:t>
            </w:r>
          </w:p>
        </w:tc>
      </w:tr>
      <w:tr>
        <w:tblPrEx>
          <w:tblCellMar>
            <w:top w:w="0" w:type="dxa"/>
            <w:left w:w="108" w:type="dxa"/>
            <w:bottom w:w="0" w:type="dxa"/>
            <w:right w:w="108" w:type="dxa"/>
          </w:tblCellMar>
        </w:tblPrEx>
        <w:trPr>
          <w:trHeight w:val="501" w:hRule="atLeast"/>
        </w:trPr>
        <w:tc>
          <w:tcPr>
            <w:tcW w:w="728"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1</w:t>
            </w:r>
          </w:p>
        </w:tc>
        <w:tc>
          <w:tcPr>
            <w:tcW w:w="2734" w:type="pct"/>
            <w:tcBorders>
              <w:top w:val="nil"/>
              <w:left w:val="nil"/>
              <w:bottom w:val="single" w:color="auto" w:sz="4" w:space="0"/>
              <w:right w:val="single" w:color="auto" w:sz="4" w:space="0"/>
            </w:tcBorders>
            <w:shd w:val="clear" w:color="auto" w:fill="auto"/>
            <w:vAlign w:val="center"/>
          </w:tcPr>
          <w:p>
            <w:pPr>
              <w:widowControl/>
              <w:ind w:firstLine="0" w:firstLineChars="0"/>
              <w:rPr>
                <w:rFonts w:cs="宋体"/>
                <w:kern w:val="0"/>
                <w:sz w:val="20"/>
                <w:szCs w:val="20"/>
              </w:rPr>
            </w:pPr>
            <w:r>
              <w:rPr>
                <w:rFonts w:hint="eastAsia" w:cs="宋体"/>
                <w:kern w:val="0"/>
                <w:sz w:val="20"/>
                <w:szCs w:val="20"/>
              </w:rPr>
              <w:t>应用安全网关</w:t>
            </w:r>
          </w:p>
        </w:tc>
        <w:tc>
          <w:tcPr>
            <w:tcW w:w="77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1</w:t>
            </w:r>
          </w:p>
        </w:tc>
        <w:tc>
          <w:tcPr>
            <w:tcW w:w="768"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台</w:t>
            </w:r>
          </w:p>
        </w:tc>
      </w:tr>
      <w:tr>
        <w:tblPrEx>
          <w:tblCellMar>
            <w:top w:w="0" w:type="dxa"/>
            <w:left w:w="108" w:type="dxa"/>
            <w:bottom w:w="0" w:type="dxa"/>
            <w:right w:w="108" w:type="dxa"/>
          </w:tblCellMar>
        </w:tblPrEx>
        <w:trPr>
          <w:trHeight w:val="501" w:hRule="atLeast"/>
        </w:trPr>
        <w:tc>
          <w:tcPr>
            <w:tcW w:w="728"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2</w:t>
            </w:r>
          </w:p>
        </w:tc>
        <w:tc>
          <w:tcPr>
            <w:tcW w:w="2734" w:type="pct"/>
            <w:tcBorders>
              <w:top w:val="nil"/>
              <w:left w:val="nil"/>
              <w:bottom w:val="single" w:color="auto" w:sz="4" w:space="0"/>
              <w:right w:val="single" w:color="auto" w:sz="4" w:space="0"/>
            </w:tcBorders>
            <w:shd w:val="clear" w:color="auto" w:fill="auto"/>
            <w:vAlign w:val="center"/>
          </w:tcPr>
          <w:p>
            <w:pPr>
              <w:widowControl/>
              <w:ind w:firstLine="0" w:firstLineChars="0"/>
              <w:rPr>
                <w:rFonts w:cs="宋体"/>
                <w:kern w:val="0"/>
                <w:sz w:val="20"/>
                <w:szCs w:val="20"/>
              </w:rPr>
            </w:pPr>
            <w:r>
              <w:rPr>
                <w:rFonts w:hint="eastAsia" w:cs="宋体"/>
                <w:kern w:val="0"/>
                <w:sz w:val="20"/>
                <w:szCs w:val="20"/>
              </w:rPr>
              <w:t>动态令牌认证系统（含动态令牌TOKEN）</w:t>
            </w:r>
          </w:p>
        </w:tc>
        <w:tc>
          <w:tcPr>
            <w:tcW w:w="77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1</w:t>
            </w:r>
          </w:p>
        </w:tc>
        <w:tc>
          <w:tcPr>
            <w:tcW w:w="768"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套</w:t>
            </w:r>
          </w:p>
        </w:tc>
      </w:tr>
      <w:tr>
        <w:tblPrEx>
          <w:tblCellMar>
            <w:top w:w="0" w:type="dxa"/>
            <w:left w:w="108" w:type="dxa"/>
            <w:bottom w:w="0" w:type="dxa"/>
            <w:right w:w="108" w:type="dxa"/>
          </w:tblCellMar>
        </w:tblPrEx>
        <w:trPr>
          <w:trHeight w:val="501" w:hRule="atLeast"/>
        </w:trPr>
        <w:tc>
          <w:tcPr>
            <w:tcW w:w="728"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3</w:t>
            </w:r>
          </w:p>
        </w:tc>
        <w:tc>
          <w:tcPr>
            <w:tcW w:w="2734" w:type="pct"/>
            <w:tcBorders>
              <w:top w:val="nil"/>
              <w:left w:val="nil"/>
              <w:bottom w:val="single" w:color="auto" w:sz="4" w:space="0"/>
              <w:right w:val="single" w:color="auto" w:sz="4" w:space="0"/>
            </w:tcBorders>
            <w:shd w:val="clear" w:color="auto" w:fill="auto"/>
            <w:vAlign w:val="center"/>
          </w:tcPr>
          <w:p>
            <w:pPr>
              <w:widowControl/>
              <w:ind w:firstLine="0" w:firstLineChars="0"/>
              <w:rPr>
                <w:rFonts w:cs="宋体"/>
                <w:kern w:val="0"/>
                <w:sz w:val="20"/>
                <w:szCs w:val="20"/>
              </w:rPr>
            </w:pPr>
            <w:r>
              <w:rPr>
                <w:rFonts w:hint="eastAsia" w:cs="宋体"/>
                <w:kern w:val="0"/>
                <w:sz w:val="20"/>
                <w:szCs w:val="20"/>
              </w:rPr>
              <w:t>签名验签服务器</w:t>
            </w:r>
          </w:p>
        </w:tc>
        <w:tc>
          <w:tcPr>
            <w:tcW w:w="77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1</w:t>
            </w:r>
          </w:p>
        </w:tc>
        <w:tc>
          <w:tcPr>
            <w:tcW w:w="768"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台</w:t>
            </w:r>
          </w:p>
        </w:tc>
      </w:tr>
      <w:tr>
        <w:tblPrEx>
          <w:tblCellMar>
            <w:top w:w="0" w:type="dxa"/>
            <w:left w:w="108" w:type="dxa"/>
            <w:bottom w:w="0" w:type="dxa"/>
            <w:right w:w="108" w:type="dxa"/>
          </w:tblCellMar>
        </w:tblPrEx>
        <w:trPr>
          <w:trHeight w:val="501" w:hRule="atLeast"/>
        </w:trPr>
        <w:tc>
          <w:tcPr>
            <w:tcW w:w="728"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4</w:t>
            </w:r>
          </w:p>
        </w:tc>
        <w:tc>
          <w:tcPr>
            <w:tcW w:w="2734" w:type="pct"/>
            <w:tcBorders>
              <w:top w:val="nil"/>
              <w:left w:val="nil"/>
              <w:bottom w:val="single" w:color="auto" w:sz="4" w:space="0"/>
              <w:right w:val="single" w:color="auto" w:sz="4" w:space="0"/>
            </w:tcBorders>
            <w:shd w:val="clear" w:color="auto" w:fill="auto"/>
            <w:vAlign w:val="center"/>
          </w:tcPr>
          <w:p>
            <w:pPr>
              <w:widowControl/>
              <w:ind w:firstLine="0" w:firstLineChars="0"/>
              <w:rPr>
                <w:rFonts w:cs="宋体"/>
                <w:kern w:val="0"/>
                <w:sz w:val="20"/>
                <w:szCs w:val="20"/>
              </w:rPr>
            </w:pPr>
            <w:r>
              <w:rPr>
                <w:rFonts w:cs="宋体"/>
                <w:kern w:val="0"/>
                <w:sz w:val="20"/>
                <w:szCs w:val="20"/>
              </w:rPr>
              <w:t>安 全 浏 览 器</w:t>
            </w:r>
            <w:r>
              <w:rPr>
                <w:rFonts w:hint="eastAsia" w:cs="宋体"/>
                <w:kern w:val="0"/>
                <w:sz w:val="20"/>
                <w:szCs w:val="20"/>
              </w:rPr>
              <w:t>（ 含 密 码 模块）</w:t>
            </w:r>
          </w:p>
        </w:tc>
        <w:tc>
          <w:tcPr>
            <w:tcW w:w="77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10</w:t>
            </w:r>
          </w:p>
        </w:tc>
        <w:tc>
          <w:tcPr>
            <w:tcW w:w="768"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套</w:t>
            </w:r>
          </w:p>
        </w:tc>
      </w:tr>
      <w:tr>
        <w:tblPrEx>
          <w:tblCellMar>
            <w:top w:w="0" w:type="dxa"/>
            <w:left w:w="108" w:type="dxa"/>
            <w:bottom w:w="0" w:type="dxa"/>
            <w:right w:w="108" w:type="dxa"/>
          </w:tblCellMar>
        </w:tblPrEx>
        <w:trPr>
          <w:trHeight w:val="501" w:hRule="atLeast"/>
        </w:trPr>
        <w:tc>
          <w:tcPr>
            <w:tcW w:w="728"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5</w:t>
            </w:r>
          </w:p>
        </w:tc>
        <w:tc>
          <w:tcPr>
            <w:tcW w:w="2734" w:type="pct"/>
            <w:tcBorders>
              <w:top w:val="nil"/>
              <w:left w:val="nil"/>
              <w:bottom w:val="single" w:color="auto" w:sz="4" w:space="0"/>
              <w:right w:val="single" w:color="auto" w:sz="4" w:space="0"/>
            </w:tcBorders>
            <w:shd w:val="clear" w:color="auto" w:fill="auto"/>
            <w:vAlign w:val="center"/>
          </w:tcPr>
          <w:p>
            <w:pPr>
              <w:widowControl/>
              <w:ind w:firstLine="0" w:firstLineChars="0"/>
              <w:rPr>
                <w:rFonts w:cs="宋体"/>
                <w:kern w:val="0"/>
                <w:sz w:val="20"/>
                <w:szCs w:val="20"/>
              </w:rPr>
            </w:pPr>
            <w:r>
              <w:rPr>
                <w:rFonts w:hint="eastAsia" w:cs="宋体"/>
                <w:kern w:val="0"/>
                <w:sz w:val="20"/>
                <w:szCs w:val="20"/>
              </w:rPr>
              <w:t>域名证书</w:t>
            </w:r>
          </w:p>
        </w:tc>
        <w:tc>
          <w:tcPr>
            <w:tcW w:w="77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1</w:t>
            </w:r>
          </w:p>
        </w:tc>
        <w:tc>
          <w:tcPr>
            <w:tcW w:w="768"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套</w:t>
            </w:r>
          </w:p>
        </w:tc>
      </w:tr>
      <w:tr>
        <w:tblPrEx>
          <w:tblCellMar>
            <w:top w:w="0" w:type="dxa"/>
            <w:left w:w="108" w:type="dxa"/>
            <w:bottom w:w="0" w:type="dxa"/>
            <w:right w:w="108" w:type="dxa"/>
          </w:tblCellMar>
        </w:tblPrEx>
        <w:trPr>
          <w:trHeight w:val="501" w:hRule="atLeast"/>
        </w:trPr>
        <w:tc>
          <w:tcPr>
            <w:tcW w:w="728"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6</w:t>
            </w:r>
          </w:p>
        </w:tc>
        <w:tc>
          <w:tcPr>
            <w:tcW w:w="2734" w:type="pct"/>
            <w:tcBorders>
              <w:top w:val="nil"/>
              <w:left w:val="nil"/>
              <w:bottom w:val="single" w:color="auto" w:sz="4" w:space="0"/>
              <w:right w:val="single" w:color="auto" w:sz="4" w:space="0"/>
            </w:tcBorders>
            <w:shd w:val="clear" w:color="auto" w:fill="auto"/>
            <w:vAlign w:val="center"/>
          </w:tcPr>
          <w:p>
            <w:pPr>
              <w:widowControl/>
              <w:ind w:firstLine="0" w:firstLineChars="0"/>
              <w:rPr>
                <w:rFonts w:cs="宋体"/>
                <w:kern w:val="0"/>
                <w:sz w:val="20"/>
                <w:szCs w:val="20"/>
              </w:rPr>
            </w:pPr>
            <w:r>
              <w:rPr>
                <w:rFonts w:hint="eastAsia" w:cs="宋体"/>
                <w:kern w:val="0"/>
                <w:sz w:val="20"/>
                <w:szCs w:val="20"/>
              </w:rPr>
              <w:t>密码应用功能模块</w:t>
            </w:r>
          </w:p>
        </w:tc>
        <w:tc>
          <w:tcPr>
            <w:tcW w:w="770"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2</w:t>
            </w:r>
          </w:p>
        </w:tc>
        <w:tc>
          <w:tcPr>
            <w:tcW w:w="768"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cs="宋体"/>
                <w:kern w:val="0"/>
                <w:sz w:val="20"/>
                <w:szCs w:val="20"/>
              </w:rPr>
            </w:pPr>
            <w:r>
              <w:rPr>
                <w:rFonts w:hint="eastAsia" w:cs="宋体"/>
                <w:kern w:val="0"/>
                <w:sz w:val="20"/>
                <w:szCs w:val="20"/>
              </w:rPr>
              <w:t>人/月</w:t>
            </w:r>
          </w:p>
        </w:tc>
      </w:tr>
    </w:tbl>
    <w:p/>
    <w:p>
      <w:pPr>
        <w:pStyle w:val="2"/>
      </w:pPr>
      <w:bookmarkStart w:id="36" w:name="_Toc68798863"/>
      <w:r>
        <w:rPr>
          <w:rFonts w:hint="eastAsia"/>
        </w:rPr>
        <w:t>其他</w:t>
      </w:r>
    </w:p>
    <w:p>
      <w:r>
        <w:rPr>
          <w:rFonts w:hint="eastAsia"/>
        </w:rPr>
        <w:t>供应商具有质量管理体系认证、信息技术服务管理体系认证、信息安全管理体系认证的优先考虑。</w:t>
      </w:r>
    </w:p>
    <w:p>
      <w:pPr>
        <w:pStyle w:val="2"/>
      </w:pPr>
      <w:r>
        <w:rPr>
          <w:rFonts w:hint="eastAsia"/>
        </w:rPr>
        <w:t>附录</w:t>
      </w:r>
      <w:bookmarkEnd w:id="36"/>
    </w:p>
    <w:p>
      <w:pPr>
        <w:ind w:firstLine="482"/>
        <w:rPr>
          <w:b/>
        </w:rPr>
      </w:pPr>
      <w:r>
        <w:rPr>
          <w:rFonts w:hint="eastAsia"/>
          <w:b/>
        </w:rPr>
        <w:t>若项目建设过程中需符合相关技术标准或规范文件的要求，请将相关文件作为附件列出。</w:t>
      </w:r>
    </w:p>
    <w:p>
      <w:pPr>
        <w:ind w:firstLine="482"/>
      </w:pPr>
      <w:r>
        <w:rPr>
          <w:rFonts w:hint="eastAsia"/>
          <w:b/>
        </w:rPr>
        <w:t>参考如下：</w:t>
      </w:r>
    </w:p>
    <w:p>
      <w:pPr>
        <w:ind w:firstLine="0" w:firstLineChars="0"/>
      </w:pPr>
      <w:r>
        <w:rPr>
          <w:rFonts w:hint="eastAsia"/>
        </w:rPr>
        <w:t>1、</w:t>
      </w:r>
      <w:r>
        <w:t>《政务网络安全监测平台总体技术要求》</w:t>
      </w:r>
    </w:p>
    <w:p>
      <w:pPr>
        <w:ind w:firstLine="0" w:firstLineChars="0"/>
      </w:pPr>
      <w:r>
        <w:object>
          <v:shape id="_x0000_i1025" o:spt="75" type="#_x0000_t75" style="height:54.65pt;width:77.35pt;" o:ole="t" filled="f" o:preferrelative="t" stroked="f" coordsize="21600,21600">
            <v:path/>
            <v:fill on="f" focussize="0,0"/>
            <v:stroke on="f" joinstyle="miter"/>
            <v:imagedata r:id="rId13" o:title=""/>
            <o:lock v:ext="edit" aspectratio="t"/>
            <w10:wrap type="none"/>
            <w10:anchorlock/>
          </v:shape>
          <o:OLEObject Type="Embed" ProgID="Package" ShapeID="_x0000_i1025" DrawAspect="Icon" ObjectID="_1468075725" r:id="rId12">
            <o:LockedField>false</o:LockedField>
          </o:OLEObject>
        </w:object>
      </w:r>
    </w:p>
    <w:p>
      <w:pPr>
        <w:ind w:firstLine="0" w:firstLineChars="0"/>
      </w:pP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4.65pt;width:77.35pt;" o:ole="t" filled="f" o:preferrelative="t" stroked="f" coordsize="21600,21600">
            <v:path/>
            <v:fill on="f" focussize="0,0"/>
            <v:stroke on="f" joinstyle="miter"/>
            <v:imagedata r:id="rId15" o:title=""/>
            <o:lock v:ext="edit" aspectratio="t"/>
            <w10:wrap type="none"/>
            <w10:anchorlock/>
          </v:shape>
          <o:OLEObject Type="Embed" ProgID="Package" ShapeID="_x0000_i1026" DrawAspect="Icon" ObjectID="_1468075726" r:id="rId14">
            <o:LockedField>false</o:LockedField>
          </o:OLEObject>
        </w:object>
      </w:r>
    </w:p>
    <w:p/>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国标黑体">
    <w:panose1 w:val="020005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p/>
  <w:p/>
  <w:p/>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0FA1571B"/>
    <w:multiLevelType w:val="multilevel"/>
    <w:tmpl w:val="0FA1571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4DBB3EBE"/>
    <w:multiLevelType w:val="multilevel"/>
    <w:tmpl w:val="4DBB3EB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1OTMyYmVkNDBiZGZjOTJjNzg0ZTljMGM2NGM1NWEifQ=="/>
  </w:docVars>
  <w:rsids>
    <w:rsidRoot w:val="003C5790"/>
    <w:rsid w:val="000C2E12"/>
    <w:rsid w:val="000C3861"/>
    <w:rsid w:val="00181910"/>
    <w:rsid w:val="001A38E8"/>
    <w:rsid w:val="001C3A54"/>
    <w:rsid w:val="002376A0"/>
    <w:rsid w:val="002B09F6"/>
    <w:rsid w:val="00314815"/>
    <w:rsid w:val="00361192"/>
    <w:rsid w:val="003662BF"/>
    <w:rsid w:val="00377CFB"/>
    <w:rsid w:val="003B76B9"/>
    <w:rsid w:val="003C5790"/>
    <w:rsid w:val="0041134A"/>
    <w:rsid w:val="00415BCB"/>
    <w:rsid w:val="00493E56"/>
    <w:rsid w:val="004E37A7"/>
    <w:rsid w:val="004E5588"/>
    <w:rsid w:val="004F15D9"/>
    <w:rsid w:val="00505D5A"/>
    <w:rsid w:val="00624917"/>
    <w:rsid w:val="006A73AF"/>
    <w:rsid w:val="00720F04"/>
    <w:rsid w:val="00736F3E"/>
    <w:rsid w:val="00791C64"/>
    <w:rsid w:val="007B5782"/>
    <w:rsid w:val="007D3308"/>
    <w:rsid w:val="00836498"/>
    <w:rsid w:val="00875C80"/>
    <w:rsid w:val="008925B8"/>
    <w:rsid w:val="0089326C"/>
    <w:rsid w:val="008A3FC5"/>
    <w:rsid w:val="009D3FAB"/>
    <w:rsid w:val="009E3FC4"/>
    <w:rsid w:val="00A207BE"/>
    <w:rsid w:val="00A47EA2"/>
    <w:rsid w:val="00A757FB"/>
    <w:rsid w:val="00A815EA"/>
    <w:rsid w:val="00AD560C"/>
    <w:rsid w:val="00AE4324"/>
    <w:rsid w:val="00B039C5"/>
    <w:rsid w:val="00B13D6D"/>
    <w:rsid w:val="00B21CEF"/>
    <w:rsid w:val="00B25112"/>
    <w:rsid w:val="00B33285"/>
    <w:rsid w:val="00B67205"/>
    <w:rsid w:val="00BC46FD"/>
    <w:rsid w:val="00BD4330"/>
    <w:rsid w:val="00C43687"/>
    <w:rsid w:val="00C55E99"/>
    <w:rsid w:val="00C66AD7"/>
    <w:rsid w:val="00C70DBE"/>
    <w:rsid w:val="00CC269B"/>
    <w:rsid w:val="00D56FEF"/>
    <w:rsid w:val="00DB425E"/>
    <w:rsid w:val="00DD333A"/>
    <w:rsid w:val="00E00F2C"/>
    <w:rsid w:val="00E23677"/>
    <w:rsid w:val="00E2798E"/>
    <w:rsid w:val="00EA7C42"/>
    <w:rsid w:val="00EB50A2"/>
    <w:rsid w:val="00F05B40"/>
    <w:rsid w:val="00F409AA"/>
    <w:rsid w:val="00F44D3E"/>
    <w:rsid w:val="00FA0E84"/>
    <w:rsid w:val="00FA4E93"/>
    <w:rsid w:val="00FC64BE"/>
    <w:rsid w:val="1630DDB7"/>
    <w:rsid w:val="5FFEDC75"/>
    <w:rsid w:val="645D785C"/>
    <w:rsid w:val="7776D506"/>
    <w:rsid w:val="7BFDED2E"/>
    <w:rsid w:val="7FA6B14E"/>
    <w:rsid w:val="ABEECCA0"/>
    <w:rsid w:val="D7BBBE19"/>
    <w:rsid w:val="EBFF3E19"/>
    <w:rsid w:val="F4FD0DB2"/>
    <w:rsid w:val="F70F8EA3"/>
    <w:rsid w:val="FFE33F3D"/>
    <w:rsid w:val="FFE70B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qFormat/>
    <w:uiPriority w:val="9"/>
    <w:pPr>
      <w:keepNext/>
      <w:keepLines/>
      <w:numPr>
        <w:ilvl w:val="1"/>
        <w:numId w:val="1"/>
      </w:numPr>
      <w:spacing w:before="120" w:after="120"/>
      <w:ind w:firstLine="0" w:firstLineChars="0"/>
      <w:outlineLvl w:val="1"/>
    </w:pPr>
    <w:rPr>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0"/>
    <w:pPr>
      <w:jc w:val="left"/>
    </w:pPr>
  </w:style>
  <w:style w:type="paragraph" w:styleId="5">
    <w:name w:val="Balloon Text"/>
    <w:basedOn w:val="1"/>
    <w:link w:val="19"/>
    <w:semiHidden/>
    <w:unhideWhenUsed/>
    <w:qFormat/>
    <w:uiPriority w:val="0"/>
    <w:pPr>
      <w:spacing w:line="240" w:lineRule="auto"/>
    </w:pPr>
    <w:rPr>
      <w:sz w:val="18"/>
      <w:szCs w:val="18"/>
    </w:rPr>
  </w:style>
  <w:style w:type="paragraph" w:styleId="6">
    <w:name w:val="footer"/>
    <w:basedOn w:val="1"/>
    <w:link w:val="18"/>
    <w:qFormat/>
    <w:uiPriority w:val="0"/>
    <w:pPr>
      <w:tabs>
        <w:tab w:val="center" w:pos="4153"/>
        <w:tab w:val="right" w:pos="8306"/>
      </w:tabs>
      <w:snapToGrid w:val="0"/>
      <w:spacing w:line="240" w:lineRule="auto"/>
      <w:jc w:val="left"/>
    </w:pPr>
    <w:rPr>
      <w:sz w:val="18"/>
      <w:szCs w:val="18"/>
    </w:rPr>
  </w:style>
  <w:style w:type="paragraph" w:styleId="7">
    <w:name w:val="header"/>
    <w:basedOn w:val="1"/>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table" w:styleId="9">
    <w:name w:val="Table Grid"/>
    <w:basedOn w:val="8"/>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annotation reference"/>
    <w:basedOn w:val="10"/>
    <w:semiHidden/>
    <w:unhideWhenUsed/>
    <w:qFormat/>
    <w:uiPriority w:val="0"/>
    <w:rPr>
      <w:sz w:val="21"/>
      <w:szCs w:val="21"/>
    </w:rPr>
  </w:style>
  <w:style w:type="paragraph" w:customStyle="1" w:styleId="12">
    <w:name w:val="正文缩进1"/>
    <w:basedOn w:val="1"/>
    <w:autoRedefine/>
    <w:qFormat/>
    <w:uiPriority w:val="0"/>
    <w:pPr>
      <w:spacing w:line="240" w:lineRule="auto"/>
      <w:ind w:firstLine="420"/>
    </w:pPr>
    <w:rPr>
      <w:rFonts w:ascii="Times New Roman" w:hAnsi="Times New Roman"/>
      <w:sz w:val="21"/>
      <w:szCs w:val="20"/>
    </w:rPr>
  </w:style>
  <w:style w:type="paragraph" w:customStyle="1" w:styleId="13">
    <w:name w:val="正文正文2"/>
    <w:basedOn w:val="1"/>
    <w:autoRedefine/>
    <w:qFormat/>
    <w:uiPriority w:val="0"/>
    <w:pPr>
      <w:ind w:firstLine="460"/>
    </w:pPr>
    <w:rPr>
      <w:sz w:val="21"/>
      <w:szCs w:val="21"/>
    </w:rPr>
  </w:style>
  <w:style w:type="paragraph" w:styleId="14">
    <w:name w:val="List Paragraph"/>
    <w:basedOn w:val="1"/>
    <w:link w:val="17"/>
    <w:unhideWhenUsed/>
    <w:qFormat/>
    <w:uiPriority w:val="1"/>
    <w:pPr>
      <w:ind w:firstLine="420"/>
    </w:pPr>
  </w:style>
  <w:style w:type="paragraph" w:customStyle="1" w:styleId="15">
    <w:name w:val="B-表正文"/>
    <w:qFormat/>
    <w:uiPriority w:val="0"/>
    <w:rPr>
      <w:rFonts w:ascii="Times New Roman" w:hAnsi="Times New Roman" w:eastAsia="仿宋" w:cstheme="minorBidi"/>
      <w:kern w:val="2"/>
      <w:sz w:val="21"/>
      <w:szCs w:val="24"/>
      <w:lang w:val="en-US" w:eastAsia="zh-CN" w:bidi="ar-SA"/>
    </w:rPr>
  </w:style>
  <w:style w:type="paragraph" w:customStyle="1" w:styleId="16">
    <w:name w:val="样式2"/>
    <w:basedOn w:val="1"/>
    <w:qFormat/>
    <w:uiPriority w:val="0"/>
    <w:pPr>
      <w:widowControl/>
      <w:adjustRightInd w:val="0"/>
    </w:pPr>
    <w:rPr>
      <w:kern w:val="0"/>
      <w:lang w:eastAsia="en-US"/>
    </w:rPr>
  </w:style>
  <w:style w:type="character" w:customStyle="1" w:styleId="17">
    <w:name w:val="列出段落 Char"/>
    <w:link w:val="14"/>
    <w:qFormat/>
    <w:uiPriority w:val="1"/>
    <w:rPr>
      <w:rFonts w:ascii="宋体" w:hAnsi="宋体" w:eastAsia="宋体" w:cs="Times New Roman"/>
      <w:kern w:val="2"/>
      <w:sz w:val="24"/>
      <w:szCs w:val="24"/>
    </w:rPr>
  </w:style>
  <w:style w:type="character" w:customStyle="1" w:styleId="18">
    <w:name w:val="页脚 Char"/>
    <w:basedOn w:val="10"/>
    <w:link w:val="6"/>
    <w:qFormat/>
    <w:uiPriority w:val="0"/>
    <w:rPr>
      <w:rFonts w:ascii="宋体" w:hAnsi="宋体" w:eastAsia="宋体" w:cs="Times New Roman"/>
      <w:kern w:val="2"/>
      <w:sz w:val="18"/>
      <w:szCs w:val="18"/>
    </w:rPr>
  </w:style>
  <w:style w:type="character" w:customStyle="1" w:styleId="19">
    <w:name w:val="批注框文本 Char"/>
    <w:basedOn w:val="10"/>
    <w:link w:val="5"/>
    <w:semiHidden/>
    <w:qFormat/>
    <w:uiPriority w:val="0"/>
    <w:rPr>
      <w:rFonts w:ascii="宋体" w:hAns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11949</Words>
  <Characters>3311</Characters>
  <Lines>27</Lines>
  <Paragraphs>30</Paragraphs>
  <TotalTime>109</TotalTime>
  <ScaleCrop>false</ScaleCrop>
  <LinksUpToDate>false</LinksUpToDate>
  <CharactersWithSpaces>15230</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2025-06-01T18:06:00Z</dcterms:created>
  <dc:creator>user</dc:creator>
  <cp:lastModifiedBy>user</cp:lastModifiedBy>
  <dcterms:modified xsi:type="dcterms:W3CDTF">2025-07-08T13:44:23Z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C0333D9C9EDC434881011F08177B8D11_12</vt:lpwstr>
  </property>
</Properties>
</file>