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218B1">
      <w:pPr>
        <w:ind w:firstLine="0" w:firstLineChars="0"/>
        <w:jc w:val="center"/>
        <w:rPr>
          <w:rFonts w:ascii="黑体" w:hAnsi="黑体" w:eastAsia="黑体"/>
          <w:sz w:val="48"/>
          <w:szCs w:val="48"/>
        </w:rPr>
      </w:pPr>
    </w:p>
    <w:p w14:paraId="184C7368">
      <w:pPr>
        <w:ind w:firstLine="0" w:firstLineChars="0"/>
        <w:jc w:val="center"/>
        <w:rPr>
          <w:rFonts w:ascii="黑体" w:hAnsi="黑体" w:eastAsia="黑体"/>
          <w:sz w:val="48"/>
          <w:szCs w:val="48"/>
        </w:rPr>
      </w:pPr>
    </w:p>
    <w:p w14:paraId="60827B25">
      <w:pPr>
        <w:spacing w:before="159" w:line="197" w:lineRule="auto"/>
        <w:ind w:firstLine="0" w:firstLineChars="0"/>
        <w:jc w:val="center"/>
        <w:rPr>
          <w:rFonts w:ascii="黑体" w:hAnsi="黑体" w:eastAsia="黑体"/>
          <w:sz w:val="52"/>
          <w:szCs w:val="52"/>
        </w:rPr>
      </w:pPr>
      <w:r>
        <w:rPr>
          <w:rFonts w:hint="eastAsia" w:ascii="黑体" w:hAnsi="黑体" w:eastAsia="黑体" w:cs="Times New Roman"/>
          <w:sz w:val="52"/>
          <w:szCs w:val="52"/>
          <w:lang w:val="en-US" w:eastAsia="zh-CN"/>
        </w:rPr>
        <w:t>上海市住建委应急管理综合平台二期（2025年升级改造）</w:t>
      </w:r>
      <w:r>
        <w:rPr>
          <w:rFonts w:hint="eastAsia" w:ascii="黑体" w:hAnsi="黑体" w:eastAsia="黑体"/>
          <w:sz w:val="52"/>
          <w:szCs w:val="52"/>
        </w:rPr>
        <w:t>项目</w:t>
      </w:r>
    </w:p>
    <w:p w14:paraId="1D5969CE">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62971A2D">
      <w:pPr>
        <w:ind w:firstLine="0" w:firstLineChars="0"/>
        <w:jc w:val="center"/>
        <w:rPr>
          <w:rFonts w:ascii="黑体" w:hAnsi="黑体" w:eastAsia="黑体"/>
          <w:sz w:val="72"/>
          <w:szCs w:val="72"/>
        </w:rPr>
      </w:pPr>
    </w:p>
    <w:p w14:paraId="72931AA2">
      <w:pPr>
        <w:ind w:firstLine="0" w:firstLineChars="0"/>
        <w:jc w:val="center"/>
        <w:rPr>
          <w:rFonts w:ascii="黑体" w:hAnsi="黑体" w:eastAsia="黑体"/>
          <w:sz w:val="48"/>
          <w:szCs w:val="48"/>
        </w:rPr>
      </w:pPr>
    </w:p>
    <w:p w14:paraId="0D79FD32">
      <w:pPr>
        <w:ind w:firstLine="0" w:firstLineChars="0"/>
        <w:jc w:val="center"/>
        <w:rPr>
          <w:rFonts w:ascii="黑体" w:hAnsi="黑体" w:eastAsia="黑体"/>
          <w:sz w:val="52"/>
          <w:szCs w:val="52"/>
        </w:rPr>
      </w:pPr>
    </w:p>
    <w:p w14:paraId="23F17FFE">
      <w:pPr>
        <w:ind w:firstLine="1040"/>
        <w:rPr>
          <w:rFonts w:ascii="黑体" w:hAnsi="黑体" w:eastAsia="黑体"/>
          <w:sz w:val="52"/>
          <w:szCs w:val="52"/>
        </w:rPr>
      </w:pPr>
    </w:p>
    <w:p w14:paraId="30311909"/>
    <w:p w14:paraId="6C10EEA2"/>
    <w:p w14:paraId="1EEEC400"/>
    <w:p w14:paraId="422E29F2"/>
    <w:p w14:paraId="7D1FB8C1"/>
    <w:p w14:paraId="6D2677C3"/>
    <w:p w14:paraId="24BA9F7D">
      <w:p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ascii="宋体" w:hAnsi="宋体" w:eastAsia="宋体" w:cs="Times New Roman"/>
          <w:color w:val="auto"/>
          <w:kern w:val="2"/>
          <w:sz w:val="24"/>
          <w:szCs w:val="24"/>
          <w:lang w:val="zh-CN"/>
        </w:rPr>
        <w:id w:val="-1"/>
        <w:docPartObj>
          <w:docPartGallery w:val="Table of Contents"/>
          <w:docPartUnique/>
        </w:docPartObj>
      </w:sdtPr>
      <w:sdtEndPr>
        <w:rPr>
          <w:rFonts w:ascii="宋体" w:hAnsi="宋体" w:eastAsia="宋体" w:cs="Times New Roman"/>
          <w:b/>
          <w:bCs/>
          <w:color w:val="auto"/>
          <w:kern w:val="2"/>
          <w:sz w:val="24"/>
          <w:szCs w:val="24"/>
          <w:lang w:val="zh-CN"/>
        </w:rPr>
      </w:sdtEndPr>
      <w:sdtContent>
        <w:p w14:paraId="32639FEE">
          <w:pPr>
            <w:pStyle w:val="29"/>
            <w:jc w:val="center"/>
            <w:rPr>
              <w:rFonts w:ascii="黑体" w:hAnsi="黑体" w:eastAsia="黑体"/>
              <w:b/>
              <w:color w:val="auto"/>
            </w:rPr>
          </w:pPr>
          <w:r>
            <w:rPr>
              <w:rFonts w:ascii="黑体" w:hAnsi="黑体" w:eastAsia="黑体"/>
              <w:b/>
              <w:color w:val="auto"/>
              <w:lang w:val="zh-CN"/>
            </w:rPr>
            <w:t>目</w:t>
          </w:r>
          <w:r>
            <w:rPr>
              <w:rFonts w:hint="eastAsia" w:ascii="黑体" w:hAnsi="黑体" w:eastAsia="黑体"/>
              <w:b/>
              <w:color w:val="auto"/>
              <w:lang w:val="zh-CN"/>
            </w:rPr>
            <w:t xml:space="preserve"> </w:t>
          </w:r>
          <w:r>
            <w:rPr>
              <w:rFonts w:ascii="黑体" w:hAnsi="黑体" w:eastAsia="黑体"/>
              <w:b/>
              <w:color w:val="auto"/>
              <w:lang w:val="zh-CN"/>
            </w:rPr>
            <w:t>录</w:t>
          </w:r>
        </w:p>
        <w:p w14:paraId="33C238D1">
          <w:pPr>
            <w:pStyle w:val="13"/>
            <w:tabs>
              <w:tab w:val="right" w:leader="dot" w:pos="8306"/>
              <w:tab w:val="clear" w:pos="8296"/>
            </w:tabs>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HYPERLINK \l _Toc14841 </w:instrText>
          </w:r>
          <w:r>
            <w:rPr>
              <w:rFonts w:ascii="Times New Roman" w:hAnsi="Times New Roman"/>
            </w:rPr>
            <w:fldChar w:fldCharType="separate"/>
          </w:r>
          <w:r>
            <w:rPr>
              <w:rFonts w:hint="eastAsia"/>
              <w:szCs w:val="32"/>
            </w:rPr>
            <w:t xml:space="preserve">一、 </w:t>
          </w:r>
          <w:r>
            <w:rPr>
              <w:rFonts w:hint="eastAsia"/>
            </w:rPr>
            <w:t>项目概况</w:t>
          </w:r>
          <w:r>
            <w:tab/>
          </w:r>
          <w:r>
            <w:fldChar w:fldCharType="begin"/>
          </w:r>
          <w:r>
            <w:instrText xml:space="preserve"> PAGEREF _Toc14841 \h </w:instrText>
          </w:r>
          <w:r>
            <w:fldChar w:fldCharType="separate"/>
          </w:r>
          <w:r>
            <w:t>1</w:t>
          </w:r>
          <w:r>
            <w:fldChar w:fldCharType="end"/>
          </w:r>
          <w:r>
            <w:rPr>
              <w:rFonts w:ascii="Times New Roman" w:hAnsi="Times New Roman"/>
            </w:rPr>
            <w:fldChar w:fldCharType="end"/>
          </w:r>
        </w:p>
        <w:p w14:paraId="1415EB29">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_Toc2796 </w:instrText>
          </w:r>
          <w:r>
            <w:rPr>
              <w:rFonts w:ascii="Times New Roman" w:hAnsi="Times New Roman"/>
              <w:bCs/>
              <w:lang w:val="zh-CN"/>
            </w:rPr>
            <w:fldChar w:fldCharType="separate"/>
          </w:r>
          <w:r>
            <w:rPr>
              <w:rFonts w:hint="eastAsia"/>
              <w:szCs w:val="32"/>
            </w:rPr>
            <w:t xml:space="preserve">二、 </w:t>
          </w:r>
          <w:r>
            <w:rPr>
              <w:rFonts w:hint="eastAsia"/>
            </w:rPr>
            <w:t>建设目标</w:t>
          </w:r>
          <w:r>
            <w:tab/>
          </w:r>
          <w:r>
            <w:fldChar w:fldCharType="begin"/>
          </w:r>
          <w:r>
            <w:instrText xml:space="preserve"> PAGEREF _Toc2796 \h </w:instrText>
          </w:r>
          <w:r>
            <w:fldChar w:fldCharType="separate"/>
          </w:r>
          <w:r>
            <w:t>1</w:t>
          </w:r>
          <w:r>
            <w:fldChar w:fldCharType="end"/>
          </w:r>
          <w:r>
            <w:rPr>
              <w:rFonts w:ascii="Times New Roman" w:hAnsi="Times New Roman"/>
              <w:bCs/>
              <w:lang w:val="zh-CN"/>
            </w:rPr>
            <w:fldChar w:fldCharType="end"/>
          </w:r>
        </w:p>
        <w:p w14:paraId="73ACB818">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_Toc21795 </w:instrText>
          </w:r>
          <w:r>
            <w:rPr>
              <w:rFonts w:ascii="Times New Roman" w:hAnsi="Times New Roman"/>
              <w:bCs/>
              <w:lang w:val="zh-CN"/>
            </w:rPr>
            <w:fldChar w:fldCharType="separate"/>
          </w:r>
          <w:r>
            <w:rPr>
              <w:rFonts w:hint="eastAsia"/>
              <w:szCs w:val="32"/>
            </w:rPr>
            <w:t xml:space="preserve">三、 </w:t>
          </w:r>
          <w:r>
            <w:rPr>
              <w:rFonts w:hint="eastAsia"/>
            </w:rPr>
            <w:t>项目建设内容</w:t>
          </w:r>
          <w:r>
            <w:tab/>
          </w:r>
          <w:r>
            <w:fldChar w:fldCharType="begin"/>
          </w:r>
          <w:r>
            <w:instrText xml:space="preserve"> PAGEREF _Toc21795 \h </w:instrText>
          </w:r>
          <w:r>
            <w:fldChar w:fldCharType="separate"/>
          </w:r>
          <w:r>
            <w:t>2</w:t>
          </w:r>
          <w:r>
            <w:fldChar w:fldCharType="end"/>
          </w:r>
          <w:r>
            <w:rPr>
              <w:rFonts w:ascii="Times New Roman" w:hAnsi="Times New Roman"/>
              <w:bCs/>
              <w:lang w:val="zh-CN"/>
            </w:rPr>
            <w:fldChar w:fldCharType="end"/>
          </w:r>
        </w:p>
        <w:p w14:paraId="50449CA8">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_Toc9209 </w:instrText>
          </w:r>
          <w:r>
            <w:rPr>
              <w:rFonts w:ascii="Times New Roman" w:hAnsi="Times New Roman"/>
              <w:bCs/>
              <w:lang w:val="zh-CN"/>
            </w:rPr>
            <w:fldChar w:fldCharType="separate"/>
          </w:r>
          <w:r>
            <w:rPr>
              <w:rFonts w:hint="eastAsia"/>
            </w:rPr>
            <w:t>3</w:t>
          </w:r>
          <w:r>
            <w:t>.</w:t>
          </w:r>
          <w:r>
            <w:rPr>
              <w:rFonts w:hint="eastAsia"/>
              <w:lang w:val="en-US" w:eastAsia="zh-CN"/>
            </w:rPr>
            <w:t>1</w:t>
          </w:r>
          <w:r>
            <w:rPr>
              <w:rFonts w:hint="eastAsia"/>
            </w:rPr>
            <w:t>平台技术要求</w:t>
          </w:r>
          <w:r>
            <w:tab/>
          </w:r>
          <w:r>
            <w:fldChar w:fldCharType="begin"/>
          </w:r>
          <w:r>
            <w:instrText xml:space="preserve"> PAGEREF _Toc9209 \h </w:instrText>
          </w:r>
          <w:r>
            <w:fldChar w:fldCharType="separate"/>
          </w:r>
          <w:r>
            <w:t>2</w:t>
          </w:r>
          <w:r>
            <w:fldChar w:fldCharType="end"/>
          </w:r>
          <w:r>
            <w:rPr>
              <w:rFonts w:ascii="Times New Roman" w:hAnsi="Times New Roman"/>
              <w:bCs/>
              <w:lang w:val="zh-CN"/>
            </w:rPr>
            <w:fldChar w:fldCharType="end"/>
          </w:r>
        </w:p>
        <w:p w14:paraId="13A305CF">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_Toc16629 </w:instrText>
          </w:r>
          <w:r>
            <w:rPr>
              <w:rFonts w:ascii="Times New Roman" w:hAnsi="Times New Roman"/>
              <w:bCs/>
              <w:lang w:val="zh-CN"/>
            </w:rPr>
            <w:fldChar w:fldCharType="separate"/>
          </w:r>
          <w:r>
            <w:rPr>
              <w:rFonts w:hint="eastAsia"/>
            </w:rPr>
            <w:t>3</w:t>
          </w:r>
          <w:r>
            <w:t>.</w:t>
          </w:r>
          <w:r>
            <w:rPr>
              <w:rFonts w:hint="eastAsia"/>
              <w:lang w:val="en-US" w:eastAsia="zh-CN"/>
            </w:rPr>
            <w:t>2</w:t>
          </w:r>
          <w:r>
            <w:rPr>
              <w:rFonts w:hint="eastAsia"/>
            </w:rPr>
            <w:t>应用架构要求</w:t>
          </w:r>
          <w:r>
            <w:tab/>
          </w:r>
          <w:r>
            <w:fldChar w:fldCharType="begin"/>
          </w:r>
          <w:r>
            <w:instrText xml:space="preserve"> PAGEREF _Toc16629 \h </w:instrText>
          </w:r>
          <w:r>
            <w:fldChar w:fldCharType="separate"/>
          </w:r>
          <w:r>
            <w:t>2</w:t>
          </w:r>
          <w:r>
            <w:fldChar w:fldCharType="end"/>
          </w:r>
          <w:r>
            <w:rPr>
              <w:rFonts w:ascii="Times New Roman" w:hAnsi="Times New Roman"/>
              <w:bCs/>
              <w:lang w:val="zh-CN"/>
            </w:rPr>
            <w:fldChar w:fldCharType="end"/>
          </w:r>
        </w:p>
        <w:p w14:paraId="1ECD6D72">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_Toc22460 </w:instrText>
          </w:r>
          <w:r>
            <w:rPr>
              <w:rFonts w:ascii="Times New Roman" w:hAnsi="Times New Roman"/>
              <w:bCs/>
              <w:lang w:val="zh-CN"/>
            </w:rPr>
            <w:fldChar w:fldCharType="separate"/>
          </w:r>
          <w:r>
            <w:rPr>
              <w:rFonts w:hint="eastAsia"/>
            </w:rPr>
            <w:t>3</w:t>
          </w:r>
          <w:r>
            <w:t>.</w:t>
          </w:r>
          <w:r>
            <w:rPr>
              <w:rFonts w:hint="eastAsia"/>
              <w:lang w:val="en-US" w:eastAsia="zh-CN"/>
            </w:rPr>
            <w:t>3</w:t>
          </w:r>
          <w:r>
            <w:rPr>
              <w:rFonts w:hint="eastAsia"/>
            </w:rPr>
            <w:t>部署环境要求</w:t>
          </w:r>
          <w:r>
            <w:tab/>
          </w:r>
          <w:r>
            <w:fldChar w:fldCharType="begin"/>
          </w:r>
          <w:r>
            <w:instrText xml:space="preserve"> PAGEREF _Toc22460 \h </w:instrText>
          </w:r>
          <w:r>
            <w:fldChar w:fldCharType="separate"/>
          </w:r>
          <w:r>
            <w:t>2</w:t>
          </w:r>
          <w:r>
            <w:fldChar w:fldCharType="end"/>
          </w:r>
          <w:r>
            <w:rPr>
              <w:rFonts w:ascii="Times New Roman" w:hAnsi="Times New Roman"/>
              <w:bCs/>
              <w:lang w:val="zh-CN"/>
            </w:rPr>
            <w:fldChar w:fldCharType="end"/>
          </w:r>
        </w:p>
        <w:p w14:paraId="17A63F1B">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_Toc27562 </w:instrText>
          </w:r>
          <w:r>
            <w:rPr>
              <w:rFonts w:ascii="Times New Roman" w:hAnsi="Times New Roman"/>
              <w:bCs/>
              <w:lang w:val="zh-CN"/>
            </w:rPr>
            <w:fldChar w:fldCharType="separate"/>
          </w:r>
          <w:r>
            <w:rPr>
              <w:rFonts w:hint="eastAsia"/>
            </w:rPr>
            <w:t>3</w:t>
          </w:r>
          <w:r>
            <w:t>.</w:t>
          </w:r>
          <w:r>
            <w:rPr>
              <w:rFonts w:hint="eastAsia"/>
              <w:lang w:val="en-US" w:eastAsia="zh-CN"/>
            </w:rPr>
            <w:t>4</w:t>
          </w:r>
          <w:r>
            <w:rPr>
              <w:rFonts w:hint="eastAsia"/>
            </w:rPr>
            <w:t>开发环境要求</w:t>
          </w:r>
          <w:r>
            <w:tab/>
          </w:r>
          <w:r>
            <w:fldChar w:fldCharType="begin"/>
          </w:r>
          <w:r>
            <w:instrText xml:space="preserve"> PAGEREF _Toc27562 \h </w:instrText>
          </w:r>
          <w:r>
            <w:fldChar w:fldCharType="separate"/>
          </w:r>
          <w:r>
            <w:t>2</w:t>
          </w:r>
          <w:r>
            <w:fldChar w:fldCharType="end"/>
          </w:r>
          <w:r>
            <w:rPr>
              <w:rFonts w:ascii="Times New Roman" w:hAnsi="Times New Roman"/>
              <w:bCs/>
              <w:lang w:val="zh-CN"/>
            </w:rPr>
            <w:fldChar w:fldCharType="end"/>
          </w:r>
        </w:p>
        <w:p w14:paraId="41B8E4C1">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_Toc710 </w:instrText>
          </w:r>
          <w:r>
            <w:rPr>
              <w:rFonts w:ascii="Times New Roman" w:hAnsi="Times New Roman"/>
              <w:bCs/>
              <w:lang w:val="zh-CN"/>
            </w:rPr>
            <w:fldChar w:fldCharType="separate"/>
          </w:r>
          <w:r>
            <w:rPr>
              <w:rFonts w:hint="eastAsia"/>
            </w:rPr>
            <w:t>3</w:t>
          </w:r>
          <w:r>
            <w:t>.</w:t>
          </w:r>
          <w:r>
            <w:rPr>
              <w:rFonts w:hint="eastAsia"/>
              <w:lang w:val="en-US" w:eastAsia="zh-CN"/>
            </w:rPr>
            <w:t>5</w:t>
          </w:r>
          <w:r>
            <w:rPr>
              <w:rFonts w:hint="eastAsia"/>
            </w:rPr>
            <w:t>技术指标要求</w:t>
          </w:r>
          <w:r>
            <w:tab/>
          </w:r>
          <w:r>
            <w:fldChar w:fldCharType="begin"/>
          </w:r>
          <w:r>
            <w:instrText xml:space="preserve"> PAGEREF _Toc710 \h </w:instrText>
          </w:r>
          <w:r>
            <w:fldChar w:fldCharType="separate"/>
          </w:r>
          <w:r>
            <w:t>2</w:t>
          </w:r>
          <w:r>
            <w:fldChar w:fldCharType="end"/>
          </w:r>
          <w:r>
            <w:rPr>
              <w:rFonts w:ascii="Times New Roman" w:hAnsi="Times New Roman"/>
              <w:bCs/>
              <w:lang w:val="zh-CN"/>
            </w:rPr>
            <w:fldChar w:fldCharType="end"/>
          </w:r>
        </w:p>
        <w:p w14:paraId="35BE4E7B">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_Toc29102 </w:instrText>
          </w:r>
          <w:r>
            <w:rPr>
              <w:rFonts w:ascii="Times New Roman" w:hAnsi="Times New Roman"/>
              <w:bCs/>
              <w:lang w:val="zh-CN"/>
            </w:rPr>
            <w:fldChar w:fldCharType="separate"/>
          </w:r>
          <w:r>
            <w:rPr>
              <w:rFonts w:hint="eastAsia"/>
            </w:rPr>
            <w:t>3</w:t>
          </w:r>
          <w:r>
            <w:t>.</w:t>
          </w:r>
          <w:r>
            <w:rPr>
              <w:rFonts w:hint="eastAsia"/>
              <w:lang w:val="en-US" w:eastAsia="zh-CN"/>
            </w:rPr>
            <w:t>6</w:t>
          </w:r>
          <w:r>
            <w:rPr>
              <w:rFonts w:hint="eastAsia"/>
            </w:rPr>
            <w:t>系统备份</w:t>
          </w:r>
          <w:r>
            <w:tab/>
          </w:r>
          <w:r>
            <w:fldChar w:fldCharType="begin"/>
          </w:r>
          <w:r>
            <w:instrText xml:space="preserve"> PAGEREF _Toc29102 \h </w:instrText>
          </w:r>
          <w:r>
            <w:fldChar w:fldCharType="separate"/>
          </w:r>
          <w:r>
            <w:t>3</w:t>
          </w:r>
          <w:r>
            <w:fldChar w:fldCharType="end"/>
          </w:r>
          <w:r>
            <w:rPr>
              <w:rFonts w:ascii="Times New Roman" w:hAnsi="Times New Roman"/>
              <w:bCs/>
              <w:lang w:val="zh-CN"/>
            </w:rPr>
            <w:fldChar w:fldCharType="end"/>
          </w:r>
        </w:p>
        <w:p w14:paraId="718655E9">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_Toc16750 </w:instrText>
          </w:r>
          <w:r>
            <w:rPr>
              <w:rFonts w:ascii="Times New Roman" w:hAnsi="Times New Roman"/>
              <w:bCs/>
              <w:lang w:val="zh-CN"/>
            </w:rPr>
            <w:fldChar w:fldCharType="separate"/>
          </w:r>
          <w:r>
            <w:rPr>
              <w:rFonts w:hint="eastAsia"/>
            </w:rPr>
            <w:t>3</w:t>
          </w:r>
          <w:r>
            <w:t>.</w:t>
          </w:r>
          <w:r>
            <w:rPr>
              <w:rFonts w:hint="eastAsia"/>
              <w:lang w:val="en-US" w:eastAsia="zh-CN"/>
            </w:rPr>
            <w:t>7</w:t>
          </w:r>
          <w:r>
            <w:rPr>
              <w:rFonts w:hint="eastAsia"/>
            </w:rPr>
            <w:t>软件开发清单</w:t>
          </w:r>
          <w:r>
            <w:tab/>
          </w:r>
          <w:r>
            <w:fldChar w:fldCharType="begin"/>
          </w:r>
          <w:r>
            <w:instrText xml:space="preserve"> PAGEREF _Toc16750 \h </w:instrText>
          </w:r>
          <w:r>
            <w:fldChar w:fldCharType="separate"/>
          </w:r>
          <w:r>
            <w:t>3</w:t>
          </w:r>
          <w:r>
            <w:fldChar w:fldCharType="end"/>
          </w:r>
          <w:r>
            <w:rPr>
              <w:rFonts w:ascii="Times New Roman" w:hAnsi="Times New Roman"/>
              <w:bCs/>
              <w:lang w:val="zh-CN"/>
            </w:rPr>
            <w:fldChar w:fldCharType="end"/>
          </w:r>
        </w:p>
        <w:p w14:paraId="0D4A3BC6">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_Toc4399 </w:instrText>
          </w:r>
          <w:r>
            <w:rPr>
              <w:rFonts w:ascii="Times New Roman" w:hAnsi="Times New Roman"/>
              <w:bCs/>
              <w:lang w:val="zh-CN"/>
            </w:rPr>
            <w:fldChar w:fldCharType="separate"/>
          </w:r>
          <w:r>
            <w:rPr>
              <w:rFonts w:hint="eastAsia"/>
              <w:szCs w:val="32"/>
            </w:rPr>
            <w:t xml:space="preserve">四、 </w:t>
          </w:r>
          <w:r>
            <w:rPr>
              <w:rFonts w:hint="eastAsia"/>
            </w:rPr>
            <w:t>其他工作要求</w:t>
          </w:r>
          <w:r>
            <w:tab/>
          </w:r>
          <w:r>
            <w:fldChar w:fldCharType="begin"/>
          </w:r>
          <w:r>
            <w:instrText xml:space="preserve"> PAGEREF _Toc4399 \h </w:instrText>
          </w:r>
          <w:r>
            <w:fldChar w:fldCharType="separate"/>
          </w:r>
          <w:r>
            <w:t>6</w:t>
          </w:r>
          <w:r>
            <w:fldChar w:fldCharType="end"/>
          </w:r>
          <w:r>
            <w:rPr>
              <w:rFonts w:ascii="Times New Roman" w:hAnsi="Times New Roman"/>
              <w:bCs/>
              <w:lang w:val="zh-CN"/>
            </w:rPr>
            <w:fldChar w:fldCharType="end"/>
          </w:r>
        </w:p>
        <w:p w14:paraId="6EA5D081">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_Toc26522 </w:instrText>
          </w:r>
          <w:r>
            <w:rPr>
              <w:rFonts w:ascii="Times New Roman" w:hAnsi="Times New Roman"/>
              <w:bCs/>
              <w:lang w:val="zh-CN"/>
            </w:rPr>
            <w:fldChar w:fldCharType="separate"/>
          </w:r>
          <w:r>
            <w:rPr>
              <w:rFonts w:hint="eastAsia"/>
            </w:rPr>
            <w:t>4</w:t>
          </w:r>
          <w:r>
            <w:t>.1</w:t>
          </w:r>
          <w:r>
            <w:rPr>
              <w:rFonts w:hint="eastAsia"/>
            </w:rPr>
            <w:t>售后服务要求</w:t>
          </w:r>
          <w:r>
            <w:tab/>
          </w:r>
          <w:r>
            <w:fldChar w:fldCharType="begin"/>
          </w:r>
          <w:r>
            <w:instrText xml:space="preserve"> PAGEREF _Toc26522 \h </w:instrText>
          </w:r>
          <w:r>
            <w:fldChar w:fldCharType="separate"/>
          </w:r>
          <w:r>
            <w:t>6</w:t>
          </w:r>
          <w:r>
            <w:fldChar w:fldCharType="end"/>
          </w:r>
          <w:r>
            <w:rPr>
              <w:rFonts w:ascii="Times New Roman" w:hAnsi="Times New Roman"/>
              <w:bCs/>
              <w:lang w:val="zh-CN"/>
            </w:rPr>
            <w:fldChar w:fldCharType="end"/>
          </w:r>
        </w:p>
        <w:p w14:paraId="62B73D95">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_Toc19265 </w:instrText>
          </w:r>
          <w:r>
            <w:rPr>
              <w:rFonts w:ascii="Times New Roman" w:hAnsi="Times New Roman"/>
              <w:bCs/>
              <w:lang w:val="zh-CN"/>
            </w:rPr>
            <w:fldChar w:fldCharType="separate"/>
          </w:r>
          <w:r>
            <w:rPr>
              <w:rFonts w:hint="eastAsia"/>
            </w:rPr>
            <w:t>4</w:t>
          </w:r>
          <w:r>
            <w:t>.2</w:t>
          </w:r>
          <w:r>
            <w:rPr>
              <w:rFonts w:hint="eastAsia"/>
            </w:rPr>
            <w:t>应急响应要求</w:t>
          </w:r>
          <w:r>
            <w:tab/>
          </w:r>
          <w:r>
            <w:fldChar w:fldCharType="begin"/>
          </w:r>
          <w:r>
            <w:instrText xml:space="preserve"> PAGEREF _Toc19265 \h </w:instrText>
          </w:r>
          <w:r>
            <w:fldChar w:fldCharType="separate"/>
          </w:r>
          <w:r>
            <w:t>6</w:t>
          </w:r>
          <w:r>
            <w:fldChar w:fldCharType="end"/>
          </w:r>
          <w:r>
            <w:rPr>
              <w:rFonts w:ascii="Times New Roman" w:hAnsi="Times New Roman"/>
              <w:bCs/>
              <w:lang w:val="zh-CN"/>
            </w:rPr>
            <w:fldChar w:fldCharType="end"/>
          </w:r>
        </w:p>
        <w:p w14:paraId="12995642">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_Toc964 </w:instrText>
          </w:r>
          <w:r>
            <w:rPr>
              <w:rFonts w:ascii="Times New Roman" w:hAnsi="Times New Roman"/>
              <w:bCs/>
              <w:lang w:val="zh-CN"/>
            </w:rPr>
            <w:fldChar w:fldCharType="separate"/>
          </w:r>
          <w:r>
            <w:rPr>
              <w:rFonts w:hint="eastAsia"/>
            </w:rPr>
            <w:t>4</w:t>
          </w:r>
          <w:r>
            <w:t>.3</w:t>
          </w:r>
          <w:r>
            <w:rPr>
              <w:rFonts w:hint="eastAsia"/>
            </w:rPr>
            <w:t>培训要求</w:t>
          </w:r>
          <w:r>
            <w:tab/>
          </w:r>
          <w:r>
            <w:fldChar w:fldCharType="begin"/>
          </w:r>
          <w:r>
            <w:instrText xml:space="preserve"> PAGEREF _Toc964 \h </w:instrText>
          </w:r>
          <w:r>
            <w:fldChar w:fldCharType="separate"/>
          </w:r>
          <w:r>
            <w:t>6</w:t>
          </w:r>
          <w:r>
            <w:fldChar w:fldCharType="end"/>
          </w:r>
          <w:r>
            <w:rPr>
              <w:rFonts w:ascii="Times New Roman" w:hAnsi="Times New Roman"/>
              <w:bCs/>
              <w:lang w:val="zh-CN"/>
            </w:rPr>
            <w:fldChar w:fldCharType="end"/>
          </w:r>
        </w:p>
        <w:p w14:paraId="40B33BBF">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_Toc10055 </w:instrText>
          </w:r>
          <w:r>
            <w:rPr>
              <w:rFonts w:ascii="Times New Roman" w:hAnsi="Times New Roman"/>
              <w:bCs/>
              <w:lang w:val="zh-CN"/>
            </w:rPr>
            <w:fldChar w:fldCharType="separate"/>
          </w:r>
          <w:r>
            <w:rPr>
              <w:rFonts w:hint="eastAsia"/>
            </w:rPr>
            <w:t>4</w:t>
          </w:r>
          <w:r>
            <w:t>.4</w:t>
          </w:r>
          <w:r>
            <w:rPr>
              <w:rFonts w:hint="eastAsia"/>
            </w:rPr>
            <w:t>验收要求</w:t>
          </w:r>
          <w:r>
            <w:tab/>
          </w:r>
          <w:r>
            <w:fldChar w:fldCharType="begin"/>
          </w:r>
          <w:r>
            <w:instrText xml:space="preserve"> PAGEREF _Toc10055 \h </w:instrText>
          </w:r>
          <w:r>
            <w:fldChar w:fldCharType="separate"/>
          </w:r>
          <w:r>
            <w:t>7</w:t>
          </w:r>
          <w:r>
            <w:fldChar w:fldCharType="end"/>
          </w:r>
          <w:r>
            <w:rPr>
              <w:rFonts w:ascii="Times New Roman" w:hAnsi="Times New Roman"/>
              <w:bCs/>
              <w:lang w:val="zh-CN"/>
            </w:rPr>
            <w:fldChar w:fldCharType="end"/>
          </w:r>
        </w:p>
        <w:p w14:paraId="69D7B223">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_Toc12110 </w:instrText>
          </w:r>
          <w:r>
            <w:rPr>
              <w:rFonts w:ascii="Times New Roman" w:hAnsi="Times New Roman"/>
              <w:bCs/>
              <w:lang w:val="zh-CN"/>
            </w:rPr>
            <w:fldChar w:fldCharType="separate"/>
          </w:r>
          <w:r>
            <w:rPr>
              <w:rFonts w:hint="eastAsia"/>
            </w:rPr>
            <w:t>4</w:t>
          </w:r>
          <w:r>
            <w:t>.5</w:t>
          </w:r>
          <w:r>
            <w:rPr>
              <w:rFonts w:hint="eastAsia"/>
            </w:rPr>
            <w:t>进度要求</w:t>
          </w:r>
          <w:r>
            <w:tab/>
          </w:r>
          <w:r>
            <w:fldChar w:fldCharType="begin"/>
          </w:r>
          <w:r>
            <w:instrText xml:space="preserve"> PAGEREF _Toc12110 \h </w:instrText>
          </w:r>
          <w:r>
            <w:fldChar w:fldCharType="separate"/>
          </w:r>
          <w:r>
            <w:t>8</w:t>
          </w:r>
          <w:r>
            <w:fldChar w:fldCharType="end"/>
          </w:r>
          <w:r>
            <w:rPr>
              <w:rFonts w:ascii="Times New Roman" w:hAnsi="Times New Roman"/>
              <w:bCs/>
              <w:lang w:val="zh-CN"/>
            </w:rPr>
            <w:fldChar w:fldCharType="end"/>
          </w:r>
        </w:p>
        <w:p w14:paraId="59928488">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_Toc29305 </w:instrText>
          </w:r>
          <w:r>
            <w:rPr>
              <w:rFonts w:ascii="Times New Roman" w:hAnsi="Times New Roman"/>
              <w:bCs/>
              <w:lang w:val="zh-CN"/>
            </w:rPr>
            <w:fldChar w:fldCharType="separate"/>
          </w:r>
          <w:r>
            <w:rPr>
              <w:rFonts w:hint="eastAsia"/>
            </w:rPr>
            <w:t>4</w:t>
          </w:r>
          <w:r>
            <w:t>.6</w:t>
          </w:r>
          <w:r>
            <w:rPr>
              <w:rFonts w:hint="eastAsia"/>
            </w:rPr>
            <w:t>项目团队及驻场人员要求</w:t>
          </w:r>
          <w:r>
            <w:tab/>
          </w:r>
          <w:r>
            <w:fldChar w:fldCharType="begin"/>
          </w:r>
          <w:r>
            <w:instrText xml:space="preserve"> PAGEREF _Toc29305 \h </w:instrText>
          </w:r>
          <w:r>
            <w:fldChar w:fldCharType="separate"/>
          </w:r>
          <w:r>
            <w:t>8</w:t>
          </w:r>
          <w:r>
            <w:fldChar w:fldCharType="end"/>
          </w:r>
          <w:r>
            <w:rPr>
              <w:rFonts w:ascii="Times New Roman" w:hAnsi="Times New Roman"/>
              <w:bCs/>
              <w:lang w:val="zh-CN"/>
            </w:rPr>
            <w:fldChar w:fldCharType="end"/>
          </w:r>
        </w:p>
        <w:p w14:paraId="0956DA19">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_Toc15974 </w:instrText>
          </w:r>
          <w:r>
            <w:rPr>
              <w:rFonts w:ascii="Times New Roman" w:hAnsi="Times New Roman"/>
              <w:bCs/>
              <w:lang w:val="zh-CN"/>
            </w:rPr>
            <w:fldChar w:fldCharType="separate"/>
          </w:r>
          <w:r>
            <w:rPr>
              <w:rFonts w:hint="eastAsia"/>
            </w:rPr>
            <w:t>4</w:t>
          </w:r>
          <w:r>
            <w:t>.7</w:t>
          </w:r>
          <w:r>
            <w:rPr>
              <w:rFonts w:hint="eastAsia"/>
            </w:rPr>
            <w:t>第三方测评要求</w:t>
          </w:r>
          <w:r>
            <w:tab/>
          </w:r>
          <w:r>
            <w:fldChar w:fldCharType="begin"/>
          </w:r>
          <w:r>
            <w:instrText xml:space="preserve"> PAGEREF _Toc15974 \h </w:instrText>
          </w:r>
          <w:r>
            <w:fldChar w:fldCharType="separate"/>
          </w:r>
          <w:r>
            <w:t>9</w:t>
          </w:r>
          <w:r>
            <w:fldChar w:fldCharType="end"/>
          </w:r>
          <w:r>
            <w:rPr>
              <w:rFonts w:ascii="Times New Roman" w:hAnsi="Times New Roman"/>
              <w:bCs/>
              <w:lang w:val="zh-CN"/>
            </w:rPr>
            <w:fldChar w:fldCharType="end"/>
          </w:r>
        </w:p>
        <w:p w14:paraId="18012F94">
          <w:pPr>
            <w:pStyle w:val="14"/>
            <w:tabs>
              <w:tab w:val="right" w:leader="dot" w:pos="8306"/>
            </w:tabs>
          </w:pPr>
          <w:r>
            <w:rPr>
              <w:rFonts w:ascii="Times New Roman" w:hAnsi="Times New Roman"/>
              <w:bCs/>
              <w:lang w:val="zh-CN"/>
            </w:rPr>
            <w:fldChar w:fldCharType="begin"/>
          </w:r>
          <w:r>
            <w:rPr>
              <w:rFonts w:ascii="Times New Roman" w:hAnsi="Times New Roman"/>
              <w:bCs/>
              <w:lang w:val="zh-CN"/>
            </w:rPr>
            <w:instrText xml:space="preserve"> HYPERLINK \l _Toc25791 </w:instrText>
          </w:r>
          <w:r>
            <w:rPr>
              <w:rFonts w:ascii="Times New Roman" w:hAnsi="Times New Roman"/>
              <w:bCs/>
              <w:lang w:val="zh-CN"/>
            </w:rPr>
            <w:fldChar w:fldCharType="separate"/>
          </w:r>
          <w:r>
            <w:rPr>
              <w:rFonts w:hint="eastAsia"/>
            </w:rPr>
            <w:t>4</w:t>
          </w:r>
          <w:r>
            <w:t>.8</w:t>
          </w:r>
          <w:r>
            <w:rPr>
              <w:rFonts w:hint="eastAsia"/>
            </w:rPr>
            <w:t>技术文件要求</w:t>
          </w:r>
          <w:r>
            <w:tab/>
          </w:r>
          <w:r>
            <w:fldChar w:fldCharType="begin"/>
          </w:r>
          <w:r>
            <w:instrText xml:space="preserve"> PAGEREF _Toc25791 \h </w:instrText>
          </w:r>
          <w:r>
            <w:fldChar w:fldCharType="separate"/>
          </w:r>
          <w:r>
            <w:t>9</w:t>
          </w:r>
          <w:r>
            <w:fldChar w:fldCharType="end"/>
          </w:r>
          <w:r>
            <w:rPr>
              <w:rFonts w:ascii="Times New Roman" w:hAnsi="Times New Roman"/>
              <w:bCs/>
              <w:lang w:val="zh-CN"/>
            </w:rPr>
            <w:fldChar w:fldCharType="end"/>
          </w:r>
        </w:p>
        <w:p w14:paraId="30E62058">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_Toc13316 </w:instrText>
          </w:r>
          <w:r>
            <w:rPr>
              <w:rFonts w:ascii="Times New Roman" w:hAnsi="Times New Roman"/>
              <w:bCs/>
              <w:lang w:val="zh-CN"/>
            </w:rPr>
            <w:fldChar w:fldCharType="separate"/>
          </w:r>
          <w:r>
            <w:rPr>
              <w:rFonts w:hint="eastAsia"/>
              <w:szCs w:val="32"/>
            </w:rPr>
            <w:t xml:space="preserve">五、 </w:t>
          </w:r>
          <w:r>
            <w:rPr>
              <w:rFonts w:hint="eastAsia"/>
            </w:rPr>
            <w:t>供应商管理要求</w:t>
          </w:r>
          <w:r>
            <w:tab/>
          </w:r>
          <w:r>
            <w:fldChar w:fldCharType="begin"/>
          </w:r>
          <w:r>
            <w:instrText xml:space="preserve"> PAGEREF _Toc13316 \h </w:instrText>
          </w:r>
          <w:r>
            <w:fldChar w:fldCharType="separate"/>
          </w:r>
          <w:r>
            <w:t>10</w:t>
          </w:r>
          <w:r>
            <w:fldChar w:fldCharType="end"/>
          </w:r>
          <w:r>
            <w:rPr>
              <w:rFonts w:ascii="Times New Roman" w:hAnsi="Times New Roman"/>
              <w:bCs/>
              <w:lang w:val="zh-CN"/>
            </w:rPr>
            <w:fldChar w:fldCharType="end"/>
          </w:r>
        </w:p>
        <w:p w14:paraId="46B1DDA7">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_Toc7480 </w:instrText>
          </w:r>
          <w:r>
            <w:rPr>
              <w:rFonts w:ascii="Times New Roman" w:hAnsi="Times New Roman"/>
              <w:bCs/>
              <w:lang w:val="zh-CN"/>
            </w:rPr>
            <w:fldChar w:fldCharType="separate"/>
          </w:r>
          <w:r>
            <w:rPr>
              <w:rFonts w:hint="eastAsia"/>
              <w:szCs w:val="32"/>
            </w:rPr>
            <w:t xml:space="preserve">六、 </w:t>
          </w:r>
          <w:r>
            <w:rPr>
              <w:rFonts w:hint="eastAsia"/>
            </w:rPr>
            <w:t>关于转让和分包的规定</w:t>
          </w:r>
          <w:r>
            <w:tab/>
          </w:r>
          <w:r>
            <w:fldChar w:fldCharType="begin"/>
          </w:r>
          <w:r>
            <w:instrText xml:space="preserve"> PAGEREF _Toc7480 \h </w:instrText>
          </w:r>
          <w:r>
            <w:fldChar w:fldCharType="separate"/>
          </w:r>
          <w:r>
            <w:t>10</w:t>
          </w:r>
          <w:r>
            <w:fldChar w:fldCharType="end"/>
          </w:r>
          <w:r>
            <w:rPr>
              <w:rFonts w:ascii="Times New Roman" w:hAnsi="Times New Roman"/>
              <w:bCs/>
              <w:lang w:val="zh-CN"/>
            </w:rPr>
            <w:fldChar w:fldCharType="end"/>
          </w:r>
        </w:p>
        <w:p w14:paraId="1DE3546D">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_Toc17090 </w:instrText>
          </w:r>
          <w:r>
            <w:rPr>
              <w:rFonts w:ascii="Times New Roman" w:hAnsi="Times New Roman"/>
              <w:bCs/>
              <w:lang w:val="zh-CN"/>
            </w:rPr>
            <w:fldChar w:fldCharType="separate"/>
          </w:r>
          <w:r>
            <w:rPr>
              <w:rFonts w:hint="eastAsia"/>
              <w:szCs w:val="32"/>
            </w:rPr>
            <w:t xml:space="preserve">七、 </w:t>
          </w:r>
          <w:r>
            <w:rPr>
              <w:rFonts w:hint="eastAsia"/>
            </w:rPr>
            <w:t>知识产权及保密要求</w:t>
          </w:r>
          <w:r>
            <w:tab/>
          </w:r>
          <w:r>
            <w:fldChar w:fldCharType="begin"/>
          </w:r>
          <w:r>
            <w:instrText xml:space="preserve"> PAGEREF _Toc17090 \h </w:instrText>
          </w:r>
          <w:r>
            <w:fldChar w:fldCharType="separate"/>
          </w:r>
          <w:r>
            <w:t>10</w:t>
          </w:r>
          <w:r>
            <w:fldChar w:fldCharType="end"/>
          </w:r>
          <w:r>
            <w:rPr>
              <w:rFonts w:ascii="Times New Roman" w:hAnsi="Times New Roman"/>
              <w:bCs/>
              <w:lang w:val="zh-CN"/>
            </w:rPr>
            <w:fldChar w:fldCharType="end"/>
          </w:r>
        </w:p>
        <w:p w14:paraId="37FCB946">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_Toc15397 </w:instrText>
          </w:r>
          <w:r>
            <w:rPr>
              <w:rFonts w:ascii="Times New Roman" w:hAnsi="Times New Roman"/>
              <w:bCs/>
              <w:lang w:val="zh-CN"/>
            </w:rPr>
            <w:fldChar w:fldCharType="separate"/>
          </w:r>
          <w:r>
            <w:rPr>
              <w:rFonts w:hint="eastAsia"/>
              <w:szCs w:val="32"/>
            </w:rPr>
            <w:t xml:space="preserve">八、 </w:t>
          </w:r>
          <w:r>
            <w:t>项目的变更、解除和终止</w:t>
          </w:r>
          <w:r>
            <w:tab/>
          </w:r>
          <w:r>
            <w:fldChar w:fldCharType="begin"/>
          </w:r>
          <w:r>
            <w:instrText xml:space="preserve"> PAGEREF _Toc15397 \h </w:instrText>
          </w:r>
          <w:r>
            <w:fldChar w:fldCharType="separate"/>
          </w:r>
          <w:r>
            <w:t>12</w:t>
          </w:r>
          <w:r>
            <w:fldChar w:fldCharType="end"/>
          </w:r>
          <w:r>
            <w:rPr>
              <w:rFonts w:ascii="Times New Roman" w:hAnsi="Times New Roman"/>
              <w:bCs/>
              <w:lang w:val="zh-CN"/>
            </w:rPr>
            <w:fldChar w:fldCharType="end"/>
          </w:r>
        </w:p>
        <w:p w14:paraId="2C43DFF8">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_Toc10662 </w:instrText>
          </w:r>
          <w:r>
            <w:rPr>
              <w:rFonts w:ascii="Times New Roman" w:hAnsi="Times New Roman"/>
              <w:bCs/>
              <w:lang w:val="zh-CN"/>
            </w:rPr>
            <w:fldChar w:fldCharType="separate"/>
          </w:r>
          <w:r>
            <w:rPr>
              <w:rFonts w:hint="eastAsia"/>
              <w:szCs w:val="32"/>
            </w:rPr>
            <w:t xml:space="preserve">九、 </w:t>
          </w:r>
          <w:r>
            <w:rPr>
              <w:rFonts w:hint="eastAsia"/>
            </w:rPr>
            <w:t>付款方式</w:t>
          </w:r>
          <w:r>
            <w:tab/>
          </w:r>
          <w:r>
            <w:fldChar w:fldCharType="begin"/>
          </w:r>
          <w:r>
            <w:instrText xml:space="preserve"> PAGEREF _Toc10662 \h </w:instrText>
          </w:r>
          <w:r>
            <w:fldChar w:fldCharType="separate"/>
          </w:r>
          <w:r>
            <w:t>12</w:t>
          </w:r>
          <w:r>
            <w:fldChar w:fldCharType="end"/>
          </w:r>
          <w:r>
            <w:rPr>
              <w:rFonts w:ascii="Times New Roman" w:hAnsi="Times New Roman"/>
              <w:bCs/>
              <w:lang w:val="zh-CN"/>
            </w:rPr>
            <w:fldChar w:fldCharType="end"/>
          </w:r>
        </w:p>
        <w:p w14:paraId="1F4F2157">
          <w:pPr>
            <w:pStyle w:val="13"/>
            <w:tabs>
              <w:tab w:val="right" w:leader="dot" w:pos="8306"/>
              <w:tab w:val="clear" w:pos="8296"/>
            </w:tabs>
          </w:pPr>
          <w:r>
            <w:rPr>
              <w:rFonts w:ascii="Times New Roman" w:hAnsi="Times New Roman"/>
              <w:bCs/>
              <w:lang w:val="zh-CN"/>
            </w:rPr>
            <w:fldChar w:fldCharType="begin"/>
          </w:r>
          <w:r>
            <w:rPr>
              <w:rFonts w:ascii="Times New Roman" w:hAnsi="Times New Roman"/>
              <w:bCs/>
              <w:lang w:val="zh-CN"/>
            </w:rPr>
            <w:instrText xml:space="preserve"> HYPERLINK \l _Toc19736 </w:instrText>
          </w:r>
          <w:r>
            <w:rPr>
              <w:rFonts w:ascii="Times New Roman" w:hAnsi="Times New Roman"/>
              <w:bCs/>
              <w:lang w:val="zh-CN"/>
            </w:rPr>
            <w:fldChar w:fldCharType="separate"/>
          </w:r>
          <w:r>
            <w:rPr>
              <w:rFonts w:hint="eastAsia" w:ascii="Times New Roman" w:hAnsi="Times New Roman"/>
              <w:szCs w:val="32"/>
            </w:rPr>
            <w:t xml:space="preserve">十、 </w:t>
          </w:r>
          <w:r>
            <w:rPr>
              <w:rFonts w:ascii="Times New Roman" w:hAnsi="Times New Roman"/>
            </w:rPr>
            <w:t>附录</w:t>
          </w:r>
          <w:r>
            <w:tab/>
          </w:r>
          <w:r>
            <w:fldChar w:fldCharType="begin"/>
          </w:r>
          <w:r>
            <w:instrText xml:space="preserve"> PAGEREF _Toc19736 \h </w:instrText>
          </w:r>
          <w:r>
            <w:fldChar w:fldCharType="separate"/>
          </w:r>
          <w:r>
            <w:t>12</w:t>
          </w:r>
          <w:r>
            <w:fldChar w:fldCharType="end"/>
          </w:r>
          <w:r>
            <w:rPr>
              <w:rFonts w:ascii="Times New Roman" w:hAnsi="Times New Roman"/>
              <w:bCs/>
              <w:lang w:val="zh-CN"/>
            </w:rPr>
            <w:fldChar w:fldCharType="end"/>
          </w:r>
        </w:p>
        <w:p w14:paraId="7F213E0B">
          <w:r>
            <w:rPr>
              <w:rFonts w:ascii="Times New Roman" w:hAnsi="Times New Roman"/>
              <w:bCs/>
              <w:lang w:val="zh-CN"/>
            </w:rPr>
            <w:fldChar w:fldCharType="end"/>
          </w:r>
        </w:p>
      </w:sdtContent>
    </w:sdt>
    <w:p w14:paraId="348D2072">
      <w:pPr>
        <w:sectPr>
          <w:footerReference r:id="rId11" w:type="default"/>
          <w:pgSz w:w="11906" w:h="16838"/>
          <w:pgMar w:top="1440" w:right="1800" w:bottom="1440" w:left="1800" w:header="851" w:footer="992" w:gutter="0"/>
          <w:cols w:space="425" w:num="1"/>
          <w:docGrid w:type="lines" w:linePitch="312" w:charSpace="0"/>
        </w:sectPr>
      </w:pPr>
    </w:p>
    <w:p w14:paraId="69AADDC4">
      <w:pPr>
        <w:pStyle w:val="2"/>
        <w:ind w:left="0"/>
      </w:pPr>
      <w:bookmarkStart w:id="0" w:name="_Toc14841"/>
      <w:bookmarkStart w:id="1" w:name="_Toc63785461"/>
      <w:r>
        <w:rPr>
          <w:rFonts w:hint="eastAsia"/>
        </w:rPr>
        <w:t>项目概况</w:t>
      </w:r>
      <w:bookmarkEnd w:id="0"/>
      <w:bookmarkEnd w:id="1"/>
    </w:p>
    <w:p w14:paraId="0750283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在一期的基础框架上结合近年来最新的国家、地方及各级政府单位对于应急管理最新要求，针对应急管理、防汛防台、房屋高坠整治、应急指挥等业务场景进行整体规划，对“上海市住建委应急管理综合平台”进行全面升级。本项目将覆盖住建领域的建设管理、房屋管理与城管执法三个方面的9个行业，包含：房建工地、燃气、地下空间、道路照明、住宅小区、修缮工程、拆房工程、征收基地、城管执法。</w:t>
      </w:r>
    </w:p>
    <w:p w14:paraId="346BDC6F">
      <w:pPr>
        <w:rPr>
          <w:rFonts w:hint="eastAsia" w:ascii="Times New Roman" w:hAnsi="Times New Roman"/>
        </w:rPr>
      </w:pPr>
      <w:r>
        <w:rPr>
          <w:rFonts w:ascii="Times New Roman" w:hAnsi="Times New Roman"/>
        </w:rPr>
        <w:t>建设期限：</w:t>
      </w:r>
      <w:r>
        <w:rPr>
          <w:rFonts w:hint="eastAsia" w:ascii="Times New Roman" w:hAnsi="Times New Roman"/>
        </w:rPr>
        <w:t>合同签订起五个月内完成（包含1月试运行）</w:t>
      </w:r>
    </w:p>
    <w:p w14:paraId="1F83EA36">
      <w:pPr>
        <w:rPr>
          <w:rFonts w:ascii="Times New Roman" w:hAnsi="Times New Roman"/>
        </w:rPr>
      </w:pPr>
      <w:r>
        <w:rPr>
          <w:rFonts w:ascii="Times New Roman" w:hAnsi="Times New Roman"/>
        </w:rPr>
        <w:t>建设地点：上海</w:t>
      </w:r>
    </w:p>
    <w:p w14:paraId="4D902205">
      <w:pPr>
        <w:rPr>
          <w:rFonts w:ascii="Times New Roman" w:hAnsi="Times New Roman"/>
        </w:rPr>
      </w:pPr>
      <w:r>
        <w:rPr>
          <w:rFonts w:ascii="Times New Roman" w:hAnsi="Times New Roman"/>
        </w:rPr>
        <w:t>预算金额：</w:t>
      </w:r>
      <w:r>
        <w:rPr>
          <w:rFonts w:hint="eastAsia" w:ascii="Times New Roman" w:hAnsi="Times New Roman"/>
          <w:lang w:val="en-US" w:eastAsia="zh-CN"/>
        </w:rPr>
        <w:t>297.5</w:t>
      </w:r>
      <w:r>
        <w:rPr>
          <w:rFonts w:ascii="Times New Roman" w:hAnsi="Times New Roman"/>
        </w:rPr>
        <w:t>万元</w:t>
      </w:r>
    </w:p>
    <w:p w14:paraId="6BCBD2EA">
      <w:pPr>
        <w:rPr>
          <w:rFonts w:ascii="Times New Roman" w:hAnsi="Times New Roman"/>
        </w:rPr>
      </w:pPr>
      <w:r>
        <w:rPr>
          <w:rFonts w:ascii="Times New Roman" w:hAnsi="Times New Roman"/>
        </w:rPr>
        <w:t>采购金额（最高限价）：</w:t>
      </w:r>
      <w:r>
        <w:rPr>
          <w:rFonts w:hint="eastAsia" w:ascii="Times New Roman" w:hAnsi="Times New Roman"/>
          <w:lang w:val="en-US" w:eastAsia="zh-CN"/>
        </w:rPr>
        <w:t>297.5</w:t>
      </w:r>
      <w:r>
        <w:rPr>
          <w:rFonts w:ascii="Times New Roman" w:hAnsi="Times New Roman"/>
        </w:rPr>
        <w:t>万元</w:t>
      </w:r>
    </w:p>
    <w:p w14:paraId="7CC911E9">
      <w:pPr>
        <w:rPr>
          <w:rFonts w:ascii="Times New Roman" w:hAnsi="Times New Roman"/>
        </w:rPr>
      </w:pPr>
      <w:r>
        <w:rPr>
          <w:rFonts w:ascii="Times New Roman" w:hAnsi="Times New Roman"/>
        </w:rPr>
        <w:t>组织形式：集中采购</w:t>
      </w:r>
    </w:p>
    <w:p w14:paraId="7F14EB40">
      <w:pPr>
        <w:rPr>
          <w:rFonts w:ascii="Times New Roman" w:hAnsi="Times New Roman"/>
        </w:rPr>
      </w:pPr>
      <w:r>
        <w:rPr>
          <w:rFonts w:ascii="Times New Roman" w:hAnsi="Times New Roman"/>
        </w:rPr>
        <w:t>采购方式：</w:t>
      </w:r>
      <w:r>
        <w:rPr>
          <w:rFonts w:hint="eastAsia" w:ascii="Times New Roman" w:hAnsi="Times New Roman"/>
          <w:lang w:eastAsia="zh-CN"/>
        </w:rPr>
        <w:t>公开招标</w:t>
      </w:r>
    </w:p>
    <w:p w14:paraId="5705D61C">
      <w:pPr>
        <w:rPr>
          <w:rFonts w:ascii="Times New Roman" w:hAnsi="Times New Roman"/>
        </w:rPr>
      </w:pPr>
      <w:r>
        <w:rPr>
          <w:rFonts w:ascii="Times New Roman" w:hAnsi="Times New Roman"/>
        </w:rPr>
        <w:t>是否接受联合体响应：否</w:t>
      </w:r>
    </w:p>
    <w:p w14:paraId="3ECE1092">
      <w:r>
        <w:t>是否按信创要求建设：是</w:t>
      </w:r>
    </w:p>
    <w:p w14:paraId="204EEA35">
      <w:r>
        <w:rPr>
          <w:rFonts w:hint="eastAsia"/>
        </w:rPr>
        <w:t>运维后所属大系统：“应用系统”大系统</w:t>
      </w:r>
    </w:p>
    <w:p w14:paraId="3C1191C4">
      <w:pPr>
        <w:pStyle w:val="2"/>
        <w:ind w:left="0"/>
      </w:pPr>
      <w:bookmarkStart w:id="2" w:name="_Toc47539070"/>
      <w:bookmarkEnd w:id="2"/>
      <w:bookmarkStart w:id="3" w:name="_Toc47536272"/>
      <w:bookmarkEnd w:id="3"/>
      <w:bookmarkStart w:id="4" w:name="_Toc47531634"/>
      <w:bookmarkEnd w:id="4"/>
      <w:bookmarkStart w:id="5" w:name="_Toc47537134"/>
      <w:bookmarkEnd w:id="5"/>
      <w:bookmarkStart w:id="6" w:name="_Toc47532891"/>
      <w:bookmarkEnd w:id="6"/>
      <w:bookmarkStart w:id="7" w:name="_Toc47533256"/>
      <w:bookmarkEnd w:id="7"/>
      <w:bookmarkStart w:id="8" w:name="_Toc47532255"/>
      <w:bookmarkEnd w:id="8"/>
      <w:bookmarkStart w:id="9" w:name="_Toc47536644"/>
      <w:bookmarkEnd w:id="9"/>
      <w:bookmarkStart w:id="10" w:name="_Toc2796"/>
      <w:bookmarkStart w:id="11" w:name="_Toc48223882"/>
      <w:bookmarkStart w:id="12" w:name="_Toc63785463"/>
      <w:r>
        <w:rPr>
          <w:rFonts w:hint="eastAsia"/>
        </w:rPr>
        <w:t>建设目标</w:t>
      </w:r>
      <w:bookmarkEnd w:id="10"/>
      <w:bookmarkEnd w:id="11"/>
      <w:bookmarkEnd w:id="12"/>
    </w:p>
    <w:p w14:paraId="77A7E24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“上海市住建委应急管理综合平台”第二期建设旨在提高全市住建领域应急保障与实战指挥的综合能力。一、加强日常业务精细化管理，做好战前</w:t>
      </w:r>
      <w:r>
        <w:rPr>
          <w:rFonts w:hint="eastAsia" w:ascii="Times New Roman" w:hAnsi="Times New Roman" w:cs="Times New Roman"/>
          <w:lang w:val="en-US" w:eastAsia="zh-CN"/>
        </w:rPr>
        <w:t>预</w:t>
      </w:r>
      <w:r>
        <w:rPr>
          <w:rFonts w:hint="eastAsia" w:ascii="Times New Roman" w:hAnsi="Times New Roman" w:eastAsia="宋体" w:cs="Times New Roman"/>
          <w:lang w:val="en-US" w:eastAsia="zh-CN"/>
        </w:rPr>
        <w:t>防与</w:t>
      </w:r>
      <w:r>
        <w:rPr>
          <w:rFonts w:hint="eastAsia" w:ascii="Times New Roman" w:hAnsi="Times New Roman" w:cs="Times New Roman"/>
          <w:lang w:val="en-US" w:eastAsia="zh-CN"/>
        </w:rPr>
        <w:t>准</w:t>
      </w:r>
      <w:r>
        <w:rPr>
          <w:rFonts w:hint="eastAsia" w:ascii="Times New Roman" w:hAnsi="Times New Roman" w:eastAsia="宋体" w:cs="Times New Roman"/>
          <w:lang w:val="en-US" w:eastAsia="zh-CN"/>
        </w:rPr>
        <w:t>备，夯实应急基础信息，将日常业务成果有效应用到应急实战中；二、通过信息化平台提升房屋高坠隐患处置管理能力，让隐患信息精准到每一个小区门牌号，保障市民“头顶上的安全”；三、围绕“健全应急指挥体系，搭建‘1+1+</w:t>
      </w:r>
      <w:r>
        <w:rPr>
          <w:rFonts w:hint="eastAsia" w:ascii="Times New Roman" w:hAnsi="Times New Roman" w:cs="Times New Roman"/>
          <w:lang w:val="en-US" w:eastAsia="zh-CN"/>
        </w:rPr>
        <w:t>N</w:t>
      </w:r>
      <w:r>
        <w:rPr>
          <w:rFonts w:hint="eastAsia" w:ascii="Times New Roman" w:hAnsi="Times New Roman" w:eastAsia="宋体" w:cs="Times New Roman"/>
          <w:lang w:val="en-US" w:eastAsia="zh-CN"/>
        </w:rPr>
        <w:t>’应急指挥框架体系”的工作要求搭建可应用于突发事件应对处置的子系统，有效加强实战过程中的信息传递与行业内的协同联动效能；四、以国家、地方政策为指导依据，以委工作要求与规范文件为规划重点，实现防汛防台业务升级，提高风险感知与预测能力，加强灾害过程中各类灾情险情的应对与处置，对重大灾情险情实现快速直击现场，准确掌握处置动态；五、提高住建领域突发事件应对与处置能力，让事件信息传递更通畅，事故现场视频通讯更简便，指令下达更便捷。</w:t>
      </w:r>
    </w:p>
    <w:p w14:paraId="17C346CE">
      <w:pPr>
        <w:pStyle w:val="2"/>
        <w:ind w:left="0"/>
      </w:pPr>
      <w:bookmarkStart w:id="13" w:name="_Toc47533288"/>
      <w:bookmarkEnd w:id="13"/>
      <w:bookmarkStart w:id="14" w:name="_Toc47536304"/>
      <w:bookmarkEnd w:id="14"/>
      <w:bookmarkStart w:id="15" w:name="_Toc47532923"/>
      <w:bookmarkEnd w:id="15"/>
      <w:bookmarkStart w:id="16" w:name="_Toc47537166"/>
      <w:bookmarkEnd w:id="16"/>
      <w:bookmarkStart w:id="17" w:name="_Toc47539102"/>
      <w:bookmarkEnd w:id="17"/>
      <w:bookmarkStart w:id="18" w:name="_Toc47536676"/>
      <w:bookmarkEnd w:id="18"/>
      <w:bookmarkStart w:id="19" w:name="_Toc21795"/>
      <w:r>
        <w:rPr>
          <w:rFonts w:hint="eastAsia"/>
        </w:rPr>
        <w:t>项目建设内容</w:t>
      </w:r>
      <w:bookmarkEnd w:id="19"/>
    </w:p>
    <w:p w14:paraId="0EB0AB98">
      <w:pPr>
        <w:pStyle w:val="3"/>
        <w:numPr>
          <w:ilvl w:val="0"/>
          <w:numId w:val="0"/>
        </w:numPr>
        <w:spacing w:before="60" w:after="60"/>
      </w:pPr>
      <w:bookmarkStart w:id="20" w:name="_Toc9209"/>
      <w:r>
        <w:rPr>
          <w:rFonts w:hint="eastAsia"/>
        </w:rPr>
        <w:t>3</w:t>
      </w:r>
      <w:r>
        <w:t>.</w:t>
      </w:r>
      <w:r>
        <w:rPr>
          <w:rFonts w:hint="eastAsia"/>
          <w:lang w:val="en-US" w:eastAsia="zh-CN"/>
        </w:rPr>
        <w:t>1</w:t>
      </w:r>
      <w:r>
        <w:rPr>
          <w:rFonts w:hint="eastAsia"/>
        </w:rPr>
        <w:t>平台技术要求</w:t>
      </w:r>
      <w:bookmarkEnd w:id="20"/>
    </w:p>
    <w:p w14:paraId="36262B55">
      <w:pPr>
        <w:rPr>
          <w:bCs/>
        </w:rPr>
      </w:pPr>
      <w:r>
        <w:rPr>
          <w:rFonts w:hint="eastAsia"/>
          <w:bCs/>
        </w:rPr>
        <w:t>本系统必须运行在基于国产操作系统上，系统建设时需要定制对国产操作系统浏览器的适配开发，确保系统客户端能够在国产化操作系统上进行使用。</w:t>
      </w:r>
    </w:p>
    <w:p w14:paraId="4EB8B92F">
      <w:pPr>
        <w:rPr>
          <w:b/>
        </w:rPr>
      </w:pPr>
      <w:r>
        <w:rPr>
          <w:rFonts w:hint="eastAsia"/>
          <w:bCs/>
        </w:rPr>
        <w:t>适配软件业务范围包括：数</w:t>
      </w:r>
      <w:r>
        <w:rPr>
          <w:rFonts w:ascii="Times New Roman" w:hAnsi="Times New Roman"/>
          <w:bCs/>
        </w:rPr>
        <w:t>据库、中间件、虚拟化软件、存储备份软件、GIS产品、应用软件、大数据软件、HA</w:t>
      </w:r>
      <w:r>
        <w:rPr>
          <w:rFonts w:hint="eastAsia"/>
          <w:bCs/>
        </w:rPr>
        <w:t>软件等。</w:t>
      </w:r>
    </w:p>
    <w:p w14:paraId="3CDAB02D">
      <w:pPr>
        <w:pStyle w:val="3"/>
        <w:numPr>
          <w:ilvl w:val="0"/>
          <w:numId w:val="0"/>
        </w:numPr>
        <w:spacing w:before="60" w:after="60"/>
      </w:pPr>
      <w:bookmarkStart w:id="21" w:name="_Toc16629"/>
      <w:r>
        <w:rPr>
          <w:rFonts w:hint="eastAsia"/>
        </w:rPr>
        <w:t>3</w:t>
      </w:r>
      <w:r>
        <w:t>.</w:t>
      </w:r>
      <w:r>
        <w:rPr>
          <w:rFonts w:hint="eastAsia"/>
          <w:lang w:val="en-US" w:eastAsia="zh-CN"/>
        </w:rPr>
        <w:t>2</w:t>
      </w:r>
      <w:r>
        <w:rPr>
          <w:rFonts w:hint="eastAsia"/>
        </w:rPr>
        <w:t>应用架构要求</w:t>
      </w:r>
      <w:bookmarkEnd w:id="21"/>
    </w:p>
    <w:p w14:paraId="50BE214F">
      <w:pPr>
        <w:rPr>
          <w:bCs/>
        </w:rPr>
      </w:pPr>
      <w:r>
        <w:rPr>
          <w:rFonts w:hint="eastAsia"/>
          <w:bCs/>
        </w:rPr>
        <w:t>本项目按照“平台+应用+数据”的建设模式，基于</w:t>
      </w:r>
      <w:r>
        <w:rPr>
          <w:rFonts w:ascii="Times New Roman" w:hAnsi="Times New Roman"/>
          <w:bCs/>
        </w:rPr>
        <w:t>J2EE</w:t>
      </w:r>
      <w:r>
        <w:rPr>
          <w:rFonts w:hint="eastAsia"/>
          <w:bCs/>
        </w:rPr>
        <w:t>标准进行开发，采取数据集中的系统结构，整</w:t>
      </w:r>
      <w:r>
        <w:rPr>
          <w:rFonts w:ascii="Times New Roman" w:hAnsi="Times New Roman"/>
          <w:bCs/>
        </w:rPr>
        <w:t>体系统为B/S架构，采用客户端浏览器－Web应用</w:t>
      </w:r>
      <w:r>
        <w:rPr>
          <w:rFonts w:hint="eastAsia"/>
          <w:bCs/>
        </w:rPr>
        <w:t>服务器－数据库服务器三层结构。同时以信创环境为基础，采用信创服务器、信创操作系统、信创数据库及信创中间件</w:t>
      </w:r>
      <w:r>
        <w:rPr>
          <w:bCs/>
        </w:rPr>
        <w:t>。</w:t>
      </w:r>
    </w:p>
    <w:p w14:paraId="353DFB2D">
      <w:pPr>
        <w:pStyle w:val="3"/>
        <w:numPr>
          <w:ilvl w:val="0"/>
          <w:numId w:val="0"/>
        </w:numPr>
        <w:spacing w:before="60" w:after="60"/>
      </w:pPr>
      <w:bookmarkStart w:id="22" w:name="_Toc22460"/>
      <w:r>
        <w:rPr>
          <w:rFonts w:hint="eastAsia"/>
        </w:rPr>
        <w:t>3</w:t>
      </w:r>
      <w:r>
        <w:t>.</w:t>
      </w:r>
      <w:r>
        <w:rPr>
          <w:rFonts w:hint="eastAsia"/>
          <w:lang w:val="en-US" w:eastAsia="zh-CN"/>
        </w:rPr>
        <w:t>3</w:t>
      </w:r>
      <w:r>
        <w:rPr>
          <w:rFonts w:hint="eastAsia"/>
        </w:rPr>
        <w:t>部署环境要求</w:t>
      </w:r>
      <w:bookmarkEnd w:id="22"/>
    </w:p>
    <w:p w14:paraId="72945B6E">
      <w:pPr>
        <w:rPr>
          <w:rFonts w:hint="default" w:eastAsia="宋体"/>
          <w:bCs/>
          <w:lang w:val="en-US" w:eastAsia="zh-CN"/>
        </w:rPr>
      </w:pPr>
      <w:r>
        <w:rPr>
          <w:rFonts w:hint="eastAsia"/>
          <w:bCs/>
          <w:lang w:val="en-US" w:eastAsia="zh-CN"/>
        </w:rPr>
        <w:t>部署于</w:t>
      </w:r>
      <w:r>
        <w:rPr>
          <w:rFonts w:hint="eastAsia"/>
          <w:bCs/>
        </w:rPr>
        <w:t>上海市电子政务云</w:t>
      </w:r>
      <w:r>
        <w:rPr>
          <w:rFonts w:hint="eastAsia"/>
          <w:bCs/>
          <w:lang w:eastAsia="zh-CN"/>
        </w:rPr>
        <w:t>，</w:t>
      </w:r>
      <w:r>
        <w:rPr>
          <w:rFonts w:hint="eastAsia"/>
          <w:bCs/>
          <w:lang w:val="en-US" w:eastAsia="zh-CN"/>
        </w:rPr>
        <w:t>满足信创要求。</w:t>
      </w:r>
    </w:p>
    <w:p w14:paraId="44747A5C">
      <w:pPr>
        <w:pStyle w:val="3"/>
        <w:numPr>
          <w:ilvl w:val="0"/>
          <w:numId w:val="0"/>
        </w:numPr>
        <w:spacing w:before="60" w:after="60"/>
      </w:pPr>
      <w:bookmarkStart w:id="23" w:name="_Toc27562"/>
      <w:r>
        <w:rPr>
          <w:rFonts w:hint="eastAsia"/>
        </w:rPr>
        <w:t>3</w:t>
      </w:r>
      <w:r>
        <w:t>.</w:t>
      </w:r>
      <w:r>
        <w:rPr>
          <w:rFonts w:hint="eastAsia"/>
          <w:lang w:val="en-US" w:eastAsia="zh-CN"/>
        </w:rPr>
        <w:t>4</w:t>
      </w:r>
      <w:r>
        <w:rPr>
          <w:rFonts w:hint="eastAsia"/>
        </w:rPr>
        <w:t>开发环境要求</w:t>
      </w:r>
      <w:bookmarkEnd w:id="23"/>
    </w:p>
    <w:p w14:paraId="430FADA0">
      <w:pPr>
        <w:rPr>
          <w:rFonts w:ascii="Times New Roman" w:hAnsi="Times New Roman"/>
          <w:bCs/>
        </w:rPr>
      </w:pPr>
      <w:r>
        <w:rPr>
          <w:rFonts w:hint="eastAsia"/>
          <w:bCs/>
        </w:rPr>
        <w:t>开发工具使用</w:t>
      </w:r>
      <w:r>
        <w:rPr>
          <w:rFonts w:ascii="Times New Roman" w:hAnsi="Times New Roman"/>
          <w:bCs/>
        </w:rPr>
        <w:t>简易开发平台，应采用Java、JS、CSS、H5等语言进行开发。</w:t>
      </w:r>
    </w:p>
    <w:p w14:paraId="7E67C44C">
      <w:pPr>
        <w:rPr>
          <w:rFonts w:ascii="Times New Roman" w:hAnsi="Times New Roman"/>
          <w:bCs/>
        </w:rPr>
      </w:pPr>
      <w:r>
        <w:rPr>
          <w:rFonts w:ascii="Times New Roman" w:hAnsi="Times New Roman"/>
          <w:bCs/>
        </w:rPr>
        <w:t>平台基于JAVA建设，支持XML和Web Service、REST、ESB总线等主流数据接口，系统接口支持H5应用、原生App等扩展开发模式。</w:t>
      </w:r>
    </w:p>
    <w:p w14:paraId="3781BD6C">
      <w:pPr>
        <w:rPr>
          <w:bCs/>
        </w:rPr>
      </w:pPr>
      <w:r>
        <w:rPr>
          <w:rFonts w:ascii="Times New Roman" w:hAnsi="Times New Roman"/>
          <w:bCs/>
        </w:rPr>
        <w:t>系统采用B/S体系结构，用户可以方便的通过多种浏览器获得各种信息，界面友好、美观。用户可快</w:t>
      </w:r>
      <w:r>
        <w:rPr>
          <w:rFonts w:hint="eastAsia"/>
          <w:bCs/>
        </w:rPr>
        <w:t>速搭建业务，定制业务工作流程，设置组织机构，并能够方便快捷地完成工作表单内容样式调整、业务流程修改、人员权限变动、系统数据备份等日常维护工作。</w:t>
      </w:r>
    </w:p>
    <w:p w14:paraId="5034CEEE">
      <w:pPr>
        <w:pStyle w:val="3"/>
        <w:numPr>
          <w:ilvl w:val="0"/>
          <w:numId w:val="0"/>
        </w:numPr>
        <w:spacing w:before="60" w:after="60"/>
      </w:pPr>
      <w:bookmarkStart w:id="24" w:name="_Toc710"/>
      <w:r>
        <w:rPr>
          <w:rFonts w:hint="eastAsia"/>
        </w:rPr>
        <w:t>3</w:t>
      </w:r>
      <w:r>
        <w:t>.</w:t>
      </w:r>
      <w:r>
        <w:rPr>
          <w:rFonts w:hint="eastAsia"/>
          <w:lang w:val="en-US" w:eastAsia="zh-CN"/>
        </w:rPr>
        <w:t>5</w:t>
      </w:r>
      <w:r>
        <w:rPr>
          <w:rFonts w:hint="eastAsia"/>
        </w:rPr>
        <w:t>技术指标要求</w:t>
      </w:r>
      <w:bookmarkEnd w:id="24"/>
    </w:p>
    <w:p w14:paraId="1FE58FD6">
      <w:pPr>
        <w:rPr>
          <w:rFonts w:ascii="Times New Roman" w:hAnsi="Times New Roman"/>
          <w:bCs/>
        </w:rPr>
      </w:pPr>
      <w:r>
        <w:rPr>
          <w:rFonts w:hint="eastAsia"/>
          <w:bCs/>
        </w:rPr>
        <w:t>系统应</w:t>
      </w:r>
      <w:r>
        <w:rPr>
          <w:rFonts w:ascii="Times New Roman" w:hAnsi="Times New Roman"/>
          <w:bCs/>
        </w:rPr>
        <w:t>支持7*24小时不间断运行。</w:t>
      </w:r>
    </w:p>
    <w:p w14:paraId="6839ECB0">
      <w:pPr>
        <w:rPr>
          <w:rFonts w:ascii="Times New Roman" w:hAnsi="Times New Roman"/>
          <w:bCs/>
        </w:rPr>
      </w:pPr>
      <w:r>
        <w:rPr>
          <w:rFonts w:ascii="Times New Roman" w:hAnsi="Times New Roman"/>
          <w:bCs/>
        </w:rPr>
        <w:t>系统容量：系统正常运行时至少满足2000总用户数、500用户同时在线并发要求，当系统容量超过上述情况时不能出现系统崩溃的现象。</w:t>
      </w:r>
    </w:p>
    <w:p w14:paraId="0FCBA328">
      <w:pPr>
        <w:rPr>
          <w:rFonts w:ascii="Times New Roman" w:hAnsi="Times New Roman"/>
          <w:bCs/>
        </w:rPr>
      </w:pPr>
      <w:r>
        <w:rPr>
          <w:rFonts w:ascii="Times New Roman" w:hAnsi="Times New Roman"/>
          <w:bCs/>
        </w:rPr>
        <w:t>一般性数据保存、修改、删除等操作的相应反馈速度，不超过3秒</w:t>
      </w:r>
      <w:r>
        <w:rPr>
          <w:rFonts w:hint="eastAsia" w:ascii="Times New Roman" w:hAnsi="Times New Roman"/>
          <w:bCs/>
        </w:rPr>
        <w:t>。</w:t>
      </w:r>
    </w:p>
    <w:p w14:paraId="730AFF7C">
      <w:pPr>
        <w:rPr>
          <w:rFonts w:ascii="Times New Roman" w:hAnsi="Times New Roman"/>
          <w:bCs/>
        </w:rPr>
      </w:pPr>
      <w:r>
        <w:rPr>
          <w:rFonts w:ascii="Times New Roman" w:hAnsi="Times New Roman"/>
          <w:bCs/>
        </w:rPr>
        <w:t>一般业务类普通应用查询平均不超过5秒。</w:t>
      </w:r>
    </w:p>
    <w:p w14:paraId="37DCD0A2">
      <w:pPr>
        <w:rPr>
          <w:rFonts w:ascii="Times New Roman" w:hAnsi="Times New Roman"/>
          <w:bCs/>
        </w:rPr>
      </w:pPr>
      <w:r>
        <w:rPr>
          <w:rFonts w:ascii="Times New Roman" w:hAnsi="Times New Roman"/>
          <w:bCs/>
        </w:rPr>
        <w:t>统计分析类查询平均不超过8秒。</w:t>
      </w:r>
    </w:p>
    <w:p w14:paraId="3401600A">
      <w:pPr>
        <w:rPr>
          <w:rFonts w:ascii="Times New Roman" w:hAnsi="Times New Roman"/>
          <w:bCs/>
        </w:rPr>
      </w:pPr>
      <w:r>
        <w:rPr>
          <w:rFonts w:ascii="Times New Roman" w:hAnsi="Times New Roman"/>
          <w:bCs/>
        </w:rPr>
        <w:t>可靠性：系统应具有很强的防错、抗错能力。在7*24连续运行情况下，系统可靠性达到99.9%</w:t>
      </w:r>
      <w:r>
        <w:rPr>
          <w:rFonts w:hint="eastAsia" w:ascii="Times New Roman" w:hAnsi="Times New Roman"/>
          <w:bCs/>
        </w:rPr>
        <w:t>，</w:t>
      </w:r>
      <w:r>
        <w:rPr>
          <w:rFonts w:ascii="Times New Roman" w:hAnsi="Times New Roman"/>
          <w:bCs/>
        </w:rPr>
        <w:t>平均故障修复时间小。</w:t>
      </w:r>
    </w:p>
    <w:p w14:paraId="423B149B">
      <w:pPr>
        <w:rPr>
          <w:bCs/>
        </w:rPr>
      </w:pPr>
      <w:r>
        <w:rPr>
          <w:rFonts w:hint="eastAsia"/>
          <w:bCs/>
        </w:rPr>
        <w:t>易用性：</w:t>
      </w:r>
      <w:r>
        <w:rPr>
          <w:bCs/>
        </w:rPr>
        <w:t>系统运行过程中应稳定、可靠、安全、实用，人机界面友好，检索</w:t>
      </w:r>
      <w:r>
        <w:rPr>
          <w:rFonts w:hint="eastAsia"/>
          <w:bCs/>
        </w:rPr>
        <w:t>查询灵活快捷。符合用户操作习惯，提供高质量的用户体验。对于新用户或不常使用的用户通过简单培训即可上手使用。</w:t>
      </w:r>
    </w:p>
    <w:p w14:paraId="3022BD89">
      <w:pPr>
        <w:rPr>
          <w:bCs/>
        </w:rPr>
      </w:pPr>
      <w:r>
        <w:rPr>
          <w:rFonts w:hint="eastAsia"/>
          <w:bCs/>
        </w:rPr>
        <w:t>可维护性：</w:t>
      </w:r>
      <w:r>
        <w:rPr>
          <w:bCs/>
        </w:rPr>
        <w:t>业务应用具有监控、告警、日志等管理</w:t>
      </w:r>
      <w:r>
        <w:rPr>
          <w:rFonts w:hint="eastAsia"/>
          <w:bCs/>
        </w:rPr>
        <w:t>；</w:t>
      </w:r>
      <w:r>
        <w:rPr>
          <w:bCs/>
        </w:rPr>
        <w:t>支持应用自定义指标上</w:t>
      </w:r>
      <w:r>
        <w:rPr>
          <w:rFonts w:hint="eastAsia"/>
          <w:bCs/>
        </w:rPr>
        <w:t>报等。</w:t>
      </w:r>
    </w:p>
    <w:p w14:paraId="37C4B22B">
      <w:pPr>
        <w:pStyle w:val="3"/>
        <w:numPr>
          <w:ilvl w:val="0"/>
          <w:numId w:val="0"/>
        </w:numPr>
        <w:spacing w:before="60" w:after="60"/>
      </w:pPr>
      <w:bookmarkStart w:id="25" w:name="_Toc29102"/>
      <w:r>
        <w:rPr>
          <w:rFonts w:hint="eastAsia"/>
        </w:rPr>
        <w:t>3</w:t>
      </w:r>
      <w:r>
        <w:t>.</w:t>
      </w:r>
      <w:r>
        <w:rPr>
          <w:rFonts w:hint="eastAsia"/>
          <w:lang w:val="en-US" w:eastAsia="zh-CN"/>
        </w:rPr>
        <w:t>6</w:t>
      </w:r>
      <w:r>
        <w:rPr>
          <w:rFonts w:hint="eastAsia"/>
        </w:rPr>
        <w:t>系统备份</w:t>
      </w:r>
      <w:bookmarkEnd w:id="25"/>
    </w:p>
    <w:p w14:paraId="47948E01">
      <w:pPr>
        <w:rPr>
          <w:bCs/>
        </w:rPr>
      </w:pPr>
      <w:r>
        <w:rPr>
          <w:rFonts w:hint="eastAsia"/>
          <w:bCs/>
        </w:rPr>
        <w:t>提供安全可靠的数据备份与灾难恢复方案，确保数据安全完整，能够根据需要随时恢复文档。</w:t>
      </w:r>
    </w:p>
    <w:p w14:paraId="666A08AB">
      <w:pPr>
        <w:rPr>
          <w:bCs/>
        </w:rPr>
      </w:pPr>
      <w:r>
        <w:rPr>
          <w:rFonts w:hint="eastAsia"/>
          <w:bCs/>
        </w:rPr>
        <w:t>对应用系统和数据库使用合理的备份策略，出现问题时应用系统可快速恢复。</w:t>
      </w:r>
    </w:p>
    <w:p w14:paraId="01A12564">
      <w:pPr>
        <w:rPr>
          <w:bCs/>
        </w:rPr>
      </w:pPr>
      <w:r>
        <w:rPr>
          <w:rFonts w:hint="eastAsia"/>
          <w:bCs/>
        </w:rPr>
        <w:t>备份不能影响现有系统的性能。</w:t>
      </w:r>
    </w:p>
    <w:p w14:paraId="7543A186">
      <w:pPr>
        <w:rPr>
          <w:bCs/>
        </w:rPr>
      </w:pPr>
      <w:r>
        <w:rPr>
          <w:rFonts w:hint="eastAsia"/>
          <w:bCs/>
        </w:rPr>
        <w:t>备份系统要求做到支持全备份、增量备份。</w:t>
      </w:r>
    </w:p>
    <w:p w14:paraId="776D860E">
      <w:pPr>
        <w:pStyle w:val="3"/>
        <w:numPr>
          <w:ilvl w:val="0"/>
          <w:numId w:val="0"/>
        </w:numPr>
        <w:spacing w:before="60" w:after="60"/>
      </w:pPr>
      <w:bookmarkStart w:id="26" w:name="_Toc16750"/>
      <w:r>
        <w:rPr>
          <w:rFonts w:hint="eastAsia"/>
        </w:rPr>
        <w:t>3</w:t>
      </w:r>
      <w:r>
        <w:t>.</w:t>
      </w:r>
      <w:r>
        <w:rPr>
          <w:rFonts w:hint="eastAsia"/>
          <w:lang w:val="en-US" w:eastAsia="zh-CN"/>
        </w:rPr>
        <w:t>7</w:t>
      </w:r>
      <w:r>
        <w:rPr>
          <w:rFonts w:hint="eastAsia"/>
        </w:rPr>
        <w:t>软件开发清单</w:t>
      </w:r>
      <w:bookmarkEnd w:id="26"/>
    </w:p>
    <w:p w14:paraId="602095A4">
      <w:pPr>
        <w:ind w:firstLine="482"/>
        <w:rPr>
          <w:rFonts w:hint="eastAsia"/>
          <w:b/>
        </w:rPr>
      </w:pPr>
      <w:r>
        <w:rPr>
          <w:rFonts w:hint="eastAsia"/>
          <w:b/>
        </w:rPr>
        <w:t>软件开发清单：</w:t>
      </w:r>
    </w:p>
    <w:tbl>
      <w:tblPr>
        <w:tblStyle w:val="15"/>
        <w:tblW w:w="10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28"/>
        <w:gridCol w:w="1080"/>
        <w:gridCol w:w="7318"/>
        <w:gridCol w:w="1382"/>
      </w:tblGrid>
      <w:tr w14:paraId="4683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28" w:type="dxa"/>
            <w:shd w:val="clear" w:color="auto" w:fill="auto"/>
            <w:noWrap/>
            <w:vAlign w:val="center"/>
          </w:tcPr>
          <w:p w14:paraId="51773FB2">
            <w:pPr>
              <w:keepNext w:val="0"/>
              <w:keepLines w:val="0"/>
              <w:widowControl/>
              <w:suppressLineNumbers w:val="0"/>
              <w:ind w:left="0" w:leftChars="0" w:firstLine="0" w:firstLineChars="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080" w:type="dxa"/>
            <w:shd w:val="clear" w:color="auto" w:fill="auto"/>
            <w:noWrap/>
            <w:vAlign w:val="center"/>
          </w:tcPr>
          <w:p w14:paraId="05443252">
            <w:pPr>
              <w:keepNext w:val="0"/>
              <w:keepLines w:val="0"/>
              <w:widowControl/>
              <w:suppressLineNumbers w:val="0"/>
              <w:ind w:left="0" w:leftChars="0" w:firstLine="0" w:firstLineChars="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建设内容</w:t>
            </w:r>
          </w:p>
        </w:tc>
        <w:tc>
          <w:tcPr>
            <w:tcW w:w="7318" w:type="dxa"/>
            <w:shd w:val="clear" w:color="auto" w:fill="auto"/>
            <w:noWrap/>
            <w:vAlign w:val="center"/>
          </w:tcPr>
          <w:p w14:paraId="292CF67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模块描述</w:t>
            </w:r>
          </w:p>
        </w:tc>
        <w:tc>
          <w:tcPr>
            <w:tcW w:w="1382" w:type="dxa"/>
            <w:shd w:val="clear" w:color="auto" w:fill="auto"/>
            <w:noWrap/>
            <w:vAlign w:val="center"/>
          </w:tcPr>
          <w:p w14:paraId="48EEA923">
            <w:pPr>
              <w:keepNext w:val="0"/>
              <w:keepLines w:val="0"/>
              <w:widowControl/>
              <w:suppressLineNumbers w:val="0"/>
              <w:ind w:left="0" w:leftChars="0" w:firstLine="0" w:firstLineChars="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是否核心业务</w:t>
            </w:r>
          </w:p>
        </w:tc>
      </w:tr>
      <w:tr w14:paraId="1030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0B7920D4">
            <w:pPr>
              <w:keepNext w:val="0"/>
              <w:keepLines w:val="0"/>
              <w:widowControl/>
              <w:suppressLineNumbers w:val="0"/>
              <w:ind w:left="0" w:leftChars="0" w:firstLine="0" w:firstLineChars="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80" w:type="dxa"/>
            <w:vMerge w:val="restart"/>
            <w:shd w:val="clear" w:color="auto" w:fill="auto"/>
            <w:vAlign w:val="center"/>
          </w:tcPr>
          <w:p w14:paraId="10D2DBC6">
            <w:pPr>
              <w:keepNext w:val="0"/>
              <w:keepLines w:val="0"/>
              <w:widowControl/>
              <w:suppressLineNumbers w:val="0"/>
              <w:ind w:left="0" w:leftChars="0" w:firstLine="0" w:firstLineChars="0"/>
              <w:jc w:val="both"/>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房屋高坠隐患排查处置子系统</w:t>
            </w:r>
          </w:p>
        </w:tc>
        <w:tc>
          <w:tcPr>
            <w:tcW w:w="7318" w:type="dxa"/>
            <w:shd w:val="clear" w:color="auto" w:fill="auto"/>
            <w:vAlign w:val="center"/>
          </w:tcPr>
          <w:p w14:paraId="223F00D7">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Style w:val="33"/>
                <w:lang w:val="en-US" w:eastAsia="zh-CN" w:bidi="ar"/>
              </w:rPr>
              <w:t>工作首页：</w:t>
            </w:r>
            <w:r>
              <w:rPr>
                <w:rStyle w:val="34"/>
                <w:lang w:val="en-US" w:eastAsia="zh-CN" w:bidi="ar"/>
              </w:rPr>
              <w:t>通过工作首页，相关业务工作人员可快速通过首页掌握概要信息，如：高坠隐患增量信息、隐患动态、处置动态、风险动态等；市级单位可一键提醒各区级单位开展工作；区级单位可掌握待确认信息情况。</w:t>
            </w:r>
          </w:p>
        </w:tc>
        <w:tc>
          <w:tcPr>
            <w:tcW w:w="1382" w:type="dxa"/>
            <w:shd w:val="clear" w:color="auto" w:fill="auto"/>
            <w:vAlign w:val="center"/>
          </w:tcPr>
          <w:p w14:paraId="4EB93200">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2D8B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36FDE61C">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080" w:type="dxa"/>
            <w:vMerge w:val="continue"/>
            <w:shd w:val="clear" w:color="auto" w:fill="auto"/>
            <w:vAlign w:val="center"/>
          </w:tcPr>
          <w:p w14:paraId="1C503B19">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1F19D700">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Style w:val="33"/>
                <w:lang w:val="en-US" w:eastAsia="zh-CN" w:bidi="ar"/>
              </w:rPr>
              <w:t>房屋高坠隐患信息管理：</w:t>
            </w:r>
            <w:r>
              <w:rPr>
                <w:rStyle w:val="34"/>
                <w:lang w:val="en-US" w:eastAsia="zh-CN" w:bidi="ar"/>
              </w:rPr>
              <w:t>对房屋高坠隐患排查处置相关信息进行处理，包含：存量信息编辑、增量信息添加或导入、隐患信息审核、隐患清单快速查询及导出。</w:t>
            </w:r>
          </w:p>
        </w:tc>
        <w:tc>
          <w:tcPr>
            <w:tcW w:w="1382" w:type="dxa"/>
            <w:shd w:val="clear" w:color="auto" w:fill="auto"/>
            <w:vAlign w:val="center"/>
          </w:tcPr>
          <w:p w14:paraId="54F76320">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172F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0DED9D01">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080" w:type="dxa"/>
            <w:vMerge w:val="continue"/>
            <w:shd w:val="clear" w:color="auto" w:fill="auto"/>
            <w:vAlign w:val="center"/>
          </w:tcPr>
          <w:p w14:paraId="7D5BB450">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1F21744C">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Style w:val="33"/>
                <w:lang w:val="en-US" w:eastAsia="zh-CN" w:bidi="ar"/>
              </w:rPr>
              <w:t>阶段总结：</w:t>
            </w:r>
            <w:r>
              <w:rPr>
                <w:rStyle w:val="34"/>
                <w:lang w:val="en-US" w:eastAsia="zh-CN" w:bidi="ar"/>
              </w:rPr>
              <w:t>对外墙墙面及附属构件高空坠物隐患处置、外墙附着物高空坠物隐患处置进行阶段总结形成每月的统计汇总报表并支持报表导出。</w:t>
            </w:r>
          </w:p>
        </w:tc>
        <w:tc>
          <w:tcPr>
            <w:tcW w:w="1382" w:type="dxa"/>
            <w:shd w:val="clear" w:color="auto" w:fill="auto"/>
            <w:vAlign w:val="center"/>
          </w:tcPr>
          <w:p w14:paraId="13B2FEC2">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5C01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303E8401">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080" w:type="dxa"/>
            <w:vMerge w:val="continue"/>
            <w:shd w:val="clear" w:color="auto" w:fill="auto"/>
            <w:vAlign w:val="center"/>
          </w:tcPr>
          <w:p w14:paraId="777E915B">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00B5A99C">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动态可视化报告：</w:t>
            </w:r>
            <w:r>
              <w:rPr>
                <w:rStyle w:val="34"/>
                <w:lang w:val="en-US" w:eastAsia="zh-CN" w:bidi="ar"/>
              </w:rPr>
              <w:t>综合展示房屋高坠隐患排查处置工作动态，通过饼状图展示占比、折现图展示趋势、柱状图展示统计、数据报表展示同比或环比。</w:t>
            </w:r>
          </w:p>
        </w:tc>
        <w:tc>
          <w:tcPr>
            <w:tcW w:w="1382" w:type="dxa"/>
            <w:shd w:val="clear" w:color="auto" w:fill="auto"/>
            <w:vAlign w:val="center"/>
          </w:tcPr>
          <w:p w14:paraId="7D2D314F">
            <w:pPr>
              <w:jc w:val="center"/>
              <w:rPr>
                <w:rFonts w:hint="eastAsia" w:ascii="等线" w:hAnsi="等线" w:eastAsia="等线" w:cs="等线"/>
                <w:i w:val="0"/>
                <w:iCs w:val="0"/>
                <w:color w:val="000000"/>
                <w:sz w:val="22"/>
                <w:szCs w:val="22"/>
                <w:u w:val="none"/>
              </w:rPr>
            </w:pPr>
          </w:p>
        </w:tc>
      </w:tr>
      <w:tr w14:paraId="5D48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2D55FBE9">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080" w:type="dxa"/>
            <w:vMerge w:val="continue"/>
            <w:shd w:val="clear" w:color="auto" w:fill="auto"/>
            <w:vAlign w:val="center"/>
          </w:tcPr>
          <w:p w14:paraId="767A6D6C">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40F90E44">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Style w:val="33"/>
                <w:lang w:val="en-US" w:eastAsia="zh-CN" w:bidi="ar"/>
              </w:rPr>
              <w:t>房屋高坠整治一张图：</w:t>
            </w:r>
            <w:r>
              <w:rPr>
                <w:rStyle w:val="34"/>
                <w:lang w:val="en-US" w:eastAsia="zh-CN" w:bidi="ar"/>
              </w:rPr>
              <w:t>通过空间可视综合展示全市隐患房屋，并可进行综合查询，其中通过时间形成时空联动。</w:t>
            </w:r>
          </w:p>
        </w:tc>
        <w:tc>
          <w:tcPr>
            <w:tcW w:w="1382" w:type="dxa"/>
            <w:shd w:val="clear" w:color="auto" w:fill="auto"/>
            <w:vAlign w:val="center"/>
          </w:tcPr>
          <w:p w14:paraId="518DB389">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1B2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636CA85A">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080" w:type="dxa"/>
            <w:vMerge w:val="continue"/>
            <w:shd w:val="clear" w:color="auto" w:fill="auto"/>
            <w:vAlign w:val="center"/>
          </w:tcPr>
          <w:p w14:paraId="3698FA29">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7E095C84">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关联信息管理：</w:t>
            </w:r>
            <w:r>
              <w:rPr>
                <w:rStyle w:val="34"/>
                <w:lang w:val="en-US" w:eastAsia="zh-CN" w:bidi="ar"/>
              </w:rPr>
              <w:t>通过对接住建领域现有住宅小区信息精准管理房屋高坠信息</w:t>
            </w:r>
            <w:r>
              <w:rPr>
                <w:rStyle w:val="33"/>
                <w:lang w:val="en-US" w:eastAsia="zh-CN" w:bidi="ar"/>
              </w:rPr>
              <w:t>（物业信息对接）</w:t>
            </w:r>
            <w:r>
              <w:rPr>
                <w:rStyle w:val="34"/>
                <w:lang w:val="en-US" w:eastAsia="zh-CN" w:bidi="ar"/>
              </w:rPr>
              <w:t>。对接渠道可包含市物业中心、市住建委政务信息资源共享交换系统。</w:t>
            </w:r>
          </w:p>
        </w:tc>
        <w:tc>
          <w:tcPr>
            <w:tcW w:w="1382" w:type="dxa"/>
            <w:shd w:val="clear" w:color="auto" w:fill="auto"/>
            <w:vAlign w:val="center"/>
          </w:tcPr>
          <w:p w14:paraId="2A6ACC51">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0C91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42B70B5C">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080" w:type="dxa"/>
            <w:vMerge w:val="restart"/>
            <w:shd w:val="clear" w:color="auto" w:fill="auto"/>
            <w:vAlign w:val="center"/>
          </w:tcPr>
          <w:p w14:paraId="71C2A1E7">
            <w:pPr>
              <w:keepNext w:val="0"/>
              <w:keepLines w:val="0"/>
              <w:widowControl/>
              <w:suppressLineNumbers w:val="0"/>
              <w:ind w:left="0" w:leftChars="0" w:firstLine="0" w:firstLineChars="0"/>
              <w:jc w:val="both"/>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突发事件处置子系统</w:t>
            </w:r>
          </w:p>
        </w:tc>
        <w:tc>
          <w:tcPr>
            <w:tcW w:w="7318" w:type="dxa"/>
            <w:shd w:val="clear" w:color="auto" w:fill="auto"/>
            <w:vAlign w:val="center"/>
          </w:tcPr>
          <w:p w14:paraId="23686FC5">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突发事件信息接报：</w:t>
            </w:r>
            <w:r>
              <w:rPr>
                <w:rStyle w:val="34"/>
                <w:lang w:val="en-US" w:eastAsia="zh-CN" w:bidi="ar"/>
              </w:rPr>
              <w:t>汇聚接收来自委内不同渠道获取的与住建领域相关的突发事件信息</w:t>
            </w:r>
            <w:r>
              <w:rPr>
                <w:rStyle w:val="33"/>
                <w:lang w:val="en-US" w:eastAsia="zh-CN" w:bidi="ar"/>
              </w:rPr>
              <w:t>（突发事件信息对接）</w:t>
            </w:r>
            <w:r>
              <w:rPr>
                <w:rStyle w:val="34"/>
                <w:lang w:val="en-US" w:eastAsia="zh-CN" w:bidi="ar"/>
              </w:rPr>
              <w:t>，如：城建服务热线、上海市物业服务热线等；并可对重复信息进行合并去重；记录由相关工作人员确认合适情况。</w:t>
            </w:r>
          </w:p>
        </w:tc>
        <w:tc>
          <w:tcPr>
            <w:tcW w:w="1382" w:type="dxa"/>
            <w:shd w:val="clear" w:color="auto" w:fill="auto"/>
            <w:vAlign w:val="center"/>
          </w:tcPr>
          <w:p w14:paraId="4A818A3A">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139D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5" w:hRule="atLeast"/>
          <w:jc w:val="center"/>
        </w:trPr>
        <w:tc>
          <w:tcPr>
            <w:tcW w:w="928" w:type="dxa"/>
            <w:shd w:val="clear" w:color="auto" w:fill="auto"/>
            <w:vAlign w:val="center"/>
          </w:tcPr>
          <w:p w14:paraId="3290B636">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080" w:type="dxa"/>
            <w:vMerge w:val="continue"/>
            <w:shd w:val="clear" w:color="auto" w:fill="auto"/>
            <w:vAlign w:val="center"/>
          </w:tcPr>
          <w:p w14:paraId="7A25B504">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7425DFA0">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辅助决策：</w:t>
            </w:r>
            <w:r>
              <w:rPr>
                <w:rStyle w:val="34"/>
                <w:lang w:val="en-US" w:eastAsia="zh-CN" w:bidi="ar"/>
              </w:rPr>
              <w:t>可对接收的突发事件信息进行信息研判，如：初步判定事件等级，事件对周边的影响，建议下一步应对措施等；获取深基坑、玻璃幕墙等建设管理类监测信息，实时掌握安全情况</w:t>
            </w:r>
            <w:r>
              <w:rPr>
                <w:rStyle w:val="33"/>
                <w:lang w:val="en-US" w:eastAsia="zh-CN" w:bidi="ar"/>
              </w:rPr>
              <w:t>（深基坑、玻璃幕墙系统对接）</w:t>
            </w:r>
            <w:r>
              <w:rPr>
                <w:rStyle w:val="34"/>
                <w:lang w:val="en-US" w:eastAsia="zh-CN" w:bidi="ar"/>
              </w:rPr>
              <w:t>；获取信息</w:t>
            </w:r>
            <w:r>
              <w:rPr>
                <w:rStyle w:val="34"/>
                <w:rFonts w:hint="eastAsia"/>
                <w:lang w:val="en-US" w:eastAsia="zh-CN" w:bidi="ar"/>
              </w:rPr>
              <w:t>感知</w:t>
            </w:r>
            <w:r>
              <w:rPr>
                <w:rStyle w:val="34"/>
                <w:lang w:val="en-US" w:eastAsia="zh-CN" w:bidi="ar"/>
              </w:rPr>
              <w:t>，实时监测各类住建领域相关情况</w:t>
            </w:r>
            <w:r>
              <w:rPr>
                <w:rStyle w:val="33"/>
                <w:lang w:val="en-US" w:eastAsia="zh-CN" w:bidi="ar"/>
              </w:rPr>
              <w:t>（委内</w:t>
            </w:r>
            <w:r>
              <w:rPr>
                <w:rStyle w:val="33"/>
                <w:rFonts w:hint="eastAsia"/>
                <w:lang w:val="en-US" w:eastAsia="zh-CN" w:bidi="ar"/>
              </w:rPr>
              <w:t>信息感知</w:t>
            </w:r>
            <w:r>
              <w:rPr>
                <w:rStyle w:val="33"/>
                <w:lang w:val="en-US" w:eastAsia="zh-CN" w:bidi="ar"/>
              </w:rPr>
              <w:t>系统对接）</w:t>
            </w:r>
          </w:p>
        </w:tc>
        <w:tc>
          <w:tcPr>
            <w:tcW w:w="1382" w:type="dxa"/>
            <w:shd w:val="clear" w:color="auto" w:fill="auto"/>
            <w:vAlign w:val="center"/>
          </w:tcPr>
          <w:p w14:paraId="4DCEDFB4">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684A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0" w:hRule="atLeast"/>
          <w:jc w:val="center"/>
        </w:trPr>
        <w:tc>
          <w:tcPr>
            <w:tcW w:w="928" w:type="dxa"/>
            <w:shd w:val="clear" w:color="auto" w:fill="auto"/>
            <w:vAlign w:val="center"/>
          </w:tcPr>
          <w:p w14:paraId="56745122">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080" w:type="dxa"/>
            <w:vMerge w:val="continue"/>
            <w:shd w:val="clear" w:color="auto" w:fill="auto"/>
            <w:vAlign w:val="center"/>
          </w:tcPr>
          <w:p w14:paraId="0EFDFDFB">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79AB29D7">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突发事件一张图：</w:t>
            </w:r>
            <w:r>
              <w:rPr>
                <w:rStyle w:val="34"/>
                <w:lang w:val="en-US" w:eastAsia="zh-CN" w:bidi="ar"/>
              </w:rPr>
              <w:t>实时展示当前全市住建领域发生的突发事件点位并可进行快速检索，如：周期、类型、等级；周边重点要素空间态势，检索指定半径范围内重点要素（工地、小区等），显示分布点位</w:t>
            </w:r>
            <w:r>
              <w:rPr>
                <w:rStyle w:val="33"/>
                <w:lang w:val="en-US" w:eastAsia="zh-CN" w:bidi="ar"/>
              </w:rPr>
              <w:t>（可对接委CIM平台）</w:t>
            </w:r>
            <w:r>
              <w:rPr>
                <w:rStyle w:val="34"/>
                <w:lang w:val="en-US" w:eastAsia="zh-CN" w:bidi="ar"/>
              </w:rPr>
              <w:t>；突发城市部件空间态势，检索城市部件（公共设施、道路交通等），显示分布点位</w:t>
            </w:r>
            <w:r>
              <w:rPr>
                <w:rStyle w:val="33"/>
                <w:lang w:val="en-US" w:eastAsia="zh-CN" w:bidi="ar"/>
              </w:rPr>
              <w:t>（可对接委CIM平台）</w:t>
            </w:r>
            <w:r>
              <w:rPr>
                <w:rStyle w:val="34"/>
                <w:lang w:val="en-US" w:eastAsia="zh-CN" w:bidi="ar"/>
              </w:rPr>
              <w:t>；应急资源空间态势，检索指定半径范围内，应急队伍、应急物资、应急专家、避难场所。</w:t>
            </w:r>
          </w:p>
        </w:tc>
        <w:tc>
          <w:tcPr>
            <w:tcW w:w="1382" w:type="dxa"/>
            <w:shd w:val="clear" w:color="auto" w:fill="auto"/>
            <w:vAlign w:val="center"/>
          </w:tcPr>
          <w:p w14:paraId="06A71BC4">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4EB1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0" w:hRule="atLeast"/>
          <w:jc w:val="center"/>
        </w:trPr>
        <w:tc>
          <w:tcPr>
            <w:tcW w:w="928" w:type="dxa"/>
            <w:shd w:val="clear" w:color="auto" w:fill="auto"/>
            <w:vAlign w:val="center"/>
          </w:tcPr>
          <w:p w14:paraId="1D0A60EE">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080" w:type="dxa"/>
            <w:vMerge w:val="continue"/>
            <w:shd w:val="clear" w:color="auto" w:fill="auto"/>
            <w:vAlign w:val="center"/>
          </w:tcPr>
          <w:p w14:paraId="0302E84A">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779DC7D3">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先期处置：</w:t>
            </w:r>
            <w:r>
              <w:rPr>
                <w:rStyle w:val="34"/>
                <w:lang w:val="en-US" w:eastAsia="zh-CN" w:bidi="ar"/>
              </w:rPr>
              <w:t>依据辅助决策获取事态信息、研判分析结果，初步确认事故等级，并启动对应响应；启动响应后通知委内各单位相关领导或处置人员，通知各单位派遣人员前往现场，可在第一时间记录派遣人员到达情况。可对记录现场人员分组情况。</w:t>
            </w:r>
          </w:p>
        </w:tc>
        <w:tc>
          <w:tcPr>
            <w:tcW w:w="1382" w:type="dxa"/>
            <w:shd w:val="clear" w:color="auto" w:fill="auto"/>
            <w:vAlign w:val="center"/>
          </w:tcPr>
          <w:p w14:paraId="2F4B0E98">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1CFC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7719B54B">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080" w:type="dxa"/>
            <w:vMerge w:val="continue"/>
            <w:shd w:val="clear" w:color="auto" w:fill="auto"/>
            <w:vAlign w:val="center"/>
          </w:tcPr>
          <w:p w14:paraId="1095EA37">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6688236D">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协同指挥：</w:t>
            </w:r>
            <w:r>
              <w:rPr>
                <w:rStyle w:val="34"/>
                <w:lang w:val="en-US" w:eastAsia="zh-CN" w:bidi="ar"/>
              </w:rPr>
              <w:t>委内事件指挥部门可下达指挥指令，发布处置要求，各单位参与事件处置人员可进行接收，并反馈情况；指挥人员依据现场需求派遣委内专业应急队伍；对于现场处置进展可进行及时记录。</w:t>
            </w:r>
          </w:p>
        </w:tc>
        <w:tc>
          <w:tcPr>
            <w:tcW w:w="1382" w:type="dxa"/>
            <w:shd w:val="clear" w:color="auto" w:fill="auto"/>
            <w:vAlign w:val="center"/>
          </w:tcPr>
          <w:p w14:paraId="12F67B95">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15BA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3C7A73D5">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080" w:type="dxa"/>
            <w:vMerge w:val="continue"/>
            <w:shd w:val="clear" w:color="auto" w:fill="auto"/>
            <w:vAlign w:val="center"/>
          </w:tcPr>
          <w:p w14:paraId="399D4804">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61740E17">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响应终止：</w:t>
            </w:r>
            <w:r>
              <w:rPr>
                <w:rStyle w:val="34"/>
                <w:lang w:val="en-US" w:eastAsia="zh-CN" w:bidi="ar"/>
              </w:rPr>
              <w:t>突发事件处置结束后终止响应；现场应急队伍反馈归队情况，处置人员反馈处置情况。</w:t>
            </w:r>
          </w:p>
        </w:tc>
        <w:tc>
          <w:tcPr>
            <w:tcW w:w="1382" w:type="dxa"/>
            <w:shd w:val="clear" w:color="auto" w:fill="auto"/>
            <w:vAlign w:val="center"/>
          </w:tcPr>
          <w:p w14:paraId="745AA834">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510E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25DDB9E6">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080" w:type="dxa"/>
            <w:vMerge w:val="continue"/>
            <w:shd w:val="clear" w:color="auto" w:fill="auto"/>
            <w:vAlign w:val="center"/>
          </w:tcPr>
          <w:p w14:paraId="6295C7D8">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2B01D348">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事件信息动态报告生成</w:t>
            </w:r>
            <w:r>
              <w:rPr>
                <w:rStyle w:val="34"/>
                <w:lang w:val="en-US" w:eastAsia="zh-CN" w:bidi="ar"/>
              </w:rPr>
              <w:t>：自动生成事件实时信息形成动态小节，可包含：事件基本信息、处置进展信息、实时分析评估、专家意见、</w:t>
            </w:r>
            <w:r>
              <w:rPr>
                <w:rStyle w:val="34"/>
                <w:rFonts w:hint="eastAsia"/>
                <w:lang w:val="en-US" w:eastAsia="zh-CN" w:bidi="ar"/>
              </w:rPr>
              <w:t>动态</w:t>
            </w:r>
            <w:r>
              <w:rPr>
                <w:rStyle w:val="34"/>
                <w:lang w:val="en-US" w:eastAsia="zh-CN" w:bidi="ar"/>
              </w:rPr>
              <w:t>监测等；处置结束后形成最终小节并记录归档。</w:t>
            </w:r>
          </w:p>
        </w:tc>
        <w:tc>
          <w:tcPr>
            <w:tcW w:w="1382" w:type="dxa"/>
            <w:shd w:val="clear" w:color="auto" w:fill="auto"/>
            <w:vAlign w:val="center"/>
          </w:tcPr>
          <w:p w14:paraId="6C7591EC">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7A42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1134FF0D">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1080" w:type="dxa"/>
            <w:vMerge w:val="continue"/>
            <w:shd w:val="clear" w:color="auto" w:fill="auto"/>
            <w:vAlign w:val="center"/>
          </w:tcPr>
          <w:p w14:paraId="668B31B4">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31E014DD">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处置指挥演练管理：</w:t>
            </w:r>
            <w:r>
              <w:rPr>
                <w:rStyle w:val="34"/>
                <w:lang w:val="en-US" w:eastAsia="zh-CN" w:bidi="ar"/>
              </w:rPr>
              <w:t>通过系统创建演练计划；启动演练、记录演练过程、形成演练小节。</w:t>
            </w:r>
          </w:p>
        </w:tc>
        <w:tc>
          <w:tcPr>
            <w:tcW w:w="1382" w:type="dxa"/>
            <w:shd w:val="clear" w:color="auto" w:fill="auto"/>
            <w:vAlign w:val="center"/>
          </w:tcPr>
          <w:p w14:paraId="300215E5">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269C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53A4BB63">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080" w:type="dxa"/>
            <w:vMerge w:val="continue"/>
            <w:shd w:val="clear" w:color="auto" w:fill="auto"/>
            <w:vAlign w:val="center"/>
          </w:tcPr>
          <w:p w14:paraId="43ADA7AA">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7A886BA2">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年度工作可视化分析：</w:t>
            </w:r>
            <w:r>
              <w:rPr>
                <w:rStyle w:val="34"/>
                <w:lang w:val="en-US" w:eastAsia="zh-CN" w:bidi="ar"/>
              </w:rPr>
              <w:t>通过统计分析形成年度工作的图表，可包含：事件来源分析、事件类型分析、资源调用分析、重大</w:t>
            </w:r>
            <w:r>
              <w:rPr>
                <w:rStyle w:val="34"/>
                <w:rFonts w:hint="eastAsia"/>
                <w:lang w:val="en-US" w:eastAsia="zh-CN" w:bidi="ar"/>
              </w:rPr>
              <w:t>民意</w:t>
            </w:r>
            <w:r>
              <w:rPr>
                <w:rStyle w:val="34"/>
                <w:lang w:val="en-US" w:eastAsia="zh-CN" w:bidi="ar"/>
              </w:rPr>
              <w:t>分析等。</w:t>
            </w:r>
          </w:p>
        </w:tc>
        <w:tc>
          <w:tcPr>
            <w:tcW w:w="1382" w:type="dxa"/>
            <w:shd w:val="clear" w:color="auto" w:fill="auto"/>
            <w:vAlign w:val="center"/>
          </w:tcPr>
          <w:p w14:paraId="042B4014">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4348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201FDCA4">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1080" w:type="dxa"/>
            <w:vMerge w:val="continue"/>
            <w:shd w:val="clear" w:color="auto" w:fill="auto"/>
            <w:vAlign w:val="center"/>
          </w:tcPr>
          <w:p w14:paraId="551A9F83">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0CB988DE">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事件分级分类：</w:t>
            </w:r>
            <w:r>
              <w:rPr>
                <w:rStyle w:val="34"/>
                <w:lang w:val="en-US" w:eastAsia="zh-CN" w:bidi="ar"/>
              </w:rPr>
              <w:t>响应等级判定条件配置、组织机构职责管理、事件关联资源管理、事件关联通讯录配置、重大保障日信息配置、事件处置流程配置。</w:t>
            </w:r>
          </w:p>
        </w:tc>
        <w:tc>
          <w:tcPr>
            <w:tcW w:w="1382" w:type="dxa"/>
            <w:shd w:val="clear" w:color="auto" w:fill="auto"/>
            <w:vAlign w:val="center"/>
          </w:tcPr>
          <w:p w14:paraId="0B76D6A1">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55B5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40897233">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1080" w:type="dxa"/>
            <w:vMerge w:val="restart"/>
            <w:shd w:val="clear" w:color="auto" w:fill="auto"/>
            <w:vAlign w:val="center"/>
          </w:tcPr>
          <w:p w14:paraId="5C8B304E">
            <w:pPr>
              <w:keepNext w:val="0"/>
              <w:keepLines w:val="0"/>
              <w:widowControl/>
              <w:suppressLineNumbers w:val="0"/>
              <w:ind w:left="0" w:leftChars="0" w:firstLine="0" w:firstLineChars="0"/>
              <w:jc w:val="both"/>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专项应用子系统（防汛防台）</w:t>
            </w:r>
          </w:p>
        </w:tc>
        <w:tc>
          <w:tcPr>
            <w:tcW w:w="7318" w:type="dxa"/>
            <w:shd w:val="clear" w:color="auto" w:fill="auto"/>
            <w:vAlign w:val="center"/>
          </w:tcPr>
          <w:p w14:paraId="03F035D3">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防汛首页：</w:t>
            </w:r>
            <w:r>
              <w:rPr>
                <w:rStyle w:val="34"/>
                <w:lang w:val="en-US" w:eastAsia="zh-CN" w:bidi="ar"/>
              </w:rPr>
              <w:t>通过工作首页各相关单位可快速掌握汛期需要开展的业务工作，包含：安全检查信息上报、灾情险情信息上报等；形成工作统计分析图表管理单位可掌握工作情况。</w:t>
            </w:r>
          </w:p>
        </w:tc>
        <w:tc>
          <w:tcPr>
            <w:tcW w:w="1382" w:type="dxa"/>
            <w:shd w:val="clear" w:color="auto" w:fill="auto"/>
            <w:vAlign w:val="center"/>
          </w:tcPr>
          <w:p w14:paraId="2134F986">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p>
        </w:tc>
      </w:tr>
      <w:tr w14:paraId="0F7F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928" w:type="dxa"/>
            <w:shd w:val="clear" w:color="auto" w:fill="auto"/>
            <w:vAlign w:val="center"/>
          </w:tcPr>
          <w:p w14:paraId="76B1B0B4">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1080" w:type="dxa"/>
            <w:vMerge w:val="continue"/>
            <w:shd w:val="clear" w:color="auto" w:fill="auto"/>
            <w:vAlign w:val="center"/>
          </w:tcPr>
          <w:p w14:paraId="0A20F109">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5B8B9169">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防汛动态发布：</w:t>
            </w:r>
            <w:r>
              <w:rPr>
                <w:rStyle w:val="34"/>
                <w:lang w:val="en-US" w:eastAsia="zh-CN" w:bidi="ar"/>
              </w:rPr>
              <w:t>可发布防汛动态信息、如委防汛简报，防汛工作总结等；</w:t>
            </w:r>
          </w:p>
        </w:tc>
        <w:tc>
          <w:tcPr>
            <w:tcW w:w="1382" w:type="dxa"/>
            <w:shd w:val="clear" w:color="auto" w:fill="auto"/>
            <w:vAlign w:val="center"/>
          </w:tcPr>
          <w:p w14:paraId="36208AFB">
            <w:pPr>
              <w:jc w:val="center"/>
              <w:rPr>
                <w:rFonts w:hint="eastAsia" w:ascii="等线" w:hAnsi="等线" w:eastAsia="等线" w:cs="等线"/>
                <w:i w:val="0"/>
                <w:iCs w:val="0"/>
                <w:color w:val="000000"/>
                <w:sz w:val="22"/>
                <w:szCs w:val="22"/>
                <w:u w:val="none"/>
              </w:rPr>
            </w:pPr>
          </w:p>
        </w:tc>
      </w:tr>
      <w:tr w14:paraId="2F8D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4571A675">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1080" w:type="dxa"/>
            <w:vMerge w:val="continue"/>
            <w:shd w:val="clear" w:color="auto" w:fill="auto"/>
            <w:vAlign w:val="center"/>
          </w:tcPr>
          <w:p w14:paraId="5A593613">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7ED61FB5">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防汛安全检查管理：</w:t>
            </w:r>
            <w:r>
              <w:rPr>
                <w:rStyle w:val="34"/>
                <w:lang w:val="en-US" w:eastAsia="zh-CN" w:bidi="ar"/>
              </w:rPr>
              <w:t>市、区行业行政责任单位或行业管理单位能将抽查的防汛防台安全检查工作汇总情况内容进行信息上报；市级单位可进行确认。</w:t>
            </w:r>
          </w:p>
        </w:tc>
        <w:tc>
          <w:tcPr>
            <w:tcW w:w="1382" w:type="dxa"/>
            <w:shd w:val="clear" w:color="auto" w:fill="auto"/>
            <w:vAlign w:val="center"/>
          </w:tcPr>
          <w:p w14:paraId="20700AD8">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278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5" w:hRule="atLeast"/>
          <w:jc w:val="center"/>
        </w:trPr>
        <w:tc>
          <w:tcPr>
            <w:tcW w:w="928" w:type="dxa"/>
            <w:shd w:val="clear" w:color="auto" w:fill="auto"/>
            <w:vAlign w:val="center"/>
          </w:tcPr>
          <w:p w14:paraId="73B588E7">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1080" w:type="dxa"/>
            <w:vMerge w:val="continue"/>
            <w:shd w:val="clear" w:color="auto" w:fill="auto"/>
            <w:vAlign w:val="center"/>
          </w:tcPr>
          <w:p w14:paraId="640BC589">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510764C4">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易积水小区整治信息上报：</w:t>
            </w:r>
            <w:r>
              <w:rPr>
                <w:rStyle w:val="34"/>
                <w:lang w:val="en-US" w:eastAsia="zh-CN" w:bidi="ar"/>
              </w:rPr>
              <w:t>住宅小区管理单位可对上报易积水小区，并对后续政治情况进行记录。</w:t>
            </w:r>
          </w:p>
        </w:tc>
        <w:tc>
          <w:tcPr>
            <w:tcW w:w="1382" w:type="dxa"/>
            <w:shd w:val="clear" w:color="auto" w:fill="auto"/>
            <w:vAlign w:val="center"/>
          </w:tcPr>
          <w:p w14:paraId="08B55A0E">
            <w:pPr>
              <w:jc w:val="center"/>
              <w:rPr>
                <w:rFonts w:hint="eastAsia" w:ascii="等线" w:hAnsi="等线" w:eastAsia="等线" w:cs="等线"/>
                <w:i w:val="0"/>
                <w:iCs w:val="0"/>
                <w:color w:val="000000"/>
                <w:sz w:val="22"/>
                <w:szCs w:val="22"/>
                <w:u w:val="none"/>
              </w:rPr>
            </w:pPr>
          </w:p>
        </w:tc>
      </w:tr>
      <w:tr w14:paraId="18B2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0" w:hRule="atLeast"/>
          <w:jc w:val="center"/>
        </w:trPr>
        <w:tc>
          <w:tcPr>
            <w:tcW w:w="928" w:type="dxa"/>
            <w:shd w:val="clear" w:color="auto" w:fill="auto"/>
            <w:vAlign w:val="center"/>
          </w:tcPr>
          <w:p w14:paraId="421505F3">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1080" w:type="dxa"/>
            <w:vMerge w:val="continue"/>
            <w:shd w:val="clear" w:color="auto" w:fill="auto"/>
            <w:vAlign w:val="center"/>
          </w:tcPr>
          <w:p w14:paraId="5AD79602">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06F9D24F">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汛期风险评估模型：</w:t>
            </w:r>
            <w:r>
              <w:rPr>
                <w:rStyle w:val="34"/>
                <w:lang w:val="en-US" w:eastAsia="zh-CN" w:bidi="ar"/>
              </w:rPr>
              <w:t>结合气象要素、住宅小区基础情况、历史灾情险情等相关信息建立风险评估模型，模型包含：易积水小区、房屋高坠风险小区。</w:t>
            </w:r>
          </w:p>
        </w:tc>
        <w:tc>
          <w:tcPr>
            <w:tcW w:w="1382" w:type="dxa"/>
            <w:shd w:val="clear" w:color="auto" w:fill="auto"/>
            <w:vAlign w:val="center"/>
          </w:tcPr>
          <w:p w14:paraId="08F11055">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3F67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928" w:type="dxa"/>
            <w:shd w:val="clear" w:color="auto" w:fill="auto"/>
            <w:vAlign w:val="center"/>
          </w:tcPr>
          <w:p w14:paraId="31FBDE4F">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w:t>
            </w:r>
          </w:p>
        </w:tc>
        <w:tc>
          <w:tcPr>
            <w:tcW w:w="1080" w:type="dxa"/>
            <w:vMerge w:val="continue"/>
            <w:shd w:val="clear" w:color="auto" w:fill="auto"/>
            <w:vAlign w:val="center"/>
          </w:tcPr>
          <w:p w14:paraId="4B3E3661">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6BAD687F">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风险监测：</w:t>
            </w:r>
            <w:r>
              <w:rPr>
                <w:rStyle w:val="34"/>
                <w:lang w:val="en-US" w:eastAsia="zh-CN" w:bidi="ar"/>
              </w:rPr>
              <w:t>通过模型计算输出风险清单，住宅小区管理单位可查看风险清单；对接获取本市潮位信息，依据监测点位进行风险提示</w:t>
            </w:r>
            <w:r>
              <w:rPr>
                <w:rStyle w:val="33"/>
                <w:lang w:val="en-US" w:eastAsia="zh-CN" w:bidi="ar"/>
              </w:rPr>
              <w:t>（潮位监测信息对接）</w:t>
            </w:r>
            <w:r>
              <w:rPr>
                <w:rStyle w:val="34"/>
                <w:lang w:val="en-US" w:eastAsia="zh-CN" w:bidi="ar"/>
              </w:rPr>
              <w:t>；对接本市气象预报数据形成逐小时气象预报</w:t>
            </w:r>
            <w:r>
              <w:rPr>
                <w:rStyle w:val="33"/>
                <w:lang w:val="en-US" w:eastAsia="zh-CN" w:bidi="ar"/>
              </w:rPr>
              <w:t>（气象预报信息对接）</w:t>
            </w:r>
            <w:r>
              <w:rPr>
                <w:rStyle w:val="34"/>
                <w:lang w:val="en-US" w:eastAsia="zh-CN" w:bidi="ar"/>
              </w:rPr>
              <w:t>。</w:t>
            </w:r>
          </w:p>
        </w:tc>
        <w:tc>
          <w:tcPr>
            <w:tcW w:w="1382" w:type="dxa"/>
            <w:shd w:val="clear" w:color="auto" w:fill="auto"/>
            <w:vAlign w:val="center"/>
          </w:tcPr>
          <w:p w14:paraId="59AAA7A7">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03DE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5" w:hRule="atLeast"/>
          <w:jc w:val="center"/>
        </w:trPr>
        <w:tc>
          <w:tcPr>
            <w:tcW w:w="928" w:type="dxa"/>
            <w:shd w:val="clear" w:color="auto" w:fill="auto"/>
            <w:vAlign w:val="center"/>
          </w:tcPr>
          <w:p w14:paraId="643F17FA">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1080" w:type="dxa"/>
            <w:vMerge w:val="continue"/>
            <w:shd w:val="clear" w:color="auto" w:fill="auto"/>
            <w:vAlign w:val="center"/>
          </w:tcPr>
          <w:p w14:paraId="6AAF9A3C">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062AA07C">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灾情险情信息管理：</w:t>
            </w:r>
            <w:r>
              <w:rPr>
                <w:rStyle w:val="34"/>
                <w:lang w:val="en-US" w:eastAsia="zh-CN" w:bidi="ar"/>
              </w:rPr>
              <w:t>各行业对汛期发现的各类灾情险情进行上报，对需要重点关注的灾情险情可记录后续情况；获取住宅小区灾情险情</w:t>
            </w:r>
            <w:r>
              <w:rPr>
                <w:rStyle w:val="33"/>
                <w:lang w:val="en-US" w:eastAsia="zh-CN" w:bidi="ar"/>
              </w:rPr>
              <w:t>（可获取物业小区灾情险情）</w:t>
            </w:r>
            <w:r>
              <w:rPr>
                <w:rStyle w:val="34"/>
                <w:lang w:val="en-US" w:eastAsia="zh-CN" w:bidi="ar"/>
              </w:rPr>
              <w:t>；获取网格系统灾情险情</w:t>
            </w:r>
            <w:r>
              <w:rPr>
                <w:rStyle w:val="33"/>
                <w:lang w:val="en-US" w:eastAsia="zh-CN" w:bidi="ar"/>
              </w:rPr>
              <w:t>（可对接网格系统）</w:t>
            </w:r>
            <w:r>
              <w:rPr>
                <w:rStyle w:val="34"/>
                <w:lang w:val="en-US" w:eastAsia="zh-CN" w:bidi="ar"/>
              </w:rPr>
              <w:t>；对各类灾情险情进行图表分析；接入全市工地视频</w:t>
            </w:r>
            <w:r>
              <w:rPr>
                <w:rStyle w:val="33"/>
                <w:lang w:val="en-US" w:eastAsia="zh-CN" w:bidi="ar"/>
              </w:rPr>
              <w:t>（可对接委内现有工地视频）</w:t>
            </w:r>
            <w:r>
              <w:rPr>
                <w:rStyle w:val="34"/>
                <w:lang w:val="en-US" w:eastAsia="zh-CN" w:bidi="ar"/>
              </w:rPr>
              <w:t>。</w:t>
            </w:r>
          </w:p>
        </w:tc>
        <w:tc>
          <w:tcPr>
            <w:tcW w:w="1382" w:type="dxa"/>
            <w:shd w:val="clear" w:color="auto" w:fill="auto"/>
            <w:vAlign w:val="center"/>
          </w:tcPr>
          <w:p w14:paraId="6A7659A2">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1E0B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jc w:val="center"/>
        </w:trPr>
        <w:tc>
          <w:tcPr>
            <w:tcW w:w="928" w:type="dxa"/>
            <w:shd w:val="clear" w:color="auto" w:fill="auto"/>
            <w:vAlign w:val="center"/>
          </w:tcPr>
          <w:p w14:paraId="46D77D6B">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w:t>
            </w:r>
          </w:p>
        </w:tc>
        <w:tc>
          <w:tcPr>
            <w:tcW w:w="1080" w:type="dxa"/>
            <w:vMerge w:val="continue"/>
            <w:shd w:val="clear" w:color="auto" w:fill="auto"/>
            <w:vAlign w:val="center"/>
          </w:tcPr>
          <w:p w14:paraId="1578516B">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6A5646CA">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重点工地关注：</w:t>
            </w:r>
            <w:r>
              <w:rPr>
                <w:rStyle w:val="34"/>
                <w:lang w:val="en-US" w:eastAsia="zh-CN" w:bidi="ar"/>
              </w:rPr>
              <w:t>获取委内重点工地信息与工地视频；获取建筑工地塔吊信息；关注重点工地台风期间人员撤离情况。</w:t>
            </w:r>
          </w:p>
        </w:tc>
        <w:tc>
          <w:tcPr>
            <w:tcW w:w="1382" w:type="dxa"/>
            <w:shd w:val="clear" w:color="auto" w:fill="auto"/>
            <w:vAlign w:val="center"/>
          </w:tcPr>
          <w:p w14:paraId="1CD8ADFE">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bCs/>
              </w:rPr>
              <w:t>●</w:t>
            </w:r>
          </w:p>
        </w:tc>
      </w:tr>
      <w:tr w14:paraId="501D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jc w:val="center"/>
        </w:trPr>
        <w:tc>
          <w:tcPr>
            <w:tcW w:w="928" w:type="dxa"/>
            <w:shd w:val="clear" w:color="auto" w:fill="auto"/>
            <w:vAlign w:val="center"/>
          </w:tcPr>
          <w:p w14:paraId="7834F756">
            <w:pPr>
              <w:keepNext w:val="0"/>
              <w:keepLines w:val="0"/>
              <w:widowControl/>
              <w:suppressLineNumbers w:val="0"/>
              <w:ind w:left="0" w:leftChars="0" w:firstLine="0" w:firstLineChars="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w:t>
            </w:r>
          </w:p>
        </w:tc>
        <w:tc>
          <w:tcPr>
            <w:tcW w:w="1080" w:type="dxa"/>
            <w:vMerge w:val="continue"/>
            <w:shd w:val="clear" w:color="auto" w:fill="auto"/>
            <w:vAlign w:val="center"/>
          </w:tcPr>
          <w:p w14:paraId="160C810C">
            <w:pPr>
              <w:jc w:val="center"/>
              <w:rPr>
                <w:rFonts w:hint="eastAsia" w:ascii="等线" w:hAnsi="等线" w:eastAsia="等线" w:cs="等线"/>
                <w:i w:val="0"/>
                <w:iCs w:val="0"/>
                <w:color w:val="000000"/>
                <w:sz w:val="22"/>
                <w:szCs w:val="22"/>
                <w:u w:val="none"/>
              </w:rPr>
            </w:pPr>
          </w:p>
        </w:tc>
        <w:tc>
          <w:tcPr>
            <w:tcW w:w="7318" w:type="dxa"/>
            <w:shd w:val="clear" w:color="auto" w:fill="auto"/>
            <w:vAlign w:val="center"/>
          </w:tcPr>
          <w:p w14:paraId="5F82650A">
            <w:pPr>
              <w:keepNext w:val="0"/>
              <w:keepLines w:val="0"/>
              <w:widowControl/>
              <w:suppressLineNumbers w:val="0"/>
              <w:ind w:left="0" w:leftChars="0" w:firstLine="0" w:firstLineChars="0"/>
              <w:jc w:val="both"/>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灾后工作综合统计分析：</w:t>
            </w:r>
            <w:r>
              <w:rPr>
                <w:rStyle w:val="34"/>
                <w:lang w:val="en-US" w:eastAsia="zh-CN" w:bidi="ar"/>
              </w:rPr>
              <w:t>统计汛期和台风期间各类工作情况，可包含：防汛安全检查、工地避险转移、灾情险情等，形成分析图表。</w:t>
            </w:r>
          </w:p>
        </w:tc>
        <w:tc>
          <w:tcPr>
            <w:tcW w:w="1382" w:type="dxa"/>
            <w:shd w:val="clear" w:color="auto" w:fill="auto"/>
            <w:vAlign w:val="center"/>
          </w:tcPr>
          <w:p w14:paraId="2B7BF6CB">
            <w:pPr>
              <w:jc w:val="center"/>
              <w:rPr>
                <w:rFonts w:hint="eastAsia" w:ascii="等线" w:hAnsi="等线" w:eastAsia="等线" w:cs="等线"/>
                <w:i w:val="0"/>
                <w:iCs w:val="0"/>
                <w:color w:val="000000"/>
                <w:sz w:val="22"/>
                <w:szCs w:val="22"/>
                <w:u w:val="none"/>
              </w:rPr>
            </w:pPr>
          </w:p>
        </w:tc>
      </w:tr>
    </w:tbl>
    <w:p w14:paraId="00842F93">
      <w:pPr>
        <w:numPr>
          <w:ilvl w:val="0"/>
          <w:numId w:val="0"/>
        </w:numPr>
        <w:rPr>
          <w:rFonts w:hint="eastAsia"/>
          <w:b/>
        </w:rPr>
      </w:pPr>
    </w:p>
    <w:p w14:paraId="33CE671E">
      <w:pPr>
        <w:ind w:firstLine="482"/>
      </w:pPr>
      <w:r>
        <w:rPr>
          <w:rFonts w:hint="eastAsia"/>
          <w:b/>
        </w:rPr>
        <w:t>注：</w:t>
      </w:r>
      <w:r>
        <w:rPr>
          <w:rFonts w:hint="eastAsia"/>
          <w:bCs/>
        </w:rPr>
        <w:t>●为核心业务。</w:t>
      </w:r>
    </w:p>
    <w:p w14:paraId="241B7518">
      <w:pPr>
        <w:pStyle w:val="2"/>
        <w:ind w:left="0"/>
      </w:pPr>
      <w:bookmarkStart w:id="27" w:name="_Toc4399"/>
      <w:bookmarkStart w:id="28" w:name="_Toc63785503"/>
      <w:r>
        <w:rPr>
          <w:rFonts w:hint="eastAsia"/>
        </w:rPr>
        <w:t>其他工作要求</w:t>
      </w:r>
      <w:bookmarkEnd w:id="27"/>
      <w:bookmarkEnd w:id="28"/>
    </w:p>
    <w:p w14:paraId="45492E94">
      <w:pPr>
        <w:keepNext/>
        <w:keepLines/>
        <w:numPr>
          <w:ilvl w:val="1"/>
          <w:numId w:val="2"/>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29" w:name="_Toc63785504"/>
      <w:bookmarkEnd w:id="29"/>
      <w:bookmarkStart w:id="30" w:name="_Toc63785439"/>
      <w:bookmarkEnd w:id="30"/>
      <w:bookmarkStart w:id="31" w:name="_Toc130898638"/>
      <w:bookmarkEnd w:id="31"/>
      <w:bookmarkStart w:id="32" w:name="_Toc62219358"/>
      <w:bookmarkEnd w:id="32"/>
      <w:bookmarkStart w:id="33" w:name="_Toc130895762"/>
      <w:bookmarkEnd w:id="33"/>
      <w:bookmarkStart w:id="34" w:name="_Toc63762370"/>
      <w:bookmarkEnd w:id="34"/>
      <w:bookmarkStart w:id="35" w:name="_Toc63151871"/>
      <w:bookmarkEnd w:id="35"/>
      <w:bookmarkStart w:id="36" w:name="_Toc61968111"/>
      <w:bookmarkEnd w:id="36"/>
      <w:bookmarkStart w:id="37" w:name="_Toc131148224"/>
      <w:bookmarkEnd w:id="37"/>
      <w:bookmarkStart w:id="38" w:name="_Toc62209488"/>
      <w:bookmarkEnd w:id="38"/>
      <w:bookmarkStart w:id="39" w:name="_Toc63585480"/>
      <w:bookmarkEnd w:id="39"/>
    </w:p>
    <w:p w14:paraId="7D4F821A">
      <w:pPr>
        <w:pStyle w:val="3"/>
        <w:numPr>
          <w:ilvl w:val="0"/>
          <w:numId w:val="0"/>
        </w:numPr>
        <w:spacing w:before="60" w:after="60"/>
      </w:pPr>
      <w:bookmarkStart w:id="40" w:name="_Toc63785505"/>
      <w:bookmarkStart w:id="41" w:name="_Toc26522"/>
      <w:r>
        <w:rPr>
          <w:rFonts w:hint="eastAsia"/>
        </w:rPr>
        <w:t>4</w:t>
      </w:r>
      <w:r>
        <w:t>.1</w:t>
      </w:r>
      <w:r>
        <w:rPr>
          <w:rFonts w:hint="eastAsia"/>
        </w:rPr>
        <w:t>售后服务要求</w:t>
      </w:r>
      <w:bookmarkEnd w:id="40"/>
      <w:bookmarkEnd w:id="41"/>
    </w:p>
    <w:p w14:paraId="5CE2AFCC">
      <w:pPr>
        <w:pStyle w:val="28"/>
        <w:snapToGrid w:val="0"/>
        <w:spacing w:line="360" w:lineRule="auto"/>
        <w:ind w:firstLine="480"/>
        <w:rPr>
          <w:sz w:val="24"/>
          <w:szCs w:val="24"/>
        </w:rPr>
      </w:pPr>
      <w:r>
        <w:rPr>
          <w:sz w:val="24"/>
          <w:szCs w:val="24"/>
        </w:rPr>
        <w:t>本项目从系统验收通过之日起1年内提供7*24小时免费技术支持和售后服务，1年后进入有偿维护期。</w:t>
      </w:r>
    </w:p>
    <w:p w14:paraId="0CB967BF">
      <w:pPr>
        <w:pStyle w:val="28"/>
        <w:snapToGrid w:val="0"/>
        <w:spacing w:line="360" w:lineRule="auto"/>
        <w:ind w:firstLine="480"/>
        <w:rPr>
          <w:rFonts w:ascii="宋体" w:hAnsi="宋体"/>
          <w:sz w:val="24"/>
          <w:szCs w:val="24"/>
        </w:rPr>
      </w:pPr>
      <w:r>
        <w:rPr>
          <w:sz w:val="24"/>
          <w:szCs w:val="24"/>
        </w:rPr>
        <w:t>在质量保证期内，供应商负责信息系统的运行维护工作，确保信息系统安全、稳定、可靠地运行。本项目涉及的运行维护工作范围为：日常监控巡检、系统扩容、应急演练与应急响应、安全扫描与加固、配置实施及管理、节假日保障、故</w:t>
      </w:r>
      <w:r>
        <w:rPr>
          <w:rFonts w:hint="eastAsia" w:ascii="宋体" w:hAnsi="宋体"/>
          <w:sz w:val="24"/>
          <w:szCs w:val="24"/>
        </w:rPr>
        <w:t>障处理与响应。</w:t>
      </w:r>
    </w:p>
    <w:p w14:paraId="34F3139B">
      <w:pPr>
        <w:pStyle w:val="3"/>
        <w:numPr>
          <w:ilvl w:val="0"/>
          <w:numId w:val="0"/>
        </w:numPr>
        <w:spacing w:before="60" w:after="60"/>
      </w:pPr>
      <w:bookmarkStart w:id="42" w:name="_Toc63785506"/>
      <w:bookmarkStart w:id="43" w:name="_Toc19265"/>
      <w:r>
        <w:rPr>
          <w:rFonts w:hint="eastAsia"/>
        </w:rPr>
        <w:t>4</w:t>
      </w:r>
      <w:r>
        <w:t>.2</w:t>
      </w:r>
      <w:r>
        <w:rPr>
          <w:rFonts w:hint="eastAsia"/>
        </w:rPr>
        <w:t>应急响应要求</w:t>
      </w:r>
      <w:bookmarkEnd w:id="42"/>
      <w:bookmarkEnd w:id="43"/>
    </w:p>
    <w:p w14:paraId="6C7A799F">
      <w:pPr>
        <w:pStyle w:val="28"/>
        <w:snapToGrid w:val="0"/>
        <w:spacing w:line="360" w:lineRule="auto"/>
        <w:ind w:firstLine="480"/>
        <w:rPr>
          <w:sz w:val="24"/>
          <w:szCs w:val="24"/>
        </w:rPr>
      </w:pPr>
      <w:r>
        <w:rPr>
          <w:sz w:val="24"/>
          <w:szCs w:val="24"/>
        </w:rPr>
        <w:t>供应商对系统故障应能够实时响应，若系统发生故障，接到通知后30分钟之内响应，专业工程师2小时内到达现场。特殊故障与客户沟通协商后，按照协商的方式制定解决方案并进行处理。</w:t>
      </w:r>
    </w:p>
    <w:p w14:paraId="1AE129A3">
      <w:pPr>
        <w:pStyle w:val="28"/>
        <w:snapToGrid w:val="0"/>
        <w:spacing w:line="360" w:lineRule="auto"/>
        <w:ind w:firstLine="480"/>
        <w:rPr>
          <w:sz w:val="24"/>
          <w:szCs w:val="24"/>
        </w:rPr>
      </w:pPr>
      <w:r>
        <w:rPr>
          <w:sz w:val="24"/>
          <w:szCs w:val="24"/>
        </w:rPr>
        <w:t>具体故障级别及对应的应急响应要求如下：</w:t>
      </w:r>
    </w:p>
    <w:p w14:paraId="467ADD8B">
      <w:pPr>
        <w:pStyle w:val="28"/>
        <w:snapToGrid w:val="0"/>
        <w:spacing w:line="360" w:lineRule="auto"/>
        <w:ind w:firstLine="480"/>
        <w:rPr>
          <w:sz w:val="24"/>
          <w:szCs w:val="24"/>
        </w:rPr>
      </w:pPr>
      <w:r>
        <w:rPr>
          <w:sz w:val="24"/>
          <w:szCs w:val="24"/>
        </w:rPr>
        <w:t>一级故障：在1小时内确诊，总故障解决时间不超过4小时。</w:t>
      </w:r>
    </w:p>
    <w:p w14:paraId="204E60C5">
      <w:pPr>
        <w:pStyle w:val="28"/>
        <w:snapToGrid w:val="0"/>
        <w:spacing w:line="360" w:lineRule="auto"/>
        <w:ind w:firstLine="480"/>
        <w:rPr>
          <w:sz w:val="24"/>
          <w:szCs w:val="24"/>
        </w:rPr>
      </w:pPr>
      <w:r>
        <w:rPr>
          <w:sz w:val="24"/>
          <w:szCs w:val="24"/>
        </w:rPr>
        <w:t>二级故障：在2小时内确诊，并在4小时内由专家到达现场确诊并解决，总故障解决时间不超过8小时；</w:t>
      </w:r>
    </w:p>
    <w:p w14:paraId="02518B8A">
      <w:pPr>
        <w:pStyle w:val="28"/>
        <w:snapToGrid w:val="0"/>
        <w:spacing w:line="360" w:lineRule="auto"/>
        <w:ind w:firstLine="480"/>
        <w:rPr>
          <w:sz w:val="24"/>
          <w:szCs w:val="24"/>
        </w:rPr>
      </w:pPr>
      <w:r>
        <w:rPr>
          <w:sz w:val="24"/>
          <w:szCs w:val="24"/>
        </w:rPr>
        <w:t>三、四级故障：在4小时内确诊故障，总故障解决时间不超过16小时。</w:t>
      </w:r>
    </w:p>
    <w:p w14:paraId="56490285">
      <w:pPr>
        <w:pStyle w:val="3"/>
        <w:numPr>
          <w:ilvl w:val="0"/>
          <w:numId w:val="0"/>
        </w:numPr>
        <w:spacing w:before="60" w:after="60"/>
      </w:pPr>
      <w:bookmarkStart w:id="44" w:name="_Toc964"/>
      <w:bookmarkStart w:id="45" w:name="_Toc63785507"/>
      <w:r>
        <w:rPr>
          <w:rFonts w:hint="eastAsia"/>
        </w:rPr>
        <w:t>4</w:t>
      </w:r>
      <w:r>
        <w:t>.3</w:t>
      </w:r>
      <w:r>
        <w:rPr>
          <w:rFonts w:hint="eastAsia"/>
        </w:rPr>
        <w:t>培训要求</w:t>
      </w:r>
      <w:bookmarkEnd w:id="44"/>
      <w:bookmarkEnd w:id="45"/>
    </w:p>
    <w:p w14:paraId="6D4B2CB4">
      <w:r>
        <w:rPr>
          <w:rFonts w:hint="eastAsia"/>
        </w:rPr>
        <w:t>对系统使用单位提供业务操作培训，应提供详细培训方案。</w:t>
      </w:r>
    </w:p>
    <w:p w14:paraId="78A22D99">
      <w:pPr>
        <w:rPr>
          <w:rFonts w:ascii="Times New Roman" w:hAnsi="Times New Roman"/>
        </w:rPr>
      </w:pPr>
      <w:r>
        <w:rPr>
          <w:rFonts w:hint="eastAsia" w:ascii="Times New Roman" w:hAnsi="Times New Roman"/>
        </w:rPr>
        <w:t>（1）在</w:t>
      </w:r>
      <w:r>
        <w:rPr>
          <w:rFonts w:ascii="Times New Roman" w:hAnsi="Times New Roman"/>
        </w:rPr>
        <w:t>12</w:t>
      </w:r>
      <w:r>
        <w:rPr>
          <w:rFonts w:hint="eastAsia" w:ascii="Times New Roman" w:hAnsi="Times New Roman"/>
        </w:rPr>
        <w:t>个月的质量保证期内，提供</w:t>
      </w:r>
      <w:r>
        <w:rPr>
          <w:rFonts w:ascii="Times New Roman" w:hAnsi="Times New Roman"/>
        </w:rPr>
        <w:t>2</w:t>
      </w:r>
      <w:r>
        <w:rPr>
          <w:rFonts w:hint="eastAsia" w:ascii="Times New Roman" w:hAnsi="Times New Roman"/>
        </w:rPr>
        <w:t>次与项目相关的必要培训。</w:t>
      </w:r>
    </w:p>
    <w:p w14:paraId="158B5E81">
      <w:pPr>
        <w:rPr>
          <w:rFonts w:ascii="Times New Roman" w:hAnsi="Times New Roman"/>
        </w:rPr>
      </w:pPr>
      <w:r>
        <w:rPr>
          <w:rFonts w:hint="eastAsia" w:ascii="Times New Roman" w:hAnsi="Times New Roman"/>
        </w:rPr>
        <w:t>（2）</w:t>
      </w:r>
      <w:r>
        <w:rPr>
          <w:rFonts w:ascii="Times New Roman" w:hAnsi="Times New Roman"/>
        </w:rPr>
        <w:t>供应商需要开展分层次的人员培训工作，每次培训后应对参加培训人员进行测试，评估培训成果。培训应具有培训教材、培训环境和高水平的培训讲师。</w:t>
      </w:r>
    </w:p>
    <w:p w14:paraId="33F50AE1">
      <w:pPr>
        <w:rPr>
          <w:rFonts w:ascii="Times New Roman" w:hAnsi="Times New Roman"/>
        </w:rPr>
      </w:pPr>
      <w:r>
        <w:rPr>
          <w:rFonts w:hint="eastAsia" w:ascii="Times New Roman" w:hAnsi="Times New Roman"/>
        </w:rPr>
        <w:t>（3）</w:t>
      </w:r>
      <w:r>
        <w:rPr>
          <w:rFonts w:ascii="Times New Roman" w:hAnsi="Times New Roman"/>
        </w:rPr>
        <w:t>供应商应提供一般用户的基础操作培训和部门信息管理员的日常应用维护的培训，确保用户对象能够掌握对应的操作技能。</w:t>
      </w:r>
    </w:p>
    <w:p w14:paraId="1325F7BE">
      <w:pPr>
        <w:pStyle w:val="3"/>
        <w:numPr>
          <w:ilvl w:val="0"/>
          <w:numId w:val="0"/>
        </w:numPr>
        <w:spacing w:before="60" w:after="60"/>
      </w:pPr>
      <w:bookmarkStart w:id="46" w:name="_Toc63785509"/>
      <w:bookmarkStart w:id="47" w:name="_Toc12110"/>
      <w:r>
        <w:rPr>
          <w:rFonts w:hint="eastAsia"/>
        </w:rPr>
        <w:t>4</w:t>
      </w:r>
      <w:r>
        <w:t>.</w:t>
      </w:r>
      <w:r>
        <w:rPr>
          <w:rFonts w:hint="eastAsia"/>
          <w:lang w:val="en-US" w:eastAsia="zh-CN"/>
        </w:rPr>
        <w:t>4</w:t>
      </w:r>
      <w:r>
        <w:rPr>
          <w:rFonts w:hint="eastAsia"/>
        </w:rPr>
        <w:t>进度要求</w:t>
      </w:r>
      <w:bookmarkEnd w:id="46"/>
      <w:bookmarkEnd w:id="47"/>
    </w:p>
    <w:p w14:paraId="65913FD0">
      <w:pPr>
        <w:rPr>
          <w:rFonts w:ascii="Times New Roman" w:hAnsi="Times New Roman"/>
        </w:rPr>
      </w:pPr>
      <w:r>
        <w:rPr>
          <w:rFonts w:ascii="Times New Roman" w:hAnsi="Times New Roman"/>
        </w:rPr>
        <w:t>供应商应根据建设内容，分阶段制定合理的时间进度，并且应根据采购人要求进行调整和细化。</w:t>
      </w:r>
    </w:p>
    <w:p w14:paraId="568EE66E">
      <w:pPr>
        <w:rPr>
          <w:rFonts w:ascii="Times New Roman" w:hAnsi="Times New Roman"/>
        </w:rPr>
      </w:pPr>
      <w:r>
        <w:rPr>
          <w:rFonts w:ascii="Times New Roman" w:hAnsi="Times New Roman"/>
        </w:rPr>
        <w:t>总建设周期为合同签订之日起</w:t>
      </w:r>
      <w:r>
        <w:rPr>
          <w:rFonts w:hint="eastAsia" w:ascii="Times New Roman" w:hAnsi="Times New Roman"/>
        </w:rPr>
        <w:t>五个月内完成</w:t>
      </w:r>
      <w:r>
        <w:rPr>
          <w:rFonts w:ascii="Times New Roman" w:hAnsi="Times New Roman"/>
        </w:rPr>
        <w:t>，分为五个阶段。</w:t>
      </w:r>
    </w:p>
    <w:p w14:paraId="6323479D">
      <w:pPr>
        <w:rPr>
          <w:rFonts w:ascii="Times New Roman" w:hAnsi="Times New Roman"/>
        </w:rPr>
      </w:pPr>
      <w:r>
        <w:rPr>
          <w:rFonts w:ascii="Times New Roman" w:hAnsi="Times New Roman"/>
        </w:rPr>
        <w:t>第一阶段为1个月，完成项目有关业务、系统和需求的调研，形成总体设计方案，完成系统架构、基础资源、功能等详细设计，并提供主体建设内容的部分系统原型。</w:t>
      </w:r>
    </w:p>
    <w:p w14:paraId="5D18D838">
      <w:pPr>
        <w:rPr>
          <w:rFonts w:ascii="Times New Roman" w:hAnsi="Times New Roman"/>
        </w:rPr>
      </w:pPr>
      <w:r>
        <w:rPr>
          <w:rFonts w:ascii="Times New Roman" w:hAnsi="Times New Roman"/>
        </w:rPr>
        <w:t>第二阶段为</w:t>
      </w:r>
      <w:r>
        <w:rPr>
          <w:rFonts w:hint="eastAsia" w:ascii="Times New Roman" w:hAnsi="Times New Roman"/>
        </w:rPr>
        <w:t>2</w:t>
      </w:r>
      <w:r>
        <w:rPr>
          <w:rFonts w:ascii="Times New Roman" w:hAnsi="Times New Roman"/>
        </w:rPr>
        <w:t>个月，完成数据归集整合、资源申请和各模块的开发与测试工作，完成系统联调与部署，发布beta测试版本。</w:t>
      </w:r>
    </w:p>
    <w:p w14:paraId="1B8CED65">
      <w:pPr>
        <w:rPr>
          <w:rFonts w:ascii="Times New Roman" w:hAnsi="Times New Roman"/>
        </w:rPr>
      </w:pPr>
      <w:r>
        <w:rPr>
          <w:rFonts w:ascii="Times New Roman" w:hAnsi="Times New Roman"/>
        </w:rPr>
        <w:t>第三阶段为1个月，完成项目功能试运行，修正各模块联调中出现的问题，完成系统完善和功能迭代，直至发布正式运行版本。</w:t>
      </w:r>
    </w:p>
    <w:p w14:paraId="74A8878F">
      <w:pPr>
        <w:rPr>
          <w:rFonts w:ascii="Times New Roman" w:hAnsi="Times New Roman"/>
        </w:rPr>
      </w:pPr>
      <w:r>
        <w:rPr>
          <w:rFonts w:ascii="Times New Roman" w:hAnsi="Times New Roman"/>
        </w:rPr>
        <w:t>第四阶段为1个月，完成各用户单位的试点和实施推广，计划分批开展实施推广，根据用户单位的使用反馈情况对系统进行优化完善，确保运维工作稳步开展。</w:t>
      </w:r>
    </w:p>
    <w:p w14:paraId="4F17C8C7">
      <w:pPr>
        <w:rPr>
          <w:rFonts w:ascii="Times New Roman" w:hAnsi="Times New Roman"/>
        </w:rPr>
      </w:pPr>
      <w:r>
        <w:rPr>
          <w:rFonts w:ascii="Times New Roman" w:hAnsi="Times New Roman"/>
        </w:rPr>
        <w:t>第五阶段为第四阶段完成</w:t>
      </w:r>
      <w:r>
        <w:rPr>
          <w:rFonts w:hint="eastAsia" w:ascii="Times New Roman" w:hAnsi="Times New Roman"/>
        </w:rPr>
        <w:t>后1个月</w:t>
      </w:r>
      <w:r>
        <w:rPr>
          <w:rFonts w:ascii="Times New Roman" w:hAnsi="Times New Roman"/>
        </w:rPr>
        <w:t>，完成实施项目验收并启动项目的正式运行，根据项目运行情况和验收要求开展项目测评、功能优化和绩效评价等工作。</w:t>
      </w:r>
    </w:p>
    <w:p w14:paraId="22892749">
      <w:pPr>
        <w:rPr>
          <w:rFonts w:hint="default" w:ascii="Times New Roman" w:hAnsi="Times New Roman" w:eastAsia="宋体"/>
          <w:lang w:val="en-US" w:eastAsia="zh-CN"/>
        </w:rPr>
      </w:pPr>
      <w:r>
        <w:rPr>
          <w:rFonts w:hint="eastAsia" w:ascii="Times New Roman" w:hAnsi="Times New Roman"/>
          <w:lang w:val="en-US" w:eastAsia="zh-CN"/>
        </w:rPr>
        <w:t>其中“专项应用子系统（防汛防台）”应在2025年进入汛期前可以投入试用。</w:t>
      </w:r>
    </w:p>
    <w:p w14:paraId="4C5126E8">
      <w:pPr>
        <w:pStyle w:val="3"/>
        <w:numPr>
          <w:ilvl w:val="0"/>
          <w:numId w:val="0"/>
        </w:numPr>
        <w:spacing w:before="60" w:after="60"/>
      </w:pPr>
      <w:bookmarkStart w:id="48" w:name="_Toc63785510"/>
      <w:bookmarkStart w:id="49" w:name="_Toc29305"/>
      <w:r>
        <w:rPr>
          <w:rFonts w:hint="eastAsia"/>
        </w:rPr>
        <w:t>4</w:t>
      </w:r>
      <w:r>
        <w:t>.</w:t>
      </w:r>
      <w:r>
        <w:rPr>
          <w:rFonts w:hint="eastAsia"/>
          <w:lang w:val="en-US" w:eastAsia="zh-CN"/>
        </w:rPr>
        <w:t>5</w:t>
      </w:r>
      <w:r>
        <w:rPr>
          <w:rFonts w:hint="eastAsia"/>
        </w:rPr>
        <w:t>项目团队及驻场人员要求</w:t>
      </w:r>
      <w:bookmarkEnd w:id="48"/>
      <w:bookmarkEnd w:id="49"/>
    </w:p>
    <w:p w14:paraId="61FAF2CE">
      <w:pPr>
        <w:rPr>
          <w:rFonts w:ascii="Times New Roman" w:hAnsi="Times New Roman"/>
        </w:rPr>
      </w:pPr>
      <w:bookmarkStart w:id="50" w:name="_Toc63785511"/>
      <w:r>
        <w:rPr>
          <w:rFonts w:ascii="Times New Roman" w:hAnsi="Times New Roman"/>
        </w:rPr>
        <w:t>1）供应商须具有稳定的在职技术保障力量，能够提供及时的技术支援或服务，应针对本项目提供不少于</w:t>
      </w:r>
      <w:r>
        <w:rPr>
          <w:rFonts w:ascii="Times New Roman" w:hAnsi="Times New Roman"/>
          <w:color w:val="000000" w:themeColor="text1"/>
          <w14:textFill>
            <w14:solidFill>
              <w14:schemeClr w14:val="tx1"/>
            </w14:solidFill>
          </w14:textFill>
        </w:rPr>
        <w:t>10人</w:t>
      </w:r>
      <w:r>
        <w:rPr>
          <w:rFonts w:ascii="Times New Roman" w:hAnsi="Times New Roman"/>
        </w:rPr>
        <w:t>的项目服务团队（包括项目经理、产品经理、技术负责人、安全工程师、研发、实施、测试等），</w:t>
      </w:r>
      <w:r>
        <w:rPr>
          <w:rFonts w:hint="eastAsia" w:ascii="Times New Roman" w:hAnsi="Times New Roman"/>
        </w:rPr>
        <w:t>项目组人员要求5人以上具有5年以上信息系统行业工作经验，</w:t>
      </w:r>
      <w:r>
        <w:rPr>
          <w:rFonts w:ascii="Times New Roman" w:hAnsi="Times New Roman"/>
        </w:rPr>
        <w:t>响应供应商的相关服务人员需具备相应的服务能力，需提供相关证明。</w:t>
      </w:r>
    </w:p>
    <w:tbl>
      <w:tblPr>
        <w:tblStyle w:val="15"/>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844"/>
        <w:gridCol w:w="921"/>
        <w:gridCol w:w="4047"/>
        <w:gridCol w:w="1416"/>
      </w:tblGrid>
      <w:tr w14:paraId="1809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449" w:type="dxa"/>
            <w:shd w:val="clear" w:color="auto" w:fill="auto"/>
            <w:noWrap/>
            <w:vAlign w:val="center"/>
          </w:tcPr>
          <w:p w14:paraId="2B77F9F3">
            <w:pPr>
              <w:widowControl/>
              <w:spacing w:line="240" w:lineRule="auto"/>
              <w:ind w:firstLine="0" w:firstLineChars="0"/>
              <w:jc w:val="center"/>
              <w:rPr>
                <w:rFonts w:ascii="仿宋" w:hAnsi="仿宋" w:eastAsia="仿宋"/>
                <w:b/>
              </w:rPr>
            </w:pPr>
            <w:r>
              <w:rPr>
                <w:rFonts w:hint="eastAsia" w:ascii="仿宋" w:hAnsi="仿宋" w:eastAsia="仿宋"/>
                <w:b/>
              </w:rPr>
              <w:t>角色</w:t>
            </w:r>
          </w:p>
        </w:tc>
        <w:tc>
          <w:tcPr>
            <w:tcW w:w="1844" w:type="dxa"/>
            <w:shd w:val="clear" w:color="auto" w:fill="auto"/>
            <w:noWrap/>
            <w:vAlign w:val="center"/>
          </w:tcPr>
          <w:p w14:paraId="6C19BCA1">
            <w:pPr>
              <w:widowControl/>
              <w:spacing w:line="240" w:lineRule="auto"/>
              <w:ind w:firstLine="0" w:firstLineChars="0"/>
              <w:jc w:val="center"/>
              <w:rPr>
                <w:rFonts w:ascii="仿宋" w:hAnsi="仿宋" w:eastAsia="仿宋"/>
                <w:b/>
              </w:rPr>
            </w:pPr>
            <w:r>
              <w:rPr>
                <w:rFonts w:hint="eastAsia" w:ascii="仿宋" w:hAnsi="仿宋" w:eastAsia="仿宋"/>
                <w:b/>
              </w:rPr>
              <w:t>主要职责</w:t>
            </w:r>
          </w:p>
        </w:tc>
        <w:tc>
          <w:tcPr>
            <w:tcW w:w="921" w:type="dxa"/>
            <w:shd w:val="clear" w:color="auto" w:fill="auto"/>
            <w:noWrap/>
            <w:vAlign w:val="center"/>
          </w:tcPr>
          <w:p w14:paraId="2BE297C4">
            <w:pPr>
              <w:widowControl/>
              <w:spacing w:line="240" w:lineRule="auto"/>
              <w:ind w:firstLine="0" w:firstLineChars="0"/>
              <w:jc w:val="center"/>
              <w:rPr>
                <w:rFonts w:ascii="仿宋" w:hAnsi="仿宋" w:eastAsia="仿宋"/>
                <w:b/>
              </w:rPr>
            </w:pPr>
            <w:r>
              <w:rPr>
                <w:rFonts w:hint="eastAsia" w:ascii="仿宋" w:hAnsi="仿宋" w:eastAsia="仿宋"/>
                <w:b/>
              </w:rPr>
              <w:t>数量</w:t>
            </w:r>
          </w:p>
        </w:tc>
        <w:tc>
          <w:tcPr>
            <w:tcW w:w="4047" w:type="dxa"/>
            <w:shd w:val="clear" w:color="auto" w:fill="auto"/>
            <w:noWrap/>
            <w:vAlign w:val="center"/>
          </w:tcPr>
          <w:p w14:paraId="18143AAB">
            <w:pPr>
              <w:jc w:val="center"/>
              <w:rPr>
                <w:rFonts w:hint="eastAsia" w:ascii="仿宋" w:hAnsi="仿宋" w:eastAsia="仿宋"/>
                <w:b/>
                <w:color w:val="000000" w:themeColor="text1"/>
                <w:lang w:eastAsia="zh-CN"/>
                <w14:textFill>
                  <w14:solidFill>
                    <w14:schemeClr w14:val="tx1"/>
                  </w14:solidFill>
                </w14:textFill>
              </w:rPr>
            </w:pPr>
            <w:r>
              <w:rPr>
                <w:rFonts w:hint="eastAsia" w:ascii="仿宋" w:hAnsi="仿宋" w:eastAsia="仿宋"/>
                <w:b/>
                <w:color w:val="000000" w:themeColor="text1"/>
                <w:lang w:eastAsia="zh-CN"/>
                <w14:textFill>
                  <w14:solidFill>
                    <w14:schemeClr w14:val="tx1"/>
                  </w14:solidFill>
                </w14:textFill>
              </w:rPr>
              <w:t>人员实力要求</w:t>
            </w:r>
          </w:p>
        </w:tc>
        <w:tc>
          <w:tcPr>
            <w:tcW w:w="1416" w:type="dxa"/>
            <w:shd w:val="clear" w:color="auto" w:fill="auto"/>
            <w:noWrap/>
            <w:vAlign w:val="center"/>
          </w:tcPr>
          <w:p w14:paraId="282AFDF7">
            <w:pPr>
              <w:widowControl/>
              <w:spacing w:line="240" w:lineRule="auto"/>
              <w:ind w:firstLine="0" w:firstLineChars="0"/>
              <w:jc w:val="center"/>
              <w:rPr>
                <w:rFonts w:hint="eastAsia" w:ascii="仿宋" w:hAnsi="仿宋" w:eastAsia="仿宋"/>
                <w:b/>
                <w:color w:val="000000" w:themeColor="text1"/>
                <w:lang w:eastAsia="zh-CN"/>
                <w14:textFill>
                  <w14:solidFill>
                    <w14:schemeClr w14:val="tx1"/>
                  </w14:solidFill>
                </w14:textFill>
              </w:rPr>
            </w:pPr>
            <w:r>
              <w:rPr>
                <w:rFonts w:hint="eastAsia" w:ascii="仿宋" w:hAnsi="仿宋" w:eastAsia="仿宋"/>
                <w:b/>
                <w:color w:val="000000" w:themeColor="text1"/>
                <w:lang w:eastAsia="zh-CN"/>
                <w14:textFill>
                  <w14:solidFill>
                    <w14:schemeClr w14:val="tx1"/>
                  </w14:solidFill>
                </w14:textFill>
              </w:rPr>
              <w:t>是否要求驻场</w:t>
            </w:r>
          </w:p>
        </w:tc>
      </w:tr>
      <w:tr w14:paraId="6C34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DEE74D">
            <w:pPr>
              <w:widowControl/>
              <w:spacing w:line="240" w:lineRule="auto"/>
              <w:ind w:firstLine="0" w:firstLineChars="0"/>
              <w:jc w:val="center"/>
              <w:rPr>
                <w:rFonts w:ascii="仿宋" w:hAnsi="仿宋" w:eastAsia="仿宋"/>
              </w:rPr>
            </w:pPr>
            <w:r>
              <w:rPr>
                <w:rFonts w:hint="eastAsia" w:ascii="仿宋" w:hAnsi="仿宋" w:eastAsia="仿宋"/>
              </w:rPr>
              <w:t>项目</w:t>
            </w:r>
            <w:r>
              <w:rPr>
                <w:rFonts w:hint="eastAsia" w:ascii="仿宋" w:hAnsi="仿宋" w:eastAsia="仿宋"/>
                <w:lang w:val="en-US" w:eastAsia="zh-CN"/>
              </w:rPr>
              <w:t>经理</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37BFE7">
            <w:pPr>
              <w:widowControl/>
              <w:spacing w:line="240" w:lineRule="auto"/>
              <w:ind w:firstLine="0" w:firstLineChars="0"/>
              <w:jc w:val="center"/>
              <w:rPr>
                <w:rFonts w:ascii="仿宋" w:hAnsi="仿宋" w:eastAsia="仿宋"/>
              </w:rPr>
            </w:pPr>
            <w:r>
              <w:rPr>
                <w:rFonts w:hint="eastAsia" w:ascii="仿宋" w:hAnsi="仿宋" w:eastAsia="仿宋"/>
              </w:rPr>
              <w:t>负责项目质量和进度控制</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032100">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546B00">
            <w:pPr>
              <w:widowControl/>
              <w:spacing w:line="240" w:lineRule="auto"/>
              <w:ind w:firstLine="0" w:firstLineChars="0"/>
              <w:jc w:val="center"/>
              <w:rPr>
                <w:rFonts w:hint="eastAsia" w:eastAsia="宋体"/>
                <w:bCs/>
                <w:lang w:eastAsia="zh-CN"/>
              </w:rPr>
            </w:pPr>
            <w:r>
              <w:rPr>
                <w:rFonts w:hint="eastAsia" w:ascii="Times New Roman" w:hAnsi="Times New Roman"/>
                <w:lang w:eastAsia="zh-CN"/>
              </w:rPr>
              <w:t>具备</w:t>
            </w:r>
            <w:r>
              <w:rPr>
                <w:rFonts w:hint="eastAsia" w:ascii="Times New Roman" w:hAnsi="Times New Roman"/>
              </w:rPr>
              <w:t>计算机软件资格信息系统项目管理师证书</w:t>
            </w:r>
            <w:r>
              <w:rPr>
                <w:rFonts w:hint="eastAsia" w:ascii="Times New Roman" w:hAnsi="Times New Roman"/>
                <w:lang w:eastAsia="zh-CN"/>
              </w:rPr>
              <w:t>，具有</w:t>
            </w:r>
            <w:r>
              <w:rPr>
                <w:rFonts w:hint="eastAsia" w:ascii="Times New Roman" w:hAnsi="Times New Roman"/>
                <w:lang w:val="en-US" w:eastAsia="zh-CN"/>
              </w:rPr>
              <w:t>5</w:t>
            </w:r>
            <w:r>
              <w:rPr>
                <w:rFonts w:hint="eastAsia" w:ascii="Times New Roman" w:hAnsi="Times New Roman"/>
                <w:lang w:eastAsia="zh-CN"/>
              </w:rPr>
              <w:t>年及以上行业内工作经验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68FA71">
            <w:pPr>
              <w:widowControl/>
              <w:spacing w:line="240" w:lineRule="auto"/>
              <w:ind w:firstLine="0" w:firstLineChars="0"/>
              <w:jc w:val="center"/>
              <w:rPr>
                <w:rFonts w:hint="eastAsia" w:ascii="仿宋" w:hAnsi="仿宋" w:eastAsia="宋体"/>
                <w:lang w:eastAsia="zh-CN"/>
              </w:rPr>
            </w:pPr>
            <w:r>
              <w:rPr>
                <w:rFonts w:hint="eastAsia"/>
                <w:bCs/>
                <w:lang w:eastAsia="zh-CN"/>
              </w:rPr>
              <w:t>是</w:t>
            </w:r>
          </w:p>
        </w:tc>
      </w:tr>
      <w:tr w14:paraId="752C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ACFA8E">
            <w:pPr>
              <w:widowControl/>
              <w:spacing w:line="240" w:lineRule="auto"/>
              <w:ind w:firstLine="0" w:firstLineChars="0"/>
              <w:jc w:val="center"/>
              <w:rPr>
                <w:rFonts w:ascii="仿宋" w:hAnsi="仿宋" w:eastAsia="仿宋"/>
              </w:rPr>
            </w:pPr>
            <w:r>
              <w:rPr>
                <w:rFonts w:hint="eastAsia" w:ascii="仿宋" w:hAnsi="仿宋" w:eastAsia="仿宋"/>
              </w:rPr>
              <w:t>项目规划师</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5EDBB0">
            <w:pPr>
              <w:widowControl/>
              <w:spacing w:line="240" w:lineRule="auto"/>
              <w:ind w:firstLine="0" w:firstLineChars="0"/>
              <w:jc w:val="center"/>
              <w:rPr>
                <w:rFonts w:ascii="仿宋" w:hAnsi="仿宋" w:eastAsia="仿宋"/>
              </w:rPr>
            </w:pPr>
            <w:r>
              <w:rPr>
                <w:rFonts w:hint="eastAsia" w:ascii="仿宋" w:hAnsi="仿宋" w:eastAsia="仿宋"/>
              </w:rPr>
              <w:t>负责项目需求评估与产品设计</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B3C298">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D7638">
            <w:pPr>
              <w:widowControl/>
              <w:spacing w:line="240" w:lineRule="auto"/>
              <w:ind w:firstLine="0" w:firstLineChars="0"/>
              <w:jc w:val="center"/>
              <w:rPr>
                <w:rFonts w:hint="eastAsia"/>
                <w:bCs/>
                <w:lang w:eastAsia="zh-CN"/>
              </w:rPr>
            </w:pPr>
            <w:r>
              <w:rPr>
                <w:rFonts w:hint="eastAsia" w:ascii="Times New Roman" w:hAnsi="Times New Roman"/>
                <w:lang w:eastAsia="zh-CN"/>
              </w:rPr>
              <w:t>具备</w:t>
            </w:r>
            <w:r>
              <w:rPr>
                <w:rFonts w:hint="eastAsia" w:ascii="Times New Roman" w:hAnsi="Times New Roman"/>
              </w:rPr>
              <w:t>计算机软件资格信息系统项目管理师证书</w:t>
            </w: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01A37">
            <w:pPr>
              <w:widowControl/>
              <w:spacing w:line="240" w:lineRule="auto"/>
              <w:ind w:firstLine="0" w:firstLineChars="0"/>
              <w:jc w:val="center"/>
              <w:rPr>
                <w:rFonts w:ascii="仿宋" w:hAnsi="仿宋" w:eastAsia="仿宋"/>
              </w:rPr>
            </w:pPr>
            <w:r>
              <w:rPr>
                <w:rFonts w:hint="eastAsia"/>
                <w:bCs/>
                <w:lang w:eastAsia="zh-CN"/>
              </w:rPr>
              <w:t>是</w:t>
            </w:r>
          </w:p>
        </w:tc>
      </w:tr>
      <w:tr w14:paraId="62E2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8C7FC">
            <w:pPr>
              <w:widowControl/>
              <w:spacing w:line="240" w:lineRule="auto"/>
              <w:ind w:firstLine="0" w:firstLineChars="0"/>
              <w:jc w:val="center"/>
              <w:rPr>
                <w:rFonts w:ascii="仿宋" w:hAnsi="仿宋" w:eastAsia="仿宋"/>
              </w:rPr>
            </w:pPr>
            <w:r>
              <w:rPr>
                <w:rFonts w:hint="eastAsia" w:ascii="仿宋" w:hAnsi="仿宋" w:eastAsia="仿宋"/>
              </w:rPr>
              <w:t>技术负责人</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8A68F2">
            <w:pPr>
              <w:widowControl/>
              <w:spacing w:line="240" w:lineRule="auto"/>
              <w:ind w:firstLine="0" w:firstLineChars="0"/>
              <w:jc w:val="center"/>
              <w:rPr>
                <w:rFonts w:ascii="仿宋" w:hAnsi="仿宋" w:eastAsia="仿宋"/>
              </w:rPr>
            </w:pPr>
            <w:r>
              <w:rPr>
                <w:rFonts w:hint="eastAsia" w:ascii="仿宋" w:hAnsi="仿宋" w:eastAsia="仿宋"/>
              </w:rPr>
              <w:t>负责项目开发与实施</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0D9D5C">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9452A0">
            <w:pPr>
              <w:widowControl/>
              <w:spacing w:line="240" w:lineRule="auto"/>
              <w:ind w:firstLine="0" w:firstLineChars="0"/>
              <w:jc w:val="center"/>
              <w:rPr>
                <w:rFonts w:ascii="仿宋" w:hAnsi="仿宋" w:eastAsia="仿宋"/>
              </w:rPr>
            </w:pP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30B4A0">
            <w:pPr>
              <w:widowControl/>
              <w:spacing w:line="240" w:lineRule="auto"/>
              <w:ind w:firstLine="0" w:firstLineChars="0"/>
              <w:jc w:val="center"/>
              <w:rPr>
                <w:rFonts w:ascii="仿宋" w:hAnsi="仿宋" w:eastAsia="仿宋"/>
              </w:rPr>
            </w:pPr>
          </w:p>
        </w:tc>
      </w:tr>
      <w:tr w14:paraId="391E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CACCB9">
            <w:pPr>
              <w:widowControl/>
              <w:spacing w:line="240" w:lineRule="auto"/>
              <w:ind w:firstLine="0" w:firstLineChars="0"/>
              <w:jc w:val="center"/>
              <w:rPr>
                <w:rFonts w:ascii="仿宋" w:hAnsi="仿宋" w:eastAsia="仿宋"/>
              </w:rPr>
            </w:pPr>
            <w:r>
              <w:rPr>
                <w:rFonts w:hint="eastAsia" w:ascii="仿宋" w:hAnsi="仿宋" w:eastAsia="仿宋"/>
              </w:rPr>
              <w:t>安全工程师</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D40794">
            <w:pPr>
              <w:widowControl/>
              <w:spacing w:line="240" w:lineRule="auto"/>
              <w:ind w:firstLine="0" w:firstLineChars="0"/>
              <w:jc w:val="center"/>
              <w:rPr>
                <w:rFonts w:ascii="仿宋" w:hAnsi="仿宋" w:eastAsia="仿宋"/>
              </w:rPr>
            </w:pPr>
            <w:r>
              <w:rPr>
                <w:rFonts w:hint="eastAsia" w:ascii="仿宋" w:hAnsi="仿宋" w:eastAsia="仿宋"/>
              </w:rPr>
              <w:t>负责项目安全评估及策略制定</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F409AA">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3519DA">
            <w:pPr>
              <w:widowControl/>
              <w:spacing w:line="240" w:lineRule="auto"/>
              <w:ind w:firstLine="0" w:firstLineChars="0"/>
              <w:jc w:val="center"/>
              <w:rPr>
                <w:rFonts w:ascii="仿宋" w:hAnsi="仿宋" w:eastAsia="仿宋"/>
              </w:rPr>
            </w:pP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BC8061">
            <w:pPr>
              <w:widowControl/>
              <w:spacing w:line="240" w:lineRule="auto"/>
              <w:ind w:firstLine="0" w:firstLineChars="0"/>
              <w:jc w:val="center"/>
              <w:rPr>
                <w:rFonts w:ascii="仿宋" w:hAnsi="仿宋" w:eastAsia="仿宋"/>
              </w:rPr>
            </w:pPr>
          </w:p>
        </w:tc>
      </w:tr>
      <w:tr w14:paraId="2C68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B143CC">
            <w:pPr>
              <w:widowControl/>
              <w:spacing w:line="240" w:lineRule="auto"/>
              <w:ind w:firstLine="0" w:firstLineChars="0"/>
              <w:jc w:val="center"/>
              <w:rPr>
                <w:rFonts w:ascii="仿宋" w:hAnsi="仿宋" w:eastAsia="仿宋"/>
              </w:rPr>
            </w:pPr>
            <w:r>
              <w:rPr>
                <w:rFonts w:hint="eastAsia" w:ascii="仿宋" w:hAnsi="仿宋" w:eastAsia="仿宋"/>
              </w:rPr>
              <w:t>研发工程师</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8B4150">
            <w:pPr>
              <w:widowControl/>
              <w:spacing w:line="240" w:lineRule="auto"/>
              <w:ind w:firstLine="0" w:firstLineChars="0"/>
              <w:jc w:val="center"/>
              <w:rPr>
                <w:rFonts w:ascii="仿宋" w:hAnsi="仿宋" w:eastAsia="仿宋"/>
              </w:rPr>
            </w:pPr>
            <w:r>
              <w:rPr>
                <w:rFonts w:hint="eastAsia" w:ascii="仿宋" w:hAnsi="仿宋" w:eastAsia="仿宋"/>
              </w:rPr>
              <w:t>负责项目开发</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5CDE6C">
            <w:pPr>
              <w:widowControl/>
              <w:spacing w:line="240" w:lineRule="auto"/>
              <w:ind w:firstLine="0" w:firstLineChars="0"/>
              <w:jc w:val="center"/>
              <w:rPr>
                <w:rFonts w:ascii="仿宋" w:hAnsi="仿宋" w:eastAsia="仿宋"/>
              </w:rPr>
            </w:pPr>
            <w:r>
              <w:rPr>
                <w:rFonts w:hint="eastAsia" w:ascii="仿宋" w:hAnsi="仿宋" w:eastAsia="仿宋"/>
              </w:rPr>
              <w:t>3人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D6D909">
            <w:pPr>
              <w:widowControl/>
              <w:spacing w:line="240" w:lineRule="auto"/>
              <w:ind w:firstLine="0" w:firstLineChars="0"/>
              <w:jc w:val="center"/>
              <w:rPr>
                <w:rFonts w:ascii="仿宋" w:hAnsi="仿宋" w:eastAsia="仿宋"/>
              </w:rPr>
            </w:pP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9BACC2">
            <w:pPr>
              <w:widowControl/>
              <w:spacing w:line="240" w:lineRule="auto"/>
              <w:ind w:firstLine="0" w:firstLineChars="0"/>
              <w:jc w:val="center"/>
              <w:rPr>
                <w:rFonts w:ascii="仿宋" w:hAnsi="仿宋" w:eastAsia="仿宋"/>
              </w:rPr>
            </w:pPr>
          </w:p>
        </w:tc>
      </w:tr>
      <w:tr w14:paraId="09D8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F10D61">
            <w:pPr>
              <w:widowControl/>
              <w:spacing w:line="240" w:lineRule="auto"/>
              <w:ind w:firstLine="0" w:firstLineChars="0"/>
              <w:jc w:val="center"/>
              <w:rPr>
                <w:rFonts w:ascii="仿宋" w:hAnsi="仿宋" w:eastAsia="仿宋"/>
              </w:rPr>
            </w:pPr>
            <w:r>
              <w:rPr>
                <w:rFonts w:hint="eastAsia" w:ascii="仿宋" w:hAnsi="仿宋" w:eastAsia="仿宋"/>
              </w:rPr>
              <w:t>实施工程师</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7E6342">
            <w:pPr>
              <w:widowControl/>
              <w:spacing w:line="240" w:lineRule="auto"/>
              <w:ind w:firstLine="0" w:firstLineChars="0"/>
              <w:jc w:val="center"/>
              <w:rPr>
                <w:rFonts w:ascii="仿宋" w:hAnsi="仿宋" w:eastAsia="仿宋"/>
              </w:rPr>
            </w:pPr>
            <w:r>
              <w:rPr>
                <w:rFonts w:hint="eastAsia" w:ascii="仿宋" w:hAnsi="仿宋" w:eastAsia="仿宋"/>
              </w:rPr>
              <w:t>负责项目实施</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7E96AF">
            <w:pPr>
              <w:widowControl/>
              <w:spacing w:line="240" w:lineRule="auto"/>
              <w:ind w:firstLine="0" w:firstLineChars="0"/>
              <w:jc w:val="center"/>
              <w:rPr>
                <w:rFonts w:ascii="仿宋" w:hAnsi="仿宋" w:eastAsia="仿宋"/>
              </w:rPr>
            </w:pPr>
            <w:r>
              <w:rPr>
                <w:rFonts w:hint="eastAsia" w:ascii="仿宋" w:hAnsi="仿宋" w:eastAsia="仿宋"/>
              </w:rPr>
              <w:t>1人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D5602">
            <w:pPr>
              <w:widowControl/>
              <w:spacing w:line="240" w:lineRule="auto"/>
              <w:ind w:firstLine="0" w:firstLineChars="0"/>
              <w:jc w:val="center"/>
              <w:rPr>
                <w:rFonts w:hint="eastAsia"/>
                <w:bCs/>
              </w:rPr>
            </w:pP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FF4E47">
            <w:pPr>
              <w:widowControl/>
              <w:spacing w:line="240" w:lineRule="auto"/>
              <w:ind w:firstLine="0" w:firstLineChars="0"/>
              <w:jc w:val="center"/>
              <w:rPr>
                <w:rFonts w:hint="eastAsia" w:ascii="仿宋" w:hAnsi="仿宋" w:eastAsia="宋体"/>
                <w:b/>
                <w:bCs/>
                <w:lang w:eastAsia="zh-CN"/>
              </w:rPr>
            </w:pPr>
            <w:r>
              <w:rPr>
                <w:rFonts w:hint="eastAsia"/>
                <w:bCs/>
                <w:lang w:eastAsia="zh-CN"/>
              </w:rPr>
              <w:t>是</w:t>
            </w:r>
          </w:p>
        </w:tc>
      </w:tr>
      <w:tr w14:paraId="453F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F527E8">
            <w:pPr>
              <w:widowControl/>
              <w:spacing w:line="240" w:lineRule="auto"/>
              <w:ind w:firstLine="0" w:firstLineChars="0"/>
              <w:jc w:val="center"/>
              <w:rPr>
                <w:rFonts w:ascii="仿宋" w:hAnsi="仿宋" w:eastAsia="仿宋"/>
              </w:rPr>
            </w:pPr>
            <w:r>
              <w:rPr>
                <w:rFonts w:hint="eastAsia" w:ascii="仿宋" w:hAnsi="仿宋" w:eastAsia="仿宋"/>
              </w:rPr>
              <w:t>测试工程师</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FF1851">
            <w:pPr>
              <w:widowControl/>
              <w:spacing w:line="240" w:lineRule="auto"/>
              <w:ind w:firstLine="0" w:firstLineChars="0"/>
              <w:jc w:val="center"/>
              <w:rPr>
                <w:rFonts w:ascii="仿宋" w:hAnsi="仿宋" w:eastAsia="仿宋"/>
              </w:rPr>
            </w:pPr>
            <w:r>
              <w:rPr>
                <w:rFonts w:hint="eastAsia" w:ascii="仿宋" w:hAnsi="仿宋" w:eastAsia="仿宋"/>
              </w:rPr>
              <w:t>负责项目测试</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209B3B">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8A2694">
            <w:pPr>
              <w:widowControl/>
              <w:spacing w:line="240" w:lineRule="auto"/>
              <w:ind w:firstLine="0" w:firstLineChars="0"/>
              <w:jc w:val="center"/>
              <w:rPr>
                <w:rFonts w:hint="eastAsia"/>
                <w:bCs/>
                <w:lang w:eastAsia="zh-CN"/>
              </w:rPr>
            </w:pP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A63425">
            <w:pPr>
              <w:widowControl/>
              <w:spacing w:line="240" w:lineRule="auto"/>
              <w:ind w:firstLine="0" w:firstLineChars="0"/>
              <w:jc w:val="center"/>
              <w:rPr>
                <w:rFonts w:ascii="仿宋" w:hAnsi="仿宋" w:eastAsia="仿宋"/>
                <w:b/>
                <w:bCs/>
              </w:rPr>
            </w:pPr>
            <w:r>
              <w:rPr>
                <w:rFonts w:hint="eastAsia"/>
                <w:bCs/>
                <w:lang w:eastAsia="zh-CN"/>
              </w:rPr>
              <w:t>是</w:t>
            </w:r>
          </w:p>
        </w:tc>
      </w:tr>
      <w:tr w14:paraId="5EA3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17F44F">
            <w:pPr>
              <w:widowControl/>
              <w:spacing w:line="240" w:lineRule="auto"/>
              <w:ind w:firstLine="0" w:firstLineChars="0"/>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保障工程师</w:t>
            </w:r>
          </w:p>
        </w:tc>
        <w:tc>
          <w:tcPr>
            <w:tcW w:w="18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9C163B">
            <w:pPr>
              <w:widowControl/>
              <w:spacing w:line="240" w:lineRule="auto"/>
              <w:ind w:firstLine="0" w:firstLineChars="0"/>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负责现场保障</w:t>
            </w: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A1D6B4">
            <w:pPr>
              <w:widowControl/>
              <w:spacing w:line="240" w:lineRule="auto"/>
              <w:ind w:firstLine="0" w:firstLineChars="0"/>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1人</w:t>
            </w:r>
          </w:p>
        </w:tc>
        <w:tc>
          <w:tcPr>
            <w:tcW w:w="40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881AE3">
            <w:pPr>
              <w:widowControl/>
              <w:spacing w:line="240" w:lineRule="auto"/>
              <w:ind w:firstLine="0" w:firstLineChars="0"/>
              <w:jc w:val="center"/>
              <w:rPr>
                <w:rFonts w:hint="eastAsia"/>
                <w:bCs/>
                <w:lang w:eastAsia="zh-CN"/>
              </w:rPr>
            </w:pPr>
            <w:r>
              <w:rPr>
                <w:rFonts w:hint="eastAsia" w:ascii="Times New Roman" w:hAnsi="Times New Roman"/>
                <w:lang w:eastAsia="zh-CN"/>
              </w:rPr>
              <w:t>具有</w:t>
            </w:r>
            <w:r>
              <w:rPr>
                <w:rFonts w:hint="eastAsia" w:ascii="Times New Roman" w:hAnsi="Times New Roman"/>
                <w:lang w:val="en-US" w:eastAsia="zh-CN"/>
              </w:rPr>
              <w:t>相关</w:t>
            </w:r>
            <w:r>
              <w:rPr>
                <w:rFonts w:hint="eastAsia" w:ascii="Times New Roman" w:hAnsi="Times New Roman"/>
                <w:lang w:eastAsia="zh-CN"/>
              </w:rPr>
              <w:t>行业工作经验</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12FE6D">
            <w:pPr>
              <w:widowControl/>
              <w:spacing w:line="240" w:lineRule="auto"/>
              <w:ind w:firstLine="0" w:firstLineChars="0"/>
              <w:jc w:val="center"/>
              <w:rPr>
                <w:rFonts w:ascii="仿宋" w:hAnsi="仿宋" w:eastAsia="仿宋"/>
                <w:b/>
                <w:bCs/>
                <w:color w:val="000000" w:themeColor="text1"/>
                <w14:textFill>
                  <w14:solidFill>
                    <w14:schemeClr w14:val="tx1"/>
                  </w14:solidFill>
                </w14:textFill>
              </w:rPr>
            </w:pPr>
            <w:r>
              <w:rPr>
                <w:rFonts w:hint="eastAsia"/>
                <w:bCs/>
                <w:lang w:eastAsia="zh-CN"/>
              </w:rPr>
              <w:t>是</w:t>
            </w:r>
          </w:p>
        </w:tc>
      </w:tr>
    </w:tbl>
    <w:p w14:paraId="68A6A746">
      <w:pPr>
        <w:rPr>
          <w:rFonts w:ascii="Times New Roman" w:hAnsi="Times New Roman"/>
        </w:rPr>
      </w:pPr>
      <w:r>
        <w:rPr>
          <w:rFonts w:ascii="Times New Roman" w:hAnsi="Times New Roman"/>
        </w:rPr>
        <w:t>2）供应商应针对本项目提供不少于</w:t>
      </w:r>
      <w:r>
        <w:rPr>
          <w:rFonts w:hint="eastAsia" w:ascii="Times New Roman" w:hAnsi="Times New Roman"/>
        </w:rPr>
        <w:t>3</w:t>
      </w:r>
      <w:r>
        <w:rPr>
          <w:rFonts w:ascii="Times New Roman" w:hAnsi="Times New Roman"/>
        </w:rPr>
        <w:t>人的质保期间支撑团队（其中</w:t>
      </w:r>
      <w:r>
        <w:rPr>
          <w:rFonts w:hint="eastAsia" w:ascii="Times New Roman" w:hAnsi="Times New Roman"/>
        </w:rPr>
        <w:t>项目经理</w:t>
      </w:r>
      <w:r>
        <w:rPr>
          <w:rFonts w:ascii="Times New Roman" w:hAnsi="Times New Roman"/>
        </w:rPr>
        <w:t>1人，产品经理1人，技术工程师不少于1人）；供应商的相关服务人员需具备相应的服务能力，需提供相关证明（最近</w:t>
      </w:r>
      <w:r>
        <w:rPr>
          <w:rFonts w:hint="eastAsia" w:ascii="Times New Roman" w:hAnsi="Times New Roman"/>
        </w:rPr>
        <w:t>半年</w:t>
      </w:r>
      <w:r>
        <w:rPr>
          <w:rFonts w:ascii="Times New Roman" w:hAnsi="Times New Roman"/>
        </w:rPr>
        <w:t>依法缴纳社保费的证明）。</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3336"/>
        <w:gridCol w:w="1180"/>
        <w:gridCol w:w="1662"/>
      </w:tblGrid>
      <w:tr w14:paraId="311C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B288E47">
            <w:pPr>
              <w:widowControl/>
              <w:spacing w:line="240" w:lineRule="auto"/>
              <w:ind w:firstLine="0" w:firstLineChars="0"/>
              <w:jc w:val="center"/>
              <w:rPr>
                <w:rFonts w:ascii="仿宋" w:hAnsi="仿宋" w:eastAsia="仿宋"/>
                <w:b/>
              </w:rPr>
            </w:pPr>
            <w:r>
              <w:rPr>
                <w:rFonts w:hint="eastAsia" w:ascii="仿宋" w:hAnsi="仿宋" w:eastAsia="仿宋"/>
                <w:b/>
              </w:rPr>
              <w:t>角色</w:t>
            </w:r>
          </w:p>
        </w:tc>
        <w:tc>
          <w:tcPr>
            <w:tcW w:w="0" w:type="auto"/>
            <w:shd w:val="clear" w:color="auto" w:fill="auto"/>
            <w:noWrap/>
            <w:vAlign w:val="center"/>
          </w:tcPr>
          <w:p w14:paraId="1EDC9FB6">
            <w:pPr>
              <w:widowControl/>
              <w:spacing w:line="240" w:lineRule="auto"/>
              <w:ind w:firstLine="0" w:firstLineChars="0"/>
              <w:jc w:val="center"/>
              <w:rPr>
                <w:rFonts w:ascii="仿宋" w:hAnsi="仿宋" w:eastAsia="仿宋"/>
                <w:b/>
              </w:rPr>
            </w:pPr>
            <w:r>
              <w:rPr>
                <w:rFonts w:hint="eastAsia" w:ascii="仿宋" w:hAnsi="仿宋" w:eastAsia="仿宋"/>
                <w:b/>
              </w:rPr>
              <w:t>主要职责</w:t>
            </w:r>
          </w:p>
        </w:tc>
        <w:tc>
          <w:tcPr>
            <w:tcW w:w="0" w:type="auto"/>
            <w:shd w:val="clear" w:color="auto" w:fill="auto"/>
            <w:noWrap/>
            <w:vAlign w:val="center"/>
          </w:tcPr>
          <w:p w14:paraId="6DE6B6C5">
            <w:pPr>
              <w:widowControl/>
              <w:spacing w:line="240" w:lineRule="auto"/>
              <w:ind w:firstLine="0" w:firstLineChars="0"/>
              <w:jc w:val="center"/>
              <w:rPr>
                <w:rFonts w:ascii="仿宋" w:hAnsi="仿宋" w:eastAsia="仿宋"/>
                <w:b/>
              </w:rPr>
            </w:pPr>
            <w:r>
              <w:rPr>
                <w:rFonts w:hint="eastAsia" w:ascii="仿宋" w:hAnsi="仿宋" w:eastAsia="仿宋"/>
                <w:b/>
              </w:rPr>
              <w:t>人员数量</w:t>
            </w:r>
          </w:p>
        </w:tc>
        <w:tc>
          <w:tcPr>
            <w:tcW w:w="0" w:type="auto"/>
            <w:shd w:val="clear" w:color="auto" w:fill="auto"/>
            <w:noWrap/>
            <w:vAlign w:val="center"/>
          </w:tcPr>
          <w:p w14:paraId="33D16001">
            <w:pPr>
              <w:widowControl/>
              <w:spacing w:line="240" w:lineRule="auto"/>
              <w:ind w:firstLine="0" w:firstLineChars="0"/>
              <w:jc w:val="center"/>
              <w:rPr>
                <w:rFonts w:ascii="仿宋" w:hAnsi="仿宋" w:eastAsia="仿宋"/>
                <w:b/>
              </w:rPr>
            </w:pPr>
            <w:r>
              <w:rPr>
                <w:rFonts w:hint="eastAsia" w:ascii="仿宋" w:hAnsi="仿宋" w:eastAsia="仿宋"/>
                <w:b/>
                <w:lang w:eastAsia="zh-CN"/>
              </w:rPr>
              <w:t>是否要求驻场</w:t>
            </w:r>
          </w:p>
        </w:tc>
      </w:tr>
      <w:tr w14:paraId="2ECC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C510333">
            <w:pPr>
              <w:widowControl/>
              <w:spacing w:line="240" w:lineRule="auto"/>
              <w:ind w:firstLine="0" w:firstLineChars="0"/>
              <w:jc w:val="center"/>
              <w:rPr>
                <w:rFonts w:ascii="仿宋" w:hAnsi="仿宋" w:eastAsia="仿宋"/>
              </w:rPr>
            </w:pPr>
            <w:r>
              <w:rPr>
                <w:rFonts w:hint="eastAsia" w:ascii="仿宋" w:hAnsi="仿宋" w:eastAsia="仿宋"/>
              </w:rPr>
              <w:t>项目</w:t>
            </w:r>
            <w:r>
              <w:rPr>
                <w:rFonts w:hint="eastAsia" w:ascii="仿宋" w:hAnsi="仿宋" w:eastAsia="仿宋"/>
                <w:lang w:val="en-US" w:eastAsia="zh-CN"/>
              </w:rPr>
              <w:t>经理</w:t>
            </w:r>
          </w:p>
        </w:tc>
        <w:tc>
          <w:tcPr>
            <w:tcW w:w="0" w:type="auto"/>
            <w:shd w:val="clear" w:color="auto" w:fill="auto"/>
            <w:vAlign w:val="center"/>
          </w:tcPr>
          <w:p w14:paraId="23D1EEB9">
            <w:pPr>
              <w:widowControl/>
              <w:spacing w:line="240" w:lineRule="auto"/>
              <w:ind w:firstLine="0" w:firstLineChars="0"/>
              <w:jc w:val="center"/>
              <w:rPr>
                <w:rFonts w:ascii="仿宋" w:hAnsi="仿宋" w:eastAsia="仿宋"/>
              </w:rPr>
            </w:pPr>
            <w:r>
              <w:rPr>
                <w:rFonts w:hint="eastAsia" w:ascii="仿宋" w:hAnsi="仿宋" w:eastAsia="仿宋"/>
              </w:rPr>
              <w:t>负责项目质量和进度控制</w:t>
            </w:r>
          </w:p>
        </w:tc>
        <w:tc>
          <w:tcPr>
            <w:tcW w:w="0" w:type="auto"/>
            <w:shd w:val="clear" w:color="auto" w:fill="auto"/>
            <w:noWrap/>
            <w:vAlign w:val="center"/>
          </w:tcPr>
          <w:p w14:paraId="3EC78D8C">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0" w:type="auto"/>
            <w:shd w:val="clear" w:color="auto" w:fill="auto"/>
            <w:noWrap/>
            <w:vAlign w:val="center"/>
          </w:tcPr>
          <w:p w14:paraId="0CB2FD48">
            <w:pPr>
              <w:widowControl/>
              <w:spacing w:line="240" w:lineRule="auto"/>
              <w:ind w:firstLine="0" w:firstLineChars="0"/>
              <w:jc w:val="center"/>
              <w:rPr>
                <w:rFonts w:hint="eastAsia" w:ascii="仿宋" w:hAnsi="仿宋" w:eastAsia="宋体"/>
                <w:b/>
                <w:bCs/>
                <w:lang w:eastAsia="zh-CN"/>
              </w:rPr>
            </w:pPr>
            <w:r>
              <w:rPr>
                <w:rFonts w:hint="eastAsia"/>
                <w:bCs/>
                <w:lang w:eastAsia="zh-CN"/>
              </w:rPr>
              <w:t>是</w:t>
            </w:r>
          </w:p>
        </w:tc>
      </w:tr>
      <w:tr w14:paraId="1876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7816A71">
            <w:pPr>
              <w:widowControl/>
              <w:spacing w:line="240" w:lineRule="auto"/>
              <w:ind w:firstLine="0" w:firstLineChars="0"/>
              <w:jc w:val="center"/>
              <w:rPr>
                <w:rFonts w:ascii="仿宋" w:hAnsi="仿宋" w:eastAsia="仿宋"/>
              </w:rPr>
            </w:pPr>
            <w:r>
              <w:rPr>
                <w:rFonts w:hint="eastAsia" w:ascii="仿宋" w:hAnsi="仿宋" w:eastAsia="仿宋"/>
              </w:rPr>
              <w:t>产品经理</w:t>
            </w:r>
          </w:p>
        </w:tc>
        <w:tc>
          <w:tcPr>
            <w:tcW w:w="0" w:type="auto"/>
            <w:shd w:val="clear" w:color="auto" w:fill="auto"/>
            <w:vAlign w:val="center"/>
          </w:tcPr>
          <w:p w14:paraId="0037F67B">
            <w:pPr>
              <w:widowControl/>
              <w:spacing w:line="240" w:lineRule="auto"/>
              <w:ind w:firstLine="0" w:firstLineChars="0"/>
              <w:jc w:val="center"/>
              <w:rPr>
                <w:rFonts w:ascii="仿宋" w:hAnsi="仿宋" w:eastAsia="仿宋"/>
              </w:rPr>
            </w:pPr>
            <w:r>
              <w:rPr>
                <w:rFonts w:hint="eastAsia" w:ascii="仿宋" w:hAnsi="仿宋" w:eastAsia="仿宋"/>
              </w:rPr>
              <w:t>负责项目需求评估与产品设计</w:t>
            </w:r>
          </w:p>
        </w:tc>
        <w:tc>
          <w:tcPr>
            <w:tcW w:w="0" w:type="auto"/>
            <w:shd w:val="clear" w:color="auto" w:fill="auto"/>
            <w:noWrap/>
            <w:vAlign w:val="center"/>
          </w:tcPr>
          <w:p w14:paraId="65E22AB5">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0" w:type="auto"/>
            <w:shd w:val="clear" w:color="auto" w:fill="auto"/>
            <w:noWrap/>
            <w:vAlign w:val="center"/>
          </w:tcPr>
          <w:p w14:paraId="53A4D0EF">
            <w:pPr>
              <w:widowControl/>
              <w:spacing w:line="240" w:lineRule="auto"/>
              <w:ind w:firstLine="0" w:firstLineChars="0"/>
              <w:jc w:val="center"/>
              <w:rPr>
                <w:rFonts w:hint="eastAsia" w:ascii="仿宋" w:hAnsi="仿宋" w:eastAsia="宋体"/>
                <w:b/>
                <w:bCs/>
                <w:lang w:eastAsia="zh-CN"/>
              </w:rPr>
            </w:pPr>
            <w:r>
              <w:rPr>
                <w:rFonts w:hint="eastAsia"/>
                <w:bCs/>
                <w:lang w:eastAsia="zh-CN"/>
              </w:rPr>
              <w:t>是</w:t>
            </w:r>
          </w:p>
        </w:tc>
      </w:tr>
      <w:tr w14:paraId="5743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1CB1BBE">
            <w:pPr>
              <w:widowControl/>
              <w:spacing w:line="240" w:lineRule="auto"/>
              <w:ind w:firstLine="0" w:firstLineChars="0"/>
              <w:jc w:val="center"/>
              <w:rPr>
                <w:rFonts w:ascii="仿宋" w:hAnsi="仿宋" w:eastAsia="仿宋"/>
              </w:rPr>
            </w:pPr>
            <w:r>
              <w:rPr>
                <w:rFonts w:hint="eastAsia" w:ascii="仿宋" w:hAnsi="仿宋" w:eastAsia="仿宋"/>
              </w:rPr>
              <w:t>技术工程师</w:t>
            </w:r>
          </w:p>
        </w:tc>
        <w:tc>
          <w:tcPr>
            <w:tcW w:w="0" w:type="auto"/>
            <w:shd w:val="clear" w:color="auto" w:fill="auto"/>
            <w:noWrap/>
            <w:vAlign w:val="center"/>
          </w:tcPr>
          <w:p w14:paraId="5FE4F841">
            <w:pPr>
              <w:widowControl/>
              <w:spacing w:line="240" w:lineRule="auto"/>
              <w:ind w:firstLine="0" w:firstLineChars="0"/>
              <w:jc w:val="center"/>
              <w:rPr>
                <w:rFonts w:ascii="仿宋" w:hAnsi="仿宋" w:eastAsia="仿宋"/>
              </w:rPr>
            </w:pPr>
            <w:r>
              <w:rPr>
                <w:rFonts w:hint="eastAsia" w:ascii="仿宋" w:hAnsi="仿宋" w:eastAsia="仿宋"/>
              </w:rPr>
              <w:t>负责项目运行维护</w:t>
            </w:r>
          </w:p>
        </w:tc>
        <w:tc>
          <w:tcPr>
            <w:tcW w:w="0" w:type="auto"/>
            <w:shd w:val="clear" w:color="auto" w:fill="auto"/>
            <w:noWrap/>
            <w:vAlign w:val="center"/>
          </w:tcPr>
          <w:p w14:paraId="7A998933">
            <w:pPr>
              <w:widowControl/>
              <w:spacing w:line="240" w:lineRule="auto"/>
              <w:ind w:firstLine="0" w:firstLineChars="0"/>
              <w:jc w:val="center"/>
              <w:rPr>
                <w:rFonts w:ascii="仿宋" w:hAnsi="仿宋" w:eastAsia="仿宋"/>
              </w:rPr>
            </w:pPr>
            <w:r>
              <w:rPr>
                <w:rFonts w:ascii="仿宋" w:hAnsi="仿宋" w:eastAsia="仿宋"/>
              </w:rPr>
              <w:t>1</w:t>
            </w:r>
            <w:r>
              <w:rPr>
                <w:rFonts w:hint="eastAsia" w:ascii="仿宋" w:hAnsi="仿宋" w:eastAsia="仿宋"/>
              </w:rPr>
              <w:t>人</w:t>
            </w:r>
          </w:p>
        </w:tc>
        <w:tc>
          <w:tcPr>
            <w:tcW w:w="0" w:type="auto"/>
            <w:shd w:val="clear" w:color="auto" w:fill="auto"/>
            <w:noWrap/>
            <w:vAlign w:val="center"/>
          </w:tcPr>
          <w:p w14:paraId="38B2B7B6">
            <w:pPr>
              <w:widowControl/>
              <w:spacing w:line="240" w:lineRule="auto"/>
              <w:ind w:firstLine="0" w:firstLineChars="0"/>
              <w:jc w:val="center"/>
              <w:rPr>
                <w:rFonts w:hint="eastAsia" w:ascii="仿宋" w:hAnsi="仿宋" w:eastAsia="宋体"/>
                <w:b/>
                <w:bCs/>
                <w:lang w:eastAsia="zh-CN"/>
              </w:rPr>
            </w:pPr>
            <w:r>
              <w:rPr>
                <w:rFonts w:hint="eastAsia"/>
                <w:bCs/>
                <w:lang w:eastAsia="zh-CN"/>
              </w:rPr>
              <w:t>是</w:t>
            </w:r>
          </w:p>
        </w:tc>
      </w:tr>
    </w:tbl>
    <w:p w14:paraId="2328D95F">
      <w:pPr>
        <w:pStyle w:val="3"/>
        <w:numPr>
          <w:ilvl w:val="0"/>
          <w:numId w:val="0"/>
        </w:numPr>
        <w:spacing w:before="60" w:after="60"/>
        <w:rPr>
          <w:rFonts w:hint="eastAsia"/>
          <w:lang w:val="en-US" w:eastAsia="zh-CN"/>
        </w:rPr>
      </w:pPr>
      <w:bookmarkStart w:id="51" w:name="_Toc15974"/>
      <w:r>
        <w:rPr>
          <w:rFonts w:hint="eastAsia"/>
          <w:lang w:val="en-US" w:eastAsia="zh-CN"/>
        </w:rPr>
        <w:t>4.6企业综合实力要求</w:t>
      </w:r>
    </w:p>
    <w:p w14:paraId="436A0BDE">
      <w:pPr>
        <w:numPr>
          <w:ilvl w:val="0"/>
          <w:numId w:val="3"/>
        </w:numPr>
        <w:rPr>
          <w:rFonts w:hint="default"/>
          <w:lang w:val="en-US" w:eastAsia="zh-CN"/>
        </w:rPr>
      </w:pPr>
      <w:r>
        <w:rPr>
          <w:rFonts w:hint="default"/>
          <w:lang w:val="en-US" w:eastAsia="zh-CN"/>
        </w:rPr>
        <w:t>供应商拥有应急管理、城市治理相关的计算机软件著作权登记证书</w:t>
      </w:r>
      <w:r>
        <w:rPr>
          <w:rFonts w:hint="eastAsia"/>
          <w:lang w:val="en-US" w:eastAsia="zh-CN"/>
        </w:rPr>
        <w:t>的优先考虑</w:t>
      </w:r>
    </w:p>
    <w:p w14:paraId="51CDAA1E">
      <w:pPr>
        <w:numPr>
          <w:ilvl w:val="0"/>
          <w:numId w:val="3"/>
        </w:numPr>
        <w:rPr>
          <w:rFonts w:hint="default"/>
          <w:lang w:val="en-US" w:eastAsia="zh-CN"/>
        </w:rPr>
      </w:pPr>
      <w:r>
        <w:rPr>
          <w:rFonts w:hint="eastAsia"/>
          <w:lang w:val="en-US" w:eastAsia="zh-CN"/>
        </w:rPr>
        <w:t>供应商</w:t>
      </w:r>
      <w:r>
        <w:rPr>
          <w:rFonts w:hint="default"/>
          <w:lang w:val="en-US" w:eastAsia="zh-CN"/>
        </w:rPr>
        <w:t>拥有“软件企业证书”</w:t>
      </w:r>
      <w:r>
        <w:rPr>
          <w:rFonts w:hint="eastAsia"/>
          <w:lang w:val="en-US" w:eastAsia="zh-CN"/>
        </w:rPr>
        <w:t>的优先考虑</w:t>
      </w:r>
    </w:p>
    <w:p w14:paraId="4A354B82">
      <w:pPr>
        <w:numPr>
          <w:ilvl w:val="0"/>
          <w:numId w:val="3"/>
        </w:numPr>
        <w:rPr>
          <w:rFonts w:hint="default"/>
          <w:lang w:val="en-US" w:eastAsia="zh-CN"/>
        </w:rPr>
      </w:pPr>
      <w:r>
        <w:rPr>
          <w:rFonts w:hint="eastAsia"/>
          <w:lang w:val="en-US" w:eastAsia="zh-CN"/>
        </w:rPr>
        <w:t>供应商</w:t>
      </w:r>
      <w:r>
        <w:rPr>
          <w:rFonts w:hint="default"/>
          <w:lang w:val="en-US" w:eastAsia="zh-CN"/>
        </w:rPr>
        <w:t>有ISO27001信息安全管理体系认证的</w:t>
      </w:r>
      <w:r>
        <w:rPr>
          <w:rFonts w:hint="eastAsia"/>
          <w:lang w:val="en-US" w:eastAsia="zh-CN"/>
        </w:rPr>
        <w:t>优先考虑</w:t>
      </w:r>
    </w:p>
    <w:p w14:paraId="05B7032E">
      <w:pPr>
        <w:pStyle w:val="3"/>
        <w:numPr>
          <w:ilvl w:val="0"/>
          <w:numId w:val="0"/>
        </w:numPr>
        <w:spacing w:before="60" w:after="60"/>
      </w:pPr>
      <w:r>
        <w:rPr>
          <w:rFonts w:hint="eastAsia"/>
        </w:rPr>
        <w:t>4</w:t>
      </w:r>
      <w:r>
        <w:t>.</w:t>
      </w:r>
      <w:r>
        <w:rPr>
          <w:rFonts w:hint="eastAsia"/>
          <w:lang w:val="en-US" w:eastAsia="zh-CN"/>
        </w:rPr>
        <w:t>7</w:t>
      </w:r>
      <w:r>
        <w:rPr>
          <w:rFonts w:hint="eastAsia"/>
        </w:rPr>
        <w:t>第三方测评要求</w:t>
      </w:r>
      <w:bookmarkEnd w:id="50"/>
      <w:bookmarkEnd w:id="51"/>
    </w:p>
    <w:p w14:paraId="7442A205">
      <w:r>
        <w:rPr>
          <w:rFonts w:hint="eastAsia"/>
        </w:rPr>
        <w:t>本项目要求通过第三方软测、安测、密测，相关测评费用由采购人承担。</w:t>
      </w:r>
    </w:p>
    <w:p w14:paraId="56DCCBBF">
      <w:pPr>
        <w:pStyle w:val="3"/>
        <w:numPr>
          <w:ilvl w:val="0"/>
          <w:numId w:val="0"/>
        </w:numPr>
        <w:spacing w:before="60" w:after="60"/>
      </w:pPr>
      <w:bookmarkStart w:id="52" w:name="_Toc25791"/>
      <w:bookmarkStart w:id="53" w:name="_Toc63785512"/>
      <w:r>
        <w:rPr>
          <w:rFonts w:hint="eastAsia"/>
        </w:rPr>
        <w:t>4</w:t>
      </w:r>
      <w:r>
        <w:t>.</w:t>
      </w:r>
      <w:r>
        <w:rPr>
          <w:rFonts w:hint="eastAsia"/>
          <w:lang w:val="en-US" w:eastAsia="zh-CN"/>
        </w:rPr>
        <w:t>8</w:t>
      </w:r>
      <w:r>
        <w:rPr>
          <w:rFonts w:hint="eastAsia"/>
        </w:rPr>
        <w:t>技术文件要求</w:t>
      </w:r>
      <w:bookmarkEnd w:id="52"/>
    </w:p>
    <w:p w14:paraId="19997F39">
      <w:pPr>
        <w:rPr>
          <w:rFonts w:ascii="Times New Roman" w:hAnsi="Times New Roman"/>
        </w:rPr>
      </w:pPr>
      <w:r>
        <w:rPr>
          <w:rFonts w:ascii="Times New Roman" w:hAnsi="Times New Roman"/>
        </w:rPr>
        <w:t>供应商提供的书面技术资料应能确保系统正常运行所需的管理、运营及维护有关的全套文件。技术文件应该全面、完整、详细。供应商提供的技术文件至少应包括：</w:t>
      </w:r>
    </w:p>
    <w:p w14:paraId="5E907F6A">
      <w:pPr>
        <w:rPr>
          <w:rFonts w:ascii="Times New Roman" w:hAnsi="Times New Roman"/>
        </w:rPr>
      </w:pPr>
      <w:r>
        <w:rPr>
          <w:rFonts w:ascii="Times New Roman" w:hAnsi="Times New Roman"/>
        </w:rPr>
        <w:t>－ 系统说明文件；</w:t>
      </w:r>
    </w:p>
    <w:p w14:paraId="1133C109">
      <w:pPr>
        <w:rPr>
          <w:rFonts w:ascii="Times New Roman" w:hAnsi="Times New Roman"/>
        </w:rPr>
      </w:pPr>
      <w:r>
        <w:rPr>
          <w:rFonts w:ascii="Times New Roman" w:hAnsi="Times New Roman"/>
        </w:rPr>
        <w:t>－ 技术手册</w:t>
      </w:r>
      <w:r>
        <w:rPr>
          <w:rFonts w:hint="eastAsia" w:ascii="Times New Roman" w:hAnsi="Times New Roman"/>
        </w:rPr>
        <w:t>（</w:t>
      </w:r>
      <w:r>
        <w:rPr>
          <w:rFonts w:ascii="Times New Roman" w:hAnsi="Times New Roman"/>
        </w:rPr>
        <w:t>安装、测试、操作、维护、故障排除等</w:t>
      </w:r>
      <w:r>
        <w:rPr>
          <w:rFonts w:hint="eastAsia" w:ascii="Times New Roman" w:hAnsi="Times New Roman"/>
        </w:rPr>
        <w:t>）</w:t>
      </w:r>
      <w:r>
        <w:rPr>
          <w:rFonts w:ascii="Times New Roman" w:hAnsi="Times New Roman"/>
        </w:rPr>
        <w:t>；</w:t>
      </w:r>
    </w:p>
    <w:p w14:paraId="3ABE1A9B">
      <w:pPr>
        <w:rPr>
          <w:rFonts w:ascii="Times New Roman" w:hAnsi="Times New Roman"/>
        </w:rPr>
      </w:pPr>
      <w:r>
        <w:rPr>
          <w:rFonts w:ascii="Times New Roman" w:hAnsi="Times New Roman"/>
        </w:rPr>
        <w:t>－ 项目文档，应该包括：</w:t>
      </w:r>
    </w:p>
    <w:p w14:paraId="0E54DA83">
      <w:pPr>
        <w:ind w:left="360"/>
        <w:rPr>
          <w:rFonts w:hint="eastAsia" w:ascii="Times New Roman" w:hAnsi="Times New Roman"/>
        </w:rPr>
      </w:pPr>
      <w:r>
        <w:rPr>
          <w:rFonts w:hint="eastAsia" w:ascii="Times New Roman" w:hAnsi="Times New Roman"/>
        </w:rPr>
        <w:t>（1）</w:t>
      </w:r>
      <w:r>
        <w:rPr>
          <w:rFonts w:hint="eastAsia" w:ascii="Times New Roman" w:hAnsi="Times New Roman"/>
          <w:lang w:val="en-US" w:eastAsia="zh-CN"/>
        </w:rPr>
        <w:t>项目</w:t>
      </w:r>
      <w:r>
        <w:rPr>
          <w:rFonts w:hint="eastAsia" w:ascii="Times New Roman" w:hAnsi="Times New Roman"/>
        </w:rPr>
        <w:t>实施方案</w:t>
      </w:r>
    </w:p>
    <w:p w14:paraId="53639492">
      <w:pPr>
        <w:ind w:left="360"/>
        <w:rPr>
          <w:rFonts w:ascii="Times New Roman" w:hAnsi="Times New Roman"/>
        </w:rPr>
      </w:pPr>
      <w:r>
        <w:rPr>
          <w:rFonts w:hint="eastAsia" w:ascii="Times New Roman" w:hAnsi="Times New Roman"/>
          <w:lang w:eastAsia="zh-CN"/>
        </w:rPr>
        <w:t>（</w:t>
      </w:r>
      <w:r>
        <w:rPr>
          <w:rFonts w:hint="eastAsia" w:ascii="Times New Roman" w:hAnsi="Times New Roman"/>
          <w:lang w:val="en-US" w:eastAsia="zh-CN"/>
        </w:rPr>
        <w:t>2</w:t>
      </w:r>
      <w:r>
        <w:rPr>
          <w:rFonts w:hint="eastAsia" w:ascii="Times New Roman" w:hAnsi="Times New Roman"/>
          <w:lang w:eastAsia="zh-CN"/>
        </w:rPr>
        <w:t>）</w:t>
      </w:r>
      <w:r>
        <w:rPr>
          <w:rFonts w:hint="eastAsia" w:ascii="Times New Roman" w:hAnsi="Times New Roman"/>
        </w:rPr>
        <w:t>需求规格说明书</w:t>
      </w:r>
    </w:p>
    <w:p w14:paraId="7A715987">
      <w:pPr>
        <w:ind w:left="360"/>
        <w:rPr>
          <w:rFonts w:hint="eastAsia" w:ascii="Times New Roman" w:hAnsi="Times New Roman"/>
        </w:rPr>
      </w:pPr>
      <w:r>
        <w:rPr>
          <w:rFonts w:hint="eastAsia" w:ascii="Times New Roman" w:hAnsi="Times New Roman"/>
        </w:rPr>
        <w:t>（</w:t>
      </w:r>
      <w:r>
        <w:rPr>
          <w:rFonts w:hint="eastAsia" w:ascii="Times New Roman" w:hAnsi="Times New Roman"/>
          <w:lang w:val="en-US" w:eastAsia="zh-CN"/>
        </w:rPr>
        <w:t>3</w:t>
      </w:r>
      <w:r>
        <w:rPr>
          <w:rFonts w:hint="eastAsia" w:ascii="Times New Roman" w:hAnsi="Times New Roman"/>
        </w:rPr>
        <w:t>）系统总体设计说明书</w:t>
      </w:r>
    </w:p>
    <w:p w14:paraId="62B84BF1">
      <w:pPr>
        <w:ind w:left="360"/>
        <w:rPr>
          <w:rFonts w:hint="eastAsia" w:ascii="Times New Roman" w:hAnsi="Times New Roman"/>
        </w:rPr>
      </w:pPr>
      <w:r>
        <w:rPr>
          <w:rFonts w:hint="eastAsia" w:ascii="Times New Roman" w:hAnsi="Times New Roman"/>
        </w:rPr>
        <w:t>（</w:t>
      </w:r>
      <w:r>
        <w:rPr>
          <w:rFonts w:hint="eastAsia" w:ascii="Times New Roman" w:hAnsi="Times New Roman"/>
          <w:lang w:val="en-US" w:eastAsia="zh-CN"/>
        </w:rPr>
        <w:t>4</w:t>
      </w:r>
      <w:r>
        <w:rPr>
          <w:rFonts w:hint="eastAsia" w:ascii="Times New Roman" w:hAnsi="Times New Roman"/>
        </w:rPr>
        <w:t>）自测报告</w:t>
      </w:r>
    </w:p>
    <w:p w14:paraId="42C0BAF8">
      <w:pPr>
        <w:ind w:left="360"/>
        <w:rPr>
          <w:rFonts w:hint="eastAsia" w:ascii="Times New Roman" w:hAnsi="Times New Roman"/>
        </w:rPr>
      </w:pPr>
      <w:r>
        <w:rPr>
          <w:rFonts w:hint="eastAsia" w:ascii="Times New Roman" w:hAnsi="Times New Roman"/>
        </w:rPr>
        <w:t>（</w:t>
      </w:r>
      <w:r>
        <w:rPr>
          <w:rFonts w:hint="eastAsia" w:ascii="Times New Roman" w:hAnsi="Times New Roman"/>
          <w:lang w:val="en-US" w:eastAsia="zh-CN"/>
        </w:rPr>
        <w:t>5</w:t>
      </w:r>
      <w:r>
        <w:rPr>
          <w:rFonts w:hint="eastAsia" w:ascii="Times New Roman" w:hAnsi="Times New Roman"/>
        </w:rPr>
        <w:t>）用户操作手册</w:t>
      </w:r>
    </w:p>
    <w:p w14:paraId="14C01697">
      <w:pPr>
        <w:ind w:left="360"/>
        <w:rPr>
          <w:rFonts w:hint="eastAsia" w:ascii="Times New Roman" w:hAnsi="Times New Roman"/>
        </w:rPr>
      </w:pPr>
      <w:r>
        <w:rPr>
          <w:rFonts w:hint="eastAsia" w:ascii="Times New Roman" w:hAnsi="Times New Roman"/>
        </w:rPr>
        <w:t>（</w:t>
      </w:r>
      <w:r>
        <w:rPr>
          <w:rFonts w:hint="eastAsia" w:ascii="Times New Roman" w:hAnsi="Times New Roman"/>
          <w:lang w:val="en-US" w:eastAsia="zh-CN"/>
        </w:rPr>
        <w:t>6</w:t>
      </w:r>
      <w:r>
        <w:rPr>
          <w:rFonts w:hint="eastAsia" w:ascii="Times New Roman" w:hAnsi="Times New Roman"/>
        </w:rPr>
        <w:t>）项目试运行报告</w:t>
      </w:r>
    </w:p>
    <w:p w14:paraId="165EABF3">
      <w:pPr>
        <w:ind w:left="360"/>
        <w:rPr>
          <w:rFonts w:ascii="Times New Roman" w:hAnsi="Times New Roman"/>
        </w:rPr>
      </w:pPr>
      <w:r>
        <w:rPr>
          <w:rFonts w:hint="eastAsia" w:ascii="Times New Roman" w:hAnsi="Times New Roman"/>
        </w:rPr>
        <w:t>（</w:t>
      </w:r>
      <w:r>
        <w:rPr>
          <w:rFonts w:hint="eastAsia" w:ascii="Times New Roman" w:hAnsi="Times New Roman"/>
          <w:lang w:val="en-US" w:eastAsia="zh-CN"/>
        </w:rPr>
        <w:t>7</w:t>
      </w:r>
      <w:r>
        <w:rPr>
          <w:rFonts w:hint="eastAsia" w:ascii="Times New Roman" w:hAnsi="Times New Roman"/>
        </w:rPr>
        <w:t>）</w:t>
      </w:r>
      <w:r>
        <w:rPr>
          <w:rFonts w:ascii="Times New Roman" w:hAnsi="Times New Roman"/>
        </w:rPr>
        <w:t>应用软件功能清单</w:t>
      </w:r>
    </w:p>
    <w:p w14:paraId="28F3CFB4">
      <w:pPr>
        <w:rPr>
          <w:rFonts w:ascii="Times New Roman" w:hAnsi="Times New Roman"/>
        </w:rPr>
      </w:pPr>
      <w:r>
        <w:rPr>
          <w:rFonts w:ascii="Times New Roman" w:hAnsi="Times New Roman"/>
        </w:rPr>
        <w:t>提供全套技术文件纸介质3套以及电子文件1套。</w:t>
      </w:r>
    </w:p>
    <w:p w14:paraId="103C9AA9">
      <w:pPr>
        <w:pStyle w:val="2"/>
        <w:ind w:left="0"/>
      </w:pPr>
      <w:bookmarkStart w:id="54" w:name="_Toc13316"/>
      <w:r>
        <w:rPr>
          <w:rFonts w:hint="eastAsia"/>
        </w:rPr>
        <w:t>供应商管理要求</w:t>
      </w:r>
      <w:bookmarkEnd w:id="53"/>
      <w:bookmarkEnd w:id="54"/>
    </w:p>
    <w:p w14:paraId="28D60538">
      <w:pPr>
        <w:pStyle w:val="27"/>
        <w:ind w:firstLine="480"/>
        <w:rPr>
          <w:rFonts w:ascii="Times New Roman" w:hAnsi="Times New Roman" w:eastAsia="宋体" w:cs="Times New Roman"/>
          <w:sz w:val="24"/>
          <w:szCs w:val="24"/>
        </w:rPr>
      </w:pPr>
      <w:r>
        <w:rPr>
          <w:rFonts w:ascii="Times New Roman" w:hAnsi="Times New Roman" w:eastAsia="宋体" w:cs="Times New Roman"/>
          <w:sz w:val="24"/>
          <w:szCs w:val="24"/>
        </w:rPr>
        <w:t>1、在项目实施期间，成交供应商应严格执行国家、地方、行业有关本项目业务管理和安全作业的法律、法规和制度并按规定承担相应的费用。成交供应商因违反规定等原因造成的一切损失和责任由成交供应商自行承担。</w:t>
      </w:r>
    </w:p>
    <w:p w14:paraId="271A7887">
      <w:pPr>
        <w:pStyle w:val="27"/>
        <w:ind w:firstLine="480"/>
        <w:rPr>
          <w:rFonts w:ascii="Times New Roman" w:hAnsi="Times New Roman" w:eastAsia="宋体" w:cs="Times New Roman"/>
          <w:sz w:val="24"/>
          <w:szCs w:val="24"/>
        </w:rPr>
      </w:pPr>
      <w:r>
        <w:rPr>
          <w:rFonts w:ascii="Times New Roman" w:hAnsi="Times New Roman" w:eastAsia="宋体" w:cs="Times New Roman"/>
          <w:sz w:val="24"/>
          <w:szCs w:val="24"/>
        </w:rPr>
        <w:t>2、成交供应商在响应文件中承诺并经采购人认定的项目</w:t>
      </w:r>
      <w:r>
        <w:rPr>
          <w:rFonts w:hint="eastAsia" w:ascii="Times New Roman" w:hAnsi="Times New Roman" w:eastAsia="宋体" w:cs="Times New Roman"/>
          <w:sz w:val="24"/>
          <w:szCs w:val="24"/>
          <w:lang w:val="en-US" w:eastAsia="zh-CN"/>
        </w:rPr>
        <w:t>经理</w:t>
      </w:r>
      <w:bookmarkStart w:id="62" w:name="_GoBack"/>
      <w:bookmarkEnd w:id="62"/>
      <w:r>
        <w:rPr>
          <w:rFonts w:ascii="Times New Roman" w:hAnsi="Times New Roman" w:eastAsia="宋体" w:cs="Times New Roman"/>
          <w:sz w:val="24"/>
          <w:szCs w:val="24"/>
        </w:rPr>
        <w:t>及专业技术人员必须是本单位职工（在本单位缴纳社会保障金）和该项目实施现场的实际操作者，应具有类似本项目的实施经验，并应在软件应用调研、安装、试运行等期间常驻项目现场。未经采购人同意，成交供应商不得调换或撤离上述人员。如采购人认为有必要，可要求成交供应商对上述人员中的部分人员作出更好的调整。</w:t>
      </w:r>
    </w:p>
    <w:p w14:paraId="329583E4">
      <w:pPr>
        <w:pStyle w:val="27"/>
        <w:ind w:firstLine="480"/>
        <w:rPr>
          <w:rFonts w:ascii="Times New Roman" w:hAnsi="Times New Roman" w:eastAsia="宋体" w:cs="Times New Roman"/>
          <w:sz w:val="24"/>
          <w:szCs w:val="24"/>
        </w:rPr>
      </w:pPr>
      <w:r>
        <w:rPr>
          <w:rFonts w:ascii="Times New Roman" w:hAnsi="Times New Roman" w:eastAsia="宋体" w:cs="Times New Roman"/>
          <w:sz w:val="24"/>
          <w:szCs w:val="24"/>
        </w:rPr>
        <w:t>3、成交供应商在项目实施期间，应按项目实际进度与环节落实所对应项目整体及各环节管理工作，按照规范做好项目实施期间相关管理与实施记录。</w:t>
      </w:r>
    </w:p>
    <w:p w14:paraId="33567960">
      <w:pPr>
        <w:pStyle w:val="27"/>
        <w:ind w:firstLine="480"/>
        <w:rPr>
          <w:rFonts w:ascii="Times New Roman" w:hAnsi="Times New Roman" w:eastAsia="宋体" w:cs="Times New Roman"/>
          <w:sz w:val="24"/>
          <w:szCs w:val="24"/>
        </w:rPr>
      </w:pPr>
      <w:r>
        <w:rPr>
          <w:rFonts w:ascii="Times New Roman" w:hAnsi="Times New Roman" w:eastAsia="宋体" w:cs="Times New Roman"/>
          <w:sz w:val="24"/>
          <w:szCs w:val="24"/>
        </w:rPr>
        <w:t>4、参与本项目的工作人员应严格遵循采购人的安全制度，保障采购人资料和设备的安全。成交供应商如需进入采购人机房工作，只能在采购人规定的工作区域内对项目涉及的设备进行操作，严禁触动与项目无关的任何设备（包括任何操作行为），如需跨区操作必须得到采购人项目联系人确认。</w:t>
      </w:r>
    </w:p>
    <w:p w14:paraId="07669E47">
      <w:pPr>
        <w:pStyle w:val="27"/>
        <w:ind w:firstLine="480"/>
        <w:rPr>
          <w:rFonts w:ascii="Times New Roman" w:hAnsi="Times New Roman" w:eastAsia="宋体" w:cs="Times New Roman"/>
          <w:sz w:val="24"/>
          <w:szCs w:val="24"/>
        </w:rPr>
      </w:pPr>
      <w:r>
        <w:rPr>
          <w:rFonts w:ascii="Times New Roman" w:hAnsi="Times New Roman" w:eastAsia="宋体" w:cs="Times New Roman"/>
          <w:sz w:val="24"/>
          <w:szCs w:val="24"/>
        </w:rPr>
        <w:t>5、成交供应商在项目实施期间必须遵守采购人的规章制度并提供实施人员名单。</w:t>
      </w:r>
    </w:p>
    <w:p w14:paraId="28D8A99E">
      <w:pPr>
        <w:pStyle w:val="27"/>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6、各供应商在响应文件中要结合本项目的特点和采购人上述的具体要求制定相应的管理措施。</w:t>
      </w:r>
    </w:p>
    <w:p w14:paraId="6C56EED1">
      <w:pPr>
        <w:pStyle w:val="27"/>
        <w:ind w:firstLine="480"/>
        <w:rPr>
          <w:rFonts w:ascii="Times New Roman" w:hAnsi="Times New Roman" w:eastAsia="宋体" w:cs="Times New Roman"/>
          <w:caps/>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、本项目软件开发及调试将纳入采购人的管理范围，成交供应商在此过程中须服从上述单位的管理协调。</w:t>
      </w:r>
    </w:p>
    <w:p w14:paraId="4272400B">
      <w:pPr>
        <w:pStyle w:val="2"/>
        <w:ind w:left="0"/>
      </w:pPr>
      <w:bookmarkStart w:id="55" w:name="_Toc7480"/>
      <w:bookmarkStart w:id="56" w:name="_Toc63785513"/>
      <w:r>
        <w:rPr>
          <w:rFonts w:hint="eastAsia"/>
        </w:rPr>
        <w:t>关于转让和分包的规定</w:t>
      </w:r>
      <w:bookmarkEnd w:id="55"/>
    </w:p>
    <w:p w14:paraId="3AAB4846">
      <w:pPr>
        <w:spacing w:line="560" w:lineRule="exact"/>
        <w:rPr>
          <w:bCs/>
        </w:rPr>
      </w:pPr>
      <w:r>
        <w:rPr>
          <w:rFonts w:hint="eastAsia"/>
          <w:bCs/>
        </w:rPr>
        <w:t>本项目不得转让，不得分包。</w:t>
      </w:r>
    </w:p>
    <w:p w14:paraId="4D72A8A7">
      <w:pPr>
        <w:pStyle w:val="2"/>
        <w:ind w:left="0"/>
      </w:pPr>
      <w:bookmarkStart w:id="57" w:name="_Toc17090"/>
      <w:r>
        <w:rPr>
          <w:rFonts w:hint="eastAsia"/>
        </w:rPr>
        <w:t>知识产权及保密要求</w:t>
      </w:r>
      <w:bookmarkEnd w:id="56"/>
      <w:bookmarkEnd w:id="57"/>
    </w:p>
    <w:p w14:paraId="30BAA658">
      <w:pPr>
        <w:ind w:firstLine="482"/>
        <w:rPr>
          <w:b/>
        </w:rPr>
      </w:pPr>
      <w:r>
        <w:rPr>
          <w:b/>
        </w:rPr>
        <w:t>1、成交供应商数据、文件、资料知识产权</w:t>
      </w:r>
    </w:p>
    <w:p w14:paraId="327C045C">
      <w:r>
        <w:rPr>
          <w:rFonts w:hint="eastAsia"/>
        </w:rPr>
        <w:t>成交供应商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成交供应商应负责与第三方解决纠纷，若因此导致采购人损失的，采购人有权要求成交供应商赔偿采购人因此遭受的全部损失，包括但不限于直接损失、间接损失、诉讼费／仲裁费、律师费、公证费、鉴定费等。</w:t>
      </w:r>
    </w:p>
    <w:p w14:paraId="6A516C8A">
      <w:r>
        <w:rPr>
          <w:rFonts w:hint="eastAsia"/>
        </w:rPr>
        <w:t>成交供应商因履行本项目而产生的所有成果的知识产权等权利均归采购人所有，成交供应商应配合采购人进行相关权利登记或申请。未经采购人书面同意，成交供应商不得以任何形式使用或许可他人使用本项目成果的相关内容，不得擅自对外公开发表或向任何第三方透露。</w:t>
      </w:r>
    </w:p>
    <w:p w14:paraId="11250618">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1F007CA0">
      <w:pPr>
        <w:ind w:firstLine="482"/>
        <w:rPr>
          <w:b/>
        </w:rPr>
      </w:pPr>
      <w:r>
        <w:rPr>
          <w:b/>
        </w:rPr>
        <w:t>2、项目保密要求</w:t>
      </w:r>
    </w:p>
    <w:p w14:paraId="3147224A">
      <w:r>
        <w:rPr>
          <w:rFonts w:hint="eastAsia"/>
        </w:rPr>
        <w:t>成交供应商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成交供应商不得对外泄露采购人要求保密的信息，不得用于其他用途，否则成交供应商需承担由此引起的法律责任和经济责任，包括但不限于直接损失、间接损失、律师费、诉讼费/仲裁费、调查费、公证费等。</w:t>
      </w:r>
    </w:p>
    <w:p w14:paraId="5972705B">
      <w:r>
        <w:rPr>
          <w:rFonts w:hint="eastAsia"/>
        </w:rPr>
        <w:t>成交供应商应采取必要的有效措施保证其参与本项目的人员（包括成交供应商聘用的人员、借调的人员、实习的人员）无论是在职或离职后，以及成交供应商的合作方无论是合作中或合作终止后，都能够履行本项目约定的保密义务。若成交供应商人员或成交供应商合作方违反保密规定，成交供应商应承担连带责任。</w:t>
      </w:r>
    </w:p>
    <w:p w14:paraId="438E90F3">
      <w:r>
        <w:rPr>
          <w:rFonts w:hint="eastAsia"/>
        </w:rPr>
        <w:t>成交供应商（含成交供应商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43CA403B">
      <w:r>
        <w:rPr>
          <w:rFonts w:hint="eastAsia"/>
        </w:rPr>
        <w:t>以上内容的保密期限自成交供应商知悉保密信息起始至保密信息被合法公开之日止。</w:t>
      </w:r>
    </w:p>
    <w:p w14:paraId="460DC7B1">
      <w:pPr>
        <w:ind w:firstLine="482"/>
        <w:rPr>
          <w:b/>
        </w:rPr>
      </w:pPr>
      <w:r>
        <w:rPr>
          <w:b/>
        </w:rPr>
        <w:t>3、临时账号等使用要求</w:t>
      </w:r>
    </w:p>
    <w:p w14:paraId="635657EE">
      <w:r>
        <w:rPr>
          <w:rFonts w:hint="eastAsia"/>
        </w:rPr>
        <w:t>成交供应商对采购人提拱的临时使用账号要保密，不得公开，对组件开发的账号密码需进行加密，避免信息安全的泄露。未经采购人的同意不得利用采购人的网络及平台进行短信、彩信、微信发送</w:t>
      </w:r>
      <w:r>
        <w:t>,造成的一切后果由成交供应商负责。</w:t>
      </w:r>
    </w:p>
    <w:p w14:paraId="72F253CE">
      <w:pPr>
        <w:pStyle w:val="2"/>
        <w:ind w:left="0"/>
      </w:pPr>
      <w:bookmarkStart w:id="58" w:name="_Toc15397"/>
      <w:bookmarkStart w:id="59" w:name="_Toc65170093"/>
      <w:r>
        <w:t>项目的变更、解除和终止</w:t>
      </w:r>
      <w:bookmarkEnd w:id="58"/>
    </w:p>
    <w:p w14:paraId="6913F1FC">
      <w:r>
        <w:rPr>
          <w:rFonts w:hint="eastAsia"/>
        </w:rPr>
        <w:t>如果成交供应商丧失履约能力、发生资不抵债或进入破产程序，采购人可在任何时候以书面形式通知成交供应商终止本项目的执行而不给予成交供应商补偿。该终止本项目将不损害或影响采购人已经采取或将要采取任何行动或补救措施的权利。</w:t>
      </w:r>
    </w:p>
    <w:p w14:paraId="37FBB670">
      <w:r>
        <w:rPr>
          <w:rFonts w:hint="eastAsia"/>
        </w:rPr>
        <w:t>如遇国家、行业管理部门等机构的有关标准和规定调整的，导致本项目内容须做相应调整时，双方应按照公平、合理的原则共同协商修改本项目对应的合同的相关条款。</w:t>
      </w:r>
    </w:p>
    <w:bookmarkEnd w:id="59"/>
    <w:p w14:paraId="5A8BD5BD">
      <w:pPr>
        <w:pStyle w:val="2"/>
        <w:ind w:left="0"/>
        <w:rPr>
          <w:rFonts w:ascii="Times New Roman" w:hAnsi="Times New Roman"/>
        </w:rPr>
      </w:pPr>
      <w:bookmarkStart w:id="60" w:name="_Toc68798863"/>
      <w:bookmarkStart w:id="61" w:name="_Toc19736"/>
      <w:r>
        <w:rPr>
          <w:rFonts w:ascii="Times New Roman" w:hAnsi="Times New Roman"/>
        </w:rPr>
        <w:t>附录</w:t>
      </w:r>
      <w:bookmarkEnd w:id="60"/>
      <w:bookmarkEnd w:id="61"/>
    </w:p>
    <w:p w14:paraId="1EF0C9B5">
      <w:pPr>
        <w:ind w:firstLine="482"/>
        <w:rPr>
          <w:b/>
        </w:rPr>
      </w:pPr>
      <w:r>
        <w:rPr>
          <w:rFonts w:hint="eastAsia"/>
          <w:b/>
        </w:rPr>
        <w:t>若项目建设过程中需符合相关技术标准或规范文件的要求，请将相关文件作为附件列出。</w:t>
      </w:r>
    </w:p>
    <w:p w14:paraId="379B05EB">
      <w:pPr>
        <w:ind w:firstLine="482"/>
      </w:pPr>
      <w:r>
        <w:rPr>
          <w:rFonts w:hint="eastAsia"/>
          <w:b/>
        </w:rPr>
        <w:t>参考如下：</w:t>
      </w:r>
    </w:p>
    <w:p w14:paraId="232C2851">
      <w:pPr>
        <w:ind w:firstLine="0" w:firstLineChars="0"/>
      </w:pPr>
      <w:r>
        <w:rPr>
          <w:rFonts w:hint="eastAsia"/>
        </w:rPr>
        <w:t>1、</w:t>
      </w:r>
      <w:r>
        <w:t>《政务网络安全监测平台总体技术要求》</w:t>
      </w:r>
    </w:p>
    <w:p w14:paraId="66919332">
      <w:pPr>
        <w:ind w:firstLine="0" w:firstLineChars="0"/>
      </w:pPr>
      <w:r>
        <w:object>
          <v:shape id="_x0000_i1025" o:spt="75" type="#_x0000_t75" style="height:54.5pt;width:77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5C329CF2">
      <w:pPr>
        <w:ind w:firstLine="0" w:firstLineChars="0"/>
      </w:pPr>
    </w:p>
    <w:p w14:paraId="3CD38F4B">
      <w:pPr>
        <w:ind w:firstLine="0" w:firstLineChars="0"/>
        <w:jc w:val="left"/>
      </w:pPr>
      <w:r>
        <w:rPr>
          <w:rFonts w:hint="eastAsia"/>
        </w:rPr>
        <w:t>2、《上海市电子政务外网建设和运行管理指南（试行）》</w:t>
      </w:r>
    </w:p>
    <w:p w14:paraId="214AE640">
      <w:pPr>
        <w:ind w:firstLine="0" w:firstLineChars="0"/>
        <w:jc w:val="left"/>
      </w:pPr>
      <w:r>
        <w:object>
          <v:shape id="_x0000_i1026" o:spt="75" type="#_x0000_t75" style="height:54.5pt;width:77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5A1BCA3C">
      <w:pPr>
        <w:ind w:firstLine="0" w:firstLineChars="0"/>
        <w:jc w:val="left"/>
        <w:rPr>
          <w:b/>
          <w:bCs/>
        </w:rPr>
      </w:pPr>
      <w:r>
        <w:rPr>
          <w:rFonts w:hint="eastAsia"/>
        </w:rPr>
        <w:t>3、其他标准</w:t>
      </w:r>
    </w:p>
    <w:p w14:paraId="1A663BBA"/>
    <w:p w14:paraId="020F99CB"/>
    <w:p w14:paraId="3AC5265A"/>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Light">
    <w:altName w:val="汉仪中宋简"/>
    <w:panose1 w:val="02010600030101010101"/>
    <w:charset w:val="86"/>
    <w:family w:val="roman"/>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等线">
    <w:altName w:val="汉仪中宋简"/>
    <w:panose1 w:val="02010600030101010101"/>
    <w:charset w:val="86"/>
    <w:family w:val="roman"/>
    <w:pitch w:val="default"/>
    <w:sig w:usb0="00000000" w:usb1="00000000" w:usb2="00000016" w:usb3="00000000" w:csb0="0004000F" w:csb1="00000000"/>
  </w:font>
  <w:font w:name="微软雅黑">
    <w:altName w:val="方正黑体_GBK"/>
    <w:panose1 w:val="020B0503020204020204"/>
    <w:charset w:val="86"/>
    <w:family w:val="auto"/>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261F6">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4D18A">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A6C00">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4666">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8396692"/>
    </w:sdtPr>
    <w:sdtEndPr>
      <w:rPr>
        <w:rFonts w:ascii="Times New Roman" w:hAnsi="Times New Roman"/>
        <w:sz w:val="21"/>
        <w:szCs w:val="21"/>
      </w:rPr>
    </w:sdtEndPr>
    <w:sdtContent>
      <w:p w14:paraId="270CA0CE">
        <w:pPr>
          <w:pStyle w:val="11"/>
          <w:ind w:firstLine="36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16</w:t>
        </w:r>
        <w:r>
          <w:rPr>
            <w:rFonts w:ascii="Times New Roman" w:hAnsi="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1893D">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7C99B">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FEFC">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8D2E0C13"/>
    <w:multiLevelType w:val="singleLevel"/>
    <w:tmpl w:val="8D2E0C13"/>
    <w:lvl w:ilvl="0" w:tentative="0">
      <w:start w:val="1"/>
      <w:numFmt w:val="decimal"/>
      <w:lvlText w:val="%1."/>
      <w:lvlJc w:val="left"/>
      <w:pPr>
        <w:tabs>
          <w:tab w:val="left" w:pos="312"/>
        </w:tabs>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BC76B8"/>
    <w:rsid w:val="00020943"/>
    <w:rsid w:val="000C3F5F"/>
    <w:rsid w:val="000F31A7"/>
    <w:rsid w:val="00134850"/>
    <w:rsid w:val="0017069B"/>
    <w:rsid w:val="001769AC"/>
    <w:rsid w:val="00180160"/>
    <w:rsid w:val="001844D1"/>
    <w:rsid w:val="002E6217"/>
    <w:rsid w:val="0033255E"/>
    <w:rsid w:val="00345CB6"/>
    <w:rsid w:val="003510B7"/>
    <w:rsid w:val="004631A5"/>
    <w:rsid w:val="004C19FE"/>
    <w:rsid w:val="00512E8B"/>
    <w:rsid w:val="00557F6A"/>
    <w:rsid w:val="00587EF0"/>
    <w:rsid w:val="00690A64"/>
    <w:rsid w:val="00697F1E"/>
    <w:rsid w:val="006A33E6"/>
    <w:rsid w:val="00747724"/>
    <w:rsid w:val="00747A2D"/>
    <w:rsid w:val="007956EC"/>
    <w:rsid w:val="007B67BF"/>
    <w:rsid w:val="00905318"/>
    <w:rsid w:val="009B31DD"/>
    <w:rsid w:val="00A129AD"/>
    <w:rsid w:val="00A52B30"/>
    <w:rsid w:val="00A906EA"/>
    <w:rsid w:val="00AA52B5"/>
    <w:rsid w:val="00BB7AC1"/>
    <w:rsid w:val="00BC76B8"/>
    <w:rsid w:val="00CA0BC5"/>
    <w:rsid w:val="00CD04A4"/>
    <w:rsid w:val="00D0331F"/>
    <w:rsid w:val="00D11E7A"/>
    <w:rsid w:val="00D32547"/>
    <w:rsid w:val="00F21C74"/>
    <w:rsid w:val="01091D21"/>
    <w:rsid w:val="01910A08"/>
    <w:rsid w:val="02D92220"/>
    <w:rsid w:val="03253AFD"/>
    <w:rsid w:val="03D8291E"/>
    <w:rsid w:val="045D61BE"/>
    <w:rsid w:val="06EE6A23"/>
    <w:rsid w:val="07761D8D"/>
    <w:rsid w:val="087B7A92"/>
    <w:rsid w:val="0A4A6971"/>
    <w:rsid w:val="0AB310E4"/>
    <w:rsid w:val="0CCB387B"/>
    <w:rsid w:val="0E3A6E31"/>
    <w:rsid w:val="0F270E64"/>
    <w:rsid w:val="0FBF5415"/>
    <w:rsid w:val="102723E9"/>
    <w:rsid w:val="113E11C0"/>
    <w:rsid w:val="11AB53A0"/>
    <w:rsid w:val="13394657"/>
    <w:rsid w:val="13975162"/>
    <w:rsid w:val="15325C06"/>
    <w:rsid w:val="15655FDB"/>
    <w:rsid w:val="1589014D"/>
    <w:rsid w:val="17755E0B"/>
    <w:rsid w:val="17D60E8B"/>
    <w:rsid w:val="17DC4D3D"/>
    <w:rsid w:val="17E05482"/>
    <w:rsid w:val="18EF453A"/>
    <w:rsid w:val="19E34AED"/>
    <w:rsid w:val="1A334B44"/>
    <w:rsid w:val="1BA55384"/>
    <w:rsid w:val="1C324E88"/>
    <w:rsid w:val="1C86183D"/>
    <w:rsid w:val="1D4E1969"/>
    <w:rsid w:val="1D774AFE"/>
    <w:rsid w:val="1FD04B4B"/>
    <w:rsid w:val="20967991"/>
    <w:rsid w:val="20C4005A"/>
    <w:rsid w:val="212A1E87"/>
    <w:rsid w:val="2130749E"/>
    <w:rsid w:val="22736A7A"/>
    <w:rsid w:val="231A06B3"/>
    <w:rsid w:val="23C71DCF"/>
    <w:rsid w:val="25EE5A8E"/>
    <w:rsid w:val="28021DAF"/>
    <w:rsid w:val="295C60AB"/>
    <w:rsid w:val="2B6E2239"/>
    <w:rsid w:val="2D2500D2"/>
    <w:rsid w:val="2D727293"/>
    <w:rsid w:val="2FF154AC"/>
    <w:rsid w:val="3399009C"/>
    <w:rsid w:val="357524F9"/>
    <w:rsid w:val="35DF37B8"/>
    <w:rsid w:val="363B355D"/>
    <w:rsid w:val="363B357D"/>
    <w:rsid w:val="38207E14"/>
    <w:rsid w:val="38385FD0"/>
    <w:rsid w:val="38A27653"/>
    <w:rsid w:val="38C82011"/>
    <w:rsid w:val="38EF3C8A"/>
    <w:rsid w:val="3ABA1BEE"/>
    <w:rsid w:val="3D2758F8"/>
    <w:rsid w:val="3E342D63"/>
    <w:rsid w:val="3EA47275"/>
    <w:rsid w:val="414A4154"/>
    <w:rsid w:val="41A22CB3"/>
    <w:rsid w:val="423D7815"/>
    <w:rsid w:val="428611BC"/>
    <w:rsid w:val="43580322"/>
    <w:rsid w:val="435C6610"/>
    <w:rsid w:val="436732BB"/>
    <w:rsid w:val="43F81C45"/>
    <w:rsid w:val="44F179F4"/>
    <w:rsid w:val="45025018"/>
    <w:rsid w:val="4646552D"/>
    <w:rsid w:val="47116B02"/>
    <w:rsid w:val="480F755D"/>
    <w:rsid w:val="4B9A51D5"/>
    <w:rsid w:val="4C0C28C8"/>
    <w:rsid w:val="4C59349D"/>
    <w:rsid w:val="4CD7763D"/>
    <w:rsid w:val="4E1F24C4"/>
    <w:rsid w:val="4ED84B4D"/>
    <w:rsid w:val="50F021EC"/>
    <w:rsid w:val="51D33CF1"/>
    <w:rsid w:val="523F4EE3"/>
    <w:rsid w:val="531B4A16"/>
    <w:rsid w:val="5464077F"/>
    <w:rsid w:val="56696C2D"/>
    <w:rsid w:val="57544F8D"/>
    <w:rsid w:val="584D5522"/>
    <w:rsid w:val="58CC771B"/>
    <w:rsid w:val="58D8399B"/>
    <w:rsid w:val="58DD7626"/>
    <w:rsid w:val="59D87A55"/>
    <w:rsid w:val="5B6E7536"/>
    <w:rsid w:val="5B9803CF"/>
    <w:rsid w:val="5BA57979"/>
    <w:rsid w:val="5DA36C6E"/>
    <w:rsid w:val="5E1624FE"/>
    <w:rsid w:val="5FBB029F"/>
    <w:rsid w:val="603208CA"/>
    <w:rsid w:val="63237D82"/>
    <w:rsid w:val="63D04214"/>
    <w:rsid w:val="644D348F"/>
    <w:rsid w:val="652512FD"/>
    <w:rsid w:val="66BB41A0"/>
    <w:rsid w:val="6717752F"/>
    <w:rsid w:val="68102D20"/>
    <w:rsid w:val="68991F6D"/>
    <w:rsid w:val="68EC149F"/>
    <w:rsid w:val="6A9B5751"/>
    <w:rsid w:val="6D1A46F9"/>
    <w:rsid w:val="6EF42168"/>
    <w:rsid w:val="6F0F747C"/>
    <w:rsid w:val="704A5ECE"/>
    <w:rsid w:val="70761D78"/>
    <w:rsid w:val="727067FE"/>
    <w:rsid w:val="729F557B"/>
    <w:rsid w:val="730A2BA7"/>
    <w:rsid w:val="73470E46"/>
    <w:rsid w:val="738549F4"/>
    <w:rsid w:val="73EB10C8"/>
    <w:rsid w:val="74E043D0"/>
    <w:rsid w:val="7558A6B4"/>
    <w:rsid w:val="76C27D0D"/>
    <w:rsid w:val="76F51E90"/>
    <w:rsid w:val="782A0C52"/>
    <w:rsid w:val="790B26BD"/>
    <w:rsid w:val="79773D18"/>
    <w:rsid w:val="7B7E3957"/>
    <w:rsid w:val="7BD9C6D5"/>
    <w:rsid w:val="7CE243B6"/>
    <w:rsid w:val="7D3950B2"/>
    <w:rsid w:val="7FF5FC54"/>
    <w:rsid w:val="8BF75E41"/>
    <w:rsid w:val="9FFF7353"/>
    <w:rsid w:val="BABF20CD"/>
    <w:rsid w:val="EB77700D"/>
    <w:rsid w:val="F59E2D87"/>
    <w:rsid w:val="F59F33A0"/>
    <w:rsid w:val="F7A7AA8B"/>
    <w:rsid w:val="F7CB133B"/>
    <w:rsid w:val="FBCF1C25"/>
    <w:rsid w:val="FBE82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24"/>
    <w:autoRedefine/>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25"/>
    <w:autoRedefine/>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20"/>
    <w:autoRedefine/>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21"/>
    <w:autoRedefine/>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22"/>
    <w:autoRedefine/>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23"/>
    <w:autoRedefine/>
    <w:qFormat/>
    <w:uiPriority w:val="0"/>
    <w:pPr>
      <w:keepNext/>
      <w:keepLines/>
      <w:numPr>
        <w:ilvl w:val="5"/>
        <w:numId w:val="1"/>
      </w:numPr>
      <w:spacing w:before="120" w:after="120"/>
      <w:ind w:firstLine="0" w:firstLineChars="0"/>
      <w:outlineLvl w:val="5"/>
    </w:pPr>
    <w:rPr>
      <w:rFonts w:ascii="Cambria" w:hAnsi="Cambria"/>
      <w:b/>
      <w:bCs/>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semiHidden/>
    <w:unhideWhenUsed/>
    <w:qFormat/>
    <w:uiPriority w:val="99"/>
    <w:pPr>
      <w:ind w:firstLine="420" w:firstLineChars="200"/>
    </w:pPr>
    <w:rPr>
      <w:rFonts w:cstheme="minorBidi"/>
    </w:rPr>
  </w:style>
  <w:style w:type="paragraph" w:styleId="9">
    <w:name w:val="annotation text"/>
    <w:basedOn w:val="1"/>
    <w:autoRedefine/>
    <w:semiHidden/>
    <w:unhideWhenUsed/>
    <w:qFormat/>
    <w:uiPriority w:val="99"/>
    <w:pPr>
      <w:jc w:val="left"/>
    </w:pPr>
  </w:style>
  <w:style w:type="paragraph" w:styleId="10">
    <w:name w:val="Balloon Text"/>
    <w:basedOn w:val="1"/>
    <w:link w:val="32"/>
    <w:autoRedefine/>
    <w:semiHidden/>
    <w:unhideWhenUsed/>
    <w:qFormat/>
    <w:uiPriority w:val="99"/>
    <w:pPr>
      <w:spacing w:line="240" w:lineRule="auto"/>
    </w:pPr>
    <w:rPr>
      <w:sz w:val="18"/>
      <w:szCs w:val="18"/>
    </w:rPr>
  </w:style>
  <w:style w:type="paragraph" w:styleId="11">
    <w:name w:val="footer"/>
    <w:basedOn w:val="1"/>
    <w:link w:val="31"/>
    <w:autoRedefine/>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30"/>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autoRedefine/>
    <w:unhideWhenUsed/>
    <w:qFormat/>
    <w:uiPriority w:val="39"/>
    <w:pPr>
      <w:tabs>
        <w:tab w:val="right" w:leader="dot" w:pos="8296"/>
      </w:tabs>
    </w:pPr>
    <w:rPr>
      <w:rFonts w:ascii="黑体" w:hAnsi="黑体" w:eastAsia="黑体"/>
    </w:rPr>
  </w:style>
  <w:style w:type="paragraph" w:styleId="14">
    <w:name w:val="toc 2"/>
    <w:basedOn w:val="1"/>
    <w:next w:val="1"/>
    <w:autoRedefine/>
    <w:unhideWhenUsed/>
    <w:qFormat/>
    <w:uiPriority w:val="39"/>
    <w:pPr>
      <w:ind w:left="420" w:leftChars="200"/>
    </w:pPr>
  </w:style>
  <w:style w:type="character" w:styleId="17">
    <w:name w:val="Hyperlink"/>
    <w:basedOn w:val="16"/>
    <w:autoRedefine/>
    <w:unhideWhenUsed/>
    <w:qFormat/>
    <w:uiPriority w:val="99"/>
    <w:rPr>
      <w:color w:val="0563C1" w:themeColor="hyperlink"/>
      <w:u w:val="single"/>
      <w14:textFill>
        <w14:solidFill>
          <w14:schemeClr w14:val="hlink"/>
        </w14:solidFill>
      </w14:textFill>
    </w:rPr>
  </w:style>
  <w:style w:type="character" w:customStyle="1" w:styleId="18">
    <w:name w:val="标题 1 字符"/>
    <w:basedOn w:val="16"/>
    <w:autoRedefine/>
    <w:qFormat/>
    <w:uiPriority w:val="9"/>
    <w:rPr>
      <w:rFonts w:ascii="宋体" w:hAnsi="宋体" w:eastAsia="宋体" w:cs="Times New Roman"/>
      <w:b/>
      <w:bCs/>
      <w:kern w:val="44"/>
      <w:sz w:val="44"/>
      <w:szCs w:val="44"/>
    </w:rPr>
  </w:style>
  <w:style w:type="character" w:customStyle="1" w:styleId="19">
    <w:name w:val="标题 2 字符"/>
    <w:basedOn w:val="16"/>
    <w:autoRedefine/>
    <w:semiHidden/>
    <w:qFormat/>
    <w:uiPriority w:val="9"/>
    <w:rPr>
      <w:rFonts w:asciiTheme="majorHAnsi" w:hAnsiTheme="majorHAnsi" w:eastAsiaTheme="majorEastAsia" w:cstheme="majorBidi"/>
      <w:b/>
      <w:bCs/>
      <w:sz w:val="32"/>
      <w:szCs w:val="32"/>
    </w:rPr>
  </w:style>
  <w:style w:type="character" w:customStyle="1" w:styleId="20">
    <w:name w:val="标题 3 Char"/>
    <w:basedOn w:val="16"/>
    <w:link w:val="4"/>
    <w:autoRedefine/>
    <w:qFormat/>
    <w:uiPriority w:val="0"/>
    <w:rPr>
      <w:rFonts w:ascii="宋体" w:hAnsi="宋体" w:eastAsia="宋体" w:cs="Times New Roman"/>
      <w:b/>
      <w:bCs/>
      <w:sz w:val="28"/>
      <w:szCs w:val="28"/>
    </w:rPr>
  </w:style>
  <w:style w:type="character" w:customStyle="1" w:styleId="21">
    <w:name w:val="标题 4 Char"/>
    <w:basedOn w:val="16"/>
    <w:link w:val="5"/>
    <w:qFormat/>
    <w:uiPriority w:val="0"/>
    <w:rPr>
      <w:rFonts w:ascii="宋体" w:hAnsi="宋体" w:eastAsia="宋体" w:cs="Times New Roman"/>
      <w:b/>
      <w:bCs/>
      <w:sz w:val="30"/>
      <w:szCs w:val="30"/>
    </w:rPr>
  </w:style>
  <w:style w:type="character" w:customStyle="1" w:styleId="22">
    <w:name w:val="标题 5 Char"/>
    <w:basedOn w:val="16"/>
    <w:link w:val="6"/>
    <w:autoRedefine/>
    <w:qFormat/>
    <w:uiPriority w:val="0"/>
    <w:rPr>
      <w:rFonts w:ascii="宋体" w:hAnsi="宋体" w:eastAsia="宋体" w:cs="Times New Roman"/>
      <w:b/>
      <w:bCs/>
      <w:sz w:val="24"/>
      <w:szCs w:val="28"/>
    </w:rPr>
  </w:style>
  <w:style w:type="character" w:customStyle="1" w:styleId="23">
    <w:name w:val="标题 6 Char"/>
    <w:basedOn w:val="16"/>
    <w:link w:val="7"/>
    <w:autoRedefine/>
    <w:qFormat/>
    <w:uiPriority w:val="0"/>
    <w:rPr>
      <w:rFonts w:ascii="Cambria" w:hAnsi="Cambria" w:eastAsia="宋体" w:cs="Times New Roman"/>
      <w:b/>
      <w:bCs/>
      <w:sz w:val="24"/>
      <w:szCs w:val="24"/>
    </w:rPr>
  </w:style>
  <w:style w:type="character" w:customStyle="1" w:styleId="24">
    <w:name w:val="标题 1 Char"/>
    <w:link w:val="2"/>
    <w:autoRedefine/>
    <w:qFormat/>
    <w:uiPriority w:val="0"/>
    <w:rPr>
      <w:rFonts w:ascii="宋体" w:hAnsi="宋体" w:eastAsia="黑体" w:cs="Times New Roman"/>
      <w:b/>
      <w:bCs/>
      <w:kern w:val="44"/>
      <w:sz w:val="32"/>
      <w:szCs w:val="28"/>
    </w:rPr>
  </w:style>
  <w:style w:type="character" w:customStyle="1" w:styleId="25">
    <w:name w:val="标题 2 Char"/>
    <w:link w:val="3"/>
    <w:autoRedefine/>
    <w:qFormat/>
    <w:uiPriority w:val="9"/>
    <w:rPr>
      <w:rFonts w:ascii="宋体" w:hAnsi="宋体" w:eastAsia="宋体" w:cs="Times New Roman"/>
      <w:b/>
      <w:bCs/>
      <w:sz w:val="30"/>
      <w:szCs w:val="32"/>
    </w:rPr>
  </w:style>
  <w:style w:type="character" w:customStyle="1" w:styleId="26">
    <w:name w:val="正文正文2 Char"/>
    <w:link w:val="27"/>
    <w:autoRedefine/>
    <w:qFormat/>
    <w:uiPriority w:val="0"/>
    <w:rPr>
      <w:rFonts w:ascii="宋体" w:hAnsi="宋体"/>
      <w:szCs w:val="21"/>
    </w:rPr>
  </w:style>
  <w:style w:type="paragraph" w:customStyle="1" w:styleId="27">
    <w:name w:val="正文正文2"/>
    <w:basedOn w:val="1"/>
    <w:link w:val="26"/>
    <w:autoRedefine/>
    <w:qFormat/>
    <w:uiPriority w:val="0"/>
    <w:pPr>
      <w:ind w:firstLine="460"/>
    </w:pPr>
    <w:rPr>
      <w:rFonts w:eastAsiaTheme="minorEastAsia" w:cstheme="minorBidi"/>
      <w:sz w:val="21"/>
      <w:szCs w:val="21"/>
    </w:rPr>
  </w:style>
  <w:style w:type="paragraph" w:customStyle="1" w:styleId="28">
    <w:name w:val="正文缩进1"/>
    <w:basedOn w:val="1"/>
    <w:autoRedefine/>
    <w:qFormat/>
    <w:uiPriority w:val="0"/>
    <w:pPr>
      <w:spacing w:line="240" w:lineRule="auto"/>
      <w:ind w:firstLine="420"/>
    </w:pPr>
    <w:rPr>
      <w:rFonts w:ascii="Times New Roman" w:hAnsi="Times New Roman"/>
      <w:sz w:val="21"/>
      <w:szCs w:val="20"/>
    </w:rPr>
  </w:style>
  <w:style w:type="paragraph" w:customStyle="1" w:styleId="29">
    <w:name w:val="TOC 标题1"/>
    <w:basedOn w:val="2"/>
    <w:next w:val="1"/>
    <w:autoRedefine/>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30">
    <w:name w:val="页眉 Char"/>
    <w:basedOn w:val="16"/>
    <w:link w:val="12"/>
    <w:qFormat/>
    <w:uiPriority w:val="99"/>
    <w:rPr>
      <w:rFonts w:ascii="宋体" w:hAnsi="宋体" w:eastAsia="宋体" w:cs="Times New Roman"/>
      <w:sz w:val="18"/>
      <w:szCs w:val="18"/>
    </w:rPr>
  </w:style>
  <w:style w:type="character" w:customStyle="1" w:styleId="31">
    <w:name w:val="页脚 Char"/>
    <w:basedOn w:val="16"/>
    <w:link w:val="11"/>
    <w:autoRedefine/>
    <w:qFormat/>
    <w:uiPriority w:val="99"/>
    <w:rPr>
      <w:rFonts w:ascii="宋体" w:hAnsi="宋体" w:eastAsia="宋体" w:cs="Times New Roman"/>
      <w:sz w:val="18"/>
      <w:szCs w:val="18"/>
    </w:rPr>
  </w:style>
  <w:style w:type="character" w:customStyle="1" w:styleId="32">
    <w:name w:val="批注框文本 Char"/>
    <w:basedOn w:val="16"/>
    <w:link w:val="10"/>
    <w:semiHidden/>
    <w:qFormat/>
    <w:uiPriority w:val="99"/>
    <w:rPr>
      <w:rFonts w:ascii="宋体" w:hAnsi="宋体" w:eastAsia="宋体" w:cs="Times New Roman"/>
      <w:kern w:val="2"/>
      <w:sz w:val="18"/>
      <w:szCs w:val="18"/>
    </w:rPr>
  </w:style>
  <w:style w:type="character" w:customStyle="1" w:styleId="33">
    <w:name w:val="font31"/>
    <w:basedOn w:val="16"/>
    <w:autoRedefine/>
    <w:qFormat/>
    <w:uiPriority w:val="0"/>
    <w:rPr>
      <w:rFonts w:hint="eastAsia" w:ascii="等线" w:hAnsi="等线" w:eastAsia="等线" w:cs="等线"/>
      <w:b/>
      <w:bCs/>
      <w:color w:val="000000"/>
      <w:sz w:val="22"/>
      <w:szCs w:val="22"/>
      <w:u w:val="none"/>
    </w:rPr>
  </w:style>
  <w:style w:type="character" w:customStyle="1" w:styleId="34">
    <w:name w:val="font41"/>
    <w:basedOn w:val="16"/>
    <w:autoRedefine/>
    <w:qFormat/>
    <w:uiPriority w:val="0"/>
    <w:rPr>
      <w:rFonts w:hint="eastAsia"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9B56BB35-A781-4F3F-A573-CEB4A2D622A8}">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8643</Words>
  <Characters>8820</Characters>
  <Lines>86</Lines>
  <Paragraphs>24</Paragraphs>
  <TotalTime>65</TotalTime>
  <ScaleCrop>false</ScaleCrop>
  <LinksUpToDate>false</LinksUpToDate>
  <CharactersWithSpaces>8910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2023-04-01T17:44:00Z</dcterms:created>
  <dc:creator>韩新</dc:creator>
  <cp:lastModifiedBy>郭田恬</cp:lastModifiedBy>
  <dcterms:modified xsi:type="dcterms:W3CDTF">2025-04-22T14:30:02Z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B7B1F4D6CBF2455282310057BCF88A63_13</vt:lpwstr>
  </property>
  <property fmtid="{D5CDD505-2E9C-101B-9397-08002B2CF9AE}" pid="4" name="KSOTemplateDocerSaveRecord">
    <vt:lpwstr>eyJoZGlkIjoiMTk1ZTgzOWMzMWRjYWJmOGMzYjI1ZDQ5YzdjZDdlOGUiLCJ1c2VySWQiOiI0NTY5Nzg1MDYifQ==</vt:lpwstr>
  </property>
</Properties>
</file>