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E26EA4">
      <w:pPr>
        <w:pStyle w:val="2"/>
        <w:numPr>
          <w:ilvl w:val="0"/>
          <w:numId w:val="0"/>
        </w:numPr>
        <w:spacing w:after="156"/>
        <w:ind w:leftChars="0"/>
        <w:jc w:val="center"/>
        <w:rPr>
          <w:rFonts w:hint="eastAsia"/>
          <w:highlight w:val="none"/>
          <w:lang w:val="en-US" w:eastAsia="zh-CN"/>
        </w:rPr>
      </w:pPr>
      <w:bookmarkStart w:id="0" w:name="_Toc23326"/>
      <w:r>
        <w:rPr>
          <w:rFonts w:hint="default"/>
          <w:highlight w:val="none"/>
          <w:lang w:val="en-US"/>
        </w:rPr>
        <w:t>公共CPU计算服务器</w:t>
      </w:r>
      <w:r>
        <w:rPr>
          <w:rFonts w:hint="eastAsia"/>
          <w:highlight w:val="none"/>
          <w:lang w:val="en-US" w:eastAsia="zh-CN"/>
        </w:rPr>
        <w:t>采购需求</w:t>
      </w:r>
    </w:p>
    <w:p w14:paraId="346F8AC9">
      <w:pPr>
        <w:rPr>
          <w:rFonts w:hint="eastAsia"/>
          <w:highlight w:val="none"/>
          <w:lang w:val="en-US" w:eastAsia="zh-CN"/>
        </w:rPr>
      </w:pPr>
    </w:p>
    <w:p w14:paraId="2331C6AF">
      <w:pPr>
        <w:pStyle w:val="2"/>
        <w:spacing w:after="156"/>
        <w:rPr>
          <w:highlight w:val="none"/>
        </w:rPr>
      </w:pPr>
      <w:r>
        <w:rPr>
          <w:rFonts w:hint="eastAsia"/>
          <w:highlight w:val="none"/>
          <w:lang w:eastAsia="zh-CN"/>
        </w:rPr>
        <w:t>背景</w:t>
      </w:r>
    </w:p>
    <w:p w14:paraId="0EB6FD5C">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截至2025年2月，已有超过186台CPU节点，服务年限超过6年，涉及4492核，性能已无法满足当前计算的需要</w:t>
      </w:r>
      <w:r>
        <w:rPr>
          <w:rFonts w:hint="eastAsia" w:ascii="宋体" w:hAnsi="宋体" w:eastAsia="宋体" w:cs="宋体"/>
          <w:sz w:val="24"/>
          <w:szCs w:val="24"/>
          <w:highlight w:val="none"/>
          <w:lang w:eastAsia="zh-CN"/>
        </w:rPr>
        <w:t>。同时</w:t>
      </w:r>
      <w:r>
        <w:rPr>
          <w:rFonts w:hint="eastAsia" w:ascii="宋体" w:hAnsi="宋体" w:eastAsia="宋体" w:cs="宋体"/>
          <w:sz w:val="24"/>
          <w:szCs w:val="24"/>
          <w:highlight w:val="none"/>
        </w:rPr>
        <w:t>，</w:t>
      </w:r>
      <w:r>
        <w:rPr>
          <w:rFonts w:hint="eastAsia" w:ascii="宋体" w:hAnsi="宋体" w:eastAsia="宋体" w:cs="宋体"/>
          <w:sz w:val="24"/>
          <w:szCs w:val="24"/>
          <w:highlight w:val="none"/>
          <w:lang w:eastAsia="zh-CN"/>
        </w:rPr>
        <w:t>根据</w:t>
      </w:r>
      <w:r>
        <w:rPr>
          <w:rFonts w:hint="eastAsia" w:ascii="宋体" w:hAnsi="宋体" w:eastAsia="宋体" w:cs="宋体"/>
          <w:sz w:val="24"/>
          <w:szCs w:val="24"/>
          <w:highlight w:val="none"/>
          <w:lang w:val="en-US" w:eastAsia="zh-CN"/>
        </w:rPr>
        <w:t>2024年底的调研，</w:t>
      </w:r>
      <w:r>
        <w:rPr>
          <w:rFonts w:hint="eastAsia" w:ascii="宋体" w:hAnsi="宋体" w:eastAsia="宋体" w:cs="宋体"/>
          <w:sz w:val="24"/>
          <w:szCs w:val="24"/>
          <w:highlight w:val="none"/>
        </w:rPr>
        <w:t>物质学院和大科学中心等院所，因学科建设需要，对CPU计算的新需求近8000核，需求旺盛。</w:t>
      </w:r>
    </w:p>
    <w:p w14:paraId="18096E38">
      <w:pPr>
        <w:keepNext w:val="0"/>
        <w:keepLines w:val="0"/>
        <w:pageBreakBefore w:val="0"/>
        <w:widowControl/>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为充分发挥算力资源的统筹协调能力，需要补充公共CPU计算服务器充实CPU计算能力。</w:t>
      </w:r>
      <w:r>
        <w:rPr>
          <w:rFonts w:hint="eastAsia" w:ascii="宋体" w:hAnsi="宋体" w:eastAsia="宋体" w:cs="宋体"/>
          <w:sz w:val="24"/>
          <w:szCs w:val="24"/>
          <w:highlight w:val="none"/>
          <w:lang w:eastAsia="zh-CN"/>
        </w:rPr>
        <w:t>根据测算共需要补充12492核用于升级和替换CPU计算资源，分4期建设，首期需要建设约3</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00核。</w:t>
      </w:r>
    </w:p>
    <w:p w14:paraId="68018CB0">
      <w:pPr>
        <w:pStyle w:val="2"/>
        <w:spacing w:line="360" w:lineRule="auto"/>
        <w:rPr>
          <w:rFonts w:eastAsiaTheme="minorHAnsi"/>
          <w:sz w:val="32"/>
          <w:highlight w:val="none"/>
        </w:rPr>
      </w:pPr>
      <w:r>
        <w:rPr>
          <w:rFonts w:hint="eastAsia" w:eastAsiaTheme="minorHAnsi"/>
          <w:sz w:val="32"/>
          <w:highlight w:val="none"/>
        </w:rPr>
        <w:t>货物需求一览表</w:t>
      </w:r>
    </w:p>
    <w:tbl>
      <w:tblPr>
        <w:tblStyle w:val="10"/>
        <w:tblW w:w="8706" w:type="dxa"/>
        <w:jc w:val="center"/>
        <w:tblLayout w:type="autofit"/>
        <w:tblCellMar>
          <w:top w:w="0" w:type="dxa"/>
          <w:left w:w="108" w:type="dxa"/>
          <w:bottom w:w="0" w:type="dxa"/>
          <w:right w:w="108" w:type="dxa"/>
        </w:tblCellMar>
      </w:tblPr>
      <w:tblGrid>
        <w:gridCol w:w="766"/>
        <w:gridCol w:w="3814"/>
        <w:gridCol w:w="837"/>
        <w:gridCol w:w="1276"/>
        <w:gridCol w:w="2013"/>
      </w:tblGrid>
      <w:tr w14:paraId="3A8669C8">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65E288">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3814" w:type="dxa"/>
            <w:tcBorders>
              <w:top w:val="single" w:color="auto" w:sz="4" w:space="0"/>
              <w:left w:val="nil"/>
              <w:bottom w:val="single" w:color="auto" w:sz="4" w:space="0"/>
              <w:right w:val="single" w:color="auto" w:sz="4" w:space="0"/>
            </w:tcBorders>
            <w:shd w:val="clear" w:color="auto" w:fill="auto"/>
            <w:noWrap/>
            <w:vAlign w:val="center"/>
          </w:tcPr>
          <w:p w14:paraId="0296F7C0">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设备名称</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2B87FFA2">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485A317D">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6A0D98BA">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技术要求</w:t>
            </w:r>
          </w:p>
        </w:tc>
      </w:tr>
      <w:tr w14:paraId="2D09508C">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ABE299">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3814" w:type="dxa"/>
            <w:tcBorders>
              <w:top w:val="single" w:color="auto" w:sz="4" w:space="0"/>
              <w:left w:val="nil"/>
              <w:bottom w:val="single" w:color="auto" w:sz="4" w:space="0"/>
              <w:right w:val="single" w:color="auto" w:sz="4" w:space="0"/>
            </w:tcBorders>
            <w:shd w:val="clear" w:color="auto" w:fill="auto"/>
            <w:vAlign w:val="center"/>
          </w:tcPr>
          <w:p w14:paraId="31B06767">
            <w:pPr>
              <w:adjustRightInd w:val="0"/>
              <w:snapToGrid w:val="0"/>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管理节点</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4E674EF3">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13A9588">
            <w:pPr>
              <w:adjustRightInd w:val="0"/>
              <w:snapToGrid w:val="0"/>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618B9C62">
            <w:pPr>
              <w:adjustRightInd w:val="0"/>
              <w:snapToGrid w:val="0"/>
              <w:spacing w:line="360" w:lineRule="auto"/>
              <w:jc w:val="center"/>
              <w:rPr>
                <w:rFonts w:hint="eastAsia" w:ascii="宋体" w:hAnsi="宋体" w:eastAsia="宋体" w:cs="宋体"/>
                <w:sz w:val="24"/>
                <w:szCs w:val="24"/>
                <w:highlight w:val="none"/>
              </w:rPr>
            </w:pPr>
            <w:r>
              <w:rPr>
                <w:rFonts w:hint="eastAsia" w:ascii="宋体" w:hAnsi="宋体" w:eastAsia="宋体" w:cs="宋体"/>
                <w:color w:val="000000" w:themeColor="text1"/>
                <w:sz w:val="24"/>
                <w:szCs w:val="24"/>
                <w:highlight w:val="none"/>
                <w14:textFill>
                  <w14:solidFill>
                    <w14:schemeClr w14:val="tx1"/>
                  </w14:solidFill>
                </w14:textFill>
              </w:rPr>
              <w:t>详见技术参数</w:t>
            </w:r>
          </w:p>
        </w:tc>
      </w:tr>
      <w:tr w14:paraId="2F5DBF7D">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79043D">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3814" w:type="dxa"/>
            <w:tcBorders>
              <w:top w:val="single" w:color="auto" w:sz="4" w:space="0"/>
              <w:left w:val="nil"/>
              <w:bottom w:val="single" w:color="auto" w:sz="4" w:space="0"/>
              <w:right w:val="single" w:color="auto" w:sz="4" w:space="0"/>
            </w:tcBorders>
            <w:shd w:val="clear" w:color="auto" w:fill="auto"/>
            <w:vAlign w:val="center"/>
          </w:tcPr>
          <w:p w14:paraId="4BCB3392">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计算节点（核心产品）</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361C1400">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台</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6FBD07F8">
            <w:pPr>
              <w:adjustRightInd w:val="0"/>
              <w:snapToGrid w:val="0"/>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18</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09F48443">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详见技术参数</w:t>
            </w:r>
          </w:p>
        </w:tc>
      </w:tr>
      <w:tr w14:paraId="1E9B0890">
        <w:tblPrEx>
          <w:tblCellMar>
            <w:top w:w="0" w:type="dxa"/>
            <w:left w:w="108" w:type="dxa"/>
            <w:bottom w:w="0" w:type="dxa"/>
            <w:right w:w="108" w:type="dxa"/>
          </w:tblCellMar>
        </w:tblPrEx>
        <w:trPr>
          <w:trHeight w:val="270" w:hRule="atLeast"/>
          <w:jc w:val="center"/>
        </w:trPr>
        <w:tc>
          <w:tcPr>
            <w:tcW w:w="76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CD2A88">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3814" w:type="dxa"/>
            <w:tcBorders>
              <w:top w:val="single" w:color="auto" w:sz="4" w:space="0"/>
              <w:left w:val="nil"/>
              <w:bottom w:val="single" w:color="auto" w:sz="4" w:space="0"/>
              <w:right w:val="single" w:color="auto" w:sz="4" w:space="0"/>
            </w:tcBorders>
            <w:shd w:val="clear" w:color="auto" w:fill="auto"/>
            <w:vAlign w:val="center"/>
          </w:tcPr>
          <w:p w14:paraId="145DE61D">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大容量数据节点</w:t>
            </w:r>
          </w:p>
        </w:tc>
        <w:tc>
          <w:tcPr>
            <w:tcW w:w="837" w:type="dxa"/>
            <w:tcBorders>
              <w:top w:val="single" w:color="auto" w:sz="4" w:space="0"/>
              <w:left w:val="nil"/>
              <w:bottom w:val="single" w:color="auto" w:sz="4" w:space="0"/>
              <w:right w:val="single" w:color="auto" w:sz="4" w:space="0"/>
            </w:tcBorders>
            <w:shd w:val="clear" w:color="auto" w:fill="auto"/>
            <w:noWrap/>
            <w:vAlign w:val="center"/>
          </w:tcPr>
          <w:p w14:paraId="6047D2D2">
            <w:pPr>
              <w:adjustRightInd w:val="0"/>
              <w:snapToGrid w:val="0"/>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套</w:t>
            </w:r>
          </w:p>
        </w:tc>
        <w:tc>
          <w:tcPr>
            <w:tcW w:w="1276" w:type="dxa"/>
            <w:tcBorders>
              <w:top w:val="single" w:color="auto" w:sz="4" w:space="0"/>
              <w:left w:val="nil"/>
              <w:bottom w:val="single" w:color="auto" w:sz="4" w:space="0"/>
              <w:right w:val="single" w:color="auto" w:sz="4" w:space="0"/>
            </w:tcBorders>
            <w:shd w:val="clear" w:color="auto" w:fill="auto"/>
            <w:noWrap/>
            <w:vAlign w:val="center"/>
          </w:tcPr>
          <w:p w14:paraId="17283D34">
            <w:pPr>
              <w:adjustRightInd w:val="0"/>
              <w:snapToGrid w:val="0"/>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p>
        </w:tc>
        <w:tc>
          <w:tcPr>
            <w:tcW w:w="2013" w:type="dxa"/>
            <w:tcBorders>
              <w:top w:val="single" w:color="auto" w:sz="4" w:space="0"/>
              <w:left w:val="nil"/>
              <w:bottom w:val="single" w:color="auto" w:sz="4" w:space="0"/>
              <w:right w:val="single" w:color="auto" w:sz="4" w:space="0"/>
            </w:tcBorders>
            <w:shd w:val="clear" w:color="auto" w:fill="auto"/>
            <w:noWrap/>
            <w:vAlign w:val="center"/>
          </w:tcPr>
          <w:p w14:paraId="1589843C">
            <w:pPr>
              <w:adjustRightInd w:val="0"/>
              <w:snapToGrid w:val="0"/>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详见技术参数</w:t>
            </w:r>
          </w:p>
        </w:tc>
      </w:tr>
    </w:tbl>
    <w:p w14:paraId="605B1F39">
      <w:pPr>
        <w:keepNext w:val="0"/>
        <w:keepLines w:val="0"/>
        <w:pageBreakBefore w:val="0"/>
        <w:widowControl/>
        <w:kinsoku/>
        <w:wordWrap/>
        <w:overflowPunct/>
        <w:topLinePunct w:val="0"/>
        <w:autoSpaceDE/>
        <w:autoSpaceDN/>
        <w:bidi w:val="0"/>
        <w:adjustRightInd/>
        <w:snapToGrid/>
        <w:ind w:firstLine="400" w:firstLineChars="200"/>
        <w:textAlignment w:val="auto"/>
        <w:rPr>
          <w:rFonts w:hint="eastAsia"/>
          <w:highlight w:val="none"/>
          <w:lang w:val="en-US" w:eastAsia="zh-CN"/>
        </w:rPr>
      </w:pPr>
    </w:p>
    <w:p w14:paraId="404A3A62">
      <w:pPr>
        <w:pStyle w:val="2"/>
        <w:spacing w:after="156"/>
        <w:rPr>
          <w:highlight w:val="none"/>
        </w:rPr>
      </w:pPr>
      <w:r>
        <w:rPr>
          <w:highlight w:val="none"/>
        </w:rPr>
        <w:t>主要技术参数</w:t>
      </w:r>
      <w:bookmarkEnd w:id="0"/>
    </w:p>
    <w:p w14:paraId="17715105">
      <w:pPr>
        <w:rPr>
          <w:rFonts w:hint="eastAsia" w:eastAsia="宋体"/>
          <w:sz w:val="24"/>
          <w:szCs w:val="24"/>
          <w:highlight w:val="none"/>
          <w:lang w:eastAsia="zh-CN"/>
        </w:rPr>
      </w:pPr>
      <w:bookmarkStart w:id="27" w:name="_GoBack"/>
      <w:bookmarkEnd w:id="27"/>
      <w:r>
        <w:rPr>
          <w:rFonts w:hint="eastAsia"/>
          <w:sz w:val="24"/>
          <w:szCs w:val="24"/>
          <w:highlight w:val="none"/>
        </w:rPr>
        <w:t>▲技术参数应提供技术支持资料，技术支持资料以制造商公开发布的印刷资料（产品彩页、产品说明书、产品白皮书、官网截图）、界面截图、第三方检测机构出具的检测报告或在有效期内的证书扫描件等为准，投标人可以只提供上述材料关键页的复印件，关键页需体现投标产品的品牌、规格型号、相关性能指标，相关性能指标需以醒目的方式标明招标文件技术要求对应的序号，凡不符合上述要求的视为无效技术支持资料。</w:t>
      </w:r>
      <w:r>
        <w:rPr>
          <w:rFonts w:hint="eastAsia"/>
          <w:sz w:val="24"/>
          <w:szCs w:val="24"/>
          <w:highlight w:val="none"/>
          <w:lang w:eastAsia="zh-CN"/>
        </w:rPr>
        <w:t>如需承诺函，需提供加盖投标人公章的承诺函。</w:t>
      </w:r>
    </w:p>
    <w:p w14:paraId="713DE2B0">
      <w:pPr>
        <w:pStyle w:val="3"/>
        <w:rPr>
          <w:highlight w:val="none"/>
        </w:rPr>
      </w:pPr>
      <w:bookmarkStart w:id="1" w:name="_Toc30449"/>
      <w:r>
        <w:rPr>
          <w:rFonts w:hint="eastAsia"/>
          <w:highlight w:val="none"/>
        </w:rPr>
        <w:t>管理节点（2台）</w:t>
      </w:r>
      <w:bookmarkEnd w:id="1"/>
    </w:p>
    <w:tbl>
      <w:tblPr>
        <w:tblStyle w:val="11"/>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
        <w:gridCol w:w="1559"/>
        <w:gridCol w:w="6662"/>
      </w:tblGrid>
      <w:tr w14:paraId="60A138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52" w:type="dxa"/>
            <w:shd w:val="clear" w:color="auto" w:fill="AEAAAA" w:themeFill="background2" w:themeFillShade="BF"/>
            <w:vAlign w:val="center"/>
          </w:tcPr>
          <w:p w14:paraId="6E2E6AC7">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序号</w:t>
            </w:r>
          </w:p>
        </w:tc>
        <w:tc>
          <w:tcPr>
            <w:tcW w:w="1559" w:type="dxa"/>
            <w:shd w:val="clear" w:color="auto" w:fill="AEAAAA" w:themeFill="background2" w:themeFillShade="BF"/>
            <w:vAlign w:val="center"/>
          </w:tcPr>
          <w:p w14:paraId="05C3436A">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指标项</w:t>
            </w:r>
          </w:p>
        </w:tc>
        <w:tc>
          <w:tcPr>
            <w:tcW w:w="6662" w:type="dxa"/>
            <w:shd w:val="clear" w:color="auto" w:fill="AEAAAA" w:themeFill="background2" w:themeFillShade="BF"/>
            <w:vAlign w:val="center"/>
          </w:tcPr>
          <w:p w14:paraId="2EFDFB5F">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技术要求</w:t>
            </w:r>
          </w:p>
        </w:tc>
      </w:tr>
      <w:tr w14:paraId="347398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52" w:type="dxa"/>
            <w:vAlign w:val="center"/>
          </w:tcPr>
          <w:p w14:paraId="23FD15BE">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Align w:val="center"/>
          </w:tcPr>
          <w:p w14:paraId="3F37E374">
            <w:pPr>
              <w:rPr>
                <w:rFonts w:hint="eastAsia" w:ascii="宋体" w:hAnsi="宋体" w:eastAsia="宋体" w:cs="宋体"/>
                <w:bCs/>
                <w:sz w:val="24"/>
                <w:szCs w:val="24"/>
                <w:highlight w:val="none"/>
                <w14:ligatures w14:val="standardContextual"/>
              </w:rPr>
            </w:pPr>
            <w:r>
              <w:rPr>
                <w:rFonts w:hint="eastAsia" w:ascii="宋体" w:hAnsi="宋体" w:eastAsia="宋体" w:cs="宋体"/>
                <w:sz w:val="24"/>
                <w:szCs w:val="24"/>
                <w:highlight w:val="none"/>
                <w14:ligatures w14:val="standardContextual"/>
              </w:rPr>
              <w:t>品牌</w:t>
            </w:r>
          </w:p>
        </w:tc>
        <w:tc>
          <w:tcPr>
            <w:tcW w:w="6662" w:type="dxa"/>
            <w:vAlign w:val="center"/>
          </w:tcPr>
          <w:p w14:paraId="5E1DB347">
            <w:pPr>
              <w:rPr>
                <w:rFonts w:hint="eastAsia" w:ascii="宋体" w:hAnsi="宋体" w:eastAsia="宋体" w:cs="宋体"/>
                <w:b/>
                <w:bCs/>
                <w:sz w:val="24"/>
                <w:szCs w:val="24"/>
                <w:highlight w:val="none"/>
                <w14:ligatures w14:val="standardContextual"/>
              </w:rPr>
            </w:pPr>
            <w:r>
              <w:rPr>
                <w:rFonts w:hint="eastAsia" w:ascii="宋体" w:hAnsi="宋体" w:eastAsia="宋体" w:cs="宋体"/>
                <w:sz w:val="24"/>
                <w:szCs w:val="24"/>
                <w:highlight w:val="none"/>
                <w14:ligatures w14:val="standardContextual"/>
              </w:rPr>
              <w:t>国内知名品牌，自主研发，非OEM产品</w:t>
            </w:r>
            <w:r>
              <w:rPr>
                <w:rFonts w:hint="eastAsia" w:ascii="宋体" w:hAnsi="宋体" w:eastAsia="宋体" w:cs="宋体"/>
                <w:b/>
                <w:bCs/>
                <w:sz w:val="24"/>
                <w:szCs w:val="24"/>
                <w:highlight w:val="none"/>
                <w14:ligatures w14:val="standardContextual"/>
              </w:rPr>
              <w:t xml:space="preserve"> </w:t>
            </w:r>
          </w:p>
        </w:tc>
      </w:tr>
      <w:tr w14:paraId="517E0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52" w:type="dxa"/>
            <w:vAlign w:val="center"/>
          </w:tcPr>
          <w:p w14:paraId="51A80A83">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Align w:val="center"/>
          </w:tcPr>
          <w:p w14:paraId="36A81350">
            <w:pPr>
              <w:rPr>
                <w:rFonts w:hint="eastAsia" w:ascii="宋体" w:hAnsi="宋体" w:eastAsia="宋体" w:cs="宋体"/>
                <w:bCs/>
                <w:sz w:val="24"/>
                <w:szCs w:val="24"/>
                <w:highlight w:val="none"/>
                <w14:ligatures w14:val="standardContextual"/>
              </w:rPr>
            </w:pPr>
            <w:r>
              <w:rPr>
                <w:rFonts w:hint="eastAsia" w:ascii="宋体" w:hAnsi="宋体" w:eastAsia="宋体" w:cs="宋体"/>
                <w:sz w:val="24"/>
                <w:szCs w:val="24"/>
                <w:highlight w:val="none"/>
                <w14:ligatures w14:val="standardContextual"/>
              </w:rPr>
              <w:t>规格</w:t>
            </w:r>
          </w:p>
        </w:tc>
        <w:tc>
          <w:tcPr>
            <w:tcW w:w="6662" w:type="dxa"/>
            <w:vAlign w:val="center"/>
          </w:tcPr>
          <w:p w14:paraId="68F9C817">
            <w:pPr>
              <w:rPr>
                <w:rFonts w:hint="eastAsia" w:ascii="宋体" w:hAnsi="宋体" w:eastAsia="宋体" w:cs="宋体"/>
                <w:b/>
                <w:bCs/>
                <w:sz w:val="24"/>
                <w:szCs w:val="24"/>
                <w:highlight w:val="none"/>
                <w14:ligatures w14:val="standardContextual"/>
              </w:rPr>
            </w:pPr>
            <w:r>
              <w:rPr>
                <w:rFonts w:hint="eastAsia" w:ascii="宋体" w:hAnsi="宋体" w:eastAsia="宋体" w:cs="宋体"/>
                <w:sz w:val="24"/>
                <w:szCs w:val="24"/>
                <w:highlight w:val="none"/>
                <w14:ligatures w14:val="standardContextual"/>
              </w:rPr>
              <w:t>机架式服务器，满配置时机架高度≤2U</w:t>
            </w:r>
          </w:p>
        </w:tc>
      </w:tr>
      <w:tr w14:paraId="245B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52" w:type="dxa"/>
            <w:vAlign w:val="center"/>
          </w:tcPr>
          <w:p w14:paraId="6ADF735F">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vAlign w:val="center"/>
          </w:tcPr>
          <w:p w14:paraId="195A04B1">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处理器要求</w:t>
            </w:r>
          </w:p>
        </w:tc>
        <w:tc>
          <w:tcPr>
            <w:tcW w:w="6662" w:type="dxa"/>
            <w:vAlign w:val="center"/>
          </w:tcPr>
          <w:p w14:paraId="2D72B379">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配置≥2颗X86架构处理器</w:t>
            </w:r>
          </w:p>
        </w:tc>
      </w:tr>
      <w:tr w14:paraId="4AC2D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52" w:type="dxa"/>
            <w:vAlign w:val="center"/>
          </w:tcPr>
          <w:p w14:paraId="768B58CF">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5ADAE7E5">
            <w:pPr>
              <w:rPr>
                <w:rFonts w:hint="eastAsia" w:ascii="宋体" w:hAnsi="宋体" w:eastAsia="宋体" w:cs="宋体"/>
                <w:sz w:val="24"/>
                <w:szCs w:val="24"/>
                <w:highlight w:val="none"/>
                <w14:ligatures w14:val="standardContextual"/>
              </w:rPr>
            </w:pPr>
          </w:p>
        </w:tc>
        <w:tc>
          <w:tcPr>
            <w:tcW w:w="6662" w:type="dxa"/>
            <w:vAlign w:val="center"/>
          </w:tcPr>
          <w:p w14:paraId="1AFF2F35">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单颗处理器满足：基础主频≥2.9GHz，≥24核心， L3 Cache≥128M，内存通道≥12个</w:t>
            </w:r>
          </w:p>
        </w:tc>
      </w:tr>
      <w:tr w14:paraId="37590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52" w:type="dxa"/>
            <w:vAlign w:val="center"/>
          </w:tcPr>
          <w:p w14:paraId="2FC3BC6B">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vAlign w:val="center"/>
          </w:tcPr>
          <w:p w14:paraId="03202DE4">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内存要求</w:t>
            </w:r>
          </w:p>
        </w:tc>
        <w:tc>
          <w:tcPr>
            <w:tcW w:w="6662" w:type="dxa"/>
            <w:vAlign w:val="center"/>
          </w:tcPr>
          <w:p w14:paraId="048D2F37">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最大支持≥24个内存插槽；支持高级内存纠错（ECC）、内存镜像（Ememory mirroring）、内存热备（rank sparing）等高级功能，支持4800MT/s工作频率</w:t>
            </w:r>
          </w:p>
        </w:tc>
      </w:tr>
      <w:tr w14:paraId="1D585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852" w:type="dxa"/>
            <w:vAlign w:val="center"/>
          </w:tcPr>
          <w:p w14:paraId="6E06F9E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1CAE8683">
            <w:pPr>
              <w:rPr>
                <w:rFonts w:hint="eastAsia" w:ascii="宋体" w:hAnsi="宋体" w:eastAsia="宋体" w:cs="宋体"/>
                <w:sz w:val="24"/>
                <w:szCs w:val="24"/>
                <w:highlight w:val="none"/>
                <w14:ligatures w14:val="standardContextual"/>
              </w:rPr>
            </w:pPr>
          </w:p>
        </w:tc>
        <w:tc>
          <w:tcPr>
            <w:tcW w:w="6662" w:type="dxa"/>
            <w:vAlign w:val="center"/>
          </w:tcPr>
          <w:p w14:paraId="6E6B16D8">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配置≥8根32GB DDR5 4800MHz内存</w:t>
            </w:r>
          </w:p>
        </w:tc>
      </w:tr>
      <w:tr w14:paraId="4349E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 w:type="dxa"/>
            <w:vAlign w:val="center"/>
          </w:tcPr>
          <w:p w14:paraId="6069B581">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vAlign w:val="center"/>
          </w:tcPr>
          <w:p w14:paraId="52650834">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本地存储</w:t>
            </w:r>
          </w:p>
        </w:tc>
        <w:tc>
          <w:tcPr>
            <w:tcW w:w="6662" w:type="dxa"/>
            <w:vAlign w:val="center"/>
          </w:tcPr>
          <w:p w14:paraId="08F893C7">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可支持≥20块3.5"硬盘或28块2.5"硬盘</w:t>
            </w:r>
          </w:p>
        </w:tc>
      </w:tr>
      <w:tr w14:paraId="5B8F0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 w:type="dxa"/>
            <w:vAlign w:val="center"/>
          </w:tcPr>
          <w:p w14:paraId="4C8C4998">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3CF033EC">
            <w:pPr>
              <w:rPr>
                <w:rFonts w:hint="eastAsia" w:ascii="宋体" w:hAnsi="宋体" w:eastAsia="宋体" w:cs="宋体"/>
                <w:sz w:val="24"/>
                <w:szCs w:val="24"/>
                <w:highlight w:val="none"/>
                <w14:ligatures w14:val="standardContextual"/>
              </w:rPr>
            </w:pPr>
          </w:p>
        </w:tc>
        <w:tc>
          <w:tcPr>
            <w:tcW w:w="6662" w:type="dxa"/>
            <w:vAlign w:val="center"/>
          </w:tcPr>
          <w:p w14:paraId="6604A732">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配置≥2块960GB SSD</w:t>
            </w:r>
          </w:p>
        </w:tc>
      </w:tr>
      <w:tr w14:paraId="6A762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852" w:type="dxa"/>
            <w:vAlign w:val="center"/>
          </w:tcPr>
          <w:p w14:paraId="0540FC6D">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29208650">
            <w:pPr>
              <w:rPr>
                <w:rFonts w:hint="eastAsia" w:ascii="宋体" w:hAnsi="宋体" w:eastAsia="宋体" w:cs="宋体"/>
                <w:sz w:val="24"/>
                <w:szCs w:val="24"/>
                <w:highlight w:val="none"/>
                <w14:ligatures w14:val="standardContextual"/>
              </w:rPr>
            </w:pPr>
          </w:p>
        </w:tc>
        <w:tc>
          <w:tcPr>
            <w:tcW w:w="6662" w:type="dxa"/>
            <w:vAlign w:val="center"/>
          </w:tcPr>
          <w:p w14:paraId="5FCD850D">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配置≥2块3.84TB SSD</w:t>
            </w:r>
          </w:p>
        </w:tc>
      </w:tr>
      <w:tr w14:paraId="09082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852" w:type="dxa"/>
            <w:vAlign w:val="center"/>
          </w:tcPr>
          <w:p w14:paraId="5136450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Align w:val="center"/>
          </w:tcPr>
          <w:p w14:paraId="2A02EC85">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RAID卡</w:t>
            </w:r>
          </w:p>
        </w:tc>
        <w:tc>
          <w:tcPr>
            <w:tcW w:w="6662" w:type="dxa"/>
            <w:vAlign w:val="center"/>
          </w:tcPr>
          <w:p w14:paraId="4D386F06">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配置2GB缓存8通道高性能SAS RAID卡,支持RAID 1/0/10/5/50/6/60级别</w:t>
            </w:r>
          </w:p>
        </w:tc>
      </w:tr>
      <w:tr w14:paraId="1645F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852" w:type="dxa"/>
            <w:vAlign w:val="center"/>
          </w:tcPr>
          <w:p w14:paraId="190D331E">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vAlign w:val="center"/>
          </w:tcPr>
          <w:p w14:paraId="2A6EB734">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网络接口</w:t>
            </w:r>
          </w:p>
        </w:tc>
        <w:tc>
          <w:tcPr>
            <w:tcW w:w="6662" w:type="dxa"/>
            <w:vAlign w:val="center"/>
          </w:tcPr>
          <w:p w14:paraId="74770D4B">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配置≥4个1Gb以太网口</w:t>
            </w:r>
          </w:p>
        </w:tc>
      </w:tr>
      <w:tr w14:paraId="24C75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52" w:type="dxa"/>
            <w:vAlign w:val="center"/>
          </w:tcPr>
          <w:p w14:paraId="15A4C499">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6D16E05F">
            <w:pPr>
              <w:rPr>
                <w:rFonts w:hint="eastAsia" w:ascii="宋体" w:hAnsi="宋体" w:eastAsia="宋体" w:cs="宋体"/>
                <w:sz w:val="24"/>
                <w:szCs w:val="24"/>
                <w:highlight w:val="none"/>
                <w14:ligatures w14:val="standardContextual"/>
              </w:rPr>
            </w:pPr>
          </w:p>
        </w:tc>
        <w:tc>
          <w:tcPr>
            <w:tcW w:w="6662" w:type="dxa"/>
            <w:vAlign w:val="center"/>
          </w:tcPr>
          <w:p w14:paraId="21AA7E98">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配置≥2个25Gb以太网口（含光模块）</w:t>
            </w:r>
          </w:p>
        </w:tc>
      </w:tr>
      <w:tr w14:paraId="79A7C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52" w:type="dxa"/>
            <w:vAlign w:val="center"/>
          </w:tcPr>
          <w:p w14:paraId="054B7EAE">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3C479471">
            <w:pPr>
              <w:rPr>
                <w:rFonts w:hint="eastAsia" w:ascii="宋体" w:hAnsi="宋体" w:eastAsia="宋体" w:cs="宋体"/>
                <w:sz w:val="24"/>
                <w:szCs w:val="24"/>
                <w:highlight w:val="none"/>
                <w14:ligatures w14:val="standardContextual"/>
              </w:rPr>
            </w:pPr>
          </w:p>
        </w:tc>
        <w:tc>
          <w:tcPr>
            <w:tcW w:w="6662" w:type="dxa"/>
            <w:vAlign w:val="center"/>
          </w:tcPr>
          <w:p w14:paraId="2116903A">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配置≥1个200Gb ROCE网口（含光模块）</w:t>
            </w:r>
          </w:p>
        </w:tc>
      </w:tr>
      <w:tr w14:paraId="24D33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852" w:type="dxa"/>
            <w:vAlign w:val="center"/>
          </w:tcPr>
          <w:p w14:paraId="0F764B63">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4836BB8E">
            <w:pPr>
              <w:rPr>
                <w:rFonts w:hint="eastAsia" w:ascii="宋体" w:hAnsi="宋体" w:eastAsia="宋体" w:cs="宋体"/>
                <w:sz w:val="24"/>
                <w:szCs w:val="24"/>
                <w:highlight w:val="none"/>
                <w14:ligatures w14:val="standardContextual"/>
              </w:rPr>
            </w:pPr>
          </w:p>
        </w:tc>
        <w:tc>
          <w:tcPr>
            <w:tcW w:w="6662" w:type="dxa"/>
            <w:vAlign w:val="center"/>
          </w:tcPr>
          <w:p w14:paraId="76C5FEF7">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配置≥1个100Gb infiniband网口</w:t>
            </w:r>
          </w:p>
        </w:tc>
      </w:tr>
      <w:tr w14:paraId="3A06A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 w:type="dxa"/>
            <w:vAlign w:val="center"/>
          </w:tcPr>
          <w:p w14:paraId="17E2264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Align w:val="center"/>
          </w:tcPr>
          <w:p w14:paraId="59E3092B">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I/O扩展槽</w:t>
            </w:r>
          </w:p>
        </w:tc>
        <w:tc>
          <w:tcPr>
            <w:tcW w:w="6662" w:type="dxa"/>
            <w:vAlign w:val="center"/>
          </w:tcPr>
          <w:p w14:paraId="75E3AA3C">
            <w:pPr>
              <w:rPr>
                <w:rFonts w:hint="eastAsia" w:ascii="宋体" w:hAnsi="宋体" w:eastAsia="宋体" w:cs="宋体"/>
                <w:sz w:val="24"/>
                <w:szCs w:val="24"/>
                <w:highlight w:val="none"/>
                <w:lang w:eastAsia="zh-CN"/>
                <w14:ligatures w14:val="standardContextual"/>
              </w:rPr>
            </w:pPr>
            <w:r>
              <w:rPr>
                <w:rFonts w:hint="eastAsia" w:ascii="宋体" w:hAnsi="宋体" w:eastAsia="宋体" w:cs="宋体"/>
                <w:sz w:val="24"/>
                <w:szCs w:val="24"/>
                <w:highlight w:val="none"/>
                <w14:ligatures w14:val="standardContextual"/>
              </w:rPr>
              <w:t>▲最大支持8个PCIe插槽，支持2个OCP 3.0 x16</w:t>
            </w:r>
            <w:r>
              <w:rPr>
                <w:rFonts w:hint="eastAsia" w:ascii="宋体" w:hAnsi="宋体" w:cs="宋体"/>
                <w:sz w:val="24"/>
                <w:szCs w:val="24"/>
                <w:highlight w:val="none"/>
                <w:lang w:eastAsia="zh-CN"/>
                <w14:ligatures w14:val="standardContextual"/>
              </w:rPr>
              <w:t>（提供证明材料）</w:t>
            </w:r>
          </w:p>
        </w:tc>
      </w:tr>
      <w:tr w14:paraId="1555E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852" w:type="dxa"/>
            <w:vAlign w:val="center"/>
          </w:tcPr>
          <w:p w14:paraId="2BD06210">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Align w:val="center"/>
          </w:tcPr>
          <w:p w14:paraId="744EC365">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电源和风扇</w:t>
            </w:r>
          </w:p>
        </w:tc>
        <w:tc>
          <w:tcPr>
            <w:tcW w:w="6662" w:type="dxa"/>
            <w:vAlign w:val="center"/>
          </w:tcPr>
          <w:p w14:paraId="0CAAF3C1">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配置1+1冗余电源，满配冗余风扇，保证系统高可用性</w:t>
            </w:r>
          </w:p>
        </w:tc>
      </w:tr>
      <w:tr w14:paraId="7BAEE3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852" w:type="dxa"/>
            <w:vAlign w:val="center"/>
          </w:tcPr>
          <w:p w14:paraId="34B6E34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vAlign w:val="center"/>
          </w:tcPr>
          <w:p w14:paraId="3C52BE56">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服务器管理</w:t>
            </w:r>
          </w:p>
        </w:tc>
        <w:tc>
          <w:tcPr>
            <w:tcW w:w="6662" w:type="dxa"/>
            <w:vAlign w:val="center"/>
          </w:tcPr>
          <w:p w14:paraId="4D5CC999">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支持 IPMI、远程监控图形界面，可远程通过独立端口对服务器完全控制，包括远程的开关机、重启、更新 Firmware, 虚拟 KVM, 虚拟光驱等</w:t>
            </w:r>
          </w:p>
        </w:tc>
      </w:tr>
      <w:tr w14:paraId="0965E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065B821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7F9A2FCC">
            <w:pPr>
              <w:rPr>
                <w:rFonts w:hint="eastAsia" w:ascii="宋体" w:hAnsi="宋体" w:eastAsia="宋体" w:cs="宋体"/>
                <w:sz w:val="24"/>
                <w:szCs w:val="24"/>
                <w:highlight w:val="none"/>
                <w14:ligatures w14:val="standardContextual"/>
              </w:rPr>
            </w:pPr>
          </w:p>
        </w:tc>
        <w:tc>
          <w:tcPr>
            <w:tcW w:w="6662" w:type="dxa"/>
            <w:vAlign w:val="center"/>
          </w:tcPr>
          <w:p w14:paraId="5928B2F3">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支持服务器全方位性能监控，包括CPU 利用率、CPU温度、内存使用率、SWAP使用率，内存及SWAP使用明细；TCP重传率及套接字个数；UDP连接数；硬盘读写次数及读写时速率；出入风口温度；风扇转速及风扇占空比；分区使用率及分区未使用量；网络发送速率、接收速率等，运行时长、系统进程数等，提供产品截图证明</w:t>
            </w:r>
          </w:p>
        </w:tc>
      </w:tr>
      <w:tr w14:paraId="4F188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40599079">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vAlign w:val="center"/>
          </w:tcPr>
          <w:p w14:paraId="07AF5F72">
            <w:pPr>
              <w:rPr>
                <w:rFonts w:hint="eastAsia" w:ascii="宋体" w:hAnsi="宋体" w:eastAsia="宋体" w:cs="宋体"/>
                <w:sz w:val="24"/>
                <w:szCs w:val="24"/>
                <w:highlight w:val="none"/>
                <w:lang w:eastAsia="zh-CN"/>
                <w14:ligatures w14:val="standardContextual"/>
              </w:rPr>
            </w:pPr>
            <w:r>
              <w:rPr>
                <w:rFonts w:hint="eastAsia" w:ascii="宋体" w:hAnsi="宋体" w:eastAsia="宋体" w:cs="宋体"/>
                <w:sz w:val="24"/>
                <w:szCs w:val="24"/>
                <w:highlight w:val="none"/>
                <w:lang w:eastAsia="zh-CN"/>
                <w14:ligatures w14:val="standardContextual"/>
              </w:rPr>
              <w:t>集群管理</w:t>
            </w:r>
          </w:p>
        </w:tc>
        <w:tc>
          <w:tcPr>
            <w:tcW w:w="6662" w:type="dxa"/>
            <w:shd w:val="clear" w:color="auto" w:fill="auto"/>
            <w:vAlign w:val="center"/>
          </w:tcPr>
          <w:p w14:paraId="04CE7CEA">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▲商业版集群管理与调度软件，License覆盖系统所有节点，与管理登录节点</w:t>
            </w:r>
            <w:r>
              <w:rPr>
                <w:rFonts w:hint="eastAsia" w:ascii="宋体" w:hAnsi="宋体" w:cs="宋体"/>
                <w:sz w:val="24"/>
                <w:szCs w:val="24"/>
                <w:highlight w:val="none"/>
                <w:lang w:eastAsia="zh-CN"/>
                <w14:ligatures w14:val="standardContextual"/>
              </w:rPr>
              <w:t>相兼容（提供证明材料）</w:t>
            </w:r>
            <w:r>
              <w:rPr>
                <w:rFonts w:hint="eastAsia" w:ascii="宋体" w:hAnsi="宋体" w:eastAsia="宋体" w:cs="宋体"/>
                <w:sz w:val="24"/>
                <w:szCs w:val="24"/>
                <w:highlight w:val="none"/>
                <w14:ligatures w14:val="standardContextual"/>
              </w:rPr>
              <w:t>。</w:t>
            </w:r>
          </w:p>
        </w:tc>
      </w:tr>
      <w:tr w14:paraId="24067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0220CE7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79C5C502">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3D61E126">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支持操作系统批量快速部署，批量安装。</w:t>
            </w:r>
          </w:p>
        </w:tc>
      </w:tr>
      <w:tr w14:paraId="66FAF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23BA29CE">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66F8F3BF">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526FC62E">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支持查看集群中节点，包括节点名称、节点类型（主控/计算节点）、CPU已用核数/总数、GPU已用卡数/总数、所在分区、运行状态、作业数统计</w:t>
            </w:r>
          </w:p>
        </w:tc>
      </w:tr>
      <w:tr w14:paraId="006CD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3E58352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6D2FCE23">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55602583">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支持直接远程shell节点和批量管理</w:t>
            </w:r>
          </w:p>
        </w:tc>
      </w:tr>
      <w:tr w14:paraId="5781F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5BCFE68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518ABF67">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402605F9">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支持查看分区名称、当前作业数、节点数、CPU核数、GPU数和描述信息。</w:t>
            </w:r>
          </w:p>
        </w:tc>
      </w:tr>
      <w:tr w14:paraId="1EDFF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852" w:type="dxa"/>
            <w:vAlign w:val="center"/>
          </w:tcPr>
          <w:p w14:paraId="428BC8A5">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39241CDD">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358C9BBD">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支持添加、编辑、删除分区，包括分区名称、描述、节点列表和组织限制</w:t>
            </w:r>
          </w:p>
        </w:tc>
      </w:tr>
      <w:tr w14:paraId="67BA6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852" w:type="dxa"/>
            <w:vAlign w:val="center"/>
          </w:tcPr>
          <w:p w14:paraId="0DFA32E2">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2BD02033">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6A700D48">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支持查看集群中的文件目录及其文件，执行新建、复制/粘贴、压缩/解压、下载文件、删除文件、文件重命名等操作</w:t>
            </w:r>
          </w:p>
        </w:tc>
      </w:tr>
      <w:tr w14:paraId="3E0DE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5BAD171C">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1A5C7360">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67C2FA6C">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支持查看集群内分区数量、分区状态（满载、半载、空闲、其他）数量统计、CPU已用/总数、GPU已用/总数。</w:t>
            </w:r>
          </w:p>
        </w:tc>
      </w:tr>
      <w:tr w14:paraId="6080D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69C397DB">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08AC214E">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2DF11DD0">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支持平铺查看分区内各个状态节点，包括节点名称、CPU已用/总数、GPU已用/总数、当前作业数、节点状态</w:t>
            </w:r>
          </w:p>
        </w:tc>
      </w:tr>
      <w:tr w14:paraId="39D0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54ED72DB">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55E3090A">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449EAFDA">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支持物理视图查看机器状态。</w:t>
            </w:r>
          </w:p>
        </w:tc>
      </w:tr>
      <w:tr w14:paraId="074272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28538D2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vAlign w:val="center"/>
          </w:tcPr>
          <w:p w14:paraId="536B6E52">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767DA624">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支持查看节点名称、管理IP、系统IP、开关机状态、CPU利用率、GPU利用率、网络、负载，开关机</w:t>
            </w:r>
          </w:p>
        </w:tc>
      </w:tr>
      <w:tr w14:paraId="632F2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6BC0F5FE">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3791E06A">
            <w:pPr>
              <w:rPr>
                <w:rFonts w:hint="eastAsia" w:ascii="宋体" w:hAnsi="宋体" w:eastAsia="宋体" w:cs="宋体"/>
                <w:kern w:val="0"/>
                <w:sz w:val="24"/>
                <w:szCs w:val="24"/>
                <w:highlight w:val="none"/>
                <w:lang w:val="en-US" w:eastAsia="zh-CN" w:bidi="ar-SA"/>
                <w14:ligatures w14:val="standardContextual"/>
              </w:rPr>
            </w:pPr>
          </w:p>
        </w:tc>
        <w:tc>
          <w:tcPr>
            <w:tcW w:w="6662" w:type="dxa"/>
            <w:shd w:val="clear" w:color="auto" w:fill="auto"/>
            <w:vAlign w:val="center"/>
          </w:tcPr>
          <w:p w14:paraId="0870FF8E">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支持查看集群作业状态、作业等待时长TOP5、分区作业统计图。</w:t>
            </w:r>
          </w:p>
        </w:tc>
      </w:tr>
      <w:tr w14:paraId="44D35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A50942F">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1FC96D8F">
            <w:pPr>
              <w:rPr>
                <w:rFonts w:hint="eastAsia" w:ascii="宋体" w:hAnsi="宋体" w:eastAsia="宋体" w:cs="宋体"/>
                <w:kern w:val="0"/>
                <w:sz w:val="24"/>
                <w:szCs w:val="24"/>
                <w:highlight w:val="none"/>
                <w:lang w:val="en-US" w:eastAsia="zh-CN" w:bidi="ar-SA"/>
                <w14:ligatures w14:val="standardContextual"/>
              </w:rPr>
            </w:pPr>
          </w:p>
        </w:tc>
        <w:tc>
          <w:tcPr>
            <w:tcW w:w="6662" w:type="dxa"/>
            <w:shd w:val="clear" w:color="auto" w:fill="auto"/>
            <w:vAlign w:val="center"/>
          </w:tcPr>
          <w:p w14:paraId="6C8CBCC3">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支持查看当前作业，包括Id、名称、状态、等待时长、运行时长、CPU数、GPU数，支持CPU数量和GPU数量排序</w:t>
            </w:r>
          </w:p>
        </w:tc>
      </w:tr>
      <w:tr w14:paraId="46D2F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1235EC09">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410EF7AD">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6CCE0AB3">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查看大屏展示功能，展示用户统计信息、资源的使用情况，CPU、GPU、内存使用率趋势图、作业提交趋势图。</w:t>
            </w:r>
          </w:p>
        </w:tc>
      </w:tr>
      <w:tr w14:paraId="41A1D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2A83BF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74A776C3">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4FAB2161">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支持先进先出、 回填、抢占、绝对优先级、独占等多种调度策略</w:t>
            </w:r>
          </w:p>
        </w:tc>
      </w:tr>
      <w:tr w14:paraId="387C8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536F1F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4DF7F928">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594864AC">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支持脚本和web模板在线提交两种方式</w:t>
            </w:r>
          </w:p>
        </w:tc>
      </w:tr>
      <w:tr w14:paraId="66A83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902635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508850E6">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4E71AA4C">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支持作业容器化运行</w:t>
            </w:r>
          </w:p>
        </w:tc>
      </w:tr>
      <w:tr w14:paraId="08AD8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220C25B2">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5E56D2B5">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4F8D21EA">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支持查看、挂起、恢复、停止实时作业，可查看作业ID、名称、用户、组织、状态、作业运行时长、所属分区，作业输出和工作目录。</w:t>
            </w:r>
          </w:p>
        </w:tc>
      </w:tr>
      <w:tr w14:paraId="54C1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6647349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3949383F">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138EFA0F">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作业详细信息，包括作业ID、名称、状态、使用节点数量、节点列表、所在分区、总核数、GPU卡数、QOS、优先级、用户、组织、输入路径、输出路径、错误路径、错误原因、提交时间、开始时间、运行时长</w:t>
            </w:r>
          </w:p>
        </w:tc>
      </w:tr>
      <w:tr w14:paraId="2ABCE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7AC9C342">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685C98D7">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6B4207CE">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支持增删改查作业模板，可新建和查看Customization、CFD、Chemistry、MaterialScience、Mathematics应用类型的作业模板</w:t>
            </w:r>
          </w:p>
        </w:tc>
      </w:tr>
      <w:tr w14:paraId="0ED5A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112CD84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72FF9F51">
            <w:pPr>
              <w:rPr>
                <w:rFonts w:hint="eastAsia" w:ascii="宋体" w:hAnsi="宋体" w:eastAsia="宋体" w:cs="宋体"/>
                <w:kern w:val="0"/>
                <w:sz w:val="24"/>
                <w:szCs w:val="24"/>
                <w:highlight w:val="none"/>
                <w:lang w:val="en-US" w:eastAsia="zh-CN" w:bidi="ar-SA"/>
                <w14:ligatures w14:val="standardContextual"/>
              </w:rPr>
            </w:pPr>
          </w:p>
        </w:tc>
        <w:tc>
          <w:tcPr>
            <w:tcW w:w="6662" w:type="dxa"/>
            <w:shd w:val="clear" w:color="auto" w:fill="auto"/>
            <w:vAlign w:val="center"/>
          </w:tcPr>
          <w:p w14:paraId="6DC4FB6C">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支持增删改查、上传下载镜像。</w:t>
            </w:r>
          </w:p>
        </w:tc>
      </w:tr>
      <w:tr w14:paraId="495A7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7D222D3B">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01F8C96A">
            <w:pPr>
              <w:rPr>
                <w:rFonts w:hint="eastAsia" w:ascii="宋体" w:hAnsi="宋体" w:eastAsia="宋体" w:cs="宋体"/>
                <w:kern w:val="0"/>
                <w:sz w:val="24"/>
                <w:szCs w:val="24"/>
                <w:highlight w:val="none"/>
                <w:lang w:val="en-US" w:eastAsia="zh-CN" w:bidi="ar-SA"/>
                <w14:ligatures w14:val="standardContextual"/>
              </w:rPr>
            </w:pPr>
          </w:p>
        </w:tc>
        <w:tc>
          <w:tcPr>
            <w:tcW w:w="6662" w:type="dxa"/>
            <w:shd w:val="clear" w:color="auto" w:fill="auto"/>
            <w:vAlign w:val="center"/>
          </w:tcPr>
          <w:p w14:paraId="7EBB57C0">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支持设置镜像的访问级别（公共、私有）</w:t>
            </w:r>
          </w:p>
        </w:tc>
      </w:tr>
      <w:tr w14:paraId="29AE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1307050F">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shd w:val="clear" w:color="auto" w:fill="auto"/>
            <w:vAlign w:val="center"/>
          </w:tcPr>
          <w:p w14:paraId="76039E62">
            <w:pPr>
              <w:rPr>
                <w:rFonts w:hint="eastAsia" w:ascii="宋体" w:hAnsi="宋体" w:eastAsia="宋体" w:cs="宋体"/>
                <w:sz w:val="24"/>
                <w:szCs w:val="24"/>
                <w:highlight w:val="none"/>
                <w14:ligatures w14:val="standardContextual"/>
              </w:rPr>
            </w:pPr>
            <w:r>
              <w:rPr>
                <w:rFonts w:hint="eastAsia"/>
                <w:sz w:val="24"/>
                <w:szCs w:val="36"/>
                <w:highlight w:val="none"/>
                <w14:ligatures w14:val="standardContextual"/>
              </w:rPr>
              <w:t>计费管理</w:t>
            </w:r>
          </w:p>
        </w:tc>
        <w:tc>
          <w:tcPr>
            <w:tcW w:w="6662" w:type="dxa"/>
            <w:shd w:val="clear" w:color="auto" w:fill="auto"/>
            <w:vAlign w:val="top"/>
          </w:tcPr>
          <w:p w14:paraId="6C0BBD77">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支持为不同组织设置不同的CPU、GPU计费费率，CPU按核计费，GPU按卡计费，余额阈值，计费周期。支持设置欠费后是否能提交作业。</w:t>
            </w:r>
          </w:p>
        </w:tc>
      </w:tr>
      <w:tr w14:paraId="77488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2E62E9A3">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2E6D823E">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5904EFCC">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支持查看充值记录，包括组织、总额、余额、状态。支持按组织、状态模糊查询。</w:t>
            </w:r>
          </w:p>
        </w:tc>
      </w:tr>
      <w:tr w14:paraId="76A1E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7CF707D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434A09ED">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7DF5C24B">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支持对组织充值和查看余额。</w:t>
            </w:r>
          </w:p>
        </w:tc>
      </w:tr>
      <w:tr w14:paraId="585C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177C6D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0D98CC3A">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73DC7637">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支持查看集群、组织、用户的消费总额</w:t>
            </w:r>
          </w:p>
        </w:tc>
      </w:tr>
      <w:tr w14:paraId="78E42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472A914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749D4645">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1DE2AF3D">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支持查看月/周账单总额、趋势图。</w:t>
            </w:r>
          </w:p>
        </w:tc>
      </w:tr>
      <w:tr w14:paraId="5849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0410FD4D">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0671D863">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46B29E67">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支持按作业、用户、组织维度查看账单，包括用户名称、组织名称、作业ID、作业数量、作业平均运行时长、CPU核时、GPU卡时、消费金额。</w:t>
            </w:r>
          </w:p>
        </w:tc>
      </w:tr>
      <w:tr w14:paraId="08564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51539AD3">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3BE0F2BC">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1D376F25">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支持组织、用户、作业维度查询</w:t>
            </w:r>
          </w:p>
        </w:tc>
      </w:tr>
      <w:tr w14:paraId="4B662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69F95866">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2E57A98C">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03256358">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支持账单导出</w:t>
            </w:r>
          </w:p>
        </w:tc>
      </w:tr>
      <w:tr w14:paraId="33B40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5FB9179F">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shd w:val="clear" w:color="auto" w:fill="auto"/>
            <w:vAlign w:val="center"/>
          </w:tcPr>
          <w:p w14:paraId="13D65253">
            <w:pPr>
              <w:rPr>
                <w:rFonts w:hint="eastAsia" w:ascii="宋体" w:hAnsi="宋体" w:eastAsia="宋体" w:cs="宋体"/>
                <w:sz w:val="24"/>
                <w:szCs w:val="24"/>
                <w:highlight w:val="none"/>
                <w:lang w:val="en-US" w:eastAsia="zh-CN"/>
                <w14:ligatures w14:val="standardContextual"/>
              </w:rPr>
            </w:pPr>
            <w:r>
              <w:rPr>
                <w:rFonts w:hint="eastAsia" w:ascii="宋体" w:hAnsi="宋体" w:cs="宋体"/>
                <w:sz w:val="24"/>
                <w:szCs w:val="24"/>
                <w:highlight w:val="none"/>
                <w:lang w:val="en-US" w:eastAsia="zh-CN"/>
                <w14:ligatures w14:val="standardContextual"/>
              </w:rPr>
              <w:t>用户管理</w:t>
            </w:r>
          </w:p>
        </w:tc>
        <w:tc>
          <w:tcPr>
            <w:tcW w:w="6662" w:type="dxa"/>
            <w:shd w:val="clear" w:color="auto" w:fill="auto"/>
            <w:vAlign w:val="top"/>
          </w:tcPr>
          <w:p w14:paraId="4A513D59">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支持增删改查用户，对用户启用、禁用。支持导入用户。</w:t>
            </w:r>
          </w:p>
        </w:tc>
      </w:tr>
      <w:tr w14:paraId="16BF7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1B9C9A34">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6D29E235">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6597C4C2">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支持选择用户权限，包括超级管理员、组织管理员及普通用户</w:t>
            </w:r>
          </w:p>
        </w:tc>
      </w:tr>
      <w:tr w14:paraId="0C0D9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4C00CC5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4B8C598D">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3B2F8359">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设置用户详情，包括用户权限、组织名称、邮箱、手机号、优先级、最大运行作业数、最大使用核数、最大使用GPU数、备注</w:t>
            </w:r>
          </w:p>
        </w:tc>
      </w:tr>
      <w:tr w14:paraId="782A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DF9E42B">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1165082E">
            <w:pPr>
              <w:rPr>
                <w:rFonts w:hint="eastAsia" w:ascii="宋体" w:hAnsi="宋体" w:eastAsia="宋体" w:cs="宋体"/>
                <w:sz w:val="24"/>
                <w:szCs w:val="24"/>
                <w:highlight w:val="none"/>
                <w14:ligatures w14:val="standardContextual"/>
              </w:rPr>
            </w:pPr>
          </w:p>
        </w:tc>
        <w:tc>
          <w:tcPr>
            <w:tcW w:w="6662" w:type="dxa"/>
            <w:shd w:val="clear" w:color="auto" w:fill="auto"/>
            <w:vAlign w:val="top"/>
          </w:tcPr>
          <w:p w14:paraId="15FF92CE">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支持增删改查组织，组织详情 包括最大运行作业数、最大使用核数、最大使用GPU数、备注。</w:t>
            </w:r>
          </w:p>
        </w:tc>
      </w:tr>
      <w:tr w14:paraId="32196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42C4386A">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shd w:val="clear" w:color="auto" w:fill="auto"/>
            <w:vAlign w:val="center"/>
          </w:tcPr>
          <w:p w14:paraId="4458398D">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操作系统</w:t>
            </w:r>
          </w:p>
        </w:tc>
        <w:tc>
          <w:tcPr>
            <w:tcW w:w="6662" w:type="dxa"/>
            <w:shd w:val="clear" w:color="auto" w:fill="auto"/>
            <w:vAlign w:val="center"/>
          </w:tcPr>
          <w:p w14:paraId="5767F4D8">
            <w:pPr>
              <w:rPr>
                <w:rFonts w:hint="eastAsia" w:ascii="宋体" w:hAnsi="宋体" w:eastAsia="宋体" w:cs="宋体"/>
                <w:kern w:val="0"/>
                <w:sz w:val="24"/>
                <w:szCs w:val="24"/>
                <w:highlight w:val="none"/>
                <w:lang w:val="en-US" w:eastAsia="zh-CN" w:bidi="ar-SA"/>
                <w14:ligatures w14:val="standardContextual"/>
              </w:rPr>
            </w:pPr>
            <w:r>
              <w:rPr>
                <w:rFonts w:hint="eastAsia" w:ascii="宋体" w:hAnsi="宋体" w:eastAsia="宋体" w:cs="宋体"/>
                <w:sz w:val="24"/>
                <w:szCs w:val="24"/>
                <w:highlight w:val="none"/>
                <w14:ligatures w14:val="standardContextual"/>
              </w:rPr>
              <w:t>▲配置国产Linux操作系统，与服务器</w:t>
            </w:r>
            <w:r>
              <w:rPr>
                <w:rFonts w:hint="eastAsia" w:ascii="宋体" w:hAnsi="宋体" w:cs="宋体"/>
                <w:sz w:val="24"/>
                <w:szCs w:val="24"/>
                <w:highlight w:val="none"/>
                <w:lang w:eastAsia="zh-CN"/>
                <w14:ligatures w14:val="standardContextual"/>
              </w:rPr>
              <w:t>相兼容</w:t>
            </w:r>
            <w:r>
              <w:rPr>
                <w:rFonts w:hint="eastAsia" w:ascii="宋体" w:hAnsi="宋体" w:eastAsia="宋体" w:cs="宋体"/>
                <w:sz w:val="24"/>
                <w:szCs w:val="24"/>
                <w:highlight w:val="none"/>
                <w14:ligatures w14:val="standardContextual"/>
              </w:rPr>
              <w:t>，操作系统中软件密码模块符合GM-T 0028《密码模块安全技术要求》第二级要求（提供证明材料）</w:t>
            </w:r>
          </w:p>
        </w:tc>
      </w:tr>
      <w:tr w14:paraId="44520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3F25EE6B">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restart"/>
            <w:shd w:val="clear" w:color="auto" w:fill="auto"/>
            <w:vAlign w:val="center"/>
          </w:tcPr>
          <w:p w14:paraId="2C4A930A">
            <w:pPr>
              <w:rPr>
                <w:rFonts w:hint="eastAsia" w:ascii="宋体" w:hAnsi="宋体" w:eastAsia="宋体" w:cs="宋体"/>
                <w:sz w:val="24"/>
                <w:szCs w:val="24"/>
                <w:highlight w:val="none"/>
                <w:lang w:eastAsia="zh-CN"/>
                <w14:ligatures w14:val="standardContextual"/>
              </w:rPr>
            </w:pPr>
            <w:r>
              <w:rPr>
                <w:rFonts w:hint="eastAsia" w:ascii="宋体" w:hAnsi="宋体" w:eastAsia="宋体" w:cs="宋体"/>
                <w:sz w:val="24"/>
                <w:szCs w:val="24"/>
                <w:highlight w:val="none"/>
                <w:lang w:eastAsia="zh-CN"/>
                <w14:ligatures w14:val="standardContextual"/>
              </w:rPr>
              <w:t>配置服务</w:t>
            </w:r>
          </w:p>
        </w:tc>
        <w:tc>
          <w:tcPr>
            <w:tcW w:w="6662" w:type="dxa"/>
            <w:shd w:val="clear" w:color="auto" w:fill="auto"/>
            <w:vAlign w:val="center"/>
          </w:tcPr>
          <w:p w14:paraId="5878A380">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▲承诺管理软件支持与学校E算平台对接实现任务/作业管理功能</w:t>
            </w:r>
            <w:r>
              <w:rPr>
                <w:rFonts w:hint="eastAsia" w:ascii="宋体" w:hAnsi="宋体" w:cs="宋体"/>
                <w:sz w:val="24"/>
                <w:szCs w:val="24"/>
                <w:highlight w:val="none"/>
                <w:lang w:eastAsia="zh-CN"/>
                <w14:ligatures w14:val="standardContextual"/>
              </w:rPr>
              <w:t>，</w:t>
            </w:r>
            <w:r>
              <w:rPr>
                <w:rFonts w:hint="eastAsia" w:ascii="宋体" w:hAnsi="宋体" w:eastAsia="宋体" w:cs="宋体"/>
                <w:sz w:val="24"/>
                <w:szCs w:val="24"/>
                <w:highlight w:val="none"/>
                <w14:ligatures w14:val="standardContextual"/>
              </w:rPr>
              <w:t>可通过提供的接口进行任务/作业的资源需求情况、作业状态等，实现作业的基本维护操作，如提交、取消等（提供承诺函）</w:t>
            </w:r>
          </w:p>
        </w:tc>
      </w:tr>
      <w:tr w14:paraId="2AE0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49D45E9C">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049725F3">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62A62460">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▲承诺配合学校部署学校统一监控，本项目中所有设备，包括：计算节点、存储服务器、管理服务器等，应支持基本的</w:t>
            </w:r>
            <w:r>
              <w:rPr>
                <w:rFonts w:hint="eastAsia" w:ascii="宋体" w:hAnsi="宋体" w:cs="宋体"/>
                <w:sz w:val="24"/>
                <w:szCs w:val="24"/>
                <w:highlight w:val="none"/>
                <w:lang w:eastAsia="zh-CN"/>
                <w14:ligatures w14:val="standardContextual"/>
              </w:rPr>
              <w:t>标准</w:t>
            </w:r>
            <w:r>
              <w:rPr>
                <w:rFonts w:hint="eastAsia" w:ascii="宋体" w:hAnsi="宋体" w:eastAsia="宋体" w:cs="宋体"/>
                <w:sz w:val="24"/>
                <w:szCs w:val="24"/>
                <w:highlight w:val="none"/>
                <w14:ligatures w14:val="standardContextual"/>
              </w:rPr>
              <w:t>监控通信协议SNMP</w:t>
            </w:r>
            <w:r>
              <w:rPr>
                <w:rFonts w:hint="eastAsia" w:ascii="宋体" w:hAnsi="宋体" w:cs="宋体"/>
                <w:sz w:val="24"/>
                <w:szCs w:val="24"/>
                <w:highlight w:val="none"/>
                <w:lang w:eastAsia="zh-CN"/>
                <w14:ligatures w14:val="standardContextual"/>
              </w:rPr>
              <w:t>，</w:t>
            </w:r>
            <w:r>
              <w:rPr>
                <w:rFonts w:hint="eastAsia" w:ascii="宋体" w:hAnsi="宋体" w:eastAsia="宋体" w:cs="宋体"/>
                <w:sz w:val="24"/>
                <w:szCs w:val="24"/>
                <w:highlight w:val="none"/>
                <w14:ligatures w14:val="standardContextual"/>
              </w:rPr>
              <w:t>或根据需要部署</w:t>
            </w:r>
            <w:r>
              <w:rPr>
                <w:rFonts w:hint="eastAsia" w:ascii="宋体" w:hAnsi="宋体" w:cs="宋体"/>
                <w:sz w:val="24"/>
                <w:szCs w:val="24"/>
                <w:highlight w:val="none"/>
                <w:lang w:eastAsia="zh-CN"/>
                <w14:ligatures w14:val="standardContextual"/>
              </w:rPr>
              <w:t>基于</w:t>
            </w:r>
            <w:r>
              <w:rPr>
                <w:rFonts w:hint="eastAsia" w:ascii="宋体" w:hAnsi="宋体" w:cs="宋体"/>
                <w:sz w:val="24"/>
                <w:szCs w:val="24"/>
                <w:highlight w:val="none"/>
                <w:lang w:val="en-US" w:eastAsia="zh-CN"/>
                <w14:ligatures w14:val="standardContextual"/>
              </w:rPr>
              <w:t>windows或linux的</w:t>
            </w:r>
            <w:r>
              <w:rPr>
                <w:rFonts w:hint="eastAsia" w:ascii="宋体" w:hAnsi="宋体" w:eastAsia="宋体" w:cs="宋体"/>
                <w:sz w:val="24"/>
                <w:szCs w:val="24"/>
                <w:highlight w:val="none"/>
                <w14:ligatures w14:val="standardContextual"/>
              </w:rPr>
              <w:t>监控代理来实现</w:t>
            </w:r>
            <w:r>
              <w:rPr>
                <w:rFonts w:hint="eastAsia" w:ascii="宋体" w:hAnsi="宋体" w:cs="宋体"/>
                <w:sz w:val="24"/>
                <w:szCs w:val="24"/>
                <w:highlight w:val="none"/>
                <w:lang w:eastAsia="zh-CN"/>
                <w14:ligatures w14:val="standardContextual"/>
              </w:rPr>
              <w:t>带外管理</w:t>
            </w:r>
            <w:r>
              <w:rPr>
                <w:rFonts w:hint="eastAsia" w:ascii="宋体" w:hAnsi="宋体" w:eastAsia="宋体" w:cs="宋体"/>
                <w:sz w:val="24"/>
                <w:szCs w:val="24"/>
                <w:highlight w:val="none"/>
                <w14:ligatures w14:val="standardContextual"/>
              </w:rPr>
              <w:t>与监控平台的对接，帮助学校实时获取设备运行情况，包括但不限于：CPU负载、内存负载、GPU卡负载、运行功耗、机箱温度、故障告警等</w:t>
            </w:r>
          </w:p>
          <w:p w14:paraId="55EA5EA2">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相关信息如若无法准确获取，应配合部署需要提供必要的技术支持和文档，如：技术文档、API说明或MIB库等（提供承诺函）</w:t>
            </w:r>
          </w:p>
        </w:tc>
      </w:tr>
      <w:tr w14:paraId="57945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08CA17A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42A2DA9C">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6C697DC6">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▲承诺管理软件支持与学校平台对接实现数据管理功能：提供数据管理接口，支持包括但不限于安全获取用户的文件数据列表、传输数据、修改数据、复制数据等（提供承诺函）</w:t>
            </w:r>
          </w:p>
        </w:tc>
      </w:tr>
      <w:tr w14:paraId="2C5B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52855277">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vMerge w:val="continue"/>
            <w:shd w:val="clear" w:color="auto" w:fill="auto"/>
            <w:vAlign w:val="center"/>
          </w:tcPr>
          <w:p w14:paraId="08E96C67">
            <w:pPr>
              <w:rPr>
                <w:rFonts w:hint="eastAsia" w:ascii="宋体" w:hAnsi="宋体" w:eastAsia="宋体" w:cs="宋体"/>
                <w:sz w:val="24"/>
                <w:szCs w:val="24"/>
                <w:highlight w:val="none"/>
                <w14:ligatures w14:val="standardContextual"/>
              </w:rPr>
            </w:pPr>
          </w:p>
        </w:tc>
        <w:tc>
          <w:tcPr>
            <w:tcW w:w="6662" w:type="dxa"/>
            <w:shd w:val="clear" w:color="auto" w:fill="auto"/>
            <w:vAlign w:val="center"/>
          </w:tcPr>
          <w:p w14:paraId="2818A9DE">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▲学校平台对接：承诺满足与统一监控系统的功能对接，满足通过学校E算平台可集中访问和使用的需要（提供承诺函）</w:t>
            </w:r>
          </w:p>
        </w:tc>
      </w:tr>
      <w:tr w14:paraId="5CD26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2" w:type="dxa"/>
            <w:vAlign w:val="center"/>
          </w:tcPr>
          <w:p w14:paraId="13D9E03E">
            <w:pPr>
              <w:pStyle w:val="20"/>
              <w:numPr>
                <w:ilvl w:val="0"/>
                <w:numId w:val="3"/>
              </w:numPr>
              <w:ind w:left="820" w:leftChars="0" w:firstLineChars="0"/>
              <w:rPr>
                <w:rFonts w:hint="eastAsia" w:ascii="宋体" w:hAnsi="宋体" w:eastAsia="宋体" w:cs="宋体"/>
                <w:sz w:val="24"/>
                <w:szCs w:val="24"/>
                <w:highlight w:val="none"/>
                <w14:ligatures w14:val="standardContextual"/>
              </w:rPr>
            </w:pPr>
          </w:p>
        </w:tc>
        <w:tc>
          <w:tcPr>
            <w:tcW w:w="1559" w:type="dxa"/>
            <w:shd w:val="clear" w:color="auto" w:fill="auto"/>
            <w:vAlign w:val="center"/>
          </w:tcPr>
          <w:p w14:paraId="53D7505F">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lang w:eastAsia="zh-CN"/>
                <w14:ligatures w14:val="standardContextual"/>
              </w:rPr>
              <w:t>可</w:t>
            </w:r>
            <w:r>
              <w:rPr>
                <w:rFonts w:hint="eastAsia" w:ascii="宋体" w:hAnsi="宋体" w:eastAsia="宋体" w:cs="宋体"/>
                <w:sz w:val="24"/>
                <w:szCs w:val="24"/>
                <w:highlight w:val="none"/>
                <w14:ligatures w14:val="standardContextual"/>
              </w:rPr>
              <w:t>移动终端</w:t>
            </w:r>
          </w:p>
        </w:tc>
        <w:tc>
          <w:tcPr>
            <w:tcW w:w="6662" w:type="dxa"/>
            <w:shd w:val="clear" w:color="auto" w:fill="auto"/>
            <w:vAlign w:val="center"/>
          </w:tcPr>
          <w:p w14:paraId="1FA9B267">
            <w:pPr>
              <w:rPr>
                <w:rFonts w:hint="eastAsia" w:ascii="宋体" w:hAnsi="宋体" w:eastAsia="宋体" w:cs="宋体"/>
                <w:sz w:val="24"/>
                <w:szCs w:val="24"/>
                <w:highlight w:val="none"/>
                <w14:ligatures w14:val="standardContextual"/>
              </w:rPr>
            </w:pPr>
            <w:r>
              <w:rPr>
                <w:rFonts w:hint="eastAsia" w:ascii="宋体" w:hAnsi="宋体" w:eastAsia="宋体" w:cs="宋体"/>
                <w:sz w:val="24"/>
                <w:szCs w:val="24"/>
                <w:highlight w:val="none"/>
                <w14:ligatures w14:val="standardContextual"/>
              </w:rPr>
              <w:t>每台服务器需要配置1台移动终端配套使用，终端要求：屏幕≥14英寸（分辨率≥2880*1800；刷新率≥120Hz），处理器性能≥Ultra7 258V，内存≥32GB LPDDR5x 8533MHz，硬盘容量≥2TB PCIe SSD；</w:t>
            </w:r>
          </w:p>
        </w:tc>
      </w:tr>
    </w:tbl>
    <w:p w14:paraId="39DD64A1">
      <w:pPr>
        <w:pStyle w:val="3"/>
        <w:rPr>
          <w:highlight w:val="none"/>
        </w:rPr>
      </w:pPr>
      <w:r>
        <w:rPr>
          <w:rFonts w:hint="eastAsia"/>
          <w:highlight w:val="none"/>
        </w:rPr>
        <w:t>计算节点（</w:t>
      </w:r>
      <w:r>
        <w:rPr>
          <w:highlight w:val="none"/>
        </w:rPr>
        <w:t>18</w:t>
      </w:r>
      <w:r>
        <w:rPr>
          <w:rFonts w:hint="eastAsia"/>
          <w:highlight w:val="none"/>
        </w:rPr>
        <w:t>台）</w:t>
      </w:r>
    </w:p>
    <w:tbl>
      <w:tblPr>
        <w:tblStyle w:val="11"/>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08"/>
        <w:gridCol w:w="899"/>
        <w:gridCol w:w="7666"/>
      </w:tblGrid>
      <w:tr w14:paraId="0963E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52" w:type="dxa"/>
            <w:shd w:val="clear" w:color="auto" w:fill="AEAAAA" w:themeFill="background2" w:themeFillShade="BF"/>
          </w:tcPr>
          <w:p w14:paraId="7D6A3B24">
            <w:pPr>
              <w:rPr>
                <w:rFonts w:eastAsia="宋体"/>
                <w:sz w:val="24"/>
                <w:highlight w:val="none"/>
                <w14:ligatures w14:val="standardContextual"/>
              </w:rPr>
            </w:pPr>
            <w:r>
              <w:rPr>
                <w:rFonts w:hint="eastAsia" w:eastAsia="宋体"/>
                <w:sz w:val="24"/>
                <w:highlight w:val="none"/>
                <w14:ligatures w14:val="standardContextual"/>
              </w:rPr>
              <w:t>序号</w:t>
            </w:r>
          </w:p>
        </w:tc>
        <w:tc>
          <w:tcPr>
            <w:tcW w:w="981" w:type="dxa"/>
            <w:shd w:val="clear" w:color="auto" w:fill="AEAAAA" w:themeFill="background2" w:themeFillShade="BF"/>
          </w:tcPr>
          <w:p w14:paraId="6F6BDF4B">
            <w:pPr>
              <w:rPr>
                <w:rFonts w:eastAsia="宋体"/>
                <w:sz w:val="24"/>
                <w:highlight w:val="none"/>
                <w14:ligatures w14:val="standardContextual"/>
              </w:rPr>
            </w:pPr>
            <w:r>
              <w:rPr>
                <w:rFonts w:hint="eastAsia" w:eastAsia="宋体"/>
                <w:sz w:val="24"/>
                <w:highlight w:val="none"/>
                <w14:ligatures w14:val="standardContextual"/>
              </w:rPr>
              <w:t>指标项</w:t>
            </w:r>
          </w:p>
        </w:tc>
        <w:tc>
          <w:tcPr>
            <w:tcW w:w="7540" w:type="dxa"/>
            <w:shd w:val="clear" w:color="auto" w:fill="AEAAAA" w:themeFill="background2" w:themeFillShade="BF"/>
          </w:tcPr>
          <w:p w14:paraId="18622CF8">
            <w:pPr>
              <w:rPr>
                <w:rFonts w:eastAsia="宋体"/>
                <w:sz w:val="24"/>
                <w:highlight w:val="none"/>
                <w14:ligatures w14:val="standardContextual"/>
              </w:rPr>
            </w:pPr>
            <w:r>
              <w:rPr>
                <w:rFonts w:hint="eastAsia" w:eastAsia="宋体"/>
                <w:sz w:val="24"/>
                <w:highlight w:val="none"/>
                <w14:ligatures w14:val="standardContextual"/>
              </w:rPr>
              <w:t>技术要求</w:t>
            </w:r>
          </w:p>
        </w:tc>
      </w:tr>
      <w:tr w14:paraId="1794F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52" w:type="dxa"/>
          </w:tcPr>
          <w:p w14:paraId="59DA6277">
            <w:pPr>
              <w:pStyle w:val="20"/>
              <w:numPr>
                <w:ilvl w:val="0"/>
                <w:numId w:val="4"/>
              </w:numPr>
              <w:rPr>
                <w:rFonts w:eastAsia="宋体"/>
                <w:sz w:val="24"/>
                <w:highlight w:val="none"/>
                <w14:ligatures w14:val="standardContextual"/>
              </w:rPr>
            </w:pPr>
          </w:p>
        </w:tc>
        <w:tc>
          <w:tcPr>
            <w:tcW w:w="981" w:type="dxa"/>
            <w:vAlign w:val="center"/>
          </w:tcPr>
          <w:p w14:paraId="2A004B05">
            <w:pPr>
              <w:rPr>
                <w:rFonts w:eastAsia="宋体"/>
                <w:bCs/>
                <w:sz w:val="24"/>
                <w:highlight w:val="none"/>
                <w14:ligatures w14:val="standardContextual"/>
              </w:rPr>
            </w:pPr>
            <w:r>
              <w:rPr>
                <w:rFonts w:hint="eastAsia" w:eastAsia="宋体"/>
                <w:sz w:val="24"/>
                <w:highlight w:val="none"/>
                <w14:ligatures w14:val="standardContextual"/>
              </w:rPr>
              <w:t>品牌</w:t>
            </w:r>
          </w:p>
        </w:tc>
        <w:tc>
          <w:tcPr>
            <w:tcW w:w="7540" w:type="dxa"/>
            <w:vAlign w:val="center"/>
          </w:tcPr>
          <w:p w14:paraId="684AC5D9">
            <w:pPr>
              <w:rPr>
                <w:rFonts w:eastAsia="宋体"/>
                <w:b/>
                <w:bCs/>
                <w:sz w:val="24"/>
                <w:highlight w:val="none"/>
                <w14:ligatures w14:val="standardContextual"/>
              </w:rPr>
            </w:pPr>
            <w:r>
              <w:rPr>
                <w:rFonts w:hint="eastAsia" w:eastAsia="宋体"/>
                <w:sz w:val="24"/>
                <w:highlight w:val="none"/>
                <w14:ligatures w14:val="standardContextual"/>
              </w:rPr>
              <w:t>国内知名品牌，自主研发，非OEM产品</w:t>
            </w:r>
            <w:r>
              <w:rPr>
                <w:rFonts w:hint="eastAsia" w:eastAsia="宋体"/>
                <w:b/>
                <w:bCs/>
                <w:sz w:val="24"/>
                <w:highlight w:val="none"/>
                <w14:ligatures w14:val="standardContextual"/>
              </w:rPr>
              <w:t xml:space="preserve"> </w:t>
            </w:r>
          </w:p>
        </w:tc>
      </w:tr>
      <w:tr w14:paraId="4FAE4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552" w:type="dxa"/>
          </w:tcPr>
          <w:p w14:paraId="48DADE39">
            <w:pPr>
              <w:pStyle w:val="20"/>
              <w:numPr>
                <w:ilvl w:val="0"/>
                <w:numId w:val="4"/>
              </w:numPr>
              <w:rPr>
                <w:rFonts w:eastAsia="宋体"/>
                <w:sz w:val="24"/>
                <w:highlight w:val="none"/>
                <w14:ligatures w14:val="standardContextual"/>
              </w:rPr>
            </w:pPr>
          </w:p>
        </w:tc>
        <w:tc>
          <w:tcPr>
            <w:tcW w:w="981" w:type="dxa"/>
            <w:vAlign w:val="center"/>
          </w:tcPr>
          <w:p w14:paraId="0F8C13FE">
            <w:pPr>
              <w:rPr>
                <w:rFonts w:eastAsia="宋体"/>
                <w:bCs/>
                <w:sz w:val="24"/>
                <w:highlight w:val="none"/>
                <w14:ligatures w14:val="standardContextual"/>
              </w:rPr>
            </w:pPr>
            <w:r>
              <w:rPr>
                <w:rFonts w:hint="eastAsia" w:eastAsia="宋体"/>
                <w:sz w:val="24"/>
                <w:highlight w:val="none"/>
                <w14:ligatures w14:val="standardContextual"/>
              </w:rPr>
              <w:t>规格</w:t>
            </w:r>
          </w:p>
        </w:tc>
        <w:tc>
          <w:tcPr>
            <w:tcW w:w="7540" w:type="dxa"/>
            <w:vAlign w:val="center"/>
          </w:tcPr>
          <w:p w14:paraId="0BE79E3D">
            <w:pPr>
              <w:rPr>
                <w:rFonts w:eastAsia="宋体"/>
                <w:b/>
                <w:bCs/>
                <w:sz w:val="24"/>
                <w:highlight w:val="none"/>
                <w14:ligatures w14:val="standardContextual"/>
              </w:rPr>
            </w:pPr>
            <w:r>
              <w:rPr>
                <w:rFonts w:hint="eastAsia" w:eastAsia="宋体"/>
                <w:sz w:val="24"/>
                <w:highlight w:val="none"/>
                <w14:ligatures w14:val="standardContextual"/>
              </w:rPr>
              <w:t>机架式服务器，满配置时机架高度≤</w:t>
            </w:r>
            <w:r>
              <w:rPr>
                <w:rFonts w:eastAsia="宋体"/>
                <w:sz w:val="24"/>
                <w:highlight w:val="none"/>
                <w14:ligatures w14:val="standardContextual"/>
              </w:rPr>
              <w:t>2</w:t>
            </w:r>
            <w:r>
              <w:rPr>
                <w:rFonts w:hint="eastAsia" w:eastAsia="宋体"/>
                <w:sz w:val="24"/>
                <w:highlight w:val="none"/>
                <w14:ligatures w14:val="standardContextual"/>
              </w:rPr>
              <w:t>U</w:t>
            </w:r>
          </w:p>
        </w:tc>
      </w:tr>
      <w:tr w14:paraId="1807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552" w:type="dxa"/>
          </w:tcPr>
          <w:p w14:paraId="6D1A49E1">
            <w:pPr>
              <w:pStyle w:val="20"/>
              <w:numPr>
                <w:ilvl w:val="0"/>
                <w:numId w:val="4"/>
              </w:numPr>
              <w:rPr>
                <w:rFonts w:eastAsia="宋体"/>
                <w:sz w:val="24"/>
                <w:highlight w:val="none"/>
                <w14:ligatures w14:val="standardContextual"/>
              </w:rPr>
            </w:pPr>
          </w:p>
        </w:tc>
        <w:tc>
          <w:tcPr>
            <w:tcW w:w="981" w:type="dxa"/>
            <w:vMerge w:val="restart"/>
          </w:tcPr>
          <w:p w14:paraId="24913F7D">
            <w:pPr>
              <w:rPr>
                <w:rFonts w:eastAsia="宋体"/>
                <w:sz w:val="24"/>
                <w:highlight w:val="none"/>
                <w14:ligatures w14:val="standardContextual"/>
              </w:rPr>
            </w:pPr>
            <w:r>
              <w:rPr>
                <w:rFonts w:hint="eastAsia" w:eastAsia="宋体"/>
                <w:sz w:val="24"/>
                <w:highlight w:val="none"/>
                <w14:ligatures w14:val="standardContextual"/>
              </w:rPr>
              <w:t>处理器要求</w:t>
            </w:r>
          </w:p>
        </w:tc>
        <w:tc>
          <w:tcPr>
            <w:tcW w:w="7540" w:type="dxa"/>
          </w:tcPr>
          <w:p w14:paraId="733D76E6">
            <w:pPr>
              <w:rPr>
                <w:rFonts w:eastAsia="宋体"/>
                <w:sz w:val="24"/>
                <w:highlight w:val="none"/>
                <w14:ligatures w14:val="standardContextual"/>
              </w:rPr>
            </w:pPr>
            <w:r>
              <w:rPr>
                <w:rFonts w:hint="eastAsia" w:eastAsia="宋体"/>
                <w:sz w:val="24"/>
                <w:highlight w:val="none"/>
                <w14:ligatures w14:val="standardContextual"/>
              </w:rPr>
              <w:t>配置≥2颗X</w:t>
            </w:r>
            <w:r>
              <w:rPr>
                <w:rFonts w:eastAsia="宋体"/>
                <w:sz w:val="24"/>
                <w:highlight w:val="none"/>
                <w14:ligatures w14:val="standardContextual"/>
              </w:rPr>
              <w:t>86</w:t>
            </w:r>
            <w:r>
              <w:rPr>
                <w:rFonts w:hint="eastAsia" w:eastAsia="宋体"/>
                <w:sz w:val="24"/>
                <w:highlight w:val="none"/>
                <w14:ligatures w14:val="standardContextual"/>
              </w:rPr>
              <w:t>架构处理器</w:t>
            </w:r>
          </w:p>
        </w:tc>
      </w:tr>
      <w:tr w14:paraId="15E29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552" w:type="dxa"/>
          </w:tcPr>
          <w:p w14:paraId="69ABC517">
            <w:pPr>
              <w:pStyle w:val="20"/>
              <w:numPr>
                <w:ilvl w:val="0"/>
                <w:numId w:val="4"/>
              </w:numPr>
              <w:rPr>
                <w:rFonts w:eastAsia="宋体"/>
                <w:sz w:val="24"/>
                <w:highlight w:val="none"/>
                <w14:ligatures w14:val="standardContextual"/>
              </w:rPr>
            </w:pPr>
          </w:p>
        </w:tc>
        <w:tc>
          <w:tcPr>
            <w:tcW w:w="981" w:type="dxa"/>
            <w:vMerge w:val="continue"/>
          </w:tcPr>
          <w:p w14:paraId="7DB4F132">
            <w:pPr>
              <w:rPr>
                <w:rFonts w:eastAsia="宋体"/>
                <w:sz w:val="24"/>
                <w:highlight w:val="none"/>
                <w14:ligatures w14:val="standardContextual"/>
              </w:rPr>
            </w:pPr>
          </w:p>
        </w:tc>
        <w:tc>
          <w:tcPr>
            <w:tcW w:w="7540" w:type="dxa"/>
          </w:tcPr>
          <w:p w14:paraId="2196164F">
            <w:pPr>
              <w:rPr>
                <w:rFonts w:eastAsia="宋体"/>
                <w:sz w:val="24"/>
                <w:highlight w:val="none"/>
                <w14:ligatures w14:val="standardContextual"/>
              </w:rPr>
            </w:pPr>
            <w:r>
              <w:rPr>
                <w:rFonts w:hint="eastAsia" w:eastAsia="宋体"/>
                <w:sz w:val="24"/>
                <w:highlight w:val="none"/>
                <w14:ligatures w14:val="standardContextual"/>
              </w:rPr>
              <w:t>单颗处理器满足：基础</w:t>
            </w:r>
            <w:r>
              <w:rPr>
                <w:rFonts w:eastAsia="宋体"/>
                <w:sz w:val="24"/>
                <w:highlight w:val="none"/>
                <w14:ligatures w14:val="standardContextual"/>
              </w:rPr>
              <w:t>主频≥2.4GHz，</w:t>
            </w:r>
            <w:r>
              <w:rPr>
                <w:rFonts w:hint="eastAsia" w:eastAsia="宋体"/>
                <w:sz w:val="24"/>
                <w:highlight w:val="none"/>
                <w14:ligatures w14:val="standardContextual"/>
              </w:rPr>
              <w:t>≥</w:t>
            </w:r>
            <w:r>
              <w:rPr>
                <w:rFonts w:eastAsia="宋体"/>
                <w:sz w:val="24"/>
                <w:highlight w:val="none"/>
                <w14:ligatures w14:val="standardContextual"/>
              </w:rPr>
              <w:t>96核心，</w:t>
            </w:r>
            <w:r>
              <w:rPr>
                <w:rFonts w:hint="eastAsia" w:eastAsia="宋体"/>
                <w:sz w:val="24"/>
                <w:highlight w:val="none"/>
                <w14:ligatures w14:val="standardContextual"/>
              </w:rPr>
              <w:t xml:space="preserve"> L</w:t>
            </w:r>
            <w:r>
              <w:rPr>
                <w:rFonts w:eastAsia="宋体"/>
                <w:sz w:val="24"/>
                <w:highlight w:val="none"/>
                <w14:ligatures w14:val="standardContextual"/>
              </w:rPr>
              <w:t>3 C</w:t>
            </w:r>
            <w:r>
              <w:rPr>
                <w:rFonts w:hint="eastAsia" w:eastAsia="宋体"/>
                <w:sz w:val="24"/>
                <w:highlight w:val="none"/>
                <w14:ligatures w14:val="standardContextual"/>
              </w:rPr>
              <w:t>ache≥</w:t>
            </w:r>
            <w:r>
              <w:rPr>
                <w:rFonts w:eastAsia="宋体"/>
                <w:sz w:val="24"/>
                <w:highlight w:val="none"/>
                <w14:ligatures w14:val="standardContextual"/>
              </w:rPr>
              <w:t>384M</w:t>
            </w:r>
            <w:r>
              <w:rPr>
                <w:rFonts w:hint="eastAsia" w:eastAsia="宋体"/>
                <w:sz w:val="24"/>
                <w:highlight w:val="none"/>
                <w14:ligatures w14:val="standardContextual"/>
              </w:rPr>
              <w:t>，内存通道≥</w:t>
            </w:r>
            <w:r>
              <w:rPr>
                <w:rFonts w:eastAsia="宋体"/>
                <w:sz w:val="24"/>
                <w:highlight w:val="none"/>
                <w14:ligatures w14:val="standardContextual"/>
              </w:rPr>
              <w:t>12</w:t>
            </w:r>
            <w:r>
              <w:rPr>
                <w:rFonts w:hint="eastAsia" w:eastAsia="宋体"/>
                <w:sz w:val="24"/>
                <w:highlight w:val="none"/>
                <w14:ligatures w14:val="standardContextual"/>
              </w:rPr>
              <w:t>个</w:t>
            </w:r>
          </w:p>
        </w:tc>
      </w:tr>
      <w:tr w14:paraId="0E74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552" w:type="dxa"/>
          </w:tcPr>
          <w:p w14:paraId="30552396">
            <w:pPr>
              <w:pStyle w:val="20"/>
              <w:numPr>
                <w:ilvl w:val="0"/>
                <w:numId w:val="4"/>
              </w:numPr>
              <w:rPr>
                <w:rFonts w:eastAsia="宋体"/>
                <w:sz w:val="24"/>
                <w:highlight w:val="none"/>
                <w14:ligatures w14:val="standardContextual"/>
              </w:rPr>
            </w:pPr>
          </w:p>
        </w:tc>
        <w:tc>
          <w:tcPr>
            <w:tcW w:w="981" w:type="dxa"/>
            <w:vMerge w:val="restart"/>
          </w:tcPr>
          <w:p w14:paraId="4D430BEE">
            <w:pPr>
              <w:rPr>
                <w:rFonts w:eastAsia="宋体"/>
                <w:sz w:val="24"/>
                <w:highlight w:val="none"/>
                <w14:ligatures w14:val="standardContextual"/>
              </w:rPr>
            </w:pPr>
            <w:r>
              <w:rPr>
                <w:rFonts w:hint="eastAsia" w:eastAsia="宋体"/>
                <w:sz w:val="24"/>
                <w:highlight w:val="none"/>
                <w14:ligatures w14:val="standardContextual"/>
              </w:rPr>
              <w:t>内存要求</w:t>
            </w:r>
          </w:p>
        </w:tc>
        <w:tc>
          <w:tcPr>
            <w:tcW w:w="7540" w:type="dxa"/>
          </w:tcPr>
          <w:p w14:paraId="202D8C85">
            <w:pPr>
              <w:rPr>
                <w:rFonts w:eastAsia="宋体"/>
                <w:sz w:val="24"/>
                <w:highlight w:val="none"/>
                <w14:ligatures w14:val="standardContextual"/>
              </w:rPr>
            </w:pPr>
            <w:r>
              <w:rPr>
                <w:rFonts w:hint="eastAsia" w:eastAsia="宋体"/>
                <w:sz w:val="24"/>
                <w:highlight w:val="none"/>
                <w14:ligatures w14:val="standardContextual"/>
              </w:rPr>
              <w:t>最大支持≥24个内存插槽；支持高级内存纠错（ECC）、内存镜像（Ememory mirroring）、内存热备（rank sparing）等高级功能，支持4800MT/s工作频率</w:t>
            </w:r>
          </w:p>
        </w:tc>
      </w:tr>
      <w:tr w14:paraId="28633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trPr>
        <w:tc>
          <w:tcPr>
            <w:tcW w:w="552" w:type="dxa"/>
          </w:tcPr>
          <w:p w14:paraId="26C85DE2">
            <w:pPr>
              <w:pStyle w:val="20"/>
              <w:numPr>
                <w:ilvl w:val="0"/>
                <w:numId w:val="4"/>
              </w:numPr>
              <w:rPr>
                <w:rFonts w:eastAsia="宋体"/>
                <w:sz w:val="24"/>
                <w:highlight w:val="none"/>
                <w14:ligatures w14:val="standardContextual"/>
              </w:rPr>
            </w:pPr>
          </w:p>
        </w:tc>
        <w:tc>
          <w:tcPr>
            <w:tcW w:w="981" w:type="dxa"/>
            <w:vMerge w:val="continue"/>
          </w:tcPr>
          <w:p w14:paraId="6FC67D0B">
            <w:pPr>
              <w:rPr>
                <w:rFonts w:eastAsia="宋体"/>
                <w:sz w:val="24"/>
                <w:highlight w:val="none"/>
                <w14:ligatures w14:val="standardContextual"/>
              </w:rPr>
            </w:pPr>
          </w:p>
        </w:tc>
        <w:tc>
          <w:tcPr>
            <w:tcW w:w="7540" w:type="dxa"/>
          </w:tcPr>
          <w:p w14:paraId="2CB7F5F3">
            <w:pPr>
              <w:rPr>
                <w:rFonts w:eastAsia="宋体"/>
                <w:sz w:val="24"/>
                <w:highlight w:val="none"/>
                <w14:ligatures w14:val="standardContextual"/>
              </w:rPr>
            </w:pPr>
            <w:r>
              <w:rPr>
                <w:rFonts w:hint="eastAsia" w:eastAsia="宋体"/>
                <w:sz w:val="24"/>
                <w:highlight w:val="none"/>
                <w14:ligatures w14:val="standardContextual"/>
              </w:rPr>
              <w:t>配置≥</w:t>
            </w:r>
            <w:r>
              <w:rPr>
                <w:rFonts w:eastAsia="宋体"/>
                <w:sz w:val="24"/>
                <w:highlight w:val="none"/>
                <w14:ligatures w14:val="standardContextual"/>
              </w:rPr>
              <w:t>24</w:t>
            </w:r>
            <w:r>
              <w:rPr>
                <w:rFonts w:hint="eastAsia" w:eastAsia="宋体"/>
                <w:sz w:val="24"/>
                <w:highlight w:val="none"/>
                <w14:ligatures w14:val="standardContextual"/>
              </w:rPr>
              <w:t>根</w:t>
            </w:r>
            <w:r>
              <w:rPr>
                <w:rFonts w:eastAsia="宋体"/>
                <w:sz w:val="24"/>
                <w:highlight w:val="none"/>
                <w14:ligatures w14:val="standardContextual"/>
              </w:rPr>
              <w:t>64GB DDR5 4800MH</w:t>
            </w:r>
            <w:r>
              <w:rPr>
                <w:rFonts w:hint="eastAsia" w:eastAsia="宋体"/>
                <w:sz w:val="24"/>
                <w:highlight w:val="none"/>
                <w14:ligatures w14:val="standardContextual"/>
              </w:rPr>
              <w:t>z内存</w:t>
            </w:r>
          </w:p>
        </w:tc>
      </w:tr>
      <w:tr w14:paraId="75392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52" w:type="dxa"/>
          </w:tcPr>
          <w:p w14:paraId="00F27D82">
            <w:pPr>
              <w:pStyle w:val="20"/>
              <w:numPr>
                <w:ilvl w:val="0"/>
                <w:numId w:val="4"/>
              </w:numPr>
              <w:rPr>
                <w:rFonts w:eastAsia="宋体"/>
                <w:sz w:val="24"/>
                <w:highlight w:val="none"/>
                <w14:ligatures w14:val="standardContextual"/>
              </w:rPr>
            </w:pPr>
          </w:p>
        </w:tc>
        <w:tc>
          <w:tcPr>
            <w:tcW w:w="981" w:type="dxa"/>
            <w:vMerge w:val="restart"/>
          </w:tcPr>
          <w:p w14:paraId="71C59F0B">
            <w:pPr>
              <w:rPr>
                <w:rFonts w:eastAsia="宋体"/>
                <w:sz w:val="24"/>
                <w:highlight w:val="none"/>
                <w14:ligatures w14:val="standardContextual"/>
              </w:rPr>
            </w:pPr>
            <w:r>
              <w:rPr>
                <w:rFonts w:hint="eastAsia" w:eastAsia="宋体"/>
                <w:sz w:val="24"/>
                <w:highlight w:val="none"/>
                <w14:ligatures w14:val="standardContextual"/>
              </w:rPr>
              <w:t>本地存储</w:t>
            </w:r>
          </w:p>
        </w:tc>
        <w:tc>
          <w:tcPr>
            <w:tcW w:w="7540" w:type="dxa"/>
          </w:tcPr>
          <w:p w14:paraId="45735964">
            <w:pPr>
              <w:rPr>
                <w:rFonts w:eastAsia="宋体"/>
                <w:sz w:val="24"/>
                <w:highlight w:val="none"/>
                <w14:ligatures w14:val="standardContextual"/>
              </w:rPr>
            </w:pPr>
            <w:r>
              <w:rPr>
                <w:rFonts w:hint="eastAsia" w:eastAsia="宋体"/>
                <w:sz w:val="24"/>
                <w:highlight w:val="none"/>
                <w14:ligatures w14:val="standardContextual"/>
              </w:rPr>
              <w:t>可支持≥</w:t>
            </w:r>
            <w:r>
              <w:rPr>
                <w:rFonts w:eastAsia="宋体"/>
                <w:sz w:val="24"/>
                <w:highlight w:val="none"/>
                <w14:ligatures w14:val="standardContextual"/>
              </w:rPr>
              <w:t>20块3.5"硬盘或28块2.5"硬盘</w:t>
            </w:r>
          </w:p>
        </w:tc>
      </w:tr>
      <w:tr w14:paraId="2E983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552" w:type="dxa"/>
          </w:tcPr>
          <w:p w14:paraId="2BDB3212">
            <w:pPr>
              <w:pStyle w:val="20"/>
              <w:numPr>
                <w:ilvl w:val="0"/>
                <w:numId w:val="4"/>
              </w:numPr>
              <w:rPr>
                <w:rFonts w:eastAsia="宋体"/>
                <w:sz w:val="24"/>
                <w:highlight w:val="none"/>
                <w14:ligatures w14:val="standardContextual"/>
              </w:rPr>
            </w:pPr>
          </w:p>
        </w:tc>
        <w:tc>
          <w:tcPr>
            <w:tcW w:w="981" w:type="dxa"/>
            <w:vMerge w:val="continue"/>
          </w:tcPr>
          <w:p w14:paraId="131CB9FA">
            <w:pPr>
              <w:rPr>
                <w:rFonts w:eastAsia="宋体"/>
                <w:sz w:val="24"/>
                <w:highlight w:val="none"/>
                <w14:ligatures w14:val="standardContextual"/>
              </w:rPr>
            </w:pPr>
          </w:p>
        </w:tc>
        <w:tc>
          <w:tcPr>
            <w:tcW w:w="7540" w:type="dxa"/>
          </w:tcPr>
          <w:p w14:paraId="501772B4">
            <w:pPr>
              <w:rPr>
                <w:rFonts w:eastAsia="宋体"/>
                <w:sz w:val="24"/>
                <w:highlight w:val="none"/>
                <w14:ligatures w14:val="standardContextual"/>
              </w:rPr>
            </w:pPr>
            <w:r>
              <w:rPr>
                <w:rFonts w:hint="eastAsia" w:eastAsia="宋体"/>
                <w:sz w:val="24"/>
                <w:highlight w:val="none"/>
                <w14:ligatures w14:val="standardContextual"/>
              </w:rPr>
              <w:t>配置≥</w:t>
            </w:r>
            <w:r>
              <w:rPr>
                <w:rFonts w:eastAsia="宋体"/>
                <w:sz w:val="24"/>
                <w:highlight w:val="none"/>
                <w14:ligatures w14:val="standardContextual"/>
              </w:rPr>
              <w:t>1块480GB SSD</w:t>
            </w:r>
          </w:p>
        </w:tc>
      </w:tr>
      <w:tr w14:paraId="6EC0D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552" w:type="dxa"/>
          </w:tcPr>
          <w:p w14:paraId="14037EAD">
            <w:pPr>
              <w:pStyle w:val="20"/>
              <w:numPr>
                <w:ilvl w:val="0"/>
                <w:numId w:val="4"/>
              </w:numPr>
              <w:rPr>
                <w:rFonts w:eastAsia="宋体"/>
                <w:sz w:val="24"/>
                <w:highlight w:val="none"/>
                <w14:ligatures w14:val="standardContextual"/>
              </w:rPr>
            </w:pPr>
          </w:p>
        </w:tc>
        <w:tc>
          <w:tcPr>
            <w:tcW w:w="981" w:type="dxa"/>
          </w:tcPr>
          <w:p w14:paraId="651F65B9">
            <w:pPr>
              <w:rPr>
                <w:rFonts w:eastAsia="宋体"/>
                <w:sz w:val="24"/>
                <w:highlight w:val="none"/>
                <w14:ligatures w14:val="standardContextual"/>
              </w:rPr>
            </w:pPr>
            <w:r>
              <w:rPr>
                <w:rFonts w:hint="eastAsia" w:eastAsia="宋体"/>
                <w:sz w:val="24"/>
                <w:highlight w:val="none"/>
                <w14:ligatures w14:val="standardContextual"/>
              </w:rPr>
              <w:t>RAID卡</w:t>
            </w:r>
          </w:p>
        </w:tc>
        <w:tc>
          <w:tcPr>
            <w:tcW w:w="7540" w:type="dxa"/>
          </w:tcPr>
          <w:p w14:paraId="008E50DD">
            <w:pPr>
              <w:rPr>
                <w:rFonts w:eastAsia="宋体"/>
                <w:sz w:val="24"/>
                <w:highlight w:val="none"/>
                <w14:ligatures w14:val="standardContextual"/>
              </w:rPr>
            </w:pPr>
            <w:r>
              <w:rPr>
                <w:rFonts w:hint="eastAsia" w:eastAsia="宋体"/>
                <w:sz w:val="24"/>
                <w:highlight w:val="none"/>
                <w14:ligatures w14:val="standardContextual"/>
              </w:rPr>
              <w:t>配置8通道SAS RAID卡,支持RAID 1/0/5</w:t>
            </w:r>
            <w:r>
              <w:rPr>
                <w:rFonts w:eastAsia="宋体"/>
                <w:sz w:val="24"/>
                <w:highlight w:val="none"/>
                <w14:ligatures w14:val="standardContextual"/>
              </w:rPr>
              <w:t xml:space="preserve"> </w:t>
            </w:r>
            <w:r>
              <w:rPr>
                <w:rFonts w:hint="eastAsia" w:eastAsia="宋体"/>
                <w:sz w:val="24"/>
                <w:highlight w:val="none"/>
                <w14:ligatures w14:val="standardContextual"/>
              </w:rPr>
              <w:t>级别</w:t>
            </w:r>
          </w:p>
        </w:tc>
      </w:tr>
      <w:tr w14:paraId="59DF0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 w:hRule="atLeast"/>
        </w:trPr>
        <w:tc>
          <w:tcPr>
            <w:tcW w:w="552" w:type="dxa"/>
          </w:tcPr>
          <w:p w14:paraId="77C19199">
            <w:pPr>
              <w:pStyle w:val="20"/>
              <w:numPr>
                <w:ilvl w:val="0"/>
                <w:numId w:val="4"/>
              </w:numPr>
              <w:rPr>
                <w:rFonts w:eastAsia="宋体"/>
                <w:sz w:val="24"/>
                <w:highlight w:val="none"/>
                <w14:ligatures w14:val="standardContextual"/>
              </w:rPr>
            </w:pPr>
          </w:p>
        </w:tc>
        <w:tc>
          <w:tcPr>
            <w:tcW w:w="981" w:type="dxa"/>
            <w:vMerge w:val="restart"/>
          </w:tcPr>
          <w:p w14:paraId="57FB8E0C">
            <w:pPr>
              <w:rPr>
                <w:rFonts w:eastAsia="宋体"/>
                <w:sz w:val="24"/>
                <w:highlight w:val="none"/>
                <w14:ligatures w14:val="standardContextual"/>
              </w:rPr>
            </w:pPr>
            <w:r>
              <w:rPr>
                <w:rFonts w:hint="eastAsia" w:eastAsia="宋体"/>
                <w:sz w:val="24"/>
                <w:highlight w:val="none"/>
                <w14:ligatures w14:val="standardContextual"/>
              </w:rPr>
              <w:t>网络接口</w:t>
            </w:r>
          </w:p>
        </w:tc>
        <w:tc>
          <w:tcPr>
            <w:tcW w:w="7540" w:type="dxa"/>
          </w:tcPr>
          <w:p w14:paraId="688538C0">
            <w:pPr>
              <w:rPr>
                <w:rFonts w:eastAsia="宋体"/>
                <w:sz w:val="24"/>
                <w:highlight w:val="none"/>
                <w14:ligatures w14:val="standardContextual"/>
              </w:rPr>
            </w:pPr>
            <w:r>
              <w:rPr>
                <w:rFonts w:hint="eastAsia" w:eastAsia="宋体"/>
                <w:sz w:val="24"/>
                <w:highlight w:val="none"/>
                <w14:ligatures w14:val="standardContextual"/>
              </w:rPr>
              <w:t>配置≥</w:t>
            </w:r>
            <w:r>
              <w:rPr>
                <w:rFonts w:eastAsia="宋体"/>
                <w:sz w:val="24"/>
                <w:highlight w:val="none"/>
                <w14:ligatures w14:val="standardContextual"/>
              </w:rPr>
              <w:t>4个1Gb</w:t>
            </w:r>
            <w:r>
              <w:rPr>
                <w:rFonts w:hint="eastAsia" w:eastAsia="宋体"/>
                <w:sz w:val="24"/>
                <w:highlight w:val="none"/>
                <w14:ligatures w14:val="standardContextual"/>
              </w:rPr>
              <w:t>以太网</w:t>
            </w:r>
            <w:r>
              <w:rPr>
                <w:rFonts w:eastAsia="宋体"/>
                <w:sz w:val="24"/>
                <w:highlight w:val="none"/>
                <w14:ligatures w14:val="standardContextual"/>
              </w:rPr>
              <w:t>口</w:t>
            </w:r>
          </w:p>
        </w:tc>
      </w:tr>
      <w:tr w14:paraId="78E3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552" w:type="dxa"/>
          </w:tcPr>
          <w:p w14:paraId="6E83D21E">
            <w:pPr>
              <w:pStyle w:val="20"/>
              <w:numPr>
                <w:ilvl w:val="0"/>
                <w:numId w:val="4"/>
              </w:numPr>
              <w:rPr>
                <w:rFonts w:eastAsia="宋体"/>
                <w:sz w:val="24"/>
                <w:highlight w:val="none"/>
                <w14:ligatures w14:val="standardContextual"/>
              </w:rPr>
            </w:pPr>
          </w:p>
        </w:tc>
        <w:tc>
          <w:tcPr>
            <w:tcW w:w="981" w:type="dxa"/>
            <w:vMerge w:val="continue"/>
          </w:tcPr>
          <w:p w14:paraId="5220C820">
            <w:pPr>
              <w:rPr>
                <w:rFonts w:eastAsia="宋体"/>
                <w:sz w:val="24"/>
                <w:highlight w:val="none"/>
                <w14:ligatures w14:val="standardContextual"/>
              </w:rPr>
            </w:pPr>
          </w:p>
        </w:tc>
        <w:tc>
          <w:tcPr>
            <w:tcW w:w="7540" w:type="dxa"/>
          </w:tcPr>
          <w:p w14:paraId="4EAA5DF3">
            <w:pPr>
              <w:rPr>
                <w:rFonts w:eastAsia="宋体"/>
                <w:sz w:val="24"/>
                <w:highlight w:val="none"/>
                <w14:ligatures w14:val="standardContextual"/>
              </w:rPr>
            </w:pPr>
            <w:r>
              <w:rPr>
                <w:rFonts w:hint="eastAsia" w:eastAsia="宋体"/>
                <w:sz w:val="24"/>
                <w:highlight w:val="none"/>
                <w14:ligatures w14:val="standardContextual"/>
              </w:rPr>
              <w:t>配置≥</w:t>
            </w:r>
            <w:r>
              <w:rPr>
                <w:rFonts w:eastAsia="宋体"/>
                <w:sz w:val="24"/>
                <w:highlight w:val="none"/>
                <w14:ligatures w14:val="standardContextual"/>
              </w:rPr>
              <w:t xml:space="preserve">1个200Gb </w:t>
            </w:r>
            <w:r>
              <w:rPr>
                <w:rFonts w:hint="eastAsia" w:eastAsia="宋体"/>
                <w:sz w:val="24"/>
                <w:highlight w:val="none"/>
                <w14:ligatures w14:val="standardContextual"/>
              </w:rPr>
              <w:t>ROCE网</w:t>
            </w:r>
            <w:r>
              <w:rPr>
                <w:rFonts w:eastAsia="宋体"/>
                <w:sz w:val="24"/>
                <w:highlight w:val="none"/>
                <w14:ligatures w14:val="standardContextual"/>
              </w:rPr>
              <w:t>口</w:t>
            </w:r>
            <w:r>
              <w:rPr>
                <w:rFonts w:hint="eastAsia" w:eastAsia="宋体"/>
                <w:sz w:val="24"/>
                <w:highlight w:val="none"/>
                <w14:ligatures w14:val="standardContextual"/>
              </w:rPr>
              <w:t>（含光模块）</w:t>
            </w:r>
          </w:p>
        </w:tc>
      </w:tr>
      <w:tr w14:paraId="6D9A4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552" w:type="dxa"/>
          </w:tcPr>
          <w:p w14:paraId="1559BB0E">
            <w:pPr>
              <w:pStyle w:val="20"/>
              <w:numPr>
                <w:ilvl w:val="0"/>
                <w:numId w:val="4"/>
              </w:numPr>
              <w:rPr>
                <w:rFonts w:eastAsia="宋体"/>
                <w:sz w:val="24"/>
                <w:highlight w:val="none"/>
                <w14:ligatures w14:val="standardContextual"/>
              </w:rPr>
            </w:pPr>
          </w:p>
        </w:tc>
        <w:tc>
          <w:tcPr>
            <w:tcW w:w="981" w:type="dxa"/>
          </w:tcPr>
          <w:p w14:paraId="2E69B39F">
            <w:pPr>
              <w:rPr>
                <w:rFonts w:eastAsia="宋体"/>
                <w:sz w:val="24"/>
                <w:highlight w:val="none"/>
                <w14:ligatures w14:val="standardContextual"/>
              </w:rPr>
            </w:pPr>
            <w:r>
              <w:rPr>
                <w:rFonts w:hint="eastAsia" w:eastAsia="宋体"/>
                <w:sz w:val="24"/>
                <w:highlight w:val="none"/>
                <w14:ligatures w14:val="standardContextual"/>
              </w:rPr>
              <w:t>I/O扩展槽</w:t>
            </w:r>
          </w:p>
        </w:tc>
        <w:tc>
          <w:tcPr>
            <w:tcW w:w="7540" w:type="dxa"/>
          </w:tcPr>
          <w:p w14:paraId="281CA2B2">
            <w:pPr>
              <w:rPr>
                <w:rFonts w:hint="default" w:eastAsia="宋体"/>
                <w:sz w:val="24"/>
                <w:highlight w:val="none"/>
                <w:lang w:val="en-US" w:eastAsia="zh-CN"/>
                <w14:ligatures w14:val="standardContextual"/>
              </w:rPr>
            </w:pPr>
            <w:r>
              <w:rPr>
                <w:rFonts w:hint="eastAsia" w:eastAsia="宋体"/>
                <w:sz w:val="24"/>
                <w:highlight w:val="none"/>
                <w14:ligatures w14:val="standardContextual"/>
              </w:rPr>
              <w:t>▲最大支持8个PCIe插槽，支持2个OCP 3.0 x16</w:t>
            </w:r>
            <w:r>
              <w:rPr>
                <w:rFonts w:hint="eastAsia"/>
                <w:sz w:val="24"/>
                <w:highlight w:val="none"/>
                <w:lang w:eastAsia="zh-CN"/>
                <w14:ligatures w14:val="standardContextual"/>
              </w:rPr>
              <w:t>（提供证明材料）</w:t>
            </w:r>
          </w:p>
        </w:tc>
      </w:tr>
      <w:tr w14:paraId="34509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552" w:type="dxa"/>
          </w:tcPr>
          <w:p w14:paraId="52DD2FEB">
            <w:pPr>
              <w:pStyle w:val="20"/>
              <w:numPr>
                <w:ilvl w:val="0"/>
                <w:numId w:val="4"/>
              </w:numPr>
              <w:rPr>
                <w:rFonts w:eastAsia="宋体"/>
                <w:sz w:val="24"/>
                <w:highlight w:val="none"/>
                <w14:ligatures w14:val="standardContextual"/>
              </w:rPr>
            </w:pPr>
          </w:p>
        </w:tc>
        <w:tc>
          <w:tcPr>
            <w:tcW w:w="981" w:type="dxa"/>
          </w:tcPr>
          <w:p w14:paraId="0A84324D">
            <w:pPr>
              <w:rPr>
                <w:rFonts w:eastAsia="宋体"/>
                <w:sz w:val="24"/>
                <w:highlight w:val="none"/>
                <w14:ligatures w14:val="standardContextual"/>
              </w:rPr>
            </w:pPr>
            <w:r>
              <w:rPr>
                <w:rFonts w:hint="eastAsia" w:eastAsia="宋体"/>
                <w:sz w:val="24"/>
                <w:highlight w:val="none"/>
                <w14:ligatures w14:val="standardContextual"/>
              </w:rPr>
              <w:t>电源和风扇</w:t>
            </w:r>
          </w:p>
        </w:tc>
        <w:tc>
          <w:tcPr>
            <w:tcW w:w="7540" w:type="dxa"/>
          </w:tcPr>
          <w:p w14:paraId="0C8A64FB">
            <w:pPr>
              <w:rPr>
                <w:rFonts w:eastAsia="宋体"/>
                <w:sz w:val="24"/>
                <w:highlight w:val="none"/>
                <w14:ligatures w14:val="standardContextual"/>
              </w:rPr>
            </w:pPr>
            <w:r>
              <w:rPr>
                <w:rFonts w:hint="eastAsia" w:eastAsia="宋体"/>
                <w:sz w:val="24"/>
                <w:highlight w:val="none"/>
                <w14:ligatures w14:val="standardContextual"/>
              </w:rPr>
              <w:t>配置1+1冗余电源，满配冗余风扇，保证系统高可用性</w:t>
            </w:r>
          </w:p>
        </w:tc>
      </w:tr>
      <w:tr w14:paraId="4B718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atLeast"/>
        </w:trPr>
        <w:tc>
          <w:tcPr>
            <w:tcW w:w="552" w:type="dxa"/>
          </w:tcPr>
          <w:p w14:paraId="139906C7">
            <w:pPr>
              <w:pStyle w:val="20"/>
              <w:numPr>
                <w:ilvl w:val="0"/>
                <w:numId w:val="4"/>
              </w:numPr>
              <w:rPr>
                <w:rFonts w:eastAsia="宋体"/>
                <w:sz w:val="24"/>
                <w:highlight w:val="none"/>
                <w14:ligatures w14:val="standardContextual"/>
              </w:rPr>
            </w:pPr>
          </w:p>
        </w:tc>
        <w:tc>
          <w:tcPr>
            <w:tcW w:w="981" w:type="dxa"/>
            <w:vMerge w:val="restart"/>
          </w:tcPr>
          <w:p w14:paraId="70A5C227">
            <w:pPr>
              <w:rPr>
                <w:rFonts w:eastAsia="宋体"/>
                <w:sz w:val="24"/>
                <w:highlight w:val="none"/>
                <w14:ligatures w14:val="standardContextual"/>
              </w:rPr>
            </w:pPr>
            <w:r>
              <w:rPr>
                <w:rFonts w:hint="eastAsia" w:eastAsia="宋体"/>
                <w:sz w:val="24"/>
                <w:highlight w:val="none"/>
                <w14:ligatures w14:val="standardContextual"/>
              </w:rPr>
              <w:t>服务器管理</w:t>
            </w:r>
          </w:p>
        </w:tc>
        <w:tc>
          <w:tcPr>
            <w:tcW w:w="7540" w:type="dxa"/>
          </w:tcPr>
          <w:p w14:paraId="22164569">
            <w:pPr>
              <w:rPr>
                <w:rFonts w:eastAsia="宋体"/>
                <w:sz w:val="24"/>
                <w:highlight w:val="none"/>
                <w14:ligatures w14:val="standardContextual"/>
              </w:rPr>
            </w:pPr>
            <w:r>
              <w:rPr>
                <w:rFonts w:hint="eastAsia" w:eastAsia="宋体"/>
                <w:sz w:val="24"/>
                <w:highlight w:val="none"/>
                <w14:ligatures w14:val="standardContextual"/>
              </w:rPr>
              <w:t>支持 IPMI、远程监控图形界面，可远程通过独立端口对服务器完全控制，包括远程的开关机、重启、更新 Firmware, 虚拟 KVM, 虚拟光驱等</w:t>
            </w:r>
          </w:p>
        </w:tc>
      </w:tr>
      <w:tr w14:paraId="0C3C7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trPr>
        <w:tc>
          <w:tcPr>
            <w:tcW w:w="552" w:type="dxa"/>
          </w:tcPr>
          <w:p w14:paraId="5E7C8D1E">
            <w:pPr>
              <w:pStyle w:val="20"/>
              <w:numPr>
                <w:ilvl w:val="0"/>
                <w:numId w:val="4"/>
              </w:numPr>
              <w:rPr>
                <w:rFonts w:eastAsia="宋体"/>
                <w:sz w:val="24"/>
                <w:highlight w:val="none"/>
                <w14:ligatures w14:val="standardContextual"/>
              </w:rPr>
            </w:pPr>
          </w:p>
        </w:tc>
        <w:tc>
          <w:tcPr>
            <w:tcW w:w="981" w:type="dxa"/>
            <w:vMerge w:val="continue"/>
          </w:tcPr>
          <w:p w14:paraId="6B3EB028">
            <w:pPr>
              <w:rPr>
                <w:rFonts w:eastAsia="宋体"/>
                <w:sz w:val="24"/>
                <w:highlight w:val="none"/>
                <w14:ligatures w14:val="standardContextual"/>
              </w:rPr>
            </w:pPr>
          </w:p>
        </w:tc>
        <w:tc>
          <w:tcPr>
            <w:tcW w:w="7540" w:type="dxa"/>
          </w:tcPr>
          <w:p w14:paraId="5EF8DCD3">
            <w:pPr>
              <w:rPr>
                <w:rFonts w:eastAsia="宋体"/>
                <w:sz w:val="24"/>
                <w:highlight w:val="none"/>
                <w14:ligatures w14:val="standardContextual"/>
              </w:rPr>
            </w:pPr>
            <w:r>
              <w:rPr>
                <w:rFonts w:hint="eastAsia" w:eastAsia="宋体"/>
                <w:sz w:val="24"/>
                <w:highlight w:val="none"/>
                <w14:ligatures w14:val="standardContextual"/>
              </w:rPr>
              <w:t>支持服务器全方位性能监控，包括CPU 利用率、CPU温度、内存使用率、SWAP使用率，内存及SWAP使用明细；TCP重传率及套接字个数；UDP连接数；硬盘读写次数及读写时速率；出入风口温度；风扇转速及风扇占空比；分区使用率及分区未使用量；网络发送速率、接收速率等，运行时长、系统进程数等，提供产品截图证明</w:t>
            </w:r>
          </w:p>
        </w:tc>
      </w:tr>
      <w:tr w14:paraId="01729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8" w:hRule="atLeast"/>
        </w:trPr>
        <w:tc>
          <w:tcPr>
            <w:tcW w:w="552" w:type="dxa"/>
          </w:tcPr>
          <w:p w14:paraId="060FEE9E">
            <w:pPr>
              <w:pStyle w:val="20"/>
              <w:numPr>
                <w:ilvl w:val="0"/>
                <w:numId w:val="4"/>
              </w:numPr>
              <w:rPr>
                <w:rFonts w:eastAsia="宋体"/>
                <w:sz w:val="24"/>
                <w:highlight w:val="none"/>
                <w14:ligatures w14:val="standardContextual"/>
              </w:rPr>
            </w:pPr>
          </w:p>
        </w:tc>
        <w:tc>
          <w:tcPr>
            <w:tcW w:w="981" w:type="dxa"/>
          </w:tcPr>
          <w:p w14:paraId="2C41E4D0">
            <w:pPr>
              <w:rPr>
                <w:rFonts w:eastAsia="宋体"/>
                <w:sz w:val="24"/>
                <w:highlight w:val="none"/>
                <w14:ligatures w14:val="standardContextual"/>
              </w:rPr>
            </w:pPr>
            <w:r>
              <w:rPr>
                <w:rFonts w:hint="eastAsia" w:eastAsia="宋体"/>
                <w:sz w:val="24"/>
                <w:highlight w:val="none"/>
                <w14:ligatures w14:val="standardContextual"/>
              </w:rPr>
              <w:t>操作系统</w:t>
            </w:r>
          </w:p>
        </w:tc>
        <w:tc>
          <w:tcPr>
            <w:tcW w:w="7540" w:type="dxa"/>
          </w:tcPr>
          <w:p w14:paraId="76F3C8FD">
            <w:pPr>
              <w:rPr>
                <w:rFonts w:hint="eastAsia" w:eastAsia="宋体"/>
                <w:sz w:val="24"/>
                <w:highlight w:val="none"/>
                <w:lang w:eastAsia="zh-CN"/>
                <w14:ligatures w14:val="standardContextual"/>
              </w:rPr>
            </w:pPr>
            <w:r>
              <w:rPr>
                <w:rFonts w:hint="eastAsia" w:eastAsia="宋体"/>
                <w:sz w:val="24"/>
                <w:highlight w:val="none"/>
                <w14:ligatures w14:val="standardContextual"/>
              </w:rPr>
              <w:t>▲配置国产Linux操作系统，与服务器同品牌，操作系统中软件密码模块符合GM-T 0028《密码模块安全技术要求》第二级要求</w:t>
            </w:r>
            <w:r>
              <w:rPr>
                <w:rFonts w:hint="eastAsia"/>
                <w:sz w:val="24"/>
                <w:highlight w:val="none"/>
                <w:lang w:eastAsia="zh-CN"/>
                <w14:ligatures w14:val="standardContextual"/>
              </w:rPr>
              <w:t>（提供证明材料）</w:t>
            </w:r>
          </w:p>
        </w:tc>
      </w:tr>
      <w:tr w14:paraId="40E0F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52" w:type="dxa"/>
          </w:tcPr>
          <w:p w14:paraId="01BAF17A">
            <w:pPr>
              <w:pStyle w:val="20"/>
              <w:numPr>
                <w:ilvl w:val="0"/>
                <w:numId w:val="4"/>
              </w:numPr>
              <w:rPr>
                <w:rFonts w:eastAsia="宋体"/>
                <w:sz w:val="24"/>
                <w:highlight w:val="none"/>
                <w14:ligatures w14:val="standardContextual"/>
              </w:rPr>
            </w:pPr>
          </w:p>
        </w:tc>
        <w:tc>
          <w:tcPr>
            <w:tcW w:w="981" w:type="dxa"/>
            <w:vMerge w:val="restart"/>
            <w:vAlign w:val="center"/>
          </w:tcPr>
          <w:p w14:paraId="15C60343">
            <w:pPr>
              <w:rPr>
                <w:rFonts w:hint="default" w:eastAsia="宋体"/>
                <w:sz w:val="24"/>
                <w:highlight w:val="none"/>
                <w:lang w:val="en-US" w:eastAsia="zh-CN"/>
                <w14:ligatures w14:val="standardContextual"/>
              </w:rPr>
            </w:pPr>
            <w:r>
              <w:rPr>
                <w:rFonts w:hint="eastAsia" w:eastAsia="宋体"/>
                <w:sz w:val="24"/>
                <w:highlight w:val="none"/>
                <w:lang w:val="en-US" w:eastAsia="zh-CN"/>
                <w14:ligatures w14:val="standardContextual"/>
              </w:rPr>
              <w:t>集群通信</w:t>
            </w:r>
          </w:p>
        </w:tc>
        <w:tc>
          <w:tcPr>
            <w:tcW w:w="7540" w:type="dxa"/>
            <w:vAlign w:val="center"/>
          </w:tcPr>
          <w:p w14:paraId="4FC7DDC6">
            <w:pPr>
              <w:rPr>
                <w:rFonts w:hint="eastAsia" w:eastAsia="宋体"/>
                <w:sz w:val="24"/>
                <w:highlight w:val="none"/>
                <w:lang w:eastAsia="zh-CN"/>
                <w14:ligatures w14:val="standardContextual"/>
              </w:rPr>
            </w:pPr>
            <w:r>
              <w:rPr>
                <w:rFonts w:hint="eastAsia" w:eastAsia="宋体"/>
                <w:sz w:val="24"/>
                <w:highlight w:val="none"/>
                <w:lang w:eastAsia="zh-CN"/>
                <w14:ligatures w14:val="standardContextual"/>
              </w:rPr>
              <w:t>所有计算节点、大容量数据节点和管理节点构成一个独立的高速互联集群。</w:t>
            </w:r>
          </w:p>
        </w:tc>
      </w:tr>
      <w:tr w14:paraId="0F00B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52" w:type="dxa"/>
          </w:tcPr>
          <w:p w14:paraId="211BCB03">
            <w:pPr>
              <w:pStyle w:val="20"/>
              <w:numPr>
                <w:ilvl w:val="0"/>
                <w:numId w:val="4"/>
              </w:numPr>
              <w:rPr>
                <w:rFonts w:eastAsia="宋体"/>
                <w:sz w:val="24"/>
                <w:highlight w:val="none"/>
                <w14:ligatures w14:val="standardContextual"/>
              </w:rPr>
            </w:pPr>
          </w:p>
        </w:tc>
        <w:tc>
          <w:tcPr>
            <w:tcW w:w="981" w:type="dxa"/>
            <w:vMerge w:val="continue"/>
            <w:vAlign w:val="center"/>
          </w:tcPr>
          <w:p w14:paraId="3DF7D00C">
            <w:pPr>
              <w:rPr>
                <w:rFonts w:hint="eastAsia" w:eastAsia="宋体"/>
                <w:sz w:val="24"/>
                <w:highlight w:val="none"/>
                <w14:ligatures w14:val="standardContextual"/>
              </w:rPr>
            </w:pPr>
          </w:p>
        </w:tc>
        <w:tc>
          <w:tcPr>
            <w:tcW w:w="7540" w:type="dxa"/>
            <w:vAlign w:val="center"/>
          </w:tcPr>
          <w:p w14:paraId="7AE87906">
            <w:pPr>
              <w:rPr>
                <w:rFonts w:hint="eastAsia" w:eastAsia="宋体"/>
                <w:sz w:val="24"/>
                <w:highlight w:val="none"/>
                <w:lang w:eastAsia="zh-CN"/>
                <w14:ligatures w14:val="standardContextual"/>
              </w:rPr>
            </w:pPr>
            <w:r>
              <w:rPr>
                <w:rFonts w:hint="eastAsia" w:eastAsia="宋体"/>
                <w:sz w:val="24"/>
                <w:highlight w:val="none"/>
                <w:lang w:eastAsia="zh-CN"/>
                <w14:ligatures w14:val="standardContextual"/>
              </w:rPr>
              <w:t>各服务器通过可独立供电的高速互联数据通信设备互联，</w:t>
            </w:r>
            <w:r>
              <w:rPr>
                <w:rFonts w:hint="eastAsia" w:eastAsia="宋体"/>
                <w:sz w:val="24"/>
                <w:highlight w:val="none"/>
                <w14:ligatures w14:val="standardContextual"/>
              </w:rPr>
              <w:t>支持10G/40G/100G/400G端</w:t>
            </w:r>
            <w:r>
              <w:rPr>
                <w:rFonts w:hint="eastAsia" w:eastAsia="宋体"/>
                <w:sz w:val="24"/>
                <w:highlight w:val="none"/>
                <w:lang w:eastAsia="zh-CN"/>
                <w14:ligatures w14:val="standardContextual"/>
              </w:rPr>
              <w:t>。</w:t>
            </w:r>
          </w:p>
          <w:p w14:paraId="0B95007A">
            <w:pPr>
              <w:rPr>
                <w:rFonts w:hint="eastAsia" w:eastAsia="宋体"/>
                <w:sz w:val="24"/>
                <w:highlight w:val="none"/>
                <w:lang w:eastAsia="zh-CN"/>
                <w14:ligatures w14:val="standardContextual"/>
              </w:rPr>
            </w:pPr>
            <w:r>
              <w:rPr>
                <w:rFonts w:hint="eastAsia" w:eastAsia="宋体"/>
                <w:sz w:val="24"/>
                <w:highlight w:val="none"/>
                <w14:ligatures w14:val="standardContextual"/>
              </w:rPr>
              <w:t>▲独立电源槽位≥4个，风扇≥6个，满配4个电源、6个风扇</w:t>
            </w:r>
            <w:r>
              <w:rPr>
                <w:rFonts w:hint="eastAsia"/>
                <w:sz w:val="24"/>
                <w:highlight w:val="none"/>
                <w:lang w:eastAsia="zh-CN"/>
                <w14:ligatures w14:val="standardContextual"/>
              </w:rPr>
              <w:t>（提供证明材料）</w:t>
            </w:r>
            <w:r>
              <w:rPr>
                <w:rFonts w:hint="eastAsia" w:eastAsia="宋体"/>
                <w:sz w:val="24"/>
                <w:highlight w:val="none"/>
                <w14:ligatures w14:val="standardContextual"/>
              </w:rPr>
              <w:t>；</w:t>
            </w:r>
          </w:p>
        </w:tc>
      </w:tr>
      <w:tr w14:paraId="298FD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52" w:type="dxa"/>
          </w:tcPr>
          <w:p w14:paraId="5B70014C">
            <w:pPr>
              <w:pStyle w:val="20"/>
              <w:numPr>
                <w:ilvl w:val="0"/>
                <w:numId w:val="4"/>
              </w:numPr>
              <w:rPr>
                <w:rFonts w:eastAsia="宋体"/>
                <w:sz w:val="24"/>
                <w:highlight w:val="none"/>
                <w14:ligatures w14:val="standardContextual"/>
              </w:rPr>
            </w:pPr>
          </w:p>
        </w:tc>
        <w:tc>
          <w:tcPr>
            <w:tcW w:w="981" w:type="dxa"/>
            <w:vMerge w:val="continue"/>
            <w:vAlign w:val="center"/>
          </w:tcPr>
          <w:p w14:paraId="18FAD267">
            <w:pPr>
              <w:rPr>
                <w:rFonts w:hint="eastAsia" w:eastAsia="宋体"/>
                <w:sz w:val="24"/>
                <w:highlight w:val="none"/>
                <w14:ligatures w14:val="standardContextual"/>
              </w:rPr>
            </w:pPr>
          </w:p>
        </w:tc>
        <w:tc>
          <w:tcPr>
            <w:tcW w:w="7540" w:type="dxa"/>
            <w:vAlign w:val="center"/>
          </w:tcPr>
          <w:p w14:paraId="6A3E9654">
            <w:pPr>
              <w:rPr>
                <w:rFonts w:hint="eastAsia" w:eastAsia="宋体"/>
                <w:sz w:val="24"/>
                <w:highlight w:val="none"/>
                <w:lang w:eastAsia="zh-CN"/>
                <w14:ligatures w14:val="standardContextual"/>
              </w:rPr>
            </w:pPr>
            <w:r>
              <w:rPr>
                <w:rFonts w:hint="eastAsia" w:eastAsia="宋体"/>
                <w:sz w:val="24"/>
                <w:highlight w:val="none"/>
                <w14:ligatures w14:val="standardContextual"/>
              </w:rPr>
              <w:t>单板卡支持8个400G 或最大16个200G QSFP-DD 光纤接口；单板卡支持40/100G 接口≥32个；单板卡支持10G万兆接口≥28个</w:t>
            </w:r>
          </w:p>
        </w:tc>
      </w:tr>
      <w:tr w14:paraId="15665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52" w:type="dxa"/>
          </w:tcPr>
          <w:p w14:paraId="03522C56">
            <w:pPr>
              <w:pStyle w:val="20"/>
              <w:numPr>
                <w:ilvl w:val="0"/>
                <w:numId w:val="4"/>
              </w:numPr>
              <w:rPr>
                <w:rFonts w:eastAsia="宋体"/>
                <w:sz w:val="24"/>
                <w:highlight w:val="none"/>
                <w14:ligatures w14:val="standardContextual"/>
              </w:rPr>
            </w:pPr>
          </w:p>
        </w:tc>
        <w:tc>
          <w:tcPr>
            <w:tcW w:w="981" w:type="dxa"/>
            <w:vMerge w:val="continue"/>
            <w:vAlign w:val="center"/>
          </w:tcPr>
          <w:p w14:paraId="1F8854C8">
            <w:pPr>
              <w:rPr>
                <w:rFonts w:hint="eastAsia" w:eastAsia="宋体"/>
                <w:sz w:val="24"/>
                <w:highlight w:val="none"/>
                <w14:ligatures w14:val="standardContextual"/>
              </w:rPr>
            </w:pPr>
          </w:p>
        </w:tc>
        <w:tc>
          <w:tcPr>
            <w:tcW w:w="7540" w:type="dxa"/>
            <w:vAlign w:val="center"/>
          </w:tcPr>
          <w:p w14:paraId="24C6C02E">
            <w:pPr>
              <w:rPr>
                <w:rFonts w:hint="eastAsia" w:eastAsia="宋体"/>
                <w:sz w:val="24"/>
                <w:highlight w:val="none"/>
                <w14:ligatures w14:val="standardContextual"/>
              </w:rPr>
            </w:pPr>
            <w:r>
              <w:rPr>
                <w:rFonts w:hint="eastAsia" w:eastAsia="宋体"/>
                <w:sz w:val="24"/>
                <w:highlight w:val="none"/>
                <w14:ligatures w14:val="standardContextual"/>
              </w:rPr>
              <w:t>▲超低延迟转发，应对微突发流量，转发时延≤1.</w:t>
            </w:r>
            <w:r>
              <w:rPr>
                <w:rFonts w:eastAsia="宋体"/>
                <w:sz w:val="24"/>
                <w:highlight w:val="none"/>
                <w14:ligatures w14:val="standardContextual"/>
              </w:rPr>
              <w:t>5</w:t>
            </w:r>
            <w:r>
              <w:rPr>
                <w:rFonts w:hint="eastAsia" w:eastAsia="宋体"/>
                <w:sz w:val="24"/>
                <w:highlight w:val="none"/>
                <w14:ligatures w14:val="standardContextual"/>
              </w:rPr>
              <w:t>us，</w:t>
            </w:r>
            <w:r>
              <w:rPr>
                <w:rFonts w:hint="eastAsia"/>
                <w:sz w:val="24"/>
                <w:highlight w:val="none"/>
                <w:lang w:eastAsia="zh-CN"/>
                <w14:ligatures w14:val="standardContextual"/>
              </w:rPr>
              <w:t>（提供证明材料）</w:t>
            </w:r>
          </w:p>
        </w:tc>
      </w:tr>
      <w:tr w14:paraId="4E42B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552" w:type="dxa"/>
          </w:tcPr>
          <w:p w14:paraId="60ED4843">
            <w:pPr>
              <w:pStyle w:val="20"/>
              <w:numPr>
                <w:ilvl w:val="0"/>
                <w:numId w:val="4"/>
              </w:numPr>
              <w:rPr>
                <w:rFonts w:eastAsia="宋体"/>
                <w:sz w:val="24"/>
                <w:highlight w:val="none"/>
                <w14:ligatures w14:val="standardContextual"/>
              </w:rPr>
            </w:pPr>
          </w:p>
        </w:tc>
        <w:tc>
          <w:tcPr>
            <w:tcW w:w="981" w:type="dxa"/>
            <w:vMerge w:val="continue"/>
            <w:vAlign w:val="center"/>
          </w:tcPr>
          <w:p w14:paraId="3CBF5703">
            <w:pPr>
              <w:rPr>
                <w:rFonts w:hint="eastAsia" w:eastAsia="宋体"/>
                <w:sz w:val="24"/>
                <w:highlight w:val="none"/>
                <w14:ligatures w14:val="standardContextual"/>
              </w:rPr>
            </w:pPr>
          </w:p>
        </w:tc>
        <w:tc>
          <w:tcPr>
            <w:tcW w:w="7540" w:type="dxa"/>
            <w:shd w:val="clear" w:color="auto" w:fill="auto"/>
            <w:vAlign w:val="center"/>
          </w:tcPr>
          <w:p w14:paraId="5201DAF5">
            <w:pPr>
              <w:rPr>
                <w:rFonts w:hint="eastAsia" w:ascii="Times New Roman" w:hAnsi="Times New Roman" w:eastAsia="宋体" w:cs="Times New Roman"/>
                <w:kern w:val="0"/>
                <w:sz w:val="24"/>
                <w:szCs w:val="24"/>
                <w:highlight w:val="none"/>
                <w:lang w:val="en-US" w:eastAsia="zh-CN" w:bidi="ar-SA"/>
                <w14:ligatures w14:val="standardContextual"/>
              </w:rPr>
            </w:pPr>
            <w:r>
              <w:rPr>
                <w:rFonts w:hint="eastAsia" w:eastAsia="宋体"/>
                <w:sz w:val="24"/>
                <w:highlight w:val="none"/>
                <w14:ligatures w14:val="standardContextual"/>
              </w:rPr>
              <w:t>实配存储硬盘≥240G，可用于日志、文件存储等</w:t>
            </w:r>
          </w:p>
        </w:tc>
      </w:tr>
      <w:tr w14:paraId="38715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0" w:type="auto"/>
          </w:tcPr>
          <w:p w14:paraId="59DBF888">
            <w:pPr>
              <w:pStyle w:val="20"/>
              <w:numPr>
                <w:ilvl w:val="0"/>
                <w:numId w:val="4"/>
              </w:numPr>
              <w:rPr>
                <w:rFonts w:eastAsia="宋体"/>
                <w:sz w:val="24"/>
                <w:highlight w:val="none"/>
                <w14:ligatures w14:val="standardContextual"/>
              </w:rPr>
            </w:pPr>
          </w:p>
        </w:tc>
        <w:tc>
          <w:tcPr>
            <w:tcW w:w="981" w:type="dxa"/>
            <w:vMerge w:val="continue"/>
          </w:tcPr>
          <w:p w14:paraId="5211403B">
            <w:pPr>
              <w:rPr>
                <w:rFonts w:hint="eastAsia" w:eastAsia="宋体"/>
                <w:sz w:val="24"/>
                <w:highlight w:val="none"/>
                <w14:ligatures w14:val="standardContextual"/>
              </w:rPr>
            </w:pPr>
          </w:p>
        </w:tc>
        <w:tc>
          <w:tcPr>
            <w:tcW w:w="0" w:type="auto"/>
            <w:shd w:val="clear" w:color="auto" w:fill="auto"/>
            <w:vAlign w:val="center"/>
          </w:tcPr>
          <w:p w14:paraId="5BD4B052">
            <w:pPr>
              <w:rPr>
                <w:rFonts w:hint="eastAsia" w:ascii="Times New Roman" w:hAnsi="Times New Roman" w:eastAsia="宋体" w:cs="Times New Roman"/>
                <w:kern w:val="0"/>
                <w:sz w:val="24"/>
                <w:szCs w:val="24"/>
                <w:highlight w:val="none"/>
                <w:lang w:val="en-US" w:eastAsia="zh-CN" w:bidi="ar-SA"/>
                <w14:ligatures w14:val="standardContextual"/>
              </w:rPr>
            </w:pPr>
            <w:r>
              <w:rPr>
                <w:rFonts w:hint="eastAsia" w:eastAsia="宋体"/>
                <w:sz w:val="24"/>
                <w:highlight w:val="none"/>
                <w14:ligatures w14:val="standardContextual"/>
              </w:rPr>
              <w:t>配置≥</w:t>
            </w:r>
            <w:r>
              <w:rPr>
                <w:rFonts w:eastAsia="宋体"/>
                <w:sz w:val="24"/>
                <w:highlight w:val="none"/>
                <w14:ligatures w14:val="standardContextual"/>
              </w:rPr>
              <w:t>24</w:t>
            </w:r>
            <w:r>
              <w:rPr>
                <w:rFonts w:hint="eastAsia" w:eastAsia="宋体"/>
                <w:sz w:val="24"/>
                <w:highlight w:val="none"/>
                <w14:ligatures w14:val="standardContextual"/>
              </w:rPr>
              <w:t>个400G QSFP DD光纤端口，配置≥1</w:t>
            </w:r>
            <w:r>
              <w:rPr>
                <w:rFonts w:hint="default" w:eastAsia="宋体"/>
                <w:sz w:val="24"/>
                <w:highlight w:val="none"/>
                <w:lang w:val="en-US"/>
                <w14:ligatures w14:val="standardContextual"/>
              </w:rPr>
              <w:t>4</w:t>
            </w:r>
            <w:r>
              <w:rPr>
                <w:rFonts w:hint="eastAsia" w:eastAsia="宋体"/>
                <w:sz w:val="24"/>
                <w:highlight w:val="none"/>
                <w14:ligatures w14:val="standardContextual"/>
              </w:rPr>
              <w:t>个400G光模块，配置≥</w:t>
            </w:r>
            <w:r>
              <w:rPr>
                <w:rFonts w:eastAsia="宋体"/>
                <w:sz w:val="24"/>
                <w:highlight w:val="none"/>
                <w14:ligatures w14:val="standardContextual"/>
              </w:rPr>
              <w:t>1</w:t>
            </w:r>
            <w:r>
              <w:rPr>
                <w:rFonts w:hint="default" w:eastAsia="宋体"/>
                <w:sz w:val="24"/>
                <w:highlight w:val="none"/>
                <w:lang w:val="en-US"/>
                <w14:ligatures w14:val="standardContextual"/>
              </w:rPr>
              <w:t>4</w:t>
            </w:r>
            <w:r>
              <w:rPr>
                <w:rFonts w:hint="eastAsia" w:eastAsia="宋体"/>
                <w:sz w:val="24"/>
                <w:highlight w:val="none"/>
                <w14:ligatures w14:val="standardContextual"/>
              </w:rPr>
              <w:t>根400G转2个200G 线缆</w:t>
            </w:r>
          </w:p>
        </w:tc>
      </w:tr>
    </w:tbl>
    <w:p w14:paraId="6B98F98B">
      <w:pPr>
        <w:rPr>
          <w:highlight w:val="none"/>
        </w:rPr>
      </w:pPr>
    </w:p>
    <w:p w14:paraId="6EAE0186">
      <w:pPr>
        <w:rPr>
          <w:highlight w:val="none"/>
        </w:rPr>
      </w:pPr>
      <w:r>
        <w:rPr>
          <w:highlight w:val="none"/>
        </w:rPr>
        <w:br w:type="page"/>
      </w:r>
    </w:p>
    <w:p w14:paraId="247D6FF0">
      <w:pPr>
        <w:pStyle w:val="3"/>
        <w:rPr>
          <w:highlight w:val="none"/>
        </w:rPr>
      </w:pPr>
      <w:r>
        <w:rPr>
          <w:rFonts w:hint="eastAsia"/>
          <w:highlight w:val="none"/>
          <w:lang w:eastAsia="zh-CN"/>
        </w:rPr>
        <w:t>大容量数据节点</w:t>
      </w:r>
      <w:r>
        <w:rPr>
          <w:rFonts w:hint="eastAsia"/>
          <w:highlight w:val="none"/>
        </w:rPr>
        <w:t>（</w:t>
      </w:r>
      <w:r>
        <w:rPr>
          <w:highlight w:val="none"/>
        </w:rPr>
        <w:t>1</w:t>
      </w:r>
      <w:r>
        <w:rPr>
          <w:rFonts w:hint="eastAsia"/>
          <w:highlight w:val="none"/>
        </w:rPr>
        <w:t>套）</w:t>
      </w:r>
    </w:p>
    <w:tbl>
      <w:tblPr>
        <w:tblStyle w:val="10"/>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783"/>
        <w:gridCol w:w="1249"/>
        <w:gridCol w:w="6405"/>
      </w:tblGrid>
      <w:tr w14:paraId="7E6659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636" w:type="dxa"/>
            <w:shd w:val="clear" w:color="auto" w:fill="BEBEBE" w:themeFill="background1" w:themeFillShade="BF"/>
            <w:noWrap/>
            <w:vAlign w:val="center"/>
          </w:tcPr>
          <w:p w14:paraId="657CB57B">
            <w:pPr>
              <w:rPr>
                <w:rFonts w:ascii="宋体" w:hAnsi="宋体" w:eastAsia="宋体"/>
                <w:sz w:val="24"/>
                <w:szCs w:val="21"/>
                <w:highlight w:val="none"/>
              </w:rPr>
            </w:pPr>
            <w:r>
              <w:rPr>
                <w:rFonts w:hint="eastAsia" w:ascii="宋体" w:hAnsi="宋体" w:eastAsia="宋体"/>
                <w:sz w:val="24"/>
                <w:szCs w:val="21"/>
                <w:highlight w:val="none"/>
              </w:rPr>
              <w:t>序号</w:t>
            </w:r>
          </w:p>
        </w:tc>
        <w:tc>
          <w:tcPr>
            <w:tcW w:w="783" w:type="dxa"/>
            <w:shd w:val="clear" w:color="auto" w:fill="BEBEBE" w:themeFill="background1" w:themeFillShade="BF"/>
            <w:vAlign w:val="center"/>
          </w:tcPr>
          <w:p w14:paraId="7C4B1AD4">
            <w:pPr>
              <w:jc w:val="center"/>
              <w:rPr>
                <w:rFonts w:ascii="宋体" w:hAnsi="宋体" w:eastAsia="宋体" w:cs="宋体"/>
                <w:b/>
                <w:bCs/>
                <w:sz w:val="24"/>
                <w:szCs w:val="21"/>
                <w:highlight w:val="none"/>
              </w:rPr>
            </w:pPr>
            <w:r>
              <w:rPr>
                <w:rFonts w:hint="eastAsia" w:ascii="宋体" w:hAnsi="宋体" w:eastAsia="宋体" w:cs="宋体"/>
                <w:b/>
                <w:bCs/>
                <w:sz w:val="24"/>
                <w:szCs w:val="21"/>
                <w:highlight w:val="none"/>
              </w:rPr>
              <w:t>技术类别</w:t>
            </w:r>
          </w:p>
        </w:tc>
        <w:tc>
          <w:tcPr>
            <w:tcW w:w="1249" w:type="dxa"/>
            <w:shd w:val="clear" w:color="auto" w:fill="BEBEBE" w:themeFill="background1" w:themeFillShade="BF"/>
            <w:vAlign w:val="center"/>
          </w:tcPr>
          <w:p w14:paraId="68512D7A">
            <w:pPr>
              <w:jc w:val="center"/>
              <w:rPr>
                <w:rFonts w:ascii="宋体" w:hAnsi="宋体" w:eastAsia="宋体" w:cs="宋体"/>
                <w:b/>
                <w:bCs/>
                <w:sz w:val="24"/>
                <w:szCs w:val="21"/>
                <w:highlight w:val="none"/>
              </w:rPr>
            </w:pPr>
            <w:r>
              <w:rPr>
                <w:rFonts w:hint="eastAsia" w:ascii="宋体" w:hAnsi="宋体" w:eastAsia="宋体" w:cs="宋体"/>
                <w:b/>
                <w:bCs/>
                <w:sz w:val="24"/>
                <w:szCs w:val="21"/>
                <w:highlight w:val="none"/>
              </w:rPr>
              <w:t>指标项</w:t>
            </w:r>
          </w:p>
        </w:tc>
        <w:tc>
          <w:tcPr>
            <w:tcW w:w="6405" w:type="dxa"/>
            <w:shd w:val="clear" w:color="auto" w:fill="BEBEBE" w:themeFill="background1" w:themeFillShade="BF"/>
            <w:vAlign w:val="center"/>
          </w:tcPr>
          <w:p w14:paraId="0D4A81E8">
            <w:pPr>
              <w:jc w:val="center"/>
              <w:rPr>
                <w:rFonts w:ascii="宋体" w:hAnsi="宋体" w:eastAsia="宋体" w:cs="宋体"/>
                <w:b/>
                <w:bCs/>
                <w:sz w:val="24"/>
                <w:szCs w:val="21"/>
                <w:highlight w:val="none"/>
              </w:rPr>
            </w:pPr>
            <w:r>
              <w:rPr>
                <w:rFonts w:hint="eastAsia" w:ascii="宋体" w:hAnsi="宋体" w:eastAsia="宋体" w:cs="宋体"/>
                <w:b/>
                <w:bCs/>
                <w:sz w:val="24"/>
                <w:szCs w:val="21"/>
                <w:highlight w:val="none"/>
              </w:rPr>
              <w:t>技术要求</w:t>
            </w:r>
          </w:p>
        </w:tc>
      </w:tr>
      <w:tr w14:paraId="6D0F3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trPr>
        <w:tc>
          <w:tcPr>
            <w:tcW w:w="636" w:type="dxa"/>
            <w:shd w:val="clear" w:color="000000" w:fill="FFFFFF"/>
            <w:noWrap/>
            <w:vAlign w:val="center"/>
          </w:tcPr>
          <w:p w14:paraId="3794BF3A">
            <w:pPr>
              <w:pStyle w:val="20"/>
              <w:ind w:left="0" w:firstLine="0"/>
              <w:rPr>
                <w:rFonts w:ascii="宋体" w:hAnsi="宋体" w:eastAsia="宋体"/>
                <w:sz w:val="24"/>
                <w:szCs w:val="21"/>
                <w:highlight w:val="none"/>
              </w:rPr>
            </w:pPr>
          </w:p>
        </w:tc>
        <w:tc>
          <w:tcPr>
            <w:tcW w:w="783" w:type="dxa"/>
            <w:vMerge w:val="restart"/>
            <w:shd w:val="clear" w:color="000000" w:fill="FFFFFF"/>
            <w:vAlign w:val="center"/>
          </w:tcPr>
          <w:p w14:paraId="6078DDB9">
            <w:pPr>
              <w:jc w:val="center"/>
              <w:rPr>
                <w:rFonts w:ascii="宋体" w:hAnsi="宋体" w:eastAsia="宋体" w:cs="宋体"/>
                <w:sz w:val="24"/>
                <w:szCs w:val="21"/>
                <w:highlight w:val="none"/>
              </w:rPr>
            </w:pPr>
            <w:r>
              <w:rPr>
                <w:rFonts w:hint="eastAsia" w:ascii="宋体" w:hAnsi="宋体" w:eastAsia="宋体" w:cs="宋体"/>
                <w:sz w:val="24"/>
                <w:szCs w:val="21"/>
                <w:highlight w:val="none"/>
              </w:rPr>
              <w:t>品牌</w:t>
            </w:r>
          </w:p>
        </w:tc>
        <w:tc>
          <w:tcPr>
            <w:tcW w:w="1249" w:type="dxa"/>
            <w:shd w:val="clear" w:color="000000" w:fill="FFFFFF"/>
            <w:vAlign w:val="center"/>
          </w:tcPr>
          <w:p w14:paraId="17DEF141">
            <w:pPr>
              <w:jc w:val="center"/>
              <w:rPr>
                <w:rFonts w:ascii="宋体" w:hAnsi="宋体" w:eastAsia="宋体" w:cs="宋体"/>
                <w:sz w:val="24"/>
                <w:szCs w:val="21"/>
                <w:highlight w:val="none"/>
              </w:rPr>
            </w:pPr>
            <w:r>
              <w:rPr>
                <w:rFonts w:hint="eastAsia" w:ascii="宋体" w:hAnsi="宋体" w:eastAsia="宋体" w:cs="宋体"/>
                <w:sz w:val="24"/>
                <w:szCs w:val="21"/>
                <w:highlight w:val="none"/>
              </w:rPr>
              <w:t>品牌</w:t>
            </w:r>
          </w:p>
        </w:tc>
        <w:tc>
          <w:tcPr>
            <w:tcW w:w="6405" w:type="dxa"/>
            <w:shd w:val="clear" w:color="000000" w:fill="FFFFFF"/>
            <w:vAlign w:val="center"/>
          </w:tcPr>
          <w:p w14:paraId="5EDA056E">
            <w:pPr>
              <w:jc w:val="both"/>
              <w:rPr>
                <w:rFonts w:ascii="宋体" w:hAnsi="宋体" w:eastAsia="宋体" w:cs="宋体"/>
                <w:sz w:val="24"/>
                <w:szCs w:val="21"/>
                <w:highlight w:val="none"/>
              </w:rPr>
            </w:pPr>
            <w:r>
              <w:rPr>
                <w:rFonts w:hint="eastAsia" w:ascii="宋体" w:hAnsi="宋体" w:eastAsia="宋体" w:cs="宋体"/>
                <w:sz w:val="24"/>
                <w:szCs w:val="21"/>
                <w:highlight w:val="none"/>
              </w:rPr>
              <w:t>国产知名品牌，存储产品为软硬一体，由同一厂商生产制造，且软件和硬件均非OEM产品，非联合产品。拥有自主知识产权，提供计算机软件著作权登记证书（含证书号）</w:t>
            </w:r>
          </w:p>
        </w:tc>
      </w:tr>
      <w:tr w14:paraId="7306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36" w:type="dxa"/>
            <w:shd w:val="clear" w:color="000000" w:fill="FFFFFF"/>
            <w:noWrap/>
            <w:vAlign w:val="bottom"/>
          </w:tcPr>
          <w:p w14:paraId="7CB19137">
            <w:pPr>
              <w:pStyle w:val="20"/>
              <w:ind w:left="0" w:firstLine="0"/>
              <w:rPr>
                <w:rFonts w:ascii="宋体" w:hAnsi="宋体" w:eastAsia="宋体"/>
                <w:sz w:val="24"/>
                <w:szCs w:val="21"/>
                <w:highlight w:val="none"/>
              </w:rPr>
            </w:pPr>
          </w:p>
        </w:tc>
        <w:tc>
          <w:tcPr>
            <w:tcW w:w="783" w:type="dxa"/>
            <w:vMerge w:val="continue"/>
            <w:vAlign w:val="center"/>
          </w:tcPr>
          <w:p w14:paraId="431CDDFF">
            <w:pPr>
              <w:rPr>
                <w:rFonts w:ascii="宋体" w:hAnsi="宋体" w:eastAsia="宋体" w:cs="宋体"/>
                <w:sz w:val="24"/>
                <w:szCs w:val="21"/>
                <w:highlight w:val="none"/>
              </w:rPr>
            </w:pPr>
          </w:p>
        </w:tc>
        <w:tc>
          <w:tcPr>
            <w:tcW w:w="1249" w:type="dxa"/>
            <w:shd w:val="clear" w:color="000000" w:fill="FFFFFF"/>
            <w:vAlign w:val="center"/>
          </w:tcPr>
          <w:p w14:paraId="457D5295">
            <w:pPr>
              <w:jc w:val="center"/>
              <w:rPr>
                <w:rFonts w:ascii="宋体" w:hAnsi="宋体" w:eastAsia="宋体" w:cs="宋体"/>
                <w:sz w:val="24"/>
                <w:szCs w:val="21"/>
                <w:highlight w:val="none"/>
              </w:rPr>
            </w:pPr>
            <w:r>
              <w:rPr>
                <w:rFonts w:hint="eastAsia" w:ascii="宋体" w:hAnsi="宋体" w:eastAsia="宋体" w:cs="宋体"/>
                <w:sz w:val="24"/>
                <w:szCs w:val="21"/>
                <w:highlight w:val="none"/>
              </w:rPr>
              <w:t>可靠性　</w:t>
            </w:r>
          </w:p>
        </w:tc>
        <w:tc>
          <w:tcPr>
            <w:tcW w:w="6405" w:type="dxa"/>
            <w:shd w:val="clear" w:color="000000" w:fill="FFFFFF"/>
            <w:vAlign w:val="center"/>
          </w:tcPr>
          <w:p w14:paraId="73D5FAE3">
            <w:pPr>
              <w:jc w:val="both"/>
              <w:rPr>
                <w:rFonts w:ascii="宋体" w:hAnsi="宋体" w:eastAsia="宋体" w:cs="宋体"/>
                <w:sz w:val="24"/>
                <w:szCs w:val="21"/>
                <w:highlight w:val="none"/>
              </w:rPr>
            </w:pPr>
            <w:r>
              <w:rPr>
                <w:rFonts w:hint="eastAsia" w:ascii="宋体" w:hAnsi="宋体" w:eastAsia="宋体" w:cs="宋体"/>
                <w:sz w:val="24"/>
                <w:szCs w:val="21"/>
                <w:highlight w:val="none"/>
              </w:rPr>
              <w:t>▲通过信通院可信云分布式存储一体机标准的检验（提供证明材料）。</w:t>
            </w:r>
          </w:p>
        </w:tc>
      </w:tr>
      <w:tr w14:paraId="13202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636" w:type="dxa"/>
            <w:shd w:val="clear" w:color="000000" w:fill="FFFFFF"/>
            <w:noWrap/>
            <w:vAlign w:val="bottom"/>
          </w:tcPr>
          <w:p w14:paraId="67A87867">
            <w:pPr>
              <w:pStyle w:val="20"/>
              <w:ind w:left="0" w:firstLine="0"/>
              <w:rPr>
                <w:rFonts w:ascii="宋体" w:hAnsi="宋体" w:eastAsia="宋体"/>
                <w:sz w:val="24"/>
                <w:szCs w:val="21"/>
                <w:highlight w:val="none"/>
              </w:rPr>
            </w:pPr>
          </w:p>
        </w:tc>
        <w:tc>
          <w:tcPr>
            <w:tcW w:w="783" w:type="dxa"/>
            <w:vMerge w:val="restart"/>
            <w:shd w:val="clear" w:color="000000" w:fill="FFFFFF"/>
            <w:vAlign w:val="center"/>
          </w:tcPr>
          <w:p w14:paraId="451FEB4C">
            <w:pPr>
              <w:jc w:val="center"/>
              <w:rPr>
                <w:rFonts w:ascii="宋体" w:hAnsi="宋体" w:eastAsia="宋体" w:cs="宋体"/>
                <w:sz w:val="24"/>
                <w:szCs w:val="21"/>
                <w:highlight w:val="none"/>
              </w:rPr>
            </w:pPr>
            <w:r>
              <w:rPr>
                <w:rFonts w:hint="eastAsia" w:ascii="宋体" w:hAnsi="宋体" w:eastAsia="宋体" w:cs="宋体"/>
                <w:sz w:val="24"/>
                <w:szCs w:val="21"/>
                <w:highlight w:val="none"/>
              </w:rPr>
              <w:t>系统总体架构</w:t>
            </w:r>
          </w:p>
        </w:tc>
        <w:tc>
          <w:tcPr>
            <w:tcW w:w="1249" w:type="dxa"/>
            <w:shd w:val="clear" w:color="000000" w:fill="FFFFFF"/>
            <w:vAlign w:val="center"/>
          </w:tcPr>
          <w:p w14:paraId="7492A151">
            <w:pPr>
              <w:jc w:val="center"/>
              <w:rPr>
                <w:rFonts w:ascii="宋体" w:hAnsi="宋体" w:eastAsia="宋体" w:cs="宋体"/>
                <w:sz w:val="24"/>
                <w:szCs w:val="21"/>
                <w:highlight w:val="none"/>
              </w:rPr>
            </w:pPr>
            <w:r>
              <w:rPr>
                <w:rFonts w:hint="eastAsia" w:ascii="宋体" w:hAnsi="宋体" w:eastAsia="宋体" w:cs="宋体"/>
                <w:sz w:val="24"/>
                <w:szCs w:val="21"/>
                <w:highlight w:val="none"/>
              </w:rPr>
              <w:t>体系架构</w:t>
            </w:r>
          </w:p>
        </w:tc>
        <w:tc>
          <w:tcPr>
            <w:tcW w:w="6405" w:type="dxa"/>
            <w:shd w:val="clear" w:color="000000" w:fill="FFFFFF"/>
            <w:vAlign w:val="center"/>
          </w:tcPr>
          <w:p w14:paraId="3843910B">
            <w:pPr>
              <w:jc w:val="both"/>
              <w:rPr>
                <w:rFonts w:ascii="宋体" w:hAnsi="宋体" w:eastAsia="宋体" w:cs="宋体"/>
                <w:sz w:val="24"/>
                <w:szCs w:val="21"/>
                <w:highlight w:val="none"/>
              </w:rPr>
            </w:pPr>
            <w:r>
              <w:rPr>
                <w:rFonts w:hint="eastAsia" w:ascii="宋体" w:hAnsi="宋体" w:eastAsia="宋体" w:cs="宋体"/>
                <w:sz w:val="24"/>
                <w:szCs w:val="21"/>
                <w:highlight w:val="none"/>
              </w:rPr>
              <w:t xml:space="preserve">采用全对称分布式架构，元数据和数据的融合部署到存储节点上，不需要专门的管理节点（元数据节点或索引节点；元数据、数据均采用集群方式部署，满足任何一个节点出现故障，不影响数据的正常访问功能 </w:t>
            </w:r>
          </w:p>
        </w:tc>
      </w:tr>
      <w:tr w14:paraId="241F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636" w:type="dxa"/>
            <w:shd w:val="clear" w:color="000000" w:fill="FFFFFF"/>
            <w:noWrap/>
            <w:vAlign w:val="bottom"/>
          </w:tcPr>
          <w:p w14:paraId="54705EE5">
            <w:pPr>
              <w:pStyle w:val="20"/>
              <w:ind w:left="0" w:firstLine="0"/>
              <w:rPr>
                <w:rFonts w:ascii="宋体" w:hAnsi="宋体" w:eastAsia="宋体"/>
                <w:sz w:val="24"/>
                <w:szCs w:val="21"/>
                <w:highlight w:val="none"/>
              </w:rPr>
            </w:pPr>
          </w:p>
        </w:tc>
        <w:tc>
          <w:tcPr>
            <w:tcW w:w="783" w:type="dxa"/>
            <w:vMerge w:val="continue"/>
            <w:vAlign w:val="center"/>
          </w:tcPr>
          <w:p w14:paraId="75F56675">
            <w:pPr>
              <w:rPr>
                <w:rFonts w:ascii="宋体" w:hAnsi="宋体" w:eastAsia="宋体" w:cs="宋体"/>
                <w:sz w:val="24"/>
                <w:szCs w:val="21"/>
                <w:highlight w:val="none"/>
              </w:rPr>
            </w:pPr>
          </w:p>
        </w:tc>
        <w:tc>
          <w:tcPr>
            <w:tcW w:w="1249" w:type="dxa"/>
            <w:shd w:val="clear" w:color="000000" w:fill="FFFFFF"/>
            <w:vAlign w:val="center"/>
          </w:tcPr>
          <w:p w14:paraId="62688C97">
            <w:pPr>
              <w:jc w:val="center"/>
              <w:rPr>
                <w:rFonts w:ascii="宋体" w:hAnsi="宋体" w:eastAsia="宋体" w:cs="宋体"/>
                <w:sz w:val="24"/>
                <w:szCs w:val="21"/>
                <w:highlight w:val="none"/>
              </w:rPr>
            </w:pPr>
            <w:r>
              <w:rPr>
                <w:rFonts w:hint="eastAsia" w:ascii="宋体" w:hAnsi="宋体" w:eastAsia="宋体" w:cs="宋体"/>
                <w:sz w:val="24"/>
                <w:szCs w:val="21"/>
                <w:highlight w:val="none"/>
              </w:rPr>
              <w:t>存储服务</w:t>
            </w:r>
          </w:p>
        </w:tc>
        <w:tc>
          <w:tcPr>
            <w:tcW w:w="6405" w:type="dxa"/>
            <w:shd w:val="clear" w:color="000000" w:fill="FFFFFF"/>
            <w:vAlign w:val="center"/>
          </w:tcPr>
          <w:p w14:paraId="5FE660E2">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▲所投产品组成的集群可同时提供块存储、文件存储、对象以及</w:t>
            </w:r>
            <w:r>
              <w:rPr>
                <w:rFonts w:ascii="宋体" w:hAnsi="宋体" w:eastAsia="宋体" w:cs="宋体"/>
                <w:sz w:val="24"/>
                <w:szCs w:val="21"/>
                <w:highlight w:val="none"/>
              </w:rPr>
              <w:t xml:space="preserve">HDFS存储服务，本次配置不限容量的块、文件、对象、大数据存储服务授权许可, </w:t>
            </w:r>
            <w:r>
              <w:rPr>
                <w:rFonts w:hint="eastAsia" w:ascii="宋体" w:hAnsi="宋体" w:eastAsia="宋体" w:cs="宋体"/>
                <w:sz w:val="24"/>
                <w:szCs w:val="21"/>
                <w:highlight w:val="none"/>
              </w:rPr>
              <w:t>方便灵活选择部署方式</w:t>
            </w:r>
            <w:r>
              <w:rPr>
                <w:rFonts w:hint="eastAsia" w:ascii="宋体" w:hAnsi="宋体" w:cs="宋体"/>
                <w:sz w:val="24"/>
                <w:szCs w:val="21"/>
                <w:highlight w:val="none"/>
                <w:lang w:eastAsia="zh-CN"/>
              </w:rPr>
              <w:t>（提供证明材料）</w:t>
            </w:r>
          </w:p>
        </w:tc>
      </w:tr>
      <w:tr w14:paraId="75423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36" w:type="dxa"/>
            <w:shd w:val="clear" w:color="000000" w:fill="FFFFFF"/>
            <w:noWrap/>
            <w:vAlign w:val="center"/>
          </w:tcPr>
          <w:p w14:paraId="6DE649C2">
            <w:pPr>
              <w:pStyle w:val="20"/>
              <w:ind w:left="0" w:firstLine="0"/>
              <w:rPr>
                <w:rFonts w:ascii="宋体" w:hAnsi="宋体" w:eastAsia="宋体"/>
                <w:sz w:val="24"/>
                <w:szCs w:val="21"/>
                <w:highlight w:val="none"/>
              </w:rPr>
            </w:pPr>
          </w:p>
        </w:tc>
        <w:tc>
          <w:tcPr>
            <w:tcW w:w="783" w:type="dxa"/>
            <w:vMerge w:val="continue"/>
            <w:vAlign w:val="center"/>
          </w:tcPr>
          <w:p w14:paraId="36A898A7">
            <w:pPr>
              <w:rPr>
                <w:rFonts w:ascii="宋体" w:hAnsi="宋体" w:eastAsia="宋体" w:cs="宋体"/>
                <w:sz w:val="24"/>
                <w:szCs w:val="21"/>
                <w:highlight w:val="none"/>
              </w:rPr>
            </w:pPr>
          </w:p>
        </w:tc>
        <w:tc>
          <w:tcPr>
            <w:tcW w:w="1249" w:type="dxa"/>
            <w:shd w:val="clear" w:color="000000" w:fill="FFFFFF"/>
            <w:vAlign w:val="center"/>
          </w:tcPr>
          <w:p w14:paraId="7CF51E33">
            <w:pPr>
              <w:jc w:val="center"/>
              <w:rPr>
                <w:rFonts w:ascii="宋体" w:hAnsi="宋体" w:eastAsia="宋体" w:cs="宋体"/>
                <w:sz w:val="24"/>
                <w:szCs w:val="21"/>
                <w:highlight w:val="none"/>
              </w:rPr>
            </w:pPr>
            <w:r>
              <w:rPr>
                <w:rFonts w:hint="eastAsia" w:ascii="宋体" w:hAnsi="宋体" w:eastAsia="宋体" w:cs="宋体"/>
                <w:sz w:val="24"/>
                <w:szCs w:val="21"/>
                <w:highlight w:val="none"/>
              </w:rPr>
              <w:t>扩展性</w:t>
            </w:r>
          </w:p>
        </w:tc>
        <w:tc>
          <w:tcPr>
            <w:tcW w:w="6405" w:type="dxa"/>
            <w:shd w:val="clear" w:color="000000" w:fill="FFFFFF"/>
            <w:vAlign w:val="center"/>
          </w:tcPr>
          <w:p w14:paraId="62947B11">
            <w:pPr>
              <w:jc w:val="both"/>
              <w:rPr>
                <w:rFonts w:ascii="宋体" w:hAnsi="宋体" w:eastAsia="宋体" w:cs="宋体"/>
                <w:sz w:val="24"/>
                <w:szCs w:val="21"/>
                <w:highlight w:val="none"/>
              </w:rPr>
            </w:pPr>
            <w:r>
              <w:rPr>
                <w:rFonts w:hint="eastAsia" w:ascii="宋体" w:hAnsi="宋体" w:eastAsia="宋体" w:cs="宋体"/>
                <w:sz w:val="24"/>
                <w:szCs w:val="21"/>
                <w:highlight w:val="none"/>
              </w:rPr>
              <w:t>存储集群支持扩展节点不小于9000节点，存储总容量空间可提供EB级</w:t>
            </w:r>
          </w:p>
        </w:tc>
      </w:tr>
      <w:tr w14:paraId="2FA7C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636" w:type="dxa"/>
            <w:shd w:val="clear" w:color="000000" w:fill="FFFFFF"/>
            <w:noWrap/>
            <w:vAlign w:val="bottom"/>
          </w:tcPr>
          <w:p w14:paraId="07EFD54B">
            <w:pPr>
              <w:pStyle w:val="20"/>
              <w:ind w:left="0" w:firstLine="0"/>
              <w:rPr>
                <w:rFonts w:ascii="宋体" w:hAnsi="宋体" w:eastAsia="宋体"/>
                <w:sz w:val="24"/>
                <w:szCs w:val="21"/>
                <w:highlight w:val="none"/>
              </w:rPr>
            </w:pPr>
          </w:p>
        </w:tc>
        <w:tc>
          <w:tcPr>
            <w:tcW w:w="783" w:type="dxa"/>
            <w:vMerge w:val="continue"/>
            <w:vAlign w:val="center"/>
          </w:tcPr>
          <w:p w14:paraId="16D662CF">
            <w:pPr>
              <w:rPr>
                <w:rFonts w:ascii="宋体" w:hAnsi="宋体" w:eastAsia="宋体" w:cs="宋体"/>
                <w:sz w:val="24"/>
                <w:szCs w:val="21"/>
                <w:highlight w:val="none"/>
              </w:rPr>
            </w:pPr>
          </w:p>
        </w:tc>
        <w:tc>
          <w:tcPr>
            <w:tcW w:w="1249" w:type="dxa"/>
            <w:shd w:val="clear" w:color="000000" w:fill="FFFFFF"/>
            <w:vAlign w:val="center"/>
          </w:tcPr>
          <w:p w14:paraId="39995A65">
            <w:pPr>
              <w:jc w:val="center"/>
              <w:rPr>
                <w:rFonts w:ascii="宋体" w:hAnsi="宋体" w:eastAsia="宋体" w:cs="宋体"/>
                <w:sz w:val="24"/>
                <w:szCs w:val="21"/>
                <w:highlight w:val="none"/>
              </w:rPr>
            </w:pPr>
            <w:r>
              <w:rPr>
                <w:rFonts w:hint="eastAsia" w:ascii="宋体" w:hAnsi="宋体" w:eastAsia="宋体" w:cs="宋体"/>
                <w:sz w:val="24"/>
                <w:szCs w:val="21"/>
                <w:highlight w:val="none"/>
              </w:rPr>
              <w:t>文件聚合</w:t>
            </w:r>
          </w:p>
        </w:tc>
        <w:tc>
          <w:tcPr>
            <w:tcW w:w="6405" w:type="dxa"/>
            <w:shd w:val="clear" w:color="000000" w:fill="FFFFFF"/>
            <w:vAlign w:val="center"/>
          </w:tcPr>
          <w:p w14:paraId="4B2D9B33">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▲所投产品支持全局聚合策略将多个小文件（＜1M）写入后聚合成一个文件</w:t>
            </w:r>
            <w:r>
              <w:rPr>
                <w:rFonts w:hint="eastAsia" w:ascii="宋体" w:hAnsi="宋体" w:cs="宋体"/>
                <w:sz w:val="24"/>
                <w:szCs w:val="21"/>
                <w:highlight w:val="none"/>
                <w:lang w:eastAsia="zh-CN"/>
              </w:rPr>
              <w:t>（提供证明材料）</w:t>
            </w:r>
          </w:p>
        </w:tc>
      </w:tr>
      <w:tr w14:paraId="22D5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trPr>
        <w:tc>
          <w:tcPr>
            <w:tcW w:w="636" w:type="dxa"/>
            <w:shd w:val="clear" w:color="000000" w:fill="FFFFFF"/>
            <w:noWrap/>
            <w:vAlign w:val="bottom"/>
          </w:tcPr>
          <w:p w14:paraId="530E45DD">
            <w:pPr>
              <w:pStyle w:val="20"/>
              <w:ind w:left="0" w:firstLine="0"/>
              <w:rPr>
                <w:rFonts w:ascii="宋体" w:hAnsi="宋体" w:eastAsia="宋体"/>
                <w:sz w:val="24"/>
                <w:szCs w:val="21"/>
                <w:highlight w:val="none"/>
              </w:rPr>
            </w:pPr>
          </w:p>
        </w:tc>
        <w:tc>
          <w:tcPr>
            <w:tcW w:w="783" w:type="dxa"/>
            <w:vMerge w:val="restart"/>
            <w:shd w:val="clear" w:color="000000" w:fill="FFFFFF"/>
            <w:vAlign w:val="center"/>
          </w:tcPr>
          <w:p w14:paraId="659B0FF1">
            <w:pPr>
              <w:jc w:val="center"/>
              <w:rPr>
                <w:rFonts w:ascii="宋体" w:hAnsi="宋体" w:eastAsia="宋体" w:cs="宋体"/>
                <w:sz w:val="24"/>
                <w:szCs w:val="21"/>
                <w:highlight w:val="none"/>
              </w:rPr>
            </w:pPr>
            <w:r>
              <w:rPr>
                <w:rFonts w:hint="eastAsia" w:ascii="宋体" w:hAnsi="宋体" w:eastAsia="宋体" w:cs="宋体"/>
                <w:sz w:val="24"/>
                <w:szCs w:val="21"/>
                <w:highlight w:val="none"/>
              </w:rPr>
              <w:t>存储功能</w:t>
            </w:r>
          </w:p>
        </w:tc>
        <w:tc>
          <w:tcPr>
            <w:tcW w:w="1249" w:type="dxa"/>
            <w:shd w:val="clear" w:color="000000" w:fill="FFFFFF"/>
            <w:vAlign w:val="center"/>
          </w:tcPr>
          <w:p w14:paraId="08BF7688">
            <w:pPr>
              <w:jc w:val="center"/>
              <w:rPr>
                <w:rFonts w:ascii="宋体" w:hAnsi="宋体" w:eastAsia="宋体" w:cs="宋体"/>
                <w:sz w:val="24"/>
                <w:szCs w:val="21"/>
                <w:highlight w:val="none"/>
              </w:rPr>
            </w:pPr>
            <w:r>
              <w:rPr>
                <w:rFonts w:hint="eastAsia" w:ascii="宋体" w:hAnsi="宋体" w:eastAsia="宋体" w:cs="宋体"/>
                <w:sz w:val="24"/>
                <w:szCs w:val="21"/>
                <w:highlight w:val="none"/>
              </w:rPr>
              <w:t>双栈配置</w:t>
            </w:r>
          </w:p>
        </w:tc>
        <w:tc>
          <w:tcPr>
            <w:tcW w:w="6405" w:type="dxa"/>
            <w:shd w:val="clear" w:color="000000" w:fill="FFFFFF"/>
            <w:vAlign w:val="center"/>
          </w:tcPr>
          <w:p w14:paraId="3432FB0D">
            <w:pPr>
              <w:jc w:val="both"/>
              <w:rPr>
                <w:rFonts w:ascii="宋体" w:hAnsi="宋体" w:eastAsia="宋体" w:cs="宋体"/>
                <w:sz w:val="24"/>
                <w:szCs w:val="21"/>
                <w:highlight w:val="none"/>
              </w:rPr>
            </w:pPr>
            <w:r>
              <w:rPr>
                <w:rFonts w:hint="eastAsia" w:ascii="宋体" w:hAnsi="宋体" w:eastAsia="宋体" w:cs="宋体"/>
                <w:sz w:val="24"/>
                <w:szCs w:val="21"/>
                <w:highlight w:val="none"/>
              </w:rPr>
              <w:t xml:space="preserve">同时支持IPV4和IPV6协议，在同时部署IPV4和IPV6组网的情况可正常进行访问 </w:t>
            </w:r>
          </w:p>
        </w:tc>
      </w:tr>
      <w:tr w14:paraId="59643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trPr>
        <w:tc>
          <w:tcPr>
            <w:tcW w:w="636" w:type="dxa"/>
            <w:shd w:val="clear" w:color="000000" w:fill="FFFFFF"/>
            <w:noWrap/>
            <w:vAlign w:val="bottom"/>
          </w:tcPr>
          <w:p w14:paraId="03BF3068">
            <w:pPr>
              <w:pStyle w:val="20"/>
              <w:ind w:left="0" w:firstLine="0"/>
              <w:rPr>
                <w:rFonts w:ascii="宋体" w:hAnsi="宋体" w:eastAsia="宋体"/>
                <w:sz w:val="24"/>
                <w:szCs w:val="21"/>
                <w:highlight w:val="none"/>
              </w:rPr>
            </w:pPr>
          </w:p>
        </w:tc>
        <w:tc>
          <w:tcPr>
            <w:tcW w:w="783" w:type="dxa"/>
            <w:vMerge w:val="continue"/>
            <w:vAlign w:val="center"/>
          </w:tcPr>
          <w:p w14:paraId="58B0B01D">
            <w:pPr>
              <w:rPr>
                <w:rFonts w:ascii="宋体" w:hAnsi="宋体" w:eastAsia="宋体" w:cs="宋体"/>
                <w:sz w:val="24"/>
                <w:szCs w:val="21"/>
                <w:highlight w:val="none"/>
              </w:rPr>
            </w:pPr>
          </w:p>
        </w:tc>
        <w:tc>
          <w:tcPr>
            <w:tcW w:w="1249" w:type="dxa"/>
            <w:shd w:val="clear" w:color="000000" w:fill="FFFFFF"/>
            <w:vAlign w:val="center"/>
          </w:tcPr>
          <w:p w14:paraId="0D613A6E">
            <w:pPr>
              <w:jc w:val="center"/>
              <w:rPr>
                <w:rFonts w:ascii="宋体" w:hAnsi="宋体" w:eastAsia="宋体" w:cs="宋体"/>
                <w:sz w:val="24"/>
                <w:szCs w:val="21"/>
                <w:highlight w:val="none"/>
              </w:rPr>
            </w:pPr>
            <w:r>
              <w:rPr>
                <w:rFonts w:hint="eastAsia" w:ascii="宋体" w:hAnsi="宋体" w:eastAsia="宋体" w:cs="宋体"/>
                <w:sz w:val="24"/>
                <w:szCs w:val="21"/>
                <w:highlight w:val="none"/>
              </w:rPr>
              <w:t>回收站</w:t>
            </w:r>
          </w:p>
        </w:tc>
        <w:tc>
          <w:tcPr>
            <w:tcW w:w="6405" w:type="dxa"/>
            <w:shd w:val="clear" w:color="000000" w:fill="FFFFFF"/>
            <w:vAlign w:val="center"/>
          </w:tcPr>
          <w:p w14:paraId="660B4508">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▲所投产品支持文件回收站功能，文件删除后自动保存一段时间，在文件过期前可以找回被删除数据，在文件过期后数据自动删除，支持防止误删除，而且回收站的数据不占用配额空间（提供证明材料）</w:t>
            </w:r>
          </w:p>
        </w:tc>
      </w:tr>
      <w:tr w14:paraId="1B2E5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trPr>
        <w:tc>
          <w:tcPr>
            <w:tcW w:w="636" w:type="dxa"/>
            <w:shd w:val="clear" w:color="000000" w:fill="FFFFFF"/>
            <w:noWrap/>
            <w:vAlign w:val="bottom"/>
          </w:tcPr>
          <w:p w14:paraId="73BE788F">
            <w:pPr>
              <w:pStyle w:val="20"/>
              <w:ind w:left="0" w:firstLine="0"/>
              <w:rPr>
                <w:rFonts w:ascii="宋体" w:hAnsi="宋体" w:eastAsia="宋体"/>
                <w:sz w:val="24"/>
                <w:szCs w:val="21"/>
                <w:highlight w:val="none"/>
              </w:rPr>
            </w:pPr>
          </w:p>
        </w:tc>
        <w:tc>
          <w:tcPr>
            <w:tcW w:w="783" w:type="dxa"/>
            <w:vMerge w:val="continue"/>
            <w:vAlign w:val="center"/>
          </w:tcPr>
          <w:p w14:paraId="6D240C85">
            <w:pPr>
              <w:rPr>
                <w:rFonts w:ascii="宋体" w:hAnsi="宋体" w:eastAsia="宋体" w:cs="宋体"/>
                <w:sz w:val="24"/>
                <w:szCs w:val="21"/>
                <w:highlight w:val="none"/>
              </w:rPr>
            </w:pPr>
          </w:p>
        </w:tc>
        <w:tc>
          <w:tcPr>
            <w:tcW w:w="1249" w:type="dxa"/>
            <w:shd w:val="clear" w:color="000000" w:fill="FFFFFF"/>
            <w:vAlign w:val="center"/>
          </w:tcPr>
          <w:p w14:paraId="1B012CDA">
            <w:pPr>
              <w:jc w:val="center"/>
              <w:rPr>
                <w:rFonts w:ascii="宋体" w:hAnsi="宋体" w:eastAsia="宋体" w:cs="宋体"/>
                <w:sz w:val="24"/>
                <w:szCs w:val="21"/>
                <w:highlight w:val="none"/>
              </w:rPr>
            </w:pPr>
            <w:r>
              <w:rPr>
                <w:rFonts w:hint="eastAsia" w:ascii="宋体" w:hAnsi="宋体" w:eastAsia="宋体" w:cs="宋体"/>
                <w:sz w:val="24"/>
                <w:szCs w:val="21"/>
                <w:highlight w:val="none"/>
              </w:rPr>
              <w:t>远程复制</w:t>
            </w:r>
          </w:p>
        </w:tc>
        <w:tc>
          <w:tcPr>
            <w:tcW w:w="6405" w:type="dxa"/>
            <w:shd w:val="clear" w:color="000000" w:fill="FFFFFF"/>
            <w:vAlign w:val="center"/>
          </w:tcPr>
          <w:p w14:paraId="17225547">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所投产品支持文件异步远程复制，可以提供定时快照或手动快照方式同步数据，提升业务系统异地容灾能力，保证业务连续性</w:t>
            </w:r>
          </w:p>
        </w:tc>
      </w:tr>
      <w:tr w14:paraId="3C226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636" w:type="dxa"/>
            <w:shd w:val="clear" w:color="000000" w:fill="FFFFFF"/>
            <w:noWrap/>
            <w:vAlign w:val="bottom"/>
          </w:tcPr>
          <w:p w14:paraId="0D9A7918">
            <w:pPr>
              <w:pStyle w:val="20"/>
              <w:ind w:left="0" w:firstLine="0"/>
              <w:rPr>
                <w:rFonts w:ascii="宋体" w:hAnsi="宋体" w:eastAsia="宋体"/>
                <w:sz w:val="24"/>
                <w:szCs w:val="21"/>
                <w:highlight w:val="none"/>
              </w:rPr>
            </w:pPr>
          </w:p>
        </w:tc>
        <w:tc>
          <w:tcPr>
            <w:tcW w:w="783" w:type="dxa"/>
            <w:vMerge w:val="continue"/>
            <w:vAlign w:val="center"/>
          </w:tcPr>
          <w:p w14:paraId="7A245918">
            <w:pPr>
              <w:rPr>
                <w:rFonts w:ascii="宋体" w:hAnsi="宋体" w:eastAsia="宋体" w:cs="宋体"/>
                <w:sz w:val="24"/>
                <w:szCs w:val="21"/>
                <w:highlight w:val="none"/>
              </w:rPr>
            </w:pPr>
          </w:p>
        </w:tc>
        <w:tc>
          <w:tcPr>
            <w:tcW w:w="1249" w:type="dxa"/>
            <w:shd w:val="clear" w:color="000000" w:fill="FFFFFF"/>
            <w:vAlign w:val="center"/>
          </w:tcPr>
          <w:p w14:paraId="5F7AE394">
            <w:pPr>
              <w:jc w:val="center"/>
              <w:rPr>
                <w:rFonts w:ascii="宋体" w:hAnsi="宋体" w:eastAsia="宋体" w:cs="宋体"/>
                <w:sz w:val="24"/>
                <w:szCs w:val="21"/>
                <w:highlight w:val="none"/>
              </w:rPr>
            </w:pPr>
            <w:r>
              <w:rPr>
                <w:rFonts w:hint="eastAsia" w:ascii="宋体" w:hAnsi="宋体" w:eastAsia="宋体" w:cs="宋体"/>
                <w:sz w:val="24"/>
                <w:szCs w:val="21"/>
                <w:highlight w:val="none"/>
              </w:rPr>
              <w:t>配额管理</w:t>
            </w:r>
          </w:p>
        </w:tc>
        <w:tc>
          <w:tcPr>
            <w:tcW w:w="6405" w:type="dxa"/>
            <w:shd w:val="clear" w:color="000000" w:fill="FFFFFF"/>
            <w:vAlign w:val="center"/>
          </w:tcPr>
          <w:p w14:paraId="08799A55">
            <w:pPr>
              <w:jc w:val="both"/>
              <w:rPr>
                <w:rFonts w:ascii="宋体" w:hAnsi="宋体" w:eastAsia="宋体" w:cs="宋体"/>
                <w:sz w:val="24"/>
                <w:szCs w:val="21"/>
                <w:highlight w:val="none"/>
              </w:rPr>
            </w:pPr>
            <w:r>
              <w:rPr>
                <w:rFonts w:hint="eastAsia" w:ascii="宋体" w:hAnsi="宋体" w:eastAsia="宋体" w:cs="宋体"/>
                <w:sz w:val="24"/>
                <w:szCs w:val="21"/>
                <w:highlight w:val="none"/>
              </w:rPr>
              <w:t>支持文件系统级配额，可基于目录和用户进行容量分配，不同目录/用户可以设置不同的使用容量；基于文件的配额功能，提供按单个目录/用户分配和管理存储空间的能力</w:t>
            </w:r>
          </w:p>
        </w:tc>
      </w:tr>
      <w:tr w14:paraId="65130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636" w:type="dxa"/>
            <w:shd w:val="clear" w:color="000000" w:fill="FFFFFF"/>
            <w:noWrap/>
            <w:vAlign w:val="bottom"/>
          </w:tcPr>
          <w:p w14:paraId="0E1B6F1F">
            <w:pPr>
              <w:pStyle w:val="20"/>
              <w:ind w:left="0" w:firstLine="0"/>
              <w:rPr>
                <w:rFonts w:ascii="宋体" w:hAnsi="宋体" w:eastAsia="宋体"/>
                <w:sz w:val="24"/>
                <w:szCs w:val="21"/>
                <w:highlight w:val="none"/>
              </w:rPr>
            </w:pPr>
          </w:p>
        </w:tc>
        <w:tc>
          <w:tcPr>
            <w:tcW w:w="783" w:type="dxa"/>
            <w:vMerge w:val="continue"/>
            <w:vAlign w:val="center"/>
          </w:tcPr>
          <w:p w14:paraId="4D82B7A7">
            <w:pPr>
              <w:rPr>
                <w:rFonts w:ascii="宋体" w:hAnsi="宋体" w:eastAsia="宋体" w:cs="宋体"/>
                <w:sz w:val="24"/>
                <w:szCs w:val="21"/>
                <w:highlight w:val="none"/>
              </w:rPr>
            </w:pPr>
          </w:p>
        </w:tc>
        <w:tc>
          <w:tcPr>
            <w:tcW w:w="1249" w:type="dxa"/>
            <w:shd w:val="clear" w:color="000000" w:fill="FFFFFF"/>
            <w:vAlign w:val="center"/>
          </w:tcPr>
          <w:p w14:paraId="2ACC4EC5">
            <w:pPr>
              <w:jc w:val="center"/>
              <w:rPr>
                <w:rFonts w:ascii="宋体" w:hAnsi="宋体" w:eastAsia="宋体" w:cs="宋体"/>
                <w:sz w:val="24"/>
                <w:szCs w:val="21"/>
                <w:highlight w:val="none"/>
              </w:rPr>
            </w:pPr>
            <w:r>
              <w:rPr>
                <w:rFonts w:hint="eastAsia" w:ascii="宋体" w:hAnsi="宋体" w:eastAsia="宋体" w:cs="宋体"/>
                <w:sz w:val="24"/>
                <w:szCs w:val="21"/>
                <w:highlight w:val="none"/>
              </w:rPr>
              <w:t>分级存储</w:t>
            </w:r>
          </w:p>
        </w:tc>
        <w:tc>
          <w:tcPr>
            <w:tcW w:w="6405" w:type="dxa"/>
            <w:shd w:val="clear" w:color="000000" w:fill="FFFFFF"/>
            <w:vAlign w:val="center"/>
          </w:tcPr>
          <w:p w14:paraId="7AF6B1E1">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所投产品支持文件分级功能，可以配置数据写入策略、迁移策略和删除策略，支持一次性或周期性数据迁移</w:t>
            </w:r>
          </w:p>
        </w:tc>
      </w:tr>
      <w:tr w14:paraId="2E28C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636" w:type="dxa"/>
            <w:shd w:val="clear" w:color="000000" w:fill="FFFFFF"/>
            <w:noWrap/>
            <w:vAlign w:val="bottom"/>
          </w:tcPr>
          <w:p w14:paraId="272152BF">
            <w:pPr>
              <w:pStyle w:val="20"/>
              <w:ind w:left="0" w:firstLine="0"/>
              <w:rPr>
                <w:rFonts w:ascii="宋体" w:hAnsi="宋体" w:eastAsia="宋体"/>
                <w:sz w:val="24"/>
                <w:szCs w:val="21"/>
                <w:highlight w:val="none"/>
              </w:rPr>
            </w:pPr>
          </w:p>
        </w:tc>
        <w:tc>
          <w:tcPr>
            <w:tcW w:w="783" w:type="dxa"/>
            <w:vMerge w:val="continue"/>
            <w:vAlign w:val="center"/>
          </w:tcPr>
          <w:p w14:paraId="44702CF9">
            <w:pPr>
              <w:rPr>
                <w:rFonts w:ascii="宋体" w:hAnsi="宋体" w:eastAsia="宋体" w:cs="宋体"/>
                <w:sz w:val="24"/>
                <w:szCs w:val="21"/>
                <w:highlight w:val="none"/>
              </w:rPr>
            </w:pPr>
          </w:p>
        </w:tc>
        <w:tc>
          <w:tcPr>
            <w:tcW w:w="1249" w:type="dxa"/>
            <w:shd w:val="clear" w:color="000000" w:fill="FFFFFF"/>
            <w:vAlign w:val="center"/>
          </w:tcPr>
          <w:p w14:paraId="1E7A2028">
            <w:pPr>
              <w:jc w:val="center"/>
              <w:rPr>
                <w:rFonts w:ascii="宋体" w:hAnsi="宋体" w:eastAsia="宋体" w:cs="宋体"/>
                <w:sz w:val="24"/>
                <w:szCs w:val="21"/>
                <w:highlight w:val="none"/>
              </w:rPr>
            </w:pPr>
            <w:r>
              <w:rPr>
                <w:rFonts w:hint="eastAsia" w:ascii="宋体" w:hAnsi="宋体" w:eastAsia="宋体" w:cs="宋体"/>
                <w:sz w:val="24"/>
                <w:szCs w:val="21"/>
                <w:highlight w:val="none"/>
              </w:rPr>
              <w:t>全局命名空间</w:t>
            </w:r>
          </w:p>
        </w:tc>
        <w:tc>
          <w:tcPr>
            <w:tcW w:w="6405" w:type="dxa"/>
            <w:shd w:val="clear" w:color="000000" w:fill="FFFFFF"/>
            <w:vAlign w:val="center"/>
          </w:tcPr>
          <w:p w14:paraId="4E304DE3">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所投产品支持全局命名空间功能，单一文件系统所有节点可整合成一个大的虚拟存储池，并向外提供统一的域名访问或IP地址访问</w:t>
            </w:r>
          </w:p>
        </w:tc>
      </w:tr>
      <w:tr w14:paraId="4107C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636" w:type="dxa"/>
            <w:shd w:val="clear" w:color="auto" w:fill="auto"/>
            <w:noWrap/>
            <w:vAlign w:val="bottom"/>
          </w:tcPr>
          <w:p w14:paraId="6EADAA75">
            <w:pPr>
              <w:pStyle w:val="20"/>
              <w:ind w:left="0" w:firstLine="0"/>
              <w:rPr>
                <w:rFonts w:ascii="宋体" w:hAnsi="宋体" w:eastAsia="宋体"/>
                <w:sz w:val="24"/>
                <w:szCs w:val="21"/>
                <w:highlight w:val="none"/>
              </w:rPr>
            </w:pPr>
          </w:p>
        </w:tc>
        <w:tc>
          <w:tcPr>
            <w:tcW w:w="783" w:type="dxa"/>
            <w:vMerge w:val="continue"/>
            <w:vAlign w:val="center"/>
          </w:tcPr>
          <w:p w14:paraId="17712A7D">
            <w:pPr>
              <w:rPr>
                <w:rFonts w:ascii="宋体" w:hAnsi="宋体" w:eastAsia="宋体" w:cs="宋体"/>
                <w:sz w:val="24"/>
                <w:szCs w:val="21"/>
                <w:highlight w:val="none"/>
              </w:rPr>
            </w:pPr>
          </w:p>
        </w:tc>
        <w:tc>
          <w:tcPr>
            <w:tcW w:w="1249" w:type="dxa"/>
            <w:shd w:val="clear" w:color="auto" w:fill="auto"/>
            <w:vAlign w:val="center"/>
          </w:tcPr>
          <w:p w14:paraId="6B77CB1C">
            <w:pPr>
              <w:jc w:val="center"/>
              <w:rPr>
                <w:rFonts w:ascii="宋体" w:hAnsi="宋体" w:eastAsia="宋体" w:cs="宋体"/>
                <w:sz w:val="24"/>
                <w:szCs w:val="21"/>
                <w:highlight w:val="none"/>
              </w:rPr>
            </w:pPr>
            <w:r>
              <w:rPr>
                <w:rFonts w:hint="eastAsia" w:ascii="宋体" w:hAnsi="宋体" w:eastAsia="宋体" w:cs="宋体"/>
                <w:sz w:val="24"/>
                <w:szCs w:val="21"/>
                <w:highlight w:val="none"/>
              </w:rPr>
              <w:t>文件过期删除</w:t>
            </w:r>
          </w:p>
        </w:tc>
        <w:tc>
          <w:tcPr>
            <w:tcW w:w="6405" w:type="dxa"/>
            <w:shd w:val="clear" w:color="auto" w:fill="auto"/>
            <w:vAlign w:val="center"/>
          </w:tcPr>
          <w:p w14:paraId="6DB7D8DF">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所投产品支持文件的过期删除，用户可以通过管软设置文件过期删除策略，实现文件过期删除，确保存储空间高效利用，提供管理界面截图</w:t>
            </w:r>
          </w:p>
        </w:tc>
      </w:tr>
      <w:tr w14:paraId="08E2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636" w:type="dxa"/>
            <w:shd w:val="clear" w:color="000000" w:fill="FFFFFF"/>
            <w:noWrap/>
            <w:vAlign w:val="bottom"/>
          </w:tcPr>
          <w:p w14:paraId="5867557C">
            <w:pPr>
              <w:pStyle w:val="20"/>
              <w:ind w:left="0" w:firstLine="0"/>
              <w:rPr>
                <w:rFonts w:ascii="宋体" w:hAnsi="宋体" w:eastAsia="宋体"/>
                <w:sz w:val="24"/>
                <w:szCs w:val="21"/>
                <w:highlight w:val="none"/>
              </w:rPr>
            </w:pPr>
          </w:p>
        </w:tc>
        <w:tc>
          <w:tcPr>
            <w:tcW w:w="783" w:type="dxa"/>
            <w:vMerge w:val="restart"/>
            <w:shd w:val="clear" w:color="000000" w:fill="FFFFFF"/>
            <w:vAlign w:val="center"/>
          </w:tcPr>
          <w:p w14:paraId="0F476B3D">
            <w:pPr>
              <w:jc w:val="center"/>
              <w:rPr>
                <w:rFonts w:ascii="宋体" w:hAnsi="宋体" w:eastAsia="宋体" w:cs="宋体"/>
                <w:sz w:val="24"/>
                <w:szCs w:val="21"/>
                <w:highlight w:val="none"/>
              </w:rPr>
            </w:pPr>
            <w:r>
              <w:rPr>
                <w:rFonts w:hint="eastAsia" w:ascii="宋体" w:hAnsi="宋体" w:eastAsia="宋体" w:cs="宋体"/>
                <w:sz w:val="24"/>
                <w:szCs w:val="21"/>
                <w:highlight w:val="none"/>
              </w:rPr>
              <w:t>数据安全</w:t>
            </w:r>
          </w:p>
        </w:tc>
        <w:tc>
          <w:tcPr>
            <w:tcW w:w="1249" w:type="dxa"/>
            <w:shd w:val="clear" w:color="000000" w:fill="FFFFFF"/>
            <w:vAlign w:val="center"/>
          </w:tcPr>
          <w:p w14:paraId="41E9B9EF">
            <w:pPr>
              <w:jc w:val="center"/>
              <w:rPr>
                <w:rFonts w:ascii="宋体" w:hAnsi="宋体" w:eastAsia="宋体" w:cs="宋体"/>
                <w:sz w:val="24"/>
                <w:szCs w:val="21"/>
                <w:highlight w:val="none"/>
              </w:rPr>
            </w:pPr>
            <w:r>
              <w:rPr>
                <w:rFonts w:hint="eastAsia" w:ascii="宋体" w:hAnsi="宋体" w:eastAsia="宋体" w:cs="宋体"/>
                <w:sz w:val="24"/>
                <w:szCs w:val="21"/>
                <w:highlight w:val="none"/>
              </w:rPr>
              <w:t>数据冗余保护</w:t>
            </w:r>
          </w:p>
        </w:tc>
        <w:tc>
          <w:tcPr>
            <w:tcW w:w="6405" w:type="dxa"/>
            <w:shd w:val="clear" w:color="000000" w:fill="FFFFFF"/>
            <w:vAlign w:val="center"/>
          </w:tcPr>
          <w:p w14:paraId="3E8ED732">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数据副本和纠删码K+M方式的冗余保护机制，可根据数据不同的保护级别在同一系统内同时设置数据副本模式和纠删码模式；纠删码最多可接受4个节点同时失效而不丢失数据，副本支持2~8副本，提供官方网站截图证明</w:t>
            </w:r>
          </w:p>
        </w:tc>
      </w:tr>
      <w:tr w14:paraId="22F09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5" w:hRule="atLeast"/>
        </w:trPr>
        <w:tc>
          <w:tcPr>
            <w:tcW w:w="636" w:type="dxa"/>
            <w:shd w:val="clear" w:color="000000" w:fill="FFFFFF"/>
            <w:noWrap/>
            <w:vAlign w:val="bottom"/>
          </w:tcPr>
          <w:p w14:paraId="73E3EDB4">
            <w:pPr>
              <w:pStyle w:val="20"/>
              <w:ind w:left="0" w:firstLine="0"/>
              <w:rPr>
                <w:rFonts w:ascii="宋体" w:hAnsi="宋体" w:eastAsia="宋体"/>
                <w:sz w:val="24"/>
                <w:szCs w:val="21"/>
                <w:highlight w:val="none"/>
              </w:rPr>
            </w:pPr>
          </w:p>
        </w:tc>
        <w:tc>
          <w:tcPr>
            <w:tcW w:w="783" w:type="dxa"/>
            <w:vMerge w:val="continue"/>
            <w:vAlign w:val="center"/>
          </w:tcPr>
          <w:p w14:paraId="0A230303">
            <w:pPr>
              <w:rPr>
                <w:rFonts w:ascii="宋体" w:hAnsi="宋体" w:eastAsia="宋体" w:cs="宋体"/>
                <w:sz w:val="24"/>
                <w:szCs w:val="21"/>
                <w:highlight w:val="none"/>
              </w:rPr>
            </w:pPr>
          </w:p>
        </w:tc>
        <w:tc>
          <w:tcPr>
            <w:tcW w:w="1249" w:type="dxa"/>
            <w:shd w:val="clear" w:color="000000" w:fill="FFFFFF"/>
            <w:vAlign w:val="center"/>
          </w:tcPr>
          <w:p w14:paraId="7C373DDD">
            <w:pPr>
              <w:jc w:val="center"/>
              <w:rPr>
                <w:rFonts w:ascii="宋体" w:hAnsi="宋体" w:eastAsia="宋体" w:cs="宋体"/>
                <w:sz w:val="24"/>
                <w:szCs w:val="21"/>
                <w:highlight w:val="none"/>
              </w:rPr>
            </w:pPr>
            <w:r>
              <w:rPr>
                <w:rFonts w:hint="eastAsia" w:ascii="宋体" w:hAnsi="宋体" w:eastAsia="宋体" w:cs="宋体"/>
                <w:sz w:val="24"/>
                <w:szCs w:val="21"/>
                <w:highlight w:val="none"/>
              </w:rPr>
              <w:t>增强扩容</w:t>
            </w:r>
          </w:p>
        </w:tc>
        <w:tc>
          <w:tcPr>
            <w:tcW w:w="6405" w:type="dxa"/>
            <w:shd w:val="clear" w:color="000000" w:fill="FFFFFF"/>
            <w:vAlign w:val="center"/>
          </w:tcPr>
          <w:p w14:paraId="6E4D34D4">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▲所投产品支持增强扩容，分钟级完成扩容，扩容时，集群整体性能无影响，可不进行数据迁移，随集群整体容量水位上升各个存储节点容量水位趋于平衡，</w:t>
            </w:r>
            <w:r>
              <w:rPr>
                <w:rFonts w:hint="eastAsia" w:ascii="宋体" w:hAnsi="宋体" w:eastAsia="宋体" w:cs="宋体"/>
                <w:bCs/>
                <w:sz w:val="24"/>
                <w:szCs w:val="21"/>
                <w:highlight w:val="none"/>
              </w:rPr>
              <w:t>最终新老节点容量水位误差率不超2%</w:t>
            </w:r>
            <w:r>
              <w:rPr>
                <w:rFonts w:hint="eastAsia" w:ascii="宋体" w:hAnsi="宋体" w:eastAsia="宋体" w:cs="宋体"/>
                <w:sz w:val="24"/>
                <w:szCs w:val="21"/>
                <w:highlight w:val="none"/>
              </w:rPr>
              <w:t>，且集群冗余个数提升</w:t>
            </w:r>
            <w:r>
              <w:rPr>
                <w:rFonts w:hint="eastAsia" w:ascii="宋体" w:hAnsi="宋体" w:cs="宋体"/>
                <w:sz w:val="24"/>
                <w:szCs w:val="21"/>
                <w:highlight w:val="none"/>
                <w:lang w:eastAsia="zh-CN"/>
              </w:rPr>
              <w:t>（提供证明材料）</w:t>
            </w:r>
          </w:p>
        </w:tc>
      </w:tr>
      <w:tr w14:paraId="5F16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6" w:type="dxa"/>
            <w:shd w:val="clear" w:color="000000" w:fill="FFFFFF"/>
            <w:noWrap/>
            <w:vAlign w:val="bottom"/>
          </w:tcPr>
          <w:p w14:paraId="0314B810">
            <w:pPr>
              <w:pStyle w:val="20"/>
              <w:ind w:left="0" w:firstLine="0"/>
              <w:rPr>
                <w:rFonts w:ascii="宋体" w:hAnsi="宋体" w:eastAsia="宋体"/>
                <w:sz w:val="24"/>
                <w:szCs w:val="21"/>
                <w:highlight w:val="none"/>
              </w:rPr>
            </w:pPr>
          </w:p>
        </w:tc>
        <w:tc>
          <w:tcPr>
            <w:tcW w:w="783" w:type="dxa"/>
            <w:vMerge w:val="continue"/>
            <w:vAlign w:val="center"/>
          </w:tcPr>
          <w:p w14:paraId="4CE5FA34">
            <w:pPr>
              <w:rPr>
                <w:rFonts w:ascii="宋体" w:hAnsi="宋体" w:eastAsia="宋体" w:cs="宋体"/>
                <w:sz w:val="24"/>
                <w:szCs w:val="21"/>
                <w:highlight w:val="none"/>
              </w:rPr>
            </w:pPr>
          </w:p>
        </w:tc>
        <w:tc>
          <w:tcPr>
            <w:tcW w:w="1249" w:type="dxa"/>
            <w:shd w:val="clear" w:color="000000" w:fill="FFFFFF"/>
            <w:vAlign w:val="center"/>
          </w:tcPr>
          <w:p w14:paraId="2DBC862B">
            <w:pPr>
              <w:jc w:val="center"/>
              <w:rPr>
                <w:rFonts w:ascii="宋体" w:hAnsi="宋体" w:eastAsia="宋体" w:cs="宋体"/>
                <w:sz w:val="24"/>
                <w:szCs w:val="21"/>
                <w:highlight w:val="none"/>
              </w:rPr>
            </w:pPr>
            <w:r>
              <w:rPr>
                <w:rFonts w:hint="eastAsia" w:ascii="宋体" w:hAnsi="宋体" w:eastAsia="宋体" w:cs="宋体"/>
                <w:sz w:val="24"/>
                <w:szCs w:val="21"/>
                <w:highlight w:val="none"/>
              </w:rPr>
              <w:t>增强ACL</w:t>
            </w:r>
          </w:p>
        </w:tc>
        <w:tc>
          <w:tcPr>
            <w:tcW w:w="6405" w:type="dxa"/>
            <w:shd w:val="clear" w:color="000000" w:fill="FFFFFF"/>
            <w:vAlign w:val="center"/>
          </w:tcPr>
          <w:p w14:paraId="3473F1F8">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所投产品配置权限管理支持读、写、执行、删除、可视五种权限</w:t>
            </w:r>
          </w:p>
        </w:tc>
      </w:tr>
      <w:tr w14:paraId="1409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rPr>
        <w:tc>
          <w:tcPr>
            <w:tcW w:w="636" w:type="dxa"/>
            <w:shd w:val="clear" w:color="000000" w:fill="FFFFFF"/>
            <w:noWrap/>
            <w:vAlign w:val="bottom"/>
          </w:tcPr>
          <w:p w14:paraId="7D982B74">
            <w:pPr>
              <w:pStyle w:val="20"/>
              <w:ind w:left="0" w:firstLine="0"/>
              <w:rPr>
                <w:rFonts w:ascii="宋体" w:hAnsi="宋体" w:eastAsia="宋体"/>
                <w:sz w:val="24"/>
                <w:szCs w:val="21"/>
                <w:highlight w:val="none"/>
              </w:rPr>
            </w:pPr>
          </w:p>
        </w:tc>
        <w:tc>
          <w:tcPr>
            <w:tcW w:w="783" w:type="dxa"/>
            <w:vMerge w:val="continue"/>
            <w:vAlign w:val="center"/>
          </w:tcPr>
          <w:p w14:paraId="51C7F6A1">
            <w:pPr>
              <w:rPr>
                <w:rFonts w:ascii="宋体" w:hAnsi="宋体" w:eastAsia="宋体" w:cs="宋体"/>
                <w:sz w:val="24"/>
                <w:szCs w:val="21"/>
                <w:highlight w:val="none"/>
              </w:rPr>
            </w:pPr>
          </w:p>
        </w:tc>
        <w:tc>
          <w:tcPr>
            <w:tcW w:w="1249" w:type="dxa"/>
            <w:shd w:val="clear" w:color="000000" w:fill="FFFFFF"/>
            <w:vAlign w:val="center"/>
          </w:tcPr>
          <w:p w14:paraId="7F4D5121">
            <w:pPr>
              <w:jc w:val="center"/>
              <w:rPr>
                <w:rFonts w:ascii="宋体" w:hAnsi="宋体" w:eastAsia="宋体" w:cs="宋体"/>
                <w:sz w:val="24"/>
                <w:szCs w:val="21"/>
                <w:highlight w:val="none"/>
              </w:rPr>
            </w:pPr>
            <w:r>
              <w:rPr>
                <w:rFonts w:hint="eastAsia" w:ascii="宋体" w:hAnsi="宋体" w:eastAsia="宋体" w:cs="宋体"/>
                <w:sz w:val="24"/>
                <w:szCs w:val="21"/>
                <w:highlight w:val="none"/>
              </w:rPr>
              <w:t>告警</w:t>
            </w:r>
          </w:p>
        </w:tc>
        <w:tc>
          <w:tcPr>
            <w:tcW w:w="6405" w:type="dxa"/>
            <w:shd w:val="clear" w:color="000000" w:fill="FFFFFF"/>
            <w:vAlign w:val="center"/>
          </w:tcPr>
          <w:p w14:paraId="542E6C9A">
            <w:pPr>
              <w:jc w:val="both"/>
              <w:rPr>
                <w:rFonts w:ascii="宋体" w:hAnsi="宋体" w:eastAsia="宋体" w:cs="宋体"/>
                <w:sz w:val="24"/>
                <w:szCs w:val="21"/>
                <w:highlight w:val="none"/>
              </w:rPr>
            </w:pPr>
            <w:r>
              <w:rPr>
                <w:rFonts w:hint="eastAsia" w:ascii="宋体" w:hAnsi="宋体" w:eastAsia="宋体" w:cs="宋体"/>
                <w:sz w:val="24"/>
                <w:szCs w:val="21"/>
                <w:highlight w:val="none"/>
              </w:rPr>
              <w:t xml:space="preserve">所投产品支持通过SNMP协议，以短信、邮件等形式发送告警信息，以便集群出现异常时第一时间通知相关责任人 </w:t>
            </w:r>
          </w:p>
        </w:tc>
      </w:tr>
      <w:tr w14:paraId="32760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 w:hRule="atLeast"/>
        </w:trPr>
        <w:tc>
          <w:tcPr>
            <w:tcW w:w="636" w:type="dxa"/>
            <w:shd w:val="clear" w:color="000000" w:fill="FFFFFF"/>
            <w:noWrap/>
            <w:vAlign w:val="bottom"/>
          </w:tcPr>
          <w:p w14:paraId="40554184">
            <w:pPr>
              <w:pStyle w:val="20"/>
              <w:ind w:left="0" w:firstLine="0"/>
              <w:rPr>
                <w:rFonts w:ascii="宋体" w:hAnsi="宋体" w:eastAsia="宋体"/>
                <w:sz w:val="24"/>
                <w:szCs w:val="21"/>
                <w:highlight w:val="none"/>
              </w:rPr>
            </w:pPr>
          </w:p>
        </w:tc>
        <w:tc>
          <w:tcPr>
            <w:tcW w:w="783" w:type="dxa"/>
            <w:vMerge w:val="continue"/>
            <w:vAlign w:val="center"/>
          </w:tcPr>
          <w:p w14:paraId="21BF47A3">
            <w:pPr>
              <w:rPr>
                <w:rFonts w:ascii="宋体" w:hAnsi="宋体" w:eastAsia="宋体" w:cs="宋体"/>
                <w:sz w:val="24"/>
                <w:szCs w:val="21"/>
                <w:highlight w:val="none"/>
              </w:rPr>
            </w:pPr>
          </w:p>
        </w:tc>
        <w:tc>
          <w:tcPr>
            <w:tcW w:w="1249" w:type="dxa"/>
            <w:shd w:val="clear" w:color="000000" w:fill="FFFFFF"/>
            <w:vAlign w:val="center"/>
          </w:tcPr>
          <w:p w14:paraId="422BF428">
            <w:pPr>
              <w:jc w:val="center"/>
              <w:rPr>
                <w:rFonts w:ascii="宋体" w:hAnsi="宋体" w:eastAsia="宋体" w:cs="宋体"/>
                <w:sz w:val="24"/>
                <w:szCs w:val="21"/>
                <w:highlight w:val="none"/>
              </w:rPr>
            </w:pPr>
            <w:r>
              <w:rPr>
                <w:rFonts w:hint="eastAsia" w:ascii="宋体" w:hAnsi="宋体" w:eastAsia="宋体" w:cs="宋体"/>
                <w:sz w:val="24"/>
                <w:szCs w:val="21"/>
                <w:highlight w:val="none"/>
              </w:rPr>
              <w:t>故障隔离</w:t>
            </w:r>
          </w:p>
        </w:tc>
        <w:tc>
          <w:tcPr>
            <w:tcW w:w="6405" w:type="dxa"/>
            <w:shd w:val="clear" w:color="000000" w:fill="FFFFFF"/>
            <w:vAlign w:val="center"/>
          </w:tcPr>
          <w:p w14:paraId="2B42885C">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所投产品支持基于机架或节点的故障域设置，同一分条数据不能存储到同一个故障域中，支持创建节点级别的物理隔离保护域（节点池）</w:t>
            </w:r>
          </w:p>
        </w:tc>
      </w:tr>
      <w:tr w14:paraId="28B17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trPr>
        <w:tc>
          <w:tcPr>
            <w:tcW w:w="636" w:type="dxa"/>
            <w:shd w:val="clear" w:color="000000" w:fill="FFFFFF"/>
            <w:noWrap/>
            <w:vAlign w:val="center"/>
          </w:tcPr>
          <w:p w14:paraId="74BD84F8">
            <w:pPr>
              <w:pStyle w:val="20"/>
              <w:ind w:left="0" w:firstLine="0"/>
              <w:rPr>
                <w:rFonts w:ascii="宋体" w:hAnsi="宋体" w:eastAsia="宋体"/>
                <w:sz w:val="24"/>
                <w:szCs w:val="21"/>
                <w:highlight w:val="none"/>
              </w:rPr>
            </w:pPr>
          </w:p>
        </w:tc>
        <w:tc>
          <w:tcPr>
            <w:tcW w:w="783" w:type="dxa"/>
            <w:vMerge w:val="continue"/>
            <w:vAlign w:val="center"/>
          </w:tcPr>
          <w:p w14:paraId="25A301E6">
            <w:pPr>
              <w:rPr>
                <w:rFonts w:ascii="宋体" w:hAnsi="宋体" w:eastAsia="宋体" w:cs="宋体"/>
                <w:sz w:val="24"/>
                <w:szCs w:val="21"/>
                <w:highlight w:val="none"/>
              </w:rPr>
            </w:pPr>
          </w:p>
        </w:tc>
        <w:tc>
          <w:tcPr>
            <w:tcW w:w="1249" w:type="dxa"/>
            <w:shd w:val="clear" w:color="000000" w:fill="FFFFFF"/>
            <w:vAlign w:val="center"/>
          </w:tcPr>
          <w:p w14:paraId="798CAC4B">
            <w:pPr>
              <w:jc w:val="center"/>
              <w:rPr>
                <w:rFonts w:ascii="宋体" w:hAnsi="宋体" w:eastAsia="宋体" w:cs="宋体"/>
                <w:sz w:val="24"/>
                <w:szCs w:val="21"/>
                <w:highlight w:val="none"/>
              </w:rPr>
            </w:pPr>
            <w:r>
              <w:rPr>
                <w:rFonts w:hint="eastAsia" w:ascii="宋体" w:hAnsi="宋体" w:eastAsia="宋体" w:cs="宋体"/>
                <w:sz w:val="24"/>
                <w:szCs w:val="21"/>
                <w:highlight w:val="none"/>
              </w:rPr>
              <w:t>在线扩容</w:t>
            </w:r>
          </w:p>
        </w:tc>
        <w:tc>
          <w:tcPr>
            <w:tcW w:w="6405" w:type="dxa"/>
            <w:shd w:val="clear" w:color="000000" w:fill="FFFFFF"/>
            <w:vAlign w:val="center"/>
          </w:tcPr>
          <w:p w14:paraId="24BAADFD">
            <w:pPr>
              <w:jc w:val="both"/>
              <w:rPr>
                <w:rFonts w:ascii="宋体" w:hAnsi="宋体" w:eastAsia="宋体" w:cs="宋体"/>
                <w:sz w:val="24"/>
                <w:szCs w:val="21"/>
                <w:highlight w:val="none"/>
              </w:rPr>
            </w:pPr>
            <w:r>
              <w:rPr>
                <w:rFonts w:hint="eastAsia" w:ascii="宋体" w:hAnsi="宋体" w:eastAsia="宋体" w:cs="宋体"/>
                <w:sz w:val="24"/>
                <w:szCs w:val="21"/>
                <w:highlight w:val="none"/>
              </w:rPr>
              <w:t>所投产品支持节点内添加硬盘和添加节点的方式在线扩容，系统性能和容量随节点增加而线性增长，并且不中断业务，扩容之后节点间和磁盘间容量均衡</w:t>
            </w:r>
          </w:p>
        </w:tc>
      </w:tr>
      <w:tr w14:paraId="76E14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trPr>
        <w:tc>
          <w:tcPr>
            <w:tcW w:w="636" w:type="dxa"/>
            <w:shd w:val="clear" w:color="auto" w:fill="auto"/>
            <w:noWrap/>
            <w:vAlign w:val="bottom"/>
          </w:tcPr>
          <w:p w14:paraId="3B1785A3">
            <w:pPr>
              <w:pStyle w:val="20"/>
              <w:ind w:left="0" w:firstLine="0"/>
              <w:rPr>
                <w:rFonts w:ascii="宋体" w:hAnsi="宋体" w:eastAsia="宋体"/>
                <w:sz w:val="24"/>
                <w:szCs w:val="21"/>
                <w:highlight w:val="none"/>
              </w:rPr>
            </w:pPr>
          </w:p>
        </w:tc>
        <w:tc>
          <w:tcPr>
            <w:tcW w:w="783" w:type="dxa"/>
            <w:vMerge w:val="restart"/>
            <w:shd w:val="clear" w:color="auto" w:fill="FFFFFF" w:themeFill="background1"/>
            <w:noWrap/>
            <w:vAlign w:val="center"/>
          </w:tcPr>
          <w:p w14:paraId="106E979C">
            <w:pPr>
              <w:jc w:val="center"/>
              <w:rPr>
                <w:rFonts w:ascii="宋体" w:hAnsi="宋体" w:eastAsia="宋体" w:cs="宋体"/>
                <w:sz w:val="24"/>
                <w:szCs w:val="21"/>
                <w:highlight w:val="none"/>
              </w:rPr>
            </w:pPr>
            <w:r>
              <w:rPr>
                <w:rFonts w:hint="eastAsia" w:ascii="宋体" w:hAnsi="宋体" w:eastAsia="宋体" w:cs="宋体"/>
                <w:sz w:val="24"/>
                <w:szCs w:val="21"/>
                <w:highlight w:val="none"/>
                <w:lang w:eastAsia="zh-CN"/>
              </w:rPr>
              <w:t>服务器配置</w:t>
            </w:r>
            <w:r>
              <w:rPr>
                <w:rFonts w:hint="eastAsia" w:ascii="宋体" w:hAnsi="宋体" w:eastAsia="宋体" w:cs="宋体"/>
                <w:sz w:val="24"/>
                <w:szCs w:val="21"/>
                <w:highlight w:val="none"/>
              </w:rPr>
              <w:t>　</w:t>
            </w:r>
          </w:p>
        </w:tc>
        <w:tc>
          <w:tcPr>
            <w:tcW w:w="1249" w:type="dxa"/>
            <w:vMerge w:val="restart"/>
            <w:shd w:val="clear" w:color="auto" w:fill="FFFFFF" w:themeFill="background1"/>
            <w:noWrap/>
            <w:vAlign w:val="center"/>
          </w:tcPr>
          <w:p w14:paraId="7DBAE388">
            <w:pPr>
              <w:jc w:val="center"/>
              <w:rPr>
                <w:rFonts w:ascii="宋体" w:hAnsi="宋体" w:eastAsia="宋体" w:cs="宋体"/>
                <w:bCs/>
                <w:sz w:val="24"/>
                <w:szCs w:val="21"/>
                <w:highlight w:val="none"/>
              </w:rPr>
            </w:pPr>
            <w:r>
              <w:rPr>
                <w:rFonts w:hint="eastAsia" w:ascii="宋体" w:hAnsi="宋体" w:eastAsia="宋体" w:cs="宋体"/>
                <w:bCs/>
                <w:sz w:val="24"/>
                <w:szCs w:val="21"/>
                <w:highlight w:val="none"/>
              </w:rPr>
              <w:t>配置</w:t>
            </w:r>
          </w:p>
        </w:tc>
        <w:tc>
          <w:tcPr>
            <w:tcW w:w="6405" w:type="dxa"/>
            <w:shd w:val="clear" w:color="auto" w:fill="FFFFFF" w:themeFill="background1"/>
            <w:vAlign w:val="center"/>
          </w:tcPr>
          <w:p w14:paraId="05B7CA87">
            <w:pPr>
              <w:jc w:val="both"/>
              <w:rPr>
                <w:rFonts w:ascii="宋体" w:hAnsi="宋体" w:eastAsia="宋体" w:cs="宋体"/>
                <w:sz w:val="24"/>
                <w:szCs w:val="21"/>
                <w:highlight w:val="none"/>
              </w:rPr>
            </w:pPr>
            <w:r>
              <w:rPr>
                <w:rFonts w:hint="eastAsia" w:ascii="宋体" w:hAnsi="宋体" w:eastAsia="宋体" w:cs="宋体"/>
                <w:sz w:val="24"/>
                <w:szCs w:val="21"/>
                <w:highlight w:val="none"/>
              </w:rPr>
              <w:t>设备高度≤4U，机架式</w:t>
            </w:r>
          </w:p>
        </w:tc>
      </w:tr>
      <w:tr w14:paraId="5F997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 w:hRule="atLeast"/>
        </w:trPr>
        <w:tc>
          <w:tcPr>
            <w:tcW w:w="636" w:type="dxa"/>
            <w:shd w:val="clear" w:color="auto" w:fill="auto"/>
            <w:noWrap/>
            <w:vAlign w:val="bottom"/>
          </w:tcPr>
          <w:p w14:paraId="3AC9E7C9">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6ECDDA91">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6A46D0A1">
            <w:pPr>
              <w:rPr>
                <w:rFonts w:ascii="宋体" w:hAnsi="宋体" w:eastAsia="宋体" w:cs="宋体"/>
                <w:b/>
                <w:bCs/>
                <w:sz w:val="24"/>
                <w:szCs w:val="21"/>
                <w:highlight w:val="none"/>
              </w:rPr>
            </w:pPr>
          </w:p>
        </w:tc>
        <w:tc>
          <w:tcPr>
            <w:tcW w:w="6405" w:type="dxa"/>
            <w:shd w:val="clear" w:color="auto" w:fill="FFFFFF" w:themeFill="background1"/>
            <w:vAlign w:val="center"/>
          </w:tcPr>
          <w:p w14:paraId="39BE9651">
            <w:pPr>
              <w:jc w:val="both"/>
              <w:rPr>
                <w:rFonts w:ascii="宋体" w:hAnsi="宋体" w:eastAsia="宋体" w:cs="宋体"/>
                <w:sz w:val="24"/>
                <w:szCs w:val="21"/>
                <w:highlight w:val="none"/>
              </w:rPr>
            </w:pPr>
            <w:r>
              <w:rPr>
                <w:rFonts w:hint="eastAsia" w:ascii="宋体" w:hAnsi="宋体" w:eastAsia="宋体" w:cs="宋体"/>
                <w:sz w:val="24"/>
                <w:szCs w:val="21"/>
                <w:highlight w:val="none"/>
              </w:rPr>
              <w:t>本次配置≥</w:t>
            </w:r>
            <w:r>
              <w:rPr>
                <w:rFonts w:ascii="宋体" w:hAnsi="宋体" w:eastAsia="宋体" w:cs="宋体"/>
                <w:sz w:val="24"/>
                <w:szCs w:val="21"/>
                <w:highlight w:val="none"/>
              </w:rPr>
              <w:t>3</w:t>
            </w:r>
            <w:r>
              <w:rPr>
                <w:rFonts w:hint="eastAsia" w:ascii="宋体" w:hAnsi="宋体" w:eastAsia="宋体" w:cs="宋体"/>
                <w:sz w:val="24"/>
                <w:szCs w:val="21"/>
                <w:highlight w:val="none"/>
              </w:rPr>
              <w:t>个存储节点，存储裸容量≥1</w:t>
            </w:r>
            <w:r>
              <w:rPr>
                <w:rFonts w:ascii="宋体" w:hAnsi="宋体" w:eastAsia="宋体" w:cs="宋体"/>
                <w:sz w:val="24"/>
                <w:szCs w:val="21"/>
                <w:highlight w:val="none"/>
              </w:rPr>
              <w:t>PB</w:t>
            </w:r>
            <w:r>
              <w:rPr>
                <w:rFonts w:hint="eastAsia" w:ascii="宋体" w:hAnsi="宋体" w:eastAsia="宋体" w:cs="宋体"/>
                <w:sz w:val="24"/>
                <w:szCs w:val="21"/>
                <w:highlight w:val="none"/>
              </w:rPr>
              <w:t xml:space="preserve">； </w:t>
            </w:r>
          </w:p>
        </w:tc>
      </w:tr>
      <w:tr w14:paraId="0CDD0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trPr>
        <w:tc>
          <w:tcPr>
            <w:tcW w:w="636" w:type="dxa"/>
            <w:shd w:val="clear" w:color="auto" w:fill="auto"/>
            <w:noWrap/>
            <w:vAlign w:val="bottom"/>
          </w:tcPr>
          <w:p w14:paraId="742EAF7D">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3E0F53C8">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6D0E05C8">
            <w:pPr>
              <w:rPr>
                <w:rFonts w:ascii="宋体" w:hAnsi="宋体" w:eastAsia="宋体" w:cs="宋体"/>
                <w:b/>
                <w:bCs/>
                <w:sz w:val="24"/>
                <w:szCs w:val="21"/>
                <w:highlight w:val="none"/>
              </w:rPr>
            </w:pPr>
          </w:p>
        </w:tc>
        <w:tc>
          <w:tcPr>
            <w:tcW w:w="6405" w:type="dxa"/>
            <w:shd w:val="clear" w:color="auto" w:fill="FFFFFF" w:themeFill="background1"/>
            <w:vAlign w:val="center"/>
          </w:tcPr>
          <w:p w14:paraId="4E00B999">
            <w:pPr>
              <w:jc w:val="both"/>
              <w:rPr>
                <w:rFonts w:ascii="宋体" w:hAnsi="宋体" w:eastAsia="宋体" w:cs="宋体"/>
                <w:sz w:val="24"/>
                <w:szCs w:val="21"/>
                <w:highlight w:val="none"/>
              </w:rPr>
            </w:pPr>
            <w:r>
              <w:rPr>
                <w:rFonts w:hint="eastAsia" w:ascii="宋体" w:hAnsi="宋体" w:eastAsia="宋体" w:cs="宋体"/>
                <w:sz w:val="24"/>
                <w:szCs w:val="21"/>
                <w:highlight w:val="none"/>
              </w:rPr>
              <w:t>每个存储节点配置2颗x</w:t>
            </w:r>
            <w:r>
              <w:rPr>
                <w:rFonts w:ascii="宋体" w:hAnsi="宋体" w:eastAsia="宋体" w:cs="宋体"/>
                <w:sz w:val="24"/>
                <w:szCs w:val="21"/>
                <w:highlight w:val="none"/>
              </w:rPr>
              <w:t>86</w:t>
            </w:r>
            <w:r>
              <w:rPr>
                <w:rFonts w:hint="eastAsia" w:ascii="宋体" w:hAnsi="宋体" w:eastAsia="宋体" w:cs="宋体"/>
                <w:sz w:val="24"/>
                <w:szCs w:val="21"/>
                <w:highlight w:val="none"/>
              </w:rPr>
              <w:t>处理器，单颗处理器核心数≥1</w:t>
            </w:r>
            <w:r>
              <w:rPr>
                <w:rFonts w:ascii="宋体" w:hAnsi="宋体" w:eastAsia="宋体" w:cs="宋体"/>
                <w:sz w:val="24"/>
                <w:szCs w:val="21"/>
                <w:highlight w:val="none"/>
              </w:rPr>
              <w:t>6</w:t>
            </w:r>
            <w:r>
              <w:rPr>
                <w:rFonts w:hint="eastAsia" w:ascii="宋体" w:hAnsi="宋体" w:eastAsia="宋体" w:cs="宋体"/>
                <w:sz w:val="24"/>
                <w:szCs w:val="21"/>
                <w:highlight w:val="none"/>
              </w:rPr>
              <w:t>个</w:t>
            </w:r>
          </w:p>
        </w:tc>
      </w:tr>
      <w:tr w14:paraId="0A07B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36" w:type="dxa"/>
            <w:shd w:val="clear" w:color="auto" w:fill="auto"/>
            <w:noWrap/>
            <w:vAlign w:val="bottom"/>
          </w:tcPr>
          <w:p w14:paraId="6CF18F47">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0A128C36">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04999903">
            <w:pPr>
              <w:rPr>
                <w:rFonts w:ascii="宋体" w:hAnsi="宋体" w:eastAsia="宋体" w:cs="宋体"/>
                <w:b/>
                <w:bCs/>
                <w:sz w:val="24"/>
                <w:szCs w:val="21"/>
                <w:highlight w:val="none"/>
              </w:rPr>
            </w:pPr>
          </w:p>
        </w:tc>
        <w:tc>
          <w:tcPr>
            <w:tcW w:w="6405" w:type="dxa"/>
            <w:shd w:val="clear" w:color="auto" w:fill="FFFFFF" w:themeFill="background1"/>
            <w:vAlign w:val="center"/>
          </w:tcPr>
          <w:p w14:paraId="138FADB5">
            <w:pPr>
              <w:jc w:val="both"/>
              <w:rPr>
                <w:rFonts w:ascii="宋体" w:hAnsi="宋体" w:eastAsia="宋体" w:cs="宋体"/>
                <w:sz w:val="24"/>
                <w:szCs w:val="21"/>
                <w:highlight w:val="none"/>
              </w:rPr>
            </w:pPr>
            <w:r>
              <w:rPr>
                <w:rFonts w:hint="eastAsia" w:ascii="宋体" w:hAnsi="宋体" w:eastAsia="宋体" w:cs="宋体"/>
                <w:sz w:val="24"/>
                <w:szCs w:val="21"/>
                <w:highlight w:val="none"/>
              </w:rPr>
              <w:t>每个节点配置内存≥</w:t>
            </w:r>
            <w:r>
              <w:rPr>
                <w:rFonts w:ascii="宋体" w:hAnsi="宋体" w:eastAsia="宋体" w:cs="宋体"/>
                <w:sz w:val="24"/>
                <w:szCs w:val="21"/>
                <w:highlight w:val="none"/>
              </w:rPr>
              <w:t>256</w:t>
            </w:r>
            <w:r>
              <w:rPr>
                <w:rFonts w:hint="eastAsia" w:ascii="宋体" w:hAnsi="宋体" w:eastAsia="宋体" w:cs="宋体"/>
                <w:sz w:val="24"/>
                <w:szCs w:val="21"/>
                <w:highlight w:val="none"/>
              </w:rPr>
              <w:t>GB</w:t>
            </w:r>
          </w:p>
        </w:tc>
      </w:tr>
      <w:tr w14:paraId="5A6EE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36" w:type="dxa"/>
            <w:shd w:val="clear" w:color="auto" w:fill="auto"/>
            <w:noWrap/>
            <w:vAlign w:val="bottom"/>
          </w:tcPr>
          <w:p w14:paraId="1D3D5B56">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55E5AFAF">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6791A450">
            <w:pPr>
              <w:rPr>
                <w:rFonts w:ascii="宋体" w:hAnsi="宋体" w:eastAsia="宋体" w:cs="宋体"/>
                <w:b/>
                <w:bCs/>
                <w:sz w:val="24"/>
                <w:szCs w:val="21"/>
                <w:highlight w:val="none"/>
              </w:rPr>
            </w:pPr>
          </w:p>
        </w:tc>
        <w:tc>
          <w:tcPr>
            <w:tcW w:w="6405" w:type="dxa"/>
            <w:shd w:val="clear" w:color="auto" w:fill="FFFFFF" w:themeFill="background1"/>
            <w:vAlign w:val="center"/>
          </w:tcPr>
          <w:p w14:paraId="595985CD">
            <w:pPr>
              <w:jc w:val="both"/>
              <w:rPr>
                <w:rFonts w:ascii="宋体" w:hAnsi="宋体" w:eastAsia="宋体" w:cs="宋体"/>
                <w:sz w:val="24"/>
                <w:szCs w:val="21"/>
                <w:highlight w:val="none"/>
              </w:rPr>
            </w:pPr>
            <w:r>
              <w:rPr>
                <w:rFonts w:hint="eastAsia" w:ascii="宋体" w:hAnsi="宋体" w:eastAsia="宋体" w:cs="宋体"/>
                <w:sz w:val="24"/>
                <w:szCs w:val="21"/>
                <w:highlight w:val="none"/>
              </w:rPr>
              <w:t>每个节点配置≥2个480G SSD硬盘</w:t>
            </w:r>
          </w:p>
        </w:tc>
      </w:tr>
      <w:tr w14:paraId="32CD1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trPr>
        <w:tc>
          <w:tcPr>
            <w:tcW w:w="636" w:type="dxa"/>
            <w:shd w:val="clear" w:color="auto" w:fill="auto"/>
            <w:noWrap/>
            <w:vAlign w:val="bottom"/>
          </w:tcPr>
          <w:p w14:paraId="6B0D85FE">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00DA42E9">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50458BD5">
            <w:pPr>
              <w:rPr>
                <w:rFonts w:ascii="宋体" w:hAnsi="宋体" w:eastAsia="宋体" w:cs="宋体"/>
                <w:b/>
                <w:bCs/>
                <w:sz w:val="24"/>
                <w:szCs w:val="21"/>
                <w:highlight w:val="none"/>
              </w:rPr>
            </w:pPr>
          </w:p>
        </w:tc>
        <w:tc>
          <w:tcPr>
            <w:tcW w:w="6405" w:type="dxa"/>
            <w:shd w:val="clear" w:color="auto" w:fill="FFFFFF" w:themeFill="background1"/>
            <w:vAlign w:val="center"/>
          </w:tcPr>
          <w:p w14:paraId="17124426">
            <w:pPr>
              <w:jc w:val="both"/>
              <w:rPr>
                <w:rFonts w:ascii="宋体" w:hAnsi="宋体" w:eastAsia="宋体" w:cs="宋体"/>
                <w:sz w:val="24"/>
                <w:szCs w:val="21"/>
                <w:highlight w:val="none"/>
              </w:rPr>
            </w:pPr>
            <w:r>
              <w:rPr>
                <w:rFonts w:hint="eastAsia" w:ascii="宋体" w:hAnsi="宋体" w:eastAsia="宋体" w:cs="宋体"/>
                <w:sz w:val="24"/>
                <w:szCs w:val="21"/>
                <w:highlight w:val="none"/>
              </w:rPr>
              <w:t>每个节点配置≥2个</w:t>
            </w:r>
            <w:r>
              <w:rPr>
                <w:rFonts w:ascii="宋体" w:hAnsi="宋体" w:eastAsia="宋体" w:cs="宋体"/>
                <w:sz w:val="24"/>
                <w:szCs w:val="21"/>
                <w:highlight w:val="none"/>
              </w:rPr>
              <w:t>7.68</w:t>
            </w:r>
            <w:r>
              <w:rPr>
                <w:rFonts w:hint="eastAsia" w:ascii="宋体" w:hAnsi="宋体" w:eastAsia="宋体" w:cs="宋体"/>
                <w:sz w:val="24"/>
                <w:szCs w:val="21"/>
                <w:highlight w:val="none"/>
              </w:rPr>
              <w:t>T NVMe SSD硬盘</w:t>
            </w:r>
          </w:p>
        </w:tc>
      </w:tr>
      <w:tr w14:paraId="20E23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trPr>
        <w:tc>
          <w:tcPr>
            <w:tcW w:w="636" w:type="dxa"/>
            <w:shd w:val="clear" w:color="auto" w:fill="auto"/>
            <w:noWrap/>
            <w:vAlign w:val="bottom"/>
          </w:tcPr>
          <w:p w14:paraId="00C2D72B">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4DC549C3">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24ABA013">
            <w:pPr>
              <w:rPr>
                <w:rFonts w:ascii="宋体" w:hAnsi="宋体" w:eastAsia="宋体" w:cs="宋体"/>
                <w:b/>
                <w:bCs/>
                <w:sz w:val="24"/>
                <w:szCs w:val="21"/>
                <w:highlight w:val="none"/>
              </w:rPr>
            </w:pPr>
          </w:p>
        </w:tc>
        <w:tc>
          <w:tcPr>
            <w:tcW w:w="6405" w:type="dxa"/>
            <w:shd w:val="clear" w:color="auto" w:fill="FFFFFF" w:themeFill="background1"/>
            <w:vAlign w:val="center"/>
          </w:tcPr>
          <w:p w14:paraId="6728BCDC">
            <w:pPr>
              <w:jc w:val="both"/>
              <w:rPr>
                <w:rFonts w:ascii="宋体" w:hAnsi="宋体" w:eastAsia="宋体" w:cs="宋体"/>
                <w:sz w:val="24"/>
                <w:szCs w:val="21"/>
                <w:highlight w:val="none"/>
              </w:rPr>
            </w:pPr>
            <w:r>
              <w:rPr>
                <w:rFonts w:hint="eastAsia" w:ascii="宋体" w:hAnsi="宋体" w:eastAsia="宋体" w:cs="宋体"/>
                <w:sz w:val="24"/>
                <w:szCs w:val="21"/>
                <w:highlight w:val="none"/>
              </w:rPr>
              <w:t>每个节点配置≥</w:t>
            </w:r>
            <w:r>
              <w:rPr>
                <w:rFonts w:ascii="宋体" w:hAnsi="宋体" w:eastAsia="宋体" w:cs="宋体"/>
                <w:sz w:val="24"/>
                <w:szCs w:val="21"/>
                <w:highlight w:val="none"/>
              </w:rPr>
              <w:t>18</w:t>
            </w:r>
            <w:r>
              <w:rPr>
                <w:rFonts w:hint="eastAsia" w:ascii="宋体" w:hAnsi="宋体" w:eastAsia="宋体" w:cs="宋体"/>
                <w:sz w:val="24"/>
                <w:szCs w:val="21"/>
                <w:highlight w:val="none"/>
              </w:rPr>
              <w:t xml:space="preserve">个 </w:t>
            </w:r>
            <w:r>
              <w:rPr>
                <w:rFonts w:ascii="宋体" w:hAnsi="宋体" w:eastAsia="宋体" w:cs="宋体"/>
                <w:sz w:val="24"/>
                <w:szCs w:val="21"/>
                <w:highlight w:val="none"/>
              </w:rPr>
              <w:t>20</w:t>
            </w:r>
            <w:r>
              <w:rPr>
                <w:rFonts w:hint="eastAsia" w:ascii="宋体" w:hAnsi="宋体" w:eastAsia="宋体" w:cs="宋体"/>
                <w:sz w:val="24"/>
                <w:szCs w:val="21"/>
                <w:highlight w:val="none"/>
              </w:rPr>
              <w:t xml:space="preserve"> TB SATA HDD硬盘，转速≥7200转</w:t>
            </w:r>
          </w:p>
        </w:tc>
      </w:tr>
      <w:tr w14:paraId="6B14C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636" w:type="dxa"/>
            <w:shd w:val="clear" w:color="auto" w:fill="auto"/>
            <w:noWrap/>
            <w:vAlign w:val="bottom"/>
          </w:tcPr>
          <w:p w14:paraId="21E981FB">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162C4E1B">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3CBD2612">
            <w:pPr>
              <w:rPr>
                <w:rFonts w:ascii="宋体" w:hAnsi="宋体" w:eastAsia="宋体" w:cs="宋体"/>
                <w:b/>
                <w:bCs/>
                <w:sz w:val="24"/>
                <w:szCs w:val="21"/>
                <w:highlight w:val="none"/>
              </w:rPr>
            </w:pPr>
          </w:p>
        </w:tc>
        <w:tc>
          <w:tcPr>
            <w:tcW w:w="6405" w:type="dxa"/>
            <w:shd w:val="clear" w:color="auto" w:fill="FFFFFF" w:themeFill="background1"/>
          </w:tcPr>
          <w:p w14:paraId="3F6A4639">
            <w:pPr>
              <w:jc w:val="both"/>
              <w:rPr>
                <w:rFonts w:ascii="宋体" w:hAnsi="宋体" w:eastAsia="宋体" w:cs="宋体"/>
                <w:sz w:val="24"/>
                <w:szCs w:val="21"/>
                <w:highlight w:val="none"/>
              </w:rPr>
            </w:pPr>
            <w:r>
              <w:rPr>
                <w:rFonts w:hint="eastAsia" w:ascii="宋体" w:hAnsi="宋体" w:eastAsia="宋体" w:cs="宋体"/>
                <w:sz w:val="24"/>
                <w:szCs w:val="21"/>
                <w:highlight w:val="none"/>
              </w:rPr>
              <w:t>每个节点配置</w:t>
            </w:r>
            <w:r>
              <w:rPr>
                <w:rFonts w:hint="eastAsia" w:eastAsia="宋体"/>
                <w:sz w:val="24"/>
                <w:highlight w:val="none"/>
              </w:rPr>
              <w:t>≥</w:t>
            </w:r>
            <w:r>
              <w:rPr>
                <w:rFonts w:eastAsia="宋体"/>
                <w:sz w:val="24"/>
                <w:highlight w:val="none"/>
              </w:rPr>
              <w:t>4个1Gb</w:t>
            </w:r>
            <w:r>
              <w:rPr>
                <w:rFonts w:hint="eastAsia" w:eastAsia="宋体"/>
                <w:sz w:val="24"/>
                <w:highlight w:val="none"/>
              </w:rPr>
              <w:t>以太网</w:t>
            </w:r>
            <w:r>
              <w:rPr>
                <w:rFonts w:eastAsia="宋体"/>
                <w:sz w:val="24"/>
                <w:highlight w:val="none"/>
              </w:rPr>
              <w:t>口</w:t>
            </w:r>
          </w:p>
        </w:tc>
      </w:tr>
      <w:tr w14:paraId="323BC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636" w:type="dxa"/>
            <w:shd w:val="clear" w:color="auto" w:fill="auto"/>
            <w:noWrap/>
            <w:vAlign w:val="bottom"/>
          </w:tcPr>
          <w:p w14:paraId="1870DB73">
            <w:pPr>
              <w:pStyle w:val="20"/>
              <w:ind w:left="0" w:firstLine="0"/>
              <w:rPr>
                <w:rFonts w:ascii="宋体" w:hAnsi="宋体" w:eastAsia="宋体"/>
                <w:sz w:val="24"/>
                <w:szCs w:val="21"/>
                <w:highlight w:val="none"/>
              </w:rPr>
            </w:pPr>
          </w:p>
        </w:tc>
        <w:tc>
          <w:tcPr>
            <w:tcW w:w="783" w:type="dxa"/>
            <w:vMerge w:val="continue"/>
            <w:shd w:val="clear" w:color="auto" w:fill="FFFFFF" w:themeFill="background1"/>
            <w:vAlign w:val="center"/>
          </w:tcPr>
          <w:p w14:paraId="3C9F80F3">
            <w:pPr>
              <w:rPr>
                <w:rFonts w:ascii="宋体" w:hAnsi="宋体" w:eastAsia="宋体" w:cs="宋体"/>
                <w:sz w:val="24"/>
                <w:szCs w:val="21"/>
                <w:highlight w:val="none"/>
              </w:rPr>
            </w:pPr>
          </w:p>
        </w:tc>
        <w:tc>
          <w:tcPr>
            <w:tcW w:w="1249" w:type="dxa"/>
            <w:vMerge w:val="continue"/>
            <w:shd w:val="clear" w:color="auto" w:fill="FFFFFF" w:themeFill="background1"/>
            <w:vAlign w:val="center"/>
          </w:tcPr>
          <w:p w14:paraId="4E22D0A1">
            <w:pPr>
              <w:rPr>
                <w:rFonts w:ascii="宋体" w:hAnsi="宋体" w:eastAsia="宋体" w:cs="宋体"/>
                <w:b/>
                <w:bCs/>
                <w:sz w:val="24"/>
                <w:szCs w:val="21"/>
                <w:highlight w:val="none"/>
              </w:rPr>
            </w:pPr>
          </w:p>
        </w:tc>
        <w:tc>
          <w:tcPr>
            <w:tcW w:w="6405" w:type="dxa"/>
            <w:shd w:val="clear" w:color="auto" w:fill="FFFFFF" w:themeFill="background1"/>
          </w:tcPr>
          <w:p w14:paraId="28AA8EF9">
            <w:pPr>
              <w:jc w:val="both"/>
              <w:rPr>
                <w:rFonts w:ascii="宋体" w:hAnsi="宋体" w:eastAsia="宋体" w:cs="宋体"/>
                <w:sz w:val="24"/>
                <w:szCs w:val="21"/>
                <w:highlight w:val="none"/>
              </w:rPr>
            </w:pPr>
            <w:r>
              <w:rPr>
                <w:rFonts w:hint="eastAsia" w:ascii="宋体" w:hAnsi="宋体" w:eastAsia="宋体" w:cs="宋体"/>
                <w:sz w:val="24"/>
                <w:szCs w:val="21"/>
                <w:highlight w:val="none"/>
              </w:rPr>
              <w:t>每个节点</w:t>
            </w:r>
            <w:r>
              <w:rPr>
                <w:rFonts w:hint="eastAsia" w:eastAsia="宋体"/>
                <w:sz w:val="24"/>
                <w:highlight w:val="none"/>
              </w:rPr>
              <w:t>配置≥</w:t>
            </w:r>
            <w:r>
              <w:rPr>
                <w:rFonts w:eastAsia="宋体"/>
                <w:sz w:val="24"/>
                <w:highlight w:val="none"/>
              </w:rPr>
              <w:t xml:space="preserve">2个200Gb </w:t>
            </w:r>
            <w:r>
              <w:rPr>
                <w:rFonts w:hint="eastAsia" w:eastAsia="宋体"/>
                <w:sz w:val="24"/>
                <w:highlight w:val="none"/>
              </w:rPr>
              <w:t>ROCE网</w:t>
            </w:r>
            <w:r>
              <w:rPr>
                <w:rFonts w:eastAsia="宋体"/>
                <w:sz w:val="24"/>
                <w:highlight w:val="none"/>
              </w:rPr>
              <w:t>口</w:t>
            </w:r>
            <w:r>
              <w:rPr>
                <w:rFonts w:hint="eastAsia" w:eastAsia="宋体"/>
                <w:sz w:val="24"/>
                <w:highlight w:val="none"/>
              </w:rPr>
              <w:t>（含光模块）</w:t>
            </w:r>
          </w:p>
        </w:tc>
      </w:tr>
    </w:tbl>
    <w:p w14:paraId="3F0B961D">
      <w:pPr>
        <w:rPr>
          <w:highlight w:val="none"/>
        </w:rPr>
      </w:pPr>
      <w:r>
        <w:rPr>
          <w:highlight w:val="none"/>
        </w:rPr>
        <w:br w:type="page"/>
      </w:r>
    </w:p>
    <w:p w14:paraId="6E726FE1">
      <w:pPr>
        <w:pStyle w:val="2"/>
        <w:spacing w:line="360" w:lineRule="auto"/>
        <w:rPr>
          <w:rFonts w:eastAsiaTheme="minorHAnsi"/>
          <w:sz w:val="32"/>
          <w:highlight w:val="none"/>
        </w:rPr>
      </w:pPr>
      <w:bookmarkStart w:id="2" w:name="_Toc166754169"/>
      <w:bookmarkStart w:id="3" w:name="_Toc7835"/>
      <w:r>
        <w:rPr>
          <w:rFonts w:hint="eastAsia" w:eastAsiaTheme="minorHAnsi"/>
          <w:sz w:val="32"/>
          <w:highlight w:val="none"/>
        </w:rPr>
        <w:t>设备</w:t>
      </w:r>
      <w:r>
        <w:rPr>
          <w:rFonts w:eastAsiaTheme="minorHAnsi"/>
          <w:sz w:val="32"/>
          <w:highlight w:val="none"/>
        </w:rPr>
        <w:t>交付时间和地点</w:t>
      </w:r>
      <w:bookmarkEnd w:id="2"/>
    </w:p>
    <w:p w14:paraId="0E04495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交付地点：上海科技大学中心机房</w:t>
      </w:r>
    </w:p>
    <w:p w14:paraId="54D35BDB">
      <w:pPr>
        <w:spacing w:line="360" w:lineRule="auto"/>
        <w:ind w:firstLine="480" w:firstLineChars="200"/>
        <w:rPr>
          <w:rFonts w:cs="Times New Roman" w:eastAsiaTheme="minorHAnsi"/>
          <w:szCs w:val="21"/>
          <w:highlight w:val="none"/>
        </w:rPr>
      </w:pPr>
      <w:r>
        <w:rPr>
          <w:rFonts w:hint="eastAsia" w:ascii="宋体" w:hAnsi="宋体" w:eastAsia="宋体" w:cs="宋体"/>
          <w:sz w:val="24"/>
          <w:szCs w:val="24"/>
          <w:highlight w:val="none"/>
        </w:rPr>
        <w:t>交付日期：合同签订后90日内完成送货上门、就位、安装、调试、培训直至验收合格。</w:t>
      </w:r>
    </w:p>
    <w:p w14:paraId="2B0D2C13">
      <w:pPr>
        <w:pStyle w:val="2"/>
        <w:spacing w:line="360" w:lineRule="auto"/>
        <w:rPr>
          <w:rFonts w:eastAsiaTheme="minorHAnsi"/>
          <w:sz w:val="32"/>
          <w:highlight w:val="none"/>
        </w:rPr>
      </w:pPr>
      <w:bookmarkStart w:id="4" w:name="_Toc166754168"/>
      <w:r>
        <w:rPr>
          <w:rFonts w:hint="eastAsia" w:eastAsiaTheme="minorHAnsi"/>
          <w:sz w:val="32"/>
          <w:highlight w:val="none"/>
        </w:rPr>
        <w:t>设备</w:t>
      </w:r>
      <w:r>
        <w:rPr>
          <w:rFonts w:eastAsiaTheme="minorHAnsi"/>
          <w:sz w:val="32"/>
          <w:highlight w:val="none"/>
        </w:rPr>
        <w:t>要求</w:t>
      </w:r>
      <w:bookmarkEnd w:id="4"/>
    </w:p>
    <w:p w14:paraId="05DDEE98">
      <w:pPr>
        <w:spacing w:line="360" w:lineRule="auto"/>
        <w:ind w:firstLine="42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本次</w:t>
      </w:r>
      <w:r>
        <w:rPr>
          <w:rFonts w:hint="eastAsia" w:ascii="宋体" w:hAnsi="宋体" w:eastAsia="宋体" w:cs="宋体"/>
          <w:sz w:val="24"/>
          <w:szCs w:val="24"/>
          <w:highlight w:val="none"/>
        </w:rPr>
        <w:t>招标的“公共CPU计算服务器”，</w:t>
      </w:r>
      <w:r>
        <w:rPr>
          <w:rFonts w:hint="eastAsia" w:ascii="宋体" w:hAnsi="宋体" w:eastAsia="宋体" w:cs="宋体"/>
          <w:sz w:val="24"/>
          <w:szCs w:val="24"/>
          <w:highlight w:val="none"/>
          <w:lang w:eastAsia="zh-CN"/>
        </w:rPr>
        <w:t>虽然</w:t>
      </w:r>
      <w:r>
        <w:rPr>
          <w:rFonts w:hint="eastAsia" w:ascii="宋体" w:hAnsi="宋体" w:eastAsia="宋体" w:cs="宋体"/>
          <w:sz w:val="24"/>
          <w:szCs w:val="24"/>
          <w:highlight w:val="none"/>
        </w:rPr>
        <w:t>为</w:t>
      </w:r>
      <w:r>
        <w:rPr>
          <w:rFonts w:hint="eastAsia" w:ascii="宋体" w:hAnsi="宋体" w:eastAsia="宋体" w:cs="宋体"/>
          <w:sz w:val="24"/>
          <w:szCs w:val="24"/>
          <w:highlight w:val="none"/>
          <w:lang w:eastAsia="zh-CN"/>
        </w:rPr>
        <w:t>独立</w:t>
      </w:r>
      <w:r>
        <w:rPr>
          <w:rFonts w:hint="eastAsia" w:ascii="宋体" w:hAnsi="宋体" w:eastAsia="宋体" w:cs="宋体"/>
          <w:sz w:val="24"/>
          <w:szCs w:val="24"/>
          <w:highlight w:val="none"/>
        </w:rPr>
        <w:t>集群</w:t>
      </w:r>
      <w:r>
        <w:rPr>
          <w:rFonts w:hint="eastAsia" w:ascii="宋体" w:hAnsi="宋体" w:eastAsia="宋体" w:cs="宋体"/>
          <w:sz w:val="24"/>
          <w:szCs w:val="24"/>
          <w:highlight w:val="none"/>
          <w:lang w:eastAsia="zh-CN"/>
        </w:rPr>
        <w:t>但也是上海科技大学科研计算资源的一部分</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投标人需配合完成与学校科研计算平台的对接，实现</w:t>
      </w:r>
      <w:r>
        <w:rPr>
          <w:rFonts w:hint="eastAsia" w:ascii="宋体" w:hAnsi="宋体" w:eastAsia="宋体" w:cs="宋体"/>
          <w:sz w:val="24"/>
          <w:szCs w:val="24"/>
          <w:highlight w:val="none"/>
        </w:rPr>
        <w:t>统一</w:t>
      </w:r>
      <w:r>
        <w:rPr>
          <w:rFonts w:hint="eastAsia" w:ascii="宋体" w:hAnsi="宋体" w:eastAsia="宋体" w:cs="宋体"/>
          <w:sz w:val="24"/>
          <w:szCs w:val="24"/>
          <w:highlight w:val="none"/>
          <w:lang w:eastAsia="zh-CN"/>
        </w:rPr>
        <w:t>管理、统一访问、统一使用和统一结算。平台采用标准</w:t>
      </w:r>
      <w:r>
        <w:rPr>
          <w:rFonts w:hint="eastAsia" w:ascii="宋体" w:hAnsi="宋体" w:eastAsia="宋体" w:cs="宋体"/>
          <w:sz w:val="24"/>
          <w:szCs w:val="24"/>
          <w:highlight w:val="none"/>
          <w:lang w:val="en-US" w:eastAsia="zh-CN"/>
        </w:rPr>
        <w:t>公开的API或协议（如snmp、sftp、ssh等）对集群作业任务信息、资源使用情况等进行对接，投标人在集群时可自行提供技术方案，并提供API接口说明，以保证整体方案的可交付性：</w:t>
      </w:r>
    </w:p>
    <w:p w14:paraId="4FBA5941">
      <w:pPr>
        <w:pStyle w:val="20"/>
        <w:numPr>
          <w:ilvl w:val="0"/>
          <w:numId w:val="5"/>
        </w:numPr>
        <w:spacing w:line="360" w:lineRule="auto"/>
        <w:ind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新集群的部署不得影响</w:t>
      </w:r>
      <w:r>
        <w:rPr>
          <w:rFonts w:hint="eastAsia" w:ascii="宋体" w:hAnsi="宋体" w:eastAsia="宋体" w:cs="宋体"/>
          <w:sz w:val="24"/>
          <w:szCs w:val="24"/>
          <w:highlight w:val="none"/>
          <w:lang w:val="en-US" w:eastAsia="zh-CN"/>
        </w:rPr>
        <w:t>原有集群资源的使用，但要充分考虑整体数据的互通路径；</w:t>
      </w:r>
    </w:p>
    <w:p w14:paraId="394860E9">
      <w:pPr>
        <w:pStyle w:val="20"/>
        <w:numPr>
          <w:ilvl w:val="0"/>
          <w:numId w:val="5"/>
        </w:numPr>
        <w:spacing w:line="360" w:lineRule="auto"/>
        <w:ind w:firstLineChars="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须具备</w:t>
      </w:r>
      <w:r>
        <w:rPr>
          <w:rFonts w:hint="eastAsia" w:ascii="宋体" w:hAnsi="宋体" w:eastAsia="宋体" w:cs="宋体"/>
          <w:sz w:val="24"/>
          <w:szCs w:val="24"/>
          <w:highlight w:val="none"/>
        </w:rPr>
        <w:t>良好的可扩展性，能够支持未来</w:t>
      </w:r>
      <w:r>
        <w:rPr>
          <w:rFonts w:hint="eastAsia" w:ascii="宋体" w:hAnsi="宋体" w:eastAsia="宋体" w:cs="宋体"/>
          <w:sz w:val="24"/>
          <w:szCs w:val="24"/>
          <w:highlight w:val="none"/>
          <w:lang w:eastAsia="zh-CN"/>
        </w:rPr>
        <w:t>计算资源的</w:t>
      </w:r>
      <w:r>
        <w:rPr>
          <w:rFonts w:hint="eastAsia" w:ascii="宋体" w:hAnsi="宋体" w:eastAsia="宋体" w:cs="宋体"/>
          <w:sz w:val="24"/>
          <w:szCs w:val="24"/>
          <w:highlight w:val="none"/>
        </w:rPr>
        <w:t>扩展和</w:t>
      </w:r>
      <w:r>
        <w:rPr>
          <w:rFonts w:hint="eastAsia" w:ascii="宋体" w:hAnsi="宋体" w:eastAsia="宋体" w:cs="宋体"/>
          <w:sz w:val="24"/>
          <w:szCs w:val="24"/>
          <w:highlight w:val="none"/>
          <w:lang w:eastAsia="zh-CN"/>
        </w:rPr>
        <w:t>存储</w:t>
      </w:r>
      <w:r>
        <w:rPr>
          <w:rFonts w:hint="eastAsia" w:ascii="宋体" w:hAnsi="宋体" w:eastAsia="宋体" w:cs="宋体"/>
          <w:sz w:val="24"/>
          <w:szCs w:val="24"/>
          <w:highlight w:val="none"/>
        </w:rPr>
        <w:t>容量增长的需求；</w:t>
      </w:r>
    </w:p>
    <w:p w14:paraId="5929ACB2">
      <w:pPr>
        <w:pStyle w:val="20"/>
        <w:numPr>
          <w:ilvl w:val="0"/>
          <w:numId w:val="5"/>
        </w:numPr>
        <w:spacing w:line="360" w:lineRule="auto"/>
        <w:ind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需支持安全的远程访问管理和监控，便于随时掌握系统状态；</w:t>
      </w:r>
    </w:p>
    <w:p w14:paraId="35AD9A09">
      <w:pPr>
        <w:pStyle w:val="20"/>
        <w:numPr>
          <w:ilvl w:val="0"/>
          <w:numId w:val="5"/>
        </w:numPr>
        <w:spacing w:line="360" w:lineRule="auto"/>
        <w:ind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在扩容过程中，需要确保新的资源和系统配置符合</w:t>
      </w:r>
      <w:r>
        <w:rPr>
          <w:rFonts w:hint="eastAsia" w:ascii="宋体" w:hAnsi="宋体" w:eastAsia="宋体" w:cs="宋体"/>
          <w:sz w:val="24"/>
          <w:szCs w:val="24"/>
          <w:highlight w:val="none"/>
          <w:lang w:eastAsia="zh-CN"/>
        </w:rPr>
        <w:t>信息</w:t>
      </w:r>
      <w:r>
        <w:rPr>
          <w:rFonts w:hint="eastAsia" w:ascii="宋体" w:hAnsi="宋体" w:eastAsia="宋体" w:cs="宋体"/>
          <w:sz w:val="24"/>
          <w:szCs w:val="24"/>
          <w:highlight w:val="none"/>
        </w:rPr>
        <w:t>安全要求，以防止潜在的安全风险。</w:t>
      </w:r>
    </w:p>
    <w:p w14:paraId="4AC30487">
      <w:pPr>
        <w:spacing w:line="360" w:lineRule="auto"/>
        <w:rPr>
          <w:rFonts w:cs="Times New Roman" w:eastAsiaTheme="minorHAnsi"/>
          <w:szCs w:val="21"/>
          <w:highlight w:val="none"/>
        </w:rPr>
      </w:pPr>
    </w:p>
    <w:p w14:paraId="6E20548E">
      <w:pPr>
        <w:pStyle w:val="2"/>
        <w:spacing w:line="360" w:lineRule="auto"/>
        <w:rPr>
          <w:rFonts w:eastAsiaTheme="minorHAnsi"/>
          <w:sz w:val="32"/>
          <w:highlight w:val="none"/>
        </w:rPr>
      </w:pPr>
      <w:bookmarkStart w:id="5" w:name="_Toc166754170"/>
      <w:r>
        <w:rPr>
          <w:rFonts w:hint="eastAsia" w:eastAsiaTheme="minorHAnsi"/>
          <w:sz w:val="32"/>
          <w:highlight w:val="none"/>
        </w:rPr>
        <w:t>服务要求</w:t>
      </w:r>
      <w:bookmarkEnd w:id="5"/>
    </w:p>
    <w:p w14:paraId="0536EE1E">
      <w:pPr>
        <w:pStyle w:val="3"/>
        <w:spacing w:line="360" w:lineRule="auto"/>
        <w:rPr>
          <w:rFonts w:asciiTheme="minorHAnsi" w:hAnsiTheme="minorHAnsi" w:eastAsiaTheme="minorHAnsi"/>
          <w:sz w:val="28"/>
          <w:highlight w:val="none"/>
        </w:rPr>
      </w:pPr>
      <w:bookmarkStart w:id="6" w:name="_Toc15102"/>
      <w:bookmarkStart w:id="7" w:name="_Toc166754171"/>
      <w:r>
        <w:rPr>
          <w:rFonts w:hint="eastAsia" w:asciiTheme="minorHAnsi" w:hAnsiTheme="minorHAnsi" w:eastAsiaTheme="minorHAnsi"/>
          <w:sz w:val="28"/>
          <w:highlight w:val="none"/>
        </w:rPr>
        <w:t>设备配套要求</w:t>
      </w:r>
      <w:bookmarkEnd w:id="6"/>
      <w:bookmarkEnd w:id="7"/>
    </w:p>
    <w:p w14:paraId="1593DE1B">
      <w:pPr>
        <w:numPr>
          <w:ilvl w:val="0"/>
          <w:numId w:val="6"/>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中标人需对本项目所含系统的供电提出明确的需求。</w:t>
      </w:r>
    </w:p>
    <w:p w14:paraId="2AFE8442">
      <w:pPr>
        <w:numPr>
          <w:ilvl w:val="0"/>
          <w:numId w:val="6"/>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中标人对需要其他工程商提供的通信接口、设备监控界面等须提出明确的要求。</w:t>
      </w:r>
    </w:p>
    <w:p w14:paraId="05B88A8D">
      <w:pPr>
        <w:numPr>
          <w:ilvl w:val="0"/>
          <w:numId w:val="6"/>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项目实施后中标人需提供完整的电子文档和安装手册。</w:t>
      </w:r>
    </w:p>
    <w:p w14:paraId="56F7C258">
      <w:pPr>
        <w:numPr>
          <w:ilvl w:val="0"/>
          <w:numId w:val="6"/>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投标方所提供的系统方案要充分考虑现有实际情况，签订合同后，招标方有权要求中标人根据现场情况对投标方案及产品进行深化和调整。</w:t>
      </w:r>
    </w:p>
    <w:p w14:paraId="517D815B">
      <w:pPr>
        <w:numPr>
          <w:ilvl w:val="0"/>
          <w:numId w:val="6"/>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中标人提供相关的各类培训，包括技术培训和操作培训，并制定详细的培训计划。</w:t>
      </w:r>
    </w:p>
    <w:p w14:paraId="306F2A3C">
      <w:pPr>
        <w:pStyle w:val="3"/>
        <w:spacing w:line="360" w:lineRule="auto"/>
        <w:rPr>
          <w:rFonts w:asciiTheme="minorHAnsi" w:hAnsiTheme="minorHAnsi" w:eastAsiaTheme="minorHAnsi"/>
          <w:sz w:val="28"/>
          <w:highlight w:val="none"/>
        </w:rPr>
      </w:pPr>
      <w:bookmarkStart w:id="8" w:name="_Toc166754172"/>
      <w:bookmarkStart w:id="9" w:name="_Toc8675"/>
      <w:r>
        <w:rPr>
          <w:rFonts w:hint="eastAsia" w:asciiTheme="minorHAnsi" w:hAnsiTheme="minorHAnsi" w:eastAsiaTheme="minorHAnsi"/>
          <w:sz w:val="28"/>
          <w:highlight w:val="none"/>
        </w:rPr>
        <w:t>设备质保及售后服务要求</w:t>
      </w:r>
      <w:bookmarkEnd w:id="8"/>
      <w:bookmarkEnd w:id="9"/>
    </w:p>
    <w:p w14:paraId="141EBA26">
      <w:pPr>
        <w:spacing w:line="360" w:lineRule="auto"/>
        <w:ind w:firstLine="567"/>
        <w:rPr>
          <w:rFonts w:hint="eastAsia" w:ascii="宋体" w:hAnsi="宋体" w:eastAsia="宋体" w:cs="宋体"/>
          <w:b/>
          <w:sz w:val="24"/>
          <w:szCs w:val="24"/>
          <w:highlight w:val="none"/>
        </w:rPr>
      </w:pPr>
      <w:r>
        <w:rPr>
          <w:rFonts w:hint="eastAsia" w:ascii="宋体" w:hAnsi="宋体" w:eastAsia="宋体" w:cs="宋体"/>
          <w:b/>
          <w:sz w:val="24"/>
          <w:szCs w:val="24"/>
          <w:highlight w:val="none"/>
        </w:rPr>
        <w:t>整体要求</w:t>
      </w:r>
    </w:p>
    <w:p w14:paraId="1EE52380">
      <w:pPr>
        <w:numPr>
          <w:ilvl w:val="0"/>
          <w:numId w:val="7"/>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项目设备提供自项目验收通过之日起的5年</w:t>
      </w:r>
      <w:r>
        <w:rPr>
          <w:rFonts w:hint="eastAsia" w:ascii="宋体" w:hAnsi="宋体" w:cs="宋体"/>
          <w:sz w:val="24"/>
          <w:szCs w:val="24"/>
          <w:highlight w:val="none"/>
          <w:lang w:eastAsia="zh-CN"/>
        </w:rPr>
        <w:t>原厂</w:t>
      </w:r>
      <w:r>
        <w:rPr>
          <w:rFonts w:hint="eastAsia" w:ascii="宋体" w:hAnsi="宋体" w:eastAsia="宋体" w:cs="宋体"/>
          <w:sz w:val="24"/>
          <w:szCs w:val="24"/>
          <w:highlight w:val="none"/>
        </w:rPr>
        <w:t>质保及售后服务。</w:t>
      </w:r>
    </w:p>
    <w:p w14:paraId="7DD566FF">
      <w:pPr>
        <w:numPr>
          <w:ilvl w:val="0"/>
          <w:numId w:val="7"/>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产品质量：中标人提供的成品设备是原装的、全新的、未使用过的、高性价比、高可靠性的产品，定制产品选用最佳材料和一流工艺，并在各个方面符合合同规定的质量、规格和性能要求。产品及外包装无损、零配件齐全、在规定的质保期，将对由于设计、工艺或材料的缺陷或故障负责。</w:t>
      </w:r>
    </w:p>
    <w:p w14:paraId="25520A15">
      <w:pPr>
        <w:numPr>
          <w:ilvl w:val="0"/>
          <w:numId w:val="7"/>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资料完备：中标人提供完整的资料，如产品质量合格证、保修单、技术指标资料、说明书等，系统调试完毕提供调试报告，在试运行期间提供试运行报告，在培训期间提供培训手册，保证整个系统的数据和资料确保准确无误，并保证设备按时正确地安装、调试和验收，满足正常运行和维修保养的需要。</w:t>
      </w:r>
    </w:p>
    <w:p w14:paraId="6BEC128C">
      <w:pPr>
        <w:numPr>
          <w:ilvl w:val="0"/>
          <w:numId w:val="7"/>
        </w:numPr>
        <w:spacing w:line="360" w:lineRule="auto"/>
        <w:ind w:left="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提供</w:t>
      </w:r>
      <w:r>
        <w:rPr>
          <w:rFonts w:hint="eastAsia" w:ascii="宋体" w:hAnsi="宋体" w:cs="宋体"/>
          <w:sz w:val="24"/>
          <w:szCs w:val="24"/>
          <w:highlight w:val="none"/>
          <w:lang w:val="en-US" w:eastAsia="zh-CN"/>
        </w:rPr>
        <w:t>7*24小时售后服务承诺优先考虑。</w:t>
      </w:r>
    </w:p>
    <w:p w14:paraId="617B3BF4">
      <w:pPr>
        <w:numPr>
          <w:ilvl w:val="0"/>
          <w:numId w:val="7"/>
        </w:numPr>
        <w:spacing w:line="360" w:lineRule="auto"/>
        <w:ind w:left="0" w:firstLine="480" w:firstLineChars="200"/>
        <w:rPr>
          <w:rFonts w:hint="eastAsia" w:ascii="宋体" w:hAnsi="宋体" w:eastAsia="宋体" w:cs="宋体"/>
          <w:sz w:val="24"/>
          <w:szCs w:val="24"/>
          <w:highlight w:val="none"/>
        </w:rPr>
      </w:pPr>
      <w:r>
        <w:rPr>
          <w:rFonts w:hint="eastAsia" w:ascii="宋体" w:hAnsi="宋体" w:cs="宋体"/>
          <w:sz w:val="24"/>
          <w:szCs w:val="24"/>
          <w:highlight w:val="none"/>
          <w:lang w:eastAsia="zh-CN"/>
        </w:rPr>
        <w:t>提供原厂授权证明优先考虑。</w:t>
      </w:r>
    </w:p>
    <w:p w14:paraId="49B28C12">
      <w:pPr>
        <w:spacing w:line="360" w:lineRule="auto"/>
        <w:ind w:firstLine="567"/>
        <w:rPr>
          <w:rFonts w:hint="eastAsia" w:ascii="宋体" w:hAnsi="宋体" w:eastAsia="宋体" w:cs="宋体"/>
          <w:b/>
          <w:sz w:val="24"/>
          <w:szCs w:val="24"/>
          <w:highlight w:val="none"/>
        </w:rPr>
      </w:pPr>
      <w:r>
        <w:rPr>
          <w:rFonts w:hint="eastAsia" w:ascii="宋体" w:hAnsi="宋体" w:eastAsia="宋体" w:cs="宋体"/>
          <w:b/>
          <w:sz w:val="24"/>
          <w:szCs w:val="24"/>
          <w:highlight w:val="none"/>
        </w:rPr>
        <w:t>服务标准</w:t>
      </w:r>
    </w:p>
    <w:p w14:paraId="185E52E5">
      <w:pPr>
        <w:numPr>
          <w:ilvl w:val="0"/>
          <w:numId w:val="8"/>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w:t>
      </w:r>
      <w:r>
        <w:rPr>
          <w:rFonts w:hint="eastAsia" w:ascii="宋体" w:hAnsi="宋体" w:eastAsia="宋体" w:cs="宋体"/>
          <w:sz w:val="24"/>
          <w:szCs w:val="24"/>
          <w:highlight w:val="none"/>
          <w:lang w:eastAsia="zh-CN"/>
        </w:rPr>
        <w:t>产品须为</w:t>
      </w:r>
      <w:r>
        <w:rPr>
          <w:rFonts w:hint="eastAsia" w:ascii="宋体" w:hAnsi="宋体" w:eastAsia="宋体" w:cs="宋体"/>
          <w:sz w:val="24"/>
          <w:szCs w:val="24"/>
          <w:highlight w:val="none"/>
        </w:rPr>
        <w:t>全新的原装正品，相关的配套附件质量优良，数量齐全。如设备运行需使用专用的操作系统，应当包含在投标产品和报价中。</w:t>
      </w:r>
    </w:p>
    <w:p w14:paraId="40D77900">
      <w:pPr>
        <w:numPr>
          <w:ilvl w:val="0"/>
          <w:numId w:val="8"/>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投标总价包含包装、运输、安装集成等全部伴随服务费用。设备到达用户指定交货地点后，根据用户的时间安排，设备制造商和中标人承诺在接到用户通知后3个工作日内进行安装调试，直至通过验收。</w:t>
      </w:r>
    </w:p>
    <w:p w14:paraId="068FA958">
      <w:pPr>
        <w:pStyle w:val="3"/>
        <w:spacing w:line="360" w:lineRule="auto"/>
        <w:rPr>
          <w:rFonts w:asciiTheme="minorHAnsi" w:hAnsiTheme="minorHAnsi" w:eastAsiaTheme="minorHAnsi"/>
          <w:sz w:val="28"/>
          <w:highlight w:val="none"/>
        </w:rPr>
      </w:pPr>
      <w:bookmarkStart w:id="10" w:name="_Toc454437021"/>
      <w:bookmarkStart w:id="11" w:name="_Toc409797406"/>
      <w:bookmarkStart w:id="12" w:name="_Toc278974835"/>
      <w:bookmarkStart w:id="13" w:name="_Toc277855550"/>
      <w:bookmarkStart w:id="14" w:name="_Toc415267977"/>
      <w:bookmarkStart w:id="15" w:name="_Toc445341138"/>
      <w:bookmarkStart w:id="16" w:name="_Toc155285230"/>
      <w:bookmarkStart w:id="17" w:name="_Toc277954612"/>
      <w:bookmarkStart w:id="18" w:name="_Toc5074"/>
      <w:bookmarkStart w:id="19" w:name="_Toc166754173"/>
      <w:bookmarkStart w:id="20" w:name="_Toc155257269"/>
      <w:r>
        <w:rPr>
          <w:rFonts w:hint="eastAsia" w:asciiTheme="minorHAnsi" w:hAnsiTheme="minorHAnsi" w:eastAsiaTheme="minorHAnsi"/>
          <w:sz w:val="28"/>
          <w:highlight w:val="none"/>
        </w:rPr>
        <w:t>设备管理要求</w:t>
      </w:r>
      <w:bookmarkEnd w:id="10"/>
      <w:bookmarkEnd w:id="11"/>
      <w:bookmarkEnd w:id="12"/>
      <w:bookmarkEnd w:id="13"/>
      <w:bookmarkEnd w:id="14"/>
      <w:bookmarkEnd w:id="15"/>
      <w:bookmarkEnd w:id="16"/>
      <w:bookmarkEnd w:id="17"/>
      <w:bookmarkEnd w:id="18"/>
      <w:bookmarkEnd w:id="19"/>
      <w:bookmarkEnd w:id="20"/>
    </w:p>
    <w:p w14:paraId="1773D165">
      <w:pPr>
        <w:numPr>
          <w:ilvl w:val="0"/>
          <w:numId w:val="9"/>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项目管理首先要建立管理的原则，组织，协调机制和实施办法。投标方需提供实施本项目的完整的项目管理方案，并在项目建设过程中严格执行。</w:t>
      </w:r>
    </w:p>
    <w:p w14:paraId="2B24D102">
      <w:pPr>
        <w:numPr>
          <w:ilvl w:val="0"/>
          <w:numId w:val="9"/>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需高度重视对过程的管理控制，高度重视对各类文档的管理，需建立中间环节和文档的内部测试审核制度。</w:t>
      </w:r>
    </w:p>
    <w:p w14:paraId="4A8D65E0">
      <w:pPr>
        <w:numPr>
          <w:ilvl w:val="0"/>
          <w:numId w:val="9"/>
        </w:numPr>
        <w:spacing w:line="360" w:lineRule="auto"/>
        <w:ind w:left="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设备制造商和中标人需对用户技术人员（至少2人）进行免费培训，培训讲师为设备原厂商专业技术人员。培训不少于1次。</w:t>
      </w:r>
    </w:p>
    <w:p w14:paraId="3564BD43">
      <w:pPr>
        <w:pStyle w:val="3"/>
        <w:spacing w:line="360" w:lineRule="auto"/>
        <w:rPr>
          <w:rFonts w:asciiTheme="minorHAnsi" w:hAnsiTheme="minorHAnsi" w:eastAsiaTheme="minorHAnsi"/>
          <w:sz w:val="28"/>
          <w:highlight w:val="none"/>
        </w:rPr>
      </w:pPr>
      <w:bookmarkStart w:id="21" w:name="_Toc10265"/>
      <w:bookmarkStart w:id="22" w:name="_Toc166754174"/>
      <w:r>
        <w:rPr>
          <w:rFonts w:hint="eastAsia" w:asciiTheme="minorHAnsi" w:hAnsiTheme="minorHAnsi" w:eastAsiaTheme="minorHAnsi"/>
          <w:sz w:val="28"/>
          <w:highlight w:val="none"/>
        </w:rPr>
        <w:t>设备实施要求</w:t>
      </w:r>
      <w:bookmarkEnd w:id="21"/>
      <w:bookmarkEnd w:id="22"/>
    </w:p>
    <w:p w14:paraId="4F2B3518">
      <w:pPr>
        <w:pStyle w:val="20"/>
        <w:numPr>
          <w:ilvl w:val="0"/>
          <w:numId w:val="10"/>
        </w:numPr>
        <w:spacing w:line="360" w:lineRule="auto"/>
        <w:ind w:left="425" w:leftChars="0" w:hanging="425"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本项目要求采用交钥匙的工作方式，包括系统深化设计、设备材</w:t>
      </w:r>
      <w:r>
        <w:rPr>
          <w:rFonts w:hint="eastAsia" w:ascii="宋体" w:hAnsi="宋体" w:eastAsia="宋体" w:cs="宋体"/>
          <w:sz w:val="24"/>
          <w:szCs w:val="24"/>
          <w:highlight w:val="none"/>
          <w:lang w:eastAsia="zh-CN"/>
        </w:rPr>
        <w:t>料送</w:t>
      </w:r>
      <w:r>
        <w:rPr>
          <w:rFonts w:hint="eastAsia" w:ascii="宋体" w:hAnsi="宋体" w:eastAsia="宋体" w:cs="宋体"/>
          <w:sz w:val="24"/>
          <w:szCs w:val="24"/>
          <w:highlight w:val="none"/>
        </w:rPr>
        <w:t>货、安装、接线、调试、开通、培训和售后服务等。</w:t>
      </w:r>
    </w:p>
    <w:p w14:paraId="4A3033F5">
      <w:pPr>
        <w:pStyle w:val="20"/>
        <w:numPr>
          <w:ilvl w:val="0"/>
          <w:numId w:val="10"/>
        </w:numPr>
        <w:spacing w:line="360" w:lineRule="auto"/>
        <w:ind w:left="425" w:leftChars="0" w:hanging="425"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投标人须提供合理、完善的项目组织管理和实施方案，确保集成工作统筹有序。其中需要包括但不仅限于项目实施、质量管理、人员和组织管理、项目验收、应急处理预案、培训方案等。</w:t>
      </w:r>
    </w:p>
    <w:p w14:paraId="465CCE36">
      <w:pPr>
        <w:pStyle w:val="20"/>
        <w:numPr>
          <w:ilvl w:val="0"/>
          <w:numId w:val="10"/>
        </w:numPr>
        <w:spacing w:line="360" w:lineRule="auto"/>
        <w:ind w:left="425" w:leftChars="0" w:hanging="425"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投标人所提供的设备需完全满足本项目建设要求。除特定外接设备外，所有需要的接口设备、缆线、软件、控制器、服务器I/O槽等需配齐，以构成实用系统。</w:t>
      </w:r>
    </w:p>
    <w:p w14:paraId="67D346BA">
      <w:pPr>
        <w:pStyle w:val="20"/>
        <w:numPr>
          <w:ilvl w:val="0"/>
          <w:numId w:val="10"/>
        </w:numPr>
        <w:spacing w:line="360" w:lineRule="auto"/>
        <w:ind w:left="425" w:leftChars="0" w:hanging="425"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t>特殊工具：中标人需提供用于系统安装与配置的介质（光盘、磁盘等）。如果需提供特殊工具来维护硬件和软件，投标人需列出特殊工具的清单、价格、名称和数量，但不包括在总价格中。</w:t>
      </w:r>
    </w:p>
    <w:p w14:paraId="70C3D484">
      <w:pPr>
        <w:pStyle w:val="3"/>
        <w:spacing w:line="360" w:lineRule="auto"/>
        <w:rPr>
          <w:rFonts w:asciiTheme="minorHAnsi" w:hAnsiTheme="minorHAnsi" w:eastAsiaTheme="minorHAnsi"/>
          <w:sz w:val="28"/>
          <w:highlight w:val="none"/>
        </w:rPr>
      </w:pPr>
      <w:bookmarkStart w:id="23" w:name="_Toc21305"/>
      <w:bookmarkStart w:id="24" w:name="_Toc166754175"/>
      <w:r>
        <w:rPr>
          <w:rFonts w:hint="eastAsia" w:asciiTheme="minorHAnsi" w:hAnsiTheme="minorHAnsi" w:eastAsiaTheme="minorHAnsi"/>
          <w:sz w:val="28"/>
          <w:highlight w:val="none"/>
        </w:rPr>
        <w:t>设备培训要求</w:t>
      </w:r>
      <w:bookmarkEnd w:id="23"/>
      <w:bookmarkEnd w:id="24"/>
    </w:p>
    <w:p w14:paraId="142304AB">
      <w:pPr>
        <w:numPr>
          <w:ilvl w:val="0"/>
          <w:numId w:val="11"/>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制定详细的培训计划，并提供相关的各类培训，包括技术培训和操作培训。</w:t>
      </w:r>
    </w:p>
    <w:p w14:paraId="678BAD04">
      <w:pPr>
        <w:numPr>
          <w:ilvl w:val="0"/>
          <w:numId w:val="11"/>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投标方需根据本项目的需求，分别列出系统正常运行、管理和使用所需要的培训，包括（但不限于）：</w:t>
      </w:r>
    </w:p>
    <w:p w14:paraId="7CEC1908">
      <w:pPr>
        <w:numPr>
          <w:ilvl w:val="0"/>
          <w:numId w:val="12"/>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培训人数、人次；</w:t>
      </w:r>
    </w:p>
    <w:p w14:paraId="7E53947C">
      <w:pPr>
        <w:numPr>
          <w:ilvl w:val="0"/>
          <w:numId w:val="12"/>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培训的详细课程；</w:t>
      </w:r>
    </w:p>
    <w:p w14:paraId="678DF2FE">
      <w:pPr>
        <w:numPr>
          <w:ilvl w:val="0"/>
          <w:numId w:val="12"/>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培训方式；</w:t>
      </w:r>
    </w:p>
    <w:p w14:paraId="561B7CF4">
      <w:pPr>
        <w:numPr>
          <w:ilvl w:val="0"/>
          <w:numId w:val="12"/>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培训场地安排；</w:t>
      </w:r>
    </w:p>
    <w:p w14:paraId="4CB12B01">
      <w:pPr>
        <w:numPr>
          <w:ilvl w:val="0"/>
          <w:numId w:val="12"/>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培训教材安排；</w:t>
      </w:r>
    </w:p>
    <w:p w14:paraId="13A080EA">
      <w:pPr>
        <w:numPr>
          <w:ilvl w:val="0"/>
          <w:numId w:val="12"/>
        </w:numPr>
        <w:spacing w:line="360" w:lineRule="auto"/>
        <w:ind w:left="0" w:firstLine="400" w:firstLineChars="200"/>
        <w:rPr>
          <w:rFonts w:hint="eastAsia" w:ascii="宋体" w:hAnsi="宋体" w:eastAsia="宋体" w:cs="宋体"/>
          <w:szCs w:val="21"/>
          <w:highlight w:val="none"/>
        </w:rPr>
      </w:pPr>
      <w:r>
        <w:rPr>
          <w:rFonts w:hint="eastAsia" w:ascii="宋体" w:hAnsi="宋体" w:eastAsia="宋体" w:cs="宋体"/>
          <w:szCs w:val="21"/>
          <w:highlight w:val="none"/>
        </w:rPr>
        <w:t>培训时间安排；</w:t>
      </w:r>
    </w:p>
    <w:p w14:paraId="7DE6A003">
      <w:pPr>
        <w:pStyle w:val="3"/>
        <w:spacing w:line="360" w:lineRule="auto"/>
        <w:rPr>
          <w:rFonts w:asciiTheme="minorHAnsi" w:hAnsiTheme="minorHAnsi" w:eastAsiaTheme="minorHAnsi"/>
          <w:sz w:val="28"/>
          <w:highlight w:val="none"/>
        </w:rPr>
      </w:pPr>
      <w:bookmarkStart w:id="25" w:name="_Toc291"/>
      <w:bookmarkStart w:id="26" w:name="_Toc166754176"/>
      <w:r>
        <w:rPr>
          <w:rFonts w:hint="eastAsia" w:asciiTheme="minorHAnsi" w:hAnsiTheme="minorHAnsi" w:eastAsiaTheme="minorHAnsi"/>
          <w:sz w:val="28"/>
          <w:highlight w:val="none"/>
        </w:rPr>
        <w:t>验收标准</w:t>
      </w:r>
      <w:bookmarkEnd w:id="25"/>
      <w:bookmarkEnd w:id="26"/>
    </w:p>
    <w:p w14:paraId="49BD14BE">
      <w:pPr>
        <w:pStyle w:val="20"/>
        <w:numPr>
          <w:ilvl w:val="0"/>
          <w:numId w:val="13"/>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中标人完成本项目应达到的质量标准应符合国家、地方及相关政府管理部门和行业与本项目有关的各项技术标准、规范要求，并满足采购人实际需求，标准、规范等不一致的，以要求高（严格）的为准。</w:t>
      </w:r>
    </w:p>
    <w:p w14:paraId="17EF863C">
      <w:pPr>
        <w:pStyle w:val="20"/>
        <w:numPr>
          <w:ilvl w:val="0"/>
          <w:numId w:val="13"/>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本项目验收将由采购人组织进行或委托第三方进行。</w:t>
      </w:r>
    </w:p>
    <w:p w14:paraId="157C97DF">
      <w:pPr>
        <w:pStyle w:val="20"/>
        <w:numPr>
          <w:ilvl w:val="0"/>
          <w:numId w:val="13"/>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货物送达后，由采购人组织对货物的规格、数量、技术参数进行验收，验收通过后出具书面证明。如发现货物与合同规定不符的，采购人应当通知中标人提出退货或换货的要求，投标人应在接到甲方通知后的3个工作日内予以</w:t>
      </w:r>
      <w:r>
        <w:rPr>
          <w:rFonts w:hint="eastAsia" w:ascii="宋体" w:hAnsi="宋体" w:eastAsia="宋体" w:cs="宋体"/>
          <w:color w:val="000000" w:themeColor="text1"/>
          <w:sz w:val="24"/>
          <w:szCs w:val="24"/>
          <w:highlight w:val="none"/>
          <w:lang w:eastAsia="zh-CN"/>
          <w14:textFill>
            <w14:solidFill>
              <w14:schemeClr w14:val="tx1"/>
            </w14:solidFill>
          </w14:textFill>
        </w:rPr>
        <w:t>退还</w:t>
      </w:r>
      <w:r>
        <w:rPr>
          <w:rFonts w:hint="eastAsia" w:ascii="宋体" w:hAnsi="宋体" w:eastAsia="宋体" w:cs="宋体"/>
          <w:color w:val="000000" w:themeColor="text1"/>
          <w:sz w:val="24"/>
          <w:szCs w:val="24"/>
          <w:highlight w:val="none"/>
          <w14:textFill>
            <w14:solidFill>
              <w14:schemeClr w14:val="tx1"/>
            </w14:solidFill>
          </w14:textFill>
        </w:rPr>
        <w:t>，费用由中标人承担。</w:t>
      </w:r>
    </w:p>
    <w:p w14:paraId="06C9EAAC">
      <w:pPr>
        <w:pStyle w:val="20"/>
        <w:numPr>
          <w:ilvl w:val="0"/>
          <w:numId w:val="13"/>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本项目连续2次验收未获通过，采购人有权解除合同并按照合同约定的违约条款处理。</w:t>
      </w:r>
    </w:p>
    <w:p w14:paraId="27658DCA">
      <w:pPr>
        <w:pStyle w:val="20"/>
        <w:numPr>
          <w:ilvl w:val="0"/>
          <w:numId w:val="13"/>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验收要求</w:t>
      </w:r>
    </w:p>
    <w:p w14:paraId="41CA89B9">
      <w:pPr>
        <w:pStyle w:val="20"/>
        <w:numPr>
          <w:ilvl w:val="0"/>
          <w:numId w:val="12"/>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设备到货后，采购人与中标人共同配合有关部门对所有设备进行开箱检查，出现损坏、数量不全或产品不对等问题时，由中标人负责解决。</w:t>
      </w:r>
    </w:p>
    <w:p w14:paraId="562C2059">
      <w:pPr>
        <w:pStyle w:val="20"/>
        <w:numPr>
          <w:ilvl w:val="0"/>
          <w:numId w:val="12"/>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根据标书要求对本次所有采购设备的型号、规格、数量、</w:t>
      </w:r>
      <w:r>
        <w:rPr>
          <w:rFonts w:hint="eastAsia" w:ascii="宋体" w:hAnsi="宋体" w:eastAsia="宋体" w:cs="宋体"/>
          <w:color w:val="000000" w:themeColor="text1"/>
          <w:sz w:val="24"/>
          <w:szCs w:val="24"/>
          <w:highlight w:val="none"/>
          <w:lang w:eastAsia="zh-CN"/>
          <w14:textFill>
            <w14:solidFill>
              <w14:schemeClr w14:val="tx1"/>
            </w14:solidFill>
          </w14:textFill>
        </w:rPr>
        <w:t>外形</w:t>
      </w:r>
      <w:r>
        <w:rPr>
          <w:rFonts w:hint="eastAsia" w:ascii="宋体" w:hAnsi="宋体" w:eastAsia="宋体" w:cs="宋体"/>
          <w:color w:val="000000" w:themeColor="text1"/>
          <w:sz w:val="24"/>
          <w:szCs w:val="24"/>
          <w:highlight w:val="none"/>
          <w14:textFill>
            <w14:solidFill>
              <w14:schemeClr w14:val="tx1"/>
            </w14:solidFill>
          </w14:textFill>
        </w:rPr>
        <w:t>、外观、包装及资料、文件（如装箱单、保修单、随箱介质等）进行验收。</w:t>
      </w:r>
    </w:p>
    <w:p w14:paraId="49077808">
      <w:pPr>
        <w:pStyle w:val="20"/>
        <w:numPr>
          <w:ilvl w:val="0"/>
          <w:numId w:val="12"/>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设备安装、系统集成调试完成后，由中标人制定测试方案并经用户确认后，对产品的性能和配置进行测试检查，并形成测试报告。所有测试费用均应包含在投标总价中。</w:t>
      </w:r>
    </w:p>
    <w:p w14:paraId="404F2CDA">
      <w:pPr>
        <w:pStyle w:val="20"/>
        <w:numPr>
          <w:ilvl w:val="0"/>
          <w:numId w:val="12"/>
        </w:numPr>
        <w:adjustRightInd w:val="0"/>
        <w:snapToGrid w:val="0"/>
        <w:spacing w:line="360" w:lineRule="auto"/>
        <w:ind w:left="0" w:firstLine="42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测试过程中出现设备产品性能指标或功能上不符合标书要求时，可经协商再次测试，经过三次测试仍达不到标书要求的性能和功能指标时，用户有权退货；由此产生的一切费用由中标人承担。</w:t>
      </w:r>
    </w:p>
    <w:p w14:paraId="3C260BF2">
      <w:pPr>
        <w:pStyle w:val="3"/>
        <w:spacing w:line="360" w:lineRule="auto"/>
        <w:ind w:left="0" w:firstLine="0"/>
        <w:rPr>
          <w:rFonts w:asciiTheme="minorHAnsi" w:hAnsiTheme="minorHAnsi" w:eastAsiaTheme="minorHAnsi"/>
          <w:sz w:val="28"/>
          <w:highlight w:val="none"/>
        </w:rPr>
      </w:pPr>
      <w:r>
        <w:rPr>
          <w:rFonts w:hint="eastAsia" w:asciiTheme="minorHAnsi" w:hAnsiTheme="minorHAnsi" w:eastAsiaTheme="minorHAnsi"/>
          <w:sz w:val="28"/>
          <w:highlight w:val="none"/>
          <w:lang w:eastAsia="zh-CN"/>
        </w:rPr>
        <w:t>项目团队要求</w:t>
      </w:r>
    </w:p>
    <w:p w14:paraId="22A1643E">
      <w:pPr>
        <w:pStyle w:val="20"/>
        <w:numPr>
          <w:ilvl w:val="-1"/>
          <w:numId w:val="0"/>
        </w:numPr>
        <w:adjustRightInd w:val="0"/>
        <w:snapToGrid w:val="0"/>
        <w:spacing w:line="360" w:lineRule="auto"/>
        <w:ind w:left="0" w:firstLine="480" w:firstLineChars="200"/>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本项目配置一名项目经理，</w:t>
      </w:r>
      <w:r>
        <w:rPr>
          <w:rFonts w:hint="eastAsia" w:ascii="宋体" w:hAnsi="宋体" w:eastAsia="宋体" w:cs="宋体"/>
          <w:color w:val="000000" w:themeColor="text1"/>
          <w:sz w:val="24"/>
          <w:szCs w:val="24"/>
          <w:highlight w:val="none"/>
          <w14:textFill>
            <w14:solidFill>
              <w14:schemeClr w14:val="tx1"/>
            </w14:solidFill>
          </w14:textFill>
        </w:rPr>
        <w:t>项目经理具有高级工程师职称证书、硕士</w:t>
      </w:r>
      <w:r>
        <w:rPr>
          <w:rFonts w:hint="eastAsia" w:ascii="宋体" w:hAnsi="宋体" w:cs="宋体"/>
          <w:color w:val="000000" w:themeColor="text1"/>
          <w:sz w:val="24"/>
          <w:szCs w:val="24"/>
          <w:highlight w:val="none"/>
          <w:lang w:eastAsia="zh-CN"/>
          <w14:textFill>
            <w14:solidFill>
              <w14:schemeClr w14:val="tx1"/>
            </w14:solidFill>
          </w14:textFill>
        </w:rPr>
        <w:t>或以上</w:t>
      </w:r>
      <w:r>
        <w:rPr>
          <w:rFonts w:hint="eastAsia" w:ascii="宋体" w:hAnsi="宋体" w:eastAsia="宋体" w:cs="宋体"/>
          <w:color w:val="000000" w:themeColor="text1"/>
          <w:sz w:val="24"/>
          <w:szCs w:val="24"/>
          <w:highlight w:val="none"/>
          <w14:textFill>
            <w14:solidFill>
              <w14:schemeClr w14:val="tx1"/>
            </w14:solidFill>
          </w14:textFill>
        </w:rPr>
        <w:t>学历、信息系统项目管理师（高级）证书</w:t>
      </w:r>
      <w:r>
        <w:rPr>
          <w:rFonts w:hint="eastAsia" w:ascii="宋体" w:hAnsi="宋体" w:cs="宋体"/>
          <w:color w:val="000000" w:themeColor="text1"/>
          <w:sz w:val="24"/>
          <w:szCs w:val="24"/>
          <w:highlight w:val="none"/>
          <w:lang w:eastAsia="zh-CN"/>
          <w14:textFill>
            <w14:solidFill>
              <w14:schemeClr w14:val="tx1"/>
            </w14:solidFill>
          </w14:textFill>
        </w:rPr>
        <w:t>优先考虑。</w:t>
      </w:r>
    </w:p>
    <w:bookmarkEnd w:id="3"/>
    <w:p w14:paraId="0EDA3DFE">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Light">
    <w:altName w:val="汉仪中宋简"/>
    <w:panose1 w:val="02010600030101010101"/>
    <w:charset w:val="86"/>
    <w:family w:val="auto"/>
    <w:pitch w:val="default"/>
    <w:sig w:usb0="00000000" w:usb1="00000000" w:usb2="00000016" w:usb3="00000000" w:csb0="0004000F" w:csb1="00000000"/>
  </w:font>
  <w:font w:name="汉仪中宋简">
    <w:panose1 w:val="02010600000101010101"/>
    <w:charset w:val="86"/>
    <w:family w:val="auto"/>
    <w:pitch w:val="default"/>
    <w:sig w:usb0="00000001" w:usb1="080E0800" w:usb2="00000002"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_GB2312"/>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等线 Light">
    <w:altName w:val="仿宋_GB2312"/>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79745A"/>
    <w:multiLevelType w:val="multilevel"/>
    <w:tmpl w:val="0379745A"/>
    <w:lvl w:ilvl="0" w:tentative="0">
      <w:start w:val="1"/>
      <w:numFmt w:val="decimal"/>
      <w:lvlText w:val="%1)"/>
      <w:lvlJc w:val="left"/>
      <w:pPr>
        <w:ind w:left="8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4653760"/>
    <w:multiLevelType w:val="multilevel"/>
    <w:tmpl w:val="04653760"/>
    <w:lvl w:ilvl="0" w:tentative="0">
      <w:start w:val="1"/>
      <w:numFmt w:val="decimal"/>
      <w:lvlText w:val="%1)"/>
      <w:lvlJc w:val="left"/>
      <w:pPr>
        <w:ind w:left="900" w:hanging="420"/>
      </w:pPr>
      <w:rPr>
        <w:rFonts w:hint="eastAsia"/>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AC01221"/>
    <w:multiLevelType w:val="multilevel"/>
    <w:tmpl w:val="0AC01221"/>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0EC54B22"/>
    <w:multiLevelType w:val="multilevel"/>
    <w:tmpl w:val="0EC54B22"/>
    <w:lvl w:ilvl="0" w:tentative="0">
      <w:start w:val="1"/>
      <w:numFmt w:val="decimal"/>
      <w:pStyle w:val="2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48452BA"/>
    <w:multiLevelType w:val="multilevel"/>
    <w:tmpl w:val="148452BA"/>
    <w:lvl w:ilvl="0" w:tentative="0">
      <w:start w:val="1"/>
      <w:numFmt w:val="decimal"/>
      <w:lvlText w:val="%1)"/>
      <w:lvlJc w:val="left"/>
      <w:pPr>
        <w:ind w:left="1272"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184E2B75"/>
    <w:multiLevelType w:val="multilevel"/>
    <w:tmpl w:val="184E2B7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943278D"/>
    <w:multiLevelType w:val="singleLevel"/>
    <w:tmpl w:val="1943278D"/>
    <w:lvl w:ilvl="0" w:tentative="0">
      <w:start w:val="1"/>
      <w:numFmt w:val="decimal"/>
      <w:lvlText w:val="(%1)"/>
      <w:lvlJc w:val="left"/>
      <w:pPr>
        <w:ind w:left="425" w:hanging="425"/>
      </w:pPr>
      <w:rPr>
        <w:rFonts w:hint="default"/>
      </w:rPr>
    </w:lvl>
  </w:abstractNum>
  <w:abstractNum w:abstractNumId="7">
    <w:nsid w:val="1E362B77"/>
    <w:multiLevelType w:val="multilevel"/>
    <w:tmpl w:val="1E362B77"/>
    <w:lvl w:ilvl="0" w:tentative="0">
      <w:start w:val="1"/>
      <w:numFmt w:val="bullet"/>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abstractNum w:abstractNumId="8">
    <w:nsid w:val="58241832"/>
    <w:multiLevelType w:val="multilevel"/>
    <w:tmpl w:val="58241832"/>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59C52ED9"/>
    <w:multiLevelType w:val="multilevel"/>
    <w:tmpl w:val="59C52ED9"/>
    <w:lvl w:ilvl="0" w:tentative="0">
      <w:start w:val="1"/>
      <w:numFmt w:val="decimal"/>
      <w:lvlText w:val="%1)"/>
      <w:lvlJc w:val="left"/>
      <w:pPr>
        <w:ind w:left="900" w:hanging="420"/>
      </w:pPr>
      <w:rPr>
        <w:rFonts w:hint="eastAsia"/>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0">
    <w:nsid w:val="6D7859EA"/>
    <w:multiLevelType w:val="multilevel"/>
    <w:tmpl w:val="6D7859EA"/>
    <w:lvl w:ilvl="0" w:tentative="0">
      <w:start w:val="1"/>
      <w:numFmt w:val="decimal"/>
      <w:pStyle w:val="2"/>
      <w:lvlText w:val="%1."/>
      <w:lvlJc w:val="left"/>
      <w:pPr>
        <w:ind w:left="0" w:firstLine="0"/>
      </w:pPr>
      <w:rPr>
        <w:rFonts w:hint="eastAsia" w:ascii="宋体" w:eastAsia="宋体"/>
        <w:b w:val="0"/>
        <w:i w:val="0"/>
        <w:sz w:val="32"/>
      </w:rPr>
    </w:lvl>
    <w:lvl w:ilvl="1" w:tentative="0">
      <w:start w:val="1"/>
      <w:numFmt w:val="decimal"/>
      <w:pStyle w:val="3"/>
      <w:lvlText w:val="%1.%2."/>
      <w:lvlJc w:val="left"/>
      <w:pPr>
        <w:ind w:left="0" w:firstLine="0"/>
      </w:pPr>
      <w:rPr>
        <w:rFonts w:hint="eastAsia"/>
      </w:rPr>
    </w:lvl>
    <w:lvl w:ilvl="2" w:tentative="0">
      <w:start w:val="1"/>
      <w:numFmt w:val="decimal"/>
      <w:pStyle w:val="4"/>
      <w:lvlText w:val="%1.%2.%3."/>
      <w:lvlJc w:val="left"/>
      <w:pPr>
        <w:ind w:left="0" w:firstLine="0"/>
      </w:pPr>
      <w:rPr>
        <w:rFonts w:hint="eastAsia"/>
      </w:rPr>
    </w:lvl>
    <w:lvl w:ilvl="3" w:tentative="0">
      <w:start w:val="1"/>
      <w:numFmt w:val="decimal"/>
      <w:pStyle w:val="5"/>
      <w:lvlText w:val="%1.%2.%3.%4."/>
      <w:lvlJc w:val="left"/>
      <w:pPr>
        <w:ind w:left="0" w:firstLine="0"/>
      </w:pPr>
      <w:rPr>
        <w:rFonts w:hint="eastAsia"/>
      </w:rPr>
    </w:lvl>
    <w:lvl w:ilvl="4" w:tentative="0">
      <w:start w:val="1"/>
      <w:numFmt w:val="decimal"/>
      <w:pStyle w:val="6"/>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1">
    <w:nsid w:val="6EC37A78"/>
    <w:multiLevelType w:val="multilevel"/>
    <w:tmpl w:val="6EC37A78"/>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76CC449B"/>
    <w:multiLevelType w:val="multilevel"/>
    <w:tmpl w:val="76CC449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0"/>
  </w:num>
  <w:num w:numId="2">
    <w:abstractNumId w:val="3"/>
  </w:num>
  <w:num w:numId="3">
    <w:abstractNumId w:val="0"/>
  </w:num>
  <w:num w:numId="4">
    <w:abstractNumId w:val="5"/>
  </w:num>
  <w:num w:numId="5">
    <w:abstractNumId w:val="7"/>
  </w:num>
  <w:num w:numId="6">
    <w:abstractNumId w:val="12"/>
  </w:num>
  <w:num w:numId="7">
    <w:abstractNumId w:val="11"/>
  </w:num>
  <w:num w:numId="8">
    <w:abstractNumId w:val="8"/>
  </w:num>
  <w:num w:numId="9">
    <w:abstractNumId w:val="4"/>
  </w:num>
  <w:num w:numId="10">
    <w:abstractNumId w:val="6"/>
  </w:num>
  <w:num w:numId="11">
    <w:abstractNumId w:val="9"/>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F4B"/>
    <w:rsid w:val="000864C1"/>
    <w:rsid w:val="000C6842"/>
    <w:rsid w:val="0011020A"/>
    <w:rsid w:val="002415AF"/>
    <w:rsid w:val="00244C30"/>
    <w:rsid w:val="00297BA5"/>
    <w:rsid w:val="002D248D"/>
    <w:rsid w:val="002E73ED"/>
    <w:rsid w:val="002F34F6"/>
    <w:rsid w:val="00344119"/>
    <w:rsid w:val="0034787C"/>
    <w:rsid w:val="00370B8A"/>
    <w:rsid w:val="003A68FF"/>
    <w:rsid w:val="003F024F"/>
    <w:rsid w:val="00435211"/>
    <w:rsid w:val="004549F3"/>
    <w:rsid w:val="00462DAD"/>
    <w:rsid w:val="00463153"/>
    <w:rsid w:val="0047619B"/>
    <w:rsid w:val="004A0044"/>
    <w:rsid w:val="004A059E"/>
    <w:rsid w:val="004A2AA2"/>
    <w:rsid w:val="004E4E10"/>
    <w:rsid w:val="005420CD"/>
    <w:rsid w:val="00550AA6"/>
    <w:rsid w:val="005703B0"/>
    <w:rsid w:val="00584508"/>
    <w:rsid w:val="00593390"/>
    <w:rsid w:val="005A0A1E"/>
    <w:rsid w:val="005D0E84"/>
    <w:rsid w:val="00612CE4"/>
    <w:rsid w:val="00620165"/>
    <w:rsid w:val="006424C7"/>
    <w:rsid w:val="0066130F"/>
    <w:rsid w:val="006A21BE"/>
    <w:rsid w:val="006D1D8D"/>
    <w:rsid w:val="006D49B0"/>
    <w:rsid w:val="00734549"/>
    <w:rsid w:val="0073501D"/>
    <w:rsid w:val="00735F80"/>
    <w:rsid w:val="007372CF"/>
    <w:rsid w:val="007B5483"/>
    <w:rsid w:val="007B7DAA"/>
    <w:rsid w:val="007C73B8"/>
    <w:rsid w:val="007E589F"/>
    <w:rsid w:val="007F6FAB"/>
    <w:rsid w:val="00814154"/>
    <w:rsid w:val="008278DD"/>
    <w:rsid w:val="00884F4B"/>
    <w:rsid w:val="009032E0"/>
    <w:rsid w:val="00950EF4"/>
    <w:rsid w:val="00964C04"/>
    <w:rsid w:val="009936D9"/>
    <w:rsid w:val="009C1781"/>
    <w:rsid w:val="00A10CE2"/>
    <w:rsid w:val="00A579E8"/>
    <w:rsid w:val="00AC36D0"/>
    <w:rsid w:val="00B111AC"/>
    <w:rsid w:val="00BB4781"/>
    <w:rsid w:val="00C217DC"/>
    <w:rsid w:val="00C60545"/>
    <w:rsid w:val="00CD0470"/>
    <w:rsid w:val="00CD6114"/>
    <w:rsid w:val="00CF2417"/>
    <w:rsid w:val="00D34319"/>
    <w:rsid w:val="00D82661"/>
    <w:rsid w:val="00DC1301"/>
    <w:rsid w:val="00DC347B"/>
    <w:rsid w:val="00DD606B"/>
    <w:rsid w:val="00E45105"/>
    <w:rsid w:val="00E6090F"/>
    <w:rsid w:val="00EE0266"/>
    <w:rsid w:val="00EE2755"/>
    <w:rsid w:val="00F32012"/>
    <w:rsid w:val="00F3218B"/>
    <w:rsid w:val="00F401AA"/>
    <w:rsid w:val="00F51339"/>
    <w:rsid w:val="00F52A84"/>
    <w:rsid w:val="00FB22A0"/>
    <w:rsid w:val="00FD4773"/>
    <w:rsid w:val="094E2099"/>
    <w:rsid w:val="194E74AF"/>
    <w:rsid w:val="1D4A186E"/>
    <w:rsid w:val="219058A7"/>
    <w:rsid w:val="275F49DD"/>
    <w:rsid w:val="28171D46"/>
    <w:rsid w:val="35EF3A82"/>
    <w:rsid w:val="3C5F4716"/>
    <w:rsid w:val="3FBDEF39"/>
    <w:rsid w:val="41C14789"/>
    <w:rsid w:val="4C3D5050"/>
    <w:rsid w:val="4FDF22F9"/>
    <w:rsid w:val="683541B5"/>
    <w:rsid w:val="6CDFFE69"/>
    <w:rsid w:val="6DFD4599"/>
    <w:rsid w:val="70B66FE4"/>
    <w:rsid w:val="71AF6B25"/>
    <w:rsid w:val="78FC0BC9"/>
    <w:rsid w:val="7977B319"/>
    <w:rsid w:val="7CED5CD2"/>
    <w:rsid w:val="7FFF7308"/>
    <w:rsid w:val="95C94EE6"/>
    <w:rsid w:val="97FA0D80"/>
    <w:rsid w:val="BAFFDB13"/>
    <w:rsid w:val="BF4DE1C5"/>
    <w:rsid w:val="CF5F0967"/>
    <w:rsid w:val="F7FC3387"/>
    <w:rsid w:val="FA9B7C4A"/>
    <w:rsid w:val="FFDBA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0"/>
      <w:szCs w:val="24"/>
      <w:lang w:val="en-US" w:eastAsia="zh-CN" w:bidi="ar-SA"/>
    </w:rPr>
  </w:style>
  <w:style w:type="paragraph" w:styleId="2">
    <w:name w:val="heading 1"/>
    <w:basedOn w:val="1"/>
    <w:next w:val="1"/>
    <w:link w:val="15"/>
    <w:qFormat/>
    <w:uiPriority w:val="9"/>
    <w:pPr>
      <w:keepNext/>
      <w:keepLines/>
      <w:numPr>
        <w:ilvl w:val="0"/>
        <w:numId w:val="1"/>
      </w:numPr>
      <w:spacing w:after="50" w:afterLines="50"/>
      <w:outlineLvl w:val="0"/>
    </w:pPr>
    <w:rPr>
      <w:b/>
      <w:bCs/>
      <w:kern w:val="44"/>
      <w:sz w:val="30"/>
      <w:szCs w:val="44"/>
    </w:rPr>
  </w:style>
  <w:style w:type="paragraph" w:styleId="3">
    <w:name w:val="heading 2"/>
    <w:basedOn w:val="1"/>
    <w:next w:val="1"/>
    <w:link w:val="16"/>
    <w:unhideWhenUsed/>
    <w:qFormat/>
    <w:uiPriority w:val="9"/>
    <w:pPr>
      <w:keepNext/>
      <w:keepLines/>
      <w:widowControl w:val="0"/>
      <w:numPr>
        <w:ilvl w:val="1"/>
        <w:numId w:val="1"/>
      </w:numPr>
      <w:spacing w:after="120"/>
      <w:jc w:val="both"/>
      <w:outlineLvl w:val="1"/>
    </w:pPr>
    <w:rPr>
      <w:rFonts w:asciiTheme="majorHAnsi" w:hAnsiTheme="majorHAnsi" w:cstheme="majorBidi"/>
      <w:b/>
      <w:bCs/>
      <w:sz w:val="28"/>
      <w:szCs w:val="32"/>
    </w:rPr>
  </w:style>
  <w:style w:type="paragraph" w:styleId="4">
    <w:name w:val="heading 3"/>
    <w:next w:val="1"/>
    <w:link w:val="14"/>
    <w:qFormat/>
    <w:uiPriority w:val="9"/>
    <w:pPr>
      <w:keepNext/>
      <w:keepLines/>
      <w:numPr>
        <w:ilvl w:val="2"/>
        <w:numId w:val="1"/>
      </w:numPr>
      <w:tabs>
        <w:tab w:val="left" w:pos="709"/>
      </w:tabs>
      <w:spacing w:before="100" w:beforeAutospacing="1" w:line="360" w:lineRule="auto"/>
      <w:outlineLvl w:val="2"/>
    </w:pPr>
    <w:rPr>
      <w:rFonts w:ascii="宋体" w:hAnsi="黑体" w:eastAsia="宋体" w:cstheme="minorBidi"/>
      <w:b/>
      <w:bCs/>
      <w:kern w:val="2"/>
      <w:sz w:val="24"/>
      <w:szCs w:val="32"/>
      <w:lang w:val="en-US" w:eastAsia="zh-CN" w:bidi="ar-SA"/>
    </w:rPr>
  </w:style>
  <w:style w:type="paragraph" w:styleId="5">
    <w:name w:val="heading 4"/>
    <w:basedOn w:val="1"/>
    <w:next w:val="1"/>
    <w:link w:val="17"/>
    <w:unhideWhenUsed/>
    <w:qFormat/>
    <w:uiPriority w:val="9"/>
    <w:pPr>
      <w:keepNext/>
      <w:keepLines/>
      <w:numPr>
        <w:ilvl w:val="3"/>
        <w:numId w:val="1"/>
      </w:numPr>
      <w:spacing w:after="120"/>
      <w:outlineLvl w:val="3"/>
    </w:pPr>
    <w:rPr>
      <w:rFonts w:hAnsiTheme="majorHAnsi" w:cstheme="majorBidi"/>
      <w:b/>
      <w:bCs/>
      <w:szCs w:val="28"/>
    </w:rPr>
  </w:style>
  <w:style w:type="paragraph" w:styleId="6">
    <w:name w:val="heading 5"/>
    <w:basedOn w:val="1"/>
    <w:next w:val="1"/>
    <w:link w:val="18"/>
    <w:semiHidden/>
    <w:unhideWhenUsed/>
    <w:qFormat/>
    <w:uiPriority w:val="9"/>
    <w:pPr>
      <w:keepNext/>
      <w:keepLines/>
      <w:numPr>
        <w:ilvl w:val="4"/>
        <w:numId w:val="1"/>
      </w:numPr>
      <w:outlineLvl w:val="4"/>
    </w:pPr>
    <w:rPr>
      <w:b/>
      <w:bCs/>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7">
    <w:name w:val="annotation text"/>
    <w:basedOn w:val="1"/>
    <w:link w:val="19"/>
    <w:autoRedefine/>
    <w:qFormat/>
    <w:uiPriority w:val="99"/>
  </w:style>
  <w:style w:type="paragraph" w:styleId="8">
    <w:name w:val="Balloon Text"/>
    <w:basedOn w:val="1"/>
    <w:link w:val="22"/>
    <w:semiHidden/>
    <w:unhideWhenUsed/>
    <w:qFormat/>
    <w:uiPriority w:val="99"/>
    <w:rPr>
      <w:sz w:val="18"/>
      <w:szCs w:val="18"/>
    </w:rPr>
  </w:style>
  <w:style w:type="paragraph" w:styleId="9">
    <w:name w:val="annotation subject"/>
    <w:basedOn w:val="7"/>
    <w:next w:val="7"/>
    <w:link w:val="24"/>
    <w:semiHidden/>
    <w:unhideWhenUsed/>
    <w:qFormat/>
    <w:uiPriority w:val="99"/>
    <w:rPr>
      <w:b/>
      <w:bCs/>
    </w:rPr>
  </w:style>
  <w:style w:type="table" w:styleId="11">
    <w:name w:val="Table Grid"/>
    <w:basedOn w:val="10"/>
    <w:autoRedefine/>
    <w:qFormat/>
    <w:uiPriority w:val="39"/>
    <w:rPr>
      <w:kern w:val="0"/>
      <w:sz w:val="20"/>
      <w:szCs w:val="21"/>
      <w14:ligatures w14:val="standardContextual"/>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autoRedefine/>
    <w:qFormat/>
    <w:uiPriority w:val="99"/>
    <w:rPr>
      <w:sz w:val="21"/>
      <w:szCs w:val="21"/>
    </w:rPr>
  </w:style>
  <w:style w:type="character" w:customStyle="1" w:styleId="14">
    <w:name w:val="标题 3 字符"/>
    <w:link w:val="4"/>
    <w:qFormat/>
    <w:uiPriority w:val="9"/>
    <w:rPr>
      <w:rFonts w:ascii="宋体" w:hAnsi="黑体" w:eastAsia="宋体"/>
      <w:b/>
      <w:bCs/>
      <w:sz w:val="24"/>
      <w:szCs w:val="32"/>
    </w:rPr>
  </w:style>
  <w:style w:type="character" w:customStyle="1" w:styleId="15">
    <w:name w:val="标题 1 字符"/>
    <w:basedOn w:val="12"/>
    <w:link w:val="2"/>
    <w:qFormat/>
    <w:uiPriority w:val="9"/>
    <w:rPr>
      <w:rFonts w:ascii="宋体" w:hAnsi="宋体" w:eastAsia="宋体" w:cs="宋体"/>
      <w:b/>
      <w:bCs/>
      <w:color w:val="000000"/>
      <w:kern w:val="44"/>
      <w:sz w:val="30"/>
      <w:szCs w:val="44"/>
    </w:rPr>
  </w:style>
  <w:style w:type="character" w:customStyle="1" w:styleId="16">
    <w:name w:val="标题 2 字符"/>
    <w:basedOn w:val="12"/>
    <w:link w:val="3"/>
    <w:qFormat/>
    <w:uiPriority w:val="9"/>
    <w:rPr>
      <w:rFonts w:eastAsia="宋体" w:asciiTheme="majorHAnsi" w:hAnsiTheme="majorHAnsi" w:cstheme="majorBidi"/>
      <w:b/>
      <w:bCs/>
      <w:sz w:val="28"/>
      <w:szCs w:val="32"/>
    </w:rPr>
  </w:style>
  <w:style w:type="character" w:customStyle="1" w:styleId="17">
    <w:name w:val="标题 4 字符"/>
    <w:basedOn w:val="12"/>
    <w:link w:val="5"/>
    <w:qFormat/>
    <w:uiPriority w:val="9"/>
    <w:rPr>
      <w:rFonts w:ascii="宋体" w:eastAsia="宋体" w:hAnsiTheme="majorHAnsi" w:cstheme="majorBidi"/>
      <w:b/>
      <w:bCs/>
      <w:color w:val="000000"/>
      <w:sz w:val="24"/>
      <w:szCs w:val="28"/>
    </w:rPr>
  </w:style>
  <w:style w:type="character" w:customStyle="1" w:styleId="18">
    <w:name w:val="标题 5 字符"/>
    <w:basedOn w:val="12"/>
    <w:link w:val="6"/>
    <w:semiHidden/>
    <w:qFormat/>
    <w:uiPriority w:val="9"/>
    <w:rPr>
      <w:rFonts w:ascii="宋体" w:hAnsi="宋体" w:eastAsia="宋体" w:cs="宋体"/>
      <w:b/>
      <w:bCs/>
      <w:color w:val="000000"/>
      <w:sz w:val="24"/>
      <w:szCs w:val="28"/>
    </w:rPr>
  </w:style>
  <w:style w:type="character" w:customStyle="1" w:styleId="19">
    <w:name w:val="批注文字 字符"/>
    <w:basedOn w:val="12"/>
    <w:link w:val="7"/>
    <w:qFormat/>
    <w:uiPriority w:val="99"/>
    <w:rPr>
      <w:rFonts w:ascii="Times New Roman" w:hAnsi="Times New Roman" w:eastAsia="宋体" w:cs="Times New Roman"/>
      <w:szCs w:val="24"/>
    </w:rPr>
  </w:style>
  <w:style w:type="paragraph" w:styleId="20">
    <w:name w:val="List Paragraph"/>
    <w:basedOn w:val="1"/>
    <w:link w:val="21"/>
    <w:autoRedefine/>
    <w:qFormat/>
    <w:uiPriority w:val="34"/>
    <w:pPr>
      <w:numPr>
        <w:ilvl w:val="0"/>
        <w:numId w:val="2"/>
      </w:numPr>
    </w:pPr>
    <w:rPr>
      <w:rFonts w:asciiTheme="minorHAnsi" w:hAnsiTheme="minorHAnsi" w:cstheme="minorBidi"/>
      <w:szCs w:val="22"/>
    </w:rPr>
  </w:style>
  <w:style w:type="character" w:customStyle="1" w:styleId="21">
    <w:name w:val="列表段落 字符"/>
    <w:link w:val="20"/>
    <w:autoRedefine/>
    <w:qFormat/>
    <w:uiPriority w:val="34"/>
    <w:rPr>
      <w:rFonts w:eastAsia="宋体"/>
      <w:kern w:val="0"/>
      <w:sz w:val="20"/>
    </w:rPr>
  </w:style>
  <w:style w:type="character" w:customStyle="1" w:styleId="22">
    <w:name w:val="批注框文本 字符"/>
    <w:basedOn w:val="12"/>
    <w:link w:val="8"/>
    <w:semiHidden/>
    <w:qFormat/>
    <w:uiPriority w:val="99"/>
    <w:rPr>
      <w:rFonts w:ascii="Times New Roman" w:hAnsi="Times New Roman" w:eastAsia="宋体" w:cs="Times New Roman"/>
      <w:sz w:val="18"/>
      <w:szCs w:val="18"/>
    </w:rPr>
  </w:style>
  <w:style w:type="table" w:customStyle="1" w:styleId="23">
    <w:name w:val="TableGrid"/>
    <w:autoRedefine/>
    <w:qFormat/>
    <w:uiPriority w:val="0"/>
    <w:rPr>
      <w:kern w:val="0"/>
      <w:sz w:val="20"/>
      <w:szCs w:val="20"/>
    </w:rPr>
    <w:tblPr>
      <w:tblCellMar>
        <w:top w:w="0" w:type="dxa"/>
        <w:left w:w="0" w:type="dxa"/>
        <w:bottom w:w="0" w:type="dxa"/>
        <w:right w:w="0" w:type="dxa"/>
      </w:tblCellMar>
    </w:tblPr>
  </w:style>
  <w:style w:type="character" w:customStyle="1" w:styleId="24">
    <w:name w:val="批注主题 字符"/>
    <w:basedOn w:val="19"/>
    <w:link w:val="9"/>
    <w:semiHidden/>
    <w:qFormat/>
    <w:uiPriority w:val="99"/>
    <w:rPr>
      <w:rFonts w:ascii="Times New Roman" w:hAnsi="Times New Roman" w:eastAsia="宋体" w:cs="Times New Roman"/>
      <w:b/>
      <w:bCs/>
      <w:kern w:val="0"/>
      <w:sz w:val="2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1450</Words>
  <Characters>1690</Characters>
  <Lines>59</Lines>
  <Paragraphs>16</Paragraphs>
  <TotalTime>281</TotalTime>
  <ScaleCrop>false</ScaleCrop>
  <LinksUpToDate>false</LinksUpToDate>
  <CharactersWithSpaces>1711</CharactersWithSpaces>
  <Application>WPS Office_12.8.2.1118_F1E327BC-269C-435d-A152-05C5408002CA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2025-03-31T11:12:00Z</dcterms:created>
  <dc:creator>WY</dc:creator>
  <cp:lastModifiedBy>user</cp:lastModifiedBy>
  <dcterms:modified xsi:type="dcterms:W3CDTF">2025-06-09T11:01:01Z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eyJoZGlkIjoiMmM2MDM0MzZkMTg4MjI0Yzc4NWI5NzY5Nzk1NDg3ZDkiLCJ1c2VySWQiOiI1NDE0OTMwNzkifQ==</vt:lpwstr>
  </property>
  <property fmtid="{D5CDD505-2E9C-101B-9397-08002B2CF9AE}" pid="3" name="KSOProductBuildVer">
    <vt:lpwstr>2052-12.8.2.1118</vt:lpwstr>
  </property>
  <property fmtid="{D5CDD505-2E9C-101B-9397-08002B2CF9AE}" pid="4" name="ICV">
    <vt:lpwstr>1D291BADDF0F4820BB933B3ECC503D70_13</vt:lpwstr>
  </property>
</Properties>
</file>