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4EC28">
      <w:pPr>
        <w:pStyle w:val="19"/>
        <w:ind w:firstLine="723"/>
        <w:jc w:val="center"/>
        <w:rPr>
          <w:rFonts w:hint="eastAsia" w:ascii="宋体"/>
          <w:b/>
          <w:bCs/>
          <w:sz w:val="36"/>
          <w:szCs w:val="40"/>
        </w:rPr>
      </w:pPr>
    </w:p>
    <w:p w14:paraId="16FC73F0">
      <w:pPr>
        <w:pStyle w:val="19"/>
        <w:ind w:firstLine="723"/>
        <w:jc w:val="center"/>
        <w:rPr>
          <w:rFonts w:hint="eastAsia" w:ascii="宋体"/>
          <w:b/>
          <w:bCs/>
          <w:sz w:val="36"/>
          <w:szCs w:val="40"/>
        </w:rPr>
      </w:pPr>
      <w:r>
        <w:rPr>
          <w:rFonts w:hint="eastAsia" w:ascii="宋体"/>
          <w:b/>
          <w:bCs/>
          <w:sz w:val="36"/>
          <w:szCs w:val="40"/>
        </w:rPr>
        <w:t>上海市养志康复医院（上海市阳光康复中心）</w:t>
      </w:r>
    </w:p>
    <w:p w14:paraId="5704A993">
      <w:pPr>
        <w:pStyle w:val="19"/>
        <w:ind w:firstLine="723"/>
        <w:jc w:val="center"/>
        <w:rPr>
          <w:rFonts w:hint="eastAsia" w:ascii="宋体"/>
          <w:b/>
          <w:bCs/>
          <w:sz w:val="36"/>
          <w:szCs w:val="40"/>
        </w:rPr>
      </w:pPr>
      <w:r>
        <w:rPr>
          <w:rFonts w:hint="eastAsia" w:ascii="宋体"/>
          <w:b/>
          <w:bCs/>
          <w:sz w:val="36"/>
          <w:szCs w:val="40"/>
          <w:lang w:eastAsia="zh-CN"/>
        </w:rPr>
        <w:t>大模型计算资源</w:t>
      </w:r>
      <w:r>
        <w:rPr>
          <w:rFonts w:hint="eastAsia" w:ascii="宋体"/>
          <w:b/>
          <w:bCs/>
          <w:sz w:val="36"/>
          <w:szCs w:val="40"/>
          <w:lang w:val="en-US" w:eastAsia="zh-CN"/>
        </w:rPr>
        <w:t>采购</w:t>
      </w:r>
      <w:r>
        <w:rPr>
          <w:rFonts w:hint="eastAsia" w:ascii="宋体"/>
          <w:b/>
          <w:bCs/>
          <w:sz w:val="36"/>
          <w:szCs w:val="40"/>
          <w:lang w:eastAsia="zh-CN"/>
        </w:rPr>
        <w:t>和集成</w:t>
      </w:r>
      <w:r>
        <w:rPr>
          <w:rFonts w:hint="eastAsia" w:ascii="宋体"/>
          <w:b/>
          <w:bCs/>
          <w:sz w:val="36"/>
          <w:szCs w:val="40"/>
          <w:lang w:val="en-US" w:eastAsia="zh-CN"/>
        </w:rPr>
        <w:t>服务</w:t>
      </w:r>
      <w:r>
        <w:rPr>
          <w:rFonts w:hint="eastAsia" w:ascii="宋体"/>
          <w:b/>
          <w:bCs/>
          <w:sz w:val="36"/>
          <w:szCs w:val="40"/>
        </w:rPr>
        <w:t>项目需求</w:t>
      </w:r>
    </w:p>
    <w:p w14:paraId="68EA4D95">
      <w:pPr>
        <w:pStyle w:val="2"/>
        <w:rPr>
          <w:rFonts w:hint="eastAsia" w:ascii="宋体" w:hAnsi="宋体"/>
        </w:rPr>
      </w:pPr>
      <w:r>
        <w:rPr>
          <w:rFonts w:hint="eastAsia" w:ascii="宋体" w:hAnsi="宋体"/>
        </w:rPr>
        <w:t>项目名称</w:t>
      </w:r>
    </w:p>
    <w:p w14:paraId="3C5B4297">
      <w:pPr>
        <w:pStyle w:val="19"/>
        <w:ind w:firstLine="480"/>
        <w:jc w:val="both"/>
        <w:rPr>
          <w:rFonts w:hint="eastAsia" w:ascii="宋体"/>
          <w:szCs w:val="28"/>
        </w:rPr>
      </w:pPr>
      <w:r>
        <w:rPr>
          <w:rFonts w:hint="eastAsia" w:ascii="宋体"/>
          <w:szCs w:val="28"/>
        </w:rPr>
        <w:t>项目名称：上海市养志康复医院（上海市阳光康复中心）</w:t>
      </w:r>
      <w:r>
        <w:rPr>
          <w:rFonts w:hint="eastAsia" w:ascii="宋体"/>
          <w:szCs w:val="28"/>
          <w:lang w:eastAsia="zh-CN"/>
        </w:rPr>
        <w:t>大模型计算资源采购和集成服务项目</w:t>
      </w:r>
      <w:r>
        <w:rPr>
          <w:rFonts w:hint="eastAsia" w:ascii="宋体"/>
          <w:szCs w:val="28"/>
        </w:rPr>
        <w:t>。（以下简称“本项目”）</w:t>
      </w:r>
    </w:p>
    <w:p w14:paraId="12EB1ACD">
      <w:pPr>
        <w:pStyle w:val="19"/>
        <w:ind w:firstLine="480"/>
        <w:jc w:val="both"/>
        <w:rPr>
          <w:rFonts w:hint="eastAsia" w:ascii="宋体"/>
          <w:szCs w:val="28"/>
        </w:rPr>
      </w:pPr>
      <w:r>
        <w:rPr>
          <w:rFonts w:hint="eastAsia" w:ascii="宋体"/>
          <w:szCs w:val="28"/>
        </w:rPr>
        <w:t>项目预算限价：本项目预算限</w:t>
      </w:r>
      <w:r>
        <w:rPr>
          <w:rFonts w:hint="eastAsia" w:ascii="宋体"/>
          <w:color w:val="auto"/>
          <w:szCs w:val="28"/>
        </w:rPr>
        <w:t>价</w:t>
      </w:r>
      <w:r>
        <w:rPr>
          <w:rFonts w:hint="eastAsia" w:ascii="宋体"/>
          <w:color w:val="auto"/>
          <w:szCs w:val="28"/>
          <w:lang w:val="en-US" w:eastAsia="zh-CN"/>
        </w:rPr>
        <w:t>131</w:t>
      </w:r>
      <w:r>
        <w:rPr>
          <w:rFonts w:hint="eastAsia" w:ascii="宋体"/>
          <w:color w:val="auto"/>
          <w:szCs w:val="28"/>
        </w:rPr>
        <w:t>万元</w:t>
      </w:r>
      <w:r>
        <w:rPr>
          <w:rFonts w:hint="eastAsia" w:ascii="宋体"/>
          <w:szCs w:val="28"/>
        </w:rPr>
        <w:t>。</w:t>
      </w:r>
    </w:p>
    <w:p w14:paraId="79F1BEC1">
      <w:pPr>
        <w:pStyle w:val="2"/>
        <w:rPr>
          <w:rFonts w:hint="eastAsia" w:ascii="宋体" w:hAnsi="宋体"/>
        </w:rPr>
      </w:pPr>
      <w:r>
        <w:rPr>
          <w:rFonts w:hint="eastAsia" w:ascii="宋体" w:hAnsi="宋体"/>
        </w:rPr>
        <w:t>项目地点</w:t>
      </w:r>
    </w:p>
    <w:p w14:paraId="7AA12128">
      <w:pPr>
        <w:pStyle w:val="4"/>
        <w:ind w:firstLine="480"/>
      </w:pPr>
      <w:r>
        <w:rPr>
          <w:rFonts w:hint="eastAsia" w:ascii="宋体" w:hAnsi="宋体"/>
        </w:rPr>
        <w:t>上海市养志康复医院(上海市阳光康复中心)（以下简称“养志医院”）</w:t>
      </w:r>
    </w:p>
    <w:p w14:paraId="4CF4CFB9">
      <w:pPr>
        <w:pStyle w:val="2"/>
        <w:rPr>
          <w:rFonts w:hint="eastAsia" w:ascii="宋体" w:hAnsi="宋体"/>
        </w:rPr>
      </w:pPr>
      <w:r>
        <w:rPr>
          <w:rFonts w:ascii="宋体" w:hAnsi="宋体"/>
        </w:rPr>
        <w:t>项目介绍</w:t>
      </w:r>
    </w:p>
    <w:p w14:paraId="7D7AA91F">
      <w:pPr>
        <w:pStyle w:val="19"/>
        <w:ind w:firstLine="480"/>
        <w:rPr>
          <w:rFonts w:hint="eastAsia" w:ascii="宋体"/>
          <w:szCs w:val="28"/>
        </w:rPr>
      </w:pPr>
      <w:r>
        <w:rPr>
          <w:rFonts w:hint="eastAsia" w:ascii="宋体"/>
          <w:szCs w:val="28"/>
        </w:rPr>
        <w:t>作为上海首家公立康复医院、首家纳入市级医院管理平台的大学附属康复专科医院，</w:t>
      </w:r>
      <w:r>
        <w:rPr>
          <w:rFonts w:hint="eastAsia" w:ascii="宋体"/>
        </w:rPr>
        <w:t>养志医院</w:t>
      </w:r>
      <w:r>
        <w:rPr>
          <w:rFonts w:hint="eastAsia" w:ascii="宋体"/>
          <w:szCs w:val="28"/>
        </w:rPr>
        <w:t>承担国家区域性工伤康复示范平台、国家临床重点专科建设任务，并牵头上海市康复医学科专科联盟建设。随着2024年二期院区启用，医院年服务患者能力提升至50万人次以上，重点开展神经康复、骨关节康复、儿童康复等七大特色学科诊疗，并依托上海市残联智能康复辅助器具与技术重点实验室，推进干细胞再生医学、神经调控与脑功能康复等前沿研究。这些临床与科研任务需处理海量医学影像、基因测序及实时康复训练数据，如全自动机器人步态训练系统产生的三维运动捕捉数据、近红外脑功能仪监测的脑神经信号等，对本地化算力提出极高要求。</w:t>
      </w:r>
    </w:p>
    <w:p w14:paraId="3761A846">
      <w:pPr>
        <w:pStyle w:val="19"/>
        <w:ind w:firstLine="480"/>
        <w:rPr>
          <w:rFonts w:hint="eastAsia" w:ascii="宋体"/>
          <w:szCs w:val="28"/>
        </w:rPr>
      </w:pPr>
      <w:r>
        <w:rPr>
          <w:rFonts w:hint="eastAsia" w:ascii="宋体"/>
          <w:szCs w:val="28"/>
        </w:rPr>
        <w:t>养志医院是上海市首批数字化转型揭榜挂帅示范单位，已建成5G专网全覆盖的智慧病房和物联网平台，部署了智能天轨移位系统、情景互动轮椅训练系统等先进设备。为支撑实时运动分析交互实验室的多模态数据融合（如虚拟现实环境下的康复评估）、电子病历智能生成、以及万人级队列的蛋白质组学分析（如阿尔茨海默病早期预测模型），需具备万亿级参数医疗大模型本地训练能力。</w:t>
      </w:r>
    </w:p>
    <w:p w14:paraId="572500BF">
      <w:pPr>
        <w:pStyle w:val="19"/>
        <w:ind w:firstLine="480"/>
        <w:rPr>
          <w:rFonts w:hint="eastAsia" w:ascii="宋体"/>
          <w:szCs w:val="28"/>
        </w:rPr>
      </w:pPr>
      <w:r>
        <w:rPr>
          <w:rFonts w:hint="eastAsia" w:ascii="宋体"/>
          <w:szCs w:val="28"/>
        </w:rPr>
        <w:t>为响应国家《算力基础设施高质量发展计划》和上海市“人工智能+”医疗战略部署，养志医院亟需构建自主可控的高性能算力底座。作为国家区域性工伤康复示范平台、上海市康复医学科专科联盟牵头单位，医院承担神经康复、骨关节康复、儿童康复等七大特色学科诊疗任务，年服务患者超50万人次，并牵头国家重点研发计划项目（如脊髓损伤可穿戴设备数据分析、复杂环境模拟平台）。随着2024年二期院区启用，医院重点推进 AI康复大模型本地化部署（如DeepSeek管理知识库），支撑多模态融合康复评估（如3D MRI病灶分割、运动捕捉步态分析）、联邦学习科研协作等核心场景。</w:t>
      </w:r>
    </w:p>
    <w:p w14:paraId="1A11BBBD">
      <w:pPr>
        <w:pStyle w:val="19"/>
        <w:ind w:firstLine="480"/>
        <w:jc w:val="both"/>
        <w:rPr>
          <w:rFonts w:hint="eastAsia" w:ascii="宋体"/>
          <w:szCs w:val="28"/>
          <w:highlight w:val="yellow"/>
        </w:rPr>
      </w:pPr>
      <w:r>
        <w:rPr>
          <w:rFonts w:hint="eastAsia" w:ascii="宋体"/>
          <w:szCs w:val="28"/>
        </w:rPr>
        <w:t>2024年养志医院获批</w:t>
      </w:r>
      <w:r>
        <w:rPr>
          <w:rFonts w:ascii="宋体"/>
        </w:rPr>
        <w:t>促进产业高质量发展专项资金（先导产业创新发展)</w:t>
      </w:r>
      <w:r>
        <w:rPr>
          <w:rFonts w:hint="eastAsia" w:ascii="宋体"/>
        </w:rPr>
        <w:t>“</w:t>
      </w:r>
      <w:r>
        <w:rPr>
          <w:rFonts w:ascii="宋体"/>
        </w:rPr>
        <w:t>人工智能-AI+</w:t>
      </w:r>
      <w:r>
        <w:rPr>
          <w:rFonts w:hint="eastAsia" w:ascii="宋体"/>
        </w:rPr>
        <w:t>”</w:t>
      </w:r>
      <w:r>
        <w:rPr>
          <w:rFonts w:ascii="宋体"/>
        </w:rPr>
        <w:t>专项资金项目</w:t>
      </w:r>
      <w:r>
        <w:rPr>
          <w:rFonts w:hint="eastAsia" w:ascii="宋体"/>
        </w:rPr>
        <w:t>--</w:t>
      </w:r>
      <w:r>
        <w:rPr>
          <w:rFonts w:ascii="宋体"/>
        </w:rPr>
        <w:t>面向功能障碍人群的“大模型+康复”智能患者服务</w:t>
      </w:r>
      <w:r>
        <w:rPr>
          <w:rFonts w:hint="eastAsia" w:ascii="宋体" w:cs="Calibri"/>
          <w:color w:val="000000"/>
        </w:rPr>
        <w:t>，</w:t>
      </w:r>
      <w:r>
        <w:rPr>
          <w:rFonts w:hint="eastAsia" w:ascii="宋体"/>
          <w:szCs w:val="28"/>
        </w:rPr>
        <w:t>为满足该项目算力基础需求，医院需采购符合高性能、高兼容性、全链路国产化的</w:t>
      </w:r>
      <w:r>
        <w:rPr>
          <w:rFonts w:hint="eastAsia" w:ascii="宋体"/>
          <w:szCs w:val="28"/>
          <w:lang w:eastAsia="zh-CN"/>
        </w:rPr>
        <w:t>计算资源和集成</w:t>
      </w:r>
      <w:r>
        <w:rPr>
          <w:rFonts w:hint="eastAsia" w:ascii="宋体"/>
          <w:szCs w:val="28"/>
          <w:lang w:val="en-US" w:eastAsia="zh-CN"/>
        </w:rPr>
        <w:t>服务</w:t>
      </w:r>
      <w:r>
        <w:rPr>
          <w:rFonts w:hint="eastAsia" w:ascii="宋体"/>
          <w:szCs w:val="28"/>
        </w:rPr>
        <w:t>，为康复专科智慧化转型奠定技术基石。</w:t>
      </w:r>
    </w:p>
    <w:p w14:paraId="355C0685">
      <w:pPr>
        <w:pStyle w:val="20"/>
        <w:ind w:firstLine="420"/>
        <w:jc w:val="both"/>
        <w:rPr>
          <w:rFonts w:hint="eastAsia" w:hAnsi="宋体"/>
        </w:rPr>
      </w:pPr>
    </w:p>
    <w:p w14:paraId="2672F363">
      <w:pPr>
        <w:pStyle w:val="2"/>
        <w:rPr>
          <w:rFonts w:hint="eastAsia" w:ascii="宋体" w:hAnsi="宋体"/>
        </w:rPr>
      </w:pPr>
      <w:r>
        <w:rPr>
          <w:rFonts w:hint="eastAsia" w:ascii="宋体" w:hAnsi="宋体"/>
        </w:rPr>
        <w:t>本次采购内容</w:t>
      </w:r>
    </w:p>
    <w:p w14:paraId="657E0C53">
      <w:pPr>
        <w:pStyle w:val="4"/>
        <w:ind w:firstLine="480"/>
        <w:rPr>
          <w:rFonts w:hint="eastAsia" w:ascii="宋体" w:hAnsi="宋体"/>
        </w:rPr>
      </w:pPr>
      <w:r>
        <w:rPr>
          <w:rFonts w:hint="eastAsia" w:ascii="宋体" w:hAnsi="宋体"/>
        </w:rPr>
        <w:t>本项目采购的服务内容具体如下：</w:t>
      </w:r>
    </w:p>
    <w:tbl>
      <w:tblPr>
        <w:tblStyle w:val="16"/>
        <w:tblW w:w="8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1925"/>
        <w:gridCol w:w="4651"/>
        <w:gridCol w:w="690"/>
        <w:gridCol w:w="699"/>
      </w:tblGrid>
      <w:tr w14:paraId="02841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35" w:type="dxa"/>
            <w:shd w:val="clear" w:color="000000" w:fill="auto"/>
            <w:vAlign w:val="center"/>
          </w:tcPr>
          <w:p w14:paraId="2FABB2E1">
            <w:pPr>
              <w:widowControl/>
              <w:spacing w:line="240" w:lineRule="auto"/>
              <w:jc w:val="center"/>
              <w:rPr>
                <w:rFonts w:hint="eastAsia" w:ascii="宋体" w:hAnsi="宋体" w:cs="宋体"/>
                <w:b/>
                <w:bCs/>
                <w:kern w:val="0"/>
                <w:sz w:val="24"/>
                <w:szCs w:val="24"/>
              </w:rPr>
            </w:pPr>
            <w:r>
              <w:rPr>
                <w:rFonts w:hint="eastAsia" w:ascii="宋体" w:hAnsi="宋体" w:cs="宋体"/>
                <w:b/>
                <w:bCs/>
                <w:kern w:val="0"/>
                <w:sz w:val="24"/>
                <w:szCs w:val="24"/>
              </w:rPr>
              <w:t>序号</w:t>
            </w:r>
          </w:p>
        </w:tc>
        <w:tc>
          <w:tcPr>
            <w:tcW w:w="1925" w:type="dxa"/>
            <w:shd w:val="clear" w:color="000000" w:fill="auto"/>
            <w:vAlign w:val="center"/>
          </w:tcPr>
          <w:p w14:paraId="68FA3CB3">
            <w:pPr>
              <w:widowControl/>
              <w:spacing w:line="240" w:lineRule="auto"/>
              <w:jc w:val="center"/>
              <w:rPr>
                <w:rFonts w:hint="eastAsia" w:ascii="宋体" w:hAnsi="宋体" w:cs="宋体"/>
                <w:b/>
                <w:bCs/>
                <w:kern w:val="0"/>
                <w:sz w:val="24"/>
                <w:szCs w:val="24"/>
              </w:rPr>
            </w:pPr>
            <w:r>
              <w:rPr>
                <w:rFonts w:hint="eastAsia" w:ascii="宋体" w:hAnsi="宋体" w:cs="宋体"/>
                <w:b/>
                <w:bCs/>
                <w:kern w:val="0"/>
                <w:sz w:val="24"/>
                <w:szCs w:val="24"/>
              </w:rPr>
              <w:t>产品名称</w:t>
            </w:r>
          </w:p>
        </w:tc>
        <w:tc>
          <w:tcPr>
            <w:tcW w:w="4651" w:type="dxa"/>
            <w:shd w:val="clear" w:color="000000" w:fill="auto"/>
            <w:vAlign w:val="center"/>
          </w:tcPr>
          <w:p w14:paraId="62F78C7F">
            <w:pPr>
              <w:widowControl/>
              <w:spacing w:line="240" w:lineRule="auto"/>
              <w:jc w:val="center"/>
              <w:rPr>
                <w:rFonts w:hint="eastAsia" w:ascii="宋体" w:hAnsi="宋体" w:cs="宋体"/>
                <w:b/>
                <w:bCs/>
                <w:kern w:val="0"/>
                <w:sz w:val="24"/>
                <w:szCs w:val="24"/>
              </w:rPr>
            </w:pPr>
            <w:r>
              <w:rPr>
                <w:rFonts w:hint="eastAsia" w:ascii="宋体" w:hAnsi="宋体" w:cs="宋体"/>
                <w:b/>
                <w:bCs/>
                <w:kern w:val="0"/>
                <w:sz w:val="24"/>
                <w:szCs w:val="24"/>
              </w:rPr>
              <w:t>主要配置要求</w:t>
            </w:r>
          </w:p>
        </w:tc>
        <w:tc>
          <w:tcPr>
            <w:tcW w:w="690" w:type="dxa"/>
            <w:shd w:val="clear" w:color="000000" w:fill="auto"/>
            <w:vAlign w:val="center"/>
          </w:tcPr>
          <w:p w14:paraId="4DD5CC70">
            <w:pPr>
              <w:widowControl/>
              <w:spacing w:line="240" w:lineRule="auto"/>
              <w:jc w:val="center"/>
              <w:rPr>
                <w:rFonts w:hint="eastAsia" w:ascii="宋体" w:hAnsi="宋体" w:cs="宋体"/>
                <w:b/>
                <w:bCs/>
                <w:kern w:val="0"/>
                <w:sz w:val="24"/>
                <w:szCs w:val="24"/>
              </w:rPr>
            </w:pPr>
            <w:r>
              <w:rPr>
                <w:rFonts w:hint="eastAsia" w:ascii="宋体" w:hAnsi="宋体" w:cs="宋体"/>
                <w:b/>
                <w:bCs/>
                <w:kern w:val="0"/>
                <w:sz w:val="24"/>
                <w:szCs w:val="24"/>
              </w:rPr>
              <w:t>数量</w:t>
            </w:r>
          </w:p>
        </w:tc>
        <w:tc>
          <w:tcPr>
            <w:tcW w:w="699" w:type="dxa"/>
            <w:shd w:val="clear" w:color="000000" w:fill="auto"/>
            <w:vAlign w:val="center"/>
          </w:tcPr>
          <w:p w14:paraId="1E10B889">
            <w:pPr>
              <w:widowControl/>
              <w:spacing w:line="240" w:lineRule="auto"/>
              <w:jc w:val="center"/>
              <w:rPr>
                <w:rFonts w:hint="eastAsia" w:ascii="宋体" w:hAnsi="宋体" w:cs="宋体"/>
                <w:b/>
                <w:bCs/>
                <w:kern w:val="0"/>
                <w:sz w:val="24"/>
                <w:szCs w:val="24"/>
              </w:rPr>
            </w:pPr>
            <w:r>
              <w:rPr>
                <w:rFonts w:hint="eastAsia" w:ascii="宋体" w:hAnsi="宋体" w:cs="宋体"/>
                <w:b/>
                <w:bCs/>
                <w:kern w:val="0"/>
                <w:sz w:val="24"/>
                <w:szCs w:val="24"/>
              </w:rPr>
              <w:t>单位</w:t>
            </w:r>
          </w:p>
        </w:tc>
      </w:tr>
      <w:tr w14:paraId="4C8EE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835" w:type="dxa"/>
            <w:shd w:val="clear" w:color="000000" w:fill="auto"/>
            <w:vAlign w:val="center"/>
          </w:tcPr>
          <w:p w14:paraId="215BB89E">
            <w:pPr>
              <w:widowControl/>
              <w:spacing w:line="240" w:lineRule="auto"/>
              <w:jc w:val="center"/>
              <w:rPr>
                <w:rFonts w:hint="eastAsia" w:ascii="宋体" w:hAnsi="宋体" w:cs="宋体"/>
                <w:kern w:val="0"/>
                <w:sz w:val="24"/>
                <w:szCs w:val="24"/>
              </w:rPr>
            </w:pPr>
            <w:r>
              <w:rPr>
                <w:rFonts w:ascii="宋体" w:hAnsi="宋体" w:cs="宋体"/>
                <w:kern w:val="0"/>
                <w:sz w:val="24"/>
                <w:szCs w:val="24"/>
              </w:rPr>
              <w:t>1</w:t>
            </w:r>
          </w:p>
        </w:tc>
        <w:tc>
          <w:tcPr>
            <w:tcW w:w="1925" w:type="dxa"/>
            <w:shd w:val="clear" w:color="000000" w:fill="auto"/>
            <w:vAlign w:val="center"/>
          </w:tcPr>
          <w:p w14:paraId="56C65C04">
            <w:pPr>
              <w:widowControl/>
              <w:spacing w:line="240" w:lineRule="auto"/>
              <w:jc w:val="left"/>
              <w:rPr>
                <w:rFonts w:hint="eastAsia" w:ascii="宋体" w:hAnsi="宋体" w:cs="宋体"/>
                <w:kern w:val="0"/>
                <w:sz w:val="24"/>
                <w:szCs w:val="24"/>
              </w:rPr>
            </w:pPr>
            <w:r>
              <w:rPr>
                <w:rFonts w:hint="eastAsia" w:ascii="宋体" w:hAnsi="宋体" w:cs="宋体"/>
                <w:kern w:val="0"/>
                <w:sz w:val="24"/>
                <w:szCs w:val="24"/>
              </w:rPr>
              <w:t>AI算力服务器</w:t>
            </w:r>
          </w:p>
        </w:tc>
        <w:tc>
          <w:tcPr>
            <w:tcW w:w="4651" w:type="dxa"/>
            <w:shd w:val="clear" w:color="000000" w:fill="auto"/>
            <w:vAlign w:val="center"/>
          </w:tcPr>
          <w:p w14:paraId="1F549662">
            <w:pPr>
              <w:widowControl/>
              <w:spacing w:line="240" w:lineRule="auto"/>
              <w:jc w:val="left"/>
              <w:rPr>
                <w:rFonts w:hint="eastAsia" w:ascii="宋体" w:hAnsi="宋体" w:cs="宋体"/>
                <w:kern w:val="0"/>
                <w:sz w:val="24"/>
                <w:szCs w:val="24"/>
              </w:rPr>
            </w:pPr>
            <w:r>
              <w:rPr>
                <w:rFonts w:hint="eastAsia" w:ascii="宋体" w:hAnsi="宋体" w:cs="宋体"/>
                <w:kern w:val="0"/>
                <w:sz w:val="24"/>
                <w:szCs w:val="24"/>
              </w:rPr>
              <w:t>4U机架式服务器，2*2.5 SAS/SATA+6*2.5 NVMe硬盘机箱，含导轨；</w:t>
            </w:r>
          </w:p>
          <w:p w14:paraId="0B19E1D5">
            <w:pPr>
              <w:widowControl/>
              <w:spacing w:line="240" w:lineRule="auto"/>
              <w:jc w:val="left"/>
              <w:rPr>
                <w:rFonts w:hint="eastAsia" w:ascii="宋体" w:hAnsi="宋体" w:cs="宋体"/>
                <w:kern w:val="0"/>
                <w:sz w:val="24"/>
                <w:szCs w:val="24"/>
              </w:rPr>
            </w:pPr>
            <w:r>
              <w:rPr>
                <w:rFonts w:hint="eastAsia" w:ascii="宋体" w:hAnsi="宋体" w:cs="宋体"/>
                <w:kern w:val="0"/>
                <w:sz w:val="24"/>
                <w:szCs w:val="24"/>
              </w:rPr>
              <w:t>采用国产自主可控的CPU，配置数量不少于4颗，单颗核心数≥48，主频≥2.6GHz</w:t>
            </w:r>
          </w:p>
          <w:p w14:paraId="7AF94CA4">
            <w:pPr>
              <w:widowControl/>
              <w:spacing w:line="240" w:lineRule="auto"/>
              <w:jc w:val="left"/>
              <w:rPr>
                <w:rFonts w:hint="eastAsia" w:ascii="宋体" w:hAnsi="宋体" w:cs="宋体"/>
                <w:kern w:val="0"/>
                <w:sz w:val="24"/>
                <w:szCs w:val="24"/>
              </w:rPr>
            </w:pPr>
            <w:r>
              <w:rPr>
                <w:rFonts w:hint="eastAsia" w:ascii="宋体" w:hAnsi="宋体" w:cs="宋体"/>
                <w:kern w:val="0"/>
                <w:sz w:val="24"/>
                <w:szCs w:val="24"/>
              </w:rPr>
              <w:t>采用ECC DDR4 内存，总配置容量≥1024G，内存工作频率≥3200MHz，≥32个内存扩展插槽；</w:t>
            </w:r>
          </w:p>
          <w:p w14:paraId="48FE2C7C">
            <w:pPr>
              <w:widowControl/>
              <w:spacing w:line="240" w:lineRule="auto"/>
              <w:jc w:val="left"/>
              <w:rPr>
                <w:rFonts w:hint="eastAsia" w:ascii="宋体" w:hAnsi="宋体" w:cs="宋体"/>
                <w:kern w:val="0"/>
                <w:sz w:val="24"/>
                <w:szCs w:val="24"/>
              </w:rPr>
            </w:pPr>
            <w:r>
              <w:rPr>
                <w:rFonts w:hint="eastAsia" w:ascii="宋体" w:hAnsi="宋体" w:cs="宋体"/>
                <w:kern w:val="0"/>
                <w:sz w:val="24"/>
                <w:szCs w:val="24"/>
              </w:rPr>
              <w:t>配置≥8 颗  AI 芯片，8 路 AI 芯片互联总带宽≥390GB/s；单芯片内存：≥64GB HBM，芯片集成不少于200Gb接口能力，整机提供FP16≥2.2P FLOPS，FP32≥0.6PFLOPS算力，且单芯片提供FP16≥280T FLOPS以上算力。</w:t>
            </w:r>
          </w:p>
          <w:p w14:paraId="59FD6318">
            <w:pPr>
              <w:widowControl/>
              <w:spacing w:line="240" w:lineRule="auto"/>
              <w:jc w:val="left"/>
              <w:rPr>
                <w:rFonts w:hint="eastAsia" w:ascii="宋体" w:hAnsi="宋体" w:cs="宋体"/>
                <w:kern w:val="0"/>
                <w:sz w:val="24"/>
                <w:szCs w:val="24"/>
              </w:rPr>
            </w:pPr>
            <w:r>
              <w:rPr>
                <w:rFonts w:hint="eastAsia" w:ascii="宋体" w:hAnsi="宋体" w:cs="宋体"/>
                <w:kern w:val="0"/>
                <w:sz w:val="24"/>
                <w:szCs w:val="24"/>
              </w:rPr>
              <w:t>AI芯片内存采用≥64GB HBM；</w:t>
            </w:r>
          </w:p>
          <w:p w14:paraId="68CF6596">
            <w:pPr>
              <w:widowControl/>
              <w:spacing w:line="240" w:lineRule="auto"/>
              <w:jc w:val="left"/>
              <w:rPr>
                <w:rFonts w:hint="eastAsia" w:ascii="宋体" w:hAnsi="宋体" w:cs="宋体"/>
                <w:kern w:val="0"/>
                <w:sz w:val="24"/>
                <w:szCs w:val="24"/>
              </w:rPr>
            </w:pPr>
            <w:r>
              <w:rPr>
                <w:rFonts w:hint="eastAsia" w:ascii="宋体" w:hAnsi="宋体" w:cs="宋体"/>
                <w:kern w:val="0"/>
                <w:sz w:val="24"/>
                <w:szCs w:val="24"/>
              </w:rPr>
              <w:t>配置≥2*固态硬盘-480GB-SATA 6Gb/s-读取密集型-2.5英寸，</w:t>
            </w:r>
          </w:p>
          <w:p w14:paraId="77790B79">
            <w:pPr>
              <w:widowControl/>
              <w:spacing w:line="240" w:lineRule="auto"/>
              <w:jc w:val="left"/>
              <w:rPr>
                <w:rFonts w:hint="eastAsia" w:ascii="宋体" w:hAnsi="宋体" w:cs="宋体"/>
                <w:kern w:val="0"/>
                <w:sz w:val="24"/>
                <w:szCs w:val="24"/>
              </w:rPr>
            </w:pPr>
            <w:r>
              <w:rPr>
                <w:rFonts w:hint="eastAsia" w:ascii="宋体" w:hAnsi="宋体" w:cs="宋体"/>
                <w:kern w:val="0"/>
                <w:sz w:val="24"/>
                <w:szCs w:val="24"/>
              </w:rPr>
              <w:t>2*NVMe固态硬盘组件-3840GB-Gen4-读取密集型-2.5英寸；</w:t>
            </w:r>
          </w:p>
          <w:p w14:paraId="79BA14F1">
            <w:pPr>
              <w:widowControl/>
              <w:spacing w:line="240" w:lineRule="auto"/>
              <w:jc w:val="left"/>
              <w:rPr>
                <w:rFonts w:hint="eastAsia" w:ascii="宋体" w:hAnsi="宋体" w:cs="宋体"/>
                <w:kern w:val="0"/>
                <w:sz w:val="24"/>
                <w:szCs w:val="24"/>
              </w:rPr>
            </w:pPr>
            <w:r>
              <w:rPr>
                <w:rFonts w:hint="eastAsia" w:ascii="宋体" w:hAnsi="宋体" w:cs="宋体"/>
                <w:kern w:val="0"/>
                <w:sz w:val="24"/>
                <w:szCs w:val="24"/>
              </w:rPr>
              <w:t>配置1块独立磁盘阵列控制器，4G缓存，支持RAID 0/1/5/6/10/50/60等，支持超级电容边带管理；</w:t>
            </w:r>
          </w:p>
          <w:p w14:paraId="72C268A5">
            <w:pPr>
              <w:widowControl/>
              <w:spacing w:line="240" w:lineRule="auto"/>
              <w:jc w:val="left"/>
              <w:rPr>
                <w:rFonts w:hint="eastAsia" w:ascii="宋体" w:hAnsi="宋体" w:cs="宋体"/>
                <w:kern w:val="0"/>
                <w:sz w:val="24"/>
                <w:szCs w:val="24"/>
              </w:rPr>
            </w:pPr>
            <w:r>
              <w:rPr>
                <w:rFonts w:hint="eastAsia" w:ascii="宋体" w:hAnsi="宋体" w:cs="宋体"/>
                <w:kern w:val="0"/>
                <w:sz w:val="24"/>
                <w:szCs w:val="24"/>
              </w:rPr>
              <w:t>配置配置≥4口25GE光口网卡;≥8口200GE光口网卡，含配套的光模块配套光纤线缆；</w:t>
            </w:r>
          </w:p>
          <w:p w14:paraId="27356EF7">
            <w:pPr>
              <w:widowControl/>
              <w:spacing w:line="240" w:lineRule="auto"/>
              <w:jc w:val="left"/>
              <w:rPr>
                <w:rFonts w:hint="eastAsia" w:ascii="宋体" w:hAnsi="宋体" w:cs="宋体"/>
                <w:kern w:val="0"/>
                <w:sz w:val="24"/>
                <w:szCs w:val="24"/>
              </w:rPr>
            </w:pPr>
            <w:r>
              <w:rPr>
                <w:rFonts w:hint="eastAsia" w:ascii="宋体" w:hAnsi="宋体" w:cs="宋体"/>
                <w:kern w:val="0"/>
                <w:sz w:val="24"/>
                <w:szCs w:val="24"/>
              </w:rPr>
              <w:t>配置4块2600W交流电源模块，支持2+2冗余；</w:t>
            </w:r>
          </w:p>
          <w:p w14:paraId="47EEB84C">
            <w:pPr>
              <w:widowControl/>
              <w:spacing w:line="240" w:lineRule="auto"/>
              <w:jc w:val="left"/>
              <w:rPr>
                <w:rFonts w:hint="eastAsia" w:ascii="宋体" w:hAnsi="宋体" w:cs="宋体"/>
                <w:kern w:val="0"/>
                <w:sz w:val="24"/>
                <w:szCs w:val="24"/>
              </w:rPr>
            </w:pPr>
            <w:r>
              <w:rPr>
                <w:rFonts w:hint="eastAsia" w:ascii="宋体" w:hAnsi="宋体" w:cs="宋体"/>
                <w:kern w:val="0"/>
                <w:sz w:val="24"/>
                <w:szCs w:val="24"/>
              </w:rPr>
              <w:t>服务器硬件需提供三年售后维保服务；</w:t>
            </w:r>
          </w:p>
          <w:p w14:paraId="631DF5C8">
            <w:pPr>
              <w:widowControl/>
              <w:spacing w:line="240" w:lineRule="auto"/>
              <w:jc w:val="left"/>
              <w:rPr>
                <w:rFonts w:hint="eastAsia" w:ascii="宋体" w:hAnsi="宋体" w:cs="宋体"/>
                <w:kern w:val="0"/>
                <w:sz w:val="24"/>
                <w:szCs w:val="24"/>
              </w:rPr>
            </w:pPr>
            <w:r>
              <w:rPr>
                <w:rFonts w:hint="eastAsia" w:ascii="宋体" w:hAnsi="宋体" w:cs="宋体"/>
                <w:kern w:val="0"/>
                <w:sz w:val="24"/>
                <w:szCs w:val="24"/>
              </w:rPr>
              <w:t>需要提供针对本项目加盖公章授权书及售后服务承诺函。</w:t>
            </w:r>
          </w:p>
        </w:tc>
        <w:tc>
          <w:tcPr>
            <w:tcW w:w="690" w:type="dxa"/>
            <w:shd w:val="clear" w:color="000000" w:fill="auto"/>
            <w:vAlign w:val="center"/>
          </w:tcPr>
          <w:p w14:paraId="0F6ADAD7">
            <w:pPr>
              <w:widowControl/>
              <w:spacing w:line="240" w:lineRule="auto"/>
              <w:jc w:val="center"/>
              <w:rPr>
                <w:rFonts w:hint="eastAsia" w:ascii="宋体" w:hAnsi="宋体" w:cs="宋体"/>
                <w:kern w:val="0"/>
                <w:sz w:val="24"/>
                <w:szCs w:val="24"/>
              </w:rPr>
            </w:pPr>
            <w:r>
              <w:rPr>
                <w:rFonts w:hint="eastAsia" w:ascii="宋体" w:hAnsi="宋体" w:cs="宋体"/>
                <w:kern w:val="0"/>
                <w:sz w:val="24"/>
                <w:szCs w:val="24"/>
              </w:rPr>
              <w:t>1</w:t>
            </w:r>
          </w:p>
        </w:tc>
        <w:tc>
          <w:tcPr>
            <w:tcW w:w="699" w:type="dxa"/>
            <w:shd w:val="clear" w:color="000000" w:fill="auto"/>
            <w:vAlign w:val="center"/>
          </w:tcPr>
          <w:p w14:paraId="115A3423">
            <w:pPr>
              <w:widowControl/>
              <w:spacing w:line="240" w:lineRule="auto"/>
              <w:jc w:val="center"/>
              <w:rPr>
                <w:rFonts w:hint="eastAsia" w:ascii="宋体" w:hAnsi="宋体" w:cs="宋体"/>
                <w:kern w:val="0"/>
                <w:sz w:val="24"/>
                <w:szCs w:val="24"/>
              </w:rPr>
            </w:pPr>
            <w:r>
              <w:rPr>
                <w:rFonts w:hint="eastAsia" w:ascii="宋体" w:hAnsi="宋体" w:cs="宋体"/>
                <w:kern w:val="0"/>
                <w:sz w:val="24"/>
                <w:szCs w:val="24"/>
              </w:rPr>
              <w:t>台</w:t>
            </w:r>
          </w:p>
        </w:tc>
      </w:tr>
      <w:tr w14:paraId="5A2D7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shd w:val="clear" w:color="000000" w:fill="auto"/>
            <w:vAlign w:val="center"/>
          </w:tcPr>
          <w:p w14:paraId="31D00296">
            <w:pPr>
              <w:widowControl/>
              <w:spacing w:line="240" w:lineRule="auto"/>
              <w:jc w:val="center"/>
              <w:rPr>
                <w:rFonts w:hint="eastAsia" w:ascii="宋体" w:hAnsi="宋体" w:cs="宋体"/>
                <w:kern w:val="0"/>
                <w:sz w:val="24"/>
                <w:szCs w:val="24"/>
              </w:rPr>
            </w:pPr>
            <w:r>
              <w:rPr>
                <w:rFonts w:hint="eastAsia" w:ascii="宋体" w:hAnsi="宋体" w:cs="宋体"/>
                <w:kern w:val="0"/>
                <w:sz w:val="24"/>
                <w:szCs w:val="24"/>
              </w:rPr>
              <w:t>2</w:t>
            </w:r>
          </w:p>
        </w:tc>
        <w:tc>
          <w:tcPr>
            <w:tcW w:w="1925" w:type="dxa"/>
            <w:shd w:val="clear" w:color="000000" w:fill="auto"/>
            <w:vAlign w:val="center"/>
          </w:tcPr>
          <w:p w14:paraId="36534129">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集成服务</w:t>
            </w:r>
          </w:p>
        </w:tc>
        <w:tc>
          <w:tcPr>
            <w:tcW w:w="4651" w:type="dxa"/>
            <w:shd w:val="clear" w:color="000000" w:fill="auto"/>
          </w:tcPr>
          <w:p w14:paraId="40389405">
            <w:pPr>
              <w:widowControl/>
              <w:spacing w:line="240" w:lineRule="auto"/>
              <w:jc w:val="left"/>
              <w:rPr>
                <w:rFonts w:hint="eastAsia" w:ascii="宋体" w:hAnsi="宋体" w:cs="宋体"/>
                <w:kern w:val="0"/>
                <w:sz w:val="24"/>
                <w:szCs w:val="24"/>
              </w:rPr>
            </w:pPr>
            <w:r>
              <w:rPr>
                <w:rFonts w:hint="eastAsia" w:ascii="宋体" w:hAnsi="宋体" w:eastAsia="宋体" w:cs="宋体"/>
                <w:kern w:val="0"/>
                <w:sz w:val="24"/>
                <w:szCs w:val="24"/>
              </w:rPr>
              <w:t>完成本次采购所有内容的安装、调试服务，确保医院相关在用系统稳定运行。</w:t>
            </w:r>
          </w:p>
          <w:p w14:paraId="010758D0">
            <w:pPr>
              <w:widowControl/>
              <w:spacing w:line="240" w:lineRule="auto"/>
              <w:jc w:val="left"/>
              <w:rPr>
                <w:rFonts w:hint="eastAsia" w:ascii="宋体" w:hAnsi="宋体" w:eastAsia="宋体" w:cs="宋体"/>
                <w:kern w:val="0"/>
                <w:sz w:val="24"/>
                <w:szCs w:val="24"/>
              </w:rPr>
            </w:pPr>
            <w:r>
              <w:rPr>
                <w:rFonts w:hint="eastAsia" w:ascii="宋体" w:hAnsi="宋体" w:cs="宋体"/>
                <w:kern w:val="0"/>
                <w:sz w:val="24"/>
                <w:szCs w:val="24"/>
              </w:rPr>
              <w:t>集成服务期限为本项目终验后1年。</w:t>
            </w:r>
          </w:p>
        </w:tc>
        <w:tc>
          <w:tcPr>
            <w:tcW w:w="690" w:type="dxa"/>
            <w:shd w:val="clear" w:color="000000" w:fill="auto"/>
            <w:vAlign w:val="center"/>
          </w:tcPr>
          <w:p w14:paraId="3F219A81">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699" w:type="dxa"/>
            <w:shd w:val="clear" w:color="000000" w:fill="auto"/>
            <w:vAlign w:val="center"/>
          </w:tcPr>
          <w:p w14:paraId="6E81DDB0">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项</w:t>
            </w:r>
          </w:p>
        </w:tc>
      </w:tr>
    </w:tbl>
    <w:p w14:paraId="06D68B47">
      <w:pPr>
        <w:pStyle w:val="20"/>
        <w:ind w:firstLine="420"/>
        <w:jc w:val="both"/>
        <w:rPr>
          <w:rFonts w:hint="eastAsia" w:hAnsi="宋体"/>
        </w:rPr>
      </w:pPr>
    </w:p>
    <w:p w14:paraId="5295848B">
      <w:pPr>
        <w:pStyle w:val="2"/>
        <w:rPr>
          <w:rFonts w:hint="eastAsia" w:ascii="宋体" w:hAnsi="宋体"/>
        </w:rPr>
      </w:pPr>
      <w:r>
        <w:rPr>
          <w:rFonts w:hint="eastAsia" w:ascii="宋体" w:hAnsi="宋体"/>
        </w:rPr>
        <w:t>总体要求</w:t>
      </w:r>
    </w:p>
    <w:p w14:paraId="39B35621">
      <w:pPr>
        <w:pStyle w:val="19"/>
        <w:ind w:firstLine="480"/>
        <w:jc w:val="both"/>
        <w:rPr>
          <w:rFonts w:hint="eastAsia" w:ascii="宋体"/>
        </w:rPr>
      </w:pPr>
      <w:r>
        <w:rPr>
          <w:rFonts w:hint="eastAsia" w:ascii="宋体" w:hAnsi="宋体"/>
          <w:sz w:val="24"/>
          <w:szCs w:val="24"/>
        </w:rPr>
        <w:t>投标人提供的服务应具有良好的性能和扩展性，充分满足医院</w:t>
      </w:r>
      <w:r>
        <w:rPr>
          <w:rFonts w:ascii="宋体" w:hAnsi="宋体" w:cs="宋体"/>
          <w:sz w:val="24"/>
          <w:szCs w:val="24"/>
        </w:rPr>
        <w:t>面向功能障碍人群的“大模型+康复”智能患者服务</w:t>
      </w:r>
      <w:r>
        <w:rPr>
          <w:rFonts w:hint="eastAsia" w:ascii="宋体" w:hAnsi="宋体" w:cs="宋体"/>
          <w:sz w:val="24"/>
          <w:szCs w:val="24"/>
        </w:rPr>
        <w:t>的智算需求及后续系统扩展需求。具备良好的兼容性，可与医院现有信息化环境充分融合</w:t>
      </w:r>
      <w:r>
        <w:rPr>
          <w:rFonts w:hint="eastAsia" w:ascii="宋体"/>
        </w:rPr>
        <w:t>。</w:t>
      </w:r>
      <w:bookmarkStart w:id="0" w:name="_Hlk140824802"/>
    </w:p>
    <w:p w14:paraId="69B59CDC">
      <w:pPr>
        <w:pStyle w:val="19"/>
        <w:ind w:firstLine="480"/>
        <w:jc w:val="both"/>
        <w:rPr>
          <w:rFonts w:hint="eastAsia" w:ascii="宋体"/>
          <w:szCs w:val="28"/>
        </w:rPr>
      </w:pPr>
      <w:r>
        <w:rPr>
          <w:rFonts w:hint="eastAsia" w:ascii="宋体"/>
          <w:szCs w:val="28"/>
        </w:rPr>
        <w:t>投标人提供的服务应满足以下要求：</w:t>
      </w:r>
    </w:p>
    <w:p w14:paraId="538F6951">
      <w:pPr>
        <w:pStyle w:val="19"/>
        <w:ind w:firstLine="480"/>
        <w:jc w:val="both"/>
        <w:rPr>
          <w:rFonts w:hint="eastAsia" w:ascii="宋体"/>
        </w:rPr>
      </w:pPr>
      <w:r>
        <w:rPr>
          <w:rFonts w:hint="eastAsia" w:ascii="宋体"/>
        </w:rPr>
        <w:t>按时间节点完成</w:t>
      </w:r>
      <w:r>
        <w:rPr>
          <w:rFonts w:ascii="宋体"/>
        </w:rPr>
        <w:t>设备供货</w:t>
      </w:r>
      <w:r>
        <w:rPr>
          <w:rFonts w:hint="eastAsia" w:ascii="宋体"/>
        </w:rPr>
        <w:t>及到货验收；</w:t>
      </w:r>
    </w:p>
    <w:p w14:paraId="7AE9B7A8">
      <w:pPr>
        <w:pStyle w:val="19"/>
        <w:ind w:firstLine="480"/>
        <w:jc w:val="both"/>
        <w:rPr>
          <w:rFonts w:hint="eastAsia" w:ascii="宋体"/>
        </w:rPr>
      </w:pPr>
      <w:r>
        <w:rPr>
          <w:rFonts w:hint="eastAsia" w:ascii="宋体"/>
        </w:rPr>
        <w:t>完成设备的安装调试及</w:t>
      </w:r>
      <w:r>
        <w:rPr>
          <w:rFonts w:ascii="宋体"/>
        </w:rPr>
        <w:t>集成测试</w:t>
      </w:r>
      <w:r>
        <w:rPr>
          <w:rFonts w:hint="eastAsia" w:ascii="宋体"/>
        </w:rPr>
        <w:t>；</w:t>
      </w:r>
    </w:p>
    <w:p w14:paraId="1E591B69">
      <w:pPr>
        <w:pStyle w:val="19"/>
        <w:ind w:firstLine="480"/>
        <w:jc w:val="both"/>
        <w:rPr>
          <w:rFonts w:hint="eastAsia" w:ascii="宋体"/>
        </w:rPr>
      </w:pPr>
      <w:r>
        <w:rPr>
          <w:rFonts w:hint="eastAsia" w:ascii="宋体"/>
        </w:rPr>
        <w:t>完成设备搬迁、业务系统</w:t>
      </w:r>
      <w:r>
        <w:rPr>
          <w:rFonts w:ascii="宋体"/>
        </w:rPr>
        <w:t>迁移</w:t>
      </w:r>
      <w:r>
        <w:rPr>
          <w:rFonts w:hint="eastAsia" w:ascii="宋体"/>
        </w:rPr>
        <w:t>及数据迁移</w:t>
      </w:r>
    </w:p>
    <w:p w14:paraId="6C2E1D4A">
      <w:pPr>
        <w:pStyle w:val="19"/>
        <w:ind w:firstLine="480"/>
        <w:jc w:val="both"/>
        <w:rPr>
          <w:rFonts w:hint="eastAsia" w:ascii="宋体"/>
        </w:rPr>
      </w:pPr>
      <w:r>
        <w:rPr>
          <w:rFonts w:hint="eastAsia" w:ascii="宋体"/>
        </w:rPr>
        <w:t>提供产品</w:t>
      </w:r>
      <w:r>
        <w:rPr>
          <w:rFonts w:ascii="宋体"/>
        </w:rPr>
        <w:t>试运行、</w:t>
      </w:r>
      <w:r>
        <w:rPr>
          <w:rFonts w:hint="eastAsia" w:ascii="宋体"/>
        </w:rPr>
        <w:t>系统</w:t>
      </w:r>
      <w:r>
        <w:rPr>
          <w:rFonts w:ascii="宋体"/>
        </w:rPr>
        <w:t>上线支持、质保等服务。</w:t>
      </w:r>
    </w:p>
    <w:bookmarkEnd w:id="0"/>
    <w:p w14:paraId="6777EA49">
      <w:pPr>
        <w:pStyle w:val="6"/>
        <w:jc w:val="both"/>
        <w:rPr>
          <w:rFonts w:hint="eastAsia"/>
        </w:rPr>
      </w:pPr>
      <w:r>
        <w:rPr>
          <w:rFonts w:hint="eastAsia"/>
          <w:lang w:val="en-US" w:eastAsia="zh-CN"/>
        </w:rPr>
        <w:t>5.1</w:t>
      </w:r>
      <w:r>
        <w:rPr>
          <w:rFonts w:hint="eastAsia"/>
        </w:rPr>
        <w:t>招标技术参数</w:t>
      </w:r>
    </w:p>
    <w:p w14:paraId="09A60E0B">
      <w:pPr>
        <w:pStyle w:val="7"/>
        <w:rPr>
          <w:rFonts w:hint="eastAsia"/>
        </w:rPr>
      </w:pPr>
      <w:r>
        <w:rPr>
          <w:rFonts w:hint="eastAsia"/>
          <w:lang w:val="en-US" w:eastAsia="zh-CN"/>
        </w:rPr>
        <w:t>5.1.1</w:t>
      </w:r>
      <w:r>
        <w:rPr>
          <w:rFonts w:hint="eastAsia"/>
        </w:rPr>
        <w:t>整体要求</w:t>
      </w:r>
    </w:p>
    <w:tbl>
      <w:tblPr>
        <w:tblStyle w:val="16"/>
        <w:tblW w:w="4978" w:type="pct"/>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7168"/>
      </w:tblGrid>
      <w:tr w14:paraId="559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76" w:type="pct"/>
            <w:shd w:val="clear" w:color="auto" w:fill="D8D8D8" w:themeFill="background1" w:themeFillShade="D9"/>
            <w:vAlign w:val="center"/>
          </w:tcPr>
          <w:p w14:paraId="0369B167">
            <w:pPr>
              <w:jc w:val="center"/>
              <w:rPr>
                <w:rFonts w:hint="eastAsia" w:ascii="宋体" w:hAnsi="宋体"/>
                <w:sz w:val="24"/>
              </w:rPr>
            </w:pPr>
            <w:r>
              <w:rPr>
                <w:rFonts w:hint="eastAsia" w:ascii="宋体" w:hAnsi="宋体"/>
                <w:sz w:val="24"/>
              </w:rPr>
              <w:t>指标项</w:t>
            </w:r>
          </w:p>
        </w:tc>
        <w:tc>
          <w:tcPr>
            <w:tcW w:w="4223" w:type="pct"/>
            <w:shd w:val="clear" w:color="auto" w:fill="D8D8D8" w:themeFill="background1" w:themeFillShade="D9"/>
            <w:vAlign w:val="center"/>
          </w:tcPr>
          <w:p w14:paraId="3787E365">
            <w:pPr>
              <w:jc w:val="center"/>
              <w:rPr>
                <w:rFonts w:hint="eastAsia" w:ascii="宋体" w:hAnsi="宋体"/>
                <w:sz w:val="24"/>
              </w:rPr>
            </w:pPr>
            <w:r>
              <w:rPr>
                <w:rFonts w:hint="eastAsia" w:ascii="宋体" w:hAnsi="宋体"/>
                <w:sz w:val="24"/>
              </w:rPr>
              <w:t>技术规格要求</w:t>
            </w:r>
          </w:p>
        </w:tc>
      </w:tr>
      <w:tr w14:paraId="63972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6" w:type="pct"/>
            <w:vAlign w:val="center"/>
          </w:tcPr>
          <w:p w14:paraId="6E6ADFE7">
            <w:pPr>
              <w:jc w:val="center"/>
              <w:rPr>
                <w:rFonts w:hint="eastAsia" w:ascii="宋体" w:hAnsi="宋体"/>
                <w:sz w:val="24"/>
              </w:rPr>
            </w:pPr>
            <w:r>
              <w:rPr>
                <w:rFonts w:hint="eastAsia" w:ascii="宋体" w:hAnsi="宋体"/>
                <w:sz w:val="24"/>
              </w:rPr>
              <w:t>整体要求</w:t>
            </w:r>
          </w:p>
        </w:tc>
        <w:tc>
          <w:tcPr>
            <w:tcW w:w="4223" w:type="pct"/>
            <w:vAlign w:val="center"/>
          </w:tcPr>
          <w:p w14:paraId="72B2C4A6">
            <w:pPr>
              <w:numPr>
                <w:ilvl w:val="-1"/>
                <w:numId w:val="0"/>
              </w:numPr>
              <w:rPr>
                <w:rFonts w:hint="eastAsia" w:ascii="宋体" w:hAnsi="宋体"/>
                <w:sz w:val="24"/>
                <w:highlight w:val="none"/>
              </w:rPr>
            </w:pPr>
            <w:r>
              <w:rPr>
                <w:rFonts w:hint="eastAsia" w:ascii="宋体" w:hAnsi="宋体"/>
                <w:sz w:val="24"/>
                <w:highlight w:val="none"/>
              </w:rPr>
              <w:t>需包括但不限于如下内容：</w:t>
            </w:r>
          </w:p>
          <w:p w14:paraId="5E098352">
            <w:pPr>
              <w:numPr>
                <w:ilvl w:val="-1"/>
                <w:numId w:val="0"/>
              </w:numPr>
              <w:rPr>
                <w:rFonts w:hint="eastAsia" w:ascii="宋体" w:hAnsi="宋体"/>
                <w:sz w:val="24"/>
                <w:highlight w:val="none"/>
                <w:lang w:val="en-US" w:eastAsia="zh-CN"/>
              </w:rPr>
            </w:pPr>
            <w:r>
              <w:rPr>
                <w:rFonts w:hint="eastAsia" w:ascii="宋体" w:hAnsi="宋体"/>
                <w:sz w:val="24"/>
                <w:highlight w:val="none"/>
                <w:lang w:eastAsia="zh-CN"/>
              </w:rPr>
              <w:t>（</w:t>
            </w:r>
            <w:r>
              <w:rPr>
                <w:rFonts w:hint="eastAsia" w:ascii="宋体" w:hAnsi="宋体"/>
                <w:sz w:val="24"/>
                <w:highlight w:val="none"/>
                <w:lang w:val="en-US" w:eastAsia="zh-CN"/>
              </w:rPr>
              <w:t>1</w:t>
            </w:r>
            <w:r>
              <w:rPr>
                <w:rFonts w:hint="eastAsia" w:ascii="宋体" w:hAnsi="宋体"/>
                <w:sz w:val="24"/>
                <w:highlight w:val="none"/>
                <w:lang w:eastAsia="zh-CN"/>
              </w:rPr>
              <w:t>）</w:t>
            </w:r>
            <w:r>
              <w:rPr>
                <w:rFonts w:hint="eastAsia" w:ascii="宋体" w:hAnsi="宋体"/>
                <w:sz w:val="24"/>
                <w:highlight w:val="none"/>
                <w:lang w:val="en-US" w:eastAsia="zh-CN"/>
              </w:rPr>
              <w:t>本项目建成后，能够支持</w:t>
            </w:r>
            <w:r>
              <w:rPr>
                <w:rFonts w:hint="eastAsia" w:ascii="宋体" w:hAnsi="宋体"/>
                <w:sz w:val="24"/>
                <w:highlight w:val="none"/>
              </w:rPr>
              <w:t>“大模型+康复”智能患者服务</w:t>
            </w:r>
            <w:r>
              <w:rPr>
                <w:rFonts w:hint="eastAsia" w:ascii="宋体" w:hAnsi="宋体"/>
                <w:sz w:val="24"/>
                <w:highlight w:val="none"/>
                <w:lang w:val="en-US" w:eastAsia="zh-CN"/>
              </w:rPr>
              <w:t xml:space="preserve">的三大场景应用所需的基础环境：面向残疾人提供健康管理与生活重建服务；面向门诊康复患者提供智能诊疗服务；面向住院康复患者提供智能化住院康复服务。 </w:t>
            </w:r>
          </w:p>
          <w:p w14:paraId="1F58B796">
            <w:pPr>
              <w:numPr>
                <w:ilvl w:val="-1"/>
                <w:numId w:val="0"/>
              </w:numPr>
              <w:rPr>
                <w:rFonts w:hint="eastAsia" w:ascii="宋体" w:hAnsi="宋体"/>
                <w:sz w:val="24"/>
                <w:highlight w:val="none"/>
                <w:lang w:val="en-US" w:eastAsia="zh-CN"/>
              </w:rPr>
            </w:pPr>
            <w:r>
              <w:rPr>
                <w:rFonts w:hint="eastAsia" w:ascii="宋体" w:hAnsi="宋体"/>
                <w:sz w:val="24"/>
                <w:highlight w:val="none"/>
                <w:lang w:eastAsia="zh-CN"/>
              </w:rPr>
              <w:t>（</w:t>
            </w:r>
            <w:r>
              <w:rPr>
                <w:rFonts w:hint="eastAsia" w:ascii="宋体" w:hAnsi="宋体"/>
                <w:sz w:val="24"/>
                <w:highlight w:val="none"/>
                <w:lang w:val="en-US" w:eastAsia="zh-CN"/>
              </w:rPr>
              <w:t>2</w:t>
            </w:r>
            <w:r>
              <w:rPr>
                <w:rFonts w:hint="eastAsia" w:ascii="宋体" w:hAnsi="宋体"/>
                <w:sz w:val="24"/>
                <w:highlight w:val="none"/>
                <w:lang w:eastAsia="zh-CN"/>
              </w:rPr>
              <w:t>）</w:t>
            </w:r>
            <w:r>
              <w:rPr>
                <w:rFonts w:hint="eastAsia" w:ascii="宋体" w:hAnsi="宋体"/>
                <w:sz w:val="24"/>
                <w:highlight w:val="none"/>
                <w:lang w:val="en-US" w:eastAsia="zh-CN"/>
              </w:rPr>
              <w:t>本系统的算力架构应包含以下内容：</w:t>
            </w:r>
          </w:p>
          <w:p w14:paraId="4EEDA66D">
            <w:pPr>
              <w:numPr>
                <w:ilvl w:val="0"/>
                <w:numId w:val="2"/>
              </w:numPr>
              <w:ind w:left="420" w:hanging="420"/>
              <w:rPr>
                <w:rFonts w:hint="default" w:ascii="宋体" w:hAnsi="宋体"/>
                <w:sz w:val="24"/>
                <w:highlight w:val="none"/>
                <w:lang w:val="en-US" w:eastAsia="zh-CN"/>
              </w:rPr>
            </w:pPr>
            <w:r>
              <w:rPr>
                <w:rFonts w:hint="default" w:ascii="宋体" w:hAnsi="宋体"/>
                <w:sz w:val="24"/>
                <w:highlight w:val="none"/>
                <w:lang w:val="en-US" w:eastAsia="zh-CN"/>
              </w:rPr>
              <w:t>基础设施层：作为算力底座，包含 CPU、GPU节点及高速网络，为上层提供基础硬件支撑。</w:t>
            </w:r>
          </w:p>
          <w:p w14:paraId="5805DB74">
            <w:pPr>
              <w:numPr>
                <w:ilvl w:val="0"/>
                <w:numId w:val="2"/>
              </w:numPr>
              <w:ind w:left="420" w:hanging="420"/>
              <w:rPr>
                <w:rFonts w:hint="default" w:ascii="宋体" w:hAnsi="宋体"/>
                <w:sz w:val="24"/>
                <w:highlight w:val="none"/>
                <w:lang w:val="en-US" w:eastAsia="zh-CN"/>
              </w:rPr>
            </w:pPr>
            <w:r>
              <w:rPr>
                <w:rFonts w:hint="default" w:ascii="宋体" w:hAnsi="宋体"/>
                <w:sz w:val="24"/>
                <w:highlight w:val="none"/>
                <w:lang w:val="en-US" w:eastAsia="zh-CN"/>
              </w:rPr>
              <w:t>虚拟化层：基于Docker容器编排实现硬件资源的抽象与灵活分配，支持多环境部署。</w:t>
            </w:r>
          </w:p>
          <w:p w14:paraId="716D9999">
            <w:pPr>
              <w:numPr>
                <w:ilvl w:val="0"/>
                <w:numId w:val="2"/>
              </w:numPr>
              <w:ind w:left="420" w:hanging="420"/>
              <w:rPr>
                <w:rFonts w:hint="default" w:ascii="宋体" w:hAnsi="宋体"/>
                <w:sz w:val="24"/>
                <w:highlight w:val="none"/>
                <w:lang w:val="en-US" w:eastAsia="zh-CN"/>
              </w:rPr>
            </w:pPr>
            <w:r>
              <w:rPr>
                <w:rFonts w:hint="default" w:ascii="宋体" w:hAnsi="宋体"/>
                <w:sz w:val="24"/>
                <w:highlight w:val="none"/>
                <w:lang w:val="en-US" w:eastAsia="zh-CN"/>
              </w:rPr>
              <w:t>应用支撑层：集成 AI 中台框架和微服务中间件，为业务应用提供高效算力接口与工具链。</w:t>
            </w:r>
          </w:p>
          <w:p w14:paraId="773C7467">
            <w:pPr>
              <w:numPr>
                <w:ilvl w:val="0"/>
                <w:numId w:val="2"/>
              </w:numPr>
              <w:ind w:left="420" w:hanging="420"/>
              <w:rPr>
                <w:rFonts w:hint="eastAsia" w:ascii="宋体" w:hAnsi="宋体"/>
                <w:sz w:val="24"/>
                <w:highlight w:val="none"/>
                <w:lang w:val="en-US" w:eastAsia="zh-CN"/>
              </w:rPr>
            </w:pPr>
            <w:r>
              <w:rPr>
                <w:rFonts w:hint="default" w:ascii="宋体" w:hAnsi="宋体"/>
                <w:sz w:val="24"/>
                <w:highlight w:val="none"/>
                <w:lang w:val="en-US" w:eastAsia="zh-CN"/>
              </w:rPr>
              <w:t>业务应用层：针对智慧医疗场景，包含残疾人、门诊、住院等定制化搭建智能体，满足多样化医疗业务的场景需求。</w:t>
            </w:r>
          </w:p>
          <w:p w14:paraId="57FC365A">
            <w:pPr>
              <w:numPr>
                <w:ilvl w:val="-1"/>
                <w:numId w:val="0"/>
              </w:numPr>
              <w:ind w:firstLine="480" w:firstLineChars="200"/>
              <w:rPr>
                <w:rFonts w:hint="default" w:ascii="宋体" w:hAnsi="宋体"/>
                <w:sz w:val="24"/>
                <w:highlight w:val="none"/>
                <w:lang w:val="en-US" w:eastAsia="zh-CN"/>
              </w:rPr>
            </w:pPr>
            <w:r>
              <w:rPr>
                <w:rFonts w:hint="eastAsia" w:ascii="宋体" w:hAnsi="宋体"/>
                <w:sz w:val="24"/>
                <w:highlight w:val="none"/>
                <w:lang w:val="en-US" w:eastAsia="zh-CN"/>
              </w:rPr>
              <w:t>投标方应</w:t>
            </w:r>
            <w:r>
              <w:rPr>
                <w:rFonts w:hint="eastAsia" w:ascii="宋体" w:hAnsi="宋体"/>
                <w:sz w:val="24"/>
                <w:highlight w:val="none"/>
              </w:rPr>
              <w:t>针对上海市养志康复医院实际需求的人工智能大模型应用场景</w:t>
            </w:r>
            <w:r>
              <w:rPr>
                <w:rFonts w:hint="eastAsia" w:ascii="宋体" w:hAnsi="宋体"/>
                <w:sz w:val="24"/>
                <w:highlight w:val="none"/>
                <w:lang w:eastAsia="zh-CN"/>
              </w:rPr>
              <w:t>，</w:t>
            </w:r>
            <w:r>
              <w:rPr>
                <w:rFonts w:hint="eastAsia" w:ascii="宋体" w:hAnsi="宋体"/>
                <w:sz w:val="24"/>
                <w:highlight w:val="none"/>
              </w:rPr>
              <w:t>详细描述</w:t>
            </w:r>
            <w:r>
              <w:rPr>
                <w:rFonts w:hint="eastAsia" w:ascii="宋体" w:hAnsi="宋体"/>
                <w:sz w:val="24"/>
                <w:highlight w:val="none"/>
                <w:lang w:val="en-US" w:eastAsia="zh-CN"/>
              </w:rPr>
              <w:t>系统架构设计以及相关策略，</w:t>
            </w:r>
            <w:r>
              <w:rPr>
                <w:rFonts w:ascii="宋体" w:hAnsi="宋体"/>
                <w:sz w:val="24"/>
                <w:highlight w:val="none"/>
              </w:rPr>
              <w:t>并对</w:t>
            </w:r>
            <w:r>
              <w:rPr>
                <w:rFonts w:hint="eastAsia" w:ascii="宋体" w:hAnsi="宋体"/>
                <w:sz w:val="24"/>
                <w:highlight w:val="none"/>
                <w:lang w:val="en-US" w:eastAsia="zh-CN"/>
              </w:rPr>
              <w:t>关键技术和</w:t>
            </w:r>
            <w:r>
              <w:rPr>
                <w:rFonts w:ascii="宋体" w:hAnsi="宋体"/>
                <w:sz w:val="24"/>
                <w:highlight w:val="none"/>
              </w:rPr>
              <w:t>相关配置进行说明</w:t>
            </w:r>
            <w:r>
              <w:rPr>
                <w:rFonts w:hint="eastAsia" w:ascii="宋体" w:hAnsi="宋体"/>
                <w:sz w:val="24"/>
                <w:highlight w:val="none"/>
                <w:lang w:eastAsia="zh-CN"/>
              </w:rPr>
              <w:t>。</w:t>
            </w:r>
          </w:p>
          <w:p w14:paraId="575A6D2E">
            <w:pPr>
              <w:numPr>
                <w:ilvl w:val="-1"/>
                <w:numId w:val="0"/>
              </w:numPr>
              <w:rPr>
                <w:rFonts w:hint="default" w:ascii="宋体" w:hAnsi="宋体"/>
                <w:sz w:val="24"/>
                <w:highlight w:val="none"/>
                <w:lang w:val="en-US"/>
              </w:rPr>
            </w:pPr>
            <w:r>
              <w:rPr>
                <w:rFonts w:hint="eastAsia" w:ascii="宋体" w:hAnsi="宋体"/>
                <w:sz w:val="24"/>
                <w:highlight w:val="none"/>
                <w:lang w:val="en-US" w:eastAsia="zh-CN"/>
              </w:rPr>
              <w:t>（3）提供算力系统的安全设计说明。</w:t>
            </w:r>
          </w:p>
          <w:p w14:paraId="092E0338">
            <w:pPr>
              <w:numPr>
                <w:ilvl w:val="-1"/>
                <w:numId w:val="0"/>
              </w:numPr>
              <w:rPr>
                <w:rFonts w:hint="eastAsia" w:ascii="宋体" w:hAnsi="宋体"/>
                <w:sz w:val="24"/>
                <w:highlight w:val="none"/>
              </w:rPr>
            </w:pPr>
            <w:r>
              <w:rPr>
                <w:rFonts w:hint="eastAsia" w:ascii="宋体" w:hAnsi="宋体"/>
                <w:sz w:val="24"/>
                <w:highlight w:val="none"/>
                <w:lang w:val="en-US" w:eastAsia="zh-CN"/>
              </w:rPr>
              <w:t>（4）提供算力系统的拓展性，兼容性相关设计说明。</w:t>
            </w:r>
          </w:p>
        </w:tc>
      </w:tr>
      <w:tr w14:paraId="4647D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6" w:type="pct"/>
            <w:vAlign w:val="center"/>
          </w:tcPr>
          <w:p w14:paraId="0806516F">
            <w:pPr>
              <w:jc w:val="center"/>
              <w:rPr>
                <w:rFonts w:hint="eastAsia" w:ascii="宋体" w:hAnsi="宋体"/>
                <w:sz w:val="24"/>
              </w:rPr>
            </w:pPr>
            <w:r>
              <w:rPr>
                <w:rFonts w:hint="eastAsia" w:ascii="宋体" w:hAnsi="宋体"/>
                <w:sz w:val="24"/>
              </w:rPr>
              <w:t>技术方案</w:t>
            </w:r>
          </w:p>
        </w:tc>
        <w:tc>
          <w:tcPr>
            <w:tcW w:w="4223" w:type="pct"/>
            <w:vAlign w:val="center"/>
          </w:tcPr>
          <w:p w14:paraId="1E4B5ACF">
            <w:pPr>
              <w:rPr>
                <w:rFonts w:hint="eastAsia" w:ascii="宋体" w:hAnsi="宋体"/>
                <w:sz w:val="24"/>
              </w:rPr>
            </w:pPr>
            <w:r>
              <w:rPr>
                <w:rFonts w:hint="eastAsia" w:ascii="宋体" w:hAnsi="宋体"/>
                <w:sz w:val="24"/>
              </w:rPr>
              <w:t>需提供构建符合上海市养志康复医院实际需求的专业大模型知识库构建方案。</w:t>
            </w:r>
          </w:p>
        </w:tc>
      </w:tr>
      <w:tr w14:paraId="02AF1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6" w:type="pct"/>
            <w:vAlign w:val="center"/>
          </w:tcPr>
          <w:p w14:paraId="20EC7C0B">
            <w:pPr>
              <w:jc w:val="center"/>
              <w:rPr>
                <w:rFonts w:hint="eastAsia" w:ascii="宋体" w:hAnsi="宋体"/>
                <w:sz w:val="24"/>
              </w:rPr>
            </w:pPr>
            <w:r>
              <w:rPr>
                <w:rFonts w:hint="eastAsia" w:ascii="宋体" w:hAnsi="宋体"/>
                <w:sz w:val="24"/>
              </w:rPr>
              <w:t>服务要求</w:t>
            </w:r>
          </w:p>
        </w:tc>
        <w:tc>
          <w:tcPr>
            <w:tcW w:w="4223" w:type="pct"/>
            <w:vAlign w:val="center"/>
          </w:tcPr>
          <w:p w14:paraId="1FF70B5B">
            <w:pPr>
              <w:rPr>
                <w:rFonts w:hint="eastAsia" w:ascii="宋体" w:hAnsi="宋体"/>
                <w:sz w:val="24"/>
              </w:rPr>
            </w:pPr>
            <w:r>
              <w:rPr>
                <w:rFonts w:hint="eastAsia" w:ascii="宋体" w:hAnsi="宋体"/>
                <w:sz w:val="24"/>
              </w:rPr>
              <w:t>提供算力运维工程师一年驻场服务</w:t>
            </w:r>
          </w:p>
        </w:tc>
      </w:tr>
    </w:tbl>
    <w:p w14:paraId="1363DB70">
      <w:pPr>
        <w:pStyle w:val="7"/>
        <w:rPr>
          <w:rFonts w:hint="eastAsia" w:ascii="宋体" w:hAnsi="宋体"/>
          <w:b/>
          <w:bCs/>
          <w:sz w:val="28"/>
        </w:rPr>
      </w:pPr>
      <w:r>
        <w:rPr>
          <w:rFonts w:hint="eastAsia"/>
          <w:b/>
          <w:bCs/>
          <w:sz w:val="28"/>
          <w:lang w:val="en-US" w:eastAsia="zh-CN"/>
        </w:rPr>
        <w:t>5.1.2</w:t>
      </w:r>
      <w:r>
        <w:rPr>
          <w:rFonts w:hint="eastAsia" w:ascii="宋体" w:hAnsi="宋体"/>
          <w:b/>
          <w:bCs/>
          <w:sz w:val="28"/>
        </w:rPr>
        <w:t>服务器</w:t>
      </w:r>
    </w:p>
    <w:tbl>
      <w:tblPr>
        <w:tblStyle w:val="16"/>
        <w:tblW w:w="5000" w:type="pct"/>
        <w:tblInd w:w="0" w:type="dxa"/>
        <w:tblLayout w:type="autofit"/>
        <w:tblCellMar>
          <w:top w:w="0" w:type="dxa"/>
          <w:left w:w="108" w:type="dxa"/>
          <w:bottom w:w="0" w:type="dxa"/>
          <w:right w:w="108" w:type="dxa"/>
        </w:tblCellMar>
      </w:tblPr>
      <w:tblGrid>
        <w:gridCol w:w="1306"/>
        <w:gridCol w:w="7216"/>
      </w:tblGrid>
      <w:tr w14:paraId="38C39FAF">
        <w:tblPrEx>
          <w:tblCellMar>
            <w:top w:w="0" w:type="dxa"/>
            <w:left w:w="108" w:type="dxa"/>
            <w:bottom w:w="0" w:type="dxa"/>
            <w:right w:w="108" w:type="dxa"/>
          </w:tblCellMar>
        </w:tblPrEx>
        <w:trPr>
          <w:trHeight w:val="315" w:hRule="atLeast"/>
        </w:trPr>
        <w:tc>
          <w:tcPr>
            <w:tcW w:w="766" w:type="pc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787CC31">
            <w:pPr>
              <w:jc w:val="center"/>
              <w:rPr>
                <w:rFonts w:hint="eastAsia" w:ascii="宋体" w:hAnsi="宋体"/>
                <w:sz w:val="24"/>
              </w:rPr>
            </w:pPr>
            <w:r>
              <w:rPr>
                <w:rFonts w:hint="eastAsia" w:ascii="宋体" w:hAnsi="宋体"/>
                <w:sz w:val="24"/>
              </w:rPr>
              <w:t>指标项</w:t>
            </w:r>
          </w:p>
        </w:tc>
        <w:tc>
          <w:tcPr>
            <w:tcW w:w="4233" w:type="pct"/>
            <w:tcBorders>
              <w:top w:val="single" w:color="auto" w:sz="4" w:space="0"/>
              <w:left w:val="nil"/>
              <w:bottom w:val="single" w:color="auto" w:sz="4" w:space="0"/>
              <w:right w:val="single" w:color="auto" w:sz="4" w:space="0"/>
            </w:tcBorders>
            <w:shd w:val="clear" w:color="auto" w:fill="BEBEBE" w:themeFill="background1" w:themeFillShade="BF"/>
            <w:vAlign w:val="center"/>
          </w:tcPr>
          <w:p w14:paraId="3C72A2DF">
            <w:pPr>
              <w:jc w:val="center"/>
              <w:rPr>
                <w:rFonts w:hint="eastAsia" w:ascii="宋体" w:hAnsi="宋体"/>
                <w:sz w:val="24"/>
              </w:rPr>
            </w:pPr>
            <w:r>
              <w:rPr>
                <w:rFonts w:hint="eastAsia" w:ascii="宋体" w:hAnsi="宋体"/>
                <w:sz w:val="24"/>
              </w:rPr>
              <w:t>技术规格要求</w:t>
            </w:r>
          </w:p>
        </w:tc>
      </w:tr>
      <w:tr w14:paraId="65490FD6">
        <w:tblPrEx>
          <w:tblCellMar>
            <w:top w:w="0" w:type="dxa"/>
            <w:left w:w="108" w:type="dxa"/>
            <w:bottom w:w="0" w:type="dxa"/>
            <w:right w:w="108" w:type="dxa"/>
          </w:tblCellMar>
        </w:tblPrEx>
        <w:trPr>
          <w:trHeight w:val="315" w:hRule="atLeast"/>
        </w:trPr>
        <w:tc>
          <w:tcPr>
            <w:tcW w:w="766" w:type="pct"/>
            <w:tcBorders>
              <w:top w:val="nil"/>
              <w:left w:val="single" w:color="auto" w:sz="4" w:space="0"/>
              <w:bottom w:val="single" w:color="auto" w:sz="4" w:space="0"/>
              <w:right w:val="single" w:color="auto" w:sz="4" w:space="0"/>
            </w:tcBorders>
            <w:vAlign w:val="center"/>
          </w:tcPr>
          <w:p w14:paraId="3798B4C7">
            <w:pPr>
              <w:jc w:val="center"/>
              <w:rPr>
                <w:rFonts w:hint="eastAsia" w:ascii="宋体" w:hAnsi="宋体"/>
                <w:sz w:val="24"/>
              </w:rPr>
            </w:pPr>
            <w:r>
              <w:rPr>
                <w:rFonts w:hint="eastAsia" w:ascii="宋体" w:hAnsi="宋体"/>
                <w:sz w:val="24"/>
              </w:rPr>
              <w:t>总体要求</w:t>
            </w:r>
          </w:p>
        </w:tc>
        <w:tc>
          <w:tcPr>
            <w:tcW w:w="4233" w:type="pct"/>
            <w:tcBorders>
              <w:top w:val="nil"/>
              <w:left w:val="nil"/>
              <w:bottom w:val="single" w:color="auto" w:sz="4" w:space="0"/>
              <w:right w:val="single" w:color="auto" w:sz="4" w:space="0"/>
            </w:tcBorders>
            <w:vAlign w:val="center"/>
          </w:tcPr>
          <w:p w14:paraId="610925B6">
            <w:pPr>
              <w:rPr>
                <w:rFonts w:hint="eastAsia" w:ascii="宋体" w:hAnsi="宋体" w:eastAsia="宋体"/>
                <w:sz w:val="24"/>
                <w:lang w:eastAsia="zh-CN"/>
              </w:rPr>
            </w:pPr>
            <w:r>
              <w:rPr>
                <w:rFonts w:hint="eastAsia" w:ascii="宋体" w:hAnsi="宋体"/>
                <w:sz w:val="24"/>
              </w:rPr>
              <w:t>国产品牌，自主研发</w:t>
            </w:r>
            <w:r>
              <w:rPr>
                <w:rFonts w:hint="eastAsia" w:ascii="宋体" w:hAnsi="宋体"/>
                <w:sz w:val="24"/>
                <w:lang w:eastAsia="zh-CN"/>
              </w:rPr>
              <w:t>；</w:t>
            </w:r>
          </w:p>
        </w:tc>
      </w:tr>
      <w:tr w14:paraId="1F4D9D8C">
        <w:tblPrEx>
          <w:tblCellMar>
            <w:top w:w="0" w:type="dxa"/>
            <w:left w:w="108" w:type="dxa"/>
            <w:bottom w:w="0" w:type="dxa"/>
            <w:right w:w="108" w:type="dxa"/>
          </w:tblCellMar>
        </w:tblPrEx>
        <w:trPr>
          <w:trHeight w:val="315" w:hRule="atLeast"/>
        </w:trPr>
        <w:tc>
          <w:tcPr>
            <w:tcW w:w="766" w:type="pct"/>
            <w:tcBorders>
              <w:top w:val="nil"/>
              <w:left w:val="single" w:color="auto" w:sz="4" w:space="0"/>
              <w:bottom w:val="single" w:color="auto" w:sz="4" w:space="0"/>
              <w:right w:val="single" w:color="auto" w:sz="4" w:space="0"/>
            </w:tcBorders>
            <w:vAlign w:val="center"/>
          </w:tcPr>
          <w:p w14:paraId="01A46AE8">
            <w:pPr>
              <w:jc w:val="center"/>
              <w:rPr>
                <w:rFonts w:hint="eastAsia" w:ascii="宋体" w:hAnsi="宋体"/>
                <w:sz w:val="24"/>
              </w:rPr>
            </w:pPr>
            <w:r>
              <w:rPr>
                <w:rFonts w:hint="eastAsia" w:ascii="宋体" w:hAnsi="宋体"/>
                <w:sz w:val="24"/>
              </w:rPr>
              <w:t>规格</w:t>
            </w:r>
          </w:p>
        </w:tc>
        <w:tc>
          <w:tcPr>
            <w:tcW w:w="4233" w:type="pct"/>
            <w:tcBorders>
              <w:top w:val="nil"/>
              <w:left w:val="nil"/>
              <w:bottom w:val="single" w:color="auto" w:sz="4" w:space="0"/>
              <w:right w:val="single" w:color="auto" w:sz="4" w:space="0"/>
            </w:tcBorders>
            <w:vAlign w:val="center"/>
          </w:tcPr>
          <w:p w14:paraId="14BB4571">
            <w:pPr>
              <w:rPr>
                <w:rFonts w:hint="eastAsia" w:ascii="宋体" w:hAnsi="宋体" w:eastAsia="宋体"/>
                <w:sz w:val="24"/>
                <w:lang w:eastAsia="zh-CN"/>
              </w:rPr>
            </w:pPr>
            <w:r>
              <w:rPr>
                <w:rFonts w:hint="eastAsia" w:ascii="宋体" w:hAnsi="宋体"/>
                <w:sz w:val="24"/>
              </w:rPr>
              <w:t>4U机架式服务器，2*2.5 SAS/SATA+6*2.5 NVMe硬盘机箱，含导轨</w:t>
            </w:r>
            <w:r>
              <w:rPr>
                <w:rFonts w:hint="eastAsia" w:ascii="宋体" w:hAnsi="宋体"/>
                <w:sz w:val="24"/>
                <w:lang w:eastAsia="zh-CN"/>
              </w:rPr>
              <w:t>；</w:t>
            </w:r>
          </w:p>
        </w:tc>
      </w:tr>
      <w:tr w14:paraId="41AB8DC8">
        <w:tblPrEx>
          <w:tblCellMar>
            <w:top w:w="0" w:type="dxa"/>
            <w:left w:w="108" w:type="dxa"/>
            <w:bottom w:w="0" w:type="dxa"/>
            <w:right w:w="108" w:type="dxa"/>
          </w:tblCellMar>
        </w:tblPrEx>
        <w:trPr>
          <w:trHeight w:val="315" w:hRule="atLeast"/>
        </w:trPr>
        <w:tc>
          <w:tcPr>
            <w:tcW w:w="766" w:type="pct"/>
            <w:vMerge w:val="restart"/>
            <w:tcBorders>
              <w:top w:val="nil"/>
              <w:left w:val="single" w:color="auto" w:sz="4" w:space="0"/>
              <w:right w:val="single" w:color="auto" w:sz="4" w:space="0"/>
            </w:tcBorders>
            <w:vAlign w:val="center"/>
          </w:tcPr>
          <w:p w14:paraId="4ADF6ED5">
            <w:pPr>
              <w:jc w:val="center"/>
              <w:rPr>
                <w:rFonts w:hint="eastAsia" w:ascii="宋体" w:hAnsi="宋体"/>
                <w:sz w:val="24"/>
              </w:rPr>
            </w:pPr>
            <w:r>
              <w:rPr>
                <w:rFonts w:hint="eastAsia" w:ascii="宋体" w:hAnsi="宋体"/>
                <w:sz w:val="24"/>
              </w:rPr>
              <w:t>处理器</w:t>
            </w:r>
          </w:p>
        </w:tc>
        <w:tc>
          <w:tcPr>
            <w:tcW w:w="4233" w:type="pct"/>
            <w:tcBorders>
              <w:top w:val="nil"/>
              <w:left w:val="nil"/>
              <w:bottom w:val="single" w:color="auto" w:sz="4" w:space="0"/>
              <w:right w:val="single" w:color="auto" w:sz="4" w:space="0"/>
            </w:tcBorders>
            <w:vAlign w:val="center"/>
          </w:tcPr>
          <w:p w14:paraId="0DF5F81B">
            <w:pPr>
              <w:rPr>
                <w:rFonts w:hint="eastAsia" w:ascii="宋体" w:hAnsi="宋体" w:eastAsia="宋体"/>
                <w:sz w:val="24"/>
                <w:lang w:val="en-US" w:eastAsia="zh-CN"/>
              </w:rPr>
            </w:pPr>
            <w:r>
              <w:rPr>
                <w:rFonts w:hint="eastAsia" w:ascii="宋体" w:hAnsi="宋体"/>
                <w:sz w:val="24"/>
              </w:rPr>
              <w:t>▲采用国产自主可控的CPU，配置数量不少于4颗</w:t>
            </w:r>
            <w:r>
              <w:rPr>
                <w:rFonts w:hint="eastAsia" w:ascii="宋体" w:hAnsi="宋体"/>
                <w:sz w:val="24"/>
                <w:lang w:val="en-US" w:eastAsia="zh-CN"/>
              </w:rPr>
              <w:t>;</w:t>
            </w:r>
          </w:p>
        </w:tc>
      </w:tr>
      <w:tr w14:paraId="3CDAE045">
        <w:tblPrEx>
          <w:tblCellMar>
            <w:top w:w="0" w:type="dxa"/>
            <w:left w:w="108" w:type="dxa"/>
            <w:bottom w:w="0" w:type="dxa"/>
            <w:right w:w="108" w:type="dxa"/>
          </w:tblCellMar>
        </w:tblPrEx>
        <w:trPr>
          <w:trHeight w:val="315" w:hRule="atLeast"/>
        </w:trPr>
        <w:tc>
          <w:tcPr>
            <w:tcW w:w="766" w:type="pct"/>
            <w:vMerge w:val="continue"/>
            <w:tcBorders>
              <w:left w:val="single" w:color="auto" w:sz="4" w:space="0"/>
              <w:bottom w:val="single" w:color="auto" w:sz="4" w:space="0"/>
              <w:right w:val="single" w:color="auto" w:sz="4" w:space="0"/>
            </w:tcBorders>
            <w:vAlign w:val="center"/>
          </w:tcPr>
          <w:p w14:paraId="18A83B21">
            <w:pPr>
              <w:jc w:val="center"/>
              <w:rPr>
                <w:rFonts w:hint="eastAsia" w:ascii="宋体" w:hAnsi="宋体"/>
                <w:sz w:val="24"/>
              </w:rPr>
            </w:pPr>
          </w:p>
        </w:tc>
        <w:tc>
          <w:tcPr>
            <w:tcW w:w="4233" w:type="pct"/>
            <w:tcBorders>
              <w:top w:val="nil"/>
              <w:left w:val="nil"/>
              <w:bottom w:val="single" w:color="auto" w:sz="4" w:space="0"/>
              <w:right w:val="single" w:color="auto" w:sz="4" w:space="0"/>
            </w:tcBorders>
            <w:vAlign w:val="center"/>
          </w:tcPr>
          <w:p w14:paraId="4B249EE0">
            <w:pPr>
              <w:rPr>
                <w:rFonts w:hint="eastAsia" w:ascii="宋体" w:hAnsi="宋体"/>
                <w:sz w:val="24"/>
              </w:rPr>
            </w:pPr>
            <w:r>
              <w:rPr>
                <w:rFonts w:hint="eastAsia" w:ascii="宋体" w:hAnsi="宋体"/>
                <w:sz w:val="24"/>
              </w:rPr>
              <w:t>▲单颗核心数≥48，主频≥2.6GHz</w:t>
            </w:r>
            <w:r>
              <w:rPr>
                <w:rFonts w:hint="eastAsia" w:ascii="宋体" w:hAnsi="宋体"/>
                <w:sz w:val="24"/>
                <w:lang w:val="en-US" w:eastAsia="zh-CN"/>
              </w:rPr>
              <w:t>;</w:t>
            </w:r>
          </w:p>
        </w:tc>
      </w:tr>
      <w:tr w14:paraId="70FF8C96">
        <w:tblPrEx>
          <w:tblCellMar>
            <w:top w:w="0" w:type="dxa"/>
            <w:left w:w="108" w:type="dxa"/>
            <w:bottom w:w="0" w:type="dxa"/>
            <w:right w:w="108" w:type="dxa"/>
          </w:tblCellMar>
        </w:tblPrEx>
        <w:trPr>
          <w:trHeight w:val="315" w:hRule="atLeast"/>
        </w:trPr>
        <w:tc>
          <w:tcPr>
            <w:tcW w:w="766" w:type="pct"/>
            <w:tcBorders>
              <w:top w:val="nil"/>
              <w:left w:val="single" w:color="auto" w:sz="4" w:space="0"/>
              <w:bottom w:val="single" w:color="auto" w:sz="4" w:space="0"/>
              <w:right w:val="single" w:color="auto" w:sz="4" w:space="0"/>
            </w:tcBorders>
            <w:vAlign w:val="center"/>
          </w:tcPr>
          <w:p w14:paraId="0DF75A56">
            <w:pPr>
              <w:jc w:val="center"/>
              <w:rPr>
                <w:rFonts w:hint="eastAsia" w:ascii="宋体" w:hAnsi="宋体"/>
                <w:sz w:val="24"/>
              </w:rPr>
            </w:pPr>
            <w:r>
              <w:rPr>
                <w:rFonts w:hint="eastAsia" w:ascii="宋体" w:hAnsi="宋体"/>
                <w:sz w:val="24"/>
              </w:rPr>
              <w:t>内存</w:t>
            </w:r>
          </w:p>
        </w:tc>
        <w:tc>
          <w:tcPr>
            <w:tcW w:w="4233" w:type="pct"/>
            <w:tcBorders>
              <w:top w:val="nil"/>
              <w:left w:val="nil"/>
              <w:bottom w:val="single" w:color="auto" w:sz="4" w:space="0"/>
              <w:right w:val="single" w:color="auto" w:sz="4" w:space="0"/>
            </w:tcBorders>
            <w:vAlign w:val="center"/>
          </w:tcPr>
          <w:p w14:paraId="43269027">
            <w:pPr>
              <w:rPr>
                <w:rFonts w:hint="eastAsia" w:ascii="宋体" w:hAnsi="宋体" w:eastAsia="宋体"/>
                <w:sz w:val="24"/>
                <w:lang w:val="en-US" w:eastAsia="zh-CN"/>
              </w:rPr>
            </w:pPr>
            <w:r>
              <w:rPr>
                <w:rFonts w:hint="eastAsia" w:ascii="宋体" w:hAnsi="宋体"/>
                <w:sz w:val="24"/>
              </w:rPr>
              <w:t>采用ECC DDR4 内存，总配置容量≥1024G，内存工作频率≥3200MHz，≥32个内存扩展插槽</w:t>
            </w:r>
            <w:r>
              <w:rPr>
                <w:rFonts w:hint="eastAsia" w:ascii="宋体" w:hAnsi="宋体"/>
                <w:sz w:val="24"/>
                <w:lang w:val="en-US" w:eastAsia="zh-CN"/>
              </w:rPr>
              <w:t>;</w:t>
            </w:r>
          </w:p>
        </w:tc>
      </w:tr>
      <w:tr w14:paraId="4D82FE92">
        <w:tblPrEx>
          <w:tblCellMar>
            <w:top w:w="0" w:type="dxa"/>
            <w:left w:w="108" w:type="dxa"/>
            <w:bottom w:w="0" w:type="dxa"/>
            <w:right w:w="108" w:type="dxa"/>
          </w:tblCellMar>
        </w:tblPrEx>
        <w:trPr>
          <w:trHeight w:val="315" w:hRule="atLeast"/>
        </w:trPr>
        <w:tc>
          <w:tcPr>
            <w:tcW w:w="766" w:type="pct"/>
            <w:vMerge w:val="restart"/>
            <w:tcBorders>
              <w:top w:val="nil"/>
              <w:left w:val="single" w:color="auto" w:sz="4" w:space="0"/>
              <w:right w:val="single" w:color="auto" w:sz="4" w:space="0"/>
            </w:tcBorders>
            <w:vAlign w:val="center"/>
          </w:tcPr>
          <w:p w14:paraId="1B6D5D08">
            <w:pPr>
              <w:jc w:val="center"/>
              <w:rPr>
                <w:rFonts w:hint="eastAsia" w:ascii="宋体" w:hAnsi="宋体"/>
                <w:sz w:val="24"/>
              </w:rPr>
            </w:pPr>
            <w:r>
              <w:rPr>
                <w:rFonts w:hint="eastAsia" w:ascii="宋体" w:hAnsi="宋体"/>
                <w:sz w:val="24"/>
              </w:rPr>
              <w:t>AI算力</w:t>
            </w:r>
          </w:p>
        </w:tc>
        <w:tc>
          <w:tcPr>
            <w:tcW w:w="4233" w:type="pct"/>
            <w:tcBorders>
              <w:top w:val="nil"/>
              <w:left w:val="nil"/>
              <w:bottom w:val="single" w:color="auto" w:sz="4" w:space="0"/>
              <w:right w:val="single" w:color="auto" w:sz="4" w:space="0"/>
            </w:tcBorders>
            <w:vAlign w:val="center"/>
          </w:tcPr>
          <w:p w14:paraId="5082EF94">
            <w:pPr>
              <w:rPr>
                <w:rFonts w:hint="eastAsia" w:ascii="宋体" w:hAnsi="宋体" w:eastAsia="宋体"/>
                <w:sz w:val="24"/>
                <w:lang w:eastAsia="zh-CN"/>
              </w:rPr>
            </w:pPr>
            <w:r>
              <w:rPr>
                <w:rFonts w:hint="eastAsia" w:ascii="宋体" w:hAnsi="宋体"/>
                <w:sz w:val="24"/>
              </w:rPr>
              <w:t>▲配置≥8 颗  AI 芯片，8 路 AI 芯片互联总带宽≥390GB/s；</w:t>
            </w:r>
          </w:p>
        </w:tc>
      </w:tr>
      <w:tr w14:paraId="18D07AF2">
        <w:tblPrEx>
          <w:tblCellMar>
            <w:top w:w="0" w:type="dxa"/>
            <w:left w:w="108" w:type="dxa"/>
            <w:bottom w:w="0" w:type="dxa"/>
            <w:right w:w="108" w:type="dxa"/>
          </w:tblCellMar>
        </w:tblPrEx>
        <w:trPr>
          <w:trHeight w:val="315" w:hRule="atLeast"/>
        </w:trPr>
        <w:tc>
          <w:tcPr>
            <w:tcW w:w="766" w:type="pct"/>
            <w:vMerge w:val="continue"/>
            <w:tcBorders>
              <w:left w:val="single" w:color="auto" w:sz="4" w:space="0"/>
              <w:bottom w:val="single" w:color="auto" w:sz="4" w:space="0"/>
              <w:right w:val="single" w:color="auto" w:sz="4" w:space="0"/>
            </w:tcBorders>
            <w:vAlign w:val="center"/>
          </w:tcPr>
          <w:p w14:paraId="3AD2F2D1">
            <w:pPr>
              <w:jc w:val="center"/>
              <w:rPr>
                <w:rFonts w:hint="eastAsia" w:ascii="宋体" w:hAnsi="宋体"/>
                <w:sz w:val="24"/>
              </w:rPr>
            </w:pPr>
          </w:p>
        </w:tc>
        <w:tc>
          <w:tcPr>
            <w:tcW w:w="4233" w:type="pct"/>
            <w:tcBorders>
              <w:top w:val="nil"/>
              <w:left w:val="nil"/>
              <w:bottom w:val="single" w:color="auto" w:sz="4" w:space="0"/>
              <w:right w:val="single" w:color="auto" w:sz="4" w:space="0"/>
            </w:tcBorders>
            <w:vAlign w:val="center"/>
          </w:tcPr>
          <w:p w14:paraId="70C551C8">
            <w:pPr>
              <w:rPr>
                <w:rFonts w:hint="eastAsia" w:ascii="宋体" w:hAnsi="宋体"/>
                <w:sz w:val="24"/>
              </w:rPr>
            </w:pPr>
            <w:r>
              <w:rPr>
                <w:rFonts w:hint="eastAsia" w:ascii="宋体" w:hAnsi="宋体"/>
                <w:sz w:val="24"/>
              </w:rPr>
              <w:t>▲单芯片内存：≥64GB HBM，芯片集成不少于200Gb接口能力，整机提供FP16≥2.2P FLOPS，FP32≥0.6PFLOPS算力，且单芯片提供FP16≥280T FLOPS以上算力</w:t>
            </w:r>
            <w:r>
              <w:rPr>
                <w:rFonts w:hint="eastAsia" w:ascii="宋体" w:hAnsi="宋体"/>
                <w:sz w:val="24"/>
                <w:lang w:val="en-US" w:eastAsia="zh-CN"/>
              </w:rPr>
              <w:t>;</w:t>
            </w:r>
          </w:p>
        </w:tc>
      </w:tr>
      <w:tr w14:paraId="5F0868CD">
        <w:tblPrEx>
          <w:tblCellMar>
            <w:top w:w="0" w:type="dxa"/>
            <w:left w:w="108" w:type="dxa"/>
            <w:bottom w:w="0" w:type="dxa"/>
            <w:right w:w="108" w:type="dxa"/>
          </w:tblCellMar>
        </w:tblPrEx>
        <w:trPr>
          <w:trHeight w:val="315" w:hRule="atLeast"/>
        </w:trPr>
        <w:tc>
          <w:tcPr>
            <w:tcW w:w="766" w:type="pct"/>
            <w:tcBorders>
              <w:top w:val="nil"/>
              <w:left w:val="single" w:color="auto" w:sz="4" w:space="0"/>
              <w:bottom w:val="single" w:color="auto" w:sz="4" w:space="0"/>
              <w:right w:val="single" w:color="auto" w:sz="4" w:space="0"/>
            </w:tcBorders>
            <w:vAlign w:val="center"/>
          </w:tcPr>
          <w:p w14:paraId="3DD1EC9C">
            <w:pPr>
              <w:jc w:val="center"/>
              <w:rPr>
                <w:rFonts w:hint="eastAsia" w:ascii="宋体" w:hAnsi="宋体"/>
                <w:sz w:val="24"/>
              </w:rPr>
            </w:pPr>
            <w:r>
              <w:rPr>
                <w:rFonts w:hint="eastAsia" w:ascii="宋体" w:hAnsi="宋体"/>
                <w:sz w:val="24"/>
              </w:rPr>
              <w:t>HBM</w:t>
            </w:r>
          </w:p>
        </w:tc>
        <w:tc>
          <w:tcPr>
            <w:tcW w:w="4233" w:type="pct"/>
            <w:tcBorders>
              <w:top w:val="nil"/>
              <w:left w:val="nil"/>
              <w:bottom w:val="single" w:color="auto" w:sz="4" w:space="0"/>
              <w:right w:val="single" w:color="auto" w:sz="4" w:space="0"/>
            </w:tcBorders>
            <w:vAlign w:val="center"/>
          </w:tcPr>
          <w:p w14:paraId="5B445BFE">
            <w:pPr>
              <w:rPr>
                <w:rFonts w:hint="eastAsia" w:ascii="宋体" w:hAnsi="宋体" w:eastAsia="宋体"/>
                <w:sz w:val="24"/>
                <w:lang w:val="en-US" w:eastAsia="zh-CN"/>
              </w:rPr>
            </w:pPr>
            <w:r>
              <w:rPr>
                <w:rFonts w:hint="eastAsia" w:ascii="宋体" w:hAnsi="宋体"/>
                <w:sz w:val="24"/>
              </w:rPr>
              <w:t xml:space="preserve">▲AI芯片内存采用≥64GB </w:t>
            </w:r>
            <w:bookmarkStart w:id="1" w:name="_GoBack"/>
            <w:r>
              <w:rPr>
                <w:rFonts w:hint="eastAsia" w:ascii="宋体" w:hAnsi="宋体"/>
                <w:sz w:val="24"/>
              </w:rPr>
              <w:t>HBM</w:t>
            </w:r>
            <w:bookmarkEnd w:id="1"/>
            <w:r>
              <w:rPr>
                <w:rFonts w:hint="eastAsia" w:ascii="宋体" w:hAnsi="宋体"/>
                <w:sz w:val="24"/>
                <w:lang w:val="en-US" w:eastAsia="zh-CN"/>
              </w:rPr>
              <w:t>;</w:t>
            </w:r>
          </w:p>
        </w:tc>
      </w:tr>
      <w:tr w14:paraId="500F32B9">
        <w:tblPrEx>
          <w:tblCellMar>
            <w:top w:w="0" w:type="dxa"/>
            <w:left w:w="108" w:type="dxa"/>
            <w:bottom w:w="0" w:type="dxa"/>
            <w:right w:w="108" w:type="dxa"/>
          </w:tblCellMar>
        </w:tblPrEx>
        <w:trPr>
          <w:trHeight w:val="315" w:hRule="atLeast"/>
        </w:trPr>
        <w:tc>
          <w:tcPr>
            <w:tcW w:w="766" w:type="pct"/>
            <w:tcBorders>
              <w:top w:val="nil"/>
              <w:left w:val="single" w:color="auto" w:sz="4" w:space="0"/>
              <w:bottom w:val="single" w:color="auto" w:sz="4" w:space="0"/>
              <w:right w:val="single" w:color="auto" w:sz="4" w:space="0"/>
            </w:tcBorders>
            <w:vAlign w:val="center"/>
          </w:tcPr>
          <w:p w14:paraId="7CF61E26">
            <w:pPr>
              <w:jc w:val="center"/>
              <w:rPr>
                <w:rFonts w:hint="eastAsia" w:ascii="宋体" w:hAnsi="宋体"/>
                <w:sz w:val="24"/>
              </w:rPr>
            </w:pPr>
            <w:r>
              <w:rPr>
                <w:rFonts w:hint="eastAsia" w:ascii="宋体" w:hAnsi="宋体"/>
                <w:sz w:val="24"/>
              </w:rPr>
              <w:t>硬盘</w:t>
            </w:r>
          </w:p>
        </w:tc>
        <w:tc>
          <w:tcPr>
            <w:tcW w:w="4233" w:type="pct"/>
            <w:tcBorders>
              <w:top w:val="nil"/>
              <w:left w:val="nil"/>
              <w:bottom w:val="single" w:color="auto" w:sz="4" w:space="0"/>
              <w:right w:val="single" w:color="auto" w:sz="4" w:space="0"/>
            </w:tcBorders>
            <w:vAlign w:val="center"/>
          </w:tcPr>
          <w:p w14:paraId="02FA2A2D">
            <w:pPr>
              <w:rPr>
                <w:rFonts w:hint="eastAsia" w:ascii="宋体" w:hAnsi="宋体"/>
                <w:sz w:val="24"/>
                <w:lang w:eastAsia="zh-CN"/>
              </w:rPr>
            </w:pPr>
            <w:r>
              <w:rPr>
                <w:rFonts w:hint="eastAsia" w:ascii="宋体" w:hAnsi="宋体"/>
                <w:sz w:val="24"/>
              </w:rPr>
              <w:t>配置≥2*固态硬盘-480GB-SATA 6Gb/s-读取密集型-2.5英寸，2*NVMe固态硬盘组件-3840GB-Gen4-读取密集型-2.5英寸</w:t>
            </w:r>
            <w:r>
              <w:rPr>
                <w:rFonts w:hint="eastAsia" w:ascii="宋体" w:hAnsi="宋体"/>
                <w:sz w:val="24"/>
                <w:lang w:eastAsia="zh-CN"/>
              </w:rPr>
              <w:t>；</w:t>
            </w:r>
          </w:p>
          <w:p w14:paraId="3773CE28">
            <w:pPr>
              <w:rPr>
                <w:rFonts w:hint="default" w:ascii="宋体" w:hAnsi="宋体"/>
                <w:sz w:val="24"/>
                <w:lang w:val="en-US" w:eastAsia="zh-CN"/>
              </w:rPr>
            </w:pPr>
            <w:r>
              <w:rPr>
                <w:rFonts w:hint="eastAsia" w:ascii="宋体" w:hAnsi="宋体"/>
                <w:sz w:val="24"/>
                <w:lang w:val="en-US" w:eastAsia="zh-CN"/>
              </w:rPr>
              <w:t>硬盘故障不返还；</w:t>
            </w:r>
          </w:p>
        </w:tc>
      </w:tr>
      <w:tr w14:paraId="4A10C4E2">
        <w:tblPrEx>
          <w:tblCellMar>
            <w:top w:w="0" w:type="dxa"/>
            <w:left w:w="108" w:type="dxa"/>
            <w:bottom w:w="0" w:type="dxa"/>
            <w:right w:w="108" w:type="dxa"/>
          </w:tblCellMar>
        </w:tblPrEx>
        <w:trPr>
          <w:trHeight w:val="315" w:hRule="atLeast"/>
        </w:trPr>
        <w:tc>
          <w:tcPr>
            <w:tcW w:w="766" w:type="pct"/>
            <w:tcBorders>
              <w:top w:val="nil"/>
              <w:left w:val="single" w:color="auto" w:sz="4" w:space="0"/>
              <w:bottom w:val="single" w:color="auto" w:sz="4" w:space="0"/>
              <w:right w:val="single" w:color="auto" w:sz="4" w:space="0"/>
            </w:tcBorders>
            <w:vAlign w:val="center"/>
          </w:tcPr>
          <w:p w14:paraId="13AC4278">
            <w:pPr>
              <w:jc w:val="center"/>
              <w:rPr>
                <w:rFonts w:hint="eastAsia" w:ascii="宋体" w:hAnsi="宋体"/>
                <w:sz w:val="24"/>
              </w:rPr>
            </w:pPr>
            <w:r>
              <w:rPr>
                <w:rFonts w:hint="eastAsia" w:ascii="宋体" w:hAnsi="宋体"/>
                <w:sz w:val="24"/>
              </w:rPr>
              <w:t>RAID卡</w:t>
            </w:r>
          </w:p>
        </w:tc>
        <w:tc>
          <w:tcPr>
            <w:tcW w:w="4233" w:type="pct"/>
            <w:tcBorders>
              <w:top w:val="nil"/>
              <w:left w:val="nil"/>
              <w:bottom w:val="single" w:color="auto" w:sz="4" w:space="0"/>
              <w:right w:val="single" w:color="auto" w:sz="4" w:space="0"/>
            </w:tcBorders>
            <w:vAlign w:val="center"/>
          </w:tcPr>
          <w:p w14:paraId="2D0E249C">
            <w:pPr>
              <w:rPr>
                <w:rFonts w:hint="eastAsia" w:ascii="宋体" w:hAnsi="宋体"/>
                <w:sz w:val="24"/>
              </w:rPr>
            </w:pPr>
            <w:r>
              <w:rPr>
                <w:rFonts w:hint="eastAsia" w:ascii="宋体" w:hAnsi="宋体"/>
                <w:sz w:val="24"/>
              </w:rPr>
              <w:t>配置1块独立磁盘阵列控制器，4G缓存，支持RAID 0/1/5/6/10/50/60等，支持超级电容边带管理</w:t>
            </w:r>
          </w:p>
        </w:tc>
      </w:tr>
      <w:tr w14:paraId="6F78C83F">
        <w:tblPrEx>
          <w:tblCellMar>
            <w:top w:w="0" w:type="dxa"/>
            <w:left w:w="108" w:type="dxa"/>
            <w:bottom w:w="0" w:type="dxa"/>
            <w:right w:w="108" w:type="dxa"/>
          </w:tblCellMar>
        </w:tblPrEx>
        <w:trPr>
          <w:trHeight w:val="315" w:hRule="atLeast"/>
        </w:trPr>
        <w:tc>
          <w:tcPr>
            <w:tcW w:w="766" w:type="pct"/>
            <w:tcBorders>
              <w:top w:val="nil"/>
              <w:left w:val="single" w:color="auto" w:sz="4" w:space="0"/>
              <w:bottom w:val="single" w:color="auto" w:sz="4" w:space="0"/>
              <w:right w:val="single" w:color="auto" w:sz="4" w:space="0"/>
            </w:tcBorders>
            <w:vAlign w:val="center"/>
          </w:tcPr>
          <w:p w14:paraId="392BE5F4">
            <w:pPr>
              <w:jc w:val="center"/>
              <w:rPr>
                <w:rFonts w:hint="eastAsia" w:ascii="宋体" w:hAnsi="宋体"/>
                <w:sz w:val="24"/>
              </w:rPr>
            </w:pPr>
            <w:r>
              <w:rPr>
                <w:rFonts w:hint="eastAsia" w:ascii="宋体" w:hAnsi="宋体"/>
                <w:sz w:val="24"/>
              </w:rPr>
              <w:t>网络</w:t>
            </w:r>
          </w:p>
        </w:tc>
        <w:tc>
          <w:tcPr>
            <w:tcW w:w="4233" w:type="pct"/>
            <w:tcBorders>
              <w:top w:val="nil"/>
              <w:left w:val="nil"/>
              <w:bottom w:val="single" w:color="auto" w:sz="4" w:space="0"/>
              <w:right w:val="single" w:color="auto" w:sz="4" w:space="0"/>
            </w:tcBorders>
            <w:vAlign w:val="center"/>
          </w:tcPr>
          <w:p w14:paraId="4E5AF750">
            <w:pPr>
              <w:rPr>
                <w:rFonts w:hint="eastAsia" w:ascii="宋体" w:hAnsi="宋体" w:eastAsia="宋体"/>
                <w:sz w:val="24"/>
                <w:lang w:eastAsia="zh-CN"/>
              </w:rPr>
            </w:pPr>
            <w:r>
              <w:rPr>
                <w:rFonts w:hint="eastAsia" w:ascii="宋体" w:hAnsi="宋体"/>
                <w:sz w:val="24"/>
              </w:rPr>
              <w:t>配置配置≥4口25GE光口网卡;≥8口200GE光口网卡，含配套的光模块配套光纤线缆</w:t>
            </w:r>
            <w:r>
              <w:rPr>
                <w:rFonts w:hint="eastAsia" w:ascii="宋体" w:hAnsi="宋体"/>
                <w:sz w:val="24"/>
                <w:lang w:eastAsia="zh-CN"/>
              </w:rPr>
              <w:t>；</w:t>
            </w:r>
          </w:p>
        </w:tc>
      </w:tr>
      <w:tr w14:paraId="0AD87678">
        <w:tblPrEx>
          <w:tblCellMar>
            <w:top w:w="0" w:type="dxa"/>
            <w:left w:w="108" w:type="dxa"/>
            <w:bottom w:w="0" w:type="dxa"/>
            <w:right w:w="108" w:type="dxa"/>
          </w:tblCellMar>
        </w:tblPrEx>
        <w:trPr>
          <w:trHeight w:val="315" w:hRule="atLeast"/>
        </w:trPr>
        <w:tc>
          <w:tcPr>
            <w:tcW w:w="766" w:type="pct"/>
            <w:tcBorders>
              <w:top w:val="nil"/>
              <w:left w:val="single" w:color="auto" w:sz="4" w:space="0"/>
              <w:bottom w:val="single" w:color="auto" w:sz="4" w:space="0"/>
              <w:right w:val="single" w:color="auto" w:sz="4" w:space="0"/>
            </w:tcBorders>
            <w:vAlign w:val="center"/>
          </w:tcPr>
          <w:p w14:paraId="65D2CB36">
            <w:pPr>
              <w:jc w:val="center"/>
              <w:rPr>
                <w:rFonts w:hint="eastAsia" w:ascii="宋体" w:hAnsi="宋体"/>
                <w:sz w:val="24"/>
              </w:rPr>
            </w:pPr>
            <w:r>
              <w:rPr>
                <w:rFonts w:hint="eastAsia" w:ascii="宋体" w:hAnsi="宋体"/>
                <w:sz w:val="24"/>
              </w:rPr>
              <w:t>电源</w:t>
            </w:r>
          </w:p>
        </w:tc>
        <w:tc>
          <w:tcPr>
            <w:tcW w:w="4233" w:type="pct"/>
            <w:tcBorders>
              <w:top w:val="nil"/>
              <w:left w:val="nil"/>
              <w:bottom w:val="single" w:color="auto" w:sz="4" w:space="0"/>
              <w:right w:val="single" w:color="auto" w:sz="4" w:space="0"/>
            </w:tcBorders>
            <w:vAlign w:val="center"/>
          </w:tcPr>
          <w:p w14:paraId="66F096DA">
            <w:pPr>
              <w:rPr>
                <w:rFonts w:hint="eastAsia" w:ascii="宋体" w:hAnsi="宋体" w:eastAsia="宋体"/>
                <w:sz w:val="24"/>
                <w:lang w:eastAsia="zh-CN"/>
              </w:rPr>
            </w:pPr>
            <w:r>
              <w:rPr>
                <w:rFonts w:hint="eastAsia" w:ascii="宋体" w:hAnsi="宋体"/>
                <w:sz w:val="24"/>
              </w:rPr>
              <w:t>配置4块2600W交流电源模块，支持2+2冗余</w:t>
            </w:r>
            <w:r>
              <w:rPr>
                <w:rFonts w:hint="eastAsia" w:ascii="宋体" w:hAnsi="宋体"/>
                <w:sz w:val="24"/>
                <w:lang w:eastAsia="zh-CN"/>
              </w:rPr>
              <w:t>；</w:t>
            </w:r>
          </w:p>
        </w:tc>
      </w:tr>
      <w:tr w14:paraId="0786C7A1">
        <w:tblPrEx>
          <w:tblCellMar>
            <w:top w:w="0" w:type="dxa"/>
            <w:left w:w="108" w:type="dxa"/>
            <w:bottom w:w="0" w:type="dxa"/>
            <w:right w:w="108" w:type="dxa"/>
          </w:tblCellMar>
        </w:tblPrEx>
        <w:trPr>
          <w:trHeight w:val="315" w:hRule="atLeast"/>
        </w:trPr>
        <w:tc>
          <w:tcPr>
            <w:tcW w:w="766" w:type="pct"/>
            <w:vMerge w:val="restart"/>
            <w:tcBorders>
              <w:top w:val="single" w:color="auto" w:sz="4" w:space="0"/>
              <w:left w:val="single" w:color="auto" w:sz="4" w:space="0"/>
              <w:bottom w:val="single" w:color="auto" w:sz="4" w:space="0"/>
              <w:right w:val="single" w:color="auto" w:sz="4" w:space="0"/>
            </w:tcBorders>
          </w:tcPr>
          <w:p w14:paraId="5463452C">
            <w:pPr>
              <w:jc w:val="center"/>
              <w:rPr>
                <w:rFonts w:hint="eastAsia" w:ascii="宋体" w:hAnsi="宋体"/>
                <w:sz w:val="24"/>
              </w:rPr>
            </w:pPr>
            <w:r>
              <w:rPr>
                <w:rFonts w:hint="eastAsia" w:ascii="宋体" w:hAnsi="宋体"/>
                <w:sz w:val="24"/>
              </w:rPr>
              <w:t>服务维保要求</w:t>
            </w:r>
          </w:p>
        </w:tc>
        <w:tc>
          <w:tcPr>
            <w:tcW w:w="4233" w:type="pct"/>
            <w:tcBorders>
              <w:top w:val="single" w:color="auto" w:sz="4" w:space="0"/>
              <w:left w:val="single" w:color="auto" w:sz="4" w:space="0"/>
              <w:bottom w:val="single" w:color="auto" w:sz="4" w:space="0"/>
              <w:right w:val="single" w:color="auto" w:sz="4" w:space="0"/>
            </w:tcBorders>
            <w:vAlign w:val="center"/>
          </w:tcPr>
          <w:p w14:paraId="2BB1A8F0">
            <w:pPr>
              <w:rPr>
                <w:rFonts w:hint="eastAsia" w:ascii="宋体" w:hAnsi="宋体" w:eastAsia="宋体"/>
                <w:sz w:val="24"/>
                <w:lang w:eastAsia="zh-CN"/>
              </w:rPr>
            </w:pPr>
            <w:r>
              <w:rPr>
                <w:rFonts w:hint="eastAsia" w:ascii="宋体" w:hAnsi="宋体"/>
                <w:sz w:val="24"/>
              </w:rPr>
              <w:t>服务器需提供三年</w:t>
            </w:r>
            <w:r>
              <w:rPr>
                <w:rFonts w:hint="eastAsia" w:ascii="宋体" w:hAnsi="宋体"/>
                <w:sz w:val="24"/>
                <w:lang w:val="en-US" w:eastAsia="zh-CN"/>
              </w:rPr>
              <w:t>质保</w:t>
            </w:r>
            <w:r>
              <w:rPr>
                <w:rFonts w:hint="eastAsia" w:ascii="宋体" w:hAnsi="宋体"/>
                <w:sz w:val="24"/>
              </w:rPr>
              <w:t>服务</w:t>
            </w:r>
            <w:r>
              <w:rPr>
                <w:rFonts w:hint="eastAsia" w:ascii="宋体" w:hAnsi="宋体"/>
                <w:sz w:val="24"/>
                <w:lang w:eastAsia="zh-CN"/>
              </w:rPr>
              <w:t>。</w:t>
            </w:r>
          </w:p>
        </w:tc>
      </w:tr>
      <w:tr w14:paraId="0B49BF4E">
        <w:tblPrEx>
          <w:tblCellMar>
            <w:top w:w="0" w:type="dxa"/>
            <w:left w:w="108" w:type="dxa"/>
            <w:bottom w:w="0" w:type="dxa"/>
            <w:right w:w="108" w:type="dxa"/>
          </w:tblCellMar>
        </w:tblPrEx>
        <w:trPr>
          <w:trHeight w:val="315" w:hRule="atLeast"/>
        </w:trPr>
        <w:tc>
          <w:tcPr>
            <w:tcW w:w="766" w:type="pct"/>
            <w:vMerge w:val="continue"/>
            <w:tcBorders>
              <w:top w:val="single" w:color="auto" w:sz="4" w:space="0"/>
              <w:left w:val="single" w:color="auto" w:sz="4" w:space="0"/>
              <w:bottom w:val="single" w:color="auto" w:sz="4" w:space="0"/>
              <w:right w:val="single" w:color="auto" w:sz="4" w:space="0"/>
            </w:tcBorders>
          </w:tcPr>
          <w:p w14:paraId="278CFC93">
            <w:pPr>
              <w:jc w:val="center"/>
              <w:rPr>
                <w:rFonts w:hint="eastAsia" w:ascii="宋体" w:hAnsi="宋体"/>
                <w:sz w:val="24"/>
              </w:rPr>
            </w:pPr>
          </w:p>
        </w:tc>
        <w:tc>
          <w:tcPr>
            <w:tcW w:w="4233" w:type="pct"/>
            <w:tcBorders>
              <w:top w:val="single" w:color="auto" w:sz="4" w:space="0"/>
              <w:left w:val="single" w:color="auto" w:sz="4" w:space="0"/>
              <w:bottom w:val="single" w:color="auto" w:sz="4" w:space="0"/>
              <w:right w:val="single" w:color="auto" w:sz="4" w:space="0"/>
            </w:tcBorders>
            <w:vAlign w:val="center"/>
          </w:tcPr>
          <w:p w14:paraId="048D8AB5">
            <w:pPr>
              <w:rPr>
                <w:rFonts w:hint="default" w:ascii="宋体" w:hAnsi="宋体" w:eastAsia="宋体"/>
                <w:sz w:val="24"/>
                <w:lang w:val="en-US" w:eastAsia="zh-CN"/>
              </w:rPr>
            </w:pPr>
            <w:r>
              <w:rPr>
                <w:rFonts w:hint="eastAsia" w:ascii="宋体" w:hAnsi="宋体"/>
                <w:sz w:val="24"/>
                <w:lang w:val="en-US" w:eastAsia="zh-CN"/>
              </w:rPr>
              <w:t>质保期满后，每年设备维保（硬件质保、运维服务）费用不高于项目建设费用的8%，需提供盖章承诺。</w:t>
            </w:r>
          </w:p>
        </w:tc>
      </w:tr>
    </w:tbl>
    <w:p w14:paraId="5B75866E">
      <w:pPr>
        <w:pStyle w:val="7"/>
        <w:ind w:right="180"/>
        <w:contextualSpacing/>
        <w:rPr>
          <w:rFonts w:hint="eastAsia" w:ascii="宋体" w:hAnsi="宋体" w:eastAsia="宋体" w:cs="Times New Roman"/>
          <w:sz w:val="28"/>
          <w:szCs w:val="32"/>
        </w:rPr>
      </w:pPr>
      <w:r>
        <w:rPr>
          <w:rFonts w:hint="eastAsia" w:cs="Times New Roman"/>
          <w:b/>
          <w:bCs/>
          <w:sz w:val="28"/>
          <w:lang w:val="en-US" w:eastAsia="zh-CN"/>
        </w:rPr>
        <w:t>5.1.3</w:t>
      </w:r>
      <w:r>
        <w:rPr>
          <w:rFonts w:hint="eastAsia" w:ascii="宋体" w:hAnsi="宋体" w:eastAsia="宋体" w:cs="Times New Roman"/>
          <w:b/>
          <w:bCs/>
          <w:sz w:val="28"/>
        </w:rPr>
        <w:t>集成服务</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6987"/>
      </w:tblGrid>
      <w:tr w14:paraId="5A3F5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shd w:val="clear" w:color="auto" w:fill="BEBEBE" w:themeFill="background1" w:themeFillShade="BF"/>
            <w:vAlign w:val="center"/>
          </w:tcPr>
          <w:p w14:paraId="6F44AA1D">
            <w:pPr>
              <w:spacing w:line="240" w:lineRule="auto"/>
              <w:jc w:val="center"/>
              <w:rPr>
                <w:rFonts w:hint="eastAsia" w:ascii="宋体" w:hAnsi="宋体" w:eastAsia="宋体" w:cs="Times New Roman"/>
                <w:b w:val="0"/>
                <w:bCs w:val="0"/>
                <w:sz w:val="24"/>
              </w:rPr>
            </w:pPr>
            <w:r>
              <w:rPr>
                <w:rFonts w:hint="eastAsia" w:ascii="宋体" w:hAnsi="宋体" w:eastAsia="宋体" w:cs="Times New Roman"/>
                <w:b w:val="0"/>
                <w:bCs w:val="0"/>
                <w:sz w:val="24"/>
              </w:rPr>
              <w:t>指标项</w:t>
            </w:r>
          </w:p>
        </w:tc>
        <w:tc>
          <w:tcPr>
            <w:tcW w:w="6987" w:type="dxa"/>
            <w:shd w:val="clear" w:color="auto" w:fill="BEBEBE" w:themeFill="background1" w:themeFillShade="BF"/>
            <w:vAlign w:val="center"/>
          </w:tcPr>
          <w:p w14:paraId="4A71F31B">
            <w:pPr>
              <w:spacing w:line="240" w:lineRule="auto"/>
              <w:jc w:val="center"/>
              <w:rPr>
                <w:rFonts w:hint="eastAsia" w:ascii="宋体" w:hAnsi="宋体" w:eastAsia="宋体" w:cs="Times New Roman"/>
                <w:b w:val="0"/>
                <w:bCs w:val="0"/>
                <w:sz w:val="24"/>
              </w:rPr>
            </w:pPr>
            <w:r>
              <w:rPr>
                <w:rFonts w:hint="eastAsia" w:ascii="宋体" w:hAnsi="宋体" w:eastAsia="宋体" w:cs="Times New Roman"/>
                <w:b w:val="0"/>
                <w:bCs w:val="0"/>
                <w:sz w:val="24"/>
              </w:rPr>
              <w:t>具体参数</w:t>
            </w:r>
          </w:p>
        </w:tc>
      </w:tr>
      <w:tr w14:paraId="7695F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309" w:type="dxa"/>
            <w:vAlign w:val="center"/>
          </w:tcPr>
          <w:p w14:paraId="7F7DE5CB">
            <w:pPr>
              <w:widowControl/>
              <w:spacing w:line="240" w:lineRule="auto"/>
              <w:jc w:val="center"/>
              <w:textAlignment w:val="auto"/>
              <w:rPr>
                <w:rFonts w:hint="eastAsia" w:ascii="宋体" w:hAnsi="宋体" w:eastAsia="宋体" w:cs="Times New Roman"/>
                <w:b w:val="0"/>
                <w:bCs w:val="0"/>
                <w:sz w:val="24"/>
              </w:rPr>
            </w:pPr>
            <w:r>
              <w:rPr>
                <w:rFonts w:hint="eastAsia" w:ascii="宋体" w:hAnsi="宋体" w:eastAsia="宋体" w:cs="Times New Roman"/>
                <w:b w:val="0"/>
                <w:bCs w:val="0"/>
                <w:sz w:val="24"/>
              </w:rPr>
              <w:t>数量</w:t>
            </w:r>
          </w:p>
        </w:tc>
        <w:tc>
          <w:tcPr>
            <w:tcW w:w="6987" w:type="dxa"/>
          </w:tcPr>
          <w:p w14:paraId="112E09A5">
            <w:pPr>
              <w:spacing w:line="240" w:lineRule="auto"/>
              <w:rPr>
                <w:rFonts w:hint="eastAsia" w:ascii="宋体" w:hAnsi="宋体" w:eastAsia="宋体" w:cs="Times New Roman"/>
                <w:sz w:val="24"/>
              </w:rPr>
            </w:pPr>
            <w:r>
              <w:rPr>
                <w:rFonts w:hint="eastAsia" w:ascii="宋体" w:hAnsi="宋体" w:eastAsia="宋体" w:cs="Times New Roman"/>
                <w:sz w:val="24"/>
              </w:rPr>
              <w:t>1项</w:t>
            </w:r>
          </w:p>
        </w:tc>
      </w:tr>
      <w:tr w14:paraId="06E52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309" w:type="dxa"/>
            <w:vAlign w:val="center"/>
          </w:tcPr>
          <w:p w14:paraId="4FB66CD1">
            <w:pPr>
              <w:widowControl/>
              <w:spacing w:line="240" w:lineRule="auto"/>
              <w:jc w:val="center"/>
              <w:textAlignment w:val="auto"/>
              <w:rPr>
                <w:rFonts w:hint="eastAsia" w:ascii="宋体" w:hAnsi="宋体" w:eastAsia="宋体" w:cs="Times New Roman"/>
                <w:b w:val="0"/>
                <w:bCs w:val="0"/>
                <w:color w:val="auto"/>
                <w:sz w:val="24"/>
                <w:lang w:bidi="ar"/>
              </w:rPr>
            </w:pPr>
            <w:r>
              <w:rPr>
                <w:rFonts w:hint="eastAsia" w:ascii="宋体" w:hAnsi="宋体" w:eastAsia="宋体" w:cs="Times New Roman"/>
                <w:b w:val="0"/>
                <w:bCs w:val="0"/>
                <w:color w:val="auto"/>
                <w:sz w:val="24"/>
                <w:lang w:bidi="ar"/>
              </w:rPr>
              <w:t>配置</w:t>
            </w:r>
          </w:p>
        </w:tc>
        <w:tc>
          <w:tcPr>
            <w:tcW w:w="6987" w:type="dxa"/>
          </w:tcPr>
          <w:p w14:paraId="13E9BBC2">
            <w:pPr>
              <w:spacing w:line="240" w:lineRule="auto"/>
              <w:rPr>
                <w:rFonts w:hint="eastAsia" w:ascii="宋体" w:hAnsi="宋体" w:eastAsia="宋体" w:cs="Times New Roman"/>
                <w:sz w:val="24"/>
              </w:rPr>
            </w:pPr>
            <w:r>
              <w:rPr>
                <w:rFonts w:hint="eastAsia" w:ascii="宋体" w:hAnsi="宋体" w:eastAsia="宋体" w:cs="Times New Roman"/>
                <w:sz w:val="24"/>
              </w:rPr>
              <w:t>完成本次采购所有设备、配件的安装、调试服务，确保医院相关在用系统稳定运行。</w:t>
            </w:r>
          </w:p>
        </w:tc>
      </w:tr>
      <w:tr w14:paraId="4A53A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309" w:type="dxa"/>
            <w:vAlign w:val="center"/>
          </w:tcPr>
          <w:p w14:paraId="6862E21E">
            <w:pPr>
              <w:widowControl/>
              <w:spacing w:line="240" w:lineRule="auto"/>
              <w:jc w:val="center"/>
              <w:textAlignment w:val="auto"/>
              <w:rPr>
                <w:rFonts w:hint="eastAsia" w:ascii="宋体" w:hAnsi="宋体" w:eastAsia="宋体" w:cs="Times New Roman"/>
                <w:b w:val="0"/>
                <w:bCs w:val="0"/>
                <w:color w:val="auto"/>
                <w:sz w:val="24"/>
                <w:lang w:bidi="ar"/>
              </w:rPr>
            </w:pPr>
            <w:r>
              <w:rPr>
                <w:rFonts w:hint="eastAsia" w:ascii="宋体" w:hAnsi="宋体" w:eastAsia="宋体" w:cs="Times New Roman"/>
                <w:b w:val="0"/>
                <w:bCs w:val="0"/>
                <w:color w:val="auto"/>
                <w:sz w:val="24"/>
                <w:lang w:bidi="ar"/>
              </w:rPr>
              <w:t>保修</w:t>
            </w:r>
          </w:p>
        </w:tc>
        <w:tc>
          <w:tcPr>
            <w:tcW w:w="6987" w:type="dxa"/>
          </w:tcPr>
          <w:p w14:paraId="1FF8B64A">
            <w:pPr>
              <w:spacing w:line="240" w:lineRule="auto"/>
              <w:rPr>
                <w:rFonts w:hint="eastAsia" w:ascii="宋体" w:hAnsi="宋体" w:eastAsia="宋体" w:cs="Times New Roman"/>
                <w:sz w:val="24"/>
              </w:rPr>
            </w:pPr>
            <w:r>
              <w:rPr>
                <w:rFonts w:hint="eastAsia" w:ascii="宋体" w:hAnsi="宋体" w:cs="宋体"/>
                <w:kern w:val="0"/>
                <w:sz w:val="24"/>
                <w:szCs w:val="24"/>
              </w:rPr>
              <w:t>集成服务期限为本项目终验后1年。</w:t>
            </w:r>
          </w:p>
        </w:tc>
      </w:tr>
    </w:tbl>
    <w:p w14:paraId="48ADB2C6">
      <w:pPr>
        <w:pStyle w:val="20"/>
        <w:ind w:firstLine="0"/>
        <w:jc w:val="both"/>
        <w:rPr>
          <w:rFonts w:hint="eastAsia" w:hAnsi="宋体"/>
          <w:b/>
        </w:rPr>
      </w:pPr>
    </w:p>
    <w:p w14:paraId="7E63E77B">
      <w:pPr>
        <w:pStyle w:val="2"/>
        <w:rPr>
          <w:rFonts w:hint="eastAsia" w:ascii="宋体" w:hAnsi="宋体"/>
        </w:rPr>
      </w:pPr>
      <w:r>
        <w:rPr>
          <w:rFonts w:hint="eastAsia" w:ascii="宋体" w:hAnsi="宋体"/>
        </w:rPr>
        <w:t>产品技术指标要求</w:t>
      </w:r>
    </w:p>
    <w:p w14:paraId="46A03A54">
      <w:pPr>
        <w:pStyle w:val="4"/>
        <w:ind w:firstLine="480"/>
        <w:rPr>
          <w:rFonts w:hint="eastAsia" w:ascii="宋体" w:hAnsi="宋体"/>
        </w:rPr>
      </w:pPr>
      <w:r>
        <w:rPr>
          <w:rFonts w:hint="eastAsia" w:ascii="宋体" w:hAnsi="宋体"/>
        </w:rPr>
        <w:t>（一）技术性能要求</w:t>
      </w:r>
    </w:p>
    <w:p w14:paraId="0BEA7279">
      <w:pPr>
        <w:pStyle w:val="4"/>
        <w:ind w:firstLine="480"/>
        <w:rPr>
          <w:rFonts w:hint="eastAsia" w:ascii="宋体" w:hAnsi="宋体"/>
        </w:rPr>
      </w:pPr>
      <w:r>
        <w:rPr>
          <w:rFonts w:hint="eastAsia" w:ascii="宋体" w:hAnsi="宋体"/>
        </w:rPr>
        <w:t>核心算力指标需满足单芯片FP16算力不低于280 TFLOPS，INT8算力不低于560 TOPS；单机配置不少于8芯片，整机FP16算力不低于2.2 PFLOPS，支持千亿参数模型分布式训练。计算精度与能效需支持FP16/FP32/INT8混合精度计算。</w:t>
      </w:r>
    </w:p>
    <w:p w14:paraId="3C364A26">
      <w:pPr>
        <w:pStyle w:val="4"/>
        <w:ind w:firstLine="480"/>
        <w:rPr>
          <w:rFonts w:hint="eastAsia" w:ascii="宋体" w:hAnsi="宋体"/>
        </w:rPr>
      </w:pPr>
      <w:r>
        <w:rPr>
          <w:rFonts w:hint="eastAsia" w:ascii="宋体" w:hAnsi="宋体"/>
        </w:rPr>
        <w:t>（二）系统架构要求</w:t>
      </w:r>
    </w:p>
    <w:p w14:paraId="09C76482">
      <w:pPr>
        <w:pStyle w:val="4"/>
        <w:ind w:firstLine="480"/>
        <w:rPr>
          <w:rFonts w:hint="eastAsia" w:ascii="宋体" w:hAnsi="宋体"/>
        </w:rPr>
      </w:pPr>
      <w:r>
        <w:rPr>
          <w:rFonts w:hint="eastAsia" w:ascii="宋体" w:hAnsi="宋体"/>
        </w:rPr>
        <w:t>硬件配置需采用4U机架式服务器，在35℃环境满负荷稳定运行；单机集成不少于8张全精度AI算力卡，每卡显存不低于64GB，系统总内存不低于1TB；网络接口配置双口25GE高速网卡。存储与扩展需配置2块3.84TB NVMe SSD固态硬盘，支持RAID 0/1/5阵列。</w:t>
      </w:r>
    </w:p>
    <w:p w14:paraId="41677464">
      <w:pPr>
        <w:pStyle w:val="4"/>
        <w:ind w:firstLine="480"/>
        <w:rPr>
          <w:rFonts w:hint="eastAsia" w:ascii="宋体" w:hAnsi="宋体"/>
        </w:rPr>
      </w:pPr>
      <w:r>
        <w:rPr>
          <w:rFonts w:hint="eastAsia" w:ascii="宋体" w:hAnsi="宋体"/>
        </w:rPr>
        <w:t>（三）软件生态与运维要求</w:t>
      </w:r>
    </w:p>
    <w:p w14:paraId="38E8FDC4">
      <w:pPr>
        <w:pStyle w:val="4"/>
        <w:ind w:firstLine="480"/>
        <w:rPr>
          <w:rFonts w:hint="eastAsia" w:ascii="宋体" w:hAnsi="宋体"/>
        </w:rPr>
      </w:pPr>
      <w:r>
        <w:rPr>
          <w:rFonts w:hint="eastAsia" w:ascii="宋体" w:hAnsi="宋体"/>
        </w:rPr>
        <w:t>软件生态与平台支持模型快速推理和微调，对已部署模型实例的动态扩缩容与灵活资源配置，实现系统性能优化、负载均衡及硬件灾备能力，兼容ARM/x86架构并适配昇腾、天数、沐曦、NVIDIA等多元异构算力混部，同时集成VLLM、MindIE、Transformers、SGlang等主流大模型推理引擎，提供跨架构、跨硬件的全栈式模型服务化部署解决方案。</w:t>
      </w:r>
    </w:p>
    <w:p w14:paraId="5D5C0F15">
      <w:pPr>
        <w:pStyle w:val="4"/>
        <w:ind w:firstLine="480"/>
        <w:rPr>
          <w:rFonts w:hint="eastAsia" w:ascii="宋体" w:hAnsi="宋体"/>
        </w:rPr>
      </w:pPr>
      <w:r>
        <w:rPr>
          <w:rFonts w:hint="eastAsia" w:ascii="宋体" w:hAnsi="宋体"/>
        </w:rPr>
        <w:t>（四）国产化与合规要求</w:t>
      </w:r>
    </w:p>
    <w:p w14:paraId="12998634">
      <w:pPr>
        <w:pStyle w:val="4"/>
        <w:ind w:firstLine="480"/>
        <w:rPr>
          <w:rFonts w:hint="eastAsia" w:ascii="宋体" w:hAnsi="宋体"/>
        </w:rPr>
      </w:pPr>
      <w:r>
        <w:rPr>
          <w:rFonts w:hint="eastAsia" w:ascii="宋体" w:hAnsi="宋体"/>
        </w:rPr>
        <w:t>投标产品需提供芯片国产化证明，交付设备需为合同签订前1年内生产的新品，提供3年维保。</w:t>
      </w:r>
    </w:p>
    <w:p w14:paraId="229412D7">
      <w:pPr>
        <w:pStyle w:val="4"/>
        <w:ind w:firstLine="480"/>
      </w:pPr>
    </w:p>
    <w:p w14:paraId="2473532B">
      <w:pPr>
        <w:pStyle w:val="2"/>
        <w:rPr>
          <w:rFonts w:hint="eastAsia" w:ascii="宋体" w:hAnsi="宋体"/>
        </w:rPr>
      </w:pPr>
      <w:r>
        <w:rPr>
          <w:rFonts w:hint="eastAsia" w:ascii="宋体" w:hAnsi="宋体"/>
        </w:rPr>
        <w:t>实施、验收与售后服务要求</w:t>
      </w:r>
    </w:p>
    <w:p w14:paraId="774A66EB">
      <w:pPr>
        <w:numPr>
          <w:ilvl w:val="0"/>
          <w:numId w:val="3"/>
        </w:numPr>
        <w:adjustRightInd w:val="0"/>
        <w:snapToGrid w:val="0"/>
        <w:rPr>
          <w:rFonts w:hint="eastAsia" w:ascii="宋体" w:hAnsi="宋体" w:cs="Arial"/>
          <w:b/>
          <w:bCs/>
          <w:sz w:val="28"/>
          <w:szCs w:val="28"/>
        </w:rPr>
      </w:pPr>
      <w:r>
        <w:rPr>
          <w:rFonts w:hint="eastAsia" w:ascii="宋体" w:hAnsi="宋体" w:cs="Arial"/>
          <w:b/>
          <w:bCs/>
          <w:sz w:val="28"/>
          <w:szCs w:val="28"/>
        </w:rPr>
        <w:t>总体要求</w:t>
      </w:r>
    </w:p>
    <w:p w14:paraId="7C5B3E74">
      <w:pPr>
        <w:numPr>
          <w:ilvl w:val="4"/>
          <w:numId w:val="4"/>
        </w:numPr>
        <w:adjustRightInd w:val="0"/>
        <w:snapToGrid w:val="0"/>
        <w:ind w:left="0" w:firstLine="420"/>
        <w:rPr>
          <w:rFonts w:hint="eastAsia" w:ascii="宋体" w:hAnsi="宋体"/>
          <w:sz w:val="24"/>
          <w:szCs w:val="24"/>
        </w:rPr>
      </w:pPr>
      <w:r>
        <w:rPr>
          <w:rFonts w:hint="eastAsia" w:ascii="宋体" w:hAnsi="宋体" w:eastAsia="宋体" w:cs="Times New Roman"/>
          <w:sz w:val="24"/>
          <w:szCs w:val="24"/>
        </w:rPr>
        <w:t>服务商需要具备</w:t>
      </w:r>
      <w:r>
        <w:rPr>
          <w:rFonts w:hint="eastAsia" w:ascii="宋体" w:hAnsi="宋体" w:cs="Times New Roman"/>
          <w:sz w:val="24"/>
          <w:szCs w:val="24"/>
          <w:lang w:eastAsia="zh-CN"/>
        </w:rPr>
        <w:t>质保</w:t>
      </w:r>
      <w:r>
        <w:rPr>
          <w:rFonts w:hint="eastAsia" w:ascii="宋体" w:hAnsi="宋体" w:eastAsia="宋体" w:cs="Times New Roman"/>
          <w:sz w:val="24"/>
          <w:szCs w:val="24"/>
        </w:rPr>
        <w:t>服务团队，保障项目实施与质保工作的响应质量</w:t>
      </w:r>
      <w:r>
        <w:rPr>
          <w:rFonts w:hint="eastAsia" w:ascii="宋体" w:hAnsi="宋体"/>
          <w:sz w:val="24"/>
          <w:szCs w:val="24"/>
        </w:rPr>
        <w:t>。</w:t>
      </w:r>
    </w:p>
    <w:p w14:paraId="1CF82823">
      <w:pPr>
        <w:numPr>
          <w:ilvl w:val="4"/>
          <w:numId w:val="4"/>
        </w:numPr>
        <w:adjustRightInd w:val="0"/>
        <w:snapToGrid w:val="0"/>
        <w:ind w:left="0" w:firstLine="420"/>
        <w:rPr>
          <w:rFonts w:ascii="宋体" w:hAnsi="宋体"/>
          <w:szCs w:val="24"/>
        </w:rPr>
      </w:pPr>
      <w:r>
        <w:rPr>
          <w:rFonts w:hint="eastAsia" w:ascii="宋体" w:hAnsi="宋体"/>
          <w:sz w:val="24"/>
          <w:szCs w:val="24"/>
        </w:rPr>
        <w:t>响应供应商应本着认真负责态度，组织技术队伍，认真做好项目的实施工作。在签订合同前，提出具体实施、服务、维护以及今后技术支持的措施计划和承诺。</w:t>
      </w:r>
    </w:p>
    <w:p w14:paraId="376768C1">
      <w:pPr>
        <w:numPr>
          <w:ilvl w:val="4"/>
          <w:numId w:val="4"/>
        </w:numPr>
        <w:adjustRightInd w:val="0"/>
        <w:snapToGrid w:val="0"/>
        <w:ind w:left="0" w:firstLine="420"/>
        <w:rPr>
          <w:rFonts w:hint="eastAsia" w:ascii="宋体" w:hAnsi="宋体"/>
          <w:sz w:val="24"/>
          <w:szCs w:val="24"/>
        </w:rPr>
      </w:pPr>
      <w:r>
        <w:rPr>
          <w:rFonts w:hint="eastAsia" w:ascii="宋体" w:hAnsi="宋体"/>
          <w:sz w:val="24"/>
          <w:szCs w:val="24"/>
        </w:rPr>
        <w:t>响应供应商提供项目实施计划，经用户方同意后，严格执行。如果遇到问题，由项目组提出项目变更说明，经用户方和系统提供商确定后，修改计划。</w:t>
      </w:r>
    </w:p>
    <w:p w14:paraId="152A8C15">
      <w:pPr>
        <w:numPr>
          <w:ilvl w:val="4"/>
          <w:numId w:val="4"/>
        </w:numPr>
        <w:adjustRightInd w:val="0"/>
        <w:snapToGrid w:val="0"/>
        <w:ind w:left="0" w:firstLine="420"/>
        <w:rPr>
          <w:rFonts w:hint="eastAsia" w:ascii="宋体" w:hAnsi="宋体"/>
          <w:sz w:val="24"/>
          <w:szCs w:val="24"/>
        </w:rPr>
      </w:pPr>
      <w:r>
        <w:rPr>
          <w:rFonts w:hint="eastAsia" w:ascii="宋体" w:hAnsi="宋体"/>
          <w:sz w:val="24"/>
          <w:szCs w:val="24"/>
        </w:rPr>
        <w:t>响应供应商应负责在项目验收时将系统的全部有关技术文件、资料、及安装、测试、验收报告等文档汇集成册交付用户方。</w:t>
      </w:r>
    </w:p>
    <w:p w14:paraId="64DA74E8">
      <w:pPr>
        <w:numPr>
          <w:ilvl w:val="4"/>
          <w:numId w:val="4"/>
        </w:numPr>
        <w:adjustRightInd w:val="0"/>
        <w:snapToGrid w:val="0"/>
        <w:ind w:left="0" w:firstLine="420"/>
        <w:rPr>
          <w:rFonts w:hint="eastAsia" w:ascii="宋体" w:hAnsi="宋体"/>
          <w:sz w:val="24"/>
          <w:szCs w:val="24"/>
        </w:rPr>
      </w:pPr>
      <w:r>
        <w:rPr>
          <w:rFonts w:hint="eastAsia" w:ascii="宋体" w:hAnsi="宋体"/>
          <w:sz w:val="24"/>
          <w:szCs w:val="24"/>
          <w:lang w:eastAsia="zh-CN"/>
        </w:rPr>
        <w:t>响应供应商提供</w:t>
      </w:r>
      <w:r>
        <w:rPr>
          <w:rFonts w:hint="eastAsia" w:ascii="宋体" w:hAnsi="宋体"/>
          <w:sz w:val="24"/>
          <w:szCs w:val="24"/>
          <w:highlight w:val="none"/>
        </w:rPr>
        <w:t>针对本项目的原厂授权函</w:t>
      </w:r>
      <w:r>
        <w:rPr>
          <w:rFonts w:hint="eastAsia" w:ascii="宋体" w:hAnsi="宋体"/>
          <w:sz w:val="24"/>
          <w:szCs w:val="24"/>
          <w:highlight w:val="none"/>
          <w:lang w:eastAsia="zh-CN"/>
        </w:rPr>
        <w:t>及</w:t>
      </w:r>
      <w:r>
        <w:rPr>
          <w:rFonts w:hint="eastAsia" w:ascii="宋体" w:hAnsi="宋体"/>
          <w:sz w:val="24"/>
          <w:szCs w:val="24"/>
          <w:highlight w:val="none"/>
        </w:rPr>
        <w:t>原厂售后服务承诺函的</w:t>
      </w:r>
      <w:r>
        <w:rPr>
          <w:rFonts w:hint="eastAsia" w:ascii="宋体" w:hAnsi="宋体"/>
          <w:sz w:val="24"/>
          <w:szCs w:val="24"/>
          <w:highlight w:val="none"/>
          <w:lang w:eastAsia="zh-CN"/>
        </w:rPr>
        <w:t>优先考虑。</w:t>
      </w:r>
    </w:p>
    <w:p w14:paraId="1C4CBE8C">
      <w:pPr>
        <w:pStyle w:val="4"/>
        <w:ind w:firstLine="480"/>
      </w:pPr>
    </w:p>
    <w:p w14:paraId="4736CE2F">
      <w:pPr>
        <w:numPr>
          <w:ilvl w:val="0"/>
          <w:numId w:val="3"/>
        </w:numPr>
        <w:adjustRightInd w:val="0"/>
        <w:snapToGrid w:val="0"/>
        <w:rPr>
          <w:rFonts w:hint="eastAsia" w:ascii="宋体" w:hAnsi="宋体" w:cs="Arial"/>
          <w:b/>
          <w:bCs/>
          <w:sz w:val="28"/>
          <w:szCs w:val="28"/>
        </w:rPr>
      </w:pPr>
      <w:r>
        <w:rPr>
          <w:rFonts w:hint="eastAsia" w:ascii="宋体" w:hAnsi="宋体" w:cs="Arial"/>
          <w:b/>
          <w:bCs/>
          <w:sz w:val="28"/>
          <w:szCs w:val="28"/>
        </w:rPr>
        <w:t>项目</w:t>
      </w:r>
      <w:r>
        <w:rPr>
          <w:rFonts w:ascii="宋体" w:hAnsi="宋体" w:cs="Arial"/>
          <w:b/>
          <w:bCs/>
          <w:sz w:val="28"/>
          <w:szCs w:val="28"/>
        </w:rPr>
        <w:t>实施</w:t>
      </w:r>
    </w:p>
    <w:p w14:paraId="1C90CC4D">
      <w:pPr>
        <w:pStyle w:val="7"/>
        <w:numPr>
          <w:ilvl w:val="0"/>
          <w:numId w:val="5"/>
        </w:numPr>
        <w:rPr>
          <w:rFonts w:hint="eastAsia"/>
          <w:color w:val="auto"/>
        </w:rPr>
      </w:pPr>
      <w:r>
        <w:rPr>
          <w:color w:val="auto"/>
        </w:rPr>
        <w:t>实施进度</w:t>
      </w:r>
    </w:p>
    <w:p w14:paraId="79FA56AC">
      <w:pPr>
        <w:adjustRightInd w:val="0"/>
        <w:snapToGrid w:val="0"/>
        <w:ind w:firstLine="360" w:firstLineChars="150"/>
        <w:rPr>
          <w:rFonts w:hint="eastAsia" w:ascii="宋体" w:hAnsi="宋体" w:cs="Arial"/>
          <w:sz w:val="24"/>
          <w:szCs w:val="24"/>
        </w:rPr>
      </w:pPr>
      <w:r>
        <w:rPr>
          <w:rFonts w:ascii="宋体" w:hAnsi="宋体" w:cs="Arial"/>
          <w:sz w:val="24"/>
          <w:szCs w:val="24"/>
        </w:rPr>
        <w:t>响应供应商应按照下表的时间进度，制定相应的项目实施详细进度计划。</w:t>
      </w:r>
    </w:p>
    <w:p w14:paraId="13DC073D">
      <w:pPr>
        <w:adjustRightInd w:val="0"/>
        <w:snapToGrid w:val="0"/>
        <w:ind w:firstLine="360" w:firstLineChars="150"/>
        <w:rPr>
          <w:rFonts w:hint="eastAsia" w:ascii="宋体" w:hAnsi="宋体" w:cs="Arial"/>
          <w:sz w:val="24"/>
          <w:szCs w:val="24"/>
        </w:rPr>
      </w:pPr>
      <w:r>
        <w:rPr>
          <w:rFonts w:hint="eastAsia" w:ascii="宋体" w:hAnsi="宋体" w:cs="Arial"/>
          <w:sz w:val="24"/>
          <w:szCs w:val="24"/>
        </w:rPr>
        <w:t>项目建设周期共</w:t>
      </w:r>
      <w:r>
        <w:rPr>
          <w:rFonts w:ascii="宋体" w:hAnsi="宋体" w:cs="Arial"/>
          <w:sz w:val="24"/>
          <w:szCs w:val="24"/>
        </w:rPr>
        <w:t>2</w:t>
      </w:r>
      <w:r>
        <w:rPr>
          <w:rFonts w:hint="eastAsia" w:ascii="宋体" w:hAnsi="宋体" w:cs="Arial"/>
          <w:sz w:val="24"/>
          <w:szCs w:val="24"/>
        </w:rPr>
        <w:t>个月。</w:t>
      </w:r>
    </w:p>
    <w:tbl>
      <w:tblPr>
        <w:tblStyle w:val="16"/>
        <w:tblW w:w="7727"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8"/>
        <w:gridCol w:w="3929"/>
      </w:tblGrid>
      <w:tr w14:paraId="189B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3798" w:type="dxa"/>
            <w:shd w:val="clear" w:color="auto" w:fill="D9D9D9"/>
            <w:vAlign w:val="center"/>
          </w:tcPr>
          <w:p w14:paraId="7B0E6149">
            <w:pPr>
              <w:pStyle w:val="15"/>
              <w:adjustRightInd w:val="0"/>
              <w:snapToGrid w:val="0"/>
              <w:spacing w:after="0"/>
              <w:ind w:left="0" w:leftChars="0"/>
              <w:jc w:val="center"/>
              <w:rPr>
                <w:rFonts w:hint="eastAsia" w:ascii="宋体" w:hAnsi="宋体" w:eastAsia="宋体" w:cs="Arial"/>
                <w:b/>
                <w:sz w:val="24"/>
                <w:szCs w:val="24"/>
              </w:rPr>
            </w:pPr>
            <w:r>
              <w:rPr>
                <w:rFonts w:ascii="宋体" w:hAnsi="宋体" w:eastAsia="宋体" w:cs="Arial"/>
                <w:b/>
                <w:sz w:val="24"/>
                <w:szCs w:val="24"/>
              </w:rPr>
              <w:t>项目</w:t>
            </w:r>
          </w:p>
        </w:tc>
        <w:tc>
          <w:tcPr>
            <w:tcW w:w="3929" w:type="dxa"/>
            <w:shd w:val="clear" w:color="auto" w:fill="D9D9D9"/>
            <w:vAlign w:val="center"/>
          </w:tcPr>
          <w:p w14:paraId="71B71B36">
            <w:pPr>
              <w:pStyle w:val="15"/>
              <w:adjustRightInd w:val="0"/>
              <w:snapToGrid w:val="0"/>
              <w:spacing w:after="0"/>
              <w:ind w:left="0" w:leftChars="0"/>
              <w:jc w:val="center"/>
              <w:rPr>
                <w:rFonts w:hint="eastAsia" w:ascii="宋体" w:hAnsi="宋体" w:eastAsia="宋体" w:cs="Arial"/>
                <w:b/>
                <w:sz w:val="24"/>
                <w:szCs w:val="24"/>
              </w:rPr>
            </w:pPr>
            <w:r>
              <w:rPr>
                <w:rFonts w:ascii="宋体" w:hAnsi="宋体" w:eastAsia="宋体" w:cs="Arial"/>
                <w:b/>
                <w:sz w:val="24"/>
                <w:szCs w:val="24"/>
              </w:rPr>
              <w:t>日期</w:t>
            </w:r>
          </w:p>
        </w:tc>
      </w:tr>
      <w:tr w14:paraId="1EFCA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798" w:type="dxa"/>
            <w:vAlign w:val="center"/>
          </w:tcPr>
          <w:p w14:paraId="2F7FDD36">
            <w:pPr>
              <w:pStyle w:val="15"/>
              <w:adjustRightInd w:val="0"/>
              <w:snapToGrid w:val="0"/>
              <w:spacing w:after="0"/>
              <w:ind w:left="0" w:leftChars="0" w:firstLine="420"/>
              <w:rPr>
                <w:rFonts w:hint="eastAsia" w:ascii="宋体" w:hAnsi="宋体" w:eastAsia="宋体" w:cs="Arial"/>
                <w:sz w:val="24"/>
                <w:szCs w:val="24"/>
              </w:rPr>
            </w:pPr>
            <w:r>
              <w:rPr>
                <w:rFonts w:hint="eastAsia" w:ascii="宋体" w:hAnsi="宋体" w:eastAsia="宋体" w:cs="Arial"/>
                <w:sz w:val="24"/>
                <w:szCs w:val="24"/>
              </w:rPr>
              <w:t>设备购置及部署</w:t>
            </w:r>
          </w:p>
        </w:tc>
        <w:tc>
          <w:tcPr>
            <w:tcW w:w="3929" w:type="dxa"/>
            <w:vAlign w:val="center"/>
          </w:tcPr>
          <w:p w14:paraId="57562600">
            <w:pPr>
              <w:pStyle w:val="15"/>
              <w:adjustRightInd w:val="0"/>
              <w:snapToGrid w:val="0"/>
              <w:spacing w:after="0"/>
              <w:ind w:left="0" w:leftChars="0" w:firstLine="420"/>
              <w:rPr>
                <w:rFonts w:hint="eastAsia" w:ascii="宋体" w:hAnsi="宋体" w:eastAsia="宋体" w:cs="Arial"/>
                <w:sz w:val="24"/>
                <w:szCs w:val="24"/>
              </w:rPr>
            </w:pPr>
            <w:r>
              <w:rPr>
                <w:rFonts w:hint="eastAsia" w:ascii="宋体" w:hAnsi="宋体" w:eastAsia="宋体" w:cs="Arial"/>
                <w:sz w:val="24"/>
                <w:szCs w:val="24"/>
              </w:rPr>
              <w:t>合同生效后0.5个月内</w:t>
            </w:r>
          </w:p>
        </w:tc>
      </w:tr>
      <w:tr w14:paraId="0ED9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798" w:type="dxa"/>
            <w:vAlign w:val="center"/>
          </w:tcPr>
          <w:p w14:paraId="5EE4E796">
            <w:pPr>
              <w:pStyle w:val="15"/>
              <w:adjustRightInd w:val="0"/>
              <w:snapToGrid w:val="0"/>
              <w:spacing w:after="0"/>
              <w:ind w:left="0" w:leftChars="0" w:firstLine="420"/>
              <w:rPr>
                <w:rFonts w:hint="eastAsia" w:ascii="宋体" w:hAnsi="宋体" w:eastAsia="宋体" w:cs="Arial"/>
                <w:sz w:val="24"/>
                <w:szCs w:val="24"/>
              </w:rPr>
            </w:pPr>
            <w:r>
              <w:rPr>
                <w:rFonts w:hint="eastAsia" w:ascii="宋体" w:hAnsi="宋体" w:eastAsia="宋体" w:cs="Arial"/>
                <w:sz w:val="24"/>
                <w:szCs w:val="24"/>
              </w:rPr>
              <w:t>项目试运行</w:t>
            </w:r>
          </w:p>
        </w:tc>
        <w:tc>
          <w:tcPr>
            <w:tcW w:w="3929" w:type="dxa"/>
            <w:vAlign w:val="center"/>
          </w:tcPr>
          <w:p w14:paraId="0E954089">
            <w:pPr>
              <w:pStyle w:val="15"/>
              <w:adjustRightInd w:val="0"/>
              <w:snapToGrid w:val="0"/>
              <w:spacing w:after="0"/>
              <w:ind w:left="0" w:leftChars="0" w:firstLine="420"/>
              <w:rPr>
                <w:rFonts w:hint="eastAsia" w:ascii="宋体" w:hAnsi="宋体" w:eastAsia="宋体" w:cs="Arial"/>
                <w:sz w:val="24"/>
                <w:szCs w:val="24"/>
              </w:rPr>
            </w:pPr>
            <w:r>
              <w:rPr>
                <w:rFonts w:hint="eastAsia" w:ascii="宋体" w:hAnsi="宋体" w:eastAsia="宋体" w:cs="Arial"/>
                <w:sz w:val="24"/>
                <w:szCs w:val="24"/>
              </w:rPr>
              <w:t>试运行</w:t>
            </w:r>
            <w:r>
              <w:rPr>
                <w:rFonts w:hint="eastAsia" w:ascii="宋体" w:hAnsi="宋体" w:eastAsia="宋体" w:cs="宋体"/>
                <w:sz w:val="24"/>
                <w:szCs w:val="24"/>
              </w:rPr>
              <w:t>至少</w:t>
            </w:r>
            <w:r>
              <w:rPr>
                <w:rFonts w:hint="eastAsia" w:ascii="宋体" w:hAnsi="宋体" w:eastAsia="宋体" w:cs="Arial"/>
                <w:sz w:val="24"/>
                <w:szCs w:val="24"/>
              </w:rPr>
              <w:t>1个月</w:t>
            </w:r>
          </w:p>
        </w:tc>
      </w:tr>
      <w:tr w14:paraId="0BD5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798" w:type="dxa"/>
            <w:vAlign w:val="center"/>
          </w:tcPr>
          <w:p w14:paraId="4696A5DD">
            <w:pPr>
              <w:pStyle w:val="15"/>
              <w:adjustRightInd w:val="0"/>
              <w:snapToGrid w:val="0"/>
              <w:spacing w:after="0"/>
              <w:ind w:left="0" w:leftChars="0" w:firstLine="420"/>
              <w:rPr>
                <w:rFonts w:hint="eastAsia" w:ascii="宋体" w:hAnsi="宋体" w:eastAsia="宋体" w:cs="Arial"/>
                <w:sz w:val="24"/>
                <w:szCs w:val="24"/>
              </w:rPr>
            </w:pPr>
            <w:r>
              <w:rPr>
                <w:rFonts w:hint="eastAsia" w:ascii="宋体" w:hAnsi="宋体" w:eastAsia="宋体" w:cs="Arial"/>
                <w:sz w:val="24"/>
                <w:szCs w:val="24"/>
              </w:rPr>
              <w:t>项目</w:t>
            </w:r>
            <w:r>
              <w:rPr>
                <w:rFonts w:ascii="宋体" w:hAnsi="宋体" w:eastAsia="宋体" w:cs="Arial"/>
                <w:sz w:val="24"/>
                <w:szCs w:val="24"/>
              </w:rPr>
              <w:t>验收</w:t>
            </w:r>
            <w:r>
              <w:rPr>
                <w:rFonts w:hint="eastAsia" w:ascii="宋体" w:hAnsi="宋体" w:eastAsia="宋体" w:cs="Arial"/>
                <w:sz w:val="24"/>
                <w:szCs w:val="24"/>
              </w:rPr>
              <w:t>交付</w:t>
            </w:r>
          </w:p>
        </w:tc>
        <w:tc>
          <w:tcPr>
            <w:tcW w:w="3929" w:type="dxa"/>
            <w:vAlign w:val="center"/>
          </w:tcPr>
          <w:p w14:paraId="1C65E382">
            <w:pPr>
              <w:pStyle w:val="15"/>
              <w:adjustRightInd w:val="0"/>
              <w:snapToGrid w:val="0"/>
              <w:spacing w:after="0"/>
              <w:ind w:left="0" w:leftChars="0" w:firstLine="420"/>
              <w:rPr>
                <w:rFonts w:hint="eastAsia" w:ascii="宋体" w:hAnsi="宋体" w:eastAsia="宋体" w:cs="Arial"/>
                <w:sz w:val="24"/>
                <w:szCs w:val="24"/>
              </w:rPr>
            </w:pPr>
            <w:r>
              <w:rPr>
                <w:rFonts w:hint="eastAsia" w:ascii="宋体" w:hAnsi="宋体" w:eastAsia="宋体" w:cs="Arial"/>
                <w:sz w:val="24"/>
                <w:szCs w:val="24"/>
              </w:rPr>
              <w:t>试运行通过0.5个月内</w:t>
            </w:r>
          </w:p>
        </w:tc>
      </w:tr>
    </w:tbl>
    <w:p w14:paraId="1F343134">
      <w:pPr>
        <w:pStyle w:val="7"/>
        <w:numPr>
          <w:ilvl w:val="0"/>
          <w:numId w:val="5"/>
        </w:numPr>
        <w:rPr>
          <w:rFonts w:hint="eastAsia"/>
          <w:color w:val="auto"/>
        </w:rPr>
      </w:pPr>
      <w:r>
        <w:rPr>
          <w:rFonts w:hint="eastAsia"/>
          <w:color w:val="auto"/>
        </w:rPr>
        <w:t>项目人员的要求</w:t>
      </w:r>
    </w:p>
    <w:p w14:paraId="30504A05">
      <w:pPr>
        <w:numPr>
          <w:ilvl w:val="0"/>
          <w:numId w:val="6"/>
        </w:numPr>
        <w:adjustRightInd w:val="0"/>
        <w:snapToGrid w:val="0"/>
        <w:ind w:left="0" w:firstLine="420"/>
        <w:rPr>
          <w:rFonts w:hint="eastAsia" w:ascii="宋体" w:hAnsi="宋体" w:cs="Arial"/>
          <w:sz w:val="24"/>
          <w:szCs w:val="24"/>
        </w:rPr>
      </w:pPr>
      <w:r>
        <w:rPr>
          <w:rFonts w:ascii="宋体" w:hAnsi="宋体" w:cs="Arial"/>
          <w:sz w:val="24"/>
          <w:szCs w:val="24"/>
        </w:rPr>
        <w:t>为保证项目的顺利实施，响应供应商应成立商务与技术支持小组，全方位配合</w:t>
      </w:r>
      <w:r>
        <w:rPr>
          <w:rFonts w:hint="eastAsia" w:ascii="宋体" w:hAnsi="宋体" w:cs="Arial"/>
          <w:sz w:val="24"/>
          <w:szCs w:val="24"/>
        </w:rPr>
        <w:t>用户</w:t>
      </w:r>
      <w:r>
        <w:rPr>
          <w:rFonts w:ascii="宋体" w:hAnsi="宋体" w:cs="Arial"/>
          <w:sz w:val="24"/>
          <w:szCs w:val="24"/>
        </w:rPr>
        <w:t>。</w:t>
      </w:r>
    </w:p>
    <w:p w14:paraId="13346927">
      <w:pPr>
        <w:numPr>
          <w:ilvl w:val="0"/>
          <w:numId w:val="6"/>
        </w:numPr>
        <w:adjustRightInd w:val="0"/>
        <w:snapToGrid w:val="0"/>
        <w:ind w:left="0" w:firstLine="420"/>
        <w:rPr>
          <w:rFonts w:hint="eastAsia" w:ascii="宋体" w:hAnsi="宋体" w:cs="Arial"/>
          <w:sz w:val="24"/>
          <w:szCs w:val="24"/>
        </w:rPr>
      </w:pPr>
      <w:r>
        <w:rPr>
          <w:rFonts w:ascii="宋体" w:hAnsi="宋体" w:cs="Arial"/>
          <w:sz w:val="24"/>
          <w:szCs w:val="24"/>
        </w:rPr>
        <w:t>响应供应商应在响应文件中提供项目实施详细进度计划和项目小组人员名单和职责。</w:t>
      </w:r>
    </w:p>
    <w:p w14:paraId="5CB2ADA5">
      <w:pPr>
        <w:numPr>
          <w:ilvl w:val="0"/>
          <w:numId w:val="6"/>
        </w:numPr>
        <w:adjustRightInd w:val="0"/>
        <w:snapToGrid w:val="0"/>
        <w:ind w:left="0" w:firstLine="420"/>
        <w:rPr>
          <w:rFonts w:hint="eastAsia" w:ascii="宋体" w:hAnsi="宋体"/>
          <w:bCs/>
          <w:sz w:val="24"/>
          <w:szCs w:val="24"/>
        </w:rPr>
      </w:pPr>
      <w:r>
        <w:rPr>
          <w:rFonts w:hint="eastAsia" w:ascii="宋体" w:hAnsi="宋体"/>
          <w:bCs/>
          <w:sz w:val="24"/>
          <w:szCs w:val="24"/>
        </w:rPr>
        <w:t>系统在通过验收前现场需留驻足够的实施人员。</w:t>
      </w:r>
    </w:p>
    <w:p w14:paraId="4DBC80C9">
      <w:pPr>
        <w:numPr>
          <w:ilvl w:val="0"/>
          <w:numId w:val="6"/>
        </w:numPr>
        <w:adjustRightInd w:val="0"/>
        <w:snapToGrid w:val="0"/>
        <w:ind w:left="0" w:firstLine="420"/>
        <w:rPr>
          <w:rFonts w:hint="eastAsia" w:ascii="宋体" w:hAnsi="宋体"/>
          <w:bCs/>
          <w:sz w:val="24"/>
          <w:szCs w:val="24"/>
        </w:rPr>
      </w:pPr>
      <w:r>
        <w:rPr>
          <w:rFonts w:hint="eastAsia" w:ascii="宋体" w:hAnsi="宋体"/>
          <w:bCs/>
          <w:sz w:val="24"/>
          <w:szCs w:val="24"/>
        </w:rPr>
        <w:t>用户方有权根据实施情况要求更换项目经理和实施人员。</w:t>
      </w:r>
    </w:p>
    <w:p w14:paraId="53A583CC">
      <w:pPr>
        <w:numPr>
          <w:ilvl w:val="0"/>
          <w:numId w:val="6"/>
        </w:numPr>
        <w:adjustRightInd w:val="0"/>
        <w:snapToGrid w:val="0"/>
        <w:ind w:left="0" w:firstLine="420"/>
        <w:rPr>
          <w:rFonts w:hint="eastAsia" w:ascii="宋体" w:hAnsi="宋体" w:cs="Arial"/>
          <w:sz w:val="24"/>
          <w:szCs w:val="24"/>
        </w:rPr>
      </w:pPr>
      <w:r>
        <w:rPr>
          <w:rFonts w:hint="eastAsia" w:ascii="宋体" w:hAnsi="宋体"/>
          <w:sz w:val="24"/>
          <w:szCs w:val="24"/>
        </w:rPr>
        <w:t>对响应供应商项目经理等级基本要求：要求响应供应商针对本项目成立项目小</w:t>
      </w:r>
      <w:r>
        <w:rPr>
          <w:rFonts w:hint="eastAsia" w:ascii="宋体" w:hAnsi="宋体" w:cs="Arial"/>
          <w:sz w:val="24"/>
          <w:szCs w:val="24"/>
        </w:rPr>
        <w:t>组，在响应文件中提供书面名单，人员一旦得到确认，无特殊理由不得随意变动，其中项目经理具有相当资质，项目经理未得到用户方同意的情况下不得随意更换。</w:t>
      </w:r>
    </w:p>
    <w:p w14:paraId="0FBE0EB7">
      <w:pPr>
        <w:numPr>
          <w:ilvl w:val="0"/>
          <w:numId w:val="6"/>
        </w:numPr>
        <w:adjustRightInd w:val="0"/>
        <w:snapToGrid w:val="0"/>
        <w:ind w:left="0" w:firstLine="420"/>
        <w:rPr>
          <w:rFonts w:hint="eastAsia" w:ascii="宋体" w:hAnsi="宋体"/>
          <w:sz w:val="24"/>
          <w:szCs w:val="24"/>
        </w:rPr>
      </w:pPr>
      <w:r>
        <w:rPr>
          <w:rFonts w:hint="eastAsia" w:ascii="宋体" w:hAnsi="宋体"/>
          <w:sz w:val="24"/>
          <w:szCs w:val="24"/>
        </w:rPr>
        <w:t>项目</w:t>
      </w:r>
      <w:r>
        <w:rPr>
          <w:rFonts w:hint="eastAsia" w:ascii="宋体" w:hAnsi="宋体"/>
          <w:sz w:val="24"/>
          <w:szCs w:val="24"/>
          <w:lang w:eastAsia="zh-CN"/>
        </w:rPr>
        <w:t>经理</w:t>
      </w:r>
      <w:r>
        <w:rPr>
          <w:rFonts w:hint="eastAsia" w:ascii="宋体" w:hAnsi="宋体"/>
          <w:sz w:val="24"/>
          <w:szCs w:val="24"/>
        </w:rPr>
        <w:t>具有10年以上工作经历，承担过信息系统集成项目的项目</w:t>
      </w:r>
      <w:r>
        <w:rPr>
          <w:rFonts w:hint="eastAsia" w:ascii="宋体" w:hAnsi="宋体"/>
          <w:sz w:val="24"/>
          <w:szCs w:val="24"/>
          <w:lang w:eastAsia="zh-CN"/>
        </w:rPr>
        <w:t>经理</w:t>
      </w:r>
      <w:r>
        <w:rPr>
          <w:rFonts w:hint="eastAsia" w:ascii="宋体" w:hAnsi="宋体"/>
          <w:sz w:val="24"/>
          <w:szCs w:val="24"/>
        </w:rPr>
        <w:t>职务的优先考虑。</w:t>
      </w:r>
    </w:p>
    <w:p w14:paraId="368DDE16">
      <w:pPr>
        <w:numPr>
          <w:ilvl w:val="0"/>
          <w:numId w:val="6"/>
        </w:numPr>
        <w:adjustRightInd w:val="0"/>
        <w:snapToGrid w:val="0"/>
        <w:ind w:left="0" w:firstLine="420"/>
        <w:rPr>
          <w:rFonts w:hint="eastAsia" w:ascii="宋体" w:hAnsi="宋体"/>
          <w:sz w:val="24"/>
          <w:szCs w:val="24"/>
        </w:rPr>
      </w:pPr>
      <w:r>
        <w:rPr>
          <w:rFonts w:hint="eastAsia" w:ascii="宋体" w:hAnsi="宋体"/>
          <w:sz w:val="24"/>
          <w:szCs w:val="24"/>
        </w:rPr>
        <w:t>项目组人员至少具备一级建造师（机电方向）、CISP注册信息安全专业证书人员1名。</w:t>
      </w:r>
    </w:p>
    <w:p w14:paraId="304D12F8">
      <w:pPr>
        <w:numPr>
          <w:ilvl w:val="0"/>
          <w:numId w:val="6"/>
        </w:numPr>
        <w:adjustRightInd w:val="0"/>
        <w:snapToGrid w:val="0"/>
        <w:ind w:left="0" w:firstLine="420"/>
        <w:rPr>
          <w:rFonts w:hint="eastAsia" w:ascii="宋体" w:hAnsi="宋体"/>
          <w:sz w:val="24"/>
          <w:szCs w:val="24"/>
        </w:rPr>
      </w:pPr>
      <w:r>
        <w:rPr>
          <w:rFonts w:hint="eastAsia" w:ascii="宋体" w:hAnsi="宋体"/>
          <w:sz w:val="24"/>
          <w:szCs w:val="24"/>
        </w:rPr>
        <w:t>供应商提供在项目实施完成后提供算力运维工程师一年免费驻场服务。</w:t>
      </w:r>
    </w:p>
    <w:p w14:paraId="0DAE3581">
      <w:pPr>
        <w:pStyle w:val="7"/>
        <w:numPr>
          <w:ilvl w:val="0"/>
          <w:numId w:val="5"/>
        </w:numPr>
        <w:rPr>
          <w:rFonts w:hint="eastAsia"/>
          <w:color w:val="auto"/>
        </w:rPr>
      </w:pPr>
      <w:r>
        <w:rPr>
          <w:rFonts w:hint="eastAsia"/>
          <w:color w:val="auto"/>
        </w:rPr>
        <w:t>安装、调试</w:t>
      </w:r>
    </w:p>
    <w:p w14:paraId="6F47522E">
      <w:pPr>
        <w:numPr>
          <w:ilvl w:val="0"/>
          <w:numId w:val="7"/>
        </w:numPr>
        <w:adjustRightInd w:val="0"/>
        <w:snapToGrid w:val="0"/>
        <w:ind w:left="0" w:firstLine="420"/>
        <w:rPr>
          <w:rFonts w:hint="eastAsia" w:ascii="宋体" w:hAnsi="宋体"/>
          <w:sz w:val="24"/>
          <w:szCs w:val="24"/>
        </w:rPr>
      </w:pPr>
      <w:r>
        <w:rPr>
          <w:rFonts w:ascii="宋体" w:hAnsi="宋体"/>
          <w:sz w:val="24"/>
          <w:szCs w:val="24"/>
        </w:rPr>
        <w:t>合同签</w:t>
      </w:r>
      <w:r>
        <w:rPr>
          <w:rFonts w:hint="eastAsia" w:ascii="宋体" w:hAnsi="宋体"/>
          <w:sz w:val="24"/>
          <w:szCs w:val="24"/>
        </w:rPr>
        <w:t>订</w:t>
      </w:r>
      <w:r>
        <w:rPr>
          <w:rFonts w:ascii="宋体" w:hAnsi="宋体"/>
          <w:sz w:val="24"/>
          <w:szCs w:val="24"/>
        </w:rPr>
        <w:t>一周内，响应供应商向用户提交</w:t>
      </w:r>
      <w:r>
        <w:rPr>
          <w:rFonts w:hint="eastAsia" w:ascii="宋体" w:hAnsi="宋体"/>
          <w:sz w:val="24"/>
          <w:szCs w:val="24"/>
        </w:rPr>
        <w:t>设备安装机房建设</w:t>
      </w:r>
      <w:r>
        <w:rPr>
          <w:rFonts w:ascii="宋体" w:hAnsi="宋体"/>
          <w:sz w:val="24"/>
          <w:szCs w:val="24"/>
        </w:rPr>
        <w:t>环境的要求。</w:t>
      </w:r>
      <w:r>
        <w:rPr>
          <w:rFonts w:hint="eastAsia" w:ascii="宋体" w:hAnsi="宋体"/>
          <w:sz w:val="24"/>
          <w:szCs w:val="24"/>
        </w:rPr>
        <w:t>设备</w:t>
      </w:r>
      <w:r>
        <w:rPr>
          <w:rFonts w:ascii="宋体" w:hAnsi="宋体"/>
          <w:sz w:val="24"/>
          <w:szCs w:val="24"/>
        </w:rPr>
        <w:t>安装</w:t>
      </w:r>
      <w:r>
        <w:rPr>
          <w:rFonts w:hint="eastAsia" w:ascii="宋体" w:hAnsi="宋体"/>
          <w:sz w:val="24"/>
          <w:szCs w:val="24"/>
        </w:rPr>
        <w:t>7</w:t>
      </w:r>
      <w:r>
        <w:rPr>
          <w:rFonts w:ascii="宋体" w:hAnsi="宋体"/>
          <w:sz w:val="24"/>
          <w:szCs w:val="24"/>
        </w:rPr>
        <w:t>天以前，响应供应商向用户提交</w:t>
      </w:r>
      <w:r>
        <w:rPr>
          <w:rFonts w:hint="eastAsia" w:ascii="宋体" w:hAnsi="宋体"/>
          <w:sz w:val="24"/>
          <w:szCs w:val="24"/>
        </w:rPr>
        <w:t>设备</w:t>
      </w:r>
      <w:r>
        <w:rPr>
          <w:rFonts w:ascii="宋体" w:hAnsi="宋体"/>
          <w:sz w:val="24"/>
          <w:szCs w:val="24"/>
        </w:rPr>
        <w:t>安装、测试和安装验收的计划方案，该计划方案需经过用户同意方可作为</w:t>
      </w:r>
      <w:r>
        <w:rPr>
          <w:rFonts w:hint="eastAsia" w:ascii="宋体" w:hAnsi="宋体"/>
          <w:sz w:val="24"/>
          <w:szCs w:val="24"/>
        </w:rPr>
        <w:t>设备</w:t>
      </w:r>
      <w:r>
        <w:rPr>
          <w:rFonts w:ascii="宋体" w:hAnsi="宋体"/>
          <w:sz w:val="24"/>
          <w:szCs w:val="24"/>
        </w:rPr>
        <w:t>安装、测试和安装验收的依据。</w:t>
      </w:r>
    </w:p>
    <w:p w14:paraId="1E289105">
      <w:pPr>
        <w:numPr>
          <w:ilvl w:val="0"/>
          <w:numId w:val="7"/>
        </w:numPr>
        <w:adjustRightInd w:val="0"/>
        <w:snapToGrid w:val="0"/>
        <w:ind w:left="0" w:firstLine="420"/>
        <w:rPr>
          <w:rFonts w:hint="eastAsia" w:ascii="宋体" w:hAnsi="宋体"/>
          <w:sz w:val="24"/>
          <w:szCs w:val="24"/>
        </w:rPr>
      </w:pPr>
      <w:r>
        <w:rPr>
          <w:rFonts w:ascii="宋体" w:hAnsi="宋体"/>
          <w:sz w:val="24"/>
          <w:szCs w:val="24"/>
        </w:rPr>
        <w:t>响应供应商应承担所供产品的安装、调试和配置工作，同时应提供完整的安装调试文档及系统配置文件。</w:t>
      </w:r>
    </w:p>
    <w:p w14:paraId="15502C49">
      <w:pPr>
        <w:numPr>
          <w:ilvl w:val="0"/>
          <w:numId w:val="7"/>
        </w:numPr>
        <w:adjustRightInd w:val="0"/>
        <w:snapToGrid w:val="0"/>
        <w:ind w:left="0" w:firstLine="420"/>
        <w:rPr>
          <w:rFonts w:hint="eastAsia" w:ascii="宋体" w:hAnsi="宋体"/>
          <w:sz w:val="24"/>
          <w:szCs w:val="24"/>
        </w:rPr>
      </w:pPr>
      <w:r>
        <w:rPr>
          <w:rFonts w:ascii="宋体" w:hAnsi="宋体"/>
          <w:sz w:val="24"/>
          <w:szCs w:val="24"/>
        </w:rPr>
        <w:t>响应供应商应全力与用户及其他相关产品供应商配合，保证系统按时、正常地投入运行。</w:t>
      </w:r>
    </w:p>
    <w:p w14:paraId="3FBF9A3A">
      <w:pPr>
        <w:numPr>
          <w:ilvl w:val="0"/>
          <w:numId w:val="7"/>
        </w:numPr>
        <w:adjustRightInd w:val="0"/>
        <w:snapToGrid w:val="0"/>
        <w:ind w:left="0" w:firstLine="420"/>
        <w:rPr>
          <w:rFonts w:hint="eastAsia" w:ascii="宋体" w:hAnsi="宋体"/>
          <w:sz w:val="24"/>
          <w:szCs w:val="24"/>
        </w:rPr>
      </w:pPr>
      <w:r>
        <w:rPr>
          <w:rFonts w:ascii="宋体" w:hAnsi="宋体"/>
          <w:sz w:val="24"/>
          <w:szCs w:val="24"/>
        </w:rPr>
        <w:t>响应供应商需保证所配置的产品有合法的使用权。</w:t>
      </w:r>
    </w:p>
    <w:p w14:paraId="348C7545">
      <w:pPr>
        <w:numPr>
          <w:ilvl w:val="0"/>
          <w:numId w:val="3"/>
        </w:numPr>
        <w:adjustRightInd w:val="0"/>
        <w:snapToGrid w:val="0"/>
        <w:rPr>
          <w:rFonts w:hint="eastAsia" w:ascii="宋体" w:hAnsi="宋体" w:cs="Arial"/>
          <w:b/>
          <w:bCs/>
          <w:sz w:val="28"/>
          <w:szCs w:val="28"/>
        </w:rPr>
      </w:pPr>
      <w:r>
        <w:rPr>
          <w:rFonts w:hint="eastAsia" w:ascii="宋体" w:hAnsi="宋体" w:cs="Arial"/>
          <w:b/>
          <w:bCs/>
          <w:sz w:val="28"/>
          <w:szCs w:val="28"/>
        </w:rPr>
        <w:t>项目验收</w:t>
      </w:r>
    </w:p>
    <w:p w14:paraId="0B7B9583">
      <w:pPr>
        <w:numPr>
          <w:ilvl w:val="255"/>
          <w:numId w:val="0"/>
        </w:numPr>
        <w:adjustRightInd w:val="0"/>
        <w:snapToGrid w:val="0"/>
        <w:ind w:left="0" w:firstLine="480" w:firstLineChars="200"/>
        <w:rPr>
          <w:rFonts w:hint="eastAsia" w:ascii="宋体" w:hAnsi="宋体"/>
          <w:sz w:val="24"/>
          <w:szCs w:val="24"/>
        </w:rPr>
      </w:pPr>
      <w:r>
        <w:rPr>
          <w:rFonts w:ascii="宋体" w:hAnsi="宋体"/>
          <w:sz w:val="24"/>
          <w:szCs w:val="24"/>
        </w:rPr>
        <w:t>系统验收合格的条件</w:t>
      </w:r>
      <w:r>
        <w:rPr>
          <w:rFonts w:hint="eastAsia" w:ascii="宋体" w:hAnsi="宋体"/>
          <w:sz w:val="24"/>
          <w:szCs w:val="24"/>
        </w:rPr>
        <w:t>：</w:t>
      </w:r>
      <w:r>
        <w:rPr>
          <w:rFonts w:ascii="宋体" w:hAnsi="宋体"/>
          <w:sz w:val="24"/>
          <w:szCs w:val="24"/>
        </w:rPr>
        <w:t>试运行时性能满足合同要求；测试和试运行验收时出现的问题已被解决；已提供了合同的全部货物和资料。</w:t>
      </w:r>
    </w:p>
    <w:p w14:paraId="1F2373F8">
      <w:pPr>
        <w:numPr>
          <w:ilvl w:val="0"/>
          <w:numId w:val="3"/>
        </w:numPr>
        <w:adjustRightInd w:val="0"/>
        <w:snapToGrid w:val="0"/>
        <w:rPr>
          <w:rFonts w:hint="eastAsia" w:ascii="宋体" w:hAnsi="宋体" w:cs="Arial"/>
          <w:b/>
          <w:bCs/>
          <w:sz w:val="28"/>
          <w:szCs w:val="28"/>
        </w:rPr>
      </w:pPr>
      <w:r>
        <w:rPr>
          <w:rFonts w:hint="eastAsia" w:ascii="宋体" w:hAnsi="宋体" w:cs="Arial"/>
          <w:b/>
          <w:bCs/>
          <w:sz w:val="28"/>
          <w:szCs w:val="28"/>
        </w:rPr>
        <w:t>技术文档</w:t>
      </w:r>
    </w:p>
    <w:p w14:paraId="2E24BF78">
      <w:pPr>
        <w:adjustRightInd w:val="0"/>
        <w:snapToGrid w:val="0"/>
        <w:ind w:firstLine="480" w:firstLineChars="200"/>
        <w:rPr>
          <w:rFonts w:hint="eastAsia" w:ascii="宋体" w:hAnsi="宋体"/>
          <w:sz w:val="24"/>
          <w:szCs w:val="24"/>
        </w:rPr>
      </w:pPr>
      <w:r>
        <w:rPr>
          <w:rFonts w:hint="eastAsia" w:ascii="宋体" w:hAnsi="宋体"/>
          <w:bCs/>
          <w:sz w:val="24"/>
          <w:szCs w:val="24"/>
        </w:rPr>
        <w:t>项目系统验收前响应供应商需按院方要求提供详细的技术文档，包含但不限于：使用说明书、维护手册等</w:t>
      </w:r>
      <w:r>
        <w:rPr>
          <w:rFonts w:hint="eastAsia" w:ascii="宋体" w:hAnsi="宋体"/>
          <w:sz w:val="24"/>
          <w:szCs w:val="24"/>
        </w:rPr>
        <w:t>。</w:t>
      </w:r>
    </w:p>
    <w:p w14:paraId="52D23848">
      <w:pPr>
        <w:pStyle w:val="2"/>
        <w:rPr>
          <w:rFonts w:hint="eastAsia" w:ascii="宋体" w:hAnsi="宋体"/>
        </w:rPr>
      </w:pPr>
      <w:r>
        <w:rPr>
          <w:rFonts w:hint="eastAsia" w:ascii="宋体" w:hAnsi="宋体"/>
        </w:rPr>
        <w:t>系统维护、售后服务和培训</w:t>
      </w:r>
    </w:p>
    <w:p w14:paraId="65C60C41">
      <w:pPr>
        <w:pStyle w:val="7"/>
        <w:numPr>
          <w:ilvl w:val="0"/>
          <w:numId w:val="8"/>
        </w:numPr>
        <w:rPr>
          <w:rFonts w:hint="eastAsia"/>
          <w:color w:val="auto"/>
        </w:rPr>
      </w:pPr>
      <w:r>
        <w:rPr>
          <w:rFonts w:hint="eastAsia"/>
          <w:color w:val="auto"/>
        </w:rPr>
        <w:t>免费维护期</w:t>
      </w:r>
    </w:p>
    <w:p w14:paraId="79D0FB3E">
      <w:pPr>
        <w:pStyle w:val="21"/>
        <w:spacing w:line="360" w:lineRule="auto"/>
        <w:ind w:firstLine="480"/>
        <w:rPr>
          <w:rFonts w:hint="eastAsia" w:ascii="宋体" w:hAnsi="宋体"/>
          <w:sz w:val="24"/>
          <w:szCs w:val="24"/>
        </w:rPr>
      </w:pPr>
      <w:r>
        <w:rPr>
          <w:rFonts w:hint="eastAsia" w:ascii="宋体" w:hAnsi="宋体"/>
          <w:sz w:val="24"/>
          <w:szCs w:val="24"/>
        </w:rPr>
        <w:t>响应供应商应设立常驻售后服务机构，提供验收后1年的</w:t>
      </w:r>
      <w:r>
        <w:rPr>
          <w:rFonts w:ascii="宋体" w:hAnsi="宋体"/>
          <w:sz w:val="24"/>
          <w:szCs w:val="24"/>
        </w:rPr>
        <w:t>7*24小时</w:t>
      </w:r>
      <w:r>
        <w:rPr>
          <w:rFonts w:hint="eastAsia" w:ascii="宋体" w:hAnsi="宋体"/>
          <w:sz w:val="24"/>
          <w:szCs w:val="24"/>
        </w:rPr>
        <w:t>的</w:t>
      </w:r>
      <w:r>
        <w:rPr>
          <w:rFonts w:ascii="宋体" w:hAnsi="宋体"/>
          <w:sz w:val="24"/>
          <w:szCs w:val="24"/>
        </w:rPr>
        <w:t>免费维护</w:t>
      </w:r>
      <w:r>
        <w:rPr>
          <w:rFonts w:hint="eastAsia" w:ascii="宋体" w:hAnsi="宋体"/>
          <w:sz w:val="24"/>
          <w:szCs w:val="24"/>
        </w:rPr>
        <w:t>。免费维护期内响应供应商应对安全系统进行常规安全检查，并提供</w:t>
      </w:r>
      <w:r>
        <w:rPr>
          <w:rFonts w:hint="eastAsia" w:ascii="宋体" w:hAnsi="宋体"/>
          <w:sz w:val="24"/>
        </w:rPr>
        <w:t>AI运维工程师一年驻场服务。</w:t>
      </w:r>
    </w:p>
    <w:p w14:paraId="799177DD">
      <w:pPr>
        <w:rPr>
          <w:rFonts w:hint="eastAsia" w:ascii="宋体" w:hAnsi="宋体" w:eastAsia="宋体"/>
          <w:sz w:val="24"/>
          <w:szCs w:val="24"/>
          <w:lang w:val="en-US" w:eastAsia="zh-CN"/>
        </w:rPr>
      </w:pPr>
      <w:r>
        <w:rPr>
          <w:rFonts w:hint="eastAsia" w:ascii="宋体" w:hAnsi="宋体"/>
          <w:sz w:val="24"/>
          <w:szCs w:val="24"/>
          <w:lang w:val="en-US" w:eastAsia="zh-CN"/>
        </w:rPr>
        <w:t xml:space="preserve">    </w:t>
      </w:r>
      <w:r>
        <w:rPr>
          <w:rFonts w:hint="eastAsia" w:ascii="宋体" w:hAnsi="宋体"/>
          <w:sz w:val="24"/>
          <w:szCs w:val="24"/>
          <w:lang w:eastAsia="zh-CN"/>
        </w:rPr>
        <w:t>系统整体质保期为自验收通过之日起</w:t>
      </w:r>
      <w:r>
        <w:rPr>
          <w:rFonts w:hint="eastAsia" w:ascii="宋体" w:hAnsi="宋体"/>
          <w:sz w:val="24"/>
          <w:szCs w:val="24"/>
          <w:lang w:val="en-US" w:eastAsia="zh-CN"/>
        </w:rPr>
        <w:t>1年，服务器质保期为自验收通过之日起3年。</w:t>
      </w:r>
    </w:p>
    <w:p w14:paraId="72C75BBA">
      <w:pPr>
        <w:pStyle w:val="7"/>
        <w:numPr>
          <w:ilvl w:val="0"/>
          <w:numId w:val="8"/>
        </w:numPr>
        <w:rPr>
          <w:rFonts w:hint="eastAsia"/>
          <w:color w:val="auto"/>
        </w:rPr>
      </w:pPr>
      <w:r>
        <w:rPr>
          <w:rFonts w:hint="eastAsia"/>
          <w:color w:val="auto"/>
        </w:rPr>
        <w:t>售后服务</w:t>
      </w:r>
    </w:p>
    <w:p w14:paraId="6516F1B1">
      <w:pPr>
        <w:numPr>
          <w:ilvl w:val="0"/>
          <w:numId w:val="9"/>
        </w:numPr>
        <w:adjustRightInd w:val="0"/>
        <w:snapToGrid w:val="0"/>
        <w:ind w:left="0" w:firstLine="420"/>
        <w:rPr>
          <w:rFonts w:hint="eastAsia" w:ascii="宋体" w:hAnsi="宋体"/>
          <w:sz w:val="24"/>
          <w:szCs w:val="24"/>
        </w:rPr>
      </w:pPr>
      <w:r>
        <w:rPr>
          <w:rFonts w:ascii="宋体" w:hAnsi="宋体"/>
          <w:bCs/>
          <w:sz w:val="24"/>
          <w:szCs w:val="24"/>
        </w:rPr>
        <w:t>响应供应商负责所供产品的售后服务，包括提供所供产品技术咨询、技术培训、</w:t>
      </w:r>
      <w:r>
        <w:rPr>
          <w:rFonts w:ascii="宋体" w:hAnsi="宋体"/>
          <w:sz w:val="24"/>
          <w:szCs w:val="24"/>
        </w:rPr>
        <w:t>到货验收、安装调试以及负责所供产品的保修及其它售后技术服务。</w:t>
      </w:r>
    </w:p>
    <w:p w14:paraId="739815CF">
      <w:pPr>
        <w:numPr>
          <w:ilvl w:val="0"/>
          <w:numId w:val="9"/>
        </w:numPr>
        <w:adjustRightInd w:val="0"/>
        <w:snapToGrid w:val="0"/>
        <w:ind w:left="0" w:firstLine="420"/>
        <w:rPr>
          <w:rFonts w:hint="eastAsia" w:ascii="宋体" w:hAnsi="宋体"/>
          <w:sz w:val="24"/>
          <w:szCs w:val="24"/>
        </w:rPr>
      </w:pPr>
      <w:r>
        <w:rPr>
          <w:rFonts w:ascii="宋体" w:hAnsi="宋体"/>
          <w:sz w:val="24"/>
          <w:szCs w:val="24"/>
        </w:rPr>
        <w:t>响应供应商</w:t>
      </w:r>
      <w:r>
        <w:rPr>
          <w:rFonts w:hint="eastAsia" w:ascii="宋体" w:hAnsi="宋体"/>
          <w:sz w:val="24"/>
          <w:szCs w:val="24"/>
        </w:rPr>
        <w:t>需</w:t>
      </w:r>
      <w:r>
        <w:rPr>
          <w:rFonts w:ascii="宋体" w:hAnsi="宋体"/>
          <w:sz w:val="24"/>
          <w:szCs w:val="24"/>
        </w:rPr>
        <w:t>作出无推诿承诺。即响应供应商应提供特殊措施，无论由于哪一方产生的问题而使系统发生不正常情况时，在得到</w:t>
      </w:r>
      <w:r>
        <w:rPr>
          <w:rFonts w:hint="eastAsia" w:ascii="宋体" w:hAnsi="宋体"/>
          <w:sz w:val="24"/>
          <w:szCs w:val="24"/>
        </w:rPr>
        <w:t>用户</w:t>
      </w:r>
      <w:r>
        <w:rPr>
          <w:rFonts w:ascii="宋体" w:hAnsi="宋体"/>
          <w:sz w:val="24"/>
          <w:szCs w:val="24"/>
        </w:rPr>
        <w:t>方或系统集成商通知后，立即派工程师到现场，全力协助系统集成商和其他供应商，使系统尽快恢复正常。</w:t>
      </w:r>
    </w:p>
    <w:p w14:paraId="2C89A128">
      <w:pPr>
        <w:numPr>
          <w:ilvl w:val="0"/>
          <w:numId w:val="9"/>
        </w:numPr>
        <w:adjustRightInd w:val="0"/>
        <w:snapToGrid w:val="0"/>
        <w:ind w:left="0" w:firstLine="420"/>
        <w:rPr>
          <w:rFonts w:hint="eastAsia" w:ascii="宋体" w:hAnsi="宋体"/>
          <w:sz w:val="24"/>
          <w:szCs w:val="24"/>
        </w:rPr>
      </w:pPr>
      <w:r>
        <w:rPr>
          <w:rFonts w:ascii="宋体" w:hAnsi="宋体"/>
          <w:sz w:val="24"/>
          <w:szCs w:val="24"/>
        </w:rPr>
        <w:t>响应供应商应提供中文电话免费咨询服务。</w:t>
      </w:r>
    </w:p>
    <w:p w14:paraId="36F85838">
      <w:pPr>
        <w:pStyle w:val="7"/>
        <w:numPr>
          <w:ilvl w:val="0"/>
          <w:numId w:val="8"/>
        </w:numPr>
        <w:rPr>
          <w:rFonts w:hint="eastAsia"/>
          <w:color w:val="auto"/>
        </w:rPr>
      </w:pPr>
      <w:r>
        <w:rPr>
          <w:rFonts w:hint="eastAsia"/>
          <w:color w:val="auto"/>
        </w:rPr>
        <w:t>人员培训</w:t>
      </w:r>
    </w:p>
    <w:p w14:paraId="705D2A44">
      <w:pPr>
        <w:autoSpaceDE w:val="0"/>
        <w:autoSpaceDN w:val="0"/>
        <w:adjustRightInd w:val="0"/>
        <w:snapToGrid w:val="0"/>
        <w:ind w:firstLine="420"/>
        <w:rPr>
          <w:rFonts w:hint="eastAsia" w:ascii="宋体" w:hAnsi="宋体"/>
          <w:sz w:val="24"/>
          <w:szCs w:val="24"/>
        </w:rPr>
      </w:pPr>
      <w:r>
        <w:rPr>
          <w:rFonts w:hint="eastAsia" w:ascii="宋体" w:hAnsi="宋体"/>
          <w:sz w:val="24"/>
          <w:szCs w:val="24"/>
        </w:rPr>
        <w:t>响应供应商应负责使用人员的培训及考核。并在项目实施后继续按照用户方要求继续定期培训和考核（包括远程在线培训以及培训过程的DVD、视频录制）。培训对象包括用户方的系统管理员、日常维护人员、技术层面人员；用户方和各医院的管理人员、操作员。</w:t>
      </w:r>
    </w:p>
    <w:p w14:paraId="412B6F4F">
      <w:pPr>
        <w:autoSpaceDE w:val="0"/>
        <w:autoSpaceDN w:val="0"/>
        <w:adjustRightInd w:val="0"/>
        <w:snapToGrid w:val="0"/>
        <w:ind w:firstLine="420"/>
        <w:rPr>
          <w:rFonts w:hint="eastAsia" w:ascii="宋体" w:hAnsi="宋体"/>
          <w:sz w:val="24"/>
          <w:szCs w:val="24"/>
        </w:rPr>
      </w:pPr>
      <w:r>
        <w:rPr>
          <w:rFonts w:hint="eastAsia" w:ascii="宋体" w:hAnsi="宋体"/>
          <w:sz w:val="24"/>
          <w:szCs w:val="24"/>
        </w:rPr>
        <w:t>对系统使用单位提供业务操作培训，应提供详细培训方案。</w:t>
      </w:r>
    </w:p>
    <w:p w14:paraId="3A5A063D">
      <w:pPr>
        <w:autoSpaceDE w:val="0"/>
        <w:autoSpaceDN w:val="0"/>
        <w:adjustRightInd w:val="0"/>
        <w:snapToGrid w:val="0"/>
        <w:ind w:firstLine="420"/>
        <w:rPr>
          <w:rFonts w:hint="eastAsia" w:ascii="宋体" w:hAnsi="宋体"/>
          <w:sz w:val="24"/>
          <w:szCs w:val="24"/>
        </w:rPr>
      </w:pPr>
      <w:r>
        <w:rPr>
          <w:rFonts w:hint="eastAsia" w:ascii="宋体" w:hAnsi="宋体"/>
          <w:sz w:val="24"/>
          <w:szCs w:val="24"/>
        </w:rPr>
        <w:t>(1)提供项目相关的必要培训。使采购人的人员达到能独立进行管理、维护测试、故障处理等工作，保证系统平台能够正常、安全地运行。</w:t>
      </w:r>
    </w:p>
    <w:p w14:paraId="2AAE1227">
      <w:pPr>
        <w:autoSpaceDE w:val="0"/>
        <w:autoSpaceDN w:val="0"/>
        <w:adjustRightInd w:val="0"/>
        <w:snapToGrid w:val="0"/>
        <w:ind w:firstLine="420"/>
        <w:rPr>
          <w:rFonts w:hint="eastAsia" w:ascii="宋体" w:hAnsi="宋体"/>
          <w:sz w:val="24"/>
          <w:szCs w:val="24"/>
        </w:rPr>
      </w:pPr>
      <w:r>
        <w:rPr>
          <w:rFonts w:hint="eastAsia" w:ascii="宋体" w:hAnsi="宋体"/>
          <w:sz w:val="24"/>
          <w:szCs w:val="24"/>
        </w:rPr>
        <w:t>(2)供应商需要开展分层次的人员培训工作，每次培训后应对参加培训人员进行测试，评估培训成果。培训应具有培训教材、培训环境和高水平的培训讲师。</w:t>
      </w:r>
    </w:p>
    <w:p w14:paraId="72FB1A49">
      <w:pPr>
        <w:autoSpaceDE w:val="0"/>
        <w:autoSpaceDN w:val="0"/>
        <w:adjustRightInd w:val="0"/>
        <w:snapToGrid w:val="0"/>
        <w:ind w:firstLine="420"/>
        <w:rPr>
          <w:rFonts w:hint="eastAsia" w:ascii="宋体" w:hAnsi="宋体"/>
          <w:sz w:val="24"/>
          <w:szCs w:val="24"/>
        </w:rPr>
      </w:pPr>
      <w:r>
        <w:rPr>
          <w:rFonts w:hint="eastAsia" w:ascii="宋体" w:hAnsi="宋体"/>
          <w:sz w:val="24"/>
          <w:szCs w:val="24"/>
        </w:rPr>
        <w:t>(3)供应商应提供一般用户的基础操作培训和部门信息管理员的日常应用维护的培训，确保用户对象能够掌握对应的操作技能。</w:t>
      </w:r>
    </w:p>
    <w:p w14:paraId="262C6499">
      <w:pPr>
        <w:pStyle w:val="2"/>
        <w:rPr>
          <w:rFonts w:hint="eastAsia" w:ascii="宋体" w:hAnsi="宋体"/>
        </w:rPr>
      </w:pPr>
      <w:r>
        <w:rPr>
          <w:rFonts w:ascii="宋体" w:hAnsi="宋体"/>
        </w:rPr>
        <w:t>知识产权承诺</w:t>
      </w:r>
    </w:p>
    <w:p w14:paraId="101C01A6">
      <w:pPr>
        <w:numPr>
          <w:ilvl w:val="0"/>
          <w:numId w:val="10"/>
        </w:numPr>
        <w:adjustRightInd w:val="0"/>
        <w:snapToGrid w:val="0"/>
        <w:ind w:left="0" w:firstLine="420"/>
        <w:rPr>
          <w:rFonts w:hint="eastAsia" w:ascii="宋体" w:hAnsi="宋体"/>
          <w:bCs/>
          <w:sz w:val="24"/>
          <w:szCs w:val="24"/>
        </w:rPr>
      </w:pPr>
      <w:r>
        <w:rPr>
          <w:rFonts w:hint="eastAsia" w:ascii="宋体" w:hAnsi="宋体"/>
          <w:bCs/>
          <w:sz w:val="24"/>
          <w:szCs w:val="24"/>
        </w:rPr>
        <w:t>本</w:t>
      </w:r>
      <w:r>
        <w:rPr>
          <w:rFonts w:ascii="宋体" w:hAnsi="宋体"/>
          <w:bCs/>
          <w:sz w:val="24"/>
          <w:szCs w:val="24"/>
        </w:rPr>
        <w:t>项目</w:t>
      </w:r>
      <w:r>
        <w:rPr>
          <w:rFonts w:hint="eastAsia" w:ascii="宋体" w:hAnsi="宋体"/>
          <w:bCs/>
          <w:sz w:val="24"/>
          <w:szCs w:val="24"/>
        </w:rPr>
        <w:t>中形成的知识产权（包含需求分析、系统设计、软件程序、核心技术、</w:t>
      </w:r>
      <w:r>
        <w:rPr>
          <w:rFonts w:ascii="宋体" w:hAnsi="宋体"/>
          <w:bCs/>
          <w:sz w:val="24"/>
          <w:szCs w:val="24"/>
        </w:rPr>
        <w:t>数据</w:t>
      </w:r>
      <w:r>
        <w:rPr>
          <w:rFonts w:hint="eastAsia" w:ascii="宋体" w:hAnsi="宋体"/>
          <w:bCs/>
          <w:sz w:val="24"/>
          <w:szCs w:val="24"/>
        </w:rPr>
        <w:t>标准、接口规范、知识库、专有方法、模板、工具包、培训材料、专有数据、技</w:t>
      </w:r>
      <w:r>
        <w:rPr>
          <w:rFonts w:ascii="宋体" w:hAnsi="宋体"/>
          <w:bCs/>
          <w:sz w:val="24"/>
          <w:szCs w:val="24"/>
        </w:rPr>
        <w:t>术文档</w:t>
      </w:r>
      <w:r>
        <w:rPr>
          <w:rFonts w:hint="eastAsia" w:ascii="宋体" w:hAnsi="宋体"/>
          <w:bCs/>
          <w:sz w:val="24"/>
          <w:szCs w:val="24"/>
        </w:rPr>
        <w:t>、服务模式、</w:t>
      </w:r>
      <w:r>
        <w:rPr>
          <w:rFonts w:ascii="宋体" w:hAnsi="宋体"/>
          <w:bCs/>
          <w:sz w:val="24"/>
          <w:szCs w:val="24"/>
        </w:rPr>
        <w:t>运作</w:t>
      </w:r>
      <w:r>
        <w:rPr>
          <w:rFonts w:hint="eastAsia" w:ascii="宋体" w:hAnsi="宋体"/>
          <w:bCs/>
          <w:sz w:val="24"/>
          <w:szCs w:val="24"/>
        </w:rPr>
        <w:t>模式、系统建设指南等，但不限于上述形式</w:t>
      </w:r>
      <w:r>
        <w:rPr>
          <w:rFonts w:ascii="宋体" w:hAnsi="宋体"/>
          <w:bCs/>
          <w:sz w:val="24"/>
          <w:szCs w:val="24"/>
        </w:rPr>
        <w:t>）</w:t>
      </w:r>
      <w:r>
        <w:rPr>
          <w:rFonts w:hint="eastAsia" w:ascii="宋体" w:hAnsi="宋体"/>
          <w:bCs/>
          <w:sz w:val="24"/>
          <w:szCs w:val="24"/>
        </w:rPr>
        <w:t>归建设单位所有。响应供应商向建设单位交付的信息系统已享有知识产权的，建设单位在许可范围内合理使用。</w:t>
      </w:r>
    </w:p>
    <w:p w14:paraId="1D77FC66">
      <w:pPr>
        <w:numPr>
          <w:ilvl w:val="0"/>
          <w:numId w:val="10"/>
        </w:numPr>
        <w:adjustRightInd w:val="0"/>
        <w:snapToGrid w:val="0"/>
        <w:ind w:left="0" w:firstLine="420"/>
        <w:rPr>
          <w:rFonts w:hint="eastAsia" w:ascii="宋体" w:hAnsi="宋体"/>
          <w:bCs/>
          <w:sz w:val="24"/>
          <w:szCs w:val="24"/>
        </w:rPr>
      </w:pPr>
      <w:r>
        <w:rPr>
          <w:rFonts w:hint="eastAsia" w:ascii="宋体" w:hAnsi="宋体"/>
          <w:bCs/>
          <w:sz w:val="24"/>
          <w:szCs w:val="24"/>
        </w:rPr>
        <w:t>本</w:t>
      </w:r>
      <w:r>
        <w:rPr>
          <w:rFonts w:ascii="宋体" w:hAnsi="宋体"/>
          <w:bCs/>
          <w:sz w:val="24"/>
          <w:szCs w:val="24"/>
        </w:rPr>
        <w:t>项目</w:t>
      </w:r>
      <w:r>
        <w:rPr>
          <w:rFonts w:hint="eastAsia" w:ascii="宋体" w:hAnsi="宋体"/>
          <w:bCs/>
          <w:sz w:val="24"/>
          <w:szCs w:val="24"/>
        </w:rPr>
        <w:t>中形成的知识产权的申请权、所有权与利益（包括：专利权、商标权、著作权、</w:t>
      </w:r>
      <w:r>
        <w:rPr>
          <w:rFonts w:hint="eastAsia"/>
        </w:rPr>
        <w:fldChar w:fldCharType="begin"/>
      </w:r>
      <w:r>
        <w:instrText xml:space="preserve"> HYPERLINK "http://www.baidu.com/s?wd=%E5%95%86%E4%B8%9A%E7%A7%98%E5%AF%86&amp;tn=44039180_cpr&amp;fenlei=mv6quAkxTZn0IZRqIHckPjm4nH00T1Y3nhDdrHIhPWu-uWR3mH030ZwV5Hcvrjm3rH6sPfKWUMw85HfYnjn4nH6sgvPsT6KdThsqpZwYTjCEQLGCpyw9Uz4Bmy-bIi4WUvYETgN-TLwGUv3ErHn3rjTvnHc1PjcsrjfYPjRz" \t "_blank" </w:instrText>
      </w:r>
      <w:r>
        <w:rPr>
          <w:rFonts w:hint="eastAsia"/>
        </w:rPr>
        <w:fldChar w:fldCharType="separate"/>
      </w:r>
      <w:r>
        <w:rPr>
          <w:rFonts w:hint="eastAsia" w:ascii="宋体" w:hAnsi="宋体"/>
          <w:bCs/>
          <w:sz w:val="24"/>
          <w:szCs w:val="24"/>
        </w:rPr>
        <w:t>商业秘密</w:t>
      </w:r>
      <w:r>
        <w:rPr>
          <w:rFonts w:hint="eastAsia" w:ascii="宋体" w:hAnsi="宋体"/>
          <w:bCs/>
          <w:sz w:val="24"/>
          <w:szCs w:val="24"/>
        </w:rPr>
        <w:fldChar w:fldCharType="end"/>
      </w:r>
      <w:r>
        <w:rPr>
          <w:rFonts w:hint="eastAsia" w:ascii="宋体" w:hAnsi="宋体"/>
          <w:bCs/>
          <w:sz w:val="24"/>
          <w:szCs w:val="24"/>
        </w:rPr>
        <w:t>专有权等，</w:t>
      </w:r>
      <w:r>
        <w:rPr>
          <w:rFonts w:ascii="宋体" w:hAnsi="宋体"/>
          <w:bCs/>
          <w:sz w:val="24"/>
          <w:szCs w:val="24"/>
        </w:rPr>
        <w:t>但</w:t>
      </w:r>
      <w:r>
        <w:rPr>
          <w:rFonts w:hint="eastAsia" w:ascii="宋体" w:hAnsi="宋体"/>
          <w:bCs/>
          <w:sz w:val="24"/>
          <w:szCs w:val="24"/>
        </w:rPr>
        <w:t>不限于上述权益的申请权）归建设单位所有。未经建设单位书面同意，响应供应商不得以任何形式申请。</w:t>
      </w:r>
    </w:p>
    <w:p w14:paraId="1F1A8649">
      <w:pPr>
        <w:numPr>
          <w:ilvl w:val="0"/>
          <w:numId w:val="10"/>
        </w:numPr>
        <w:adjustRightInd w:val="0"/>
        <w:snapToGrid w:val="0"/>
        <w:ind w:left="0" w:firstLine="420"/>
        <w:rPr>
          <w:rFonts w:hint="eastAsia" w:ascii="宋体" w:hAnsi="宋体"/>
          <w:bCs/>
          <w:sz w:val="24"/>
          <w:szCs w:val="24"/>
        </w:rPr>
      </w:pPr>
      <w:r>
        <w:rPr>
          <w:rFonts w:hint="eastAsia" w:ascii="宋体" w:hAnsi="宋体"/>
          <w:bCs/>
          <w:sz w:val="24"/>
          <w:szCs w:val="24"/>
        </w:rPr>
        <w:t>响应供应商不得以任何形式侵害本项目中形成的知识产权。未经建设单位书面同意，响应供应商不得以任何形式提供或出售给同行业/同性质单位使用。若发生侵害行为，响应供应商则全额赔付建设单位本项目中标金额以及响应供应商通过侵害行为获得的全部收益。</w:t>
      </w:r>
    </w:p>
    <w:p w14:paraId="579E5EF5">
      <w:pPr>
        <w:numPr>
          <w:ilvl w:val="0"/>
          <w:numId w:val="10"/>
        </w:numPr>
        <w:adjustRightInd w:val="0"/>
        <w:snapToGrid w:val="0"/>
        <w:ind w:left="0" w:firstLine="420"/>
        <w:rPr>
          <w:rFonts w:hint="eastAsia" w:ascii="宋体" w:hAnsi="宋体"/>
          <w:bCs/>
          <w:sz w:val="24"/>
          <w:szCs w:val="24"/>
        </w:rPr>
      </w:pPr>
      <w:r>
        <w:rPr>
          <w:rFonts w:hint="eastAsia" w:ascii="宋体" w:hAnsi="宋体"/>
          <w:bCs/>
          <w:sz w:val="24"/>
          <w:szCs w:val="24"/>
        </w:rPr>
        <w:t>没有建设单位明示的书面同意，响应供应商不能作出关于本</w:t>
      </w:r>
      <w:r>
        <w:rPr>
          <w:rFonts w:ascii="宋体" w:hAnsi="宋体"/>
          <w:bCs/>
          <w:sz w:val="24"/>
          <w:szCs w:val="24"/>
        </w:rPr>
        <w:t>项目</w:t>
      </w:r>
      <w:r>
        <w:rPr>
          <w:rFonts w:hint="eastAsia" w:ascii="宋体" w:hAnsi="宋体"/>
          <w:bCs/>
          <w:sz w:val="24"/>
          <w:szCs w:val="24"/>
        </w:rPr>
        <w:t>或者其条款的任何新闻公告、媒体宣传或其他形式的公开披露。</w:t>
      </w:r>
    </w:p>
    <w:p w14:paraId="71ADBEEF">
      <w:pPr>
        <w:numPr>
          <w:ilvl w:val="0"/>
          <w:numId w:val="10"/>
        </w:numPr>
        <w:adjustRightInd w:val="0"/>
        <w:snapToGrid w:val="0"/>
        <w:ind w:left="0" w:firstLine="420"/>
        <w:rPr>
          <w:rFonts w:hint="eastAsia" w:ascii="宋体" w:hAnsi="宋体"/>
          <w:bCs/>
          <w:sz w:val="24"/>
          <w:szCs w:val="24"/>
        </w:rPr>
      </w:pPr>
      <w:r>
        <w:rPr>
          <w:rFonts w:hint="eastAsia" w:ascii="宋体" w:hAnsi="宋体"/>
          <w:bCs/>
          <w:sz w:val="24"/>
          <w:szCs w:val="24"/>
        </w:rPr>
        <w:t>响应供应商提供的产品和服务等不得侵犯任何第三方的知识产权。若发生侵权行为，一切法律责任、</w:t>
      </w:r>
      <w:r>
        <w:rPr>
          <w:rFonts w:ascii="宋体" w:hAnsi="宋体"/>
          <w:bCs/>
          <w:sz w:val="24"/>
          <w:szCs w:val="24"/>
        </w:rPr>
        <w:t>后果</w:t>
      </w:r>
      <w:r>
        <w:rPr>
          <w:rFonts w:hint="eastAsia" w:ascii="宋体" w:hAnsi="宋体"/>
          <w:bCs/>
          <w:sz w:val="24"/>
          <w:szCs w:val="24"/>
        </w:rPr>
        <w:t>及损失均由响应供应商承担，建设单位不承担任何法律责任及后果，且保留追责权。</w:t>
      </w:r>
    </w:p>
    <w:p w14:paraId="3182C02D">
      <w:pPr>
        <w:pStyle w:val="2"/>
        <w:rPr>
          <w:rFonts w:hint="eastAsia" w:ascii="宋体" w:hAnsi="宋体"/>
        </w:rPr>
      </w:pPr>
      <w:r>
        <w:rPr>
          <w:rFonts w:hint="eastAsia" w:ascii="宋体" w:hAnsi="宋体"/>
        </w:rPr>
        <w:t>保密承诺</w:t>
      </w:r>
    </w:p>
    <w:p w14:paraId="001340D0">
      <w:pPr>
        <w:numPr>
          <w:ilvl w:val="0"/>
          <w:numId w:val="11"/>
        </w:numPr>
        <w:adjustRightInd w:val="0"/>
        <w:snapToGrid w:val="0"/>
        <w:ind w:left="0" w:firstLine="420"/>
        <w:rPr>
          <w:rFonts w:hint="eastAsia" w:ascii="宋体" w:hAnsi="宋体"/>
          <w:bCs/>
          <w:sz w:val="24"/>
          <w:szCs w:val="24"/>
        </w:rPr>
      </w:pPr>
      <w:r>
        <w:rPr>
          <w:rFonts w:hint="eastAsia" w:ascii="宋体" w:hAnsi="宋体"/>
          <w:bCs/>
          <w:sz w:val="24"/>
          <w:szCs w:val="24"/>
        </w:rPr>
        <w:t>响应供应商承诺参与本项目的所有服务人员需严格保守与本</w:t>
      </w:r>
      <w:r>
        <w:rPr>
          <w:rFonts w:ascii="宋体" w:hAnsi="宋体"/>
          <w:bCs/>
          <w:sz w:val="24"/>
          <w:szCs w:val="24"/>
        </w:rPr>
        <w:t>项目</w:t>
      </w:r>
      <w:r>
        <w:rPr>
          <w:rFonts w:hint="eastAsia" w:ascii="宋体" w:hAnsi="宋体"/>
          <w:bCs/>
          <w:sz w:val="24"/>
          <w:szCs w:val="24"/>
        </w:rPr>
        <w:t>有关的技术秘密和商业秘密，任何涉及建设单位及使用单位的信息，包括但不限于数据、特有的功能需求等，未得到建设单位及使用单位的书面同意，不得对任何第三方展示、举例乃至销售，否则响应供应商将承担由此产生的一切后果。</w:t>
      </w:r>
    </w:p>
    <w:p w14:paraId="7DAA2375">
      <w:pPr>
        <w:numPr>
          <w:ilvl w:val="0"/>
          <w:numId w:val="11"/>
        </w:numPr>
        <w:adjustRightInd w:val="0"/>
        <w:snapToGrid w:val="0"/>
        <w:ind w:left="0" w:firstLine="420"/>
        <w:rPr>
          <w:rFonts w:hint="eastAsia" w:ascii="宋体" w:hAnsi="宋体"/>
          <w:bCs/>
          <w:sz w:val="24"/>
          <w:szCs w:val="24"/>
        </w:rPr>
      </w:pPr>
      <w:r>
        <w:rPr>
          <w:rFonts w:hint="eastAsia" w:ascii="宋体" w:hAnsi="宋体"/>
          <w:bCs/>
          <w:sz w:val="24"/>
          <w:szCs w:val="24"/>
        </w:rPr>
        <w:t>响应供应商不以实施项目为名，侵害本项目各参与单位的技术、商业秘密或者知识产权。</w:t>
      </w:r>
    </w:p>
    <w:p w14:paraId="031F2CAE"/>
    <w:p w14:paraId="5E01C2FC">
      <w:pPr>
        <w:pStyle w:val="2"/>
        <w:rPr>
          <w:rFonts w:hint="eastAsia" w:ascii="宋体" w:hAnsi="宋体"/>
        </w:rPr>
      </w:pPr>
      <w:r>
        <w:rPr>
          <w:rFonts w:hint="eastAsia" w:ascii="宋体" w:hAnsi="宋体"/>
        </w:rPr>
        <w:t>响应供应商要求</w:t>
      </w:r>
    </w:p>
    <w:p w14:paraId="04A22B19">
      <w:pPr>
        <w:numPr>
          <w:ilvl w:val="0"/>
          <w:numId w:val="12"/>
        </w:numPr>
        <w:adjustRightInd w:val="0"/>
        <w:snapToGrid w:val="0"/>
        <w:ind w:left="0" w:firstLine="426"/>
        <w:rPr>
          <w:rFonts w:hint="eastAsia" w:ascii="宋体" w:hAnsi="宋体"/>
          <w:bCs/>
          <w:sz w:val="24"/>
          <w:szCs w:val="24"/>
        </w:rPr>
      </w:pPr>
      <w:r>
        <w:rPr>
          <w:rFonts w:hint="eastAsia" w:ascii="宋体" w:hAnsi="宋体"/>
          <w:bCs/>
          <w:sz w:val="24"/>
          <w:szCs w:val="24"/>
        </w:rPr>
        <w:t>响应供应商需提供相应的技术服务，在满足用户方的应用与需求的前提下，配合完成与相关的系统集成工作。</w:t>
      </w:r>
    </w:p>
    <w:p w14:paraId="5C5C17A0">
      <w:pPr>
        <w:numPr>
          <w:ilvl w:val="0"/>
          <w:numId w:val="12"/>
        </w:numPr>
        <w:adjustRightInd w:val="0"/>
        <w:snapToGrid w:val="0"/>
        <w:ind w:left="0" w:firstLine="420"/>
        <w:rPr>
          <w:rFonts w:hint="eastAsia" w:ascii="宋体" w:hAnsi="宋体"/>
          <w:bCs/>
          <w:sz w:val="24"/>
          <w:szCs w:val="24"/>
        </w:rPr>
      </w:pPr>
      <w:r>
        <w:rPr>
          <w:rFonts w:hint="eastAsia" w:ascii="宋体" w:hAnsi="宋体"/>
          <w:bCs/>
          <w:sz w:val="24"/>
          <w:szCs w:val="24"/>
        </w:rPr>
        <w:t>响应供应商提供的产品及其配置应该是安全、可靠和成熟的，不是技术上已经或即将淘汰的。</w:t>
      </w:r>
    </w:p>
    <w:p w14:paraId="54034225">
      <w:pPr>
        <w:numPr>
          <w:ilvl w:val="0"/>
          <w:numId w:val="12"/>
        </w:numPr>
        <w:adjustRightInd w:val="0"/>
        <w:snapToGrid w:val="0"/>
        <w:ind w:left="0" w:firstLine="420"/>
        <w:rPr>
          <w:rFonts w:hint="eastAsia" w:ascii="宋体" w:hAnsi="宋体"/>
          <w:bCs/>
          <w:sz w:val="24"/>
          <w:szCs w:val="24"/>
        </w:rPr>
      </w:pPr>
      <w:r>
        <w:rPr>
          <w:rFonts w:hint="eastAsia" w:ascii="宋体" w:hAnsi="宋体"/>
          <w:bCs/>
          <w:sz w:val="24"/>
          <w:szCs w:val="24"/>
        </w:rPr>
        <w:t>响应供应商应该保证所提供的所有产品皆不侵犯任何第三方的版权、知识产权和其他合法权利。</w:t>
      </w:r>
    </w:p>
    <w:p w14:paraId="1C0D6A4C">
      <w:pPr>
        <w:numPr>
          <w:ilvl w:val="0"/>
          <w:numId w:val="12"/>
        </w:numPr>
        <w:adjustRightInd w:val="0"/>
        <w:snapToGrid w:val="0"/>
        <w:ind w:left="0" w:firstLine="420"/>
        <w:rPr>
          <w:rFonts w:hint="eastAsia" w:ascii="宋体" w:hAnsi="宋体"/>
          <w:bCs/>
          <w:sz w:val="24"/>
          <w:szCs w:val="24"/>
        </w:rPr>
      </w:pPr>
      <w:r>
        <w:rPr>
          <w:rFonts w:hint="eastAsia" w:ascii="宋体" w:hAnsi="宋体"/>
          <w:bCs/>
          <w:sz w:val="24"/>
          <w:szCs w:val="24"/>
        </w:rPr>
        <w:t>响应供应商应具有ITSS信息技术服务标准运行运维证书、ISO9001质量管理体系认证证书、ISO14001环境管理体系认证证书、ISO27001信息安全管理体系证书；以及具有运维保障平台软件、临床数据决策分析系统、</w:t>
      </w:r>
      <w:r>
        <w:rPr>
          <w:rFonts w:hint="eastAsia" w:ascii="宋体" w:hAnsi="宋体"/>
          <w:bCs/>
          <w:sz w:val="24"/>
          <w:szCs w:val="24"/>
          <w:lang w:val="en-US" w:eastAsia="zh-CN"/>
        </w:rPr>
        <w:t>基</w:t>
      </w:r>
      <w:r>
        <w:rPr>
          <w:rFonts w:hint="eastAsia" w:ascii="宋体" w:hAnsi="宋体"/>
          <w:bCs/>
          <w:sz w:val="24"/>
          <w:szCs w:val="24"/>
        </w:rPr>
        <w:t>于大数据的医疗经营预测系统、应用医疗经营大学数据预测系统等相关软件相关著作权的优先考虑。</w:t>
      </w:r>
    </w:p>
    <w:p w14:paraId="49B3ABD1">
      <w:pPr>
        <w:pStyle w:val="19"/>
        <w:ind w:firstLine="480"/>
        <w:rPr>
          <w:rFonts w:hint="eastAsia"/>
        </w:rPr>
      </w:pPr>
    </w:p>
    <w:p w14:paraId="252A4577"/>
    <w:sectPr>
      <w:pgSz w:w="11906" w:h="16838"/>
      <w:pgMar w:top="709"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Light">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等线">
    <w:altName w:val="汉仪中宋简"/>
    <w:panose1 w:val="02010600030101010101"/>
    <w:charset w:val="86"/>
    <w:family w:val="auto"/>
    <w:pitch w:val="default"/>
    <w:sig w:usb0="00000000" w:usb1="00000000" w:usb2="00000016" w:usb3="00000000" w:csb0="0004000F" w:csb1="00000000"/>
  </w:font>
  <w:font w:name="方正黑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9AFEF"/>
    <w:multiLevelType w:val="singleLevel"/>
    <w:tmpl w:val="9C89AFEF"/>
    <w:lvl w:ilvl="0" w:tentative="0">
      <w:start w:val="1"/>
      <w:numFmt w:val="bullet"/>
      <w:lvlText w:val=""/>
      <w:lvlJc w:val="left"/>
      <w:pPr>
        <w:ind w:left="420" w:hanging="420"/>
      </w:pPr>
      <w:rPr>
        <w:rFonts w:hint="default" w:ascii="Wingdings" w:hAnsi="Wingdings"/>
      </w:rPr>
    </w:lvl>
  </w:abstractNum>
  <w:abstractNum w:abstractNumId="1">
    <w:nsid w:val="00000026"/>
    <w:multiLevelType w:val="multilevel"/>
    <w:tmpl w:val="00000026"/>
    <w:lvl w:ilvl="0" w:tentative="0">
      <w:start w:val="1"/>
      <w:numFmt w:val="bullet"/>
      <w:lvlText w:val=""/>
      <w:lvlJc w:val="left"/>
      <w:pPr>
        <w:tabs>
          <w:tab w:val="left" w:pos="-375"/>
        </w:tabs>
        <w:ind w:left="181" w:hanging="840"/>
      </w:pPr>
      <w:rPr>
        <w:rFonts w:hint="default" w:ascii="Wingdings" w:hAnsi="Wingdings"/>
      </w:rPr>
    </w:lvl>
    <w:lvl w:ilvl="1" w:tentative="0">
      <w:start w:val="1"/>
      <w:numFmt w:val="decimal"/>
      <w:lvlText w:val="%2)"/>
      <w:lvlJc w:val="left"/>
      <w:pPr>
        <w:tabs>
          <w:tab w:val="left" w:pos="181"/>
        </w:tabs>
        <w:ind w:left="181" w:hanging="420"/>
      </w:pPr>
      <w:rPr>
        <w:rFonts w:hint="default"/>
      </w:rPr>
    </w:lvl>
    <w:lvl w:ilvl="2" w:tentative="0">
      <w:start w:val="1"/>
      <w:numFmt w:val="bullet"/>
      <w:lvlText w:val=""/>
      <w:lvlJc w:val="left"/>
      <w:pPr>
        <w:tabs>
          <w:tab w:val="left" w:pos="465"/>
        </w:tabs>
        <w:ind w:left="1021" w:hanging="840"/>
      </w:pPr>
      <w:rPr>
        <w:rFonts w:hint="default" w:ascii="Wingdings" w:hAnsi="Wingdings"/>
      </w:rPr>
    </w:lvl>
    <w:lvl w:ilvl="3" w:tentative="0">
      <w:start w:val="1"/>
      <w:numFmt w:val="decimal"/>
      <w:lvlText w:val="%4)"/>
      <w:lvlJc w:val="left"/>
      <w:pPr>
        <w:tabs>
          <w:tab w:val="left" w:pos="1021"/>
        </w:tabs>
        <w:ind w:left="1021" w:hanging="420"/>
      </w:pPr>
      <w:rPr>
        <w:rFonts w:hint="default"/>
      </w:rPr>
    </w:lvl>
    <w:lvl w:ilvl="4" w:tentative="0">
      <w:start w:val="1"/>
      <w:numFmt w:val="decimal"/>
      <w:lvlText w:val="%5)"/>
      <w:lvlJc w:val="left"/>
      <w:pPr>
        <w:ind w:left="786" w:hanging="360"/>
      </w:pPr>
      <w:rPr>
        <w:rFonts w:hint="default" w:ascii="宋体" w:hAnsi="宋体" w:cs="Times New Roman"/>
        <w:color w:val="auto"/>
      </w:rPr>
    </w:lvl>
    <w:lvl w:ilvl="5" w:tentative="0">
      <w:start w:val="1"/>
      <w:numFmt w:val="bullet"/>
      <w:lvlText w:val=""/>
      <w:lvlJc w:val="left"/>
      <w:pPr>
        <w:tabs>
          <w:tab w:val="left" w:pos="1861"/>
        </w:tabs>
        <w:ind w:left="1861" w:hanging="420"/>
      </w:pPr>
      <w:rPr>
        <w:rFonts w:hint="default" w:ascii="Wingdings" w:hAnsi="Wingdings"/>
      </w:rPr>
    </w:lvl>
    <w:lvl w:ilvl="6" w:tentative="0">
      <w:start w:val="1"/>
      <w:numFmt w:val="bullet"/>
      <w:lvlText w:val=""/>
      <w:lvlJc w:val="left"/>
      <w:pPr>
        <w:tabs>
          <w:tab w:val="left" w:pos="2281"/>
        </w:tabs>
        <w:ind w:left="2281" w:hanging="420"/>
      </w:pPr>
      <w:rPr>
        <w:rFonts w:hint="default" w:ascii="Wingdings" w:hAnsi="Wingdings"/>
      </w:rPr>
    </w:lvl>
    <w:lvl w:ilvl="7" w:tentative="0">
      <w:start w:val="1"/>
      <w:numFmt w:val="bullet"/>
      <w:lvlText w:val=""/>
      <w:lvlJc w:val="left"/>
      <w:pPr>
        <w:tabs>
          <w:tab w:val="left" w:pos="2701"/>
        </w:tabs>
        <w:ind w:left="2701" w:hanging="420"/>
      </w:pPr>
      <w:rPr>
        <w:rFonts w:hint="default" w:ascii="Wingdings" w:hAnsi="Wingdings"/>
      </w:rPr>
    </w:lvl>
    <w:lvl w:ilvl="8" w:tentative="0">
      <w:start w:val="1"/>
      <w:numFmt w:val="bullet"/>
      <w:lvlText w:val=""/>
      <w:lvlJc w:val="left"/>
      <w:pPr>
        <w:tabs>
          <w:tab w:val="left" w:pos="3121"/>
        </w:tabs>
        <w:ind w:left="3121" w:hanging="420"/>
      </w:pPr>
      <w:rPr>
        <w:rFonts w:hint="default" w:ascii="Wingdings" w:hAnsi="Wingdings"/>
      </w:rPr>
    </w:lvl>
  </w:abstractNum>
  <w:abstractNum w:abstractNumId="2">
    <w:nsid w:val="00000028"/>
    <w:multiLevelType w:val="multilevel"/>
    <w:tmpl w:val="00000028"/>
    <w:lvl w:ilvl="0" w:tentative="0">
      <w:start w:val="1"/>
      <w:numFmt w:val="decimal"/>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3">
    <w:nsid w:val="08085D8D"/>
    <w:multiLevelType w:val="multilevel"/>
    <w:tmpl w:val="08085D8D"/>
    <w:lvl w:ilvl="0" w:tentative="0">
      <w:start w:val="1"/>
      <w:numFmt w:val="chineseCountingThousand"/>
      <w:lvlText w:val="(%1)"/>
      <w:lvlJc w:val="left"/>
      <w:pPr>
        <w:ind w:left="800" w:hanging="440"/>
      </w:pPr>
    </w:lvl>
    <w:lvl w:ilvl="1" w:tentative="0">
      <w:start w:val="1"/>
      <w:numFmt w:val="lowerLetter"/>
      <w:lvlText w:val="%2)"/>
      <w:lvlJc w:val="left"/>
      <w:pPr>
        <w:ind w:left="1240" w:hanging="440"/>
      </w:pPr>
    </w:lvl>
    <w:lvl w:ilvl="2" w:tentative="0">
      <w:start w:val="1"/>
      <w:numFmt w:val="lowerRoman"/>
      <w:lvlText w:val="%3."/>
      <w:lvlJc w:val="right"/>
      <w:pPr>
        <w:ind w:left="1680" w:hanging="440"/>
      </w:pPr>
    </w:lvl>
    <w:lvl w:ilvl="3" w:tentative="0">
      <w:start w:val="1"/>
      <w:numFmt w:val="decimal"/>
      <w:lvlText w:val="%4."/>
      <w:lvlJc w:val="left"/>
      <w:pPr>
        <w:ind w:left="2120" w:hanging="440"/>
      </w:pPr>
    </w:lvl>
    <w:lvl w:ilvl="4" w:tentative="0">
      <w:start w:val="1"/>
      <w:numFmt w:val="lowerLetter"/>
      <w:lvlText w:val="%5)"/>
      <w:lvlJc w:val="left"/>
      <w:pPr>
        <w:ind w:left="2560" w:hanging="440"/>
      </w:pPr>
    </w:lvl>
    <w:lvl w:ilvl="5" w:tentative="0">
      <w:start w:val="1"/>
      <w:numFmt w:val="lowerRoman"/>
      <w:lvlText w:val="%6."/>
      <w:lvlJc w:val="right"/>
      <w:pPr>
        <w:ind w:left="3000" w:hanging="440"/>
      </w:pPr>
    </w:lvl>
    <w:lvl w:ilvl="6" w:tentative="0">
      <w:start w:val="1"/>
      <w:numFmt w:val="decimal"/>
      <w:lvlText w:val="%7."/>
      <w:lvlJc w:val="left"/>
      <w:pPr>
        <w:ind w:left="3440" w:hanging="440"/>
      </w:pPr>
    </w:lvl>
    <w:lvl w:ilvl="7" w:tentative="0">
      <w:start w:val="1"/>
      <w:numFmt w:val="lowerLetter"/>
      <w:lvlText w:val="%8)"/>
      <w:lvlJc w:val="left"/>
      <w:pPr>
        <w:ind w:left="3880" w:hanging="440"/>
      </w:pPr>
    </w:lvl>
    <w:lvl w:ilvl="8" w:tentative="0">
      <w:start w:val="1"/>
      <w:numFmt w:val="lowerRoman"/>
      <w:lvlText w:val="%9."/>
      <w:lvlJc w:val="right"/>
      <w:pPr>
        <w:ind w:left="4320" w:hanging="440"/>
      </w:pPr>
    </w:lvl>
  </w:abstractNum>
  <w:abstractNum w:abstractNumId="4">
    <w:nsid w:val="0C4279E8"/>
    <w:multiLevelType w:val="multilevel"/>
    <w:tmpl w:val="0C4279E8"/>
    <w:lvl w:ilvl="0" w:tentative="0">
      <w:start w:val="1"/>
      <w:numFmt w:val="decimal"/>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5">
    <w:nsid w:val="195D3138"/>
    <w:multiLevelType w:val="multilevel"/>
    <w:tmpl w:val="195D3138"/>
    <w:lvl w:ilvl="0" w:tentative="0">
      <w:start w:val="1"/>
      <w:numFmt w:val="decimal"/>
      <w:lvlText w:val="%1)"/>
      <w:lvlJc w:val="left"/>
      <w:pPr>
        <w:ind w:left="0"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isLgl/>
      <w:suff w:val="space"/>
      <w:lvlText w:val="%1.%2.%3"/>
      <w:lvlJc w:val="left"/>
      <w:pPr>
        <w:ind w:left="4536" w:firstLine="0"/>
      </w:pPr>
      <w:rPr>
        <w:rFonts w:hint="eastAsia"/>
        <w:color w:val="auto"/>
      </w:rPr>
    </w:lvl>
    <w:lvl w:ilvl="3" w:tentative="0">
      <w:start w:val="1"/>
      <w:numFmt w:val="decimal"/>
      <w:isLgl/>
      <w:suff w:val="space"/>
      <w:lvlText w:val="%1.%2.%3.%4"/>
      <w:lvlJc w:val="left"/>
      <w:pPr>
        <w:ind w:left="2268" w:firstLine="0"/>
      </w:pPr>
      <w:rPr>
        <w:rFonts w:hint="eastAsia"/>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decimal"/>
      <w:isLgl/>
      <w:suff w:val="space"/>
      <w:lvlText w:val="%1.%2.%3.%4.%5.%6.%7"/>
      <w:lvlJc w:val="left"/>
      <w:pPr>
        <w:ind w:left="0" w:firstLine="0"/>
      </w:pPr>
      <w:rPr>
        <w:rFonts w:hint="eastAsia"/>
      </w:rPr>
    </w:lvl>
    <w:lvl w:ilvl="7" w:tentative="0">
      <w:start w:val="1"/>
      <w:numFmt w:val="decimal"/>
      <w:isLgl/>
      <w:suff w:val="space"/>
      <w:lvlText w:val="%1.%2.%3.%4.%5.%6.%7.%8"/>
      <w:lvlJc w:val="left"/>
      <w:pPr>
        <w:ind w:left="0" w:firstLine="0"/>
      </w:pPr>
      <w:rPr>
        <w:rFonts w:hint="eastAsia"/>
      </w:rPr>
    </w:lvl>
    <w:lvl w:ilvl="8" w:tentative="0">
      <w:start w:val="1"/>
      <w:numFmt w:val="decimal"/>
      <w:isLgl/>
      <w:suff w:val="space"/>
      <w:lvlText w:val="%1.%2.%3.%4.%5.%6.%7.%8.%9"/>
      <w:lvlJc w:val="left"/>
      <w:pPr>
        <w:ind w:left="0" w:firstLine="0"/>
      </w:pPr>
      <w:rPr>
        <w:rFonts w:hint="eastAsia"/>
      </w:rPr>
    </w:lvl>
  </w:abstractNum>
  <w:abstractNum w:abstractNumId="6">
    <w:nsid w:val="21D93D7D"/>
    <w:multiLevelType w:val="multilevel"/>
    <w:tmpl w:val="21D93D7D"/>
    <w:lvl w:ilvl="0" w:tentative="0">
      <w:start w:val="1"/>
      <w:numFmt w:val="decimal"/>
      <w:lvlText w:val="%1)"/>
      <w:lvlJc w:val="left"/>
      <w:pPr>
        <w:ind w:left="0"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isLgl/>
      <w:suff w:val="space"/>
      <w:lvlText w:val="%1.%2.%3"/>
      <w:lvlJc w:val="left"/>
      <w:pPr>
        <w:ind w:left="4536" w:firstLine="0"/>
      </w:pPr>
      <w:rPr>
        <w:rFonts w:hint="eastAsia"/>
        <w:color w:val="auto"/>
      </w:rPr>
    </w:lvl>
    <w:lvl w:ilvl="3" w:tentative="0">
      <w:start w:val="1"/>
      <w:numFmt w:val="decimal"/>
      <w:isLgl/>
      <w:suff w:val="space"/>
      <w:lvlText w:val="%1.%2.%3.%4"/>
      <w:lvlJc w:val="left"/>
      <w:pPr>
        <w:ind w:left="2268" w:firstLine="0"/>
      </w:pPr>
      <w:rPr>
        <w:rFonts w:hint="eastAsia"/>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decimal"/>
      <w:isLgl/>
      <w:suff w:val="space"/>
      <w:lvlText w:val="%1.%2.%3.%4.%5.%6.%7"/>
      <w:lvlJc w:val="left"/>
      <w:pPr>
        <w:ind w:left="0" w:firstLine="0"/>
      </w:pPr>
      <w:rPr>
        <w:rFonts w:hint="eastAsia"/>
      </w:rPr>
    </w:lvl>
    <w:lvl w:ilvl="7" w:tentative="0">
      <w:start w:val="1"/>
      <w:numFmt w:val="decimal"/>
      <w:isLgl/>
      <w:suff w:val="space"/>
      <w:lvlText w:val="%1.%2.%3.%4.%5.%6.%7.%8"/>
      <w:lvlJc w:val="left"/>
      <w:pPr>
        <w:ind w:left="0" w:firstLine="0"/>
      </w:pPr>
      <w:rPr>
        <w:rFonts w:hint="eastAsia"/>
      </w:rPr>
    </w:lvl>
    <w:lvl w:ilvl="8" w:tentative="0">
      <w:start w:val="1"/>
      <w:numFmt w:val="decimal"/>
      <w:isLgl/>
      <w:suff w:val="space"/>
      <w:lvlText w:val="%1.%2.%3.%4.%5.%6.%7.%8.%9"/>
      <w:lvlJc w:val="left"/>
      <w:pPr>
        <w:ind w:left="0" w:firstLine="0"/>
      </w:pPr>
      <w:rPr>
        <w:rFonts w:hint="eastAsia"/>
      </w:rPr>
    </w:lvl>
  </w:abstractNum>
  <w:abstractNum w:abstractNumId="7">
    <w:nsid w:val="40397EAC"/>
    <w:multiLevelType w:val="multilevel"/>
    <w:tmpl w:val="40397EAC"/>
    <w:lvl w:ilvl="0" w:tentative="0">
      <w:start w:val="1"/>
      <w:numFmt w:val="decimal"/>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8">
    <w:nsid w:val="4B9D0C99"/>
    <w:multiLevelType w:val="multilevel"/>
    <w:tmpl w:val="4B9D0C99"/>
    <w:lvl w:ilvl="0" w:tentative="0">
      <w:start w:val="1"/>
      <w:numFmt w:val="decimal"/>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9">
    <w:nsid w:val="626048B5"/>
    <w:multiLevelType w:val="multilevel"/>
    <w:tmpl w:val="626048B5"/>
    <w:lvl w:ilvl="0" w:tentative="0">
      <w:start w:val="1"/>
      <w:numFmt w:val="decimal"/>
      <w:lvlText w:val="%1)"/>
      <w:lvlJc w:val="left"/>
      <w:pPr>
        <w:ind w:left="425" w:hanging="425"/>
      </w:pPr>
    </w:lvl>
    <w:lvl w:ilvl="1" w:tentative="0">
      <w:start w:val="1"/>
      <w:numFmt w:val="decimal"/>
      <w:lvlText w:val="5.%2."/>
      <w:lvlJc w:val="left"/>
      <w:pPr>
        <w:ind w:left="567" w:hanging="567"/>
      </w:pPr>
      <w:rPr>
        <w:rFonts w:hint="eastAsia"/>
      </w:rPr>
    </w:lvl>
    <w:lvl w:ilvl="2" w:tentative="0">
      <w:start w:val="1"/>
      <w:numFmt w:val="decimal"/>
      <w:lvlText w:val="5.2.%3."/>
      <w:lvlJc w:val="left"/>
      <w:pPr>
        <w:ind w:left="709" w:hanging="709"/>
      </w:pPr>
      <w:rPr>
        <w:rFonts w:hint="eastAsia"/>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0">
    <w:nsid w:val="639C1F49"/>
    <w:multiLevelType w:val="multilevel"/>
    <w:tmpl w:val="639C1F4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67409AD"/>
    <w:multiLevelType w:val="multilevel"/>
    <w:tmpl w:val="767409AD"/>
    <w:lvl w:ilvl="0" w:tentative="0">
      <w:start w:val="1"/>
      <w:numFmt w:val="decimal"/>
      <w:pStyle w:val="2"/>
      <w:suff w:val="space"/>
      <w:lvlText w:val="%1"/>
      <w:lvlJc w:val="left"/>
      <w:pPr>
        <w:ind w:left="0"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isLgl/>
      <w:suff w:val="space"/>
      <w:lvlText w:val="%1.%2.%3"/>
      <w:lvlJc w:val="left"/>
      <w:pPr>
        <w:ind w:left="4536" w:firstLine="0"/>
      </w:pPr>
      <w:rPr>
        <w:rFonts w:hint="eastAsia"/>
        <w:color w:val="auto"/>
      </w:rPr>
    </w:lvl>
    <w:lvl w:ilvl="3" w:tentative="0">
      <w:start w:val="1"/>
      <w:numFmt w:val="decimal"/>
      <w:isLgl/>
      <w:suff w:val="space"/>
      <w:lvlText w:val="%1.%2.%3.%4"/>
      <w:lvlJc w:val="left"/>
      <w:pPr>
        <w:ind w:left="2268" w:firstLine="0"/>
      </w:pPr>
      <w:rPr>
        <w:rFonts w:hint="eastAsia"/>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decimal"/>
      <w:isLgl/>
      <w:suff w:val="space"/>
      <w:lvlText w:val="%1.%2.%3.%4.%5.%6.%7"/>
      <w:lvlJc w:val="left"/>
      <w:pPr>
        <w:ind w:left="0" w:firstLine="0"/>
      </w:pPr>
      <w:rPr>
        <w:rFonts w:hint="eastAsia"/>
      </w:rPr>
    </w:lvl>
    <w:lvl w:ilvl="7" w:tentative="0">
      <w:start w:val="1"/>
      <w:numFmt w:val="decimal"/>
      <w:isLgl/>
      <w:suff w:val="space"/>
      <w:lvlText w:val="%1.%2.%3.%4.%5.%6.%7.%8"/>
      <w:lvlJc w:val="left"/>
      <w:pPr>
        <w:ind w:left="0" w:firstLine="0"/>
      </w:pPr>
      <w:rPr>
        <w:rFonts w:hint="eastAsia"/>
      </w:rPr>
    </w:lvl>
    <w:lvl w:ilvl="8" w:tentative="0">
      <w:start w:val="1"/>
      <w:numFmt w:val="decimal"/>
      <w:isLgl/>
      <w:suff w:val="space"/>
      <w:lvlText w:val="%1.%2.%3.%4.%5.%6.%7.%8.%9"/>
      <w:lvlJc w:val="left"/>
      <w:pPr>
        <w:ind w:left="0" w:firstLine="0"/>
      </w:pPr>
      <w:rPr>
        <w:rFonts w:hint="eastAsia"/>
      </w:rPr>
    </w:lvl>
  </w:abstractNum>
  <w:num w:numId="1">
    <w:abstractNumId w:val="11"/>
  </w:num>
  <w:num w:numId="2">
    <w:abstractNumId w:val="0"/>
  </w:num>
  <w:num w:numId="3">
    <w:abstractNumId w:val="3"/>
  </w:num>
  <w:num w:numId="4">
    <w:abstractNumId w:val="1"/>
  </w:num>
  <w:num w:numId="5">
    <w:abstractNumId w:val="6"/>
  </w:num>
  <w:num w:numId="6">
    <w:abstractNumId w:val="10"/>
  </w:num>
  <w:num w:numId="7">
    <w:abstractNumId w:val="9"/>
  </w:num>
  <w:num w:numId="8">
    <w:abstractNumId w:val="5"/>
  </w:num>
  <w:num w:numId="9">
    <w:abstractNumId w:val="2"/>
  </w:num>
  <w:num w:numId="10">
    <w:abstractNumId w:val="4"/>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4EC"/>
    <w:rsid w:val="001144EC"/>
    <w:rsid w:val="0016305A"/>
    <w:rsid w:val="00197AD8"/>
    <w:rsid w:val="001B5631"/>
    <w:rsid w:val="00202F21"/>
    <w:rsid w:val="003F1902"/>
    <w:rsid w:val="00403A24"/>
    <w:rsid w:val="004D73D4"/>
    <w:rsid w:val="00582EFF"/>
    <w:rsid w:val="005B2C25"/>
    <w:rsid w:val="006C0DA4"/>
    <w:rsid w:val="00780E80"/>
    <w:rsid w:val="0097383D"/>
    <w:rsid w:val="009F1B44"/>
    <w:rsid w:val="00A3304A"/>
    <w:rsid w:val="00AB7BFC"/>
    <w:rsid w:val="00B73DAF"/>
    <w:rsid w:val="00C714C1"/>
    <w:rsid w:val="00C850FC"/>
    <w:rsid w:val="00CD6934"/>
    <w:rsid w:val="00D87147"/>
    <w:rsid w:val="00F45686"/>
    <w:rsid w:val="04553C4B"/>
    <w:rsid w:val="06CD535E"/>
    <w:rsid w:val="06FA34A8"/>
    <w:rsid w:val="0BD752B2"/>
    <w:rsid w:val="0C767B4D"/>
    <w:rsid w:val="0D6160DD"/>
    <w:rsid w:val="0D8238FA"/>
    <w:rsid w:val="12F207D9"/>
    <w:rsid w:val="14642007"/>
    <w:rsid w:val="167F677B"/>
    <w:rsid w:val="175F2770"/>
    <w:rsid w:val="17863B84"/>
    <w:rsid w:val="180A68B9"/>
    <w:rsid w:val="18AC4E67"/>
    <w:rsid w:val="18AF589E"/>
    <w:rsid w:val="198B4DF4"/>
    <w:rsid w:val="1A3B59C3"/>
    <w:rsid w:val="1BDB0DA5"/>
    <w:rsid w:val="205F6C50"/>
    <w:rsid w:val="26541177"/>
    <w:rsid w:val="2D967332"/>
    <w:rsid w:val="2E63772D"/>
    <w:rsid w:val="30A972C0"/>
    <w:rsid w:val="30B6518C"/>
    <w:rsid w:val="31DF0EF6"/>
    <w:rsid w:val="320D55D9"/>
    <w:rsid w:val="35A44055"/>
    <w:rsid w:val="362D3527"/>
    <w:rsid w:val="36E46E41"/>
    <w:rsid w:val="379F2D1F"/>
    <w:rsid w:val="381B15E9"/>
    <w:rsid w:val="384A7EE8"/>
    <w:rsid w:val="3B914B85"/>
    <w:rsid w:val="3D383AA5"/>
    <w:rsid w:val="40275E0B"/>
    <w:rsid w:val="40EF5788"/>
    <w:rsid w:val="411B38A0"/>
    <w:rsid w:val="418A27A2"/>
    <w:rsid w:val="428E304F"/>
    <w:rsid w:val="44056110"/>
    <w:rsid w:val="44EE5BEA"/>
    <w:rsid w:val="471378A9"/>
    <w:rsid w:val="477C0DDF"/>
    <w:rsid w:val="47A07250"/>
    <w:rsid w:val="47D160BA"/>
    <w:rsid w:val="485F3787"/>
    <w:rsid w:val="49E14F29"/>
    <w:rsid w:val="4D2A18D4"/>
    <w:rsid w:val="4F8D6DB9"/>
    <w:rsid w:val="4FAB6287"/>
    <w:rsid w:val="50CC3A67"/>
    <w:rsid w:val="52CF6267"/>
    <w:rsid w:val="53733430"/>
    <w:rsid w:val="55AA65CD"/>
    <w:rsid w:val="5608060A"/>
    <w:rsid w:val="57F46EB6"/>
    <w:rsid w:val="58541124"/>
    <w:rsid w:val="58C748CB"/>
    <w:rsid w:val="58E92B3F"/>
    <w:rsid w:val="5ACC14A7"/>
    <w:rsid w:val="5B01649D"/>
    <w:rsid w:val="5BE86674"/>
    <w:rsid w:val="5E8B1BDC"/>
    <w:rsid w:val="5EAD1926"/>
    <w:rsid w:val="5EAE21C6"/>
    <w:rsid w:val="60D75C8B"/>
    <w:rsid w:val="60F10327"/>
    <w:rsid w:val="62AF13AB"/>
    <w:rsid w:val="62F260C5"/>
    <w:rsid w:val="635F04A9"/>
    <w:rsid w:val="63BC3654"/>
    <w:rsid w:val="64941BC4"/>
    <w:rsid w:val="65777C2B"/>
    <w:rsid w:val="673F7C2B"/>
    <w:rsid w:val="676EF906"/>
    <w:rsid w:val="6844523D"/>
    <w:rsid w:val="685165AE"/>
    <w:rsid w:val="68C525D5"/>
    <w:rsid w:val="6D3E606B"/>
    <w:rsid w:val="6EBB0610"/>
    <w:rsid w:val="6EEE974D"/>
    <w:rsid w:val="6F1A7C4A"/>
    <w:rsid w:val="725F50A7"/>
    <w:rsid w:val="755A4468"/>
    <w:rsid w:val="76390791"/>
    <w:rsid w:val="77FBCA0F"/>
    <w:rsid w:val="781A6E5F"/>
    <w:rsid w:val="7AE47175"/>
    <w:rsid w:val="7D311748"/>
    <w:rsid w:val="7DB36128"/>
    <w:rsid w:val="7EAD2FC4"/>
    <w:rsid w:val="94BD97B9"/>
    <w:rsid w:val="B3E999B6"/>
    <w:rsid w:val="B9871EB9"/>
    <w:rsid w:val="BBBDC145"/>
    <w:rsid w:val="F6AF6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line="360" w:lineRule="auto"/>
      <w:jc w:val="both"/>
    </w:pPr>
    <w:rPr>
      <w:rFonts w:ascii="Calibri" w:hAnsi="Calibri" w:eastAsia="宋体" w:cs="Times New Roman"/>
      <w:kern w:val="2"/>
      <w:sz w:val="21"/>
      <w:szCs w:val="21"/>
      <w:lang w:val="en-US" w:eastAsia="zh-CN" w:bidi="ar-SA"/>
    </w:rPr>
  </w:style>
  <w:style w:type="paragraph" w:styleId="2">
    <w:name w:val="heading 1"/>
    <w:basedOn w:val="3"/>
    <w:next w:val="4"/>
    <w:qFormat/>
    <w:uiPriority w:val="9"/>
    <w:pPr>
      <w:keepNext/>
      <w:keepLines/>
      <w:numPr>
        <w:ilvl w:val="0"/>
        <w:numId w:val="1"/>
      </w:numPr>
      <w:spacing w:before="140" w:after="140" w:line="240" w:lineRule="auto"/>
      <w:jc w:val="left"/>
    </w:pPr>
    <w:rPr>
      <w:rFonts w:ascii="Times New Roman" w:hAnsi="Times New Roman"/>
      <w:bCs w:val="0"/>
      <w:kern w:val="44"/>
      <w:szCs w:val="44"/>
    </w:rPr>
  </w:style>
  <w:style w:type="paragraph" w:styleId="6">
    <w:name w:val="heading 2"/>
    <w:basedOn w:val="1"/>
    <w:next w:val="1"/>
    <w:unhideWhenUsed/>
    <w:qFormat/>
    <w:uiPriority w:val="0"/>
    <w:pPr>
      <w:keepNext/>
      <w:keepLines/>
      <w:spacing w:before="260" w:after="260" w:line="416" w:lineRule="auto"/>
      <w:outlineLvl w:val="1"/>
    </w:pPr>
    <w:rPr>
      <w:rFonts w:ascii="等线 Light" w:hAnsi="等线 Light" w:eastAsia="等线 Light"/>
      <w:b/>
      <w:bCs/>
      <w:sz w:val="32"/>
      <w:szCs w:val="32"/>
    </w:rPr>
  </w:style>
  <w:style w:type="paragraph" w:styleId="7">
    <w:name w:val="heading 3"/>
    <w:basedOn w:val="2"/>
    <w:next w:val="4"/>
    <w:qFormat/>
    <w:uiPriority w:val="0"/>
    <w:pPr>
      <w:numPr>
        <w:numId w:val="0"/>
      </w:numPr>
      <w:ind w:left="567"/>
      <w:jc w:val="both"/>
      <w:outlineLvl w:val="2"/>
    </w:pPr>
    <w:rPr>
      <w:rFonts w:ascii="宋体" w:hAnsi="宋体"/>
      <w:bCs/>
      <w:color w:val="000000"/>
      <w:sz w:val="28"/>
      <w:szCs w:val="32"/>
    </w:rPr>
  </w:style>
  <w:style w:type="paragraph" w:styleId="8">
    <w:name w:val="heading 6"/>
    <w:basedOn w:val="1"/>
    <w:next w:val="1"/>
    <w:qFormat/>
    <w:uiPriority w:val="0"/>
    <w:pPr>
      <w:outlineLvl w:val="5"/>
    </w:pPr>
    <w:rPr>
      <w:bCs/>
      <w:sz w:val="24"/>
      <w:szCs w:val="24"/>
    </w:rPr>
  </w:style>
  <w:style w:type="paragraph" w:styleId="9">
    <w:name w:val="heading 8"/>
    <w:basedOn w:val="1"/>
    <w:next w:val="1"/>
    <w:link w:val="22"/>
    <w:semiHidden/>
    <w:unhideWhenUsed/>
    <w:qFormat/>
    <w:uiPriority w:val="0"/>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qFormat/>
    <w:uiPriority w:val="10"/>
    <w:pPr>
      <w:spacing w:before="240" w:after="60"/>
      <w:jc w:val="center"/>
      <w:outlineLvl w:val="0"/>
    </w:pPr>
    <w:rPr>
      <w:rFonts w:ascii="Calibri Light" w:hAnsi="Calibri Light"/>
      <w:b/>
      <w:bCs/>
      <w:sz w:val="32"/>
      <w:szCs w:val="32"/>
    </w:rPr>
  </w:style>
  <w:style w:type="paragraph" w:styleId="4">
    <w:name w:val="Body Text First Indent 2"/>
    <w:basedOn w:val="5"/>
    <w:qFormat/>
    <w:uiPriority w:val="0"/>
    <w:pPr>
      <w:spacing w:after="0"/>
      <w:ind w:left="0" w:leftChars="0" w:firstLine="200" w:firstLineChars="200"/>
    </w:pPr>
    <w:rPr>
      <w:sz w:val="24"/>
    </w:rPr>
  </w:style>
  <w:style w:type="paragraph" w:styleId="5">
    <w:name w:val="Body Text Indent"/>
    <w:basedOn w:val="1"/>
    <w:unhideWhenUsed/>
    <w:qFormat/>
    <w:uiPriority w:val="99"/>
    <w:pPr>
      <w:spacing w:after="120"/>
      <w:ind w:left="420" w:leftChars="200"/>
    </w:pPr>
  </w:style>
  <w:style w:type="paragraph" w:styleId="10">
    <w:name w:val="Normal Indent"/>
    <w:basedOn w:val="1"/>
    <w:qFormat/>
    <w:uiPriority w:val="0"/>
    <w:pPr>
      <w:adjustRightInd w:val="0"/>
      <w:spacing w:line="400" w:lineRule="atLeast"/>
      <w:ind w:firstLine="420" w:firstLineChars="200"/>
      <w:jc w:val="left"/>
      <w:textAlignment w:val="baseline"/>
    </w:pPr>
    <w:rPr>
      <w:rFonts w:ascii="Times New Roman" w:hAnsi="Times New Roman"/>
      <w:kern w:val="0"/>
      <w:szCs w:val="20"/>
    </w:rPr>
  </w:style>
  <w:style w:type="paragraph" w:styleId="11">
    <w:name w:val="annotation text"/>
    <w:basedOn w:val="1"/>
    <w:qFormat/>
    <w:uiPriority w:val="0"/>
    <w:pPr>
      <w:jc w:val="left"/>
    </w:pPr>
  </w:style>
  <w:style w:type="paragraph" w:styleId="12">
    <w:name w:val="Plain Text"/>
    <w:basedOn w:val="1"/>
    <w:qFormat/>
    <w:uiPriority w:val="0"/>
    <w:rPr>
      <w:rFonts w:ascii="宋体" w:hAnsi="Courier New" w:cs="Courier New"/>
    </w:rPr>
  </w:style>
  <w:style w:type="paragraph" w:styleId="13">
    <w:name w:val="footer"/>
    <w:basedOn w:val="1"/>
    <w:link w:val="25"/>
    <w:qFormat/>
    <w:uiPriority w:val="0"/>
    <w:pPr>
      <w:tabs>
        <w:tab w:val="center" w:pos="4153"/>
        <w:tab w:val="right" w:pos="8306"/>
      </w:tabs>
      <w:snapToGrid w:val="0"/>
      <w:spacing w:line="240" w:lineRule="auto"/>
      <w:jc w:val="left"/>
    </w:pPr>
    <w:rPr>
      <w:sz w:val="18"/>
      <w:szCs w:val="18"/>
    </w:rPr>
  </w:style>
  <w:style w:type="paragraph" w:styleId="14">
    <w:name w:val="header"/>
    <w:basedOn w:val="1"/>
    <w:link w:val="24"/>
    <w:qFormat/>
    <w:uiPriority w:val="0"/>
    <w:pPr>
      <w:tabs>
        <w:tab w:val="center" w:pos="4153"/>
        <w:tab w:val="right" w:pos="8306"/>
      </w:tabs>
      <w:snapToGrid w:val="0"/>
      <w:spacing w:line="240" w:lineRule="auto"/>
      <w:jc w:val="center"/>
    </w:pPr>
    <w:rPr>
      <w:sz w:val="18"/>
      <w:szCs w:val="18"/>
    </w:rPr>
  </w:style>
  <w:style w:type="paragraph" w:styleId="15">
    <w:name w:val="Body Text Indent 3"/>
    <w:basedOn w:val="1"/>
    <w:unhideWhenUsed/>
    <w:qFormat/>
    <w:uiPriority w:val="99"/>
    <w:pPr>
      <w:spacing w:after="120"/>
      <w:ind w:left="420" w:leftChars="200"/>
    </w:pPr>
    <w:rPr>
      <w:rFonts w:ascii="等线" w:hAnsi="等线" w:eastAsia="等线"/>
      <w:sz w:val="16"/>
      <w:szCs w:val="16"/>
    </w:rPr>
  </w:style>
  <w:style w:type="character" w:styleId="18">
    <w:name w:val="annotation reference"/>
    <w:basedOn w:val="17"/>
    <w:qFormat/>
    <w:uiPriority w:val="0"/>
    <w:rPr>
      <w:sz w:val="21"/>
      <w:szCs w:val="21"/>
    </w:rPr>
  </w:style>
  <w:style w:type="paragraph" w:customStyle="1" w:styleId="19">
    <w:name w:val="正文-SM"/>
    <w:basedOn w:val="12"/>
    <w:qFormat/>
    <w:uiPriority w:val="0"/>
    <w:pPr>
      <w:widowControl/>
      <w:ind w:firstLine="200" w:firstLineChars="200"/>
      <w:jc w:val="left"/>
    </w:pPr>
    <w:rPr>
      <w:rFonts w:ascii="Times New Roman" w:hAnsi="宋体" w:cs="宋体"/>
      <w:kern w:val="0"/>
      <w:sz w:val="24"/>
      <w:szCs w:val="24"/>
    </w:rPr>
  </w:style>
  <w:style w:type="paragraph" w:customStyle="1" w:styleId="20">
    <w:name w:val="Default"/>
    <w:qFormat/>
    <w:uiPriority w:val="0"/>
    <w:pPr>
      <w:widowControl w:val="0"/>
      <w:autoSpaceDE w:val="0"/>
      <w:autoSpaceDN w:val="0"/>
      <w:adjustRightInd w:val="0"/>
      <w:spacing w:line="360" w:lineRule="auto"/>
    </w:pPr>
    <w:rPr>
      <w:rFonts w:ascii="宋体" w:hAnsi="Calibri" w:eastAsia="宋体" w:cs="宋体"/>
      <w:color w:val="000000"/>
      <w:sz w:val="24"/>
      <w:szCs w:val="24"/>
      <w:lang w:val="en-US" w:eastAsia="zh-CN" w:bidi="ar-SA"/>
    </w:rPr>
  </w:style>
  <w:style w:type="paragraph" w:customStyle="1" w:styleId="21">
    <w:name w:val="_Style 85"/>
    <w:basedOn w:val="1"/>
    <w:next w:val="1"/>
    <w:qFormat/>
    <w:uiPriority w:val="99"/>
    <w:pPr>
      <w:spacing w:line="240" w:lineRule="auto"/>
      <w:ind w:firstLine="420" w:firstLineChars="200"/>
    </w:pPr>
    <w:rPr>
      <w:szCs w:val="22"/>
    </w:rPr>
  </w:style>
  <w:style w:type="character" w:customStyle="1" w:styleId="22">
    <w:name w:val="标题 8 字符"/>
    <w:basedOn w:val="17"/>
    <w:link w:val="9"/>
    <w:semiHidden/>
    <w:qFormat/>
    <w:uiPriority w:val="9"/>
    <w:rPr>
      <w:rFonts w:asciiTheme="majorHAnsi" w:hAnsiTheme="majorHAnsi" w:eastAsiaTheme="majorEastAsia" w:cstheme="majorBidi"/>
      <w:kern w:val="2"/>
      <w:sz w:val="24"/>
      <w:szCs w:val="24"/>
    </w:rPr>
  </w:style>
  <w:style w:type="paragraph" w:styleId="23">
    <w:name w:val="List Paragraph"/>
    <w:basedOn w:val="1"/>
    <w:unhideWhenUsed/>
    <w:qFormat/>
    <w:uiPriority w:val="99"/>
    <w:pPr>
      <w:ind w:firstLine="420" w:firstLineChars="200"/>
    </w:pPr>
  </w:style>
  <w:style w:type="character" w:customStyle="1" w:styleId="24">
    <w:name w:val="页眉 字符"/>
    <w:basedOn w:val="17"/>
    <w:link w:val="14"/>
    <w:qFormat/>
    <w:uiPriority w:val="0"/>
    <w:rPr>
      <w:rFonts w:ascii="Calibri" w:hAnsi="Calibri" w:eastAsia="宋体" w:cs="Times New Roman"/>
      <w:kern w:val="2"/>
      <w:sz w:val="18"/>
      <w:szCs w:val="18"/>
    </w:rPr>
  </w:style>
  <w:style w:type="character" w:customStyle="1" w:styleId="25">
    <w:name w:val="页脚 字符"/>
    <w:basedOn w:val="17"/>
    <w:link w:val="13"/>
    <w:qFormat/>
    <w:uiPriority w:val="0"/>
    <w:rPr>
      <w:rFonts w:ascii="Calibri" w:hAnsi="Calibri" w:eastAsia="宋体" w:cs="Times New Roman"/>
      <w:kern w:val="2"/>
      <w:sz w:val="18"/>
      <w:szCs w:val="18"/>
    </w:rPr>
  </w:style>
  <w:style w:type="paragraph" w:customStyle="1" w:styleId="26">
    <w:name w:val="Revision"/>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4371</Words>
  <Characters>4890</Characters>
  <Lines>62</Lines>
  <Paragraphs>17</Paragraphs>
  <TotalTime>4</TotalTime>
  <ScaleCrop>false</ScaleCrop>
  <LinksUpToDate>false</LinksUpToDate>
  <CharactersWithSpaces>4940</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2025-03-07T11:06:00Z</dcterms:created>
  <dc:creator>信息科</dc:creator>
  <cp:lastModifiedBy>user</cp:lastModifiedBy>
  <cp:lastPrinted>2025-08-16T01:56:00Z</cp:lastPrinted>
  <dcterms:modified xsi:type="dcterms:W3CDTF">2025-10-20T14:53:37Z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KSOTemplateDocerSaveRecord">
    <vt:lpwstr>eyJoZGlkIjoiZTVmYzUyMzBhOTljNTk4NThmZmZjMzA0OTkxZDM0OTgiLCJ1c2VySWQiOiI1MzAwMjIzODEifQ==</vt:lpwstr>
  </property>
  <property fmtid="{D5CDD505-2E9C-101B-9397-08002B2CF9AE}" pid="4" name="ICV">
    <vt:lpwstr>F668BD4664EA48F99D0F032D2365CCD4_13</vt:lpwstr>
  </property>
</Properties>
</file>