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firstLine="643" w:firstLineChars="200"/>
        <w:jc w:val="center"/>
        <w:textAlignment w:val="baseline"/>
        <w:rPr>
          <w:rFonts w:ascii="宋体" w:hAnsi="宋体" w:eastAsia="宋体" w:cs="Times New Roman"/>
          <w:bCs/>
          <w:snapToGrid w:val="0"/>
          <w:color w:val="000000"/>
          <w:kern w:val="0"/>
          <w:sz w:val="32"/>
          <w:szCs w:val="32"/>
        </w:rPr>
      </w:pPr>
      <w:r>
        <w:rPr>
          <w:rFonts w:hint="eastAsia" w:ascii="宋体" w:hAnsi="宋体" w:eastAsia="宋体" w:cs="Arial"/>
          <w:b/>
          <w:snapToGrid w:val="0"/>
          <w:color w:val="000000"/>
          <w:kern w:val="0"/>
          <w:sz w:val="32"/>
          <w:szCs w:val="32"/>
        </w:rPr>
        <w:t>附件2：原材料及成品质量要求：</w:t>
      </w:r>
    </w:p>
    <w:p>
      <w:pPr>
        <w:keepNext w:val="0"/>
        <w:keepLines w:val="0"/>
        <w:pageBreakBefore w:val="0"/>
        <w:wordWrap/>
        <w:overflowPunct/>
        <w:topLinePunct w:val="0"/>
        <w:bidi w:val="0"/>
        <w:spacing w:line="360" w:lineRule="auto"/>
        <w:rPr>
          <w:b/>
          <w:bCs/>
          <w:sz w:val="28"/>
          <w:szCs w:val="28"/>
        </w:rPr>
      </w:pPr>
      <w:r>
        <w:rPr>
          <w:rFonts w:hint="eastAsia"/>
          <w:b/>
          <w:bCs/>
          <w:sz w:val="28"/>
          <w:szCs w:val="28"/>
        </w:rPr>
        <w:t>一</w:t>
      </w:r>
      <w:r>
        <w:rPr>
          <w:rFonts w:hint="eastAsia"/>
          <w:b/>
          <w:bCs/>
          <w:sz w:val="28"/>
          <w:szCs w:val="28"/>
          <w:lang w:eastAsia="zh-CN"/>
        </w:rPr>
        <w:t>、</w:t>
      </w:r>
      <w:r>
        <w:rPr>
          <w:rFonts w:hint="eastAsia"/>
          <w:b/>
          <w:bCs/>
          <w:sz w:val="28"/>
          <w:szCs w:val="28"/>
        </w:rPr>
        <w:t>主要原材料材质要求</w:t>
      </w:r>
    </w:p>
    <w:p>
      <w:pPr>
        <w:pStyle w:val="9"/>
        <w:keepNext w:val="0"/>
        <w:keepLines w:val="0"/>
        <w:pageBreakBefore w:val="0"/>
        <w:widowControl/>
        <w:numPr>
          <w:ilvl w:val="0"/>
          <w:numId w:val="1"/>
        </w:numPr>
        <w:wordWrap/>
        <w:overflowPunct/>
        <w:topLinePunct w:val="0"/>
        <w:bidi w:val="0"/>
        <w:spacing w:line="360" w:lineRule="auto"/>
        <w:ind w:left="227" w:firstLine="562" w:firstLineChars="200"/>
        <w:jc w:val="left"/>
        <w:rPr>
          <w:sz w:val="28"/>
          <w:szCs w:val="28"/>
        </w:rPr>
      </w:pPr>
      <w:r>
        <w:rPr>
          <w:rFonts w:hint="eastAsia"/>
          <w:b/>
          <w:bCs/>
          <w:sz w:val="28"/>
          <w:szCs w:val="28"/>
        </w:rPr>
        <w:t>钢板</w:t>
      </w:r>
      <w:r>
        <w:rPr>
          <w:rFonts w:hint="eastAsia"/>
          <w:sz w:val="28"/>
          <w:szCs w:val="28"/>
        </w:rPr>
        <w:t>：采用优质冷轧板制作</w:t>
      </w:r>
      <w:r>
        <w:rPr>
          <w:rFonts w:hint="eastAsia" w:ascii="Helvetica" w:hAnsi="Helvetica" w:eastAsia="Helvetica" w:cs="Helvetica"/>
          <w:kern w:val="0"/>
          <w:sz w:val="28"/>
          <w:szCs w:val="28"/>
          <w:lang w:bidi="ar"/>
        </w:rPr>
        <w:t>,</w:t>
      </w:r>
      <w:r>
        <w:rPr>
          <w:rFonts w:hint="eastAsia"/>
          <w:sz w:val="28"/>
          <w:szCs w:val="28"/>
        </w:rPr>
        <w:t>符合</w:t>
      </w:r>
      <w:r>
        <w:rPr>
          <w:sz w:val="28"/>
          <w:szCs w:val="28"/>
        </w:rPr>
        <w:t>QB/T 3826</w:t>
      </w:r>
      <w:r>
        <w:rPr>
          <w:rFonts w:hint="eastAsia"/>
          <w:sz w:val="28"/>
          <w:szCs w:val="28"/>
        </w:rPr>
        <w:t>标准</w:t>
      </w:r>
      <w:r>
        <w:rPr>
          <w:sz w:val="28"/>
          <w:szCs w:val="28"/>
        </w:rPr>
        <w:t>中性盐雾试验(NSS)法</w:t>
      </w:r>
      <w:r>
        <w:rPr>
          <w:rFonts w:hint="eastAsia"/>
          <w:sz w:val="28"/>
          <w:szCs w:val="28"/>
        </w:rPr>
        <w:t>-中性盐雾测试达到10级。</w:t>
      </w:r>
    </w:p>
    <w:p>
      <w:pPr>
        <w:pStyle w:val="9"/>
        <w:keepNext w:val="0"/>
        <w:keepLines w:val="0"/>
        <w:pageBreakBefore w:val="0"/>
        <w:widowControl/>
        <w:numPr>
          <w:ilvl w:val="0"/>
          <w:numId w:val="1"/>
        </w:numPr>
        <w:wordWrap/>
        <w:overflowPunct/>
        <w:topLinePunct w:val="0"/>
        <w:bidi w:val="0"/>
        <w:spacing w:line="360" w:lineRule="auto"/>
        <w:ind w:left="227" w:firstLine="560" w:firstLineChars="200"/>
        <w:jc w:val="left"/>
        <w:rPr>
          <w:sz w:val="28"/>
          <w:szCs w:val="28"/>
        </w:rPr>
      </w:pPr>
      <w:r>
        <w:rPr>
          <w:rFonts w:ascii="Helvetica Bold" w:hAnsi="Helvetica Bold" w:eastAsia="Helvetica" w:cs="Helvetica Bold"/>
          <w:b/>
          <w:bCs/>
          <w:kern w:val="0"/>
          <w:sz w:val="28"/>
          <w:szCs w:val="28"/>
          <w:lang w:bidi="ar"/>
        </w:rPr>
        <w:t>钢</w:t>
      </w:r>
      <w:r>
        <w:rPr>
          <w:b/>
          <w:bCs/>
          <w:sz w:val="28"/>
          <w:szCs w:val="28"/>
        </w:rPr>
        <w:t>管</w:t>
      </w:r>
      <w:r>
        <w:rPr>
          <w:rFonts w:hint="eastAsia"/>
          <w:b/>
          <w:bCs/>
          <w:sz w:val="28"/>
          <w:szCs w:val="28"/>
        </w:rPr>
        <w:t>：</w:t>
      </w:r>
      <w:r>
        <w:rPr>
          <w:rFonts w:hint="eastAsia" w:ascii="Helvetica" w:hAnsi="Helvetica" w:eastAsia="Helvetica" w:cs="Helvetica"/>
          <w:kern w:val="0"/>
          <w:sz w:val="28"/>
          <w:szCs w:val="28"/>
          <w:lang w:bidi="ar"/>
        </w:rPr>
        <w:t>外</w:t>
      </w:r>
      <w:r>
        <w:rPr>
          <w:rFonts w:hint="eastAsia"/>
          <w:sz w:val="28"/>
          <w:szCs w:val="28"/>
        </w:rPr>
        <w:t>观无缺陷、金属喷漆 （塑）涂层耐腐蚀性(100H内和100H后）符合</w:t>
      </w:r>
      <w:r>
        <w:rPr>
          <w:sz w:val="28"/>
          <w:szCs w:val="28"/>
        </w:rPr>
        <w:t>QB/T 4767</w:t>
      </w:r>
      <w:r>
        <w:rPr>
          <w:rFonts w:hint="eastAsia"/>
          <w:sz w:val="28"/>
          <w:szCs w:val="28"/>
        </w:rPr>
        <w:t>标准的要求.</w:t>
      </w:r>
    </w:p>
    <w:p>
      <w:pPr>
        <w:pStyle w:val="9"/>
        <w:keepNext w:val="0"/>
        <w:keepLines w:val="0"/>
        <w:pageBreakBefore w:val="0"/>
        <w:widowControl/>
        <w:numPr>
          <w:ilvl w:val="0"/>
          <w:numId w:val="1"/>
        </w:numPr>
        <w:wordWrap/>
        <w:overflowPunct/>
        <w:topLinePunct w:val="0"/>
        <w:bidi w:val="0"/>
        <w:spacing w:line="360" w:lineRule="auto"/>
        <w:ind w:left="227" w:firstLine="562" w:firstLineChars="200"/>
        <w:jc w:val="left"/>
        <w:rPr>
          <w:sz w:val="28"/>
          <w:szCs w:val="28"/>
        </w:rPr>
      </w:pPr>
      <w:r>
        <w:rPr>
          <w:b/>
          <w:bCs/>
          <w:sz w:val="28"/>
          <w:szCs w:val="28"/>
        </w:rPr>
        <w:t>静电粉末</w:t>
      </w:r>
      <w:r>
        <w:rPr>
          <w:rFonts w:hint="eastAsia"/>
          <w:sz w:val="28"/>
          <w:szCs w:val="28"/>
        </w:rPr>
        <w:t>：符合</w:t>
      </w:r>
      <w:r>
        <w:rPr>
          <w:sz w:val="28"/>
          <w:szCs w:val="28"/>
        </w:rPr>
        <w:t>HG/T 2006</w:t>
      </w:r>
      <w:r>
        <w:rPr>
          <w:rFonts w:hint="eastAsia"/>
          <w:sz w:val="28"/>
          <w:szCs w:val="28"/>
        </w:rPr>
        <w:t>《</w:t>
      </w:r>
      <w:r>
        <w:rPr>
          <w:sz w:val="28"/>
          <w:szCs w:val="28"/>
        </w:rPr>
        <w:t>热固性和热塑性粉末涂料</w:t>
      </w:r>
      <w:r>
        <w:rPr>
          <w:rFonts w:hint="eastAsia"/>
          <w:sz w:val="28"/>
          <w:szCs w:val="28"/>
        </w:rPr>
        <w:t>》</w:t>
      </w:r>
      <w:r>
        <w:rPr>
          <w:sz w:val="28"/>
          <w:szCs w:val="28"/>
        </w:rPr>
        <w:t> </w:t>
      </w:r>
      <w:r>
        <w:rPr>
          <w:rFonts w:hint="eastAsia"/>
          <w:sz w:val="28"/>
          <w:szCs w:val="28"/>
        </w:rPr>
        <w:t>，铅笔硬度≥2H，干附着力≤1级，</w:t>
      </w:r>
      <w:r>
        <w:rPr>
          <w:sz w:val="28"/>
          <w:szCs w:val="28"/>
        </w:rPr>
        <w:t>耐磨性/mg（750g/500r） </w:t>
      </w:r>
      <w:r>
        <w:rPr>
          <w:rFonts w:hint="eastAsia"/>
          <w:sz w:val="28"/>
          <w:szCs w:val="28"/>
        </w:rPr>
        <w:t>≤</w:t>
      </w:r>
      <w:r>
        <w:rPr>
          <w:sz w:val="28"/>
          <w:szCs w:val="28"/>
        </w:rPr>
        <w:t>50 </w:t>
      </w:r>
      <w:r>
        <w:rPr>
          <w:rFonts w:hint="eastAsia"/>
          <w:sz w:val="28"/>
          <w:szCs w:val="28"/>
        </w:rPr>
        <w:t>。</w:t>
      </w:r>
    </w:p>
    <w:p>
      <w:pPr>
        <w:pStyle w:val="9"/>
        <w:keepNext w:val="0"/>
        <w:keepLines w:val="0"/>
        <w:pageBreakBefore w:val="0"/>
        <w:widowControl/>
        <w:numPr>
          <w:ilvl w:val="0"/>
          <w:numId w:val="1"/>
        </w:numPr>
        <w:wordWrap/>
        <w:overflowPunct/>
        <w:topLinePunct w:val="0"/>
        <w:bidi w:val="0"/>
        <w:spacing w:line="360" w:lineRule="auto"/>
        <w:ind w:left="227" w:firstLine="562" w:firstLineChars="200"/>
        <w:jc w:val="left"/>
        <w:rPr>
          <w:sz w:val="28"/>
          <w:szCs w:val="28"/>
        </w:rPr>
      </w:pPr>
      <w:r>
        <w:rPr>
          <w:rFonts w:hint="eastAsia"/>
          <w:b/>
          <w:bCs/>
          <w:sz w:val="28"/>
          <w:szCs w:val="28"/>
        </w:rPr>
        <w:t>封边条</w:t>
      </w:r>
      <w:r>
        <w:rPr>
          <w:rFonts w:hint="eastAsia"/>
          <w:sz w:val="28"/>
          <w:szCs w:val="28"/>
        </w:rPr>
        <w:t>：理化性能（耐干热、耐磨性、耐开裂性、耐老化、耐光色牢度、耐冷热循环性）符合QB/T 4463-2013 家具用封边条技术要求，甲醛释放量≤0.1mg/L 。</w:t>
      </w:r>
    </w:p>
    <w:p>
      <w:pPr>
        <w:pStyle w:val="9"/>
        <w:keepNext w:val="0"/>
        <w:keepLines w:val="0"/>
        <w:pageBreakBefore w:val="0"/>
        <w:widowControl/>
        <w:numPr>
          <w:ilvl w:val="0"/>
          <w:numId w:val="1"/>
        </w:numPr>
        <w:wordWrap/>
        <w:overflowPunct/>
        <w:topLinePunct w:val="0"/>
        <w:bidi w:val="0"/>
        <w:spacing w:line="360" w:lineRule="auto"/>
        <w:ind w:left="227" w:firstLine="562" w:firstLineChars="200"/>
        <w:jc w:val="left"/>
        <w:rPr>
          <w:sz w:val="28"/>
          <w:szCs w:val="28"/>
        </w:rPr>
      </w:pPr>
      <w:r>
        <w:rPr>
          <w:b/>
          <w:bCs/>
          <w:sz w:val="28"/>
          <w:szCs w:val="28"/>
        </w:rPr>
        <w:t>皮革（西皮）</w:t>
      </w:r>
      <w:r>
        <w:rPr>
          <w:rFonts w:hint="eastAsia"/>
          <w:sz w:val="28"/>
          <w:szCs w:val="28"/>
        </w:rPr>
        <w:t>：符合QB/T 4045《</w:t>
      </w:r>
      <w:r>
        <w:rPr>
          <w:sz w:val="28"/>
          <w:szCs w:val="28"/>
        </w:rPr>
        <w:t>聚氨酯家居用合成革安全技术条件</w:t>
      </w:r>
      <w:r>
        <w:rPr>
          <w:rFonts w:hint="eastAsia"/>
          <w:sz w:val="28"/>
          <w:szCs w:val="28"/>
        </w:rPr>
        <w:t>》和GB/T35607《绿色产品评价</w:t>
      </w:r>
      <w:r>
        <w:rPr>
          <w:sz w:val="28"/>
          <w:szCs w:val="28"/>
        </w:rPr>
        <w:t xml:space="preserve"> </w:t>
      </w:r>
      <w:r>
        <w:rPr>
          <w:rFonts w:hint="eastAsia"/>
          <w:sz w:val="28"/>
          <w:szCs w:val="28"/>
        </w:rPr>
        <w:t>家具》标准，实测</w:t>
      </w:r>
      <w:r>
        <w:rPr>
          <w:sz w:val="28"/>
          <w:szCs w:val="28"/>
        </w:rPr>
        <w:t>甲醛</w:t>
      </w:r>
      <w:r>
        <w:rPr>
          <w:rFonts w:hint="eastAsia"/>
          <w:sz w:val="28"/>
          <w:szCs w:val="28"/>
        </w:rPr>
        <w:t>：未检出（检测限要求≤20</w:t>
      </w:r>
      <w:r>
        <w:rPr>
          <w:sz w:val="28"/>
          <w:szCs w:val="28"/>
        </w:rPr>
        <w:t>mg/kg </w:t>
      </w:r>
      <w:r>
        <w:rPr>
          <w:rFonts w:hint="eastAsia"/>
          <w:sz w:val="28"/>
          <w:szCs w:val="28"/>
        </w:rPr>
        <w:t>），</w:t>
      </w:r>
      <w:r>
        <w:rPr>
          <w:sz w:val="28"/>
          <w:szCs w:val="28"/>
        </w:rPr>
        <w:t>五氯苯酚 （PCP） </w:t>
      </w:r>
      <w:r>
        <w:rPr>
          <w:rFonts w:hint="eastAsia"/>
          <w:sz w:val="28"/>
          <w:szCs w:val="28"/>
        </w:rPr>
        <w:t>：未检出（检测限要求≤</w:t>
      </w:r>
      <w:r>
        <w:rPr>
          <w:sz w:val="28"/>
          <w:szCs w:val="28"/>
        </w:rPr>
        <w:t>0.</w:t>
      </w:r>
      <w:r>
        <w:rPr>
          <w:rFonts w:hint="eastAsia"/>
          <w:sz w:val="28"/>
          <w:szCs w:val="28"/>
        </w:rPr>
        <w:t>1</w:t>
      </w:r>
      <w:r>
        <w:rPr>
          <w:sz w:val="28"/>
          <w:szCs w:val="28"/>
        </w:rPr>
        <w:t>mg/kg </w:t>
      </w:r>
      <w:r>
        <w:rPr>
          <w:rFonts w:hint="eastAsia"/>
          <w:sz w:val="28"/>
          <w:szCs w:val="28"/>
        </w:rPr>
        <w:t>）。</w:t>
      </w:r>
    </w:p>
    <w:p>
      <w:pPr>
        <w:pStyle w:val="9"/>
        <w:keepNext w:val="0"/>
        <w:keepLines w:val="0"/>
        <w:pageBreakBefore w:val="0"/>
        <w:widowControl/>
        <w:numPr>
          <w:ilvl w:val="0"/>
          <w:numId w:val="1"/>
        </w:numPr>
        <w:wordWrap/>
        <w:overflowPunct/>
        <w:topLinePunct w:val="0"/>
        <w:bidi w:val="0"/>
        <w:spacing w:line="360" w:lineRule="auto"/>
        <w:ind w:left="227" w:firstLine="562" w:firstLineChars="200"/>
        <w:jc w:val="left"/>
        <w:rPr>
          <w:sz w:val="28"/>
          <w:szCs w:val="28"/>
        </w:rPr>
      </w:pPr>
      <w:r>
        <w:rPr>
          <w:rFonts w:hint="eastAsia"/>
          <w:b/>
          <w:bCs/>
          <w:sz w:val="28"/>
          <w:szCs w:val="28"/>
        </w:rPr>
        <w:t>胶水</w:t>
      </w:r>
      <w:r>
        <w:rPr>
          <w:rFonts w:hint="eastAsia"/>
          <w:sz w:val="28"/>
          <w:szCs w:val="28"/>
        </w:rPr>
        <w:t>：符合GB 18583-2008 《室内装饰装修材料 胶粘剂中有害物质限量》，游离甲醛≤0.5 g/kg，苯、甲苯+二甲苯：未检出（检测限要求≤0.02 g/kg），总挥发性有机物≤</w:t>
      </w:r>
      <w:r>
        <w:rPr>
          <w:sz w:val="28"/>
          <w:szCs w:val="28"/>
        </w:rPr>
        <w:t>6</w:t>
      </w:r>
      <w:r>
        <w:rPr>
          <w:rFonts w:hint="eastAsia"/>
          <w:sz w:val="28"/>
          <w:szCs w:val="28"/>
        </w:rPr>
        <w:t>0 g/L。</w:t>
      </w:r>
    </w:p>
    <w:p>
      <w:pPr>
        <w:pStyle w:val="9"/>
        <w:keepNext w:val="0"/>
        <w:keepLines w:val="0"/>
        <w:pageBreakBefore w:val="0"/>
        <w:widowControl/>
        <w:numPr>
          <w:ilvl w:val="0"/>
          <w:numId w:val="1"/>
        </w:numPr>
        <w:wordWrap/>
        <w:overflowPunct/>
        <w:topLinePunct w:val="0"/>
        <w:bidi w:val="0"/>
        <w:spacing w:line="360" w:lineRule="auto"/>
        <w:ind w:firstLine="562" w:firstLineChars="200"/>
        <w:jc w:val="left"/>
        <w:rPr>
          <w:sz w:val="28"/>
          <w:szCs w:val="28"/>
        </w:rPr>
      </w:pPr>
      <w:r>
        <w:rPr>
          <w:rFonts w:hint="eastAsia"/>
          <w:b/>
          <w:bCs/>
          <w:sz w:val="28"/>
          <w:szCs w:val="28"/>
        </w:rPr>
        <w:t>饰面刨花板</w:t>
      </w:r>
      <w:r>
        <w:rPr>
          <w:rFonts w:hint="eastAsia"/>
          <w:sz w:val="28"/>
          <w:szCs w:val="28"/>
        </w:rPr>
        <w:t>：选用符合GB/T39600-2021《人造板及其制品甲醛释放量分级》的E0级板材，甲醛释放量&lt;0.05mg/m³</w:t>
      </w:r>
      <w:r>
        <w:rPr>
          <w:rFonts w:hint="eastAsia"/>
          <w:color w:val="FF0000"/>
          <w:sz w:val="28"/>
          <w:szCs w:val="28"/>
        </w:rPr>
        <w:t>或≤0.5mg/L</w:t>
      </w:r>
      <w:r>
        <w:rPr>
          <w:rFonts w:hint="eastAsia"/>
          <w:sz w:val="28"/>
          <w:szCs w:val="28"/>
        </w:rPr>
        <w:t>，</w:t>
      </w:r>
      <w:r>
        <w:rPr>
          <w:rFonts w:hint="eastAsia"/>
          <w:color w:val="FF0000"/>
          <w:sz w:val="28"/>
          <w:szCs w:val="28"/>
        </w:rPr>
        <w:t>▲板材全部性能</w:t>
      </w:r>
      <w:r>
        <w:rPr>
          <w:rFonts w:hint="eastAsia"/>
          <w:sz w:val="28"/>
          <w:szCs w:val="28"/>
        </w:rPr>
        <w:t>应符合GB/T 15102-2017《浸渍胶膜纸饰面纤维板和刨花板》的标准。</w:t>
      </w:r>
    </w:p>
    <w:p>
      <w:pPr>
        <w:pStyle w:val="9"/>
        <w:keepNext w:val="0"/>
        <w:keepLines w:val="0"/>
        <w:pageBreakBefore w:val="0"/>
        <w:widowControl/>
        <w:numPr>
          <w:ilvl w:val="0"/>
          <w:numId w:val="1"/>
        </w:numPr>
        <w:wordWrap/>
        <w:overflowPunct/>
        <w:topLinePunct w:val="0"/>
        <w:bidi w:val="0"/>
        <w:spacing w:line="360" w:lineRule="auto"/>
        <w:ind w:firstLine="560" w:firstLineChars="200"/>
        <w:jc w:val="left"/>
        <w:rPr>
          <w:sz w:val="28"/>
          <w:szCs w:val="28"/>
        </w:rPr>
      </w:pPr>
      <w:r>
        <w:rPr>
          <w:rFonts w:hint="eastAsia"/>
          <w:sz w:val="28"/>
          <w:szCs w:val="28"/>
        </w:rPr>
        <w:t>多层板：板材均采用E0级板材，符合GB/T39600-2021《人造板及其制品甲醛释放量分级》及GB/T 9846-2015《普通胶合板》技术标准其中</w:t>
      </w:r>
      <w:r>
        <w:rPr>
          <w:rFonts w:hint="eastAsia"/>
          <w:color w:val="FF0000"/>
          <w:sz w:val="28"/>
          <w:szCs w:val="28"/>
        </w:rPr>
        <w:t>：▲甲醛释放量未检出</w:t>
      </w:r>
      <w:r>
        <w:rPr>
          <w:rFonts w:hint="eastAsia"/>
          <w:sz w:val="28"/>
          <w:szCs w:val="28"/>
        </w:rPr>
        <w:t>；胶合强度≥0.7MPa；</w:t>
      </w:r>
      <w:r>
        <w:rPr>
          <w:rFonts w:hint="eastAsia"/>
          <w:color w:val="FF0000"/>
          <w:sz w:val="28"/>
          <w:szCs w:val="28"/>
        </w:rPr>
        <w:t>▲</w:t>
      </w:r>
      <w:r>
        <w:rPr>
          <w:color w:val="FF0000"/>
          <w:sz w:val="28"/>
          <w:szCs w:val="28"/>
        </w:rPr>
        <w:t>VOC</w:t>
      </w:r>
      <w:r>
        <w:rPr>
          <w:rFonts w:hint="eastAsia"/>
          <w:color w:val="FF0000"/>
          <w:sz w:val="28"/>
          <w:szCs w:val="28"/>
        </w:rPr>
        <w:t>含量</w:t>
      </w:r>
      <w:r>
        <w:rPr>
          <w:rFonts w:hint="eastAsia"/>
          <w:sz w:val="28"/>
          <w:szCs w:val="28"/>
        </w:rPr>
        <w:t>≤100g/L，吸水厚度膨胀率≤1</w:t>
      </w:r>
      <w:r>
        <w:rPr>
          <w:sz w:val="28"/>
          <w:szCs w:val="28"/>
        </w:rPr>
        <w:t>0</w:t>
      </w:r>
      <w:r>
        <w:rPr>
          <w:rFonts w:hint="eastAsia"/>
          <w:sz w:val="28"/>
          <w:szCs w:val="28"/>
        </w:rPr>
        <w:t>%。</w:t>
      </w:r>
    </w:p>
    <w:p>
      <w:pPr>
        <w:pStyle w:val="9"/>
        <w:keepNext w:val="0"/>
        <w:keepLines w:val="0"/>
        <w:pageBreakBefore w:val="0"/>
        <w:widowControl/>
        <w:numPr>
          <w:ilvl w:val="0"/>
          <w:numId w:val="1"/>
        </w:numPr>
        <w:wordWrap/>
        <w:overflowPunct/>
        <w:topLinePunct w:val="0"/>
        <w:bidi w:val="0"/>
        <w:spacing w:line="360" w:lineRule="auto"/>
        <w:ind w:left="227" w:firstLine="562" w:firstLineChars="200"/>
        <w:jc w:val="left"/>
        <w:rPr>
          <w:sz w:val="28"/>
          <w:szCs w:val="28"/>
        </w:rPr>
      </w:pPr>
      <w:r>
        <w:rPr>
          <w:rFonts w:hint="eastAsia"/>
          <w:b/>
          <w:bCs/>
          <w:sz w:val="28"/>
          <w:szCs w:val="28"/>
        </w:rPr>
        <w:t>PP塑料：</w:t>
      </w:r>
      <w:r>
        <w:rPr>
          <w:rFonts w:hint="eastAsia"/>
          <w:sz w:val="28"/>
          <w:szCs w:val="28"/>
        </w:rPr>
        <w:t>重金属（可溶性铅、可溶性镉、可溶性铬、可溶性汞）、多溴联苯符合GB 28481《塑料家具中有害物质限量》的要求。</w:t>
      </w:r>
    </w:p>
    <w:p>
      <w:pPr>
        <w:pStyle w:val="9"/>
        <w:keepNext w:val="0"/>
        <w:keepLines w:val="0"/>
        <w:pageBreakBefore w:val="0"/>
        <w:widowControl/>
        <w:numPr>
          <w:ilvl w:val="0"/>
          <w:numId w:val="1"/>
        </w:numPr>
        <w:wordWrap/>
        <w:overflowPunct/>
        <w:topLinePunct w:val="0"/>
        <w:bidi w:val="0"/>
        <w:spacing w:line="360" w:lineRule="auto"/>
        <w:ind w:left="225" w:firstLine="562" w:firstLineChars="200"/>
        <w:jc w:val="left"/>
        <w:rPr>
          <w:rFonts w:ascii="宋体" w:hAnsi="宋体" w:cs="宋体"/>
          <w:sz w:val="28"/>
          <w:szCs w:val="28"/>
        </w:rPr>
      </w:pPr>
      <w:r>
        <w:rPr>
          <w:rFonts w:hint="eastAsia"/>
          <w:b/>
          <w:bCs/>
          <w:sz w:val="28"/>
          <w:szCs w:val="28"/>
        </w:rPr>
        <w:t>水性漆：</w:t>
      </w:r>
      <w:r>
        <w:rPr>
          <w:rFonts w:hint="eastAsia"/>
          <w:sz w:val="28"/>
          <w:szCs w:val="28"/>
        </w:rPr>
        <w:t>水性底漆和面漆均满足 GB18581《木器涂料中有害物质限量》的要求，甲醛含量：未检出，</w:t>
      </w:r>
      <w:r>
        <w:rPr>
          <w:rFonts w:hint="eastAsia"/>
          <w:color w:val="FF0000"/>
          <w:sz w:val="28"/>
          <w:szCs w:val="28"/>
        </w:rPr>
        <w:t>▲</w:t>
      </w:r>
      <w:r>
        <w:rPr>
          <w:color w:val="FF0000"/>
          <w:sz w:val="28"/>
          <w:szCs w:val="28"/>
        </w:rPr>
        <w:t>VOC</w:t>
      </w:r>
      <w:r>
        <w:rPr>
          <w:rFonts w:hint="eastAsia"/>
          <w:color w:val="FF0000"/>
          <w:sz w:val="28"/>
          <w:szCs w:val="28"/>
        </w:rPr>
        <w:t>含量未检出</w:t>
      </w:r>
      <w:r>
        <w:rPr>
          <w:rFonts w:hint="eastAsia"/>
          <w:sz w:val="28"/>
          <w:szCs w:val="28"/>
        </w:rPr>
        <w:t>，总铅含量 、镉含量、铬含量、</w:t>
      </w:r>
      <w:r>
        <w:rPr>
          <w:rFonts w:hint="eastAsia"/>
          <w:color w:val="FF0000"/>
          <w:sz w:val="28"/>
          <w:szCs w:val="28"/>
        </w:rPr>
        <w:t>▲汞含量</w:t>
      </w:r>
      <w:r>
        <w:rPr>
          <w:rFonts w:hint="eastAsia"/>
          <w:sz w:val="28"/>
          <w:szCs w:val="28"/>
        </w:rPr>
        <w:t>：未检出；</w:t>
      </w:r>
    </w:p>
    <w:p>
      <w:pPr>
        <w:pStyle w:val="9"/>
        <w:keepNext w:val="0"/>
        <w:keepLines w:val="0"/>
        <w:pageBreakBefore w:val="0"/>
        <w:widowControl/>
        <w:numPr>
          <w:ilvl w:val="0"/>
          <w:numId w:val="1"/>
        </w:numPr>
        <w:wordWrap/>
        <w:overflowPunct/>
        <w:topLinePunct w:val="0"/>
        <w:bidi w:val="0"/>
        <w:spacing w:line="360" w:lineRule="auto"/>
        <w:ind w:left="225" w:firstLine="562" w:firstLineChars="200"/>
        <w:jc w:val="left"/>
        <w:rPr>
          <w:sz w:val="28"/>
          <w:szCs w:val="28"/>
        </w:rPr>
      </w:pPr>
      <w:r>
        <w:rPr>
          <w:rFonts w:hint="eastAsia"/>
          <w:b/>
          <w:bCs/>
          <w:sz w:val="28"/>
          <w:szCs w:val="28"/>
        </w:rPr>
        <w:t>导轨：</w:t>
      </w:r>
      <w:r>
        <w:rPr>
          <w:rFonts w:hint="eastAsia"/>
          <w:sz w:val="28"/>
          <w:szCs w:val="28"/>
        </w:rPr>
        <w:t>作防锈、防腐处理。垂直向下静载荷符合QB/T 2454《家具五金抽屉导轨》的要求，耐久性测试需符合循环4万次的要求。</w:t>
      </w:r>
    </w:p>
    <w:p>
      <w:pPr>
        <w:pStyle w:val="9"/>
        <w:keepNext w:val="0"/>
        <w:keepLines w:val="0"/>
        <w:pageBreakBefore w:val="0"/>
        <w:widowControl/>
        <w:numPr>
          <w:ilvl w:val="0"/>
          <w:numId w:val="1"/>
        </w:numPr>
        <w:wordWrap/>
        <w:overflowPunct/>
        <w:topLinePunct w:val="0"/>
        <w:bidi w:val="0"/>
        <w:spacing w:line="360" w:lineRule="auto"/>
        <w:ind w:left="225" w:firstLine="562" w:firstLineChars="200"/>
        <w:jc w:val="left"/>
        <w:rPr>
          <w:sz w:val="28"/>
          <w:szCs w:val="28"/>
        </w:rPr>
      </w:pPr>
      <w:r>
        <w:rPr>
          <w:rFonts w:hint="eastAsia"/>
          <w:b/>
          <w:bCs/>
          <w:sz w:val="28"/>
          <w:szCs w:val="28"/>
        </w:rPr>
        <w:t>铰链：</w:t>
      </w:r>
      <w:r>
        <w:rPr>
          <w:rFonts w:hint="eastAsia"/>
          <w:sz w:val="28"/>
          <w:szCs w:val="28"/>
        </w:rPr>
        <w:t>选用阻尼铰链，过载测试垂直静载荷符合QB/T2189-2013《家具五金杯状暗铰链》5.4.1的要求，耐久性测试需符合4万次的要求。</w:t>
      </w:r>
    </w:p>
    <w:p>
      <w:pPr>
        <w:pStyle w:val="9"/>
        <w:keepNext w:val="0"/>
        <w:keepLines w:val="0"/>
        <w:pageBreakBefore w:val="0"/>
        <w:widowControl/>
        <w:numPr>
          <w:ilvl w:val="0"/>
          <w:numId w:val="1"/>
        </w:numPr>
        <w:wordWrap/>
        <w:overflowPunct/>
        <w:topLinePunct w:val="0"/>
        <w:bidi w:val="0"/>
        <w:spacing w:line="360" w:lineRule="auto"/>
        <w:ind w:left="225" w:firstLine="562" w:firstLineChars="200"/>
        <w:jc w:val="left"/>
        <w:rPr>
          <w:sz w:val="28"/>
          <w:szCs w:val="28"/>
        </w:rPr>
      </w:pPr>
      <w:r>
        <w:rPr>
          <w:rFonts w:hint="eastAsia"/>
          <w:b/>
          <w:bCs/>
          <w:sz w:val="28"/>
          <w:szCs w:val="28"/>
        </w:rPr>
        <w:t>布面：</w:t>
      </w:r>
      <w:r>
        <w:rPr>
          <w:rFonts w:hint="eastAsia"/>
          <w:sz w:val="28"/>
          <w:szCs w:val="28"/>
        </w:rPr>
        <w:t>面料抗阴燃特性符合</w:t>
      </w:r>
      <w:r>
        <w:rPr>
          <w:sz w:val="28"/>
          <w:szCs w:val="28"/>
        </w:rPr>
        <w:t xml:space="preserve">GB 17927.1-2011 </w:t>
      </w:r>
      <w:r>
        <w:rPr>
          <w:rFonts w:hint="eastAsia"/>
          <w:sz w:val="28"/>
          <w:szCs w:val="28"/>
        </w:rPr>
        <w:t>《</w:t>
      </w:r>
      <w:r>
        <w:rPr>
          <w:sz w:val="28"/>
          <w:szCs w:val="28"/>
        </w:rPr>
        <w:t>软体家具 床垫和沙发</w:t>
      </w:r>
      <w:r>
        <w:rPr>
          <w:rFonts w:hint="eastAsia"/>
          <w:sz w:val="28"/>
          <w:szCs w:val="28"/>
        </w:rPr>
        <w:t>》</w:t>
      </w:r>
      <w:r>
        <w:rPr>
          <w:sz w:val="28"/>
          <w:szCs w:val="28"/>
        </w:rPr>
        <w:t xml:space="preserve"> 抗引燃特性的评定 第1部分：阴燃的香烟 </w:t>
      </w:r>
      <w:r>
        <w:rPr>
          <w:rFonts w:hint="eastAsia"/>
          <w:sz w:val="28"/>
          <w:szCs w:val="28"/>
        </w:rPr>
        <w:t xml:space="preserve">的检测标准； </w:t>
      </w:r>
      <w:r>
        <w:rPr>
          <w:sz w:val="28"/>
          <w:szCs w:val="28"/>
        </w:rPr>
        <w:t>可分解致癌芳香胺染料</w:t>
      </w:r>
      <w:r>
        <w:rPr>
          <w:rFonts w:hint="eastAsia"/>
          <w:sz w:val="28"/>
          <w:szCs w:val="28"/>
        </w:rPr>
        <w:t>检测值：未检出（检测限要求≤</w:t>
      </w:r>
      <w:r>
        <w:rPr>
          <w:sz w:val="28"/>
          <w:szCs w:val="28"/>
        </w:rPr>
        <w:t>20</w:t>
      </w:r>
      <w:r>
        <w:rPr>
          <w:rFonts w:hint="eastAsia"/>
          <w:sz w:val="28"/>
          <w:szCs w:val="28"/>
        </w:rPr>
        <w:t>m</w:t>
      </w:r>
      <w:r>
        <w:rPr>
          <w:sz w:val="28"/>
          <w:szCs w:val="28"/>
        </w:rPr>
        <w:t>g/kg</w:t>
      </w:r>
      <w:r>
        <w:rPr>
          <w:rFonts w:hint="eastAsia"/>
          <w:sz w:val="28"/>
          <w:szCs w:val="28"/>
        </w:rPr>
        <w:t>）。</w:t>
      </w:r>
    </w:p>
    <w:p>
      <w:pPr>
        <w:pStyle w:val="9"/>
        <w:keepNext w:val="0"/>
        <w:keepLines w:val="0"/>
        <w:pageBreakBefore w:val="0"/>
        <w:widowControl/>
        <w:wordWrap/>
        <w:overflowPunct/>
        <w:topLinePunct w:val="0"/>
        <w:bidi w:val="0"/>
        <w:spacing w:line="360" w:lineRule="auto"/>
        <w:ind w:firstLine="560" w:firstLineChars="200"/>
        <w:jc w:val="left"/>
        <w:rPr>
          <w:sz w:val="28"/>
          <w:szCs w:val="28"/>
        </w:rPr>
      </w:pPr>
    </w:p>
    <w:p>
      <w:pPr>
        <w:keepNext w:val="0"/>
        <w:keepLines w:val="0"/>
        <w:pageBreakBefore w:val="0"/>
        <w:wordWrap/>
        <w:overflowPunct/>
        <w:topLinePunct w:val="0"/>
        <w:bidi w:val="0"/>
        <w:spacing w:line="360" w:lineRule="auto"/>
        <w:rPr>
          <w:b/>
          <w:bCs/>
          <w:sz w:val="28"/>
          <w:szCs w:val="28"/>
        </w:rPr>
      </w:pPr>
      <w:r>
        <w:rPr>
          <w:rFonts w:hint="eastAsia"/>
          <w:b/>
          <w:bCs/>
          <w:sz w:val="28"/>
          <w:szCs w:val="28"/>
        </w:rPr>
        <w:t>二</w:t>
      </w:r>
      <w:r>
        <w:rPr>
          <w:rFonts w:hint="eastAsia"/>
          <w:b/>
          <w:bCs/>
          <w:sz w:val="28"/>
          <w:szCs w:val="28"/>
          <w:lang w:eastAsia="zh-CN"/>
        </w:rPr>
        <w:t>、</w:t>
      </w:r>
      <w:r>
        <w:rPr>
          <w:rFonts w:hint="eastAsia"/>
          <w:b/>
          <w:bCs/>
          <w:sz w:val="28"/>
          <w:szCs w:val="28"/>
        </w:rPr>
        <w:t>历史成品要求</w:t>
      </w:r>
    </w:p>
    <w:p>
      <w:pPr>
        <w:pStyle w:val="9"/>
        <w:keepNext w:val="0"/>
        <w:keepLines w:val="0"/>
        <w:pageBreakBefore w:val="0"/>
        <w:widowControl/>
        <w:wordWrap/>
        <w:overflowPunct/>
        <w:topLinePunct w:val="0"/>
        <w:bidi w:val="0"/>
        <w:spacing w:line="360" w:lineRule="auto"/>
        <w:ind w:firstLine="562" w:firstLineChars="200"/>
        <w:jc w:val="left"/>
        <w:rPr>
          <w:sz w:val="28"/>
          <w:szCs w:val="28"/>
        </w:rPr>
      </w:pPr>
      <w:r>
        <w:rPr>
          <w:rFonts w:hint="eastAsia"/>
          <w:b/>
          <w:bCs/>
          <w:sz w:val="28"/>
          <w:szCs w:val="28"/>
        </w:rPr>
        <w:t>1.双人组合床（上床下桌柜组合）</w:t>
      </w:r>
      <w:r>
        <w:rPr>
          <w:rFonts w:hint="eastAsia"/>
          <w:sz w:val="28"/>
          <w:szCs w:val="28"/>
        </w:rPr>
        <w:t>：</w:t>
      </w:r>
      <w:r>
        <w:rPr>
          <w:rFonts w:hint="eastAsia"/>
          <w:color w:val="FF0000"/>
          <w:sz w:val="28"/>
          <w:szCs w:val="28"/>
        </w:rPr>
        <w:t>▲</w:t>
      </w:r>
      <w:r>
        <w:rPr>
          <w:rFonts w:hint="eastAsia"/>
          <w:color w:val="FF0000"/>
          <w:sz w:val="28"/>
          <w:szCs w:val="28"/>
          <w:lang w:eastAsia="zh-CN"/>
        </w:rPr>
        <w:t>全部性能：至少包括</w:t>
      </w:r>
      <w:bookmarkStart w:id="0" w:name="_GoBack"/>
      <w:bookmarkEnd w:id="0"/>
      <w:r>
        <w:rPr>
          <w:rFonts w:hint="eastAsia"/>
          <w:color w:val="FF0000"/>
          <w:sz w:val="28"/>
          <w:szCs w:val="28"/>
        </w:rPr>
        <w:t>理化性能、力学性能、外观、有害物质限量</w:t>
      </w:r>
      <w:r>
        <w:rPr>
          <w:rFonts w:hint="eastAsia"/>
          <w:sz w:val="28"/>
          <w:szCs w:val="28"/>
        </w:rPr>
        <w:t>符合QB/T 2741《学生公寓多功能家具》的要求。</w:t>
      </w:r>
    </w:p>
    <w:p>
      <w:pPr>
        <w:pStyle w:val="9"/>
        <w:keepNext w:val="0"/>
        <w:keepLines w:val="0"/>
        <w:pageBreakBefore w:val="0"/>
        <w:widowControl/>
        <w:wordWrap/>
        <w:overflowPunct/>
        <w:topLinePunct w:val="0"/>
        <w:bidi w:val="0"/>
        <w:spacing w:line="360" w:lineRule="auto"/>
        <w:ind w:firstLine="560" w:firstLineChars="200"/>
        <w:jc w:val="left"/>
        <w:rPr>
          <w:sz w:val="28"/>
          <w:szCs w:val="28"/>
        </w:rPr>
      </w:pPr>
      <w:r>
        <w:rPr>
          <w:rFonts w:hint="eastAsia" w:ascii="Helvetica" w:hAnsi="Helvetica" w:eastAsia="Helvetica" w:cs="Helvetica"/>
          <w:b/>
          <w:bCs/>
          <w:kern w:val="0"/>
          <w:sz w:val="28"/>
          <w:szCs w:val="28"/>
          <w:lang w:bidi="ar"/>
        </w:rPr>
        <w:t>2</w:t>
      </w:r>
      <w:r>
        <w:rPr>
          <w:rFonts w:hint="eastAsia"/>
          <w:b/>
          <w:bCs/>
          <w:sz w:val="28"/>
          <w:szCs w:val="28"/>
        </w:rPr>
        <w:t>.衣柜</w:t>
      </w:r>
      <w:r>
        <w:rPr>
          <w:rFonts w:hint="eastAsia" w:ascii="Helvetica" w:hAnsi="Helvetica" w:eastAsia="Helvetica" w:cs="Helvetica"/>
          <w:b/>
          <w:bCs/>
          <w:kern w:val="0"/>
          <w:sz w:val="28"/>
          <w:szCs w:val="28"/>
          <w:lang w:bidi="ar"/>
        </w:rPr>
        <w:t>：</w:t>
      </w:r>
      <w:r>
        <w:rPr>
          <w:rFonts w:hint="eastAsia"/>
          <w:sz w:val="28"/>
          <w:szCs w:val="28"/>
        </w:rPr>
        <w:t>整体应满足GB/T3324-2017《木家具通用技术条件》；GB18584-20013《室内装饰装修材料木家具中有害物质限量》；其中</w:t>
      </w:r>
      <w:r>
        <w:rPr>
          <w:sz w:val="28"/>
          <w:szCs w:val="28"/>
        </w:rPr>
        <w:t>覆面理化性能</w:t>
      </w:r>
      <w:r>
        <w:rPr>
          <w:rFonts w:hint="eastAsia"/>
          <w:sz w:val="28"/>
          <w:szCs w:val="28"/>
        </w:rPr>
        <w:t>、</w:t>
      </w:r>
      <w:r>
        <w:rPr>
          <w:sz w:val="28"/>
          <w:szCs w:val="28"/>
        </w:rPr>
        <w:t>柜类强度</w:t>
      </w:r>
      <w:r>
        <w:rPr>
          <w:rFonts w:hint="eastAsia"/>
          <w:sz w:val="28"/>
          <w:szCs w:val="28"/>
        </w:rPr>
        <w:t>、板材和五金外观、理化性能、基材防霉性能、含水率、VOC、</w:t>
      </w:r>
      <w:r>
        <w:rPr>
          <w:rFonts w:hint="eastAsia"/>
          <w:color w:val="FF0000"/>
          <w:sz w:val="28"/>
          <w:szCs w:val="28"/>
        </w:rPr>
        <w:t>▲甲醛释放量≤</w:t>
      </w:r>
      <w:r>
        <w:rPr>
          <w:color w:val="FF0000"/>
          <w:sz w:val="28"/>
          <w:szCs w:val="28"/>
        </w:rPr>
        <w:t>0.5mg/L</w:t>
      </w:r>
      <w:r>
        <w:rPr>
          <w:rFonts w:hint="eastAsia"/>
          <w:color w:val="FF0000"/>
          <w:sz w:val="28"/>
          <w:szCs w:val="28"/>
        </w:rPr>
        <w:t>或≤</w:t>
      </w:r>
      <w:r>
        <w:rPr>
          <w:color w:val="FF0000"/>
          <w:sz w:val="28"/>
          <w:szCs w:val="28"/>
        </w:rPr>
        <w:t>0.05mg/m</w:t>
      </w:r>
      <w:r>
        <w:rPr>
          <w:rFonts w:hint="eastAsia"/>
          <w:color w:val="FF0000"/>
          <w:sz w:val="28"/>
          <w:szCs w:val="28"/>
        </w:rPr>
        <w:t>³</w:t>
      </w:r>
      <w:r>
        <w:rPr>
          <w:rFonts w:hint="eastAsia"/>
          <w:sz w:val="28"/>
          <w:szCs w:val="28"/>
        </w:rPr>
        <w:t>全部符合要求。</w:t>
      </w:r>
    </w:p>
    <w:p>
      <w:pPr>
        <w:pStyle w:val="9"/>
        <w:keepNext w:val="0"/>
        <w:keepLines w:val="0"/>
        <w:pageBreakBefore w:val="0"/>
        <w:widowControl/>
        <w:wordWrap/>
        <w:overflowPunct/>
        <w:topLinePunct w:val="0"/>
        <w:bidi w:val="0"/>
        <w:spacing w:line="360" w:lineRule="auto"/>
        <w:ind w:firstLine="560" w:firstLineChars="200"/>
        <w:jc w:val="left"/>
        <w:rPr>
          <w:sz w:val="28"/>
          <w:szCs w:val="28"/>
        </w:rPr>
      </w:pPr>
    </w:p>
    <w:p>
      <w:pPr>
        <w:keepNext w:val="0"/>
        <w:keepLines w:val="0"/>
        <w:pageBreakBefore w:val="0"/>
        <w:wordWrap/>
        <w:overflowPunct/>
        <w:topLinePunct w:val="0"/>
        <w:bidi w:val="0"/>
        <w:spacing w:line="360" w:lineRule="auto"/>
        <w:ind w:firstLine="560" w:firstLineChars="200"/>
        <w:rPr>
          <w:rFonts w:ascii="宋体" w:cs="宋体"/>
          <w:sz w:val="28"/>
          <w:szCs w:val="28"/>
        </w:rPr>
      </w:pPr>
      <w:r>
        <w:rPr>
          <w:rFonts w:hint="eastAsia" w:ascii="宋体" w:cs="宋体"/>
          <w:sz w:val="28"/>
          <w:szCs w:val="28"/>
        </w:rPr>
        <w:t>注：</w:t>
      </w:r>
    </w:p>
    <w:p>
      <w:pPr>
        <w:keepNext w:val="0"/>
        <w:keepLines w:val="0"/>
        <w:pageBreakBefore w:val="0"/>
        <w:widowControl/>
        <w:numPr>
          <w:ilvl w:val="0"/>
          <w:numId w:val="2"/>
        </w:numPr>
        <w:wordWrap/>
        <w:overflowPunct/>
        <w:topLinePunct w:val="0"/>
        <w:bidi w:val="0"/>
        <w:spacing w:line="360" w:lineRule="auto"/>
        <w:ind w:firstLine="560" w:firstLineChars="200"/>
        <w:jc w:val="left"/>
        <w:rPr>
          <w:bCs/>
          <w:sz w:val="28"/>
          <w:szCs w:val="28"/>
        </w:rPr>
      </w:pPr>
      <w:r>
        <w:rPr>
          <w:rFonts w:hint="eastAsia"/>
          <w:bCs/>
          <w:sz w:val="28"/>
          <w:szCs w:val="28"/>
        </w:rPr>
        <w:t>针对以上质量要求，供应商应当提供</w:t>
      </w:r>
      <w:r>
        <w:rPr>
          <w:rFonts w:hint="eastAsia" w:eastAsia="宋体" w:cs="Times New Roman"/>
          <w:bCs/>
          <w:sz w:val="28"/>
          <w:szCs w:val="28"/>
        </w:rPr>
        <w:t>技术支持材料以证明。证明材料是指</w:t>
      </w:r>
      <w:r>
        <w:rPr>
          <w:rFonts w:hint="eastAsia" w:cs="宋体"/>
          <w:bCs/>
          <w:sz w:val="28"/>
          <w:szCs w:val="28"/>
        </w:rPr>
        <w:t>主要原辅材料和成品的检测报告，</w:t>
      </w:r>
      <w:r>
        <w:rPr>
          <w:rFonts w:hint="eastAsia"/>
          <w:bCs/>
          <w:sz w:val="28"/>
          <w:szCs w:val="28"/>
        </w:rPr>
        <w:t>由投标人或投标产品生产厂家或原材料生产厂家出具的合格检测报告均予以认可，检测报告必须有经“CMA”标识的检测机构出具的，</w:t>
      </w:r>
      <w:r>
        <w:rPr>
          <w:rFonts w:hint="eastAsia" w:cs="宋体"/>
          <w:bCs/>
          <w:sz w:val="28"/>
          <w:szCs w:val="28"/>
        </w:rPr>
        <w:t>报告签发时间不早于</w:t>
      </w:r>
      <w:r>
        <w:rPr>
          <w:rFonts w:cs="宋体"/>
          <w:bCs/>
          <w:sz w:val="28"/>
          <w:szCs w:val="28"/>
        </w:rPr>
        <w:t>2023</w:t>
      </w:r>
      <w:r>
        <w:rPr>
          <w:rFonts w:hint="eastAsia" w:cs="宋体"/>
          <w:bCs/>
          <w:sz w:val="28"/>
          <w:szCs w:val="28"/>
        </w:rPr>
        <w:t>年</w:t>
      </w:r>
      <w:r>
        <w:rPr>
          <w:rFonts w:cs="宋体"/>
          <w:bCs/>
          <w:sz w:val="28"/>
          <w:szCs w:val="28"/>
        </w:rPr>
        <w:t>10</w:t>
      </w:r>
      <w:r>
        <w:rPr>
          <w:rFonts w:hint="eastAsia" w:cs="宋体"/>
          <w:bCs/>
          <w:sz w:val="28"/>
          <w:szCs w:val="28"/>
        </w:rPr>
        <w:t>月</w:t>
      </w:r>
      <w:r>
        <w:rPr>
          <w:rFonts w:cs="宋体"/>
          <w:bCs/>
          <w:sz w:val="28"/>
          <w:szCs w:val="28"/>
        </w:rPr>
        <w:t>1</w:t>
      </w:r>
      <w:r>
        <w:rPr>
          <w:rFonts w:hint="eastAsia" w:cs="宋体"/>
          <w:bCs/>
          <w:sz w:val="28"/>
          <w:szCs w:val="28"/>
        </w:rPr>
        <w:t>日</w:t>
      </w:r>
      <w:r>
        <w:rPr>
          <w:rFonts w:hint="eastAsia"/>
          <w:bCs/>
          <w:sz w:val="28"/>
          <w:szCs w:val="28"/>
        </w:rPr>
        <w:t>。</w:t>
      </w:r>
    </w:p>
    <w:p>
      <w:pPr>
        <w:keepNext w:val="0"/>
        <w:keepLines w:val="0"/>
        <w:pageBreakBefore w:val="0"/>
        <w:widowControl/>
        <w:wordWrap/>
        <w:overflowPunct/>
        <w:topLinePunct w:val="0"/>
        <w:bidi w:val="0"/>
        <w:spacing w:line="360" w:lineRule="auto"/>
        <w:ind w:firstLine="560" w:firstLineChars="200"/>
        <w:jc w:val="left"/>
        <w:rPr>
          <w:rFonts w:ascii="宋体" w:cs="宋体"/>
          <w:sz w:val="28"/>
          <w:szCs w:val="28"/>
        </w:rPr>
      </w:pPr>
      <w:r>
        <w:rPr>
          <w:rFonts w:hint="eastAsia"/>
          <w:bCs/>
          <w:sz w:val="28"/>
          <w:szCs w:val="28"/>
        </w:rPr>
        <w:t>2、标注“</w:t>
      </w:r>
      <w:r>
        <w:rPr>
          <w:rFonts w:hint="eastAsia" w:eastAsia="宋体" w:cs="Times New Roman"/>
          <w:bCs/>
          <w:sz w:val="28"/>
          <w:szCs w:val="28"/>
        </w:rPr>
        <w:t>▲”号为重要技术参数，应当在投标文件中提供技术支持材料，其余参数要求作为履约验收的标准，验收时提供技术支持材料。</w:t>
      </w:r>
    </w:p>
    <w:p>
      <w:pPr>
        <w:keepNext w:val="0"/>
        <w:keepLines w:val="0"/>
        <w:pageBreakBefore w:val="0"/>
        <w:widowControl/>
        <w:wordWrap/>
        <w:overflowPunct/>
        <w:topLinePunct w:val="0"/>
        <w:bidi w:val="0"/>
        <w:spacing w:line="360" w:lineRule="auto"/>
        <w:ind w:firstLine="560" w:firstLineChars="200"/>
        <w:jc w:val="left"/>
        <w:rPr>
          <w:rFonts w:eastAsia="宋体" w:cs="Times New Roman"/>
          <w:bCs/>
          <w:sz w:val="28"/>
          <w:szCs w:val="28"/>
        </w:rPr>
      </w:pPr>
      <w:r>
        <w:rPr>
          <w:rFonts w:hint="eastAsia" w:eastAsia="宋体" w:cs="Times New Roman"/>
          <w:bCs/>
          <w:sz w:val="28"/>
          <w:szCs w:val="28"/>
        </w:rPr>
        <w:t>3、招标需求表与上述原材料要求不一致的，以上述原材料要求为准。</w:t>
      </w:r>
    </w:p>
    <w:p>
      <w:pPr>
        <w:keepNext w:val="0"/>
        <w:keepLines w:val="0"/>
        <w:pageBreakBefore w:val="0"/>
        <w:widowControl/>
        <w:numPr>
          <w:ilvl w:val="0"/>
          <w:numId w:val="3"/>
        </w:numPr>
        <w:tabs>
          <w:tab w:val="left" w:pos="7480"/>
        </w:tabs>
        <w:wordWrap/>
        <w:overflowPunct/>
        <w:topLinePunct w:val="0"/>
        <w:bidi w:val="0"/>
        <w:spacing w:before="68" w:line="360" w:lineRule="auto"/>
        <w:ind w:firstLine="560" w:firstLineChars="200"/>
        <w:jc w:val="left"/>
        <w:rPr>
          <w:bCs/>
          <w:sz w:val="28"/>
          <w:szCs w:val="28"/>
        </w:rPr>
      </w:pPr>
      <w:r>
        <w:rPr>
          <w:rFonts w:hint="eastAsia"/>
          <w:bCs/>
          <w:sz w:val="28"/>
          <w:szCs w:val="28"/>
        </w:rPr>
        <w:t>针对不同叫法的同一成品</w:t>
      </w:r>
      <w:r>
        <w:rPr>
          <w:bCs/>
          <w:sz w:val="28"/>
          <w:szCs w:val="28"/>
        </w:rPr>
        <w:t>/原材料，其检测报告均予认可。如名称不一致，需注明需求中对应的成品/原材料名称。</w:t>
      </w:r>
    </w:p>
    <w:p>
      <w:pPr>
        <w:keepNext w:val="0"/>
        <w:keepLines w:val="0"/>
        <w:pageBreakBefore w:val="0"/>
        <w:widowControl/>
        <w:numPr>
          <w:ilvl w:val="-1"/>
          <w:numId w:val="0"/>
        </w:numPr>
        <w:tabs>
          <w:tab w:val="left" w:pos="7480"/>
        </w:tabs>
        <w:wordWrap/>
        <w:overflowPunct/>
        <w:topLinePunct w:val="0"/>
        <w:bidi w:val="0"/>
        <w:spacing w:before="68" w:line="360" w:lineRule="auto"/>
        <w:ind w:firstLine="560" w:firstLineChars="200"/>
        <w:jc w:val="left"/>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Helvetica">
    <w:altName w:val="Liberation Sans"/>
    <w:panose1 w:val="020B0604020202020204"/>
    <w:charset w:val="00"/>
    <w:family w:val="swiss"/>
    <w:pitch w:val="default"/>
    <w:sig w:usb0="00000000" w:usb1="00000000" w:usb2="00000009" w:usb3="00000000" w:csb0="000001FF" w:csb1="00000000"/>
  </w:font>
  <w:font w:name="Liberation Sans">
    <w:panose1 w:val="020B0604020202020204"/>
    <w:charset w:val="00"/>
    <w:family w:val="auto"/>
    <w:pitch w:val="default"/>
    <w:sig w:usb0="A00002AF" w:usb1="500078FB" w:usb2="00000000" w:usb3="00000000" w:csb0="6000009F" w:csb1="DFD70000"/>
  </w:font>
  <w:font w:name="Helvetica Bold">
    <w:altName w:val="国标宋体-超大字符集"/>
    <w:panose1 w:val="00000000000000000000"/>
    <w:charset w:val="00"/>
    <w:family w:val="auto"/>
    <w:pitch w:val="default"/>
    <w:sig w:usb0="00000000" w:usb1="00000000" w:usb2="00000000" w:usb3="00000000" w:csb0="2000019F" w:csb1="4F010000"/>
  </w:font>
  <w:font w:name="国标宋体-超大字符集">
    <w:panose1 w:val="03000509000000000000"/>
    <w:charset w:val="86"/>
    <w:family w:val="auto"/>
    <w:pitch w:val="default"/>
    <w:sig w:usb0="00000001" w:usb1="08000000" w:usb2="00000000" w:usb3="00000000" w:csb0="00040001"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B6A08C"/>
    <w:multiLevelType w:val="singleLevel"/>
    <w:tmpl w:val="B9B6A08C"/>
    <w:lvl w:ilvl="0" w:tentative="0">
      <w:start w:val="4"/>
      <w:numFmt w:val="decimal"/>
      <w:suff w:val="nothing"/>
      <w:lvlText w:val="%1、"/>
      <w:lvlJc w:val="left"/>
    </w:lvl>
  </w:abstractNum>
  <w:abstractNum w:abstractNumId="1">
    <w:nsid w:val="E7EF678E"/>
    <w:multiLevelType w:val="singleLevel"/>
    <w:tmpl w:val="E7EF678E"/>
    <w:lvl w:ilvl="0" w:tentative="0">
      <w:start w:val="1"/>
      <w:numFmt w:val="decimal"/>
      <w:lvlText w:val="%1."/>
      <w:lvlJc w:val="left"/>
      <w:pPr>
        <w:ind w:left="425" w:hanging="425"/>
      </w:pPr>
      <w:rPr>
        <w:rFonts w:hint="default"/>
      </w:rPr>
    </w:lvl>
  </w:abstractNum>
  <w:abstractNum w:abstractNumId="2">
    <w:nsid w:val="E9BFCC04"/>
    <w:multiLevelType w:val="singleLevel"/>
    <w:tmpl w:val="E9BFCC04"/>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MDIzNGI5NmE4YTgxYjhlZjdjMzM0NWU2NDlhMjQifQ=="/>
  </w:docVars>
  <w:rsids>
    <w:rsidRoot w:val="7FAF2D49"/>
    <w:rsid w:val="00015D5A"/>
    <w:rsid w:val="00034A11"/>
    <w:rsid w:val="0010516D"/>
    <w:rsid w:val="00170D55"/>
    <w:rsid w:val="001E5E60"/>
    <w:rsid w:val="00214723"/>
    <w:rsid w:val="00285A80"/>
    <w:rsid w:val="0032206C"/>
    <w:rsid w:val="00345087"/>
    <w:rsid w:val="0039286A"/>
    <w:rsid w:val="003C23EE"/>
    <w:rsid w:val="003D157C"/>
    <w:rsid w:val="00414716"/>
    <w:rsid w:val="00473E76"/>
    <w:rsid w:val="0055329F"/>
    <w:rsid w:val="00592086"/>
    <w:rsid w:val="005E388D"/>
    <w:rsid w:val="005F1D49"/>
    <w:rsid w:val="00617ACF"/>
    <w:rsid w:val="006467A3"/>
    <w:rsid w:val="00776DE4"/>
    <w:rsid w:val="007944FE"/>
    <w:rsid w:val="007C2AF6"/>
    <w:rsid w:val="007E3102"/>
    <w:rsid w:val="00806B98"/>
    <w:rsid w:val="0086319A"/>
    <w:rsid w:val="009305EC"/>
    <w:rsid w:val="009F05AA"/>
    <w:rsid w:val="00B0061B"/>
    <w:rsid w:val="00B2586C"/>
    <w:rsid w:val="00BA4CE5"/>
    <w:rsid w:val="00C12DEE"/>
    <w:rsid w:val="00C2670B"/>
    <w:rsid w:val="00C82EEF"/>
    <w:rsid w:val="00CD272F"/>
    <w:rsid w:val="00D131ED"/>
    <w:rsid w:val="00DB5666"/>
    <w:rsid w:val="00F0676C"/>
    <w:rsid w:val="00F17EB3"/>
    <w:rsid w:val="0D6428E7"/>
    <w:rsid w:val="111B2E0B"/>
    <w:rsid w:val="13F204AC"/>
    <w:rsid w:val="19B31D87"/>
    <w:rsid w:val="20517888"/>
    <w:rsid w:val="3AB63DE3"/>
    <w:rsid w:val="3FFF2770"/>
    <w:rsid w:val="486414A8"/>
    <w:rsid w:val="5AF7BDC5"/>
    <w:rsid w:val="67FFB6AF"/>
    <w:rsid w:val="6A5F5879"/>
    <w:rsid w:val="73FB5118"/>
    <w:rsid w:val="77EB8D0D"/>
    <w:rsid w:val="79AF5232"/>
    <w:rsid w:val="7A3630DB"/>
    <w:rsid w:val="7DF748F7"/>
    <w:rsid w:val="7FAF2D49"/>
    <w:rsid w:val="7FF7A990"/>
    <w:rsid w:val="ABFF7960"/>
    <w:rsid w:val="AFFE584E"/>
    <w:rsid w:val="BD75B4A8"/>
    <w:rsid w:val="BEEECB01"/>
    <w:rsid w:val="BFD74308"/>
    <w:rsid w:val="EDDA2341"/>
    <w:rsid w:val="EDE570C1"/>
    <w:rsid w:val="EEC5E818"/>
    <w:rsid w:val="EEF35A62"/>
    <w:rsid w:val="F5FB13A7"/>
    <w:rsid w:val="F74B580A"/>
    <w:rsid w:val="F79AEBA0"/>
    <w:rsid w:val="F8FFBC6D"/>
    <w:rsid w:val="FD9D40CE"/>
    <w:rsid w:val="FF762C2F"/>
    <w:rsid w:val="FF76C234"/>
    <w:rsid w:val="FFFF4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index 4"/>
    <w:basedOn w:val="1"/>
    <w:next w:val="1"/>
    <w:qFormat/>
    <w:uiPriority w:val="0"/>
    <w:pPr>
      <w:ind w:left="600" w:leftChars="600"/>
    </w:pPr>
  </w:style>
  <w:style w:type="paragraph" w:styleId="3">
    <w:name w:val="annotation text"/>
    <w:basedOn w:val="1"/>
    <w:link w:val="20"/>
    <w:qFormat/>
    <w:uiPriority w:val="0"/>
    <w:pPr>
      <w:jc w:val="left"/>
    </w:pPr>
  </w:style>
  <w:style w:type="paragraph" w:styleId="4">
    <w:name w:val="Body Text"/>
    <w:basedOn w:val="1"/>
    <w:next w:val="5"/>
    <w:semiHidden/>
    <w:qFormat/>
    <w:uiPriority w:val="0"/>
    <w:pPr>
      <w:ind w:firstLine="472"/>
    </w:pPr>
    <w:rPr>
      <w:rFonts w:eastAsia="宋体" w:cs="宋体"/>
      <w:sz w:val="24"/>
    </w:rPr>
  </w:style>
  <w:style w:type="paragraph" w:customStyle="1" w:styleId="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6">
    <w:name w:val="Balloon Text"/>
    <w:basedOn w:val="1"/>
    <w:link w:val="22"/>
    <w:qFormat/>
    <w:uiPriority w:val="0"/>
    <w:rPr>
      <w:sz w:val="18"/>
      <w:szCs w:val="18"/>
    </w:r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rPr>
      <w:sz w:val="24"/>
    </w:rPr>
  </w:style>
  <w:style w:type="paragraph" w:styleId="10">
    <w:name w:val="annotation subject"/>
    <w:basedOn w:val="3"/>
    <w:next w:val="3"/>
    <w:link w:val="21"/>
    <w:qFormat/>
    <w:uiPriority w:val="0"/>
    <w:rPr>
      <w:b/>
      <w:bCs/>
    </w:rPr>
  </w:style>
  <w:style w:type="character" w:styleId="13">
    <w:name w:val="annotation reference"/>
    <w:basedOn w:val="12"/>
    <w:qFormat/>
    <w:uiPriority w:val="0"/>
    <w:rPr>
      <w:sz w:val="21"/>
      <w:szCs w:val="21"/>
    </w:rPr>
  </w:style>
  <w:style w:type="paragraph" w:customStyle="1" w:styleId="14">
    <w:name w:val="p1"/>
    <w:basedOn w:val="1"/>
    <w:qFormat/>
    <w:uiPriority w:val="0"/>
    <w:pPr>
      <w:jc w:val="left"/>
    </w:pPr>
    <w:rPr>
      <w:rFonts w:ascii="Helvetica" w:hAnsi="Helvetica" w:eastAsia="Helvetica" w:cs="Times New Roman"/>
      <w:kern w:val="0"/>
      <w:sz w:val="17"/>
      <w:szCs w:val="17"/>
    </w:rPr>
  </w:style>
  <w:style w:type="character" w:customStyle="1" w:styleId="15">
    <w:name w:val="s1"/>
    <w:basedOn w:val="12"/>
    <w:qFormat/>
    <w:uiPriority w:val="0"/>
    <w:rPr>
      <w:rFonts w:ascii="Helvetica" w:hAnsi="Helvetica" w:eastAsia="Helvetica" w:cs="Helvetica"/>
      <w:sz w:val="19"/>
      <w:szCs w:val="19"/>
    </w:rPr>
  </w:style>
  <w:style w:type="character" w:customStyle="1" w:styleId="16">
    <w:name w:val="font21"/>
    <w:qFormat/>
    <w:uiPriority w:val="0"/>
    <w:rPr>
      <w:rFonts w:ascii="宋体" w:eastAsia="宋体"/>
      <w:color w:val="000000"/>
      <w:sz w:val="20"/>
      <w:u w:val="none"/>
    </w:rPr>
  </w:style>
  <w:style w:type="paragraph" w:styleId="17">
    <w:name w:val="No Spacing"/>
    <w:qFormat/>
    <w:uiPriority w:val="1"/>
    <w:pPr>
      <w:widowControl w:val="0"/>
      <w:spacing w:line="360" w:lineRule="auto"/>
      <w:jc w:val="both"/>
    </w:pPr>
    <w:rPr>
      <w:rFonts w:ascii="Times New Roman" w:hAnsi="Times New Roman" w:eastAsia="宋体" w:cs="Times New Roman"/>
      <w:kern w:val="2"/>
      <w:sz w:val="21"/>
      <w:szCs w:val="24"/>
      <w:lang w:val="en-US" w:eastAsia="zh-CN" w:bidi="ar-SA"/>
    </w:rPr>
  </w:style>
  <w:style w:type="character" w:customStyle="1" w:styleId="18">
    <w:name w:val="页眉 字符"/>
    <w:basedOn w:val="12"/>
    <w:link w:val="8"/>
    <w:qFormat/>
    <w:uiPriority w:val="0"/>
    <w:rPr>
      <w:rFonts w:asciiTheme="minorHAnsi" w:hAnsiTheme="minorHAnsi" w:eastAsiaTheme="minorEastAsia" w:cstheme="minorBidi"/>
      <w:kern w:val="2"/>
      <w:sz w:val="18"/>
      <w:szCs w:val="18"/>
    </w:rPr>
  </w:style>
  <w:style w:type="character" w:customStyle="1" w:styleId="19">
    <w:name w:val="页脚 字符"/>
    <w:basedOn w:val="12"/>
    <w:link w:val="7"/>
    <w:qFormat/>
    <w:uiPriority w:val="0"/>
    <w:rPr>
      <w:rFonts w:asciiTheme="minorHAnsi" w:hAnsiTheme="minorHAnsi" w:eastAsiaTheme="minorEastAsia" w:cstheme="minorBidi"/>
      <w:kern w:val="2"/>
      <w:sz w:val="18"/>
      <w:szCs w:val="18"/>
    </w:rPr>
  </w:style>
  <w:style w:type="character" w:customStyle="1" w:styleId="20">
    <w:name w:val="批注文字 字符"/>
    <w:basedOn w:val="12"/>
    <w:link w:val="3"/>
    <w:qFormat/>
    <w:uiPriority w:val="0"/>
    <w:rPr>
      <w:rFonts w:asciiTheme="minorHAnsi" w:hAnsiTheme="minorHAnsi" w:eastAsiaTheme="minorEastAsia" w:cstheme="minorBidi"/>
      <w:kern w:val="2"/>
      <w:sz w:val="21"/>
      <w:szCs w:val="24"/>
    </w:rPr>
  </w:style>
  <w:style w:type="character" w:customStyle="1" w:styleId="21">
    <w:name w:val="批注主题 字符"/>
    <w:basedOn w:val="20"/>
    <w:link w:val="10"/>
    <w:qFormat/>
    <w:uiPriority w:val="0"/>
    <w:rPr>
      <w:rFonts w:asciiTheme="minorHAnsi" w:hAnsiTheme="minorHAnsi" w:eastAsiaTheme="minorEastAsia" w:cstheme="minorBidi"/>
      <w:b/>
      <w:bCs/>
      <w:kern w:val="2"/>
      <w:sz w:val="21"/>
      <w:szCs w:val="24"/>
    </w:rPr>
  </w:style>
  <w:style w:type="character" w:customStyle="1" w:styleId="22">
    <w:name w:val="批注框文本 字符"/>
    <w:basedOn w:val="12"/>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4</Pages>
  <Words>286</Words>
  <Characters>1636</Characters>
  <Lines>13</Lines>
  <Paragraphs>3</Paragraphs>
  <TotalTime>11</TotalTime>
  <ScaleCrop>false</ScaleCrop>
  <LinksUpToDate>false</LinksUpToDate>
  <CharactersWithSpaces>1919</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2024-09-04T11:28:00Z</dcterms:created>
  <dc:creator>贝小贝baby</dc:creator>
  <cp:lastModifiedBy>高际航</cp:lastModifiedBy>
  <dcterms:modified xsi:type="dcterms:W3CDTF">2024-09-30T15:56:57Z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349B3BB79A7093B3213EFA667469FD3D_43</vt:lpwstr>
  </property>
</Properties>
</file>