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bCs/>
          <w:sz w:val="32"/>
          <w:szCs w:val="32"/>
        </w:rPr>
      </w:pPr>
      <w:r>
        <w:rPr>
          <w:rFonts w:hint="eastAsia" w:ascii="宋体" w:hAnsi="宋体"/>
          <w:b/>
          <w:bCs/>
          <w:sz w:val="32"/>
          <w:szCs w:val="32"/>
        </w:rPr>
        <w:t>庭审标准化录音录像系统（2025年升级改造）采购需求</w:t>
      </w:r>
    </w:p>
    <w:p>
      <w:pPr>
        <w:spacing w:line="360" w:lineRule="auto"/>
        <w:jc w:val="center"/>
        <w:rPr>
          <w:rFonts w:ascii="宋体" w:hAnsi="宋体"/>
          <w:b/>
          <w:sz w:val="24"/>
          <w:szCs w:val="24"/>
        </w:rPr>
      </w:pPr>
    </w:p>
    <w:p>
      <w:pPr>
        <w:pStyle w:val="3"/>
        <w:numPr>
          <w:ilvl w:val="0"/>
          <w:numId w:val="2"/>
        </w:numPr>
        <w:spacing w:before="0" w:after="0" w:line="360" w:lineRule="auto"/>
        <w:rPr>
          <w:rFonts w:ascii="宋体" w:hAnsi="宋体" w:eastAsia="宋体"/>
          <w:sz w:val="24"/>
          <w:szCs w:val="24"/>
        </w:rPr>
      </w:pPr>
      <w:r>
        <w:rPr>
          <w:rFonts w:hint="eastAsia" w:ascii="宋体" w:hAnsi="宋体" w:eastAsia="宋体"/>
          <w:sz w:val="24"/>
          <w:szCs w:val="24"/>
        </w:rPr>
        <w:t>项目背景</w:t>
      </w:r>
    </w:p>
    <w:p>
      <w:pPr>
        <w:autoSpaceDE w:val="0"/>
        <w:autoSpaceDN w:val="0"/>
        <w:adjustRightInd w:val="0"/>
        <w:spacing w:line="360" w:lineRule="auto"/>
        <w:ind w:firstLine="480" w:firstLineChars="200"/>
        <w:contextualSpacing/>
        <w:rPr>
          <w:rFonts w:ascii="宋体" w:hAnsi="宋体"/>
          <w:sz w:val="24"/>
          <w:szCs w:val="24"/>
        </w:rPr>
      </w:pPr>
      <w:r>
        <w:rPr>
          <w:rFonts w:hint="eastAsia" w:ascii="宋体" w:hAnsi="宋体"/>
          <w:sz w:val="24"/>
          <w:szCs w:val="24"/>
        </w:rPr>
        <w:t>随着我国各项法律制度的不断完善和健全，</w:t>
      </w:r>
      <w:r>
        <w:rPr>
          <w:rFonts w:ascii="宋体" w:hAnsi="宋体"/>
          <w:sz w:val="24"/>
          <w:szCs w:val="24"/>
        </w:rPr>
        <w:t>改变传统庭审模式，实现公正与效率已经成为国内各级法院的工作主题，更是时代发展和进步的必然趋势</w:t>
      </w:r>
      <w:r>
        <w:rPr>
          <w:rFonts w:hint="eastAsia" w:ascii="宋体" w:hAnsi="宋体"/>
          <w:sz w:val="24"/>
          <w:szCs w:val="24"/>
        </w:rPr>
        <w:t>，实现公正裁判提高法院社会公信度，是审判管理改革的突破，是法院审判工作监督制约机制的一个创新，通过实施数字化科技法庭系统使庭审过程与科技手段紧密结合，体现了“阳光审判”公开、透明的原则，实现对庭审过程中对原被告、证人、法官、公诉人、犯罪嫌疑人、电子证据画面进行实时采编录像和网络直播，满足庭审音像资料存档、远程观摩和领导在线监督的需求。</w:t>
      </w:r>
    </w:p>
    <w:p>
      <w:pPr>
        <w:autoSpaceDE w:val="0"/>
        <w:autoSpaceDN w:val="0"/>
        <w:adjustRightInd w:val="0"/>
        <w:spacing w:line="360" w:lineRule="auto"/>
        <w:ind w:firstLine="480" w:firstLineChars="200"/>
        <w:contextualSpacing/>
        <w:rPr>
          <w:rFonts w:ascii="宋体" w:hAnsi="宋体"/>
          <w:sz w:val="24"/>
          <w:szCs w:val="24"/>
        </w:rPr>
      </w:pPr>
      <w:r>
        <w:rPr>
          <w:rFonts w:hint="eastAsia" w:ascii="宋体" w:hAnsi="宋体"/>
          <w:sz w:val="24"/>
          <w:szCs w:val="24"/>
        </w:rPr>
        <w:t>2013年十八届三中全会，提出全面深化改革，其中对于深化司法体制改革也有明确提到。最高院为贯彻精神，快速下发了《最高人民法院关于推进司法公开三大平台建设的若干意见》，对于司法审判流程公开、裁判文书公开、执行信息公开做出了指示，其中还着重提到“每庭必录”。</w:t>
      </w:r>
    </w:p>
    <w:p>
      <w:pPr>
        <w:autoSpaceDE w:val="0"/>
        <w:autoSpaceDN w:val="0"/>
        <w:adjustRightInd w:val="0"/>
        <w:spacing w:line="360" w:lineRule="auto"/>
        <w:ind w:firstLine="480" w:firstLineChars="200"/>
        <w:contextualSpacing/>
        <w:rPr>
          <w:rFonts w:ascii="宋体" w:hAnsi="宋体"/>
          <w:sz w:val="24"/>
          <w:szCs w:val="24"/>
        </w:rPr>
      </w:pPr>
      <w:r>
        <w:rPr>
          <w:rFonts w:ascii="宋体" w:hAnsi="宋体"/>
          <w:sz w:val="24"/>
          <w:szCs w:val="24"/>
        </w:rPr>
        <w:t>随着法院审判业务的开展，最高人民法院开始大力倡导将高清音视频数字技术与计算机信息技术等高新技术应用于各法庭的审理诉讼相关活动，</w:t>
      </w:r>
      <w:r>
        <w:rPr>
          <w:rFonts w:hint="eastAsia" w:ascii="宋体" w:hAnsi="宋体"/>
          <w:sz w:val="24"/>
          <w:szCs w:val="24"/>
        </w:rPr>
        <w:t>连续出台科技法庭信息化建设规范，2</w:t>
      </w:r>
      <w:r>
        <w:rPr>
          <w:rFonts w:ascii="宋体" w:hAnsi="宋体"/>
          <w:sz w:val="24"/>
          <w:szCs w:val="24"/>
        </w:rPr>
        <w:t>016</w:t>
      </w:r>
      <w:r>
        <w:rPr>
          <w:rFonts w:hint="eastAsia" w:ascii="宋体" w:hAnsi="宋体"/>
          <w:sz w:val="24"/>
          <w:szCs w:val="24"/>
        </w:rPr>
        <w:t>年8月发布F</w:t>
      </w:r>
      <w:r>
        <w:rPr>
          <w:rFonts w:ascii="宋体" w:hAnsi="宋体"/>
          <w:sz w:val="24"/>
          <w:szCs w:val="24"/>
        </w:rPr>
        <w:t>YB/T 52003-2016</w:t>
      </w:r>
      <w:r>
        <w:rPr>
          <w:rFonts w:hint="eastAsia" w:ascii="宋体" w:hAnsi="宋体"/>
          <w:sz w:val="24"/>
          <w:szCs w:val="24"/>
        </w:rPr>
        <w:t>《科技法庭应用技术要求》；2</w:t>
      </w:r>
      <w:r>
        <w:rPr>
          <w:rFonts w:ascii="宋体" w:hAnsi="宋体"/>
          <w:sz w:val="24"/>
          <w:szCs w:val="24"/>
        </w:rPr>
        <w:t>017</w:t>
      </w:r>
      <w:r>
        <w:rPr>
          <w:rFonts w:hint="eastAsia" w:ascii="宋体" w:hAnsi="宋体"/>
          <w:sz w:val="24"/>
          <w:szCs w:val="24"/>
        </w:rPr>
        <w:t>年4月发布F</w:t>
      </w:r>
      <w:r>
        <w:rPr>
          <w:rFonts w:ascii="宋体" w:hAnsi="宋体"/>
          <w:sz w:val="24"/>
          <w:szCs w:val="24"/>
        </w:rPr>
        <w:t>YB/T 54001-2017</w:t>
      </w:r>
      <w:r>
        <w:rPr>
          <w:rFonts w:hint="eastAsia" w:ascii="宋体" w:hAnsi="宋体"/>
          <w:sz w:val="24"/>
          <w:szCs w:val="24"/>
        </w:rPr>
        <w:t>《科技法庭信息化建设指南》；2</w:t>
      </w:r>
      <w:r>
        <w:rPr>
          <w:rFonts w:ascii="宋体" w:hAnsi="宋体"/>
          <w:sz w:val="24"/>
          <w:szCs w:val="24"/>
        </w:rPr>
        <w:t>021</w:t>
      </w:r>
      <w:r>
        <w:rPr>
          <w:rFonts w:hint="eastAsia" w:ascii="宋体" w:hAnsi="宋体"/>
          <w:sz w:val="24"/>
          <w:szCs w:val="24"/>
        </w:rPr>
        <w:t>年5月发布F</w:t>
      </w:r>
      <w:r>
        <w:rPr>
          <w:rFonts w:ascii="宋体" w:hAnsi="宋体"/>
          <w:sz w:val="24"/>
          <w:szCs w:val="24"/>
        </w:rPr>
        <w:t>YB/T 54001-2021</w:t>
      </w:r>
      <w:r>
        <w:rPr>
          <w:rFonts w:hint="eastAsia" w:ascii="宋体" w:hAnsi="宋体"/>
          <w:sz w:val="24"/>
          <w:szCs w:val="24"/>
        </w:rPr>
        <w:t>《科技法庭信息化建设规范》，取代F</w:t>
      </w:r>
      <w:r>
        <w:rPr>
          <w:rFonts w:ascii="宋体" w:hAnsi="宋体"/>
          <w:sz w:val="24"/>
          <w:szCs w:val="24"/>
        </w:rPr>
        <w:t>YB/T 54001-2017</w:t>
      </w:r>
      <w:r>
        <w:rPr>
          <w:rFonts w:hint="eastAsia" w:ascii="宋体" w:hAnsi="宋体"/>
          <w:sz w:val="24"/>
          <w:szCs w:val="24"/>
        </w:rPr>
        <w:t>《科技法庭信息化建设指南》</w:t>
      </w:r>
      <w:r>
        <w:rPr>
          <w:rFonts w:ascii="宋体" w:hAnsi="宋体"/>
          <w:sz w:val="24"/>
          <w:szCs w:val="24"/>
        </w:rPr>
        <w:t>。通过音视频数字技术与计算机信息技术实现法庭审理过程的视频、</w:t>
      </w:r>
      <w:r>
        <w:rPr>
          <w:rFonts w:hint="eastAsia" w:ascii="宋体" w:hAnsi="宋体"/>
          <w:sz w:val="24"/>
          <w:szCs w:val="24"/>
        </w:rPr>
        <w:t>音频</w:t>
      </w:r>
      <w:r>
        <w:rPr>
          <w:rFonts w:ascii="宋体" w:hAnsi="宋体"/>
          <w:sz w:val="24"/>
          <w:szCs w:val="24"/>
        </w:rPr>
        <w:t>、图像、数据等庭审所有相关信息的融合与交互</w:t>
      </w:r>
      <w:r>
        <w:rPr>
          <w:rFonts w:hint="eastAsia" w:ascii="宋体" w:hAnsi="宋体"/>
          <w:sz w:val="24"/>
          <w:szCs w:val="24"/>
        </w:rPr>
        <w:t>，对于地方各级人民法院新建、扩建、改建的审判法庭及庭审音视频应用做出了进一步的规范要求。</w:t>
      </w:r>
    </w:p>
    <w:p>
      <w:pPr>
        <w:pStyle w:val="3"/>
        <w:numPr>
          <w:ilvl w:val="0"/>
          <w:numId w:val="2"/>
        </w:numPr>
        <w:spacing w:before="0" w:after="0" w:line="360" w:lineRule="auto"/>
        <w:rPr>
          <w:rFonts w:ascii="宋体" w:hAnsi="宋体" w:eastAsia="宋体"/>
          <w:sz w:val="24"/>
          <w:szCs w:val="24"/>
        </w:rPr>
      </w:pPr>
      <w:r>
        <w:rPr>
          <w:rFonts w:hint="eastAsia" w:ascii="宋体" w:hAnsi="宋体" w:eastAsia="宋体"/>
          <w:sz w:val="24"/>
          <w:szCs w:val="24"/>
        </w:rPr>
        <w:t>项目概况</w:t>
      </w:r>
    </w:p>
    <w:p>
      <w:pPr>
        <w:spacing w:line="360" w:lineRule="auto"/>
        <w:ind w:firstLine="480" w:firstLineChars="200"/>
        <w:rPr>
          <w:rFonts w:ascii="宋体" w:hAnsi="宋体"/>
          <w:sz w:val="24"/>
          <w:szCs w:val="24"/>
        </w:rPr>
      </w:pPr>
      <w:r>
        <w:rPr>
          <w:rFonts w:hint="eastAsia" w:ascii="宋体" w:hAnsi="宋体"/>
          <w:sz w:val="24"/>
          <w:szCs w:val="24"/>
        </w:rPr>
        <w:t>上海市松江区人民法院（以下简称“松江法院”）庭审标准化录音录像系统（升级改造）的</w:t>
      </w:r>
      <w:r>
        <w:rPr>
          <w:rFonts w:ascii="宋体" w:hAnsi="宋体"/>
          <w:sz w:val="24"/>
          <w:szCs w:val="24"/>
        </w:rPr>
        <w:t>主要目标是利用当今国内、国际上最先进和成熟的计算机信息技术、音视频编解码技术、</w:t>
      </w:r>
      <w:r>
        <w:rPr>
          <w:rFonts w:hint="eastAsia" w:ascii="宋体" w:hAnsi="宋体"/>
          <w:sz w:val="24"/>
          <w:szCs w:val="24"/>
        </w:rPr>
        <w:t>语音</w:t>
      </w:r>
      <w:r>
        <w:rPr>
          <w:rFonts w:ascii="宋体" w:hAnsi="宋体"/>
          <w:sz w:val="24"/>
          <w:szCs w:val="24"/>
        </w:rPr>
        <w:t>智能</w:t>
      </w:r>
      <w:r>
        <w:rPr>
          <w:rFonts w:hint="eastAsia" w:ascii="宋体" w:hAnsi="宋体"/>
          <w:sz w:val="24"/>
          <w:szCs w:val="24"/>
        </w:rPr>
        <w:t>化分析</w:t>
      </w:r>
      <w:r>
        <w:rPr>
          <w:rFonts w:ascii="宋体" w:hAnsi="宋体"/>
          <w:sz w:val="24"/>
          <w:szCs w:val="24"/>
        </w:rPr>
        <w:t>技术、图形图像处理技术</w:t>
      </w:r>
      <w:r>
        <w:rPr>
          <w:rFonts w:hint="eastAsia" w:ascii="宋体" w:hAnsi="宋体"/>
          <w:sz w:val="24"/>
          <w:szCs w:val="24"/>
        </w:rPr>
        <w:t>等相关</w:t>
      </w:r>
      <w:r>
        <w:rPr>
          <w:rFonts w:ascii="宋体" w:hAnsi="宋体"/>
          <w:sz w:val="24"/>
          <w:szCs w:val="24"/>
        </w:rPr>
        <w:t>技术，借助现代科学技术装备，实现审判庭审的数字化、专业化、智能化、对法庭审判过程的所有电子笔录、音频、视频、电子证物等信息进行数字化处理，并通过网络以多种</w:t>
      </w:r>
      <w:r>
        <w:rPr>
          <w:rFonts w:hint="eastAsia" w:ascii="宋体" w:hAnsi="宋体"/>
          <w:sz w:val="24"/>
          <w:szCs w:val="24"/>
        </w:rPr>
        <w:t>多媒体</w:t>
      </w:r>
      <w:r>
        <w:rPr>
          <w:rFonts w:ascii="宋体" w:hAnsi="宋体"/>
          <w:sz w:val="24"/>
          <w:szCs w:val="24"/>
        </w:rPr>
        <w:t>应用形式（</w:t>
      </w:r>
      <w:r>
        <w:rPr>
          <w:rFonts w:hint="eastAsia" w:ascii="宋体" w:hAnsi="宋体"/>
          <w:sz w:val="24"/>
          <w:szCs w:val="24"/>
        </w:rPr>
        <w:t>音视频存储、网络</w:t>
      </w:r>
      <w:r>
        <w:rPr>
          <w:rFonts w:ascii="宋体" w:hAnsi="宋体"/>
          <w:sz w:val="24"/>
          <w:szCs w:val="24"/>
        </w:rPr>
        <w:t>直播、点播、下载、光盘刻录等）</w:t>
      </w:r>
      <w:r>
        <w:rPr>
          <w:rFonts w:hint="eastAsia" w:ascii="宋体" w:hAnsi="宋体"/>
          <w:sz w:val="24"/>
          <w:szCs w:val="24"/>
        </w:rPr>
        <w:t>全面</w:t>
      </w:r>
      <w:r>
        <w:rPr>
          <w:rFonts w:ascii="宋体" w:hAnsi="宋体"/>
          <w:sz w:val="24"/>
          <w:szCs w:val="24"/>
        </w:rPr>
        <w:t>展现庭审过程</w:t>
      </w:r>
      <w:r>
        <w:rPr>
          <w:rFonts w:hint="eastAsia" w:ascii="宋体" w:hAnsi="宋体"/>
          <w:sz w:val="24"/>
          <w:szCs w:val="24"/>
        </w:rPr>
        <w:t>，</w:t>
      </w:r>
      <w:r>
        <w:rPr>
          <w:rFonts w:ascii="宋体" w:hAnsi="宋体"/>
          <w:sz w:val="24"/>
          <w:szCs w:val="24"/>
        </w:rPr>
        <w:t>方便</w:t>
      </w:r>
      <w:r>
        <w:rPr>
          <w:rFonts w:hint="eastAsia" w:ascii="宋体" w:hAnsi="宋体"/>
          <w:sz w:val="24"/>
          <w:szCs w:val="24"/>
        </w:rPr>
        <w:t>法院</w:t>
      </w:r>
      <w:r>
        <w:rPr>
          <w:rFonts w:ascii="宋体" w:hAnsi="宋体"/>
          <w:sz w:val="24"/>
          <w:szCs w:val="24"/>
        </w:rPr>
        <w:t>工作人员借助信息化网络和信息终端，实时</w:t>
      </w:r>
      <w:r>
        <w:rPr>
          <w:rFonts w:hint="eastAsia" w:ascii="宋体" w:hAnsi="宋体"/>
          <w:sz w:val="24"/>
          <w:szCs w:val="24"/>
        </w:rPr>
        <w:t>掌握</w:t>
      </w:r>
      <w:r>
        <w:rPr>
          <w:rFonts w:ascii="宋体" w:hAnsi="宋体"/>
          <w:sz w:val="24"/>
          <w:szCs w:val="24"/>
        </w:rPr>
        <w:t>庭审过程，支持在线司法监督，体现法院审判的公正与透明，充分展现和提升</w:t>
      </w:r>
      <w:r>
        <w:rPr>
          <w:rFonts w:hint="eastAsia" w:ascii="宋体" w:hAnsi="宋体"/>
          <w:sz w:val="24"/>
          <w:szCs w:val="24"/>
        </w:rPr>
        <w:t>法院</w:t>
      </w:r>
      <w:r>
        <w:rPr>
          <w:rFonts w:ascii="宋体" w:hAnsi="宋体"/>
          <w:sz w:val="24"/>
          <w:szCs w:val="24"/>
        </w:rPr>
        <w:t>的司法形象。</w:t>
      </w:r>
    </w:p>
    <w:p>
      <w:pPr>
        <w:pStyle w:val="3"/>
        <w:numPr>
          <w:ilvl w:val="0"/>
          <w:numId w:val="2"/>
        </w:numPr>
        <w:spacing w:before="0" w:after="0" w:line="360" w:lineRule="auto"/>
        <w:rPr>
          <w:rFonts w:ascii="宋体" w:hAnsi="宋体" w:eastAsia="宋体"/>
          <w:sz w:val="24"/>
          <w:szCs w:val="24"/>
        </w:rPr>
      </w:pPr>
      <w:r>
        <w:rPr>
          <w:rFonts w:hint="eastAsia" w:ascii="宋体" w:hAnsi="宋体" w:eastAsia="宋体"/>
          <w:sz w:val="24"/>
          <w:szCs w:val="24"/>
        </w:rPr>
        <w:t>建设依据</w:t>
      </w:r>
    </w:p>
    <w:p>
      <w:pPr>
        <w:autoSpaceDE w:val="0"/>
        <w:autoSpaceDN w:val="0"/>
        <w:adjustRightInd w:val="0"/>
        <w:spacing w:line="360" w:lineRule="auto"/>
        <w:ind w:firstLine="480" w:firstLineChars="200"/>
        <w:contextualSpacing/>
        <w:jc w:val="left"/>
        <w:rPr>
          <w:rFonts w:ascii="宋体" w:hAnsi="宋体" w:cs="Arial"/>
          <w:kern w:val="0"/>
          <w:sz w:val="24"/>
          <w:szCs w:val="24"/>
        </w:rPr>
      </w:pPr>
      <w:r>
        <w:rPr>
          <w:rFonts w:hint="eastAsia" w:ascii="宋体" w:hAnsi="宋体"/>
          <w:sz w:val="24"/>
          <w:szCs w:val="24"/>
        </w:rPr>
        <w:t>本项目</w:t>
      </w:r>
      <w:r>
        <w:rPr>
          <w:rFonts w:hint="eastAsia" w:ascii="宋体" w:hAnsi="宋体" w:cs="Arial"/>
          <w:kern w:val="0"/>
          <w:sz w:val="24"/>
          <w:szCs w:val="24"/>
        </w:rPr>
        <w:t>为全上海市法院庭审信息平台建设的重要组成部分，必须符合上海高院高清庭审技术规范，基于统一规划、统一组织、统一标准、协同建设、资源共享的原则，建设统一的信息平台，用信息化手段支持涵盖法庭庭审管理工作全过程中所有规程。</w:t>
      </w:r>
    </w:p>
    <w:p>
      <w:pPr>
        <w:autoSpaceDE w:val="0"/>
        <w:autoSpaceDN w:val="0"/>
        <w:adjustRightInd w:val="0"/>
        <w:spacing w:line="360" w:lineRule="auto"/>
        <w:ind w:left="480"/>
        <w:contextualSpacing/>
        <w:jc w:val="left"/>
        <w:rPr>
          <w:rFonts w:ascii="宋体" w:hAnsi="宋体" w:cs="Arial"/>
          <w:kern w:val="0"/>
          <w:sz w:val="24"/>
          <w:szCs w:val="24"/>
        </w:rPr>
      </w:pPr>
      <w:r>
        <w:rPr>
          <w:rFonts w:hint="eastAsia" w:ascii="宋体" w:hAnsi="宋体"/>
          <w:sz w:val="24"/>
          <w:szCs w:val="24"/>
        </w:rPr>
        <w:t>本项目</w:t>
      </w:r>
      <w:r>
        <w:rPr>
          <w:rFonts w:hint="eastAsia" w:ascii="宋体" w:hAnsi="宋体" w:cs="Arial"/>
          <w:kern w:val="0"/>
          <w:sz w:val="24"/>
          <w:szCs w:val="24"/>
        </w:rPr>
        <w:t>的建设依据为最高人民法院下发的：</w:t>
      </w:r>
    </w:p>
    <w:p>
      <w:pPr>
        <w:spacing w:line="360" w:lineRule="auto"/>
        <w:ind w:firstLine="480" w:firstLineChars="200"/>
        <w:rPr>
          <w:rFonts w:ascii="宋体" w:hAnsi="宋体"/>
          <w:sz w:val="24"/>
          <w:szCs w:val="24"/>
        </w:rPr>
      </w:pPr>
      <w:r>
        <w:rPr>
          <w:rFonts w:hint="eastAsia" w:ascii="宋体" w:hAnsi="宋体"/>
          <w:sz w:val="24"/>
          <w:szCs w:val="24"/>
        </w:rPr>
        <w:t>本项目具体建设依据如下：</w:t>
      </w:r>
    </w:p>
    <w:p>
      <w:pPr>
        <w:numPr>
          <w:ilvl w:val="0"/>
          <w:numId w:val="3"/>
        </w:numPr>
        <w:spacing w:line="360" w:lineRule="auto"/>
        <w:ind w:left="851"/>
        <w:rPr>
          <w:rFonts w:ascii="宋体" w:hAnsi="宋体"/>
          <w:sz w:val="24"/>
          <w:szCs w:val="24"/>
        </w:rPr>
      </w:pPr>
      <w:r>
        <w:rPr>
          <w:rFonts w:hint="eastAsia" w:ascii="宋体" w:hAnsi="宋体"/>
          <w:sz w:val="24"/>
          <w:szCs w:val="24"/>
        </w:rPr>
        <w:t>最高院发布的《科技法庭信息化建设规范》（FYB_T_</w:t>
      </w:r>
      <w:r>
        <w:rPr>
          <w:rFonts w:ascii="宋体" w:hAnsi="宋体"/>
          <w:sz w:val="24"/>
          <w:szCs w:val="24"/>
        </w:rPr>
        <w:t>54001</w:t>
      </w:r>
      <w:r>
        <w:rPr>
          <w:rFonts w:hint="eastAsia" w:ascii="宋体" w:hAnsi="宋体"/>
          <w:sz w:val="24"/>
          <w:szCs w:val="24"/>
        </w:rPr>
        <w:t>-20</w:t>
      </w:r>
      <w:r>
        <w:rPr>
          <w:rFonts w:ascii="宋体" w:hAnsi="宋体"/>
          <w:sz w:val="24"/>
          <w:szCs w:val="24"/>
        </w:rPr>
        <w:t>21</w:t>
      </w:r>
      <w:r>
        <w:rPr>
          <w:rFonts w:hint="eastAsia" w:ascii="宋体" w:hAnsi="宋体"/>
          <w:sz w:val="24"/>
          <w:szCs w:val="24"/>
        </w:rPr>
        <w:t>）</w:t>
      </w:r>
    </w:p>
    <w:p>
      <w:pPr>
        <w:numPr>
          <w:ilvl w:val="0"/>
          <w:numId w:val="3"/>
        </w:numPr>
        <w:spacing w:line="360" w:lineRule="auto"/>
        <w:ind w:left="851"/>
        <w:rPr>
          <w:rFonts w:ascii="宋体" w:hAnsi="宋体"/>
          <w:sz w:val="24"/>
          <w:szCs w:val="24"/>
        </w:rPr>
      </w:pPr>
      <w:r>
        <w:rPr>
          <w:rFonts w:hint="eastAsia" w:ascii="宋体" w:hAnsi="宋体"/>
          <w:sz w:val="24"/>
          <w:szCs w:val="24"/>
        </w:rPr>
        <w:t>法（</w:t>
      </w:r>
      <w:r>
        <w:rPr>
          <w:rFonts w:ascii="宋体" w:hAnsi="宋体"/>
          <w:sz w:val="24"/>
          <w:szCs w:val="24"/>
        </w:rPr>
        <w:t>2016</w:t>
      </w:r>
      <w:r>
        <w:rPr>
          <w:rFonts w:hint="eastAsia" w:ascii="宋体" w:hAnsi="宋体"/>
          <w:sz w:val="24"/>
          <w:szCs w:val="24"/>
        </w:rPr>
        <w:t>）</w:t>
      </w:r>
      <w:r>
        <w:rPr>
          <w:rFonts w:ascii="宋体" w:hAnsi="宋体"/>
          <w:sz w:val="24"/>
          <w:szCs w:val="24"/>
        </w:rPr>
        <w:t>66</w:t>
      </w:r>
      <w:r>
        <w:rPr>
          <w:rFonts w:hint="eastAsia" w:ascii="宋体" w:hAnsi="宋体"/>
          <w:sz w:val="24"/>
          <w:szCs w:val="24"/>
        </w:rPr>
        <w:t>号文：最高人民法院关于印发《人民法院信息化建设五年发展规划（</w:t>
      </w:r>
      <w:r>
        <w:rPr>
          <w:rFonts w:ascii="宋体" w:hAnsi="宋体"/>
          <w:sz w:val="24"/>
          <w:szCs w:val="24"/>
        </w:rPr>
        <w:t>2016-2020</w:t>
      </w:r>
      <w:r>
        <w:rPr>
          <w:rFonts w:hint="eastAsia" w:ascii="宋体" w:hAnsi="宋体"/>
          <w:sz w:val="24"/>
          <w:szCs w:val="24"/>
        </w:rPr>
        <w:t>）》的通知；</w:t>
      </w:r>
    </w:p>
    <w:p>
      <w:pPr>
        <w:numPr>
          <w:ilvl w:val="0"/>
          <w:numId w:val="3"/>
        </w:numPr>
        <w:spacing w:line="360" w:lineRule="auto"/>
        <w:ind w:left="851"/>
        <w:rPr>
          <w:rFonts w:ascii="宋体" w:hAnsi="宋体"/>
          <w:sz w:val="24"/>
          <w:szCs w:val="24"/>
        </w:rPr>
      </w:pPr>
      <w:r>
        <w:rPr>
          <w:rFonts w:hint="eastAsia" w:ascii="宋体" w:hAnsi="宋体"/>
          <w:sz w:val="24"/>
          <w:szCs w:val="24"/>
        </w:rPr>
        <w:t>沪高法（</w:t>
      </w:r>
      <w:r>
        <w:rPr>
          <w:rFonts w:ascii="宋体" w:hAnsi="宋体"/>
          <w:sz w:val="24"/>
          <w:szCs w:val="24"/>
        </w:rPr>
        <w:t>2016</w:t>
      </w:r>
      <w:r>
        <w:rPr>
          <w:rFonts w:hint="eastAsia" w:ascii="宋体" w:hAnsi="宋体"/>
          <w:sz w:val="24"/>
          <w:szCs w:val="24"/>
        </w:rPr>
        <w:t>）</w:t>
      </w:r>
      <w:r>
        <w:rPr>
          <w:rFonts w:ascii="宋体" w:hAnsi="宋体"/>
          <w:sz w:val="24"/>
          <w:szCs w:val="24"/>
        </w:rPr>
        <w:t>318</w:t>
      </w:r>
      <w:r>
        <w:rPr>
          <w:rFonts w:hint="eastAsia" w:ascii="宋体" w:hAnsi="宋体"/>
          <w:sz w:val="24"/>
          <w:szCs w:val="24"/>
        </w:rPr>
        <w:t>号文：关于印发《上海市高级人民法院“数据法院”建设规划（</w:t>
      </w:r>
      <w:r>
        <w:rPr>
          <w:rFonts w:ascii="宋体" w:hAnsi="宋体"/>
          <w:sz w:val="24"/>
          <w:szCs w:val="24"/>
        </w:rPr>
        <w:t>2017-2019</w:t>
      </w:r>
      <w:r>
        <w:rPr>
          <w:rFonts w:hint="eastAsia" w:ascii="宋体" w:hAnsi="宋体"/>
          <w:sz w:val="24"/>
          <w:szCs w:val="24"/>
        </w:rPr>
        <w:t>）》的通知；</w:t>
      </w:r>
    </w:p>
    <w:p>
      <w:pPr>
        <w:numPr>
          <w:ilvl w:val="0"/>
          <w:numId w:val="3"/>
        </w:numPr>
        <w:spacing w:line="360" w:lineRule="auto"/>
        <w:ind w:left="851"/>
        <w:rPr>
          <w:rFonts w:ascii="宋体" w:hAnsi="宋体"/>
          <w:sz w:val="24"/>
          <w:szCs w:val="24"/>
        </w:rPr>
      </w:pPr>
      <w:r>
        <w:rPr>
          <w:rFonts w:hint="eastAsia" w:ascii="宋体" w:hAnsi="宋体"/>
          <w:sz w:val="24"/>
          <w:szCs w:val="24"/>
        </w:rPr>
        <w:t>沪高法（</w:t>
      </w:r>
      <w:r>
        <w:rPr>
          <w:rFonts w:ascii="宋体" w:hAnsi="宋体"/>
          <w:sz w:val="24"/>
          <w:szCs w:val="24"/>
        </w:rPr>
        <w:t>2018</w:t>
      </w:r>
      <w:r>
        <w:rPr>
          <w:rFonts w:hint="eastAsia" w:ascii="宋体" w:hAnsi="宋体"/>
          <w:sz w:val="24"/>
          <w:szCs w:val="24"/>
        </w:rPr>
        <w:t>）</w:t>
      </w:r>
      <w:r>
        <w:rPr>
          <w:rFonts w:ascii="宋体" w:hAnsi="宋体"/>
          <w:sz w:val="24"/>
          <w:szCs w:val="24"/>
        </w:rPr>
        <w:t>107</w:t>
      </w:r>
      <w:r>
        <w:rPr>
          <w:rFonts w:hint="eastAsia" w:ascii="宋体" w:hAnsi="宋体"/>
          <w:sz w:val="24"/>
          <w:szCs w:val="24"/>
        </w:rPr>
        <w:t>号文《</w:t>
      </w:r>
      <w:r>
        <w:rPr>
          <w:rFonts w:ascii="宋体" w:hAnsi="宋体"/>
          <w:sz w:val="24"/>
          <w:szCs w:val="24"/>
        </w:rPr>
        <w:t>2018</w:t>
      </w:r>
      <w:r>
        <w:rPr>
          <w:rFonts w:hint="eastAsia" w:ascii="宋体" w:hAnsi="宋体"/>
          <w:sz w:val="24"/>
          <w:szCs w:val="24"/>
        </w:rPr>
        <w:t>上海法院信息化工作要点》；</w:t>
      </w:r>
    </w:p>
    <w:p>
      <w:pPr>
        <w:numPr>
          <w:ilvl w:val="0"/>
          <w:numId w:val="3"/>
        </w:numPr>
        <w:spacing w:line="360" w:lineRule="auto"/>
        <w:ind w:left="851"/>
        <w:rPr>
          <w:rFonts w:ascii="宋体" w:hAnsi="宋体"/>
          <w:sz w:val="24"/>
          <w:szCs w:val="24"/>
        </w:rPr>
      </w:pPr>
      <w:r>
        <w:rPr>
          <w:rFonts w:hint="eastAsia" w:ascii="宋体" w:hAnsi="宋体"/>
          <w:sz w:val="24"/>
          <w:szCs w:val="24"/>
        </w:rPr>
        <w:t>《人民法院科技法庭系统建设规范（征求意见稿）</w:t>
      </w:r>
      <w:r>
        <w:rPr>
          <w:rFonts w:ascii="宋体" w:hAnsi="宋体"/>
          <w:sz w:val="24"/>
          <w:szCs w:val="24"/>
        </w:rPr>
        <w:t>2014</w:t>
      </w:r>
      <w:r>
        <w:rPr>
          <w:rFonts w:hint="eastAsia" w:ascii="宋体" w:hAnsi="宋体"/>
          <w:sz w:val="24"/>
          <w:szCs w:val="24"/>
        </w:rPr>
        <w:t>年</w:t>
      </w:r>
      <w:r>
        <w:rPr>
          <w:rFonts w:ascii="宋体" w:hAnsi="宋体"/>
          <w:sz w:val="24"/>
          <w:szCs w:val="24"/>
        </w:rPr>
        <w:t>7</w:t>
      </w:r>
      <w:r>
        <w:rPr>
          <w:rFonts w:hint="eastAsia" w:ascii="宋体" w:hAnsi="宋体"/>
          <w:sz w:val="24"/>
          <w:szCs w:val="24"/>
        </w:rPr>
        <w:t>月》；</w:t>
      </w:r>
    </w:p>
    <w:p>
      <w:pPr>
        <w:numPr>
          <w:ilvl w:val="0"/>
          <w:numId w:val="3"/>
        </w:numPr>
        <w:spacing w:line="360" w:lineRule="auto"/>
        <w:ind w:left="851"/>
        <w:rPr>
          <w:rFonts w:ascii="宋体" w:hAnsi="宋体"/>
          <w:sz w:val="24"/>
          <w:szCs w:val="24"/>
        </w:rPr>
      </w:pPr>
      <w:r>
        <w:rPr>
          <w:rFonts w:hint="eastAsia" w:ascii="宋体" w:hAnsi="宋体"/>
          <w:sz w:val="24"/>
          <w:szCs w:val="24"/>
        </w:rPr>
        <w:t>《人民法院远程视频讯问室建设技术规范》（法办发〔</w:t>
      </w:r>
      <w:r>
        <w:rPr>
          <w:rFonts w:ascii="宋体" w:hAnsi="宋体"/>
          <w:sz w:val="24"/>
          <w:szCs w:val="24"/>
        </w:rPr>
        <w:t>2013</w:t>
      </w:r>
      <w:r>
        <w:rPr>
          <w:rFonts w:hint="eastAsia" w:ascii="宋体" w:hAnsi="宋体"/>
          <w:sz w:val="24"/>
          <w:szCs w:val="24"/>
        </w:rPr>
        <w:t>〕</w:t>
      </w:r>
      <w:r>
        <w:rPr>
          <w:rFonts w:ascii="宋体" w:hAnsi="宋体"/>
          <w:sz w:val="24"/>
          <w:szCs w:val="24"/>
        </w:rPr>
        <w:t>48</w:t>
      </w:r>
      <w:r>
        <w:rPr>
          <w:rFonts w:hint="eastAsia" w:ascii="宋体" w:hAnsi="宋体"/>
          <w:sz w:val="24"/>
          <w:szCs w:val="24"/>
        </w:rPr>
        <w:t>号）；</w:t>
      </w:r>
    </w:p>
    <w:p>
      <w:pPr>
        <w:numPr>
          <w:ilvl w:val="0"/>
          <w:numId w:val="3"/>
        </w:numPr>
        <w:spacing w:line="360" w:lineRule="auto"/>
        <w:ind w:left="851"/>
        <w:rPr>
          <w:rFonts w:ascii="宋体" w:hAnsi="宋体"/>
          <w:sz w:val="24"/>
          <w:szCs w:val="24"/>
        </w:rPr>
      </w:pPr>
      <w:r>
        <w:rPr>
          <w:rFonts w:hint="eastAsia" w:ascii="宋体" w:hAnsi="宋体"/>
          <w:sz w:val="24"/>
          <w:szCs w:val="24"/>
        </w:rPr>
        <w:t>《关于在看守所建设远程视频讯问室的通知》（法办〔</w:t>
      </w:r>
      <w:r>
        <w:rPr>
          <w:rFonts w:ascii="宋体" w:hAnsi="宋体"/>
          <w:sz w:val="24"/>
          <w:szCs w:val="24"/>
        </w:rPr>
        <w:t>2013</w:t>
      </w:r>
      <w:r>
        <w:rPr>
          <w:rFonts w:hint="eastAsia" w:ascii="宋体" w:hAnsi="宋体"/>
          <w:sz w:val="24"/>
          <w:szCs w:val="24"/>
        </w:rPr>
        <w:t>〕</w:t>
      </w:r>
      <w:r>
        <w:rPr>
          <w:rFonts w:ascii="宋体" w:hAnsi="宋体"/>
          <w:sz w:val="24"/>
          <w:szCs w:val="24"/>
        </w:rPr>
        <w:t>96</w:t>
      </w:r>
      <w:r>
        <w:rPr>
          <w:rFonts w:hint="eastAsia" w:ascii="宋体" w:hAnsi="宋体"/>
          <w:sz w:val="24"/>
          <w:szCs w:val="24"/>
        </w:rPr>
        <w:t>号）；</w:t>
      </w:r>
    </w:p>
    <w:p>
      <w:pPr>
        <w:numPr>
          <w:ilvl w:val="0"/>
          <w:numId w:val="3"/>
        </w:numPr>
        <w:spacing w:line="360" w:lineRule="auto"/>
        <w:ind w:left="851"/>
        <w:rPr>
          <w:rFonts w:ascii="宋体" w:hAnsi="宋体"/>
          <w:sz w:val="24"/>
          <w:szCs w:val="24"/>
        </w:rPr>
      </w:pPr>
      <w:r>
        <w:rPr>
          <w:rFonts w:hint="eastAsia" w:ascii="宋体" w:hAnsi="宋体"/>
          <w:sz w:val="24"/>
          <w:szCs w:val="24"/>
        </w:rPr>
        <w:t>《人民法院审判法庭信息化基本要求》（法办发〔</w:t>
      </w:r>
      <w:r>
        <w:rPr>
          <w:rFonts w:ascii="宋体" w:hAnsi="宋体"/>
          <w:sz w:val="24"/>
          <w:szCs w:val="24"/>
        </w:rPr>
        <w:t>2011</w:t>
      </w:r>
      <w:r>
        <w:rPr>
          <w:rFonts w:hint="eastAsia" w:ascii="宋体" w:hAnsi="宋体"/>
          <w:sz w:val="24"/>
          <w:szCs w:val="24"/>
        </w:rPr>
        <w:t>〕</w:t>
      </w:r>
      <w:r>
        <w:rPr>
          <w:rFonts w:ascii="宋体" w:hAnsi="宋体"/>
          <w:sz w:val="24"/>
          <w:szCs w:val="24"/>
        </w:rPr>
        <w:t>18</w:t>
      </w:r>
      <w:r>
        <w:rPr>
          <w:rFonts w:hint="eastAsia" w:ascii="宋体" w:hAnsi="宋体"/>
          <w:sz w:val="24"/>
          <w:szCs w:val="24"/>
        </w:rPr>
        <w:t>号）；</w:t>
      </w:r>
    </w:p>
    <w:p>
      <w:pPr>
        <w:numPr>
          <w:ilvl w:val="0"/>
          <w:numId w:val="3"/>
        </w:numPr>
        <w:spacing w:line="360" w:lineRule="auto"/>
        <w:ind w:left="851"/>
        <w:rPr>
          <w:rFonts w:ascii="宋体" w:hAnsi="宋体"/>
          <w:sz w:val="24"/>
          <w:szCs w:val="24"/>
        </w:rPr>
      </w:pPr>
      <w:r>
        <w:rPr>
          <w:rFonts w:hint="eastAsia" w:ascii="宋体" w:hAnsi="宋体"/>
          <w:sz w:val="24"/>
          <w:szCs w:val="24"/>
        </w:rPr>
        <w:t>《人民法院信息系统建设技术规范》（</w:t>
      </w:r>
      <w:r>
        <w:rPr>
          <w:rFonts w:ascii="宋体" w:hAnsi="宋体"/>
          <w:sz w:val="24"/>
          <w:szCs w:val="24"/>
        </w:rPr>
        <w:t>2009</w:t>
      </w:r>
      <w:r>
        <w:rPr>
          <w:rFonts w:hint="eastAsia" w:ascii="宋体" w:hAnsi="宋体"/>
          <w:sz w:val="24"/>
          <w:szCs w:val="24"/>
        </w:rPr>
        <w:t>年版）（法〔</w:t>
      </w:r>
      <w:r>
        <w:rPr>
          <w:rFonts w:ascii="宋体" w:hAnsi="宋体"/>
          <w:sz w:val="24"/>
          <w:szCs w:val="24"/>
        </w:rPr>
        <w:t>2010</w:t>
      </w:r>
      <w:r>
        <w:rPr>
          <w:rFonts w:hint="eastAsia" w:ascii="宋体" w:hAnsi="宋体"/>
          <w:sz w:val="24"/>
          <w:szCs w:val="24"/>
        </w:rPr>
        <w:t>〕</w:t>
      </w:r>
      <w:r>
        <w:rPr>
          <w:rFonts w:ascii="宋体" w:hAnsi="宋体"/>
          <w:sz w:val="24"/>
          <w:szCs w:val="24"/>
        </w:rPr>
        <w:t>38</w:t>
      </w:r>
      <w:r>
        <w:rPr>
          <w:rFonts w:hint="eastAsia" w:ascii="宋体" w:hAnsi="宋体"/>
          <w:sz w:val="24"/>
          <w:szCs w:val="24"/>
        </w:rPr>
        <w:t>号）；</w:t>
      </w:r>
    </w:p>
    <w:p>
      <w:pPr>
        <w:numPr>
          <w:ilvl w:val="0"/>
          <w:numId w:val="3"/>
        </w:numPr>
        <w:spacing w:line="360" w:lineRule="auto"/>
        <w:ind w:left="851"/>
        <w:rPr>
          <w:rFonts w:ascii="宋体" w:hAnsi="宋体"/>
          <w:sz w:val="24"/>
          <w:szCs w:val="24"/>
        </w:rPr>
      </w:pPr>
      <w:r>
        <w:rPr>
          <w:rFonts w:hint="eastAsia" w:ascii="宋体" w:hAnsi="宋体"/>
          <w:sz w:val="24"/>
          <w:szCs w:val="24"/>
        </w:rPr>
        <w:t>《人民法院审判法庭信息化建设规范（试行）》（法发〔</w:t>
      </w:r>
      <w:r>
        <w:rPr>
          <w:rFonts w:ascii="宋体" w:hAnsi="宋体"/>
          <w:sz w:val="24"/>
          <w:szCs w:val="24"/>
        </w:rPr>
        <w:t>2008</w:t>
      </w:r>
      <w:r>
        <w:rPr>
          <w:rFonts w:hint="eastAsia" w:ascii="宋体" w:hAnsi="宋体"/>
          <w:sz w:val="24"/>
          <w:szCs w:val="24"/>
        </w:rPr>
        <w:t>〕</w:t>
      </w:r>
      <w:r>
        <w:rPr>
          <w:rFonts w:ascii="宋体" w:hAnsi="宋体"/>
          <w:sz w:val="24"/>
          <w:szCs w:val="24"/>
        </w:rPr>
        <w:t>28</w:t>
      </w:r>
      <w:r>
        <w:rPr>
          <w:rFonts w:hint="eastAsia" w:ascii="宋体" w:hAnsi="宋体"/>
          <w:sz w:val="24"/>
          <w:szCs w:val="24"/>
        </w:rPr>
        <w:t>号）；</w:t>
      </w:r>
    </w:p>
    <w:p>
      <w:pPr>
        <w:numPr>
          <w:ilvl w:val="0"/>
          <w:numId w:val="3"/>
        </w:numPr>
        <w:spacing w:line="360" w:lineRule="auto"/>
        <w:ind w:left="851"/>
        <w:rPr>
          <w:rFonts w:ascii="宋体" w:hAnsi="宋体"/>
          <w:sz w:val="24"/>
          <w:szCs w:val="24"/>
        </w:rPr>
      </w:pPr>
      <w:r>
        <w:rPr>
          <w:rFonts w:hint="eastAsia" w:ascii="宋体" w:hAnsi="宋体"/>
          <w:sz w:val="24"/>
          <w:szCs w:val="24"/>
        </w:rPr>
        <w:t>《科技法庭应用技术要求》（</w:t>
      </w:r>
      <w:r>
        <w:rPr>
          <w:rFonts w:ascii="宋体" w:hAnsi="宋体"/>
          <w:sz w:val="24"/>
          <w:szCs w:val="24"/>
        </w:rPr>
        <w:t>FYB/T 52003-2016</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上海市高级人民法院下发的：</w:t>
      </w:r>
    </w:p>
    <w:p>
      <w:pPr>
        <w:numPr>
          <w:ilvl w:val="0"/>
          <w:numId w:val="3"/>
        </w:numPr>
        <w:spacing w:line="360" w:lineRule="auto"/>
        <w:ind w:left="851"/>
        <w:rPr>
          <w:rFonts w:ascii="宋体" w:hAnsi="宋体"/>
          <w:sz w:val="24"/>
          <w:szCs w:val="24"/>
        </w:rPr>
      </w:pPr>
      <w:r>
        <w:rPr>
          <w:rFonts w:hint="eastAsia" w:ascii="宋体" w:hAnsi="宋体"/>
          <w:sz w:val="24"/>
          <w:szCs w:val="24"/>
        </w:rPr>
        <w:t>《关于在法庭内配套录音及录像设备的通知》（沪高法（</w:t>
      </w:r>
      <w:r>
        <w:rPr>
          <w:rFonts w:ascii="宋体" w:hAnsi="宋体"/>
          <w:sz w:val="24"/>
          <w:szCs w:val="24"/>
        </w:rPr>
        <w:t>2008</w:t>
      </w:r>
      <w:r>
        <w:rPr>
          <w:rFonts w:hint="eastAsia" w:ascii="宋体" w:hAnsi="宋体"/>
          <w:sz w:val="24"/>
          <w:szCs w:val="24"/>
        </w:rPr>
        <w:t>）</w:t>
      </w:r>
      <w:r>
        <w:rPr>
          <w:rFonts w:ascii="宋体" w:hAnsi="宋体"/>
          <w:sz w:val="24"/>
          <w:szCs w:val="24"/>
        </w:rPr>
        <w:t>22</w:t>
      </w:r>
      <w:r>
        <w:rPr>
          <w:rFonts w:hint="eastAsia" w:ascii="宋体" w:hAnsi="宋体"/>
          <w:sz w:val="24"/>
          <w:szCs w:val="24"/>
        </w:rPr>
        <w:t>号文）；</w:t>
      </w:r>
    </w:p>
    <w:p>
      <w:pPr>
        <w:numPr>
          <w:ilvl w:val="0"/>
          <w:numId w:val="3"/>
        </w:numPr>
        <w:spacing w:line="360" w:lineRule="auto"/>
        <w:ind w:left="851"/>
        <w:rPr>
          <w:rFonts w:ascii="宋体" w:hAnsi="宋体"/>
          <w:sz w:val="24"/>
          <w:szCs w:val="24"/>
        </w:rPr>
      </w:pPr>
      <w:r>
        <w:rPr>
          <w:rFonts w:hint="eastAsia" w:ascii="宋体" w:hAnsi="宋体"/>
          <w:sz w:val="24"/>
          <w:szCs w:val="24"/>
        </w:rPr>
        <w:t>《上海法院高清庭审装备标准化平台要求》；</w:t>
      </w:r>
    </w:p>
    <w:p>
      <w:pPr>
        <w:numPr>
          <w:ilvl w:val="0"/>
          <w:numId w:val="3"/>
        </w:numPr>
        <w:spacing w:line="360" w:lineRule="auto"/>
        <w:ind w:left="851"/>
        <w:rPr>
          <w:rFonts w:ascii="宋体" w:hAnsi="宋体"/>
          <w:sz w:val="24"/>
          <w:szCs w:val="24"/>
        </w:rPr>
      </w:pPr>
      <w:r>
        <w:rPr>
          <w:rFonts w:hint="eastAsia" w:ascii="宋体" w:hAnsi="宋体"/>
          <w:sz w:val="24"/>
          <w:szCs w:val="24"/>
        </w:rPr>
        <w:t>《上海市高级人民法院关于上海法院法庭庭审系统使用和管理的办法（试行）》；</w:t>
      </w:r>
    </w:p>
    <w:p>
      <w:pPr>
        <w:numPr>
          <w:ilvl w:val="0"/>
          <w:numId w:val="3"/>
        </w:numPr>
        <w:spacing w:line="360" w:lineRule="auto"/>
        <w:ind w:left="851"/>
        <w:rPr>
          <w:rFonts w:ascii="宋体" w:hAnsi="宋体"/>
          <w:sz w:val="24"/>
          <w:szCs w:val="24"/>
        </w:rPr>
      </w:pPr>
      <w:r>
        <w:rPr>
          <w:rFonts w:ascii="宋体" w:hAnsi="宋体"/>
          <w:sz w:val="24"/>
          <w:szCs w:val="24"/>
        </w:rPr>
        <w:t>2014</w:t>
      </w:r>
      <w:r>
        <w:rPr>
          <w:rFonts w:hint="eastAsia" w:ascii="宋体" w:hAnsi="宋体"/>
          <w:sz w:val="24"/>
          <w:szCs w:val="24"/>
        </w:rPr>
        <w:t>年最高人民法院《关于人民法院直播录播庭审活动的规定》；</w:t>
      </w:r>
    </w:p>
    <w:p>
      <w:pPr>
        <w:numPr>
          <w:ilvl w:val="0"/>
          <w:numId w:val="3"/>
        </w:numPr>
        <w:spacing w:line="360" w:lineRule="auto"/>
        <w:ind w:left="851"/>
        <w:rPr>
          <w:rFonts w:ascii="宋体" w:hAnsi="宋体"/>
          <w:sz w:val="24"/>
          <w:szCs w:val="24"/>
        </w:rPr>
      </w:pPr>
      <w:r>
        <w:rPr>
          <w:rFonts w:ascii="宋体" w:hAnsi="宋体"/>
          <w:sz w:val="24"/>
          <w:szCs w:val="24"/>
        </w:rPr>
        <w:t>2015</w:t>
      </w:r>
      <w:r>
        <w:rPr>
          <w:rFonts w:hint="eastAsia" w:ascii="宋体" w:hAnsi="宋体"/>
          <w:sz w:val="24"/>
          <w:szCs w:val="24"/>
        </w:rPr>
        <w:t>年</w:t>
      </w:r>
      <w:r>
        <w:rPr>
          <w:rFonts w:ascii="宋体" w:hAnsi="宋体"/>
          <w:sz w:val="24"/>
          <w:szCs w:val="24"/>
        </w:rPr>
        <w:t>3</w:t>
      </w:r>
      <w:r>
        <w:rPr>
          <w:rFonts w:hint="eastAsia" w:ascii="宋体" w:hAnsi="宋体"/>
          <w:sz w:val="24"/>
          <w:szCs w:val="24"/>
        </w:rPr>
        <w:t>月上海高院《上海法院高清审判法庭庭审系统建设规范》；</w:t>
      </w:r>
    </w:p>
    <w:p>
      <w:pPr>
        <w:numPr>
          <w:ilvl w:val="0"/>
          <w:numId w:val="3"/>
        </w:numPr>
        <w:spacing w:line="360" w:lineRule="auto"/>
        <w:ind w:left="851"/>
        <w:rPr>
          <w:rFonts w:ascii="宋体" w:hAnsi="宋体"/>
          <w:sz w:val="24"/>
          <w:szCs w:val="24"/>
        </w:rPr>
      </w:pPr>
      <w:r>
        <w:rPr>
          <w:rFonts w:hint="eastAsia" w:ascii="宋体" w:hAnsi="宋体"/>
          <w:sz w:val="24"/>
          <w:szCs w:val="24"/>
        </w:rPr>
        <w:t>沪高法（</w:t>
      </w:r>
      <w:r>
        <w:rPr>
          <w:rFonts w:ascii="宋体" w:hAnsi="宋体"/>
          <w:sz w:val="24"/>
          <w:szCs w:val="24"/>
        </w:rPr>
        <w:t>2016</w:t>
      </w:r>
      <w:r>
        <w:rPr>
          <w:rFonts w:hint="eastAsia" w:ascii="宋体" w:hAnsi="宋体"/>
          <w:sz w:val="24"/>
          <w:szCs w:val="24"/>
        </w:rPr>
        <w:t>）</w:t>
      </w:r>
      <w:r>
        <w:rPr>
          <w:rFonts w:ascii="宋体" w:hAnsi="宋体"/>
          <w:sz w:val="24"/>
          <w:szCs w:val="24"/>
        </w:rPr>
        <w:t>256</w:t>
      </w:r>
      <w:r>
        <w:rPr>
          <w:rFonts w:hint="eastAsia" w:ascii="宋体" w:hAnsi="宋体"/>
          <w:sz w:val="24"/>
          <w:szCs w:val="24"/>
        </w:rPr>
        <w:t>号文《关于互联网庭审直播平台建设事宜的通知》</w:t>
      </w:r>
    </w:p>
    <w:p>
      <w:pPr>
        <w:numPr>
          <w:ilvl w:val="0"/>
          <w:numId w:val="3"/>
        </w:numPr>
        <w:spacing w:line="360" w:lineRule="auto"/>
        <w:ind w:left="851"/>
        <w:rPr>
          <w:rFonts w:ascii="宋体" w:hAnsi="宋体"/>
          <w:sz w:val="24"/>
          <w:szCs w:val="24"/>
        </w:rPr>
      </w:pPr>
      <w:r>
        <w:rPr>
          <w:rFonts w:ascii="宋体" w:hAnsi="宋体"/>
          <w:sz w:val="24"/>
          <w:szCs w:val="24"/>
        </w:rPr>
        <w:t>2014</w:t>
      </w:r>
      <w:r>
        <w:rPr>
          <w:rFonts w:hint="eastAsia" w:ascii="宋体" w:hAnsi="宋体"/>
          <w:sz w:val="24"/>
          <w:szCs w:val="24"/>
        </w:rPr>
        <w:t>年最高人民法院《关于人民法院直播录播庭审活动的规定》</w:t>
      </w:r>
    </w:p>
    <w:p>
      <w:pPr>
        <w:numPr>
          <w:ilvl w:val="0"/>
          <w:numId w:val="3"/>
        </w:numPr>
        <w:spacing w:line="360" w:lineRule="auto"/>
        <w:ind w:left="851"/>
        <w:rPr>
          <w:rFonts w:ascii="宋体" w:hAnsi="宋体"/>
          <w:sz w:val="24"/>
          <w:szCs w:val="24"/>
        </w:rPr>
      </w:pPr>
      <w:r>
        <w:rPr>
          <w:rFonts w:ascii="宋体" w:hAnsi="宋体"/>
          <w:sz w:val="24"/>
          <w:szCs w:val="24"/>
        </w:rPr>
        <w:t>2015</w:t>
      </w:r>
      <w:r>
        <w:rPr>
          <w:rFonts w:hint="eastAsia" w:ascii="宋体" w:hAnsi="宋体"/>
          <w:sz w:val="24"/>
          <w:szCs w:val="24"/>
        </w:rPr>
        <w:t>年</w:t>
      </w:r>
      <w:r>
        <w:rPr>
          <w:rFonts w:ascii="宋体" w:hAnsi="宋体"/>
          <w:sz w:val="24"/>
          <w:szCs w:val="24"/>
        </w:rPr>
        <w:t>3</w:t>
      </w:r>
      <w:r>
        <w:rPr>
          <w:rFonts w:hint="eastAsia" w:ascii="宋体" w:hAnsi="宋体"/>
          <w:sz w:val="24"/>
          <w:szCs w:val="24"/>
        </w:rPr>
        <w:t>月上海高院《上海法院高清审判法庭庭审系统建设规范》</w:t>
      </w:r>
    </w:p>
    <w:p>
      <w:pPr>
        <w:numPr>
          <w:ilvl w:val="0"/>
          <w:numId w:val="3"/>
        </w:numPr>
        <w:spacing w:line="360" w:lineRule="auto"/>
        <w:ind w:left="851"/>
        <w:rPr>
          <w:rFonts w:ascii="宋体" w:hAnsi="宋体"/>
          <w:sz w:val="24"/>
          <w:szCs w:val="24"/>
        </w:rPr>
      </w:pPr>
      <w:r>
        <w:rPr>
          <w:rFonts w:hint="eastAsia" w:ascii="宋体" w:hAnsi="宋体"/>
          <w:sz w:val="24"/>
          <w:szCs w:val="24"/>
        </w:rPr>
        <w:t>《上海高级人民法院庭审直播实时内容注入接口规范》</w:t>
      </w:r>
    </w:p>
    <w:p>
      <w:pPr>
        <w:numPr>
          <w:ilvl w:val="0"/>
          <w:numId w:val="3"/>
        </w:numPr>
        <w:spacing w:line="360" w:lineRule="auto"/>
        <w:ind w:left="851"/>
        <w:rPr>
          <w:rFonts w:ascii="宋体" w:hAnsi="宋体"/>
          <w:sz w:val="24"/>
          <w:szCs w:val="24"/>
        </w:rPr>
      </w:pPr>
      <w:r>
        <w:rPr>
          <w:rFonts w:ascii="宋体" w:hAnsi="宋体"/>
          <w:sz w:val="24"/>
          <w:szCs w:val="24"/>
        </w:rPr>
        <w:t>2014</w:t>
      </w:r>
      <w:r>
        <w:rPr>
          <w:rFonts w:hint="eastAsia" w:ascii="宋体" w:hAnsi="宋体"/>
          <w:sz w:val="24"/>
          <w:szCs w:val="24"/>
        </w:rPr>
        <w:t>年</w:t>
      </w:r>
      <w:r>
        <w:rPr>
          <w:rFonts w:ascii="宋体" w:hAnsi="宋体"/>
          <w:sz w:val="24"/>
          <w:szCs w:val="24"/>
        </w:rPr>
        <w:t>12</w:t>
      </w:r>
      <w:r>
        <w:rPr>
          <w:rFonts w:hint="eastAsia" w:ascii="宋体" w:hAnsi="宋体"/>
          <w:sz w:val="24"/>
          <w:szCs w:val="24"/>
        </w:rPr>
        <w:t>月最高院《人民法院科技法庭建设技术规范</w:t>
      </w:r>
      <w:r>
        <w:rPr>
          <w:rFonts w:ascii="宋体" w:hAnsi="宋体"/>
          <w:sz w:val="24"/>
          <w:szCs w:val="24"/>
        </w:rPr>
        <w:t>(</w:t>
      </w:r>
      <w:r>
        <w:rPr>
          <w:rFonts w:hint="eastAsia" w:ascii="宋体" w:hAnsi="宋体"/>
          <w:sz w:val="24"/>
          <w:szCs w:val="24"/>
        </w:rPr>
        <w:t>征求意见稿</w:t>
      </w:r>
      <w:r>
        <w:rPr>
          <w:rFonts w:ascii="宋体" w:hAnsi="宋体"/>
          <w:sz w:val="24"/>
          <w:szCs w:val="24"/>
        </w:rPr>
        <w:t>)</w:t>
      </w:r>
      <w:r>
        <w:rPr>
          <w:rFonts w:hint="eastAsia" w:ascii="宋体" w:hAnsi="宋体"/>
          <w:sz w:val="24"/>
          <w:szCs w:val="24"/>
        </w:rPr>
        <w:t>》</w:t>
      </w:r>
    </w:p>
    <w:p>
      <w:pPr>
        <w:numPr>
          <w:ilvl w:val="0"/>
          <w:numId w:val="3"/>
        </w:numPr>
        <w:spacing w:line="360" w:lineRule="auto"/>
        <w:ind w:left="851"/>
        <w:rPr>
          <w:rFonts w:ascii="宋体" w:hAnsi="宋体"/>
          <w:sz w:val="24"/>
          <w:szCs w:val="24"/>
        </w:rPr>
      </w:pPr>
      <w:r>
        <w:rPr>
          <w:rFonts w:hint="eastAsia" w:ascii="宋体" w:hAnsi="宋体"/>
          <w:sz w:val="24"/>
          <w:szCs w:val="24"/>
        </w:rPr>
        <w:t>《最高人民法院关于庭审活动录音录像的若干规定》（法发</w:t>
      </w:r>
      <w:r>
        <w:rPr>
          <w:rFonts w:ascii="宋体" w:hAnsi="宋体"/>
          <w:sz w:val="24"/>
          <w:szCs w:val="24"/>
        </w:rPr>
        <w:t>(2010)33</w:t>
      </w:r>
      <w:r>
        <w:rPr>
          <w:rFonts w:hint="eastAsia" w:ascii="宋体" w:hAnsi="宋体"/>
          <w:sz w:val="24"/>
          <w:szCs w:val="24"/>
        </w:rPr>
        <w:t>号）</w:t>
      </w:r>
    </w:p>
    <w:p>
      <w:pPr>
        <w:numPr>
          <w:ilvl w:val="0"/>
          <w:numId w:val="3"/>
        </w:numPr>
        <w:spacing w:line="360" w:lineRule="auto"/>
        <w:ind w:left="851"/>
        <w:rPr>
          <w:rFonts w:ascii="宋体" w:hAnsi="宋体"/>
          <w:sz w:val="24"/>
          <w:szCs w:val="24"/>
        </w:rPr>
      </w:pPr>
      <w:r>
        <w:rPr>
          <w:rFonts w:hint="eastAsia" w:ascii="宋体" w:hAnsi="宋体"/>
          <w:sz w:val="24"/>
          <w:szCs w:val="24"/>
        </w:rPr>
        <w:t>《人民法院审判法庭信息化基本要求》（法办发〔</w:t>
      </w:r>
      <w:r>
        <w:rPr>
          <w:rFonts w:ascii="宋体" w:hAnsi="宋体"/>
          <w:sz w:val="24"/>
          <w:szCs w:val="24"/>
        </w:rPr>
        <w:t>2011</w:t>
      </w:r>
      <w:r>
        <w:rPr>
          <w:rFonts w:hint="eastAsia" w:ascii="宋体" w:hAnsi="宋体"/>
          <w:sz w:val="24"/>
          <w:szCs w:val="24"/>
        </w:rPr>
        <w:t>〕</w:t>
      </w:r>
      <w:r>
        <w:rPr>
          <w:rFonts w:ascii="宋体" w:hAnsi="宋体"/>
          <w:sz w:val="24"/>
          <w:szCs w:val="24"/>
        </w:rPr>
        <w:t>18</w:t>
      </w:r>
      <w:r>
        <w:rPr>
          <w:rFonts w:hint="eastAsia" w:ascii="宋体" w:hAnsi="宋体"/>
          <w:sz w:val="24"/>
          <w:szCs w:val="24"/>
        </w:rPr>
        <w:t>号）</w:t>
      </w:r>
    </w:p>
    <w:p>
      <w:pPr>
        <w:numPr>
          <w:ilvl w:val="0"/>
          <w:numId w:val="3"/>
        </w:numPr>
        <w:spacing w:line="360" w:lineRule="auto"/>
        <w:ind w:left="851"/>
        <w:rPr>
          <w:rFonts w:ascii="宋体" w:hAnsi="宋体"/>
          <w:sz w:val="24"/>
          <w:szCs w:val="24"/>
        </w:rPr>
      </w:pPr>
      <w:r>
        <w:rPr>
          <w:rFonts w:hint="eastAsia" w:ascii="宋体" w:hAnsi="宋体"/>
          <w:sz w:val="24"/>
          <w:szCs w:val="24"/>
        </w:rPr>
        <w:t>《关于国家十二五期间人民法院司法行政工作发展规划纲要》（法</w:t>
      </w:r>
      <w:r>
        <w:rPr>
          <w:rFonts w:ascii="宋体" w:hAnsi="宋体"/>
          <w:sz w:val="24"/>
          <w:szCs w:val="24"/>
        </w:rPr>
        <w:t>[2011]188</w:t>
      </w:r>
      <w:r>
        <w:rPr>
          <w:rFonts w:hint="eastAsia" w:ascii="宋体" w:hAnsi="宋体"/>
          <w:sz w:val="24"/>
          <w:szCs w:val="24"/>
        </w:rPr>
        <w:t>号）</w:t>
      </w:r>
    </w:p>
    <w:p>
      <w:pPr>
        <w:numPr>
          <w:ilvl w:val="0"/>
          <w:numId w:val="3"/>
        </w:numPr>
        <w:spacing w:line="360" w:lineRule="auto"/>
        <w:ind w:left="851"/>
        <w:rPr>
          <w:rFonts w:ascii="宋体" w:hAnsi="宋体"/>
          <w:sz w:val="24"/>
          <w:szCs w:val="24"/>
        </w:rPr>
      </w:pPr>
      <w:r>
        <w:rPr>
          <w:rFonts w:hint="eastAsia" w:ascii="宋体" w:hAnsi="宋体"/>
          <w:sz w:val="24"/>
          <w:szCs w:val="24"/>
        </w:rPr>
        <w:t>沪高法</w:t>
      </w:r>
      <w:r>
        <w:rPr>
          <w:rFonts w:ascii="宋体" w:hAnsi="宋体"/>
          <w:sz w:val="24"/>
          <w:szCs w:val="24"/>
        </w:rPr>
        <w:t>[2016]102</w:t>
      </w:r>
      <w:r>
        <w:rPr>
          <w:rFonts w:hint="eastAsia" w:ascii="宋体" w:hAnsi="宋体"/>
          <w:sz w:val="24"/>
          <w:szCs w:val="24"/>
        </w:rPr>
        <w:t>《关于建设鉴定人远程质证系统的通知》</w:t>
      </w:r>
    </w:p>
    <w:p>
      <w:pPr>
        <w:pStyle w:val="23"/>
        <w:autoSpaceDE w:val="0"/>
        <w:autoSpaceDN w:val="0"/>
        <w:adjustRightInd w:val="0"/>
        <w:spacing w:line="360" w:lineRule="auto"/>
        <w:ind w:firstLine="480"/>
        <w:contextualSpacing/>
        <w:rPr>
          <w:rFonts w:ascii="宋体" w:hAnsi="宋体"/>
          <w:sz w:val="24"/>
          <w:szCs w:val="24"/>
        </w:rPr>
      </w:pPr>
      <w:r>
        <w:rPr>
          <w:rFonts w:hint="eastAsia" w:ascii="宋体" w:hAnsi="宋体"/>
          <w:sz w:val="24"/>
          <w:szCs w:val="24"/>
        </w:rPr>
        <w:t>本</w:t>
      </w:r>
      <w:r>
        <w:rPr>
          <w:rFonts w:ascii="宋体" w:hAnsi="宋体"/>
          <w:sz w:val="24"/>
          <w:szCs w:val="24"/>
        </w:rPr>
        <w:t>项目</w:t>
      </w:r>
      <w:r>
        <w:rPr>
          <w:rFonts w:hint="eastAsia" w:ascii="宋体" w:hAnsi="宋体"/>
          <w:sz w:val="24"/>
          <w:szCs w:val="24"/>
        </w:rPr>
        <w:t>应</w:t>
      </w:r>
      <w:r>
        <w:rPr>
          <w:rFonts w:ascii="宋体" w:hAnsi="宋体"/>
          <w:sz w:val="24"/>
          <w:szCs w:val="24"/>
        </w:rPr>
        <w:t>结合上海法院</w:t>
      </w:r>
      <w:r>
        <w:rPr>
          <w:rFonts w:hint="eastAsia" w:ascii="宋体" w:hAnsi="宋体"/>
          <w:sz w:val="24"/>
          <w:szCs w:val="24"/>
        </w:rPr>
        <w:t>审判业务</w:t>
      </w:r>
      <w:r>
        <w:rPr>
          <w:rFonts w:ascii="宋体" w:hAnsi="宋体"/>
          <w:sz w:val="24"/>
          <w:szCs w:val="24"/>
        </w:rPr>
        <w:t>管理系统</w:t>
      </w:r>
      <w:r>
        <w:rPr>
          <w:rFonts w:hint="eastAsia" w:ascii="宋体" w:hAnsi="宋体"/>
          <w:sz w:val="24"/>
          <w:szCs w:val="24"/>
        </w:rPr>
        <w:t>及上海法院庭审信息管理系统</w:t>
      </w:r>
      <w:r>
        <w:rPr>
          <w:rFonts w:ascii="宋体" w:hAnsi="宋体"/>
          <w:sz w:val="24"/>
          <w:szCs w:val="24"/>
        </w:rPr>
        <w:t>，建设完成后系统</w:t>
      </w:r>
      <w:r>
        <w:rPr>
          <w:rFonts w:hint="eastAsia" w:ascii="宋体" w:hAnsi="宋体"/>
          <w:sz w:val="24"/>
          <w:szCs w:val="24"/>
        </w:rPr>
        <w:t>需</w:t>
      </w:r>
      <w:r>
        <w:rPr>
          <w:rFonts w:ascii="宋体" w:hAnsi="宋体"/>
          <w:sz w:val="24"/>
          <w:szCs w:val="24"/>
        </w:rPr>
        <w:t>接入</w:t>
      </w:r>
      <w:r>
        <w:rPr>
          <w:rFonts w:hint="eastAsia" w:ascii="宋体" w:hAnsi="宋体"/>
          <w:sz w:val="24"/>
          <w:szCs w:val="24"/>
        </w:rPr>
        <w:t>本院</w:t>
      </w:r>
      <w:r>
        <w:rPr>
          <w:rFonts w:ascii="宋体" w:hAnsi="宋体"/>
          <w:sz w:val="24"/>
          <w:szCs w:val="24"/>
        </w:rPr>
        <w:t>审判管理及庭审管理平台</w:t>
      </w:r>
      <w:r>
        <w:rPr>
          <w:rFonts w:hint="eastAsia" w:ascii="宋体" w:hAnsi="宋体"/>
          <w:sz w:val="24"/>
          <w:szCs w:val="24"/>
        </w:rPr>
        <w:t>，</w:t>
      </w:r>
      <w:r>
        <w:rPr>
          <w:rFonts w:ascii="宋体" w:hAnsi="宋体"/>
          <w:sz w:val="24"/>
          <w:szCs w:val="24"/>
        </w:rPr>
        <w:t>实现实时获取开庭、闭庭、案件审核、刻录等信息用于查询、汇总、统计分析等</w:t>
      </w:r>
      <w:r>
        <w:rPr>
          <w:rFonts w:hint="eastAsia" w:ascii="宋体" w:hAnsi="宋体"/>
          <w:sz w:val="24"/>
          <w:szCs w:val="24"/>
        </w:rPr>
        <w:t>，同时新建</w:t>
      </w:r>
      <w:r>
        <w:rPr>
          <w:rFonts w:ascii="宋体" w:hAnsi="宋体"/>
          <w:sz w:val="24"/>
          <w:szCs w:val="24"/>
        </w:rPr>
        <w:t>系统需纳入到上海法院庭审</w:t>
      </w:r>
      <w:r>
        <w:rPr>
          <w:rFonts w:hint="eastAsia" w:ascii="宋体" w:hAnsi="宋体"/>
          <w:sz w:val="24"/>
          <w:szCs w:val="24"/>
        </w:rPr>
        <w:t>信息</w:t>
      </w:r>
      <w:r>
        <w:rPr>
          <w:rFonts w:ascii="宋体" w:hAnsi="宋体"/>
          <w:sz w:val="24"/>
          <w:szCs w:val="24"/>
        </w:rPr>
        <w:t>管理系统中，</w:t>
      </w:r>
      <w:r>
        <w:rPr>
          <w:rFonts w:hint="eastAsia" w:ascii="宋体" w:hAnsi="宋体"/>
          <w:sz w:val="24"/>
          <w:szCs w:val="24"/>
        </w:rPr>
        <w:t>授权用户</w:t>
      </w:r>
      <w:r>
        <w:rPr>
          <w:rFonts w:ascii="宋体" w:hAnsi="宋体"/>
          <w:sz w:val="24"/>
          <w:szCs w:val="24"/>
        </w:rPr>
        <w:t>可以</w:t>
      </w:r>
      <w:r>
        <w:rPr>
          <w:rFonts w:hint="eastAsia" w:ascii="宋体" w:hAnsi="宋体"/>
          <w:sz w:val="24"/>
          <w:szCs w:val="24"/>
        </w:rPr>
        <w:t>浏览</w:t>
      </w:r>
      <w:r>
        <w:rPr>
          <w:rFonts w:ascii="宋体" w:hAnsi="宋体"/>
          <w:sz w:val="24"/>
          <w:szCs w:val="24"/>
        </w:rPr>
        <w:t>高院</w:t>
      </w:r>
      <w:r>
        <w:rPr>
          <w:rFonts w:hint="eastAsia" w:ascii="宋体" w:hAnsi="宋体"/>
          <w:sz w:val="24"/>
          <w:szCs w:val="24"/>
        </w:rPr>
        <w:t>的</w:t>
      </w:r>
      <w:r>
        <w:rPr>
          <w:rFonts w:ascii="宋体" w:hAnsi="宋体"/>
          <w:sz w:val="24"/>
          <w:szCs w:val="24"/>
        </w:rPr>
        <w:t>庭审直播，</w:t>
      </w:r>
      <w:r>
        <w:rPr>
          <w:rFonts w:hint="eastAsia" w:ascii="宋体" w:hAnsi="宋体"/>
          <w:sz w:val="24"/>
          <w:szCs w:val="24"/>
        </w:rPr>
        <w:t>并实现</w:t>
      </w:r>
      <w:r>
        <w:rPr>
          <w:rFonts w:ascii="宋体" w:hAnsi="宋体"/>
          <w:sz w:val="24"/>
          <w:szCs w:val="24"/>
        </w:rPr>
        <w:t>高院</w:t>
      </w:r>
      <w:r>
        <w:rPr>
          <w:rFonts w:hint="eastAsia" w:ascii="宋体" w:hAnsi="宋体"/>
          <w:sz w:val="24"/>
          <w:szCs w:val="24"/>
        </w:rPr>
        <w:t>以往案件</w:t>
      </w:r>
      <w:r>
        <w:rPr>
          <w:rFonts w:ascii="宋体" w:hAnsi="宋体"/>
          <w:sz w:val="24"/>
          <w:szCs w:val="24"/>
        </w:rPr>
        <w:t>庭审录像</w:t>
      </w:r>
      <w:r>
        <w:rPr>
          <w:rFonts w:hint="eastAsia" w:ascii="宋体" w:hAnsi="宋体"/>
          <w:sz w:val="24"/>
          <w:szCs w:val="24"/>
        </w:rPr>
        <w:t>的</w:t>
      </w:r>
      <w:r>
        <w:rPr>
          <w:rFonts w:ascii="宋体" w:hAnsi="宋体"/>
          <w:sz w:val="24"/>
          <w:szCs w:val="24"/>
        </w:rPr>
        <w:t>点播。</w:t>
      </w:r>
    </w:p>
    <w:p>
      <w:pPr>
        <w:pStyle w:val="23"/>
        <w:autoSpaceDE w:val="0"/>
        <w:autoSpaceDN w:val="0"/>
        <w:adjustRightInd w:val="0"/>
        <w:spacing w:line="360" w:lineRule="auto"/>
        <w:ind w:firstLine="480"/>
        <w:contextualSpacing/>
        <w:rPr>
          <w:rFonts w:ascii="宋体" w:hAnsi="宋体"/>
          <w:sz w:val="24"/>
          <w:szCs w:val="24"/>
        </w:rPr>
      </w:pPr>
    </w:p>
    <w:p>
      <w:pPr>
        <w:pStyle w:val="3"/>
        <w:numPr>
          <w:ilvl w:val="0"/>
          <w:numId w:val="2"/>
        </w:numPr>
        <w:spacing w:before="0" w:after="0" w:line="360" w:lineRule="auto"/>
        <w:rPr>
          <w:rFonts w:ascii="宋体" w:hAnsi="宋体" w:eastAsia="宋体"/>
          <w:sz w:val="24"/>
          <w:szCs w:val="24"/>
        </w:rPr>
      </w:pPr>
      <w:r>
        <w:rPr>
          <w:rFonts w:hint="eastAsia" w:ascii="宋体" w:hAnsi="宋体" w:eastAsia="宋体"/>
          <w:sz w:val="24"/>
          <w:szCs w:val="24"/>
        </w:rPr>
        <w:t>建设目标</w:t>
      </w:r>
    </w:p>
    <w:p>
      <w:pPr>
        <w:spacing w:line="360" w:lineRule="auto"/>
        <w:ind w:firstLine="480" w:firstLineChars="200"/>
        <w:rPr>
          <w:rFonts w:ascii="宋体" w:hAnsi="宋体"/>
          <w:sz w:val="24"/>
          <w:szCs w:val="24"/>
        </w:rPr>
      </w:pPr>
      <w:r>
        <w:rPr>
          <w:rFonts w:hint="eastAsia" w:ascii="宋体" w:hAnsi="宋体"/>
          <w:sz w:val="24"/>
          <w:szCs w:val="24"/>
        </w:rPr>
        <w:t>上海市松江区人民法院庭审标准化录音录像系统（升级改造）以最高院和上海市法院相关技术规范为依据，结合自身的实际情况和具体需求，建设符合要求同时具备</w:t>
      </w:r>
      <w:r>
        <w:rPr>
          <w:rFonts w:ascii="宋体" w:hAnsi="宋体"/>
          <w:sz w:val="24"/>
          <w:szCs w:val="24"/>
        </w:rPr>
        <w:t>自身</w:t>
      </w:r>
      <w:r>
        <w:rPr>
          <w:rFonts w:hint="eastAsia" w:ascii="宋体" w:hAnsi="宋体"/>
          <w:sz w:val="24"/>
          <w:szCs w:val="24"/>
        </w:rPr>
        <w:t>技术</w:t>
      </w:r>
      <w:r>
        <w:rPr>
          <w:rFonts w:ascii="宋体" w:hAnsi="宋体"/>
          <w:sz w:val="24"/>
          <w:szCs w:val="24"/>
        </w:rPr>
        <w:t>特点</w:t>
      </w:r>
      <w:r>
        <w:rPr>
          <w:rFonts w:hint="eastAsia" w:ascii="宋体" w:hAnsi="宋体"/>
          <w:sz w:val="24"/>
          <w:szCs w:val="24"/>
        </w:rPr>
        <w:t>的高清庭审系统。</w:t>
      </w:r>
    </w:p>
    <w:p>
      <w:pPr>
        <w:widowControl/>
        <w:snapToGrid w:val="0"/>
        <w:spacing w:line="360" w:lineRule="auto"/>
        <w:jc w:val="left"/>
        <w:rPr>
          <w:rFonts w:ascii="宋体" w:hAnsi="宋体"/>
          <w:sz w:val="24"/>
          <w:szCs w:val="24"/>
        </w:rPr>
      </w:pPr>
    </w:p>
    <w:p>
      <w:pPr>
        <w:pStyle w:val="3"/>
        <w:numPr>
          <w:ilvl w:val="0"/>
          <w:numId w:val="2"/>
        </w:numPr>
        <w:spacing w:before="0" w:after="0" w:line="360" w:lineRule="auto"/>
        <w:rPr>
          <w:rFonts w:ascii="宋体" w:hAnsi="宋体" w:eastAsia="宋体"/>
          <w:sz w:val="24"/>
          <w:szCs w:val="24"/>
        </w:rPr>
      </w:pPr>
      <w:r>
        <w:rPr>
          <w:rFonts w:hint="eastAsia" w:ascii="宋体" w:hAnsi="宋体" w:eastAsia="宋体"/>
          <w:sz w:val="24"/>
          <w:szCs w:val="24"/>
        </w:rPr>
        <w:t>建设周期</w:t>
      </w:r>
    </w:p>
    <w:p>
      <w:pPr>
        <w:spacing w:line="360" w:lineRule="auto"/>
        <w:ind w:firstLine="420"/>
        <w:rPr>
          <w:rFonts w:ascii="宋体" w:hAnsi="宋体"/>
          <w:sz w:val="24"/>
          <w:szCs w:val="24"/>
        </w:rPr>
      </w:pPr>
      <w:r>
        <w:rPr>
          <w:rFonts w:hint="eastAsia" w:ascii="宋体" w:hAnsi="宋体"/>
          <w:sz w:val="24"/>
          <w:szCs w:val="24"/>
        </w:rPr>
        <w:t>自合同签订之日起120</w:t>
      </w:r>
      <w:r>
        <w:rPr>
          <w:rFonts w:ascii="宋体" w:hAnsi="宋体"/>
          <w:sz w:val="24"/>
          <w:szCs w:val="24"/>
        </w:rPr>
        <w:t>天内完成</w:t>
      </w:r>
      <w:r>
        <w:rPr>
          <w:rFonts w:hint="eastAsia" w:ascii="宋体" w:hAnsi="宋体"/>
          <w:sz w:val="24"/>
          <w:szCs w:val="24"/>
        </w:rPr>
        <w:t>项目建设并通过验收，其中包括30天的试运行</w:t>
      </w:r>
      <w:r>
        <w:rPr>
          <w:rFonts w:ascii="宋体" w:hAnsi="宋体"/>
          <w:sz w:val="24"/>
          <w:szCs w:val="24"/>
        </w:rPr>
        <w:t>。</w:t>
      </w:r>
    </w:p>
    <w:p>
      <w:pPr>
        <w:widowControl/>
        <w:snapToGrid w:val="0"/>
        <w:spacing w:line="360" w:lineRule="auto"/>
        <w:jc w:val="left"/>
        <w:rPr>
          <w:rFonts w:ascii="宋体" w:hAnsi="宋体"/>
          <w:sz w:val="24"/>
          <w:szCs w:val="24"/>
        </w:rPr>
      </w:pPr>
    </w:p>
    <w:p>
      <w:pPr>
        <w:pStyle w:val="3"/>
        <w:numPr>
          <w:ilvl w:val="0"/>
          <w:numId w:val="2"/>
        </w:numPr>
        <w:spacing w:before="0" w:after="0" w:line="360" w:lineRule="auto"/>
        <w:rPr>
          <w:rFonts w:ascii="宋体" w:hAnsi="宋体" w:eastAsia="宋体"/>
          <w:sz w:val="24"/>
          <w:szCs w:val="24"/>
        </w:rPr>
      </w:pPr>
      <w:r>
        <w:rPr>
          <w:rFonts w:hint="eastAsia" w:ascii="宋体" w:hAnsi="宋体" w:eastAsia="宋体"/>
          <w:sz w:val="24"/>
          <w:szCs w:val="24"/>
        </w:rPr>
        <w:t>系统建设总体要求</w:t>
      </w:r>
    </w:p>
    <w:p>
      <w:pPr>
        <w:pStyle w:val="6"/>
        <w:spacing w:line="360" w:lineRule="auto"/>
        <w:ind w:firstLineChars="175"/>
        <w:rPr>
          <w:rFonts w:ascii="宋体" w:hAnsi="宋体"/>
          <w:sz w:val="24"/>
          <w:szCs w:val="24"/>
        </w:rPr>
      </w:pPr>
      <w:r>
        <w:rPr>
          <w:rFonts w:hint="eastAsia" w:ascii="宋体" w:hAnsi="宋体"/>
          <w:sz w:val="24"/>
          <w:szCs w:val="24"/>
        </w:rPr>
        <w:t>保证业务连续性为基本思路，构造一个稳定安全、运行高效可靠、使用和维护方便、易于扩展、先进开放和性能价格比优良的松江法院高清庭审系统。</w:t>
      </w:r>
    </w:p>
    <w:p>
      <w:pPr>
        <w:pStyle w:val="6"/>
        <w:widowControl/>
        <w:spacing w:line="360" w:lineRule="auto"/>
        <w:ind w:firstLine="420" w:firstLineChars="175"/>
        <w:rPr>
          <w:rFonts w:ascii="宋体" w:hAnsi="宋体" w:cs="宋体"/>
          <w:b/>
          <w:bCs/>
          <w:color w:val="FF0000"/>
          <w:kern w:val="0"/>
          <w:sz w:val="24"/>
          <w:szCs w:val="24"/>
        </w:rPr>
      </w:pPr>
      <w:r>
        <w:rPr>
          <w:rFonts w:hint="eastAsia" w:ascii="宋体" w:hAnsi="宋体"/>
          <w:sz w:val="24"/>
          <w:szCs w:val="24"/>
        </w:rPr>
        <w:t>制定适合本项目的集成方案，进行安装实施、调试及测试演练，系统须达到验收要求，并负责投报产品和系统的售后维护工作。</w:t>
      </w:r>
    </w:p>
    <w:p>
      <w:pPr>
        <w:widowControl/>
        <w:snapToGrid w:val="0"/>
        <w:spacing w:line="360" w:lineRule="auto"/>
        <w:jc w:val="left"/>
        <w:rPr>
          <w:rFonts w:ascii="宋体" w:hAnsi="宋体"/>
          <w:sz w:val="24"/>
          <w:szCs w:val="24"/>
        </w:rPr>
      </w:pPr>
    </w:p>
    <w:p>
      <w:pPr>
        <w:pStyle w:val="3"/>
        <w:numPr>
          <w:ilvl w:val="0"/>
          <w:numId w:val="2"/>
        </w:numPr>
        <w:snapToGrid w:val="0"/>
        <w:spacing w:before="0" w:after="0" w:line="360" w:lineRule="auto"/>
        <w:rPr>
          <w:rFonts w:ascii="宋体" w:hAnsi="宋体" w:eastAsia="宋体"/>
          <w:sz w:val="24"/>
          <w:szCs w:val="24"/>
        </w:rPr>
      </w:pPr>
      <w:r>
        <w:rPr>
          <w:rFonts w:hint="eastAsia" w:ascii="宋体" w:hAnsi="宋体" w:eastAsia="宋体"/>
          <w:sz w:val="24"/>
          <w:szCs w:val="24"/>
        </w:rPr>
        <w:t>建设内容</w:t>
      </w:r>
    </w:p>
    <w:p>
      <w:pPr>
        <w:spacing w:line="360" w:lineRule="auto"/>
        <w:ind w:firstLine="480" w:firstLineChars="200"/>
        <w:rPr>
          <w:rFonts w:ascii="宋体" w:hAnsi="宋体"/>
          <w:sz w:val="24"/>
          <w:szCs w:val="24"/>
        </w:rPr>
      </w:pPr>
      <w:r>
        <w:rPr>
          <w:rFonts w:hint="eastAsia" w:ascii="宋体" w:hAnsi="宋体"/>
          <w:sz w:val="24"/>
          <w:szCs w:val="24"/>
        </w:rPr>
        <w:t>根据松江法院的实际需求，本次建设的内容主要包括以下三个部分：</w:t>
      </w:r>
    </w:p>
    <w:p>
      <w:pPr>
        <w:spacing w:line="360" w:lineRule="auto"/>
        <w:ind w:firstLine="482" w:firstLineChars="200"/>
        <w:rPr>
          <w:rFonts w:ascii="宋体" w:hAnsi="宋体"/>
          <w:b/>
          <w:bCs/>
          <w:sz w:val="24"/>
          <w:szCs w:val="24"/>
        </w:rPr>
      </w:pPr>
      <w:r>
        <w:rPr>
          <w:rFonts w:hint="eastAsia" w:ascii="宋体" w:hAnsi="宋体"/>
          <w:b/>
          <w:bCs/>
          <w:sz w:val="24"/>
          <w:szCs w:val="24"/>
        </w:rPr>
        <w:t>1、法庭庭审系统升级改造</w:t>
      </w:r>
    </w:p>
    <w:p>
      <w:pPr>
        <w:spacing w:line="360" w:lineRule="auto"/>
        <w:ind w:firstLine="480" w:firstLineChars="200"/>
        <w:rPr>
          <w:rFonts w:ascii="宋体" w:hAnsi="宋体"/>
          <w:sz w:val="24"/>
          <w:szCs w:val="24"/>
        </w:rPr>
      </w:pPr>
      <w:r>
        <w:rPr>
          <w:rFonts w:hint="eastAsia" w:ascii="宋体" w:hAnsi="宋体"/>
          <w:sz w:val="24"/>
          <w:szCs w:val="24"/>
        </w:rPr>
        <w:t>本次项目拟在松江法院院本部建设4间民事法庭、G60科创走廊建设1间示范民事法庭、在浦南法庭建设3间民事法庭，</w:t>
      </w:r>
      <w:r>
        <w:rPr>
          <w:rFonts w:hint="eastAsia" w:ascii="宋体" w:hAnsi="宋体"/>
          <w:sz w:val="24"/>
        </w:rPr>
        <w:t>共新建8套4K高清科技民事法庭庭审系统，</w:t>
      </w:r>
      <w:r>
        <w:rPr>
          <w:rFonts w:hint="eastAsia" w:ascii="宋体" w:hAnsi="宋体"/>
          <w:sz w:val="24"/>
          <w:szCs w:val="24"/>
        </w:rPr>
        <w:t>本次建设的系统主要包括但不限于以下内容：</w:t>
      </w:r>
    </w:p>
    <w:p>
      <w:pPr>
        <w:spacing w:line="360" w:lineRule="auto"/>
        <w:ind w:firstLine="420"/>
        <w:rPr>
          <w:rFonts w:ascii="宋体" w:hAnsi="宋体"/>
          <w:sz w:val="24"/>
        </w:rPr>
      </w:pPr>
      <w:r>
        <w:rPr>
          <w:rFonts w:hint="eastAsia" w:ascii="宋体" w:hAnsi="宋体"/>
          <w:sz w:val="24"/>
        </w:rPr>
        <w:t>1)视频采集处理系统（院本部4间、浦南法庭3间、G60示范法庭1间建设）</w:t>
      </w:r>
    </w:p>
    <w:p>
      <w:pPr>
        <w:spacing w:line="360" w:lineRule="auto"/>
        <w:ind w:firstLine="420"/>
        <w:rPr>
          <w:rFonts w:ascii="宋体" w:hAnsi="宋体"/>
          <w:sz w:val="24"/>
        </w:rPr>
      </w:pPr>
      <w:r>
        <w:rPr>
          <w:rFonts w:hint="eastAsia" w:ascii="宋体" w:hAnsi="宋体"/>
          <w:sz w:val="24"/>
        </w:rPr>
        <w:t>2)音频采集处理系统（院本部4间、浦南法庭3间、G60示范法庭1间建设）</w:t>
      </w:r>
    </w:p>
    <w:p>
      <w:pPr>
        <w:spacing w:line="360" w:lineRule="auto"/>
        <w:ind w:firstLine="420"/>
        <w:rPr>
          <w:rFonts w:ascii="宋体" w:hAnsi="宋体"/>
          <w:sz w:val="24"/>
        </w:rPr>
      </w:pPr>
      <w:r>
        <w:rPr>
          <w:rFonts w:hint="eastAsia" w:ascii="宋体" w:hAnsi="宋体"/>
          <w:sz w:val="24"/>
        </w:rPr>
        <w:t>3)庭审辅助系统（院本部4间、浦南法庭3间、G60示范法庭1间建设）</w:t>
      </w:r>
    </w:p>
    <w:p>
      <w:pPr>
        <w:spacing w:line="360" w:lineRule="auto"/>
        <w:ind w:firstLine="420"/>
        <w:rPr>
          <w:rFonts w:ascii="宋体" w:hAnsi="宋体"/>
          <w:sz w:val="24"/>
        </w:rPr>
      </w:pPr>
      <w:r>
        <w:rPr>
          <w:rFonts w:hint="eastAsia" w:ascii="宋体" w:hAnsi="宋体"/>
          <w:sz w:val="24"/>
        </w:rPr>
        <w:t>4)高清示证系统（G60示范法庭1间建设）</w:t>
      </w:r>
    </w:p>
    <w:p>
      <w:pPr>
        <w:spacing w:line="360" w:lineRule="auto"/>
        <w:ind w:firstLine="420"/>
        <w:rPr>
          <w:rFonts w:ascii="宋体" w:hAnsi="宋体"/>
          <w:sz w:val="24"/>
        </w:rPr>
      </w:pPr>
      <w:r>
        <w:rPr>
          <w:rFonts w:hint="eastAsia" w:ascii="宋体" w:hAnsi="宋体"/>
          <w:sz w:val="24"/>
        </w:rPr>
        <w:t>5)公告屏系统（浦南法庭3间、G60示范法庭1间建设）</w:t>
      </w:r>
    </w:p>
    <w:p>
      <w:pPr>
        <w:spacing w:line="360" w:lineRule="auto"/>
        <w:ind w:firstLine="420"/>
        <w:rPr>
          <w:rFonts w:ascii="宋体" w:hAnsi="宋体"/>
          <w:sz w:val="24"/>
        </w:rPr>
      </w:pPr>
      <w:r>
        <w:rPr>
          <w:rFonts w:hint="eastAsia" w:ascii="宋体" w:hAnsi="宋体"/>
          <w:sz w:val="24"/>
        </w:rPr>
        <w:t>6)法庭电子席位系统（G60示范法庭1间建设）</w:t>
      </w:r>
    </w:p>
    <w:p>
      <w:pPr>
        <w:spacing w:line="360" w:lineRule="auto"/>
        <w:ind w:firstLine="420"/>
        <w:rPr>
          <w:rFonts w:ascii="宋体" w:hAnsi="宋体"/>
          <w:sz w:val="24"/>
        </w:rPr>
      </w:pPr>
      <w:r>
        <w:rPr>
          <w:rFonts w:hint="eastAsia" w:ascii="宋体" w:hAnsi="宋体"/>
          <w:sz w:val="24"/>
        </w:rPr>
        <w:t>7)语音转换系统（G60示范法庭1间建设）</w:t>
      </w:r>
    </w:p>
    <w:p>
      <w:pPr>
        <w:spacing w:line="360" w:lineRule="auto"/>
        <w:ind w:firstLine="420"/>
        <w:rPr>
          <w:rFonts w:ascii="宋体" w:hAnsi="宋体"/>
          <w:sz w:val="24"/>
        </w:rPr>
      </w:pPr>
      <w:r>
        <w:rPr>
          <w:rFonts w:hint="eastAsia" w:ascii="宋体" w:hAnsi="宋体"/>
          <w:sz w:val="24"/>
        </w:rPr>
        <w:t>8)在线庭审系统（G60示范法庭1间建设）</w:t>
      </w:r>
    </w:p>
    <w:p>
      <w:pPr>
        <w:spacing w:line="360" w:lineRule="auto"/>
        <w:ind w:firstLine="420"/>
        <w:rPr>
          <w:rFonts w:ascii="宋体" w:hAnsi="宋体"/>
          <w:sz w:val="24"/>
        </w:rPr>
      </w:pPr>
      <w:r>
        <w:rPr>
          <w:rFonts w:hint="eastAsia" w:ascii="宋体" w:hAnsi="宋体"/>
          <w:sz w:val="24"/>
        </w:rPr>
        <w:t>9)其它配套设备（G60示范法庭1间建设）</w:t>
      </w:r>
    </w:p>
    <w:p>
      <w:pPr>
        <w:spacing w:line="360" w:lineRule="auto"/>
        <w:ind w:firstLine="420" w:firstLineChars="0"/>
        <w:rPr>
          <w:rFonts w:ascii="宋体" w:hAnsi="宋体"/>
          <w:sz w:val="24"/>
        </w:rPr>
      </w:pPr>
      <w:r>
        <w:rPr>
          <w:rFonts w:hint="eastAsia" w:ascii="宋体" w:hAnsi="宋体" w:eastAsia="宋体"/>
          <w:color w:val="auto"/>
          <w:sz w:val="24"/>
          <w:szCs w:val="21"/>
        </w:rPr>
        <w:t>应提供针对本项目完整的庭审系统技术方案及相关材料，包括不限于系统截图、技术白皮书等。</w:t>
      </w:r>
    </w:p>
    <w:p>
      <w:pPr>
        <w:spacing w:line="360" w:lineRule="auto"/>
        <w:ind w:firstLine="420" w:firstLineChars="0"/>
        <w:rPr>
          <w:rFonts w:ascii="宋体" w:hAnsi="宋体" w:eastAsia="宋体"/>
          <w:color w:val="auto"/>
          <w:sz w:val="24"/>
          <w:szCs w:val="21"/>
        </w:rPr>
      </w:pPr>
    </w:p>
    <w:p>
      <w:pPr>
        <w:spacing w:line="360" w:lineRule="auto"/>
        <w:ind w:firstLine="482" w:firstLineChars="200"/>
        <w:rPr>
          <w:rFonts w:ascii="宋体" w:hAnsi="宋体"/>
          <w:b/>
          <w:bCs/>
          <w:sz w:val="24"/>
          <w:szCs w:val="24"/>
        </w:rPr>
      </w:pPr>
      <w:r>
        <w:rPr>
          <w:rFonts w:hint="eastAsia" w:ascii="宋体" w:hAnsi="宋体"/>
          <w:b/>
          <w:bCs/>
          <w:sz w:val="24"/>
          <w:szCs w:val="24"/>
        </w:rPr>
        <w:t>2、庭审存储备系统系统升级改造</w:t>
      </w:r>
    </w:p>
    <w:p>
      <w:pPr>
        <w:spacing w:line="360" w:lineRule="auto"/>
        <w:ind w:firstLine="420"/>
        <w:rPr>
          <w:rFonts w:ascii="宋体" w:hAnsi="宋体"/>
          <w:sz w:val="24"/>
        </w:rPr>
      </w:pPr>
      <w:r>
        <w:rPr>
          <w:rFonts w:ascii="宋体" w:hAnsi="宋体"/>
          <w:sz w:val="24"/>
          <w:szCs w:val="24"/>
        </w:rPr>
        <w:t>新增3个</w:t>
      </w:r>
      <w:r>
        <w:rPr>
          <w:rFonts w:hint="eastAsia" w:ascii="宋体" w:hAnsi="宋体"/>
          <w:sz w:val="24"/>
          <w:szCs w:val="24"/>
        </w:rPr>
        <w:t>分布式</w:t>
      </w:r>
      <w:r>
        <w:rPr>
          <w:rFonts w:ascii="宋体" w:hAnsi="宋体"/>
          <w:sz w:val="24"/>
          <w:szCs w:val="24"/>
        </w:rPr>
        <w:t>存储节点</w:t>
      </w:r>
      <w:r>
        <w:rPr>
          <w:rFonts w:ascii="宋体" w:hAnsi="宋体"/>
          <w:sz w:val="24"/>
        </w:rPr>
        <w:t>，与原存储系统无缝兼容，实现扩容</w:t>
      </w:r>
      <w:r>
        <w:rPr>
          <w:rFonts w:hint="eastAsia" w:ascii="宋体" w:hAnsi="宋体"/>
          <w:sz w:val="24"/>
        </w:rPr>
        <w:t>裸</w:t>
      </w:r>
      <w:r>
        <w:rPr>
          <w:rFonts w:ascii="宋体" w:hAnsi="宋体"/>
          <w:sz w:val="24"/>
        </w:rPr>
        <w:t>容量</w:t>
      </w:r>
      <w:r>
        <w:rPr>
          <w:rFonts w:hint="eastAsia" w:ascii="宋体" w:hAnsi="宋体"/>
          <w:sz w:val="24"/>
        </w:rPr>
        <w:t>不低于400</w:t>
      </w:r>
      <w:r>
        <w:rPr>
          <w:rFonts w:ascii="宋体" w:hAnsi="宋体"/>
          <w:sz w:val="24"/>
        </w:rPr>
        <w:t>TB。</w:t>
      </w:r>
    </w:p>
    <w:p>
      <w:pPr>
        <w:spacing w:line="360" w:lineRule="auto"/>
        <w:ind w:firstLine="420"/>
        <w:rPr>
          <w:rFonts w:ascii="宋体" w:hAnsi="宋体"/>
          <w:sz w:val="24"/>
        </w:rPr>
      </w:pPr>
      <w:r>
        <w:rPr>
          <w:rFonts w:hint="eastAsia" w:ascii="宋体" w:hAnsi="宋体"/>
          <w:sz w:val="24"/>
        </w:rPr>
        <w:t>本次新增加的存储节点</w:t>
      </w:r>
      <w:r>
        <w:rPr>
          <w:rFonts w:ascii="宋体" w:hAnsi="宋体"/>
          <w:sz w:val="24"/>
        </w:rPr>
        <w:t>，与原存储节点合成统一的存储系统，与现有的存储交换机通过万兆链路连接构成统一的存储网络，并与庭审网络连接，实现庭审流媒体服务器按需对原存储的资源池与新增存储的资源池读写的需求。</w:t>
      </w:r>
    </w:p>
    <w:p>
      <w:pPr>
        <w:spacing w:line="360" w:lineRule="auto"/>
        <w:ind w:firstLine="420"/>
        <w:rPr>
          <w:rFonts w:ascii="宋体" w:hAnsi="宋体"/>
        </w:rPr>
      </w:pPr>
      <w:r>
        <w:rPr>
          <w:rFonts w:hint="eastAsia" w:ascii="宋体" w:hAnsi="宋体"/>
          <w:sz w:val="24"/>
          <w:szCs w:val="24"/>
        </w:rPr>
        <w:t>升级庭审存储管理平台，对新增节点与原节点进行统一管理，包括设备配置管理、运行状态监测、资源配置管理等。</w:t>
      </w:r>
    </w:p>
    <w:p>
      <w:pPr>
        <w:tabs>
          <w:tab w:val="left" w:pos="7770"/>
        </w:tabs>
        <w:snapToGrid w:val="0"/>
        <w:spacing w:line="360" w:lineRule="auto"/>
        <w:ind w:firstLine="480" w:firstLineChars="200"/>
        <w:rPr>
          <w:rFonts w:ascii="宋体" w:hAnsi="宋体"/>
          <w:b w:val="0"/>
          <w:color w:val="auto"/>
          <w:sz w:val="24"/>
        </w:rPr>
      </w:pPr>
      <w:r>
        <w:rPr>
          <w:rFonts w:hint="eastAsia" w:ascii="宋体" w:hAnsi="宋体"/>
          <w:b w:val="0"/>
          <w:color w:val="auto"/>
          <w:sz w:val="24"/>
        </w:rPr>
        <w:t>供应商需提供所投报产品相关技术参数的证明材料，如产品界面截图、产品彩页、产品说明书、产品白皮书或第三方检测机构出具的检测报告等证明材料。关键技术指标要求不低于下表：</w:t>
      </w:r>
    </w:p>
    <w:p>
      <w:pPr>
        <w:tabs>
          <w:tab w:val="left" w:pos="7770"/>
        </w:tabs>
        <w:snapToGrid w:val="0"/>
        <w:spacing w:line="360" w:lineRule="auto"/>
        <w:ind w:firstLine="482" w:firstLineChars="200"/>
        <w:rPr>
          <w:rFonts w:ascii="宋体" w:hAnsi="宋体"/>
          <w:b/>
          <w:sz w:val="24"/>
        </w:rPr>
      </w:pPr>
      <w:r>
        <w:rPr>
          <w:rFonts w:hint="eastAsia" w:ascii="宋体" w:hAnsi="宋体"/>
          <w:b/>
          <w:sz w:val="24"/>
        </w:rPr>
        <w:t>1、基础测试平台</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2693"/>
        <w:gridCol w:w="3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47" w:type="dxa"/>
          </w:tcPr>
          <w:p>
            <w:pPr>
              <w:tabs>
                <w:tab w:val="left" w:pos="7770"/>
              </w:tabs>
              <w:snapToGrid w:val="0"/>
              <w:spacing w:line="360" w:lineRule="auto"/>
              <w:jc w:val="center"/>
              <w:rPr>
                <w:rFonts w:ascii="宋体" w:hAnsi="宋体"/>
                <w:b/>
                <w:szCs w:val="21"/>
              </w:rPr>
            </w:pPr>
            <w:r>
              <w:rPr>
                <w:rFonts w:hint="eastAsia" w:ascii="宋体" w:hAnsi="宋体"/>
                <w:b/>
                <w:szCs w:val="21"/>
              </w:rPr>
              <w:t>副本模式</w:t>
            </w:r>
          </w:p>
        </w:tc>
        <w:tc>
          <w:tcPr>
            <w:tcW w:w="2693" w:type="dxa"/>
          </w:tcPr>
          <w:p>
            <w:pPr>
              <w:tabs>
                <w:tab w:val="left" w:pos="7770"/>
              </w:tabs>
              <w:snapToGrid w:val="0"/>
              <w:spacing w:line="360" w:lineRule="auto"/>
              <w:jc w:val="center"/>
              <w:rPr>
                <w:rFonts w:ascii="宋体" w:hAnsi="宋体"/>
                <w:b/>
                <w:szCs w:val="21"/>
              </w:rPr>
            </w:pPr>
            <w:r>
              <w:rPr>
                <w:rFonts w:hint="eastAsia" w:ascii="宋体" w:hAnsi="宋体"/>
                <w:b/>
                <w:szCs w:val="21"/>
              </w:rPr>
              <w:t>业务网络</w:t>
            </w:r>
          </w:p>
        </w:tc>
        <w:tc>
          <w:tcPr>
            <w:tcW w:w="3056" w:type="dxa"/>
          </w:tcPr>
          <w:p>
            <w:pPr>
              <w:tabs>
                <w:tab w:val="left" w:pos="7770"/>
              </w:tabs>
              <w:snapToGrid w:val="0"/>
              <w:spacing w:line="360" w:lineRule="auto"/>
              <w:jc w:val="center"/>
              <w:rPr>
                <w:rFonts w:ascii="宋体" w:hAnsi="宋体"/>
                <w:b/>
                <w:szCs w:val="21"/>
              </w:rPr>
            </w:pPr>
            <w:r>
              <w:rPr>
                <w:rFonts w:hint="eastAsia" w:ascii="宋体" w:hAnsi="宋体"/>
                <w:b/>
                <w:szCs w:val="21"/>
              </w:rPr>
              <w:t>存储网络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47" w:type="dxa"/>
          </w:tcPr>
          <w:p>
            <w:pPr>
              <w:tabs>
                <w:tab w:val="left" w:pos="7770"/>
              </w:tabs>
              <w:snapToGrid w:val="0"/>
              <w:spacing w:line="360" w:lineRule="auto"/>
              <w:jc w:val="center"/>
              <w:rPr>
                <w:rFonts w:ascii="宋体" w:hAnsi="宋体"/>
                <w:bCs/>
                <w:szCs w:val="21"/>
              </w:rPr>
            </w:pPr>
            <w:r>
              <w:rPr>
                <w:rFonts w:hint="eastAsia" w:ascii="宋体" w:hAnsi="宋体"/>
                <w:bCs/>
                <w:szCs w:val="21"/>
              </w:rPr>
              <w:t>三副本</w:t>
            </w:r>
          </w:p>
        </w:tc>
        <w:tc>
          <w:tcPr>
            <w:tcW w:w="2693" w:type="dxa"/>
          </w:tcPr>
          <w:p>
            <w:pPr>
              <w:tabs>
                <w:tab w:val="left" w:pos="7770"/>
              </w:tabs>
              <w:snapToGrid w:val="0"/>
              <w:spacing w:line="360" w:lineRule="auto"/>
              <w:jc w:val="center"/>
              <w:rPr>
                <w:rFonts w:ascii="宋体" w:hAnsi="宋体"/>
                <w:bCs/>
                <w:szCs w:val="21"/>
              </w:rPr>
            </w:pPr>
            <w:r>
              <w:rPr>
                <w:rFonts w:hint="eastAsia" w:ascii="宋体" w:hAnsi="宋体"/>
                <w:bCs/>
                <w:szCs w:val="21"/>
              </w:rPr>
              <w:t>1</w:t>
            </w:r>
            <w:r>
              <w:rPr>
                <w:rFonts w:ascii="宋体" w:hAnsi="宋体"/>
                <w:bCs/>
                <w:szCs w:val="21"/>
              </w:rPr>
              <w:t>G</w:t>
            </w:r>
            <w:r>
              <w:rPr>
                <w:rFonts w:hint="eastAsia" w:ascii="宋体" w:hAnsi="宋体"/>
                <w:bCs/>
                <w:szCs w:val="21"/>
              </w:rPr>
              <w:t>E</w:t>
            </w:r>
          </w:p>
        </w:tc>
        <w:tc>
          <w:tcPr>
            <w:tcW w:w="3056" w:type="dxa"/>
          </w:tcPr>
          <w:p>
            <w:pPr>
              <w:tabs>
                <w:tab w:val="left" w:pos="7770"/>
              </w:tabs>
              <w:snapToGrid w:val="0"/>
              <w:spacing w:line="360" w:lineRule="auto"/>
              <w:jc w:val="center"/>
              <w:rPr>
                <w:rFonts w:ascii="宋体" w:hAnsi="宋体"/>
                <w:bCs/>
                <w:szCs w:val="21"/>
              </w:rPr>
            </w:pPr>
            <w:r>
              <w:rPr>
                <w:rFonts w:ascii="宋体" w:hAnsi="宋体"/>
                <w:bCs/>
                <w:szCs w:val="21"/>
              </w:rPr>
              <w:t>10G</w:t>
            </w:r>
            <w:r>
              <w:rPr>
                <w:rFonts w:hint="eastAsia" w:ascii="宋体" w:hAnsi="宋体"/>
                <w:bCs/>
                <w:szCs w:val="21"/>
              </w:rPr>
              <w:t>E</w:t>
            </w:r>
          </w:p>
        </w:tc>
      </w:tr>
    </w:tbl>
    <w:p>
      <w:pPr>
        <w:tabs>
          <w:tab w:val="left" w:pos="7770"/>
        </w:tabs>
        <w:snapToGrid w:val="0"/>
        <w:spacing w:line="360" w:lineRule="auto"/>
        <w:ind w:firstLine="482" w:firstLineChars="200"/>
        <w:rPr>
          <w:rFonts w:ascii="宋体" w:hAnsi="宋体"/>
          <w:b/>
          <w:sz w:val="24"/>
        </w:rPr>
      </w:pPr>
      <w:r>
        <w:rPr>
          <w:rFonts w:hint="eastAsia" w:ascii="宋体" w:hAnsi="宋体"/>
          <w:b/>
          <w:sz w:val="24"/>
        </w:rPr>
        <w:t>2、关键技术指标要求</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321"/>
        <w:gridCol w:w="2790"/>
        <w:gridCol w:w="3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6" w:type="dxa"/>
          </w:tcPr>
          <w:p>
            <w:pPr>
              <w:tabs>
                <w:tab w:val="left" w:pos="7770"/>
              </w:tabs>
              <w:snapToGrid w:val="0"/>
              <w:spacing w:line="360" w:lineRule="auto"/>
              <w:rPr>
                <w:rFonts w:ascii="宋体" w:hAnsi="宋体"/>
                <w:b/>
                <w:szCs w:val="21"/>
              </w:rPr>
            </w:pPr>
            <w:r>
              <w:rPr>
                <w:rFonts w:hint="eastAsia" w:ascii="宋体" w:hAnsi="宋体"/>
                <w:b/>
                <w:szCs w:val="21"/>
              </w:rPr>
              <w:t>序号</w:t>
            </w:r>
          </w:p>
        </w:tc>
        <w:tc>
          <w:tcPr>
            <w:tcW w:w="1321" w:type="dxa"/>
          </w:tcPr>
          <w:p>
            <w:pPr>
              <w:tabs>
                <w:tab w:val="left" w:pos="7770"/>
              </w:tabs>
              <w:snapToGrid w:val="0"/>
              <w:spacing w:line="360" w:lineRule="auto"/>
              <w:rPr>
                <w:rFonts w:ascii="宋体" w:hAnsi="宋体"/>
                <w:b/>
                <w:szCs w:val="21"/>
              </w:rPr>
            </w:pPr>
            <w:r>
              <w:rPr>
                <w:rFonts w:hint="eastAsia" w:ascii="宋体" w:hAnsi="宋体"/>
                <w:b/>
                <w:szCs w:val="21"/>
              </w:rPr>
              <w:t>测试项目</w:t>
            </w:r>
          </w:p>
        </w:tc>
        <w:tc>
          <w:tcPr>
            <w:tcW w:w="2790" w:type="dxa"/>
          </w:tcPr>
          <w:p>
            <w:pPr>
              <w:tabs>
                <w:tab w:val="left" w:pos="7770"/>
              </w:tabs>
              <w:snapToGrid w:val="0"/>
              <w:spacing w:line="360" w:lineRule="auto"/>
              <w:rPr>
                <w:rFonts w:ascii="宋体" w:hAnsi="宋体"/>
                <w:b/>
                <w:szCs w:val="21"/>
              </w:rPr>
            </w:pPr>
            <w:r>
              <w:rPr>
                <w:rFonts w:hint="eastAsia" w:ascii="宋体" w:hAnsi="宋体"/>
                <w:b/>
                <w:szCs w:val="21"/>
              </w:rPr>
              <w:t>测试内容</w:t>
            </w:r>
          </w:p>
        </w:tc>
        <w:tc>
          <w:tcPr>
            <w:tcW w:w="3339" w:type="dxa"/>
          </w:tcPr>
          <w:p>
            <w:pPr>
              <w:tabs>
                <w:tab w:val="left" w:pos="7770"/>
              </w:tabs>
              <w:snapToGrid w:val="0"/>
              <w:spacing w:line="360" w:lineRule="auto"/>
              <w:rPr>
                <w:rFonts w:ascii="宋体" w:hAnsi="宋体"/>
                <w:b/>
                <w:szCs w:val="21"/>
              </w:rPr>
            </w:pPr>
            <w:r>
              <w:rPr>
                <w:rFonts w:hint="eastAsia" w:ascii="宋体" w:hAnsi="宋体"/>
                <w:b/>
                <w:szCs w:val="21"/>
              </w:rPr>
              <w:t>测试要求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6" w:type="dxa"/>
          </w:tcPr>
          <w:p>
            <w:pPr>
              <w:pStyle w:val="46"/>
              <w:jc w:val="center"/>
              <w:rPr>
                <w:rFonts w:ascii="宋体" w:hAnsi="宋体" w:eastAsia="宋体"/>
                <w:sz w:val="21"/>
                <w:szCs w:val="21"/>
              </w:rPr>
            </w:pPr>
            <w:r>
              <w:rPr>
                <w:rFonts w:hint="eastAsia" w:ascii="宋体" w:hAnsi="宋体" w:eastAsia="宋体"/>
                <w:sz w:val="21"/>
                <w:szCs w:val="21"/>
              </w:rPr>
              <w:t>1</w:t>
            </w:r>
          </w:p>
        </w:tc>
        <w:tc>
          <w:tcPr>
            <w:tcW w:w="1321" w:type="dxa"/>
          </w:tcPr>
          <w:p>
            <w:pPr>
              <w:pStyle w:val="46"/>
              <w:jc w:val="both"/>
              <w:rPr>
                <w:rFonts w:ascii="宋体" w:hAnsi="宋体" w:eastAsia="宋体"/>
                <w:sz w:val="21"/>
                <w:szCs w:val="21"/>
              </w:rPr>
            </w:pPr>
            <w:r>
              <w:rPr>
                <w:rFonts w:ascii="宋体" w:hAnsi="宋体" w:eastAsia="宋体"/>
                <w:sz w:val="21"/>
                <w:szCs w:val="21"/>
              </w:rPr>
              <w:t>4Mbps</w:t>
            </w:r>
            <w:r>
              <w:rPr>
                <w:rFonts w:hint="eastAsia" w:ascii="宋体" w:hAnsi="宋体" w:eastAsia="宋体"/>
                <w:sz w:val="21"/>
                <w:szCs w:val="21"/>
              </w:rPr>
              <w:t>码流视频录入</w:t>
            </w:r>
          </w:p>
        </w:tc>
        <w:tc>
          <w:tcPr>
            <w:tcW w:w="2790" w:type="dxa"/>
          </w:tcPr>
          <w:p>
            <w:pPr>
              <w:pStyle w:val="46"/>
              <w:jc w:val="both"/>
              <w:rPr>
                <w:rFonts w:ascii="宋体" w:hAnsi="宋体" w:eastAsia="宋体"/>
                <w:sz w:val="21"/>
                <w:szCs w:val="21"/>
              </w:rPr>
            </w:pPr>
            <w:r>
              <w:rPr>
                <w:rFonts w:hint="eastAsia" w:ascii="宋体" w:hAnsi="宋体" w:eastAsia="宋体"/>
                <w:sz w:val="21"/>
                <w:szCs w:val="21"/>
              </w:rPr>
              <w:t>每节点22</w:t>
            </w:r>
            <w:r>
              <w:rPr>
                <w:rFonts w:ascii="宋体" w:hAnsi="宋体" w:eastAsia="宋体"/>
                <w:sz w:val="21"/>
                <w:szCs w:val="21"/>
              </w:rPr>
              <w:t>0</w:t>
            </w:r>
            <w:r>
              <w:rPr>
                <w:rFonts w:hint="eastAsia" w:ascii="宋体" w:hAnsi="宋体" w:eastAsia="宋体"/>
                <w:sz w:val="21"/>
                <w:szCs w:val="21"/>
              </w:rPr>
              <w:t>路</w:t>
            </w:r>
            <w:r>
              <w:rPr>
                <w:rFonts w:ascii="宋体" w:hAnsi="宋体" w:eastAsia="宋体"/>
                <w:sz w:val="21"/>
                <w:szCs w:val="21"/>
              </w:rPr>
              <w:t>4Mbps</w:t>
            </w:r>
            <w:r>
              <w:rPr>
                <w:rFonts w:hint="eastAsia" w:ascii="宋体" w:hAnsi="宋体" w:eastAsia="宋体"/>
                <w:sz w:val="21"/>
                <w:szCs w:val="21"/>
              </w:rPr>
              <w:t>码流视频推流，拉流并发录入</w:t>
            </w:r>
            <w:r>
              <w:rPr>
                <w:rFonts w:ascii="宋体" w:hAnsi="宋体" w:eastAsia="宋体"/>
                <w:sz w:val="21"/>
                <w:szCs w:val="21"/>
              </w:rPr>
              <w:t>NFS</w:t>
            </w:r>
            <w:r>
              <w:rPr>
                <w:rFonts w:hint="eastAsia" w:ascii="宋体" w:hAnsi="宋体" w:eastAsia="宋体"/>
                <w:sz w:val="21"/>
                <w:szCs w:val="21"/>
              </w:rPr>
              <w:t>文件共享；</w:t>
            </w:r>
            <w:r>
              <w:rPr>
                <w:rFonts w:ascii="宋体" w:hAnsi="宋体" w:eastAsia="宋体"/>
                <w:sz w:val="21"/>
                <w:szCs w:val="21"/>
              </w:rPr>
              <w:t xml:space="preserve"> </w:t>
            </w:r>
          </w:p>
        </w:tc>
        <w:tc>
          <w:tcPr>
            <w:tcW w:w="3339" w:type="dxa"/>
          </w:tcPr>
          <w:p>
            <w:pPr>
              <w:pStyle w:val="46"/>
              <w:jc w:val="both"/>
              <w:rPr>
                <w:rFonts w:ascii="宋体" w:hAnsi="宋体" w:eastAsia="宋体"/>
                <w:sz w:val="21"/>
                <w:szCs w:val="21"/>
              </w:rPr>
            </w:pPr>
            <w:r>
              <w:rPr>
                <w:rFonts w:hint="eastAsia" w:ascii="宋体" w:hAnsi="宋体" w:eastAsia="宋体"/>
                <w:sz w:val="21"/>
                <w:szCs w:val="21"/>
              </w:rPr>
              <w:t>持续写入15分钟无异常；</w:t>
            </w:r>
            <w:r>
              <w:rPr>
                <w:rFonts w:ascii="宋体" w:hAnsi="宋体" w:eastAsia="宋体"/>
                <w:sz w:val="21"/>
                <w:szCs w:val="21"/>
              </w:rPr>
              <w:t xml:space="preserve"> </w:t>
            </w:r>
          </w:p>
          <w:p>
            <w:pPr>
              <w:pStyle w:val="46"/>
              <w:jc w:val="both"/>
              <w:rPr>
                <w:rFonts w:ascii="宋体" w:hAnsi="宋体" w:eastAsia="宋体"/>
                <w:sz w:val="21"/>
                <w:szCs w:val="21"/>
              </w:rPr>
            </w:pPr>
            <w:r>
              <w:rPr>
                <w:rFonts w:hint="eastAsia" w:ascii="宋体" w:hAnsi="宋体" w:eastAsia="宋体"/>
                <w:sz w:val="21"/>
                <w:szCs w:val="21"/>
              </w:rPr>
              <w:t>提供完整的测试报告数据及截图或相关材料，包括不限于码流、并数路数、运行时长、C</w:t>
            </w:r>
            <w:r>
              <w:rPr>
                <w:rFonts w:ascii="宋体" w:hAnsi="宋体" w:eastAsia="宋体"/>
                <w:sz w:val="21"/>
                <w:szCs w:val="21"/>
              </w:rPr>
              <w:t>PU</w:t>
            </w:r>
            <w:r>
              <w:rPr>
                <w:rFonts w:hint="eastAsia" w:ascii="宋体" w:hAnsi="宋体" w:eastAsia="宋体"/>
                <w:sz w:val="21"/>
                <w:szCs w:val="21"/>
              </w:rPr>
              <w:t>使用率、内存使用率、集群总带宽（M</w:t>
            </w:r>
            <w:r>
              <w:rPr>
                <w:rFonts w:ascii="宋体" w:hAnsi="宋体" w:eastAsia="宋体"/>
                <w:sz w:val="21"/>
                <w:szCs w:val="21"/>
              </w:rPr>
              <w:t>B/s</w:t>
            </w:r>
            <w:r>
              <w:rPr>
                <w:rFonts w:hint="eastAsia" w:ascii="宋体" w:hAnsi="宋体"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6" w:type="dxa"/>
          </w:tcPr>
          <w:p>
            <w:pPr>
              <w:pStyle w:val="46"/>
              <w:jc w:val="center"/>
              <w:rPr>
                <w:rFonts w:ascii="宋体" w:hAnsi="宋体" w:eastAsia="宋体"/>
                <w:sz w:val="21"/>
                <w:szCs w:val="21"/>
              </w:rPr>
            </w:pPr>
            <w:r>
              <w:rPr>
                <w:rFonts w:hint="eastAsia" w:ascii="宋体" w:hAnsi="宋体" w:eastAsia="宋体"/>
                <w:sz w:val="21"/>
                <w:szCs w:val="21"/>
              </w:rPr>
              <w:t>2</w:t>
            </w:r>
          </w:p>
        </w:tc>
        <w:tc>
          <w:tcPr>
            <w:tcW w:w="1321" w:type="dxa"/>
          </w:tcPr>
          <w:p>
            <w:pPr>
              <w:pStyle w:val="46"/>
              <w:jc w:val="both"/>
              <w:rPr>
                <w:rFonts w:ascii="宋体" w:hAnsi="宋体" w:eastAsia="宋体"/>
                <w:sz w:val="21"/>
                <w:szCs w:val="21"/>
              </w:rPr>
            </w:pPr>
            <w:r>
              <w:rPr>
                <w:rFonts w:ascii="宋体" w:hAnsi="宋体" w:eastAsia="宋体"/>
                <w:sz w:val="21"/>
                <w:szCs w:val="21"/>
              </w:rPr>
              <w:t>16Mbps</w:t>
            </w:r>
            <w:r>
              <w:rPr>
                <w:rFonts w:hint="eastAsia" w:ascii="宋体" w:hAnsi="宋体" w:eastAsia="宋体"/>
                <w:sz w:val="21"/>
                <w:szCs w:val="21"/>
              </w:rPr>
              <w:t>码流视频录入</w:t>
            </w:r>
          </w:p>
        </w:tc>
        <w:tc>
          <w:tcPr>
            <w:tcW w:w="2790" w:type="dxa"/>
          </w:tcPr>
          <w:p>
            <w:pPr>
              <w:pStyle w:val="46"/>
              <w:jc w:val="both"/>
              <w:rPr>
                <w:rFonts w:ascii="宋体" w:hAnsi="宋体" w:eastAsia="宋体"/>
                <w:sz w:val="21"/>
                <w:szCs w:val="21"/>
              </w:rPr>
            </w:pPr>
            <w:r>
              <w:rPr>
                <w:rFonts w:hint="eastAsia" w:ascii="宋体" w:hAnsi="宋体" w:eastAsia="宋体"/>
                <w:sz w:val="21"/>
                <w:szCs w:val="21"/>
              </w:rPr>
              <w:t>每节点45路</w:t>
            </w:r>
            <w:r>
              <w:rPr>
                <w:rFonts w:ascii="宋体" w:hAnsi="宋体" w:eastAsia="宋体"/>
                <w:sz w:val="21"/>
                <w:szCs w:val="21"/>
              </w:rPr>
              <w:t>16Mbps</w:t>
            </w:r>
            <w:r>
              <w:rPr>
                <w:rFonts w:hint="eastAsia" w:ascii="宋体" w:hAnsi="宋体" w:eastAsia="宋体"/>
                <w:sz w:val="21"/>
                <w:szCs w:val="21"/>
              </w:rPr>
              <w:t>码流视频推流，拉流并发录入</w:t>
            </w:r>
            <w:r>
              <w:rPr>
                <w:rFonts w:ascii="宋体" w:hAnsi="宋体" w:eastAsia="宋体"/>
                <w:sz w:val="21"/>
                <w:szCs w:val="21"/>
              </w:rPr>
              <w:t>NFS</w:t>
            </w:r>
            <w:r>
              <w:rPr>
                <w:rFonts w:hint="eastAsia" w:ascii="宋体" w:hAnsi="宋体" w:eastAsia="宋体"/>
                <w:sz w:val="21"/>
                <w:szCs w:val="21"/>
              </w:rPr>
              <w:t>文件共享</w:t>
            </w:r>
          </w:p>
        </w:tc>
        <w:tc>
          <w:tcPr>
            <w:tcW w:w="3339" w:type="dxa"/>
          </w:tcPr>
          <w:p>
            <w:pPr>
              <w:pStyle w:val="46"/>
              <w:jc w:val="both"/>
              <w:rPr>
                <w:rFonts w:ascii="宋体" w:hAnsi="宋体" w:eastAsia="宋体"/>
                <w:sz w:val="21"/>
                <w:szCs w:val="21"/>
              </w:rPr>
            </w:pPr>
            <w:r>
              <w:rPr>
                <w:rFonts w:hint="eastAsia" w:ascii="宋体" w:hAnsi="宋体" w:eastAsia="宋体"/>
                <w:sz w:val="21"/>
                <w:szCs w:val="21"/>
              </w:rPr>
              <w:t>持续写入15分钟无异常</w:t>
            </w:r>
          </w:p>
          <w:p>
            <w:pPr>
              <w:pStyle w:val="46"/>
              <w:jc w:val="both"/>
              <w:rPr>
                <w:rFonts w:ascii="宋体" w:hAnsi="宋体" w:eastAsia="宋体"/>
                <w:sz w:val="21"/>
                <w:szCs w:val="21"/>
              </w:rPr>
            </w:pPr>
            <w:r>
              <w:rPr>
                <w:rFonts w:hint="eastAsia" w:ascii="宋体" w:hAnsi="宋体" w:eastAsia="宋体"/>
                <w:sz w:val="21"/>
                <w:szCs w:val="21"/>
              </w:rPr>
              <w:t>提供完整的测试报告数据及截图或相关材料，包括不限于码流、并数路数、运行时长、C</w:t>
            </w:r>
            <w:r>
              <w:rPr>
                <w:rFonts w:ascii="宋体" w:hAnsi="宋体" w:eastAsia="宋体"/>
                <w:sz w:val="21"/>
                <w:szCs w:val="21"/>
              </w:rPr>
              <w:t>PU</w:t>
            </w:r>
            <w:r>
              <w:rPr>
                <w:rFonts w:hint="eastAsia" w:ascii="宋体" w:hAnsi="宋体" w:eastAsia="宋体"/>
                <w:sz w:val="21"/>
                <w:szCs w:val="21"/>
              </w:rPr>
              <w:t>使用率、内存使用率、集群总带宽（M</w:t>
            </w:r>
            <w:r>
              <w:rPr>
                <w:rFonts w:ascii="宋体" w:hAnsi="宋体" w:eastAsia="宋体"/>
                <w:sz w:val="21"/>
                <w:szCs w:val="21"/>
              </w:rPr>
              <w:t>B/s</w:t>
            </w:r>
            <w:r>
              <w:rPr>
                <w:rFonts w:hint="eastAsia" w:ascii="宋体" w:hAnsi="宋体" w:eastAsia="宋体"/>
                <w:sz w:val="21"/>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6" w:type="dxa"/>
          </w:tcPr>
          <w:p>
            <w:pPr>
              <w:pStyle w:val="46"/>
              <w:jc w:val="center"/>
              <w:rPr>
                <w:rFonts w:ascii="宋体" w:hAnsi="宋体" w:eastAsia="宋体"/>
                <w:sz w:val="21"/>
                <w:szCs w:val="21"/>
              </w:rPr>
            </w:pPr>
            <w:r>
              <w:rPr>
                <w:rFonts w:hint="eastAsia" w:ascii="宋体" w:hAnsi="宋体" w:eastAsia="宋体"/>
                <w:sz w:val="21"/>
                <w:szCs w:val="21"/>
              </w:rPr>
              <w:t>3</w:t>
            </w:r>
          </w:p>
        </w:tc>
        <w:tc>
          <w:tcPr>
            <w:tcW w:w="1321" w:type="dxa"/>
          </w:tcPr>
          <w:p>
            <w:pPr>
              <w:pStyle w:val="46"/>
              <w:jc w:val="both"/>
              <w:rPr>
                <w:rFonts w:ascii="宋体" w:hAnsi="宋体" w:eastAsia="宋体"/>
                <w:sz w:val="21"/>
                <w:szCs w:val="21"/>
              </w:rPr>
            </w:pPr>
            <w:r>
              <w:rPr>
                <w:rFonts w:ascii="宋体" w:hAnsi="宋体" w:eastAsia="宋体"/>
                <w:sz w:val="21"/>
                <w:szCs w:val="21"/>
              </w:rPr>
              <w:t>NFS</w:t>
            </w:r>
            <w:r>
              <w:rPr>
                <w:rFonts w:hint="eastAsia" w:ascii="宋体" w:hAnsi="宋体" w:eastAsia="宋体"/>
                <w:sz w:val="21"/>
                <w:szCs w:val="21"/>
              </w:rPr>
              <w:t>文件性能</w:t>
            </w:r>
          </w:p>
        </w:tc>
        <w:tc>
          <w:tcPr>
            <w:tcW w:w="2790" w:type="dxa"/>
          </w:tcPr>
          <w:p>
            <w:pPr>
              <w:pStyle w:val="46"/>
              <w:jc w:val="both"/>
              <w:rPr>
                <w:rFonts w:ascii="宋体" w:hAnsi="宋体" w:eastAsia="宋体"/>
                <w:sz w:val="21"/>
                <w:szCs w:val="21"/>
              </w:rPr>
            </w:pPr>
            <w:r>
              <w:rPr>
                <w:rFonts w:hint="eastAsia" w:ascii="宋体" w:hAnsi="宋体" w:eastAsia="宋体"/>
                <w:sz w:val="21"/>
                <w:szCs w:val="21"/>
              </w:rPr>
              <w:t>验证存储系统</w:t>
            </w:r>
            <w:r>
              <w:rPr>
                <w:rFonts w:ascii="宋体" w:hAnsi="宋体" w:eastAsia="宋体"/>
                <w:sz w:val="21"/>
                <w:szCs w:val="21"/>
              </w:rPr>
              <w:t>NFS</w:t>
            </w:r>
            <w:r>
              <w:rPr>
                <w:rFonts w:hint="eastAsia" w:ascii="宋体" w:hAnsi="宋体" w:eastAsia="宋体"/>
                <w:sz w:val="21"/>
                <w:szCs w:val="21"/>
              </w:rPr>
              <w:t>文件共享大文件并发读写带宽能力</w:t>
            </w:r>
          </w:p>
          <w:p>
            <w:pPr>
              <w:pStyle w:val="46"/>
              <w:jc w:val="both"/>
              <w:rPr>
                <w:rFonts w:ascii="宋体" w:hAnsi="宋体" w:eastAsia="宋体"/>
                <w:sz w:val="21"/>
                <w:szCs w:val="21"/>
              </w:rPr>
            </w:pPr>
            <w:r>
              <w:rPr>
                <w:rFonts w:hint="eastAsia" w:ascii="宋体" w:hAnsi="宋体" w:eastAsia="宋体"/>
                <w:sz w:val="21"/>
                <w:szCs w:val="21"/>
              </w:rPr>
              <w:t>三个性能客户端主机已挂载共享目录并可以正常读写</w:t>
            </w:r>
          </w:p>
          <w:p>
            <w:pPr>
              <w:pStyle w:val="46"/>
              <w:numPr>
                <w:ilvl w:val="0"/>
                <w:numId w:val="4"/>
              </w:numPr>
              <w:jc w:val="both"/>
              <w:rPr>
                <w:rFonts w:ascii="宋体" w:hAnsi="宋体" w:eastAsia="宋体"/>
                <w:sz w:val="21"/>
                <w:szCs w:val="21"/>
              </w:rPr>
            </w:pPr>
            <w:r>
              <w:rPr>
                <w:rFonts w:hint="eastAsia" w:ascii="宋体" w:hAnsi="宋体" w:eastAsia="宋体"/>
                <w:sz w:val="21"/>
                <w:szCs w:val="21"/>
              </w:rPr>
              <w:t>模拟大文件并发写测试：</w:t>
            </w:r>
            <w:r>
              <w:rPr>
                <w:rFonts w:ascii="宋体" w:hAnsi="宋体" w:eastAsia="宋体"/>
                <w:sz w:val="21"/>
                <w:szCs w:val="21"/>
              </w:rPr>
              <w:t>128MB</w:t>
            </w:r>
            <w:r>
              <w:rPr>
                <w:rFonts w:hint="eastAsia" w:ascii="宋体" w:hAnsi="宋体" w:eastAsia="宋体"/>
                <w:sz w:val="21"/>
                <w:szCs w:val="21"/>
              </w:rPr>
              <w:t>文件</w:t>
            </w:r>
            <w:r>
              <w:rPr>
                <w:rFonts w:ascii="宋体" w:hAnsi="宋体" w:eastAsia="宋体"/>
                <w:sz w:val="21"/>
                <w:szCs w:val="21"/>
              </w:rPr>
              <w:t xml:space="preserve">16MB </w:t>
            </w:r>
            <w:r>
              <w:rPr>
                <w:rFonts w:hint="eastAsia" w:ascii="宋体" w:hAnsi="宋体" w:eastAsia="宋体"/>
                <w:sz w:val="21"/>
                <w:szCs w:val="21"/>
              </w:rPr>
              <w:t>块；</w:t>
            </w:r>
          </w:p>
          <w:p>
            <w:pPr>
              <w:pStyle w:val="46"/>
              <w:numPr>
                <w:ilvl w:val="0"/>
                <w:numId w:val="4"/>
              </w:numPr>
              <w:jc w:val="both"/>
              <w:rPr>
                <w:rFonts w:ascii="宋体" w:hAnsi="宋体" w:eastAsia="宋体"/>
                <w:sz w:val="21"/>
                <w:szCs w:val="21"/>
              </w:rPr>
            </w:pPr>
            <w:r>
              <w:rPr>
                <w:rFonts w:hint="eastAsia" w:ascii="宋体" w:hAnsi="宋体" w:eastAsia="宋体"/>
                <w:sz w:val="21"/>
                <w:szCs w:val="21"/>
              </w:rPr>
              <w:t>模拟大文件并发读测试：</w:t>
            </w:r>
            <w:r>
              <w:rPr>
                <w:rFonts w:ascii="宋体" w:hAnsi="宋体" w:eastAsia="宋体"/>
                <w:sz w:val="21"/>
                <w:szCs w:val="21"/>
              </w:rPr>
              <w:t>128MB</w:t>
            </w:r>
            <w:r>
              <w:rPr>
                <w:rFonts w:hint="eastAsia" w:ascii="宋体" w:hAnsi="宋体" w:eastAsia="宋体"/>
                <w:sz w:val="21"/>
                <w:szCs w:val="21"/>
              </w:rPr>
              <w:t>文件</w:t>
            </w:r>
            <w:r>
              <w:rPr>
                <w:rFonts w:ascii="宋体" w:hAnsi="宋体" w:eastAsia="宋体"/>
                <w:sz w:val="21"/>
                <w:szCs w:val="21"/>
              </w:rPr>
              <w:t>16MB</w:t>
            </w:r>
            <w:r>
              <w:rPr>
                <w:rFonts w:hint="eastAsia" w:ascii="宋体" w:hAnsi="宋体" w:eastAsia="宋体"/>
                <w:sz w:val="21"/>
                <w:szCs w:val="21"/>
              </w:rPr>
              <w:t>块</w:t>
            </w:r>
          </w:p>
        </w:tc>
        <w:tc>
          <w:tcPr>
            <w:tcW w:w="3339" w:type="dxa"/>
          </w:tcPr>
          <w:p>
            <w:pPr>
              <w:pStyle w:val="46"/>
              <w:jc w:val="both"/>
              <w:rPr>
                <w:rFonts w:ascii="宋体" w:hAnsi="宋体" w:eastAsia="宋体"/>
                <w:sz w:val="21"/>
                <w:szCs w:val="21"/>
              </w:rPr>
            </w:pPr>
            <w:r>
              <w:rPr>
                <w:rFonts w:hint="eastAsia" w:ascii="宋体" w:hAnsi="宋体" w:eastAsia="宋体"/>
                <w:sz w:val="21"/>
                <w:szCs w:val="21"/>
              </w:rPr>
              <w:t>三客户端96-224路并发，稳定写数据</w:t>
            </w:r>
          </w:p>
          <w:p>
            <w:pPr>
              <w:pStyle w:val="46"/>
              <w:jc w:val="both"/>
              <w:rPr>
                <w:rFonts w:ascii="宋体" w:hAnsi="宋体" w:eastAsia="宋体"/>
                <w:sz w:val="21"/>
                <w:szCs w:val="21"/>
              </w:rPr>
            </w:pPr>
            <w:r>
              <w:rPr>
                <w:rFonts w:hint="eastAsia" w:ascii="宋体" w:hAnsi="宋体" w:eastAsia="宋体"/>
                <w:sz w:val="21"/>
                <w:szCs w:val="21"/>
              </w:rPr>
              <w:t>三客户端96-256路并发，稳定读数据</w:t>
            </w:r>
          </w:p>
          <w:p>
            <w:pPr>
              <w:pStyle w:val="46"/>
              <w:jc w:val="both"/>
              <w:rPr>
                <w:rFonts w:ascii="宋体" w:hAnsi="宋体" w:eastAsia="宋体"/>
                <w:sz w:val="21"/>
                <w:szCs w:val="21"/>
              </w:rPr>
            </w:pPr>
            <w:r>
              <w:rPr>
                <w:rFonts w:hint="eastAsia" w:ascii="宋体" w:hAnsi="宋体" w:eastAsia="宋体"/>
                <w:sz w:val="21"/>
                <w:szCs w:val="21"/>
              </w:rPr>
              <w:t>提供完整的测试报告数据，包括不限于文件大小、块大小、并发数、读/写、集群总带宽等</w:t>
            </w:r>
          </w:p>
        </w:tc>
      </w:tr>
    </w:tbl>
    <w:p>
      <w:pPr>
        <w:tabs>
          <w:tab w:val="left" w:pos="7770"/>
        </w:tabs>
        <w:snapToGrid w:val="0"/>
        <w:spacing w:line="360" w:lineRule="auto"/>
        <w:ind w:firstLine="482" w:firstLineChars="200"/>
        <w:rPr>
          <w:rFonts w:ascii="宋体" w:hAnsi="宋体"/>
          <w:b/>
          <w:sz w:val="24"/>
        </w:rPr>
      </w:pPr>
    </w:p>
    <w:p>
      <w:pPr>
        <w:spacing w:line="360" w:lineRule="auto"/>
        <w:ind w:firstLine="482" w:firstLineChars="200"/>
        <w:contextualSpacing/>
        <w:rPr>
          <w:rFonts w:ascii="宋体" w:hAnsi="宋体" w:eastAsia="宋体"/>
          <w:b/>
          <w:bCs/>
          <w:color w:val="FF0000"/>
        </w:rPr>
      </w:pPr>
      <w:r>
        <w:rPr>
          <w:rFonts w:hint="eastAsia" w:ascii="宋体" w:hAnsi="宋体"/>
          <w:b/>
          <w:bCs/>
          <w:color w:val="FF0000"/>
          <w:sz w:val="24"/>
        </w:rPr>
        <w:t>本项目的庭审存储管理平台需与上海法院智能庭审管理平台进行对接，需提供详细的对接方案。</w:t>
      </w:r>
    </w:p>
    <w:p>
      <w:pPr>
        <w:spacing w:line="360" w:lineRule="auto"/>
        <w:ind w:firstLine="480" w:firstLineChars="200"/>
        <w:contextualSpacing/>
        <w:rPr>
          <w:rFonts w:ascii="宋体" w:hAnsi="宋体"/>
          <w:sz w:val="24"/>
        </w:rPr>
      </w:pPr>
      <w:r>
        <w:rPr>
          <w:rFonts w:hint="eastAsia" w:ascii="宋体" w:hAnsi="宋体"/>
          <w:sz w:val="24"/>
        </w:rPr>
        <w:t>上海法院智能庭审管理平台由上海高院统一开发，集中并免费提供给各中院及基层法院使用。高清庭审管理软件由庭审录制管理系统，庭审资源管理系统，高清庭审直播系统，庭审查询、点播系统四大系统组成。</w:t>
      </w:r>
    </w:p>
    <w:p>
      <w:pPr>
        <w:spacing w:line="360" w:lineRule="auto"/>
        <w:ind w:firstLine="480" w:firstLineChars="200"/>
        <w:contextualSpacing/>
        <w:rPr>
          <w:rFonts w:ascii="宋体" w:hAnsi="宋体"/>
          <w:sz w:val="24"/>
        </w:rPr>
      </w:pPr>
      <w:r>
        <w:rPr>
          <w:rFonts w:hint="eastAsia" w:ascii="宋体" w:hAnsi="宋体"/>
          <w:sz w:val="24"/>
        </w:rPr>
        <w:t>智能庭审管理平台的开发架构分为用户层、表现层(JSP页面)、控制层（Action）、业务逻辑层（Service）、数据访问/持久化层(DAO)，如下图所示，表现层分为显示层和控制层。</w:t>
      </w:r>
    </w:p>
    <w:p>
      <w:pPr>
        <w:spacing w:line="360" w:lineRule="auto"/>
        <w:contextualSpacing/>
        <w:jc w:val="center"/>
        <w:rPr>
          <w:rFonts w:ascii="宋体" w:hAnsi="宋体"/>
          <w:sz w:val="24"/>
        </w:rPr>
      </w:pPr>
      <w:r>
        <w:rPr>
          <w:rFonts w:ascii="宋体" w:hAnsi="宋体"/>
          <w:sz w:val="24"/>
        </w:rPr>
        <w:drawing>
          <wp:inline distT="0" distB="0" distL="0" distR="0">
            <wp:extent cx="4442460" cy="3985895"/>
            <wp:effectExtent l="0" t="0" r="7620" b="6985"/>
            <wp:docPr id="9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442460" cy="3985895"/>
                    </a:xfrm>
                    <a:prstGeom prst="rect">
                      <a:avLst/>
                    </a:prstGeom>
                    <a:noFill/>
                    <a:ln w="9525">
                      <a:noFill/>
                      <a:miter lim="800000"/>
                      <a:headEnd/>
                      <a:tailEnd/>
                    </a:ln>
                  </pic:spPr>
                </pic:pic>
              </a:graphicData>
            </a:graphic>
          </wp:inline>
        </w:drawing>
      </w:r>
    </w:p>
    <w:p>
      <w:pPr>
        <w:pStyle w:val="45"/>
        <w:spacing w:line="360" w:lineRule="auto"/>
        <w:jc w:val="both"/>
        <w:rPr>
          <w:rFonts w:ascii="宋体" w:hAnsi="宋体" w:eastAsia="宋体"/>
          <w:b/>
          <w:bCs/>
        </w:rPr>
      </w:pPr>
    </w:p>
    <w:p>
      <w:pPr>
        <w:pStyle w:val="45"/>
        <w:spacing w:line="360" w:lineRule="auto"/>
        <w:ind w:firstLine="480" w:firstLineChars="200"/>
        <w:jc w:val="both"/>
        <w:rPr>
          <w:rFonts w:ascii="宋体" w:hAnsi="宋体" w:eastAsia="宋体" w:cs="Times New Roman"/>
          <w:szCs w:val="20"/>
        </w:rPr>
      </w:pPr>
      <w:r>
        <w:rPr>
          <w:rFonts w:hint="eastAsia" w:ascii="宋体" w:hAnsi="宋体" w:eastAsia="宋体" w:cs="Times New Roman"/>
          <w:b w:val="0"/>
          <w:bCs w:val="0"/>
          <w:color w:val="auto"/>
          <w:szCs w:val="20"/>
        </w:rPr>
        <w:t>本次升级庭审智能存储管理平台要求供应商需完成对接上海法院庭审信息管理系统、上海法院综合业务管理专用系统。对接上海市法院国产化信创庭审系统，与法院庭审系统国产化信创内容完全兼容。</w:t>
      </w:r>
      <w:r>
        <w:rPr>
          <w:rFonts w:hint="eastAsia" w:ascii="宋体" w:hAnsi="宋体" w:eastAsia="宋体" w:cs="Times New Roman"/>
          <w:szCs w:val="20"/>
        </w:rPr>
        <w:t>供应商应提供针对上海法院庭审录像可靠性录制的详细方案。</w:t>
      </w:r>
    </w:p>
    <w:p>
      <w:pPr>
        <w:spacing w:line="360" w:lineRule="auto"/>
        <w:ind w:firstLine="482" w:firstLineChars="200"/>
        <w:rPr>
          <w:rFonts w:ascii="宋体" w:hAnsi="宋体"/>
          <w:b/>
          <w:bCs/>
          <w:sz w:val="24"/>
          <w:szCs w:val="24"/>
        </w:rPr>
      </w:pPr>
      <w:r>
        <w:rPr>
          <w:rFonts w:hint="eastAsia" w:ascii="宋体" w:hAnsi="宋体"/>
          <w:b/>
          <w:bCs/>
          <w:sz w:val="24"/>
          <w:szCs w:val="24"/>
        </w:rPr>
        <w:t>3、法庭公告屏系统升级改造</w:t>
      </w:r>
    </w:p>
    <w:p>
      <w:pPr>
        <w:spacing w:line="360" w:lineRule="auto"/>
        <w:ind w:firstLine="480" w:firstLineChars="200"/>
        <w:rPr>
          <w:rFonts w:ascii="宋体" w:hAnsi="宋体"/>
          <w:sz w:val="24"/>
          <w:szCs w:val="24"/>
        </w:rPr>
      </w:pPr>
      <w:r>
        <w:rPr>
          <w:rFonts w:hint="eastAsia" w:ascii="宋体" w:hAnsi="宋体"/>
          <w:sz w:val="24"/>
        </w:rPr>
        <w:t>针对上海市松江区人民法院现有25间本院法庭进行庭审信息公告显示系统升级改造，系统包括每间法庭部署安装1套庭审公告显示终端。建设完成后系统信息公告屏具备展示法庭开庭信息及法庭状态，庭审状态、排期案件等相关信息。</w:t>
      </w:r>
    </w:p>
    <w:p>
      <w:pPr>
        <w:pStyle w:val="3"/>
        <w:numPr>
          <w:ilvl w:val="0"/>
          <w:numId w:val="2"/>
        </w:numPr>
        <w:spacing w:before="0" w:after="0" w:line="360" w:lineRule="auto"/>
        <w:rPr>
          <w:rFonts w:ascii="宋体" w:hAnsi="宋体" w:eastAsia="宋体"/>
          <w:sz w:val="24"/>
          <w:szCs w:val="24"/>
        </w:rPr>
      </w:pPr>
      <w:r>
        <w:rPr>
          <w:rFonts w:hint="eastAsia" w:ascii="宋体" w:hAnsi="宋体" w:eastAsia="宋体"/>
          <w:sz w:val="24"/>
          <w:szCs w:val="24"/>
        </w:rPr>
        <w:t>采购清单</w:t>
      </w:r>
    </w:p>
    <w:p>
      <w:pPr>
        <w:spacing w:line="360" w:lineRule="auto"/>
        <w:ind w:firstLine="480" w:firstLineChars="200"/>
        <w:rPr>
          <w:rFonts w:ascii="宋体" w:hAnsi="宋体"/>
          <w:sz w:val="24"/>
        </w:rPr>
      </w:pPr>
      <w:bookmarkStart w:id="3" w:name="_GoBack"/>
      <w:r>
        <w:rPr>
          <w:rFonts w:hint="eastAsia" w:ascii="宋体" w:hAnsi="宋体"/>
          <w:sz w:val="24"/>
        </w:rPr>
        <w:t>以下清单可供投报参考，由供应商自行开展深化设计，参考清单数量为最低配置，对于未列出的但对系统的正常运行和维护必不可少的配件、辅助材料等，供应商应补充并包含在总报价中，确保系统的可用性，满足采购文件要求。如供应商原因引起缺漏项，造成系统无法搭建完成，由供应商免费增补至验收合格，采购人不再额外增补费用。</w:t>
      </w:r>
      <w:bookmarkEnd w:id="3"/>
    </w:p>
    <w:tbl>
      <w:tblPr>
        <w:tblStyle w:val="15"/>
        <w:tblW w:w="8784" w:type="dxa"/>
        <w:tblInd w:w="0" w:type="dxa"/>
        <w:tblLayout w:type="fixed"/>
        <w:tblCellMar>
          <w:top w:w="0" w:type="dxa"/>
          <w:left w:w="108" w:type="dxa"/>
          <w:bottom w:w="0" w:type="dxa"/>
          <w:right w:w="108" w:type="dxa"/>
        </w:tblCellMar>
      </w:tblPr>
      <w:tblGrid>
        <w:gridCol w:w="562"/>
        <w:gridCol w:w="1843"/>
        <w:gridCol w:w="4858"/>
        <w:gridCol w:w="812"/>
        <w:gridCol w:w="709"/>
      </w:tblGrid>
      <w:tr>
        <w:tblPrEx>
          <w:tblCellMar>
            <w:top w:w="0" w:type="dxa"/>
            <w:left w:w="108" w:type="dxa"/>
            <w:bottom w:w="0" w:type="dxa"/>
            <w:right w:w="108" w:type="dxa"/>
          </w:tblCellMar>
        </w:tblPrEx>
        <w:trPr>
          <w:trHeight w:val="402" w:hRule="atLeast"/>
        </w:trPr>
        <w:tc>
          <w:tcPr>
            <w:tcW w:w="56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序号</w:t>
            </w:r>
          </w:p>
        </w:tc>
        <w:tc>
          <w:tcPr>
            <w:tcW w:w="184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产品名称</w:t>
            </w:r>
          </w:p>
        </w:tc>
        <w:tc>
          <w:tcPr>
            <w:tcW w:w="485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技术指标要求</w:t>
            </w:r>
          </w:p>
        </w:tc>
        <w:tc>
          <w:tcPr>
            <w:tcW w:w="81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数量</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单位</w:t>
            </w:r>
          </w:p>
        </w:tc>
      </w:tr>
      <w:tr>
        <w:tblPrEx>
          <w:tblCellMar>
            <w:top w:w="0" w:type="dxa"/>
            <w:left w:w="108" w:type="dxa"/>
            <w:bottom w:w="0" w:type="dxa"/>
            <w:right w:w="108" w:type="dxa"/>
          </w:tblCellMar>
        </w:tblPrEx>
        <w:trPr>
          <w:trHeight w:val="402" w:hRule="atLeast"/>
        </w:trPr>
        <w:tc>
          <w:tcPr>
            <w:tcW w:w="7263"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b/>
                <w:bCs/>
                <w:color w:val="000000"/>
                <w:kern w:val="0"/>
                <w:sz w:val="24"/>
                <w:szCs w:val="24"/>
              </w:rPr>
            </w:pPr>
            <w:r>
              <w:rPr>
                <w:rFonts w:hint="eastAsia" w:ascii="宋体" w:hAnsi="宋体" w:cs="宋体"/>
                <w:b/>
                <w:bCs/>
                <w:color w:val="000000"/>
                <w:kern w:val="0"/>
                <w:sz w:val="24"/>
                <w:szCs w:val="24"/>
              </w:rPr>
              <w:t>一、法庭庭审系统升级改造</w:t>
            </w:r>
          </w:p>
        </w:tc>
        <w:tc>
          <w:tcPr>
            <w:tcW w:w="81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　</w:t>
            </w:r>
          </w:p>
        </w:tc>
      </w:tr>
      <w:tr>
        <w:tblPrEx>
          <w:tblCellMar>
            <w:top w:w="0" w:type="dxa"/>
            <w:left w:w="108" w:type="dxa"/>
            <w:bottom w:w="0" w:type="dxa"/>
            <w:right w:w="108" w:type="dxa"/>
          </w:tblCellMar>
        </w:tblPrEx>
        <w:trPr>
          <w:trHeight w:val="402" w:hRule="atLeast"/>
        </w:trPr>
        <w:tc>
          <w:tcPr>
            <w:tcW w:w="7263" w:type="dxa"/>
            <w:gridSpan w:val="3"/>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left"/>
              <w:rPr>
                <w:rFonts w:ascii="宋体" w:hAnsi="宋体" w:cs="宋体"/>
                <w:b/>
                <w:bCs/>
                <w:color w:val="000000"/>
                <w:kern w:val="0"/>
                <w:sz w:val="24"/>
                <w:szCs w:val="24"/>
              </w:rPr>
            </w:pPr>
            <w:r>
              <w:rPr>
                <w:rFonts w:hint="eastAsia" w:ascii="宋体" w:hAnsi="宋体" w:cs="宋体"/>
                <w:b/>
                <w:bCs/>
                <w:color w:val="000000"/>
                <w:kern w:val="0"/>
                <w:sz w:val="24"/>
                <w:szCs w:val="24"/>
              </w:rPr>
              <w:t>（一）松江法院本院法庭高清庭审系统（4间法庭）</w:t>
            </w:r>
          </w:p>
        </w:tc>
        <w:tc>
          <w:tcPr>
            <w:tcW w:w="81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　</w:t>
            </w:r>
          </w:p>
        </w:tc>
      </w:tr>
      <w:tr>
        <w:tblPrEx>
          <w:tblCellMar>
            <w:top w:w="0" w:type="dxa"/>
            <w:left w:w="108" w:type="dxa"/>
            <w:bottom w:w="0" w:type="dxa"/>
            <w:right w:w="108" w:type="dxa"/>
          </w:tblCellMar>
        </w:tblPrEx>
        <w:trPr>
          <w:trHeight w:val="402" w:hRule="atLeast"/>
        </w:trPr>
        <w:tc>
          <w:tcPr>
            <w:tcW w:w="7263"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b/>
                <w:bCs/>
                <w:color w:val="000000"/>
                <w:kern w:val="0"/>
                <w:sz w:val="24"/>
                <w:szCs w:val="24"/>
              </w:rPr>
            </w:pPr>
            <w:r>
              <w:rPr>
                <w:rFonts w:hint="eastAsia" w:ascii="宋体" w:hAnsi="宋体" w:cs="宋体"/>
                <w:b/>
                <w:bCs/>
                <w:color w:val="000000"/>
                <w:kern w:val="0"/>
                <w:sz w:val="24"/>
                <w:szCs w:val="24"/>
              </w:rPr>
              <w:t>1、视频采集处理系统</w:t>
            </w:r>
          </w:p>
        </w:tc>
        <w:tc>
          <w:tcPr>
            <w:tcW w:w="8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709"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02" w:hRule="atLeast"/>
        </w:trPr>
        <w:tc>
          <w:tcPr>
            <w:tcW w:w="56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bookmarkStart w:id="0" w:name="_Hlk161308919"/>
            <w:r>
              <w:rPr>
                <w:rFonts w:hint="eastAsia" w:ascii="宋体" w:hAnsi="宋体" w:cs="宋体"/>
                <w:color w:val="000000"/>
                <w:kern w:val="0"/>
                <w:sz w:val="24"/>
                <w:szCs w:val="24"/>
              </w:rPr>
              <w:t>1</w:t>
            </w:r>
          </w:p>
        </w:tc>
        <w:tc>
          <w:tcPr>
            <w:tcW w:w="184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4K高清录播工作站</w:t>
            </w:r>
          </w:p>
        </w:tc>
        <w:tc>
          <w:tcPr>
            <w:tcW w:w="485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详见“主要产品技术指标要求”</w:t>
            </w:r>
          </w:p>
        </w:tc>
        <w:tc>
          <w:tcPr>
            <w:tcW w:w="81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r>
      <w:tr>
        <w:tblPrEx>
          <w:tblCellMar>
            <w:top w:w="0" w:type="dxa"/>
            <w:left w:w="108" w:type="dxa"/>
            <w:bottom w:w="0" w:type="dxa"/>
            <w:right w:w="108" w:type="dxa"/>
          </w:tblCellMar>
        </w:tblPrEx>
        <w:trPr>
          <w:trHeight w:val="402" w:hRule="atLeast"/>
        </w:trPr>
        <w:tc>
          <w:tcPr>
            <w:tcW w:w="56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84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4K超高清摄像机</w:t>
            </w:r>
          </w:p>
        </w:tc>
        <w:tc>
          <w:tcPr>
            <w:tcW w:w="485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详见“主要产品技术指标要求”</w:t>
            </w:r>
          </w:p>
        </w:tc>
        <w:tc>
          <w:tcPr>
            <w:tcW w:w="81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16</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r>
      <w:bookmarkEnd w:id="0"/>
      <w:tr>
        <w:trPr>
          <w:trHeight w:val="402" w:hRule="atLeast"/>
        </w:trPr>
        <w:tc>
          <w:tcPr>
            <w:tcW w:w="56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184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摄像机支架</w:t>
            </w:r>
          </w:p>
        </w:tc>
        <w:tc>
          <w:tcPr>
            <w:tcW w:w="485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与高清摄像机配套，L型或U型；</w:t>
            </w:r>
          </w:p>
        </w:tc>
        <w:tc>
          <w:tcPr>
            <w:tcW w:w="81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16</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r>
      <w:tr>
        <w:tblPrEx>
          <w:tblCellMar>
            <w:top w:w="0" w:type="dxa"/>
            <w:left w:w="108" w:type="dxa"/>
            <w:bottom w:w="0" w:type="dxa"/>
            <w:right w:w="108" w:type="dxa"/>
          </w:tblCellMar>
        </w:tblPrEx>
        <w:trPr>
          <w:trHeight w:val="402" w:hRule="atLeast"/>
        </w:trPr>
        <w:tc>
          <w:tcPr>
            <w:tcW w:w="56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w:t>
            </w:r>
          </w:p>
        </w:tc>
        <w:tc>
          <w:tcPr>
            <w:tcW w:w="184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摄像机集中供电模块</w:t>
            </w:r>
          </w:p>
        </w:tc>
        <w:tc>
          <w:tcPr>
            <w:tcW w:w="485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摄像机集中供电模块</w:t>
            </w:r>
          </w:p>
        </w:tc>
        <w:tc>
          <w:tcPr>
            <w:tcW w:w="81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r>
      <w:tr>
        <w:trPr>
          <w:trHeight w:val="402" w:hRule="atLeast"/>
        </w:trPr>
        <w:tc>
          <w:tcPr>
            <w:tcW w:w="56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w:t>
            </w:r>
          </w:p>
        </w:tc>
        <w:tc>
          <w:tcPr>
            <w:tcW w:w="184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视频压缩编码器</w:t>
            </w:r>
          </w:p>
        </w:tc>
        <w:tc>
          <w:tcPr>
            <w:tcW w:w="485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详见“主要产品技术指标要求”</w:t>
            </w:r>
          </w:p>
        </w:tc>
        <w:tc>
          <w:tcPr>
            <w:tcW w:w="81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r>
      <w:tr>
        <w:tblPrEx>
          <w:tblCellMar>
            <w:top w:w="0" w:type="dxa"/>
            <w:left w:w="108" w:type="dxa"/>
            <w:bottom w:w="0" w:type="dxa"/>
            <w:right w:w="108" w:type="dxa"/>
          </w:tblCellMar>
        </w:tblPrEx>
        <w:trPr>
          <w:trHeight w:val="402" w:hRule="atLeast"/>
        </w:trPr>
        <w:tc>
          <w:tcPr>
            <w:tcW w:w="7263"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b/>
                <w:bCs/>
                <w:color w:val="000000"/>
                <w:kern w:val="0"/>
                <w:sz w:val="24"/>
                <w:szCs w:val="24"/>
              </w:rPr>
            </w:pPr>
            <w:r>
              <w:rPr>
                <w:rFonts w:hint="eastAsia" w:ascii="宋体" w:hAnsi="宋体" w:cs="宋体"/>
                <w:b/>
                <w:bCs/>
                <w:color w:val="000000"/>
                <w:kern w:val="0"/>
                <w:sz w:val="24"/>
                <w:szCs w:val="24"/>
              </w:rPr>
              <w:t>2、音频采集处理系统</w:t>
            </w:r>
          </w:p>
        </w:tc>
        <w:tc>
          <w:tcPr>
            <w:tcW w:w="8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709"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r>
      <w:tr>
        <w:trPr>
          <w:trHeight w:val="402" w:hRule="atLeast"/>
        </w:trPr>
        <w:tc>
          <w:tcPr>
            <w:tcW w:w="56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84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数字音频矩阵</w:t>
            </w:r>
          </w:p>
        </w:tc>
        <w:tc>
          <w:tcPr>
            <w:tcW w:w="485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详见“主要产品技术指标要求”</w:t>
            </w:r>
          </w:p>
        </w:tc>
        <w:tc>
          <w:tcPr>
            <w:tcW w:w="81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r>
      <w:tr>
        <w:tblPrEx>
          <w:tblCellMar>
            <w:top w:w="0" w:type="dxa"/>
            <w:left w:w="108" w:type="dxa"/>
            <w:bottom w:w="0" w:type="dxa"/>
            <w:right w:w="108" w:type="dxa"/>
          </w:tblCellMar>
        </w:tblPrEx>
        <w:trPr>
          <w:trHeight w:val="402" w:hRule="atLeast"/>
        </w:trPr>
        <w:tc>
          <w:tcPr>
            <w:tcW w:w="56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84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高指向桌面话筒</w:t>
            </w:r>
          </w:p>
        </w:tc>
        <w:tc>
          <w:tcPr>
            <w:tcW w:w="485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产品应不低于以下指标参数要求：</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桌面鹅颈式麦克风，1.换能方式： 电容式 ；2.指向性： 单指向 ；3.卡侬头支持48幻象供电</w:t>
            </w:r>
          </w:p>
        </w:tc>
        <w:tc>
          <w:tcPr>
            <w:tcW w:w="81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32</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r>
      <w:tr>
        <w:tblPrEx>
          <w:tblCellMar>
            <w:top w:w="0" w:type="dxa"/>
            <w:left w:w="108" w:type="dxa"/>
            <w:bottom w:w="0" w:type="dxa"/>
            <w:right w:w="108" w:type="dxa"/>
          </w:tblCellMar>
        </w:tblPrEx>
        <w:trPr>
          <w:trHeight w:val="402" w:hRule="atLeast"/>
        </w:trPr>
        <w:tc>
          <w:tcPr>
            <w:tcW w:w="56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184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界面话筒</w:t>
            </w:r>
          </w:p>
        </w:tc>
        <w:tc>
          <w:tcPr>
            <w:tcW w:w="485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全指向型界面话筒，支持48V幻象供电</w:t>
            </w:r>
          </w:p>
        </w:tc>
        <w:tc>
          <w:tcPr>
            <w:tcW w:w="81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8</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r>
      <w:tr>
        <w:tblPrEx>
          <w:tblCellMar>
            <w:top w:w="0" w:type="dxa"/>
            <w:left w:w="108" w:type="dxa"/>
            <w:bottom w:w="0" w:type="dxa"/>
            <w:right w:w="108" w:type="dxa"/>
          </w:tblCellMar>
        </w:tblPrEx>
        <w:trPr>
          <w:trHeight w:val="402" w:hRule="atLeast"/>
        </w:trPr>
        <w:tc>
          <w:tcPr>
            <w:tcW w:w="56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w:t>
            </w:r>
          </w:p>
        </w:tc>
        <w:tc>
          <w:tcPr>
            <w:tcW w:w="184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功放</w:t>
            </w:r>
          </w:p>
        </w:tc>
        <w:tc>
          <w:tcPr>
            <w:tcW w:w="485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产品应不低于以下指标参数要求：</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支持2路话筒输入，3路AUX输入；支持1路AUX输出；支持100V、70V定压输出和4Ω～16Ω定阻输出</w:t>
            </w:r>
          </w:p>
        </w:tc>
        <w:tc>
          <w:tcPr>
            <w:tcW w:w="81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r>
      <w:tr>
        <w:tblPrEx>
          <w:tblCellMar>
            <w:top w:w="0" w:type="dxa"/>
            <w:left w:w="108" w:type="dxa"/>
            <w:bottom w:w="0" w:type="dxa"/>
            <w:right w:w="108" w:type="dxa"/>
          </w:tblCellMar>
        </w:tblPrEx>
        <w:trPr>
          <w:trHeight w:val="402" w:hRule="atLeast"/>
        </w:trPr>
        <w:tc>
          <w:tcPr>
            <w:tcW w:w="56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w:t>
            </w:r>
          </w:p>
        </w:tc>
        <w:tc>
          <w:tcPr>
            <w:tcW w:w="184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喇叭</w:t>
            </w:r>
          </w:p>
        </w:tc>
        <w:tc>
          <w:tcPr>
            <w:tcW w:w="485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产品应不低于以下指标参数要求：</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喇叭单元：6.5''X1，1''X1；额定功率：40W；额定输入：70/100V；灵敏度(1m,1W)：91dB±2dB；最大声压级(1m)：107dB±2dB；频率响应：70-20,000Hz </w:t>
            </w:r>
          </w:p>
        </w:tc>
        <w:tc>
          <w:tcPr>
            <w:tcW w:w="81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16</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r>
      <w:tr>
        <w:tblPrEx>
          <w:tblCellMar>
            <w:top w:w="0" w:type="dxa"/>
            <w:left w:w="108" w:type="dxa"/>
            <w:bottom w:w="0" w:type="dxa"/>
            <w:right w:w="108" w:type="dxa"/>
          </w:tblCellMar>
        </w:tblPrEx>
        <w:trPr>
          <w:trHeight w:val="402" w:hRule="atLeast"/>
        </w:trPr>
        <w:tc>
          <w:tcPr>
            <w:tcW w:w="56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6</w:t>
            </w:r>
          </w:p>
        </w:tc>
        <w:tc>
          <w:tcPr>
            <w:tcW w:w="184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时序电源控制器</w:t>
            </w:r>
          </w:p>
        </w:tc>
        <w:tc>
          <w:tcPr>
            <w:tcW w:w="485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产品应不低于以下指标参数要求：</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电源输出接口：8路10A多功能插座；使用控制接面：满足1个 时序按钮开关，1个时序开关LED指示灯，8个单通道按钮开关，8个通道状态LED指示灯</w:t>
            </w:r>
          </w:p>
        </w:tc>
        <w:tc>
          <w:tcPr>
            <w:tcW w:w="81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r>
      <w:tr>
        <w:tblPrEx>
          <w:tblCellMar>
            <w:top w:w="0" w:type="dxa"/>
            <w:left w:w="108" w:type="dxa"/>
            <w:bottom w:w="0" w:type="dxa"/>
            <w:right w:w="108" w:type="dxa"/>
          </w:tblCellMar>
        </w:tblPrEx>
        <w:trPr>
          <w:trHeight w:val="402" w:hRule="atLeast"/>
        </w:trPr>
        <w:tc>
          <w:tcPr>
            <w:tcW w:w="7263"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b/>
                <w:bCs/>
                <w:color w:val="000000"/>
                <w:kern w:val="0"/>
                <w:sz w:val="24"/>
                <w:szCs w:val="24"/>
              </w:rPr>
            </w:pPr>
            <w:r>
              <w:rPr>
                <w:rFonts w:hint="eastAsia" w:ascii="宋体" w:hAnsi="宋体" w:cs="宋体"/>
                <w:b/>
                <w:bCs/>
                <w:color w:val="000000"/>
                <w:kern w:val="0"/>
                <w:sz w:val="24"/>
                <w:szCs w:val="24"/>
              </w:rPr>
              <w:t>3、庭审辅助系统</w:t>
            </w:r>
          </w:p>
        </w:tc>
        <w:tc>
          <w:tcPr>
            <w:tcW w:w="8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709"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r>
      <w:tr>
        <w:trPr>
          <w:trHeight w:val="402" w:hRule="atLeast"/>
        </w:trPr>
        <w:tc>
          <w:tcPr>
            <w:tcW w:w="56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84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bookmarkStart w:id="1" w:name="_Hlk161308986"/>
            <w:r>
              <w:rPr>
                <w:rFonts w:hint="eastAsia" w:ascii="宋体" w:hAnsi="宋体" w:cs="宋体"/>
                <w:color w:val="000000"/>
                <w:kern w:val="0"/>
                <w:sz w:val="24"/>
                <w:szCs w:val="24"/>
              </w:rPr>
              <w:t>法官当事人庭审助手终端</w:t>
            </w:r>
            <w:bookmarkEnd w:id="1"/>
          </w:p>
        </w:tc>
        <w:tc>
          <w:tcPr>
            <w:tcW w:w="485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详见“主要产品技术指标要求”</w:t>
            </w:r>
          </w:p>
        </w:tc>
        <w:tc>
          <w:tcPr>
            <w:tcW w:w="81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20</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r>
      <w:tr>
        <w:tblPrEx>
          <w:tblCellMar>
            <w:top w:w="0" w:type="dxa"/>
            <w:left w:w="108" w:type="dxa"/>
            <w:bottom w:w="0" w:type="dxa"/>
            <w:right w:w="108" w:type="dxa"/>
          </w:tblCellMar>
        </w:tblPrEx>
        <w:trPr>
          <w:trHeight w:val="402" w:hRule="atLeast"/>
        </w:trPr>
        <w:tc>
          <w:tcPr>
            <w:tcW w:w="56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84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电子签名板</w:t>
            </w:r>
          </w:p>
        </w:tc>
        <w:tc>
          <w:tcPr>
            <w:tcW w:w="485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产品应不低于以下指标参数要求：</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1024级压力感应级别，响应率200点/秒，获取具有生物特征数据的电子签名，采用AES256/RAS2048加密技术同，分辨率800*480，</w:t>
            </w:r>
          </w:p>
        </w:tc>
        <w:tc>
          <w:tcPr>
            <w:tcW w:w="81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r>
      <w:tr>
        <w:tblPrEx>
          <w:tblCellMar>
            <w:top w:w="0" w:type="dxa"/>
            <w:left w:w="108" w:type="dxa"/>
            <w:bottom w:w="0" w:type="dxa"/>
            <w:right w:w="108" w:type="dxa"/>
          </w:tblCellMar>
        </w:tblPrEx>
        <w:trPr>
          <w:trHeight w:val="402" w:hRule="atLeast"/>
        </w:trPr>
        <w:tc>
          <w:tcPr>
            <w:tcW w:w="7263"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b/>
                <w:bCs/>
                <w:color w:val="000000"/>
                <w:kern w:val="0"/>
                <w:sz w:val="24"/>
                <w:szCs w:val="24"/>
              </w:rPr>
            </w:pPr>
            <w:r>
              <w:rPr>
                <w:rFonts w:hint="eastAsia" w:ascii="宋体" w:hAnsi="宋体" w:cs="宋体"/>
                <w:b/>
                <w:bCs/>
                <w:color w:val="000000"/>
                <w:kern w:val="0"/>
                <w:sz w:val="24"/>
                <w:szCs w:val="24"/>
              </w:rPr>
              <w:t>4、其它配套</w:t>
            </w:r>
          </w:p>
        </w:tc>
        <w:tc>
          <w:tcPr>
            <w:tcW w:w="8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709"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r>
      <w:tr>
        <w:trPr>
          <w:trHeight w:val="402" w:hRule="atLeast"/>
        </w:trPr>
        <w:tc>
          <w:tcPr>
            <w:tcW w:w="56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84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法庭交换机</w:t>
            </w:r>
          </w:p>
        </w:tc>
        <w:tc>
          <w:tcPr>
            <w:tcW w:w="485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产品应不低于以下指标参数要求：</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24个千兆SFP,8个10/100/1000BASE-T以太网端口,4个万兆SFP+,交流供电,前维护，交换容量432Gbps/4.32Tbps，包转发率120/138Mpps，含4个多模光模块</w:t>
            </w:r>
          </w:p>
        </w:tc>
        <w:tc>
          <w:tcPr>
            <w:tcW w:w="81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r>
      <w:tr>
        <w:tblPrEx>
          <w:tblCellMar>
            <w:top w:w="0" w:type="dxa"/>
            <w:left w:w="108" w:type="dxa"/>
            <w:bottom w:w="0" w:type="dxa"/>
            <w:right w:w="108" w:type="dxa"/>
          </w:tblCellMar>
        </w:tblPrEx>
        <w:trPr>
          <w:trHeight w:val="402" w:hRule="atLeast"/>
        </w:trPr>
        <w:tc>
          <w:tcPr>
            <w:tcW w:w="56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84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线缆辅材</w:t>
            </w:r>
          </w:p>
        </w:tc>
        <w:tc>
          <w:tcPr>
            <w:tcW w:w="485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按照4K庭审系统的配套管线，线缆辅材、成品线缆、小机柜等。</w:t>
            </w:r>
          </w:p>
        </w:tc>
        <w:tc>
          <w:tcPr>
            <w:tcW w:w="81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套</w:t>
            </w:r>
          </w:p>
        </w:tc>
      </w:tr>
      <w:tr>
        <w:trPr>
          <w:trHeight w:val="402" w:hRule="atLeast"/>
        </w:trPr>
        <w:tc>
          <w:tcPr>
            <w:tcW w:w="7263" w:type="dxa"/>
            <w:gridSpan w:val="3"/>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left"/>
              <w:rPr>
                <w:rFonts w:ascii="宋体" w:hAnsi="宋体" w:cs="宋体"/>
                <w:b/>
                <w:bCs/>
                <w:color w:val="000000"/>
                <w:kern w:val="0"/>
                <w:sz w:val="24"/>
                <w:szCs w:val="24"/>
              </w:rPr>
            </w:pPr>
            <w:r>
              <w:rPr>
                <w:rFonts w:hint="eastAsia" w:ascii="宋体" w:hAnsi="宋体" w:cs="宋体"/>
                <w:b/>
                <w:bCs/>
                <w:color w:val="000000"/>
                <w:kern w:val="0"/>
                <w:sz w:val="24"/>
                <w:szCs w:val="24"/>
              </w:rPr>
              <w:t>（二）浦南法院法庭高清庭审系统（3间法庭）</w:t>
            </w:r>
          </w:p>
        </w:tc>
        <w:tc>
          <w:tcPr>
            <w:tcW w:w="81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　</w:t>
            </w:r>
          </w:p>
        </w:tc>
      </w:tr>
      <w:tr>
        <w:tblPrEx>
          <w:tblCellMar>
            <w:top w:w="0" w:type="dxa"/>
            <w:left w:w="108" w:type="dxa"/>
            <w:bottom w:w="0" w:type="dxa"/>
            <w:right w:w="108" w:type="dxa"/>
          </w:tblCellMar>
        </w:tblPrEx>
        <w:trPr>
          <w:trHeight w:val="402" w:hRule="atLeast"/>
        </w:trPr>
        <w:tc>
          <w:tcPr>
            <w:tcW w:w="7263"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b/>
                <w:bCs/>
                <w:color w:val="000000"/>
                <w:kern w:val="0"/>
                <w:sz w:val="24"/>
                <w:szCs w:val="24"/>
              </w:rPr>
            </w:pPr>
            <w:r>
              <w:rPr>
                <w:rFonts w:hint="eastAsia" w:ascii="宋体" w:hAnsi="宋体" w:cs="宋体"/>
                <w:b/>
                <w:bCs/>
                <w:color w:val="000000"/>
                <w:kern w:val="0"/>
                <w:sz w:val="24"/>
                <w:szCs w:val="24"/>
              </w:rPr>
              <w:t>1、视频采集处理系统</w:t>
            </w:r>
          </w:p>
        </w:tc>
        <w:tc>
          <w:tcPr>
            <w:tcW w:w="8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709"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r>
      <w:tr>
        <w:trPr>
          <w:trHeight w:val="402" w:hRule="atLeast"/>
        </w:trPr>
        <w:tc>
          <w:tcPr>
            <w:tcW w:w="56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84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4K高清录播工作站</w:t>
            </w:r>
          </w:p>
        </w:tc>
        <w:tc>
          <w:tcPr>
            <w:tcW w:w="485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详见“主要产品技术指标要求”</w:t>
            </w:r>
          </w:p>
        </w:tc>
        <w:tc>
          <w:tcPr>
            <w:tcW w:w="81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r>
      <w:tr>
        <w:tblPrEx>
          <w:tblCellMar>
            <w:top w:w="0" w:type="dxa"/>
            <w:left w:w="108" w:type="dxa"/>
            <w:bottom w:w="0" w:type="dxa"/>
            <w:right w:w="108" w:type="dxa"/>
          </w:tblCellMar>
        </w:tblPrEx>
        <w:trPr>
          <w:trHeight w:val="402" w:hRule="atLeast"/>
        </w:trPr>
        <w:tc>
          <w:tcPr>
            <w:tcW w:w="56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84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4K超高清摄像机</w:t>
            </w:r>
          </w:p>
        </w:tc>
        <w:tc>
          <w:tcPr>
            <w:tcW w:w="485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详见“主要产品技术指标要求”</w:t>
            </w:r>
          </w:p>
        </w:tc>
        <w:tc>
          <w:tcPr>
            <w:tcW w:w="81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12</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r>
      <w:tr>
        <w:tblPrEx>
          <w:tblCellMar>
            <w:top w:w="0" w:type="dxa"/>
            <w:left w:w="108" w:type="dxa"/>
            <w:bottom w:w="0" w:type="dxa"/>
            <w:right w:w="108" w:type="dxa"/>
          </w:tblCellMar>
        </w:tblPrEx>
        <w:trPr>
          <w:trHeight w:val="402" w:hRule="atLeast"/>
        </w:trPr>
        <w:tc>
          <w:tcPr>
            <w:tcW w:w="56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184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摄像机支架</w:t>
            </w:r>
          </w:p>
        </w:tc>
        <w:tc>
          <w:tcPr>
            <w:tcW w:w="485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与高清摄像机配套，L型或U型；</w:t>
            </w:r>
          </w:p>
        </w:tc>
        <w:tc>
          <w:tcPr>
            <w:tcW w:w="81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12</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r>
      <w:tr>
        <w:trPr>
          <w:trHeight w:val="402" w:hRule="atLeast"/>
        </w:trPr>
        <w:tc>
          <w:tcPr>
            <w:tcW w:w="56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w:t>
            </w:r>
          </w:p>
        </w:tc>
        <w:tc>
          <w:tcPr>
            <w:tcW w:w="184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摄像机集中供电模块</w:t>
            </w:r>
          </w:p>
        </w:tc>
        <w:tc>
          <w:tcPr>
            <w:tcW w:w="485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摄像机集中供电模块</w:t>
            </w:r>
          </w:p>
        </w:tc>
        <w:tc>
          <w:tcPr>
            <w:tcW w:w="81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r>
      <w:tr>
        <w:tblPrEx>
          <w:tblCellMar>
            <w:top w:w="0" w:type="dxa"/>
            <w:left w:w="108" w:type="dxa"/>
            <w:bottom w:w="0" w:type="dxa"/>
            <w:right w:w="108" w:type="dxa"/>
          </w:tblCellMar>
        </w:tblPrEx>
        <w:trPr>
          <w:trHeight w:val="402" w:hRule="atLeast"/>
        </w:trPr>
        <w:tc>
          <w:tcPr>
            <w:tcW w:w="56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w:t>
            </w:r>
          </w:p>
        </w:tc>
        <w:tc>
          <w:tcPr>
            <w:tcW w:w="184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视频压缩编码器</w:t>
            </w:r>
          </w:p>
        </w:tc>
        <w:tc>
          <w:tcPr>
            <w:tcW w:w="485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详见“主要产品技术指标要求”</w:t>
            </w:r>
          </w:p>
        </w:tc>
        <w:tc>
          <w:tcPr>
            <w:tcW w:w="81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r>
      <w:tr>
        <w:tblPrEx>
          <w:tblCellMar>
            <w:top w:w="0" w:type="dxa"/>
            <w:left w:w="108" w:type="dxa"/>
            <w:bottom w:w="0" w:type="dxa"/>
            <w:right w:w="108" w:type="dxa"/>
          </w:tblCellMar>
        </w:tblPrEx>
        <w:trPr>
          <w:trHeight w:val="402" w:hRule="atLeast"/>
        </w:trPr>
        <w:tc>
          <w:tcPr>
            <w:tcW w:w="7263"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b/>
                <w:bCs/>
                <w:color w:val="000000"/>
                <w:kern w:val="0"/>
                <w:sz w:val="24"/>
                <w:szCs w:val="24"/>
              </w:rPr>
            </w:pPr>
            <w:r>
              <w:rPr>
                <w:rFonts w:hint="eastAsia" w:ascii="宋体" w:hAnsi="宋体" w:cs="宋体"/>
                <w:b/>
                <w:bCs/>
                <w:color w:val="000000"/>
                <w:kern w:val="0"/>
                <w:sz w:val="24"/>
                <w:szCs w:val="24"/>
              </w:rPr>
              <w:t>2、音频采集处理系统</w:t>
            </w:r>
          </w:p>
        </w:tc>
        <w:tc>
          <w:tcPr>
            <w:tcW w:w="8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709"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02" w:hRule="atLeast"/>
        </w:trPr>
        <w:tc>
          <w:tcPr>
            <w:tcW w:w="56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84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数字音频矩阵</w:t>
            </w:r>
          </w:p>
        </w:tc>
        <w:tc>
          <w:tcPr>
            <w:tcW w:w="485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详见“主要产品技术指标要求”</w:t>
            </w:r>
          </w:p>
        </w:tc>
        <w:tc>
          <w:tcPr>
            <w:tcW w:w="81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r>
      <w:tr>
        <w:trPr>
          <w:trHeight w:val="402" w:hRule="atLeast"/>
        </w:trPr>
        <w:tc>
          <w:tcPr>
            <w:tcW w:w="56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84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高指向桌面话筒</w:t>
            </w:r>
          </w:p>
        </w:tc>
        <w:tc>
          <w:tcPr>
            <w:tcW w:w="485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产品应不低于以下指标参数要求：</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桌面鹅颈式麦克风，1.换能方式： 电容式 ；2.指向性： 单指向 ；3.卡侬头支持48幻象供电</w:t>
            </w:r>
          </w:p>
        </w:tc>
        <w:tc>
          <w:tcPr>
            <w:tcW w:w="81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24</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r>
      <w:tr>
        <w:tblPrEx>
          <w:tblCellMar>
            <w:top w:w="0" w:type="dxa"/>
            <w:left w:w="108" w:type="dxa"/>
            <w:bottom w:w="0" w:type="dxa"/>
            <w:right w:w="108" w:type="dxa"/>
          </w:tblCellMar>
        </w:tblPrEx>
        <w:trPr>
          <w:trHeight w:val="402" w:hRule="atLeast"/>
        </w:trPr>
        <w:tc>
          <w:tcPr>
            <w:tcW w:w="56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184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界面话筒</w:t>
            </w:r>
          </w:p>
        </w:tc>
        <w:tc>
          <w:tcPr>
            <w:tcW w:w="485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产品应不低于以下指标参数要求：</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全指向型界面话筒，支持48V幻象供电</w:t>
            </w:r>
          </w:p>
        </w:tc>
        <w:tc>
          <w:tcPr>
            <w:tcW w:w="81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6</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r>
      <w:tr>
        <w:trPr>
          <w:trHeight w:val="402" w:hRule="atLeast"/>
        </w:trPr>
        <w:tc>
          <w:tcPr>
            <w:tcW w:w="56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w:t>
            </w:r>
          </w:p>
        </w:tc>
        <w:tc>
          <w:tcPr>
            <w:tcW w:w="184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功放</w:t>
            </w:r>
          </w:p>
        </w:tc>
        <w:tc>
          <w:tcPr>
            <w:tcW w:w="485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产品应不低于以下指标参数要求：</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支持2路话筒输入，3路AUX输入；支持1路AUX输出；支持100V、70V定压输出和4Ω～16Ω定阻输出</w:t>
            </w:r>
          </w:p>
        </w:tc>
        <w:tc>
          <w:tcPr>
            <w:tcW w:w="81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r>
      <w:tr>
        <w:tblPrEx>
          <w:tblCellMar>
            <w:top w:w="0" w:type="dxa"/>
            <w:left w:w="108" w:type="dxa"/>
            <w:bottom w:w="0" w:type="dxa"/>
            <w:right w:w="108" w:type="dxa"/>
          </w:tblCellMar>
        </w:tblPrEx>
        <w:trPr>
          <w:trHeight w:val="402" w:hRule="atLeast"/>
        </w:trPr>
        <w:tc>
          <w:tcPr>
            <w:tcW w:w="56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w:t>
            </w:r>
          </w:p>
        </w:tc>
        <w:tc>
          <w:tcPr>
            <w:tcW w:w="184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喇叭</w:t>
            </w:r>
          </w:p>
        </w:tc>
        <w:tc>
          <w:tcPr>
            <w:tcW w:w="485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产品应不低于以下指标参数要求：</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喇叭单元：6.5''X1，1''X1；额定功率：40W；额定输入：70/100V；灵敏度(1m,1W)：91dB±2dB；最大声压级(1m)：107dB±2dB；频率响应：70-20,000Hz </w:t>
            </w:r>
          </w:p>
        </w:tc>
        <w:tc>
          <w:tcPr>
            <w:tcW w:w="81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12</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r>
      <w:tr>
        <w:trPr>
          <w:trHeight w:val="402" w:hRule="atLeast"/>
        </w:trPr>
        <w:tc>
          <w:tcPr>
            <w:tcW w:w="56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6</w:t>
            </w:r>
          </w:p>
        </w:tc>
        <w:tc>
          <w:tcPr>
            <w:tcW w:w="184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时序电源控制器</w:t>
            </w:r>
          </w:p>
        </w:tc>
        <w:tc>
          <w:tcPr>
            <w:tcW w:w="485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产品应不低于以下指标参数要求：</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电源输出接口：8路10A多功能插座；使用控制接面：满足1个 时序按钮开关，1个时序开关LED指示灯，8个单通道按钮开关，8个通道状态LED指示灯</w:t>
            </w:r>
          </w:p>
        </w:tc>
        <w:tc>
          <w:tcPr>
            <w:tcW w:w="81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r>
      <w:tr>
        <w:tblPrEx>
          <w:tblCellMar>
            <w:top w:w="0" w:type="dxa"/>
            <w:left w:w="108" w:type="dxa"/>
            <w:bottom w:w="0" w:type="dxa"/>
            <w:right w:w="108" w:type="dxa"/>
          </w:tblCellMar>
        </w:tblPrEx>
        <w:trPr>
          <w:trHeight w:val="402" w:hRule="atLeast"/>
        </w:trPr>
        <w:tc>
          <w:tcPr>
            <w:tcW w:w="7263"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b/>
                <w:bCs/>
                <w:color w:val="000000"/>
                <w:kern w:val="0"/>
                <w:sz w:val="24"/>
                <w:szCs w:val="24"/>
              </w:rPr>
            </w:pPr>
            <w:r>
              <w:rPr>
                <w:rFonts w:hint="eastAsia" w:ascii="宋体" w:hAnsi="宋体" w:cs="宋体"/>
                <w:b/>
                <w:bCs/>
                <w:color w:val="000000"/>
                <w:kern w:val="0"/>
                <w:sz w:val="24"/>
                <w:szCs w:val="24"/>
              </w:rPr>
              <w:t>3、庭审辅助系统</w:t>
            </w:r>
          </w:p>
        </w:tc>
        <w:tc>
          <w:tcPr>
            <w:tcW w:w="8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709"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02" w:hRule="atLeast"/>
        </w:trPr>
        <w:tc>
          <w:tcPr>
            <w:tcW w:w="56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84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法官当事人庭审助手终端</w:t>
            </w:r>
          </w:p>
        </w:tc>
        <w:tc>
          <w:tcPr>
            <w:tcW w:w="485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详见“主要产品技术指标要求”</w:t>
            </w:r>
          </w:p>
        </w:tc>
        <w:tc>
          <w:tcPr>
            <w:tcW w:w="81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15</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r>
      <w:tr>
        <w:tblPrEx>
          <w:tblCellMar>
            <w:top w:w="0" w:type="dxa"/>
            <w:left w:w="108" w:type="dxa"/>
            <w:bottom w:w="0" w:type="dxa"/>
            <w:right w:w="108" w:type="dxa"/>
          </w:tblCellMar>
        </w:tblPrEx>
        <w:trPr>
          <w:trHeight w:val="402" w:hRule="atLeast"/>
        </w:trPr>
        <w:tc>
          <w:tcPr>
            <w:tcW w:w="56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84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电子签名板</w:t>
            </w:r>
          </w:p>
        </w:tc>
        <w:tc>
          <w:tcPr>
            <w:tcW w:w="485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产品应不低于以下指标参数要求：</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1024级压力感应级别，响应率200点/秒，获取具有生物特征数据的电子签名，采用AES256/RAS2048加密技术同，分辨率800*480，</w:t>
            </w:r>
          </w:p>
        </w:tc>
        <w:tc>
          <w:tcPr>
            <w:tcW w:w="81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r>
      <w:tr>
        <w:tblPrEx>
          <w:tblCellMar>
            <w:top w:w="0" w:type="dxa"/>
            <w:left w:w="108" w:type="dxa"/>
            <w:bottom w:w="0" w:type="dxa"/>
            <w:right w:w="108" w:type="dxa"/>
          </w:tblCellMar>
        </w:tblPrEx>
        <w:trPr>
          <w:trHeight w:val="402" w:hRule="atLeast"/>
        </w:trPr>
        <w:tc>
          <w:tcPr>
            <w:tcW w:w="7263"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b/>
                <w:bCs/>
                <w:color w:val="000000"/>
                <w:kern w:val="0"/>
                <w:sz w:val="24"/>
                <w:szCs w:val="24"/>
              </w:rPr>
            </w:pPr>
            <w:r>
              <w:rPr>
                <w:rFonts w:hint="eastAsia" w:ascii="宋体" w:hAnsi="宋体" w:cs="宋体"/>
                <w:b/>
                <w:bCs/>
                <w:color w:val="000000"/>
                <w:kern w:val="0"/>
                <w:sz w:val="24"/>
                <w:szCs w:val="24"/>
              </w:rPr>
              <w:t>4、公告屏系统</w:t>
            </w:r>
          </w:p>
        </w:tc>
        <w:tc>
          <w:tcPr>
            <w:tcW w:w="8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709"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02" w:hRule="atLeast"/>
        </w:trPr>
        <w:tc>
          <w:tcPr>
            <w:tcW w:w="56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84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信息公告发布屏</w:t>
            </w:r>
          </w:p>
        </w:tc>
        <w:tc>
          <w:tcPr>
            <w:tcW w:w="485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产品应不低于以下指标参数要求：</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21.5寸专用公告屏</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分辨率：1920*1080，亮度：350cd/，CPU：四核1.5GHz，内存：1G+16G</w:t>
            </w:r>
          </w:p>
        </w:tc>
        <w:tc>
          <w:tcPr>
            <w:tcW w:w="81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r>
      <w:tr>
        <w:tblPrEx>
          <w:tblCellMar>
            <w:top w:w="0" w:type="dxa"/>
            <w:left w:w="108" w:type="dxa"/>
            <w:bottom w:w="0" w:type="dxa"/>
            <w:right w:w="108" w:type="dxa"/>
          </w:tblCellMar>
        </w:tblPrEx>
        <w:trPr>
          <w:trHeight w:val="402" w:hRule="atLeast"/>
        </w:trPr>
        <w:tc>
          <w:tcPr>
            <w:tcW w:w="7263"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b/>
                <w:bCs/>
                <w:color w:val="000000"/>
                <w:kern w:val="0"/>
                <w:sz w:val="24"/>
                <w:szCs w:val="24"/>
              </w:rPr>
            </w:pPr>
            <w:r>
              <w:rPr>
                <w:rFonts w:hint="eastAsia" w:ascii="宋体" w:hAnsi="宋体" w:cs="宋体"/>
                <w:b/>
                <w:bCs/>
                <w:color w:val="000000"/>
                <w:kern w:val="0"/>
                <w:sz w:val="24"/>
                <w:szCs w:val="24"/>
              </w:rPr>
              <w:t>5、其它配套</w:t>
            </w:r>
          </w:p>
        </w:tc>
        <w:tc>
          <w:tcPr>
            <w:tcW w:w="8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709"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02" w:hRule="atLeast"/>
        </w:trPr>
        <w:tc>
          <w:tcPr>
            <w:tcW w:w="56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84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法庭交换机</w:t>
            </w:r>
          </w:p>
        </w:tc>
        <w:tc>
          <w:tcPr>
            <w:tcW w:w="485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产品应不低于以下指标参数要求：</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24个千兆SFP,8个10/100/1000BASE-T以太网端口,4个万兆SFP+,交流供电,前维护，交换容量432Gbps/4.32Tbps，包转发率120/138Mpps，含4个多模光模块</w:t>
            </w:r>
          </w:p>
        </w:tc>
        <w:tc>
          <w:tcPr>
            <w:tcW w:w="81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r>
      <w:tr>
        <w:trPr>
          <w:trHeight w:val="402" w:hRule="atLeast"/>
        </w:trPr>
        <w:tc>
          <w:tcPr>
            <w:tcW w:w="56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84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线缆辅材</w:t>
            </w:r>
          </w:p>
        </w:tc>
        <w:tc>
          <w:tcPr>
            <w:tcW w:w="485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按照4K庭审系统的配套管线，线缆辅材、成品线缆、小机柜等。</w:t>
            </w:r>
          </w:p>
        </w:tc>
        <w:tc>
          <w:tcPr>
            <w:tcW w:w="81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套</w:t>
            </w:r>
          </w:p>
        </w:tc>
      </w:tr>
      <w:tr>
        <w:tblPrEx>
          <w:tblCellMar>
            <w:top w:w="0" w:type="dxa"/>
            <w:left w:w="108" w:type="dxa"/>
            <w:bottom w:w="0" w:type="dxa"/>
            <w:right w:w="108" w:type="dxa"/>
          </w:tblCellMar>
        </w:tblPrEx>
        <w:trPr>
          <w:trHeight w:val="402" w:hRule="atLeast"/>
        </w:trPr>
        <w:tc>
          <w:tcPr>
            <w:tcW w:w="7263" w:type="dxa"/>
            <w:gridSpan w:val="3"/>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left"/>
              <w:rPr>
                <w:rFonts w:ascii="宋体" w:hAnsi="宋体" w:cs="宋体"/>
                <w:b/>
                <w:bCs/>
                <w:color w:val="000000"/>
                <w:kern w:val="0"/>
                <w:sz w:val="24"/>
                <w:szCs w:val="24"/>
              </w:rPr>
            </w:pPr>
            <w:r>
              <w:rPr>
                <w:rFonts w:hint="eastAsia" w:ascii="宋体" w:hAnsi="宋体" w:cs="宋体"/>
                <w:b/>
                <w:bCs/>
                <w:color w:val="000000"/>
                <w:kern w:val="0"/>
                <w:sz w:val="24"/>
                <w:szCs w:val="24"/>
              </w:rPr>
              <w:t>（三）G60示范庭高清庭审系统（1间示范法庭）</w:t>
            </w:r>
          </w:p>
        </w:tc>
        <w:tc>
          <w:tcPr>
            <w:tcW w:w="81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　</w:t>
            </w:r>
          </w:p>
        </w:tc>
      </w:tr>
      <w:tr>
        <w:trPr>
          <w:trHeight w:val="402" w:hRule="atLeast"/>
        </w:trPr>
        <w:tc>
          <w:tcPr>
            <w:tcW w:w="7263"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b/>
                <w:bCs/>
                <w:color w:val="000000"/>
                <w:kern w:val="0"/>
                <w:sz w:val="24"/>
                <w:szCs w:val="24"/>
              </w:rPr>
            </w:pPr>
            <w:r>
              <w:rPr>
                <w:rFonts w:hint="eastAsia" w:ascii="宋体" w:hAnsi="宋体" w:cs="宋体"/>
                <w:b/>
                <w:bCs/>
                <w:color w:val="000000"/>
                <w:kern w:val="0"/>
                <w:sz w:val="24"/>
                <w:szCs w:val="24"/>
              </w:rPr>
              <w:t>1、视频采集处理系统</w:t>
            </w:r>
          </w:p>
        </w:tc>
        <w:tc>
          <w:tcPr>
            <w:tcW w:w="8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709"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02" w:hRule="atLeast"/>
        </w:trPr>
        <w:tc>
          <w:tcPr>
            <w:tcW w:w="56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84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4K高清录播工作站</w:t>
            </w:r>
          </w:p>
        </w:tc>
        <w:tc>
          <w:tcPr>
            <w:tcW w:w="485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详见“主要产品技术指标要求”</w:t>
            </w:r>
          </w:p>
        </w:tc>
        <w:tc>
          <w:tcPr>
            <w:tcW w:w="81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r>
      <w:tr>
        <w:trPr>
          <w:trHeight w:val="402" w:hRule="atLeast"/>
        </w:trPr>
        <w:tc>
          <w:tcPr>
            <w:tcW w:w="56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84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4K超高清摄像机</w:t>
            </w:r>
          </w:p>
        </w:tc>
        <w:tc>
          <w:tcPr>
            <w:tcW w:w="485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详见“主要产品技术指标要求”</w:t>
            </w:r>
          </w:p>
        </w:tc>
        <w:tc>
          <w:tcPr>
            <w:tcW w:w="81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r>
      <w:tr>
        <w:tblPrEx>
          <w:tblCellMar>
            <w:top w:w="0" w:type="dxa"/>
            <w:left w:w="108" w:type="dxa"/>
            <w:bottom w:w="0" w:type="dxa"/>
            <w:right w:w="108" w:type="dxa"/>
          </w:tblCellMar>
        </w:tblPrEx>
        <w:trPr>
          <w:trHeight w:val="402" w:hRule="atLeast"/>
        </w:trPr>
        <w:tc>
          <w:tcPr>
            <w:tcW w:w="56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184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摄像机支架</w:t>
            </w:r>
          </w:p>
        </w:tc>
        <w:tc>
          <w:tcPr>
            <w:tcW w:w="485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与高清摄像机配套，L型或U型；</w:t>
            </w:r>
          </w:p>
        </w:tc>
        <w:tc>
          <w:tcPr>
            <w:tcW w:w="81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r>
      <w:tr>
        <w:tblPrEx>
          <w:tblCellMar>
            <w:top w:w="0" w:type="dxa"/>
            <w:left w:w="108" w:type="dxa"/>
            <w:bottom w:w="0" w:type="dxa"/>
            <w:right w:w="108" w:type="dxa"/>
          </w:tblCellMar>
        </w:tblPrEx>
        <w:trPr>
          <w:trHeight w:val="402" w:hRule="atLeast"/>
        </w:trPr>
        <w:tc>
          <w:tcPr>
            <w:tcW w:w="56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w:t>
            </w:r>
          </w:p>
        </w:tc>
        <w:tc>
          <w:tcPr>
            <w:tcW w:w="184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摄像机集中供电模块</w:t>
            </w:r>
          </w:p>
        </w:tc>
        <w:tc>
          <w:tcPr>
            <w:tcW w:w="485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摄像机集中供电模块</w:t>
            </w:r>
          </w:p>
        </w:tc>
        <w:tc>
          <w:tcPr>
            <w:tcW w:w="81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r>
      <w:tr>
        <w:tblPrEx>
          <w:tblCellMar>
            <w:top w:w="0" w:type="dxa"/>
            <w:left w:w="108" w:type="dxa"/>
            <w:bottom w:w="0" w:type="dxa"/>
            <w:right w:w="108" w:type="dxa"/>
          </w:tblCellMar>
        </w:tblPrEx>
        <w:trPr>
          <w:trHeight w:val="402" w:hRule="atLeast"/>
        </w:trPr>
        <w:tc>
          <w:tcPr>
            <w:tcW w:w="56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w:t>
            </w:r>
          </w:p>
        </w:tc>
        <w:tc>
          <w:tcPr>
            <w:tcW w:w="184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视频压缩编码器</w:t>
            </w:r>
          </w:p>
        </w:tc>
        <w:tc>
          <w:tcPr>
            <w:tcW w:w="485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详见“主要产品技术指标要求”</w:t>
            </w:r>
          </w:p>
        </w:tc>
        <w:tc>
          <w:tcPr>
            <w:tcW w:w="81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r>
      <w:tr>
        <w:tblPrEx>
          <w:tblCellMar>
            <w:top w:w="0" w:type="dxa"/>
            <w:left w:w="108" w:type="dxa"/>
            <w:bottom w:w="0" w:type="dxa"/>
            <w:right w:w="108" w:type="dxa"/>
          </w:tblCellMar>
        </w:tblPrEx>
        <w:trPr>
          <w:trHeight w:val="402" w:hRule="atLeast"/>
        </w:trPr>
        <w:tc>
          <w:tcPr>
            <w:tcW w:w="7263"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b/>
                <w:bCs/>
                <w:color w:val="000000"/>
                <w:kern w:val="0"/>
                <w:sz w:val="24"/>
                <w:szCs w:val="24"/>
              </w:rPr>
            </w:pPr>
            <w:r>
              <w:rPr>
                <w:rFonts w:hint="eastAsia" w:ascii="宋体" w:hAnsi="宋体" w:cs="宋体"/>
                <w:b/>
                <w:bCs/>
                <w:color w:val="000000"/>
                <w:kern w:val="0"/>
                <w:sz w:val="24"/>
                <w:szCs w:val="24"/>
              </w:rPr>
              <w:t>2、音频采集处理系统</w:t>
            </w:r>
          </w:p>
        </w:tc>
        <w:tc>
          <w:tcPr>
            <w:tcW w:w="8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709"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02" w:hRule="atLeast"/>
        </w:trPr>
        <w:tc>
          <w:tcPr>
            <w:tcW w:w="56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84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数字音频矩阵</w:t>
            </w:r>
          </w:p>
        </w:tc>
        <w:tc>
          <w:tcPr>
            <w:tcW w:w="485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详见“主要产品技术指标要求”</w:t>
            </w:r>
          </w:p>
        </w:tc>
        <w:tc>
          <w:tcPr>
            <w:tcW w:w="81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r>
      <w:tr>
        <w:tblPrEx>
          <w:tblCellMar>
            <w:top w:w="0" w:type="dxa"/>
            <w:left w:w="108" w:type="dxa"/>
            <w:bottom w:w="0" w:type="dxa"/>
            <w:right w:w="108" w:type="dxa"/>
          </w:tblCellMar>
        </w:tblPrEx>
        <w:trPr>
          <w:trHeight w:val="402" w:hRule="atLeast"/>
        </w:trPr>
        <w:tc>
          <w:tcPr>
            <w:tcW w:w="56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84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高指向桌面话筒</w:t>
            </w:r>
          </w:p>
        </w:tc>
        <w:tc>
          <w:tcPr>
            <w:tcW w:w="485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产品应不低于以下指标参数要求：</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桌面鹅颈式麦克风，1.换能方式： 电容式 ；2.指向性： 单指向 ；3.卡侬头支持48幻象供电</w:t>
            </w:r>
          </w:p>
        </w:tc>
        <w:tc>
          <w:tcPr>
            <w:tcW w:w="81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8</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r>
      <w:tr>
        <w:tblPrEx>
          <w:tblCellMar>
            <w:top w:w="0" w:type="dxa"/>
            <w:left w:w="108" w:type="dxa"/>
            <w:bottom w:w="0" w:type="dxa"/>
            <w:right w:w="108" w:type="dxa"/>
          </w:tblCellMar>
        </w:tblPrEx>
        <w:trPr>
          <w:trHeight w:val="402" w:hRule="atLeast"/>
        </w:trPr>
        <w:tc>
          <w:tcPr>
            <w:tcW w:w="56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184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界面话筒</w:t>
            </w:r>
          </w:p>
        </w:tc>
        <w:tc>
          <w:tcPr>
            <w:tcW w:w="485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产品应不低于以下指标参数要求：</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全指向型界面话筒，支持48V幻象供电</w:t>
            </w:r>
          </w:p>
        </w:tc>
        <w:tc>
          <w:tcPr>
            <w:tcW w:w="81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r>
      <w:tr>
        <w:trPr>
          <w:trHeight w:val="402" w:hRule="atLeast"/>
        </w:trPr>
        <w:tc>
          <w:tcPr>
            <w:tcW w:w="56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w:t>
            </w:r>
          </w:p>
        </w:tc>
        <w:tc>
          <w:tcPr>
            <w:tcW w:w="184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功放</w:t>
            </w:r>
          </w:p>
        </w:tc>
        <w:tc>
          <w:tcPr>
            <w:tcW w:w="485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产品应不低于以下指标参数要求：</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支持2路话筒输入，3路AUX输入；支持1路AUX输出；支持100V、70V定压输出和4Ω～16Ω定阻输出</w:t>
            </w:r>
          </w:p>
        </w:tc>
        <w:tc>
          <w:tcPr>
            <w:tcW w:w="81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r>
      <w:tr>
        <w:tblPrEx>
          <w:tblCellMar>
            <w:top w:w="0" w:type="dxa"/>
            <w:left w:w="108" w:type="dxa"/>
            <w:bottom w:w="0" w:type="dxa"/>
            <w:right w:w="108" w:type="dxa"/>
          </w:tblCellMar>
        </w:tblPrEx>
        <w:trPr>
          <w:trHeight w:val="402" w:hRule="atLeast"/>
        </w:trPr>
        <w:tc>
          <w:tcPr>
            <w:tcW w:w="56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w:t>
            </w:r>
          </w:p>
        </w:tc>
        <w:tc>
          <w:tcPr>
            <w:tcW w:w="184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喇叭</w:t>
            </w:r>
          </w:p>
        </w:tc>
        <w:tc>
          <w:tcPr>
            <w:tcW w:w="485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产品应不低于以下指标参数要求：</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喇叭单元：6.5''X1，1''X1；额定功率：40W；额定输入：70/100V；灵敏度(1m,1W)：91dB±2dB；最大声压级(1m)：107dB±2dB；频率响应：70-20,000Hz </w:t>
            </w:r>
          </w:p>
        </w:tc>
        <w:tc>
          <w:tcPr>
            <w:tcW w:w="81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r>
      <w:tr>
        <w:trPr>
          <w:trHeight w:val="402" w:hRule="atLeast"/>
        </w:trPr>
        <w:tc>
          <w:tcPr>
            <w:tcW w:w="56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6</w:t>
            </w:r>
          </w:p>
        </w:tc>
        <w:tc>
          <w:tcPr>
            <w:tcW w:w="184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时序电源控制器</w:t>
            </w:r>
          </w:p>
        </w:tc>
        <w:tc>
          <w:tcPr>
            <w:tcW w:w="485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产品应不低于以下指标参数要求：</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电源输出接口：8路10A多功能插座；使用控制接面：满足1个 时序按钮开关，1个时序开关LED指示灯，8个单通道按钮开关，8个通道状态LED指示灯</w:t>
            </w:r>
          </w:p>
        </w:tc>
        <w:tc>
          <w:tcPr>
            <w:tcW w:w="81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r>
      <w:tr>
        <w:tblPrEx>
          <w:tblCellMar>
            <w:top w:w="0" w:type="dxa"/>
            <w:left w:w="108" w:type="dxa"/>
            <w:bottom w:w="0" w:type="dxa"/>
            <w:right w:w="108" w:type="dxa"/>
          </w:tblCellMar>
        </w:tblPrEx>
        <w:trPr>
          <w:trHeight w:val="402" w:hRule="atLeast"/>
        </w:trPr>
        <w:tc>
          <w:tcPr>
            <w:tcW w:w="7263"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b/>
                <w:bCs/>
                <w:color w:val="000000"/>
                <w:kern w:val="0"/>
                <w:sz w:val="24"/>
                <w:szCs w:val="24"/>
              </w:rPr>
            </w:pPr>
            <w:r>
              <w:rPr>
                <w:rFonts w:hint="eastAsia" w:ascii="宋体" w:hAnsi="宋体" w:cs="宋体"/>
                <w:b/>
                <w:bCs/>
                <w:color w:val="000000"/>
                <w:kern w:val="0"/>
                <w:sz w:val="24"/>
                <w:szCs w:val="24"/>
              </w:rPr>
              <w:t>3、庭审辅助系统</w:t>
            </w:r>
          </w:p>
        </w:tc>
        <w:tc>
          <w:tcPr>
            <w:tcW w:w="8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709"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02" w:hRule="atLeast"/>
        </w:trPr>
        <w:tc>
          <w:tcPr>
            <w:tcW w:w="56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84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法官当事人庭审助手终端</w:t>
            </w:r>
          </w:p>
        </w:tc>
        <w:tc>
          <w:tcPr>
            <w:tcW w:w="485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详见“主要产品技术指标要求”</w:t>
            </w:r>
          </w:p>
        </w:tc>
        <w:tc>
          <w:tcPr>
            <w:tcW w:w="81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r>
      <w:tr>
        <w:tblPrEx>
          <w:tblCellMar>
            <w:top w:w="0" w:type="dxa"/>
            <w:left w:w="108" w:type="dxa"/>
            <w:bottom w:w="0" w:type="dxa"/>
            <w:right w:w="108" w:type="dxa"/>
          </w:tblCellMar>
        </w:tblPrEx>
        <w:trPr>
          <w:trHeight w:val="402" w:hRule="atLeast"/>
        </w:trPr>
        <w:tc>
          <w:tcPr>
            <w:tcW w:w="56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84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电子签名板</w:t>
            </w:r>
          </w:p>
        </w:tc>
        <w:tc>
          <w:tcPr>
            <w:tcW w:w="485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产品应不低于以下指标参数要求：</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1024级压力感应级别，响应率200点/秒，采用AES256/RAS2048加密技术同，分辨率800*480，</w:t>
            </w:r>
          </w:p>
        </w:tc>
        <w:tc>
          <w:tcPr>
            <w:tcW w:w="81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r>
      <w:tr>
        <w:trPr>
          <w:trHeight w:val="402" w:hRule="atLeast"/>
        </w:trPr>
        <w:tc>
          <w:tcPr>
            <w:tcW w:w="7263"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b/>
                <w:bCs/>
                <w:color w:val="000000"/>
                <w:kern w:val="0"/>
                <w:sz w:val="24"/>
                <w:szCs w:val="24"/>
              </w:rPr>
            </w:pPr>
            <w:r>
              <w:rPr>
                <w:rFonts w:hint="eastAsia" w:ascii="宋体" w:hAnsi="宋体" w:cs="宋体"/>
                <w:b/>
                <w:bCs/>
                <w:color w:val="000000"/>
                <w:kern w:val="0"/>
                <w:sz w:val="24"/>
                <w:szCs w:val="24"/>
              </w:rPr>
              <w:t>4、高清示证系统</w:t>
            </w:r>
          </w:p>
        </w:tc>
        <w:tc>
          <w:tcPr>
            <w:tcW w:w="8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709"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02" w:hRule="atLeast"/>
        </w:trPr>
        <w:tc>
          <w:tcPr>
            <w:tcW w:w="56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84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高清示证系统显示器</w:t>
            </w:r>
          </w:p>
        </w:tc>
        <w:tc>
          <w:tcPr>
            <w:tcW w:w="485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产品应不低于以下指标参数要求：产品应不低于以下指标参数要求：65寸，4K（3840*2160）</w:t>
            </w:r>
          </w:p>
        </w:tc>
        <w:tc>
          <w:tcPr>
            <w:tcW w:w="81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r>
      <w:tr>
        <w:tblPrEx>
          <w:tblCellMar>
            <w:top w:w="0" w:type="dxa"/>
            <w:left w:w="108" w:type="dxa"/>
            <w:bottom w:w="0" w:type="dxa"/>
            <w:right w:w="108" w:type="dxa"/>
          </w:tblCellMar>
        </w:tblPrEx>
        <w:trPr>
          <w:trHeight w:val="402" w:hRule="atLeast"/>
        </w:trPr>
        <w:tc>
          <w:tcPr>
            <w:tcW w:w="56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84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高清示证系统显示器支架</w:t>
            </w:r>
          </w:p>
        </w:tc>
        <w:tc>
          <w:tcPr>
            <w:tcW w:w="485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根据法庭环境选择壁装、吊顶，可上下调节。</w:t>
            </w:r>
          </w:p>
        </w:tc>
        <w:tc>
          <w:tcPr>
            <w:tcW w:w="81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r>
      <w:tr>
        <w:tblPrEx>
          <w:tblCellMar>
            <w:top w:w="0" w:type="dxa"/>
            <w:left w:w="108" w:type="dxa"/>
            <w:bottom w:w="0" w:type="dxa"/>
            <w:right w:w="108" w:type="dxa"/>
          </w:tblCellMar>
        </w:tblPrEx>
        <w:trPr>
          <w:trHeight w:val="402" w:hRule="atLeast"/>
        </w:trPr>
        <w:tc>
          <w:tcPr>
            <w:tcW w:w="56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184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高清混合矩阵</w:t>
            </w:r>
          </w:p>
        </w:tc>
        <w:tc>
          <w:tcPr>
            <w:tcW w:w="485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详见“主要产品技术指标要求”</w:t>
            </w:r>
          </w:p>
        </w:tc>
        <w:tc>
          <w:tcPr>
            <w:tcW w:w="81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r>
      <w:tr>
        <w:tblPrEx>
          <w:tblCellMar>
            <w:top w:w="0" w:type="dxa"/>
            <w:left w:w="108" w:type="dxa"/>
            <w:bottom w:w="0" w:type="dxa"/>
            <w:right w:w="108" w:type="dxa"/>
          </w:tblCellMar>
        </w:tblPrEx>
        <w:trPr>
          <w:trHeight w:val="402" w:hRule="atLeast"/>
        </w:trPr>
        <w:tc>
          <w:tcPr>
            <w:tcW w:w="56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w:t>
            </w:r>
          </w:p>
        </w:tc>
        <w:tc>
          <w:tcPr>
            <w:tcW w:w="184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高清多媒体播放器</w:t>
            </w:r>
          </w:p>
        </w:tc>
        <w:tc>
          <w:tcPr>
            <w:tcW w:w="485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产品应不低于以下指标参数要求：</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蓝光DVD，输入端口：USB、DVD；读取光盘格式：DVD、CD、VCD等</w:t>
            </w:r>
          </w:p>
        </w:tc>
        <w:tc>
          <w:tcPr>
            <w:tcW w:w="81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r>
      <w:tr>
        <w:tblPrEx>
          <w:tblCellMar>
            <w:top w:w="0" w:type="dxa"/>
            <w:left w:w="108" w:type="dxa"/>
            <w:bottom w:w="0" w:type="dxa"/>
            <w:right w:w="108" w:type="dxa"/>
          </w:tblCellMar>
        </w:tblPrEx>
        <w:trPr>
          <w:trHeight w:val="402" w:hRule="atLeast"/>
        </w:trPr>
        <w:tc>
          <w:tcPr>
            <w:tcW w:w="56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w:t>
            </w:r>
          </w:p>
        </w:tc>
        <w:tc>
          <w:tcPr>
            <w:tcW w:w="184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高清示证展示台</w:t>
            </w:r>
          </w:p>
        </w:tc>
        <w:tc>
          <w:tcPr>
            <w:tcW w:w="485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产品应不低于以下指标参数要求：</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1300万像素，整机支持220倍放大，可折叠式，最大支持A4幅面，具有2路HDMI接口和2路VGA接口，支持快速扫描，实物录像等功能，镜头可 270度旋转</w:t>
            </w:r>
          </w:p>
        </w:tc>
        <w:tc>
          <w:tcPr>
            <w:tcW w:w="81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r>
      <w:tr>
        <w:tblPrEx>
          <w:tblCellMar>
            <w:top w:w="0" w:type="dxa"/>
            <w:left w:w="108" w:type="dxa"/>
            <w:bottom w:w="0" w:type="dxa"/>
            <w:right w:w="108" w:type="dxa"/>
          </w:tblCellMar>
        </w:tblPrEx>
        <w:trPr>
          <w:trHeight w:val="402" w:hRule="atLeast"/>
        </w:trPr>
        <w:tc>
          <w:tcPr>
            <w:tcW w:w="7263"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b/>
                <w:bCs/>
                <w:color w:val="000000"/>
                <w:kern w:val="0"/>
                <w:sz w:val="24"/>
                <w:szCs w:val="24"/>
              </w:rPr>
            </w:pPr>
            <w:r>
              <w:rPr>
                <w:rFonts w:hint="eastAsia" w:ascii="宋体" w:hAnsi="宋体" w:cs="宋体"/>
                <w:b/>
                <w:bCs/>
                <w:color w:val="000000"/>
                <w:kern w:val="0"/>
                <w:sz w:val="24"/>
                <w:szCs w:val="24"/>
              </w:rPr>
              <w:t>5、公告屏系统</w:t>
            </w:r>
          </w:p>
        </w:tc>
        <w:tc>
          <w:tcPr>
            <w:tcW w:w="8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709"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02" w:hRule="atLeast"/>
        </w:trPr>
        <w:tc>
          <w:tcPr>
            <w:tcW w:w="56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84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信息公告发布屏</w:t>
            </w:r>
          </w:p>
        </w:tc>
        <w:tc>
          <w:tcPr>
            <w:tcW w:w="485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产品应不低于以下指标参数要求：产品应不低于以下指标参数要求：21.5寸专用公告屏分辨率：1920*1080，亮度：350cd/，CPU：四核1.5GHz，内存：1G+16G</w:t>
            </w:r>
          </w:p>
        </w:tc>
        <w:tc>
          <w:tcPr>
            <w:tcW w:w="81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r>
      <w:tr>
        <w:trPr>
          <w:trHeight w:val="402" w:hRule="atLeast"/>
        </w:trPr>
        <w:tc>
          <w:tcPr>
            <w:tcW w:w="7263"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b/>
                <w:bCs/>
                <w:color w:val="000000"/>
                <w:kern w:val="0"/>
                <w:sz w:val="24"/>
                <w:szCs w:val="24"/>
              </w:rPr>
            </w:pPr>
            <w:r>
              <w:rPr>
                <w:rFonts w:hint="eastAsia" w:ascii="宋体" w:hAnsi="宋体" w:cs="宋体"/>
                <w:b/>
                <w:bCs/>
                <w:color w:val="000000"/>
                <w:kern w:val="0"/>
                <w:sz w:val="24"/>
                <w:szCs w:val="24"/>
              </w:rPr>
              <w:t>6、法庭电子席位系统</w:t>
            </w:r>
          </w:p>
        </w:tc>
        <w:tc>
          <w:tcPr>
            <w:tcW w:w="8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709"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02" w:hRule="atLeast"/>
        </w:trPr>
        <w:tc>
          <w:tcPr>
            <w:tcW w:w="56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84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一体化电子席位牌</w:t>
            </w:r>
          </w:p>
        </w:tc>
        <w:tc>
          <w:tcPr>
            <w:tcW w:w="485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产品应不低于以下指标参数要求：</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"P2.0全彩 模组尺寸：128MM*256MM</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审判桌：3750*800*950</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书记员桌：1800*700*850</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原告桌：1800*700*850</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被告桌：1800*700*850</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具体以最终桌椅为准"</w:t>
            </w:r>
          </w:p>
        </w:tc>
        <w:tc>
          <w:tcPr>
            <w:tcW w:w="81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米</w:t>
            </w:r>
          </w:p>
        </w:tc>
      </w:tr>
      <w:tr>
        <w:tblPrEx>
          <w:tblCellMar>
            <w:top w:w="0" w:type="dxa"/>
            <w:left w:w="108" w:type="dxa"/>
            <w:bottom w:w="0" w:type="dxa"/>
            <w:right w:w="108" w:type="dxa"/>
          </w:tblCellMar>
        </w:tblPrEx>
        <w:trPr>
          <w:trHeight w:val="402" w:hRule="atLeast"/>
        </w:trPr>
        <w:tc>
          <w:tcPr>
            <w:tcW w:w="56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84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框架结构</w:t>
            </w:r>
          </w:p>
        </w:tc>
        <w:tc>
          <w:tcPr>
            <w:tcW w:w="485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框架结构，含异步控制卡和框架结构</w:t>
            </w:r>
          </w:p>
        </w:tc>
        <w:tc>
          <w:tcPr>
            <w:tcW w:w="81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套</w:t>
            </w:r>
          </w:p>
        </w:tc>
      </w:tr>
      <w:tr>
        <w:tblPrEx>
          <w:tblCellMar>
            <w:top w:w="0" w:type="dxa"/>
            <w:left w:w="108" w:type="dxa"/>
            <w:bottom w:w="0" w:type="dxa"/>
            <w:right w:w="108" w:type="dxa"/>
          </w:tblCellMar>
        </w:tblPrEx>
        <w:trPr>
          <w:trHeight w:val="402" w:hRule="atLeast"/>
        </w:trPr>
        <w:tc>
          <w:tcPr>
            <w:tcW w:w="7263"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b/>
                <w:bCs/>
                <w:color w:val="000000"/>
                <w:kern w:val="0"/>
                <w:sz w:val="24"/>
                <w:szCs w:val="24"/>
              </w:rPr>
            </w:pPr>
            <w:r>
              <w:rPr>
                <w:rFonts w:hint="eastAsia" w:ascii="宋体" w:hAnsi="宋体" w:cs="宋体"/>
                <w:b/>
                <w:bCs/>
                <w:color w:val="000000"/>
                <w:kern w:val="0"/>
                <w:sz w:val="24"/>
                <w:szCs w:val="24"/>
              </w:rPr>
              <w:t>7、语音转换系统</w:t>
            </w:r>
          </w:p>
        </w:tc>
        <w:tc>
          <w:tcPr>
            <w:tcW w:w="8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709"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r>
      <w:tr>
        <w:trPr>
          <w:trHeight w:val="402" w:hRule="atLeast"/>
        </w:trPr>
        <w:tc>
          <w:tcPr>
            <w:tcW w:w="56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84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语音转录主机</w:t>
            </w:r>
          </w:p>
        </w:tc>
        <w:tc>
          <w:tcPr>
            <w:tcW w:w="485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详见“主要产品技术指标要求”</w:t>
            </w:r>
          </w:p>
        </w:tc>
        <w:tc>
          <w:tcPr>
            <w:tcW w:w="81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r>
      <w:tr>
        <w:tblPrEx>
          <w:tblCellMar>
            <w:top w:w="0" w:type="dxa"/>
            <w:left w:w="108" w:type="dxa"/>
            <w:bottom w:w="0" w:type="dxa"/>
            <w:right w:w="108" w:type="dxa"/>
          </w:tblCellMar>
        </w:tblPrEx>
        <w:trPr>
          <w:trHeight w:val="402" w:hRule="atLeast"/>
        </w:trPr>
        <w:tc>
          <w:tcPr>
            <w:tcW w:w="7263"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b/>
                <w:bCs/>
                <w:color w:val="000000"/>
                <w:kern w:val="0"/>
                <w:sz w:val="24"/>
                <w:szCs w:val="24"/>
              </w:rPr>
            </w:pPr>
            <w:r>
              <w:rPr>
                <w:rFonts w:hint="eastAsia" w:ascii="宋体" w:hAnsi="宋体" w:cs="宋体"/>
                <w:b/>
                <w:bCs/>
                <w:color w:val="000000"/>
                <w:kern w:val="0"/>
                <w:sz w:val="24"/>
                <w:szCs w:val="24"/>
              </w:rPr>
              <w:t>8、在线庭审系统</w:t>
            </w:r>
          </w:p>
        </w:tc>
        <w:tc>
          <w:tcPr>
            <w:tcW w:w="8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709"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02" w:hRule="atLeast"/>
        </w:trPr>
        <w:tc>
          <w:tcPr>
            <w:tcW w:w="56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84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在线庭审显示屏</w:t>
            </w:r>
          </w:p>
        </w:tc>
        <w:tc>
          <w:tcPr>
            <w:tcW w:w="485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olor w:val="000000"/>
                <w:sz w:val="24"/>
                <w:szCs w:val="24"/>
              </w:rPr>
              <w:t>产品应不低于以下指标参数要求：</w:t>
            </w:r>
            <w:r>
              <w:rPr>
                <w:rFonts w:hint="eastAsia" w:ascii="宋体" w:hAnsi="宋体" w:cs="宋体"/>
                <w:color w:val="000000"/>
                <w:kern w:val="0"/>
                <w:sz w:val="24"/>
                <w:szCs w:val="24"/>
              </w:rPr>
              <w:t>65寸，4K（3840*2160）</w:t>
            </w:r>
          </w:p>
        </w:tc>
        <w:tc>
          <w:tcPr>
            <w:tcW w:w="81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r>
      <w:tr>
        <w:tblPrEx>
          <w:tblCellMar>
            <w:top w:w="0" w:type="dxa"/>
            <w:left w:w="108" w:type="dxa"/>
            <w:bottom w:w="0" w:type="dxa"/>
            <w:right w:w="108" w:type="dxa"/>
          </w:tblCellMar>
        </w:tblPrEx>
        <w:trPr>
          <w:trHeight w:val="402" w:hRule="atLeast"/>
        </w:trPr>
        <w:tc>
          <w:tcPr>
            <w:tcW w:w="56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84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显示屏支架</w:t>
            </w:r>
          </w:p>
        </w:tc>
        <w:tc>
          <w:tcPr>
            <w:tcW w:w="485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olor w:val="000000"/>
                <w:sz w:val="24"/>
                <w:szCs w:val="24"/>
              </w:rPr>
              <w:t>根据法庭环境选择壁装、吊顶，可上下调节。</w:t>
            </w:r>
          </w:p>
        </w:tc>
        <w:tc>
          <w:tcPr>
            <w:tcW w:w="81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r>
      <w:tr>
        <w:trPr>
          <w:trHeight w:val="402" w:hRule="atLeast"/>
        </w:trPr>
        <w:tc>
          <w:tcPr>
            <w:tcW w:w="56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bookmarkStart w:id="2" w:name="_Hlk161309164"/>
            <w:r>
              <w:rPr>
                <w:rFonts w:hint="eastAsia" w:ascii="宋体" w:hAnsi="宋体" w:cs="宋体"/>
                <w:color w:val="000000"/>
                <w:kern w:val="0"/>
                <w:sz w:val="24"/>
                <w:szCs w:val="24"/>
              </w:rPr>
              <w:t>3</w:t>
            </w:r>
          </w:p>
        </w:tc>
        <w:tc>
          <w:tcPr>
            <w:tcW w:w="184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在线庭审摄像机</w:t>
            </w:r>
          </w:p>
        </w:tc>
        <w:tc>
          <w:tcPr>
            <w:tcW w:w="485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olor w:val="000000"/>
                <w:sz w:val="24"/>
                <w:szCs w:val="24"/>
              </w:rPr>
              <w:t>详见“主要产品技术指标要求”</w:t>
            </w:r>
          </w:p>
        </w:tc>
        <w:tc>
          <w:tcPr>
            <w:tcW w:w="81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r>
      <w:tr>
        <w:tblPrEx>
          <w:tblCellMar>
            <w:top w:w="0" w:type="dxa"/>
            <w:left w:w="108" w:type="dxa"/>
            <w:bottom w:w="0" w:type="dxa"/>
            <w:right w:w="108" w:type="dxa"/>
          </w:tblCellMar>
        </w:tblPrEx>
        <w:trPr>
          <w:trHeight w:val="402" w:hRule="atLeast"/>
        </w:trPr>
        <w:tc>
          <w:tcPr>
            <w:tcW w:w="56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w:t>
            </w:r>
          </w:p>
        </w:tc>
        <w:tc>
          <w:tcPr>
            <w:tcW w:w="184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在线庭审拾音器</w:t>
            </w:r>
          </w:p>
        </w:tc>
        <w:tc>
          <w:tcPr>
            <w:tcW w:w="485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产品应不低于以下指标参数要求：</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 自带AEC、ANS、AGC 智能语音增强算法及高速 DSP，增强远程会议的音频处理速度和质量，提升通话双工的流畅和清晰。高保真扬声器，营造身临其境的声音体验。</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2. 远距离全向拾音设计，满足圆桌视讯会议清晰而自由地畅谈需求。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 采用蓝牙 5.0 标准，具有更低的时延，更强兼容性，更保真的音质。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 即插即用，免驱设计。</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5. 麦克风指向性：全向</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6. 灵敏度：-37dBFS</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7. 拾音距离：5 米  信噪比：65dB</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8. 频率响应：20Hz - 16kHz</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9. 噪声抑制量：18dB</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10. 回声消除幅度：70dB</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11. 自动增益控制：±6dB"</w:t>
            </w:r>
          </w:p>
        </w:tc>
        <w:tc>
          <w:tcPr>
            <w:tcW w:w="81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r>
      <w:tr>
        <w:tblPrEx>
          <w:tblCellMar>
            <w:top w:w="0" w:type="dxa"/>
            <w:left w:w="108" w:type="dxa"/>
            <w:bottom w:w="0" w:type="dxa"/>
            <w:right w:w="108" w:type="dxa"/>
          </w:tblCellMar>
        </w:tblPrEx>
        <w:trPr>
          <w:trHeight w:val="402" w:hRule="atLeast"/>
        </w:trPr>
        <w:tc>
          <w:tcPr>
            <w:tcW w:w="56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w:t>
            </w:r>
          </w:p>
        </w:tc>
        <w:tc>
          <w:tcPr>
            <w:tcW w:w="184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在线庭审终端</w:t>
            </w:r>
          </w:p>
        </w:tc>
        <w:tc>
          <w:tcPr>
            <w:tcW w:w="485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详见“主要产品技术指标要求”</w:t>
            </w:r>
          </w:p>
        </w:tc>
        <w:tc>
          <w:tcPr>
            <w:tcW w:w="81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r>
      <w:bookmarkEnd w:id="2"/>
      <w:tr>
        <w:tblPrEx>
          <w:tblCellMar>
            <w:top w:w="0" w:type="dxa"/>
            <w:left w:w="108" w:type="dxa"/>
            <w:bottom w:w="0" w:type="dxa"/>
            <w:right w:w="108" w:type="dxa"/>
          </w:tblCellMar>
        </w:tblPrEx>
        <w:trPr>
          <w:trHeight w:val="402" w:hRule="atLeast"/>
        </w:trPr>
        <w:tc>
          <w:tcPr>
            <w:tcW w:w="56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6</w:t>
            </w:r>
          </w:p>
        </w:tc>
        <w:tc>
          <w:tcPr>
            <w:tcW w:w="184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电脑KVM切换器</w:t>
            </w:r>
          </w:p>
        </w:tc>
        <w:tc>
          <w:tcPr>
            <w:tcW w:w="485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产品应不低于以下指标参数要求：</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2进1出4K高清KVM切换器</w:t>
            </w:r>
          </w:p>
        </w:tc>
        <w:tc>
          <w:tcPr>
            <w:tcW w:w="81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r>
      <w:tr>
        <w:trPr>
          <w:trHeight w:val="402" w:hRule="atLeast"/>
        </w:trPr>
        <w:tc>
          <w:tcPr>
            <w:tcW w:w="56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7</w:t>
            </w:r>
          </w:p>
        </w:tc>
        <w:tc>
          <w:tcPr>
            <w:tcW w:w="184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SDI分配器</w:t>
            </w:r>
          </w:p>
        </w:tc>
        <w:tc>
          <w:tcPr>
            <w:tcW w:w="485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产品应不低于以下指标参数要求：</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SDI分频器，法官摄像头信号一分二使用</w:t>
            </w:r>
          </w:p>
        </w:tc>
        <w:tc>
          <w:tcPr>
            <w:tcW w:w="81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r>
      <w:tr>
        <w:tblPrEx>
          <w:tblCellMar>
            <w:top w:w="0" w:type="dxa"/>
            <w:left w:w="108" w:type="dxa"/>
            <w:bottom w:w="0" w:type="dxa"/>
            <w:right w:w="108" w:type="dxa"/>
          </w:tblCellMar>
        </w:tblPrEx>
        <w:trPr>
          <w:trHeight w:val="402" w:hRule="atLeast"/>
        </w:trPr>
        <w:tc>
          <w:tcPr>
            <w:tcW w:w="56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8</w:t>
            </w:r>
          </w:p>
        </w:tc>
        <w:tc>
          <w:tcPr>
            <w:tcW w:w="184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音频分配器</w:t>
            </w:r>
          </w:p>
        </w:tc>
        <w:tc>
          <w:tcPr>
            <w:tcW w:w="485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产品应不低于以下指标参数要求：</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1进4出分配器 话筒分配器 </w:t>
            </w:r>
          </w:p>
        </w:tc>
        <w:tc>
          <w:tcPr>
            <w:tcW w:w="81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r>
      <w:tr>
        <w:tblPrEx>
          <w:tblCellMar>
            <w:top w:w="0" w:type="dxa"/>
            <w:left w:w="108" w:type="dxa"/>
            <w:bottom w:w="0" w:type="dxa"/>
            <w:right w:w="108" w:type="dxa"/>
          </w:tblCellMar>
        </w:tblPrEx>
        <w:trPr>
          <w:trHeight w:val="402" w:hRule="atLeast"/>
        </w:trPr>
        <w:tc>
          <w:tcPr>
            <w:tcW w:w="56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9</w:t>
            </w:r>
          </w:p>
        </w:tc>
        <w:tc>
          <w:tcPr>
            <w:tcW w:w="184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线缆</w:t>
            </w:r>
          </w:p>
        </w:tc>
        <w:tc>
          <w:tcPr>
            <w:tcW w:w="485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配套成品线缆及辅材等</w:t>
            </w:r>
          </w:p>
        </w:tc>
        <w:tc>
          <w:tcPr>
            <w:tcW w:w="81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套</w:t>
            </w:r>
          </w:p>
        </w:tc>
      </w:tr>
      <w:tr>
        <w:tblPrEx>
          <w:tblCellMar>
            <w:top w:w="0" w:type="dxa"/>
            <w:left w:w="108" w:type="dxa"/>
            <w:bottom w:w="0" w:type="dxa"/>
            <w:right w:w="108" w:type="dxa"/>
          </w:tblCellMar>
        </w:tblPrEx>
        <w:trPr>
          <w:trHeight w:val="402" w:hRule="atLeast"/>
        </w:trPr>
        <w:tc>
          <w:tcPr>
            <w:tcW w:w="7263"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b/>
                <w:bCs/>
                <w:color w:val="000000"/>
                <w:kern w:val="0"/>
                <w:sz w:val="24"/>
                <w:szCs w:val="24"/>
              </w:rPr>
            </w:pPr>
            <w:r>
              <w:rPr>
                <w:rFonts w:hint="eastAsia" w:ascii="宋体" w:hAnsi="宋体" w:cs="宋体"/>
                <w:b/>
                <w:bCs/>
                <w:color w:val="000000"/>
                <w:kern w:val="0"/>
                <w:sz w:val="24"/>
                <w:szCs w:val="24"/>
              </w:rPr>
              <w:t>9、其它配套</w:t>
            </w:r>
          </w:p>
        </w:tc>
        <w:tc>
          <w:tcPr>
            <w:tcW w:w="8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709"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02" w:hRule="atLeast"/>
        </w:trPr>
        <w:tc>
          <w:tcPr>
            <w:tcW w:w="56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84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法庭交换机</w:t>
            </w:r>
          </w:p>
        </w:tc>
        <w:tc>
          <w:tcPr>
            <w:tcW w:w="485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产品应不低于以下指标参数要求：</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24个千兆SFP,8个10/100/1000BASE-T以太网端口,4个万兆SFP+,交流供电,前维护，交换容量432Gbps/4.32Tbps，包转发率120/138Mpps，含4个多模光模块</w:t>
            </w:r>
          </w:p>
        </w:tc>
        <w:tc>
          <w:tcPr>
            <w:tcW w:w="81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r>
      <w:tr>
        <w:tblPrEx>
          <w:tblCellMar>
            <w:top w:w="0" w:type="dxa"/>
            <w:left w:w="108" w:type="dxa"/>
            <w:bottom w:w="0" w:type="dxa"/>
            <w:right w:w="108" w:type="dxa"/>
          </w:tblCellMar>
        </w:tblPrEx>
        <w:trPr>
          <w:trHeight w:val="402" w:hRule="atLeast"/>
        </w:trPr>
        <w:tc>
          <w:tcPr>
            <w:tcW w:w="56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84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线缆辅材</w:t>
            </w:r>
          </w:p>
        </w:tc>
        <w:tc>
          <w:tcPr>
            <w:tcW w:w="485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按照4K庭审系统的配套管线，线缆辅材、成品线缆、小机柜等。</w:t>
            </w:r>
          </w:p>
        </w:tc>
        <w:tc>
          <w:tcPr>
            <w:tcW w:w="81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套</w:t>
            </w:r>
          </w:p>
        </w:tc>
      </w:tr>
      <w:tr>
        <w:trPr>
          <w:trHeight w:val="402" w:hRule="atLeast"/>
        </w:trPr>
        <w:tc>
          <w:tcPr>
            <w:tcW w:w="56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184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庭审应用服务器</w:t>
            </w:r>
          </w:p>
        </w:tc>
        <w:tc>
          <w:tcPr>
            <w:tcW w:w="485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产品应不低于以下指标参数要求：</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1、处理器：配置≥2颗处理器，每颗处理器≥32核，主频≥2.6GHz；</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2、内存配置256GB，速率：2933MT/s，扩展：最大支持4096GB；</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3、硬盘配置3.5寸SATA 8TB *6+ SSD硬盘480GB*2；支持RAID0/1/5/6/10/50/60；</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4、配置服务器操作系统；</w:t>
            </w:r>
          </w:p>
        </w:tc>
        <w:tc>
          <w:tcPr>
            <w:tcW w:w="81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r>
      <w:tr>
        <w:tblPrEx>
          <w:tblCellMar>
            <w:top w:w="0" w:type="dxa"/>
            <w:left w:w="108" w:type="dxa"/>
            <w:bottom w:w="0" w:type="dxa"/>
            <w:right w:w="108" w:type="dxa"/>
          </w:tblCellMar>
        </w:tblPrEx>
        <w:trPr>
          <w:trHeight w:val="402" w:hRule="atLeast"/>
        </w:trPr>
        <w:tc>
          <w:tcPr>
            <w:tcW w:w="56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w:t>
            </w:r>
          </w:p>
        </w:tc>
        <w:tc>
          <w:tcPr>
            <w:tcW w:w="184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政务外网交换机</w:t>
            </w:r>
          </w:p>
        </w:tc>
        <w:tc>
          <w:tcPr>
            <w:tcW w:w="485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产品应不低于以下指标参数要求：</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以太网交换机,48个10/100/1000BASE-T以太网端口,4个万兆SFP+,交流供电)，交换容量432Gbps/4.32Tbps，包转发率144/166Mpps</w:t>
            </w:r>
          </w:p>
        </w:tc>
        <w:tc>
          <w:tcPr>
            <w:tcW w:w="81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r>
      <w:tr>
        <w:tblPrEx>
          <w:tblCellMar>
            <w:top w:w="0" w:type="dxa"/>
            <w:left w:w="108" w:type="dxa"/>
            <w:bottom w:w="0" w:type="dxa"/>
            <w:right w:w="108" w:type="dxa"/>
          </w:tblCellMar>
        </w:tblPrEx>
        <w:trPr>
          <w:trHeight w:val="402" w:hRule="atLeast"/>
        </w:trPr>
        <w:tc>
          <w:tcPr>
            <w:tcW w:w="56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w:t>
            </w:r>
          </w:p>
        </w:tc>
        <w:tc>
          <w:tcPr>
            <w:tcW w:w="184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机柜</w:t>
            </w:r>
          </w:p>
        </w:tc>
        <w:tc>
          <w:tcPr>
            <w:tcW w:w="485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42U机柜，放置于机房中</w:t>
            </w:r>
          </w:p>
        </w:tc>
        <w:tc>
          <w:tcPr>
            <w:tcW w:w="81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r>
      <w:tr>
        <w:tblPrEx>
          <w:tblCellMar>
            <w:top w:w="0" w:type="dxa"/>
            <w:left w:w="108" w:type="dxa"/>
            <w:bottom w:w="0" w:type="dxa"/>
            <w:right w:w="108" w:type="dxa"/>
          </w:tblCellMar>
        </w:tblPrEx>
        <w:trPr>
          <w:trHeight w:val="402" w:hRule="atLeast"/>
        </w:trPr>
        <w:tc>
          <w:tcPr>
            <w:tcW w:w="7263"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b/>
                <w:bCs/>
                <w:color w:val="000000"/>
                <w:kern w:val="0"/>
                <w:sz w:val="24"/>
                <w:szCs w:val="24"/>
              </w:rPr>
            </w:pPr>
            <w:r>
              <w:rPr>
                <w:rFonts w:hint="eastAsia" w:ascii="宋体" w:hAnsi="宋体" w:cs="宋体"/>
                <w:b/>
                <w:bCs/>
                <w:color w:val="000000"/>
                <w:kern w:val="0"/>
                <w:sz w:val="24"/>
                <w:szCs w:val="24"/>
              </w:rPr>
              <w:t>二、庭审存储备份备系统系统升级改造</w:t>
            </w:r>
          </w:p>
        </w:tc>
        <w:tc>
          <w:tcPr>
            <w:tcW w:w="81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　</w:t>
            </w:r>
          </w:p>
        </w:tc>
      </w:tr>
      <w:tr>
        <w:tblPrEx>
          <w:tblCellMar>
            <w:top w:w="0" w:type="dxa"/>
            <w:left w:w="108" w:type="dxa"/>
            <w:bottom w:w="0" w:type="dxa"/>
            <w:right w:w="108" w:type="dxa"/>
          </w:tblCellMar>
        </w:tblPrEx>
        <w:trPr>
          <w:trHeight w:val="402" w:hRule="atLeast"/>
        </w:trPr>
        <w:tc>
          <w:tcPr>
            <w:tcW w:w="56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84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分布式存储节点</w:t>
            </w:r>
          </w:p>
        </w:tc>
        <w:tc>
          <w:tcPr>
            <w:tcW w:w="485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详见“主要产品技术指标要求”</w:t>
            </w:r>
          </w:p>
        </w:tc>
        <w:tc>
          <w:tcPr>
            <w:tcW w:w="81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r>
      <w:tr>
        <w:tblPrEx>
          <w:tblCellMar>
            <w:top w:w="0" w:type="dxa"/>
            <w:left w:w="108" w:type="dxa"/>
            <w:bottom w:w="0" w:type="dxa"/>
            <w:right w:w="108" w:type="dxa"/>
          </w:tblCellMar>
        </w:tblPrEx>
        <w:trPr>
          <w:trHeight w:val="402" w:hRule="atLeast"/>
        </w:trPr>
        <w:tc>
          <w:tcPr>
            <w:tcW w:w="56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84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后置硬盘</w:t>
            </w:r>
          </w:p>
        </w:tc>
        <w:tc>
          <w:tcPr>
            <w:tcW w:w="485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不少于1.92T SSD硬盘 </w:t>
            </w:r>
          </w:p>
        </w:tc>
        <w:tc>
          <w:tcPr>
            <w:tcW w:w="81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6</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块</w:t>
            </w:r>
          </w:p>
        </w:tc>
      </w:tr>
      <w:tr>
        <w:trPr>
          <w:trHeight w:val="402" w:hRule="atLeast"/>
        </w:trPr>
        <w:tc>
          <w:tcPr>
            <w:tcW w:w="56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184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数据盘</w:t>
            </w:r>
          </w:p>
        </w:tc>
        <w:tc>
          <w:tcPr>
            <w:tcW w:w="485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不少于10TB SATA硬盘 </w:t>
            </w:r>
          </w:p>
        </w:tc>
        <w:tc>
          <w:tcPr>
            <w:tcW w:w="81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40</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块</w:t>
            </w:r>
          </w:p>
        </w:tc>
      </w:tr>
      <w:tr>
        <w:tblPrEx>
          <w:tblCellMar>
            <w:top w:w="0" w:type="dxa"/>
            <w:left w:w="108" w:type="dxa"/>
            <w:bottom w:w="0" w:type="dxa"/>
            <w:right w:w="108" w:type="dxa"/>
          </w:tblCellMar>
        </w:tblPrEx>
        <w:trPr>
          <w:trHeight w:val="402" w:hRule="atLeast"/>
        </w:trPr>
        <w:tc>
          <w:tcPr>
            <w:tcW w:w="7263"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b/>
                <w:bCs/>
                <w:color w:val="000000"/>
                <w:kern w:val="0"/>
                <w:sz w:val="24"/>
                <w:szCs w:val="24"/>
              </w:rPr>
            </w:pPr>
            <w:r>
              <w:rPr>
                <w:rFonts w:hint="eastAsia" w:ascii="宋体" w:hAnsi="宋体" w:cs="宋体"/>
                <w:b/>
                <w:bCs/>
                <w:color w:val="000000"/>
                <w:kern w:val="0"/>
                <w:sz w:val="24"/>
                <w:szCs w:val="24"/>
              </w:rPr>
              <w:t>三、法庭公告屏系统升级改造</w:t>
            </w:r>
          </w:p>
        </w:tc>
        <w:tc>
          <w:tcPr>
            <w:tcW w:w="81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　</w:t>
            </w:r>
          </w:p>
        </w:tc>
      </w:tr>
      <w:tr>
        <w:trPr>
          <w:trHeight w:val="402" w:hRule="atLeast"/>
        </w:trPr>
        <w:tc>
          <w:tcPr>
            <w:tcW w:w="56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84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庭审公告显示屏</w:t>
            </w:r>
          </w:p>
        </w:tc>
        <w:tc>
          <w:tcPr>
            <w:tcW w:w="485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产品应不低于以下指标参数要求：</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庭审公告一体化屏</w:t>
            </w:r>
            <w:r>
              <w:rPr>
                <w:rFonts w:ascii="宋体" w:hAnsi="宋体"/>
                <w:color w:val="000000"/>
                <w:kern w:val="0"/>
                <w:sz w:val="24"/>
                <w:szCs w:val="24"/>
              </w:rPr>
              <w:t xml:space="preserve"> 21.5</w:t>
            </w:r>
            <w:r>
              <w:rPr>
                <w:rFonts w:hint="eastAsia" w:ascii="宋体" w:hAnsi="宋体" w:cs="宋体"/>
                <w:color w:val="000000"/>
                <w:kern w:val="0"/>
                <w:sz w:val="24"/>
                <w:szCs w:val="24"/>
              </w:rPr>
              <w:t>寸高清屏</w:t>
            </w:r>
            <w:r>
              <w:rPr>
                <w:rFonts w:ascii="宋体" w:hAnsi="宋体"/>
                <w:color w:val="000000"/>
                <w:kern w:val="0"/>
                <w:sz w:val="24"/>
                <w:szCs w:val="24"/>
              </w:rPr>
              <w:t>,LED</w:t>
            </w:r>
            <w:r>
              <w:rPr>
                <w:rFonts w:hint="eastAsia" w:ascii="宋体" w:hAnsi="宋体" w:cs="宋体"/>
                <w:color w:val="000000"/>
                <w:kern w:val="0"/>
                <w:sz w:val="24"/>
                <w:szCs w:val="24"/>
              </w:rPr>
              <w:t>背光；显示分辨率：</w:t>
            </w:r>
            <w:r>
              <w:rPr>
                <w:rFonts w:ascii="宋体" w:hAnsi="宋体"/>
                <w:color w:val="000000"/>
                <w:kern w:val="0"/>
                <w:sz w:val="24"/>
                <w:szCs w:val="24"/>
              </w:rPr>
              <w:t>1920*1080</w:t>
            </w:r>
          </w:p>
        </w:tc>
        <w:tc>
          <w:tcPr>
            <w:tcW w:w="81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25</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r>
      <w:tr>
        <w:tblPrEx>
          <w:tblCellMar>
            <w:top w:w="0" w:type="dxa"/>
            <w:left w:w="108" w:type="dxa"/>
            <w:bottom w:w="0" w:type="dxa"/>
            <w:right w:w="108" w:type="dxa"/>
          </w:tblCellMar>
        </w:tblPrEx>
        <w:trPr>
          <w:trHeight w:val="402" w:hRule="atLeast"/>
        </w:trPr>
        <w:tc>
          <w:tcPr>
            <w:tcW w:w="8784" w:type="dxa"/>
            <w:gridSpan w:val="5"/>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cs="宋体"/>
                <w:b/>
                <w:bCs/>
                <w:color w:val="000000"/>
                <w:kern w:val="0"/>
                <w:sz w:val="24"/>
                <w:szCs w:val="24"/>
              </w:rPr>
            </w:pPr>
            <w:r>
              <w:rPr>
                <w:rFonts w:hint="eastAsia" w:ascii="宋体" w:hAnsi="宋体" w:cs="宋体"/>
                <w:b/>
                <w:bCs/>
                <w:color w:val="000000"/>
                <w:kern w:val="0"/>
                <w:sz w:val="24"/>
                <w:szCs w:val="24"/>
              </w:rPr>
              <w:t>四、软件部分</w:t>
            </w:r>
          </w:p>
        </w:tc>
      </w:tr>
      <w:tr>
        <w:tblPrEx>
          <w:tblCellMar>
            <w:top w:w="0" w:type="dxa"/>
            <w:left w:w="108" w:type="dxa"/>
            <w:bottom w:w="0" w:type="dxa"/>
            <w:right w:w="108" w:type="dxa"/>
          </w:tblCellMar>
        </w:tblPrEx>
        <w:trPr>
          <w:trHeight w:val="402" w:hRule="atLeast"/>
        </w:trPr>
        <w:tc>
          <w:tcPr>
            <w:tcW w:w="7263"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b/>
                <w:bCs/>
                <w:color w:val="000000"/>
                <w:kern w:val="0"/>
                <w:sz w:val="24"/>
                <w:szCs w:val="24"/>
              </w:rPr>
            </w:pPr>
            <w:r>
              <w:rPr>
                <w:rFonts w:hint="eastAsia" w:ascii="宋体" w:hAnsi="宋体" w:cs="宋体"/>
                <w:b/>
                <w:bCs/>
                <w:color w:val="000000"/>
                <w:kern w:val="0"/>
                <w:sz w:val="24"/>
                <w:szCs w:val="24"/>
              </w:rPr>
              <w:t>（一）松江法院本院法庭高清庭审系统（4间法庭）</w:t>
            </w:r>
          </w:p>
        </w:tc>
        <w:tc>
          <w:tcPr>
            <w:tcW w:w="812"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b/>
                <w:bCs/>
                <w:color w:val="000000"/>
                <w:kern w:val="0"/>
                <w:sz w:val="24"/>
                <w:szCs w:val="24"/>
              </w:rPr>
            </w:pPr>
            <w:r>
              <w:rPr>
                <w:rFonts w:hint="eastAsia" w:ascii="宋体" w:hAnsi="宋体" w:cs="宋体"/>
                <w:b/>
                <w:bCs/>
                <w:color w:val="000000"/>
                <w:kern w:val="0"/>
                <w:sz w:val="24"/>
                <w:szCs w:val="24"/>
              </w:rPr>
              <w:t>　</w:t>
            </w:r>
          </w:p>
        </w:tc>
      </w:tr>
      <w:tr>
        <w:tblPrEx>
          <w:tblCellMar>
            <w:top w:w="0" w:type="dxa"/>
            <w:left w:w="108" w:type="dxa"/>
            <w:bottom w:w="0" w:type="dxa"/>
            <w:right w:w="108" w:type="dxa"/>
          </w:tblCellMar>
        </w:tblPrEx>
        <w:trPr>
          <w:trHeight w:val="402" w:hRule="atLeast"/>
        </w:trPr>
        <w:tc>
          <w:tcPr>
            <w:tcW w:w="56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84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高清庭审信息管理系统许可</w:t>
            </w:r>
          </w:p>
        </w:tc>
        <w:tc>
          <w:tcPr>
            <w:tcW w:w="485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配套部署庭审及书记员软件，高院下发</w:t>
            </w:r>
          </w:p>
        </w:tc>
        <w:tc>
          <w:tcPr>
            <w:tcW w:w="81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套</w:t>
            </w:r>
          </w:p>
        </w:tc>
      </w:tr>
      <w:tr>
        <w:tblPrEx>
          <w:tblCellMar>
            <w:top w:w="0" w:type="dxa"/>
            <w:left w:w="108" w:type="dxa"/>
            <w:bottom w:w="0" w:type="dxa"/>
            <w:right w:w="108" w:type="dxa"/>
          </w:tblCellMar>
        </w:tblPrEx>
        <w:trPr>
          <w:trHeight w:val="402" w:hRule="atLeast"/>
        </w:trPr>
        <w:tc>
          <w:tcPr>
            <w:tcW w:w="7263"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b/>
                <w:bCs/>
                <w:color w:val="000000"/>
                <w:kern w:val="0"/>
                <w:sz w:val="24"/>
                <w:szCs w:val="24"/>
              </w:rPr>
            </w:pPr>
            <w:r>
              <w:rPr>
                <w:rFonts w:hint="eastAsia" w:ascii="宋体" w:hAnsi="宋体" w:cs="宋体"/>
                <w:b/>
                <w:bCs/>
                <w:color w:val="000000"/>
                <w:kern w:val="0"/>
                <w:sz w:val="24"/>
                <w:szCs w:val="24"/>
              </w:rPr>
              <w:t>（二）浦南法院法庭高清庭审系统（3间法庭）</w:t>
            </w:r>
          </w:p>
        </w:tc>
        <w:tc>
          <w:tcPr>
            <w:tcW w:w="812"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b/>
                <w:bCs/>
                <w:color w:val="000000"/>
                <w:kern w:val="0"/>
                <w:sz w:val="24"/>
                <w:szCs w:val="24"/>
              </w:rPr>
            </w:pPr>
            <w:r>
              <w:rPr>
                <w:rFonts w:hint="eastAsia" w:ascii="宋体" w:hAnsi="宋体" w:cs="宋体"/>
                <w:b/>
                <w:bCs/>
                <w:color w:val="000000"/>
                <w:kern w:val="0"/>
                <w:sz w:val="24"/>
                <w:szCs w:val="24"/>
              </w:rPr>
              <w:t>　</w:t>
            </w:r>
          </w:p>
        </w:tc>
      </w:tr>
      <w:tr>
        <w:tblPrEx>
          <w:tblCellMar>
            <w:top w:w="0" w:type="dxa"/>
            <w:left w:w="108" w:type="dxa"/>
            <w:bottom w:w="0" w:type="dxa"/>
            <w:right w:w="108" w:type="dxa"/>
          </w:tblCellMar>
        </w:tblPrEx>
        <w:trPr>
          <w:trHeight w:val="402" w:hRule="atLeast"/>
        </w:trPr>
        <w:tc>
          <w:tcPr>
            <w:tcW w:w="56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84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高清庭审信息管理系统许可</w:t>
            </w:r>
          </w:p>
        </w:tc>
        <w:tc>
          <w:tcPr>
            <w:tcW w:w="485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配套部署庭审及书记员软件，高院下发</w:t>
            </w:r>
          </w:p>
        </w:tc>
        <w:tc>
          <w:tcPr>
            <w:tcW w:w="81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套</w:t>
            </w:r>
          </w:p>
        </w:tc>
      </w:tr>
      <w:tr>
        <w:tblPrEx>
          <w:tblCellMar>
            <w:top w:w="0" w:type="dxa"/>
            <w:left w:w="108" w:type="dxa"/>
            <w:bottom w:w="0" w:type="dxa"/>
            <w:right w:w="108" w:type="dxa"/>
          </w:tblCellMar>
        </w:tblPrEx>
        <w:trPr>
          <w:trHeight w:val="402" w:hRule="atLeast"/>
        </w:trPr>
        <w:tc>
          <w:tcPr>
            <w:tcW w:w="7263"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b/>
                <w:bCs/>
                <w:color w:val="000000"/>
                <w:kern w:val="0"/>
                <w:sz w:val="24"/>
                <w:szCs w:val="24"/>
              </w:rPr>
            </w:pPr>
            <w:r>
              <w:rPr>
                <w:rFonts w:hint="eastAsia" w:ascii="宋体" w:hAnsi="宋体" w:cs="宋体"/>
                <w:b/>
                <w:bCs/>
                <w:color w:val="000000"/>
                <w:kern w:val="0"/>
                <w:sz w:val="24"/>
                <w:szCs w:val="24"/>
              </w:rPr>
              <w:t>（三）G60示范庭高清庭审系统（1间示范法庭）</w:t>
            </w:r>
          </w:p>
        </w:tc>
        <w:tc>
          <w:tcPr>
            <w:tcW w:w="812"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b/>
                <w:bCs/>
                <w:color w:val="000000"/>
                <w:kern w:val="0"/>
                <w:sz w:val="24"/>
                <w:szCs w:val="24"/>
              </w:rPr>
            </w:pPr>
            <w:r>
              <w:rPr>
                <w:rFonts w:hint="eastAsia" w:ascii="宋体" w:hAnsi="宋体" w:cs="宋体"/>
                <w:b/>
                <w:bCs/>
                <w:color w:val="000000"/>
                <w:kern w:val="0"/>
                <w:sz w:val="24"/>
                <w:szCs w:val="24"/>
              </w:rPr>
              <w:t>　</w:t>
            </w:r>
          </w:p>
        </w:tc>
      </w:tr>
      <w:tr>
        <w:tblPrEx>
          <w:tblCellMar>
            <w:top w:w="0" w:type="dxa"/>
            <w:left w:w="108" w:type="dxa"/>
            <w:bottom w:w="0" w:type="dxa"/>
            <w:right w:w="108" w:type="dxa"/>
          </w:tblCellMar>
        </w:tblPrEx>
        <w:trPr>
          <w:trHeight w:val="402" w:hRule="atLeast"/>
        </w:trPr>
        <w:tc>
          <w:tcPr>
            <w:tcW w:w="56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84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高清庭审信息管理系统许可</w:t>
            </w:r>
          </w:p>
        </w:tc>
        <w:tc>
          <w:tcPr>
            <w:tcW w:w="485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配套部署庭审及书记员软件，高院下发</w:t>
            </w:r>
          </w:p>
        </w:tc>
        <w:tc>
          <w:tcPr>
            <w:tcW w:w="81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套</w:t>
            </w:r>
          </w:p>
        </w:tc>
      </w:tr>
      <w:tr>
        <w:tblPrEx>
          <w:tblCellMar>
            <w:top w:w="0" w:type="dxa"/>
            <w:left w:w="108" w:type="dxa"/>
            <w:bottom w:w="0" w:type="dxa"/>
            <w:right w:w="108" w:type="dxa"/>
          </w:tblCellMar>
        </w:tblPrEx>
        <w:trPr>
          <w:trHeight w:val="402" w:hRule="atLeast"/>
        </w:trPr>
        <w:tc>
          <w:tcPr>
            <w:tcW w:w="7263"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b/>
                <w:bCs/>
                <w:color w:val="000000"/>
                <w:kern w:val="0"/>
                <w:sz w:val="24"/>
                <w:szCs w:val="24"/>
              </w:rPr>
            </w:pPr>
            <w:r>
              <w:rPr>
                <w:rFonts w:hint="eastAsia" w:ascii="宋体" w:hAnsi="宋体" w:cs="宋体"/>
                <w:b/>
                <w:bCs/>
                <w:color w:val="000000"/>
                <w:kern w:val="0"/>
                <w:sz w:val="24"/>
                <w:szCs w:val="24"/>
              </w:rPr>
              <w:t>（四）庭审存储备份备系统系统升级改造</w:t>
            </w:r>
          </w:p>
        </w:tc>
        <w:tc>
          <w:tcPr>
            <w:tcW w:w="81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　</w:t>
            </w:r>
          </w:p>
        </w:tc>
      </w:tr>
      <w:tr>
        <w:tblPrEx>
          <w:tblCellMar>
            <w:top w:w="0" w:type="dxa"/>
            <w:left w:w="108" w:type="dxa"/>
            <w:bottom w:w="0" w:type="dxa"/>
            <w:right w:w="108" w:type="dxa"/>
          </w:tblCellMar>
        </w:tblPrEx>
        <w:trPr>
          <w:trHeight w:val="402" w:hRule="atLeast"/>
        </w:trPr>
        <w:tc>
          <w:tcPr>
            <w:tcW w:w="56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84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庭审存储管理平台</w:t>
            </w:r>
          </w:p>
        </w:tc>
        <w:tc>
          <w:tcPr>
            <w:tcW w:w="485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详见“主要产品技术指标要求”</w:t>
            </w:r>
          </w:p>
        </w:tc>
        <w:tc>
          <w:tcPr>
            <w:tcW w:w="81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套</w:t>
            </w:r>
          </w:p>
        </w:tc>
      </w:tr>
      <w:tr>
        <w:tblPrEx>
          <w:tblCellMar>
            <w:top w:w="0" w:type="dxa"/>
            <w:left w:w="108" w:type="dxa"/>
            <w:bottom w:w="0" w:type="dxa"/>
            <w:right w:w="108" w:type="dxa"/>
          </w:tblCellMar>
        </w:tblPrEx>
        <w:trPr>
          <w:trHeight w:val="402" w:hRule="atLeast"/>
        </w:trPr>
        <w:tc>
          <w:tcPr>
            <w:tcW w:w="56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84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存储容量授权</w:t>
            </w:r>
          </w:p>
        </w:tc>
        <w:tc>
          <w:tcPr>
            <w:tcW w:w="485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存储磁盘容量授权</w:t>
            </w:r>
          </w:p>
        </w:tc>
        <w:tc>
          <w:tcPr>
            <w:tcW w:w="81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408</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TB</w:t>
            </w:r>
          </w:p>
        </w:tc>
      </w:tr>
    </w:tbl>
    <w:p>
      <w:pPr>
        <w:snapToGrid w:val="0"/>
        <w:spacing w:line="360" w:lineRule="auto"/>
        <w:rPr>
          <w:rFonts w:ascii="宋体" w:hAnsi="宋体"/>
          <w:b/>
          <w:sz w:val="24"/>
          <w:szCs w:val="24"/>
        </w:rPr>
      </w:pPr>
    </w:p>
    <w:p>
      <w:pPr>
        <w:pStyle w:val="3"/>
        <w:numPr>
          <w:ilvl w:val="0"/>
          <w:numId w:val="2"/>
        </w:numPr>
        <w:spacing w:before="0" w:after="0" w:line="360" w:lineRule="auto"/>
        <w:rPr>
          <w:rFonts w:ascii="宋体" w:hAnsi="宋体" w:eastAsia="宋体"/>
          <w:sz w:val="24"/>
          <w:szCs w:val="24"/>
        </w:rPr>
      </w:pPr>
      <w:r>
        <w:rPr>
          <w:rFonts w:hint="eastAsia" w:ascii="宋体" w:hAnsi="宋体" w:eastAsia="宋体"/>
          <w:sz w:val="24"/>
          <w:szCs w:val="24"/>
        </w:rPr>
        <w:t>主要产品技术指标要求</w:t>
      </w:r>
    </w:p>
    <w:p>
      <w:pPr>
        <w:pStyle w:val="4"/>
        <w:numPr>
          <w:ilvl w:val="0"/>
          <w:numId w:val="5"/>
        </w:numPr>
        <w:snapToGrid w:val="0"/>
        <w:spacing w:before="0" w:after="0" w:line="360" w:lineRule="auto"/>
        <w:ind w:left="0" w:firstLine="0"/>
        <w:rPr>
          <w:rFonts w:ascii="宋体" w:hAnsi="宋体" w:eastAsia="宋体"/>
          <w:b/>
          <w:bCs/>
          <w:sz w:val="24"/>
          <w:szCs w:val="24"/>
        </w:rPr>
      </w:pPr>
      <w:r>
        <w:rPr>
          <w:rFonts w:hint="eastAsia" w:ascii="宋体" w:hAnsi="宋体" w:eastAsia="宋体"/>
          <w:b/>
          <w:bCs/>
          <w:sz w:val="24"/>
          <w:szCs w:val="24"/>
        </w:rPr>
        <w:t>4K高清录播工作站</w:t>
      </w:r>
    </w:p>
    <w:tbl>
      <w:tblPr>
        <w:tblStyle w:val="15"/>
        <w:tblW w:w="506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9"/>
        <w:gridCol w:w="7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921" w:type="pct"/>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指标项</w:t>
            </w:r>
          </w:p>
        </w:tc>
        <w:tc>
          <w:tcPr>
            <w:tcW w:w="4079" w:type="pct"/>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21" w:type="pct"/>
            <w:vAlign w:val="center"/>
          </w:tcPr>
          <w:p>
            <w:pPr>
              <w:jc w:val="left"/>
              <w:rPr>
                <w:rFonts w:ascii="宋体" w:hAnsi="宋体"/>
                <w:sz w:val="24"/>
                <w:szCs w:val="24"/>
              </w:rPr>
            </w:pPr>
            <w:r>
              <w:rPr>
                <w:rFonts w:hint="eastAsia" w:ascii="宋体" w:hAnsi="宋体"/>
                <w:sz w:val="24"/>
                <w:szCs w:val="24"/>
              </w:rPr>
              <w:t>外部显示</w:t>
            </w:r>
          </w:p>
        </w:tc>
        <w:tc>
          <w:tcPr>
            <w:tcW w:w="4079" w:type="pct"/>
            <w:vAlign w:val="center"/>
          </w:tcPr>
          <w:p>
            <w:pPr>
              <w:jc w:val="left"/>
              <w:rPr>
                <w:rFonts w:ascii="宋体" w:hAnsi="宋体"/>
                <w:sz w:val="24"/>
                <w:szCs w:val="24"/>
              </w:rPr>
            </w:pPr>
            <w:r>
              <w:rPr>
                <w:rFonts w:hint="eastAsia" w:ascii="宋体" w:hAnsi="宋体"/>
                <w:sz w:val="24"/>
                <w:szCs w:val="24"/>
              </w:rPr>
              <w:t>设备应内置不小于8寸触控屏，支持实时显示通道状态、刻录/录制状态、USB接入状态、视频画面、光盘/硬盘总容量及已使用容量、刻录剩余时长、异常告警信息、CPU内存占用率、网络情况等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921" w:type="pct"/>
            <w:vAlign w:val="center"/>
          </w:tcPr>
          <w:p>
            <w:pPr>
              <w:jc w:val="left"/>
              <w:rPr>
                <w:rFonts w:ascii="宋体" w:hAnsi="宋体"/>
                <w:sz w:val="24"/>
                <w:szCs w:val="24"/>
              </w:rPr>
            </w:pPr>
            <w:r>
              <w:rPr>
                <w:rFonts w:hint="eastAsia" w:ascii="宋体" w:hAnsi="宋体"/>
                <w:sz w:val="24"/>
                <w:szCs w:val="24"/>
              </w:rPr>
              <w:t>视频输入输出接口能力</w:t>
            </w:r>
          </w:p>
        </w:tc>
        <w:tc>
          <w:tcPr>
            <w:tcW w:w="4079" w:type="pct"/>
            <w:vAlign w:val="center"/>
          </w:tcPr>
          <w:p>
            <w:pPr>
              <w:jc w:val="left"/>
              <w:rPr>
                <w:rFonts w:ascii="宋体" w:hAnsi="宋体"/>
                <w:sz w:val="24"/>
                <w:szCs w:val="24"/>
              </w:rPr>
            </w:pPr>
            <w:r>
              <w:rPr>
                <w:rFonts w:hint="eastAsia" w:ascii="宋体" w:hAnsi="宋体"/>
                <w:sz w:val="24"/>
                <w:szCs w:val="24"/>
              </w:rPr>
              <w:t>支持不少于</w:t>
            </w:r>
            <w:r>
              <w:rPr>
                <w:rFonts w:ascii="宋体" w:hAnsi="宋体"/>
                <w:sz w:val="24"/>
                <w:szCs w:val="24"/>
              </w:rPr>
              <w:t>6</w:t>
            </w:r>
            <w:r>
              <w:rPr>
                <w:rFonts w:hint="eastAsia" w:ascii="宋体" w:hAnsi="宋体"/>
                <w:sz w:val="24"/>
                <w:szCs w:val="24"/>
              </w:rPr>
              <w:t>路</w:t>
            </w:r>
            <w:r>
              <w:rPr>
                <w:rFonts w:ascii="宋体" w:hAnsi="宋体"/>
                <w:sz w:val="24"/>
                <w:szCs w:val="24"/>
              </w:rPr>
              <w:t>SDI</w:t>
            </w:r>
            <w:r>
              <w:rPr>
                <w:rFonts w:hint="eastAsia" w:ascii="宋体" w:hAnsi="宋体"/>
                <w:sz w:val="24"/>
                <w:szCs w:val="24"/>
              </w:rPr>
              <w:t>输入；支持不少于</w:t>
            </w:r>
            <w:r>
              <w:rPr>
                <w:rFonts w:ascii="宋体" w:hAnsi="宋体"/>
                <w:sz w:val="24"/>
                <w:szCs w:val="24"/>
              </w:rPr>
              <w:t>6</w:t>
            </w:r>
            <w:r>
              <w:rPr>
                <w:rFonts w:hint="eastAsia" w:ascii="宋体" w:hAnsi="宋体"/>
                <w:sz w:val="24"/>
                <w:szCs w:val="24"/>
              </w:rPr>
              <w:t>路</w:t>
            </w:r>
            <w:r>
              <w:rPr>
                <w:rFonts w:ascii="宋体" w:hAnsi="宋体"/>
                <w:sz w:val="24"/>
                <w:szCs w:val="24"/>
              </w:rPr>
              <w:t>HDMI</w:t>
            </w:r>
            <w:r>
              <w:rPr>
                <w:rFonts w:hint="eastAsia" w:ascii="宋体" w:hAnsi="宋体"/>
                <w:sz w:val="24"/>
                <w:szCs w:val="24"/>
              </w:rPr>
              <w:t>输入，</w:t>
            </w:r>
            <w:r>
              <w:rPr>
                <w:rFonts w:ascii="宋体" w:hAnsi="宋体"/>
                <w:sz w:val="24"/>
                <w:szCs w:val="24"/>
              </w:rPr>
              <w:t>4</w:t>
            </w:r>
            <w:r>
              <w:rPr>
                <w:rFonts w:hint="eastAsia" w:ascii="宋体" w:hAnsi="宋体"/>
                <w:sz w:val="24"/>
                <w:szCs w:val="24"/>
              </w:rPr>
              <w:t>路</w:t>
            </w:r>
            <w:r>
              <w:rPr>
                <w:rFonts w:ascii="宋体" w:hAnsi="宋体"/>
                <w:sz w:val="24"/>
                <w:szCs w:val="24"/>
              </w:rPr>
              <w:t>DVI</w:t>
            </w:r>
            <w:r>
              <w:rPr>
                <w:rFonts w:hint="eastAsia" w:ascii="宋体" w:hAnsi="宋体"/>
                <w:sz w:val="24"/>
                <w:szCs w:val="24"/>
              </w:rPr>
              <w:t>视频输入；支持不少于</w:t>
            </w:r>
            <w:r>
              <w:rPr>
                <w:rFonts w:ascii="宋体" w:hAnsi="宋体"/>
                <w:sz w:val="24"/>
                <w:szCs w:val="24"/>
              </w:rPr>
              <w:t>6</w:t>
            </w:r>
            <w:r>
              <w:rPr>
                <w:rFonts w:hint="eastAsia" w:ascii="宋体" w:hAnsi="宋体"/>
                <w:sz w:val="24"/>
                <w:szCs w:val="24"/>
              </w:rPr>
              <w:t>路</w:t>
            </w:r>
            <w:r>
              <w:rPr>
                <w:rFonts w:ascii="宋体" w:hAnsi="宋体"/>
                <w:sz w:val="24"/>
                <w:szCs w:val="24"/>
              </w:rPr>
              <w:t>DVI</w:t>
            </w:r>
            <w:r>
              <w:rPr>
                <w:rFonts w:hint="eastAsia" w:ascii="宋体" w:hAnsi="宋体"/>
                <w:sz w:val="24"/>
                <w:szCs w:val="24"/>
              </w:rPr>
              <w:t>视频输出，</w:t>
            </w:r>
            <w:r>
              <w:rPr>
                <w:rFonts w:ascii="宋体" w:hAnsi="宋体"/>
                <w:sz w:val="24"/>
                <w:szCs w:val="24"/>
              </w:rPr>
              <w:t>3</w:t>
            </w:r>
            <w:r>
              <w:rPr>
                <w:rFonts w:hint="eastAsia" w:ascii="宋体" w:hAnsi="宋体"/>
                <w:sz w:val="24"/>
                <w:szCs w:val="24"/>
              </w:rPr>
              <w:t>路</w:t>
            </w:r>
            <w:r>
              <w:rPr>
                <w:rFonts w:ascii="宋体" w:hAnsi="宋体"/>
                <w:sz w:val="24"/>
                <w:szCs w:val="24"/>
              </w:rPr>
              <w:t>HDMI</w:t>
            </w:r>
            <w:r>
              <w:rPr>
                <w:rFonts w:hint="eastAsia" w:ascii="宋体" w:hAnsi="宋体"/>
                <w:sz w:val="24"/>
                <w:szCs w:val="24"/>
              </w:rPr>
              <w:t>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921" w:type="pct"/>
            <w:vAlign w:val="center"/>
          </w:tcPr>
          <w:p>
            <w:pPr>
              <w:jc w:val="left"/>
              <w:rPr>
                <w:rFonts w:ascii="宋体" w:hAnsi="宋体"/>
                <w:sz w:val="24"/>
                <w:szCs w:val="24"/>
              </w:rPr>
            </w:pPr>
            <w:r>
              <w:rPr>
                <w:rFonts w:hint="eastAsia" w:ascii="宋体" w:hAnsi="宋体"/>
                <w:sz w:val="24"/>
                <w:szCs w:val="24"/>
              </w:rPr>
              <w:t>音频接口</w:t>
            </w:r>
          </w:p>
        </w:tc>
        <w:tc>
          <w:tcPr>
            <w:tcW w:w="4079" w:type="pct"/>
            <w:vAlign w:val="center"/>
          </w:tcPr>
          <w:p>
            <w:pPr>
              <w:jc w:val="left"/>
              <w:rPr>
                <w:rFonts w:ascii="宋体" w:hAnsi="宋体"/>
                <w:sz w:val="24"/>
                <w:szCs w:val="24"/>
              </w:rPr>
            </w:pPr>
            <w:r>
              <w:rPr>
                <w:rFonts w:hint="eastAsia" w:ascii="宋体" w:hAnsi="宋体"/>
                <w:sz w:val="24"/>
                <w:szCs w:val="24"/>
              </w:rPr>
              <w:t>支持</w:t>
            </w:r>
            <w:r>
              <w:rPr>
                <w:rFonts w:ascii="宋体" w:hAnsi="宋体"/>
                <w:sz w:val="24"/>
                <w:szCs w:val="24"/>
              </w:rPr>
              <w:t>12</w:t>
            </w:r>
            <w:r>
              <w:rPr>
                <w:rFonts w:hint="eastAsia" w:ascii="宋体" w:hAnsi="宋体"/>
                <w:sz w:val="24"/>
                <w:szCs w:val="24"/>
              </w:rPr>
              <w:t>路</w:t>
            </w:r>
            <w:r>
              <w:rPr>
                <w:rFonts w:ascii="宋体" w:hAnsi="宋体"/>
                <w:sz w:val="24"/>
                <w:szCs w:val="24"/>
              </w:rPr>
              <w:t>Mic In</w:t>
            </w:r>
            <w:r>
              <w:rPr>
                <w:rFonts w:hint="eastAsia" w:ascii="宋体" w:hAnsi="宋体"/>
                <w:sz w:val="24"/>
                <w:szCs w:val="24"/>
              </w:rPr>
              <w:t>、</w:t>
            </w:r>
            <w:r>
              <w:rPr>
                <w:rFonts w:ascii="宋体" w:hAnsi="宋体"/>
                <w:sz w:val="24"/>
                <w:szCs w:val="24"/>
              </w:rPr>
              <w:t>4</w:t>
            </w:r>
            <w:r>
              <w:rPr>
                <w:rFonts w:hint="eastAsia" w:ascii="宋体" w:hAnsi="宋体"/>
                <w:sz w:val="24"/>
                <w:szCs w:val="24"/>
              </w:rPr>
              <w:t>路</w:t>
            </w:r>
            <w:r>
              <w:rPr>
                <w:rFonts w:ascii="宋体" w:hAnsi="宋体"/>
                <w:sz w:val="24"/>
                <w:szCs w:val="24"/>
              </w:rPr>
              <w:t>Line In</w:t>
            </w:r>
            <w:r>
              <w:rPr>
                <w:rFonts w:hint="eastAsia" w:ascii="宋体" w:hAnsi="宋体"/>
                <w:sz w:val="24"/>
                <w:szCs w:val="24"/>
              </w:rPr>
              <w:t>；支持</w:t>
            </w:r>
            <w:r>
              <w:rPr>
                <w:rFonts w:ascii="宋体" w:hAnsi="宋体"/>
                <w:sz w:val="24"/>
                <w:szCs w:val="24"/>
              </w:rPr>
              <w:t>3</w:t>
            </w:r>
            <w:r>
              <w:rPr>
                <w:rFonts w:hint="eastAsia" w:ascii="宋体" w:hAnsi="宋体"/>
                <w:sz w:val="24"/>
                <w:szCs w:val="24"/>
              </w:rPr>
              <w:t>路</w:t>
            </w:r>
            <w:r>
              <w:rPr>
                <w:rFonts w:ascii="宋体" w:hAnsi="宋体"/>
                <w:sz w:val="24"/>
                <w:szCs w:val="24"/>
              </w:rPr>
              <w:t>Line Out</w:t>
            </w:r>
            <w:r>
              <w:rPr>
                <w:rFonts w:hint="eastAsia" w:ascii="宋体" w:hAnsi="宋体"/>
                <w:sz w:val="24"/>
                <w:szCs w:val="24"/>
              </w:rPr>
              <w:t>、</w:t>
            </w:r>
            <w:r>
              <w:rPr>
                <w:rFonts w:ascii="宋体" w:hAnsi="宋体"/>
                <w:sz w:val="24"/>
                <w:szCs w:val="24"/>
              </w:rPr>
              <w:t>2</w:t>
            </w:r>
            <w:r>
              <w:rPr>
                <w:rFonts w:hint="eastAsia" w:ascii="宋体" w:hAnsi="宋体"/>
                <w:sz w:val="24"/>
                <w:szCs w:val="24"/>
              </w:rPr>
              <w:t>路</w:t>
            </w:r>
            <w:r>
              <w:rPr>
                <w:rFonts w:ascii="宋体" w:hAnsi="宋体"/>
                <w:sz w:val="24"/>
                <w:szCs w:val="24"/>
              </w:rPr>
              <w:t>XLR Out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921" w:type="pct"/>
            <w:vAlign w:val="center"/>
          </w:tcPr>
          <w:p>
            <w:pPr>
              <w:jc w:val="left"/>
              <w:rPr>
                <w:rFonts w:ascii="宋体" w:hAnsi="宋体"/>
                <w:sz w:val="24"/>
                <w:szCs w:val="24"/>
              </w:rPr>
            </w:pPr>
            <w:r>
              <w:rPr>
                <w:rFonts w:hint="eastAsia" w:ascii="宋体" w:hAnsi="宋体"/>
                <w:sz w:val="24"/>
                <w:szCs w:val="24"/>
              </w:rPr>
              <w:t>控制接口</w:t>
            </w:r>
          </w:p>
        </w:tc>
        <w:tc>
          <w:tcPr>
            <w:tcW w:w="4079" w:type="pct"/>
            <w:vAlign w:val="center"/>
          </w:tcPr>
          <w:p>
            <w:pPr>
              <w:jc w:val="left"/>
              <w:rPr>
                <w:rFonts w:ascii="宋体" w:hAnsi="宋体"/>
                <w:sz w:val="24"/>
                <w:szCs w:val="24"/>
              </w:rPr>
            </w:pPr>
            <w:r>
              <w:rPr>
                <w:rFonts w:hint="eastAsia" w:ascii="宋体" w:hAnsi="宋体"/>
                <w:sz w:val="24"/>
                <w:szCs w:val="24"/>
              </w:rPr>
              <w:t>支持不少于6路</w:t>
            </w:r>
            <w:r>
              <w:rPr>
                <w:rFonts w:ascii="宋体" w:hAnsi="宋体"/>
                <w:sz w:val="24"/>
                <w:szCs w:val="24"/>
              </w:rPr>
              <w:t>RS485</w:t>
            </w:r>
            <w:r>
              <w:rPr>
                <w:rFonts w:hint="eastAsia" w:ascii="宋体" w:hAnsi="宋体"/>
                <w:sz w:val="24"/>
                <w:szCs w:val="24"/>
              </w:rPr>
              <w:t>串行接口、4路</w:t>
            </w:r>
            <w:r>
              <w:rPr>
                <w:rFonts w:ascii="宋体" w:hAnsi="宋体"/>
                <w:sz w:val="24"/>
                <w:szCs w:val="24"/>
              </w:rPr>
              <w:t>RS232</w:t>
            </w:r>
            <w:r>
              <w:rPr>
                <w:rFonts w:hint="eastAsia" w:ascii="宋体" w:hAnsi="宋体"/>
                <w:sz w:val="24"/>
                <w:szCs w:val="24"/>
              </w:rPr>
              <w:t>串行接口；支持1路红外输入、4路红外输出</w:t>
            </w:r>
            <w:r>
              <w:rPr>
                <w:rFonts w:ascii="宋体" w:hAnsi="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21" w:type="pct"/>
            <w:vAlign w:val="center"/>
          </w:tcPr>
          <w:p>
            <w:pPr>
              <w:jc w:val="left"/>
              <w:rPr>
                <w:rFonts w:ascii="宋体" w:hAnsi="宋体"/>
                <w:sz w:val="24"/>
                <w:szCs w:val="24"/>
              </w:rPr>
            </w:pPr>
            <w:r>
              <w:rPr>
                <w:rFonts w:hint="eastAsia" w:ascii="宋体" w:hAnsi="宋体"/>
                <w:sz w:val="24"/>
                <w:szCs w:val="24"/>
              </w:rPr>
              <w:t>视音频格式</w:t>
            </w:r>
          </w:p>
        </w:tc>
        <w:tc>
          <w:tcPr>
            <w:tcW w:w="4079" w:type="pct"/>
            <w:vAlign w:val="center"/>
          </w:tcPr>
          <w:p>
            <w:pPr>
              <w:jc w:val="left"/>
              <w:rPr>
                <w:rFonts w:ascii="宋体" w:hAnsi="宋体"/>
                <w:sz w:val="24"/>
                <w:szCs w:val="24"/>
              </w:rPr>
            </w:pPr>
            <w:r>
              <w:rPr>
                <w:rFonts w:hint="eastAsia" w:ascii="宋体" w:hAnsi="宋体"/>
                <w:sz w:val="24"/>
                <w:szCs w:val="24"/>
              </w:rPr>
              <w:t>支持</w:t>
            </w:r>
            <w:r>
              <w:rPr>
                <w:rFonts w:ascii="宋体" w:hAnsi="宋体"/>
                <w:sz w:val="24"/>
                <w:szCs w:val="24"/>
              </w:rPr>
              <w:t>H.264</w:t>
            </w:r>
            <w:r>
              <w:rPr>
                <w:rFonts w:hint="eastAsia" w:ascii="宋体" w:hAnsi="宋体"/>
                <w:sz w:val="24"/>
                <w:szCs w:val="24"/>
              </w:rPr>
              <w:t>和</w:t>
            </w:r>
            <w:r>
              <w:rPr>
                <w:rFonts w:ascii="宋体" w:hAnsi="宋体"/>
                <w:sz w:val="24"/>
                <w:szCs w:val="24"/>
              </w:rPr>
              <w:t>H.265</w:t>
            </w:r>
            <w:r>
              <w:rPr>
                <w:rFonts w:hint="eastAsia" w:ascii="宋体" w:hAnsi="宋体"/>
                <w:sz w:val="24"/>
                <w:szCs w:val="24"/>
              </w:rPr>
              <w:t>视频格式；支持</w:t>
            </w:r>
            <w:r>
              <w:rPr>
                <w:rFonts w:ascii="宋体" w:hAnsi="宋体"/>
                <w:sz w:val="24"/>
                <w:szCs w:val="24"/>
              </w:rPr>
              <w:t>G.711</w:t>
            </w:r>
            <w:r>
              <w:rPr>
                <w:rFonts w:hint="eastAsia" w:ascii="宋体" w:hAnsi="宋体"/>
                <w:sz w:val="24"/>
                <w:szCs w:val="24"/>
              </w:rPr>
              <w:t>、G</w:t>
            </w:r>
            <w:r>
              <w:rPr>
                <w:rFonts w:ascii="宋体" w:hAnsi="宋体"/>
                <w:sz w:val="24"/>
                <w:szCs w:val="24"/>
              </w:rPr>
              <w:t>.722</w:t>
            </w:r>
            <w:r>
              <w:rPr>
                <w:rFonts w:hint="eastAsia" w:ascii="宋体" w:hAnsi="宋体"/>
                <w:sz w:val="24"/>
                <w:szCs w:val="24"/>
              </w:rPr>
              <w:t>、</w:t>
            </w:r>
            <w:r>
              <w:rPr>
                <w:rFonts w:ascii="宋体" w:hAnsi="宋体"/>
                <w:sz w:val="24"/>
                <w:szCs w:val="24"/>
              </w:rPr>
              <w:t>AAC_LC</w:t>
            </w:r>
            <w:r>
              <w:rPr>
                <w:rFonts w:hint="eastAsia" w:ascii="宋体" w:hAnsi="宋体"/>
                <w:sz w:val="24"/>
                <w:szCs w:val="24"/>
              </w:rPr>
              <w:t>和</w:t>
            </w:r>
            <w:r>
              <w:rPr>
                <w:rFonts w:ascii="宋体" w:hAnsi="宋体"/>
                <w:sz w:val="24"/>
                <w:szCs w:val="24"/>
              </w:rPr>
              <w:t>ADPCM</w:t>
            </w:r>
            <w:r>
              <w:rPr>
                <w:rFonts w:hint="eastAsia" w:ascii="宋体" w:hAnsi="宋体"/>
                <w:sz w:val="24"/>
                <w:szCs w:val="24"/>
              </w:rPr>
              <w:t>音频格式，音频采样率支持8</w:t>
            </w:r>
            <w:r>
              <w:rPr>
                <w:rFonts w:ascii="宋体" w:hAnsi="宋体"/>
                <w:sz w:val="24"/>
                <w:szCs w:val="24"/>
              </w:rPr>
              <w:t>KHz</w:t>
            </w:r>
            <w:r>
              <w:rPr>
                <w:rFonts w:hint="eastAsia" w:ascii="宋体" w:hAnsi="宋体"/>
                <w:sz w:val="24"/>
                <w:szCs w:val="24"/>
              </w:rPr>
              <w:t>、1</w:t>
            </w:r>
            <w:r>
              <w:rPr>
                <w:rFonts w:ascii="宋体" w:hAnsi="宋体"/>
                <w:sz w:val="24"/>
                <w:szCs w:val="24"/>
              </w:rPr>
              <w:t>6KHz</w:t>
            </w:r>
            <w:r>
              <w:rPr>
                <w:rFonts w:hint="eastAsia" w:ascii="宋体" w:hAnsi="宋体"/>
                <w:sz w:val="24"/>
                <w:szCs w:val="24"/>
              </w:rPr>
              <w:t>、3</w:t>
            </w:r>
            <w:r>
              <w:rPr>
                <w:rFonts w:ascii="宋体" w:hAnsi="宋体"/>
                <w:sz w:val="24"/>
                <w:szCs w:val="24"/>
              </w:rPr>
              <w:t>2KHz</w:t>
            </w:r>
            <w:r>
              <w:rPr>
                <w:rFonts w:hint="eastAsia" w:ascii="宋体" w:hAnsi="宋体"/>
                <w:sz w:val="24"/>
                <w:szCs w:val="24"/>
              </w:rPr>
              <w:t>和48</w:t>
            </w:r>
            <w:r>
              <w:rPr>
                <w:rFonts w:ascii="宋体" w:hAnsi="宋体"/>
                <w:sz w:val="24"/>
                <w:szCs w:val="24"/>
              </w:rPr>
              <w:t>KHz</w:t>
            </w:r>
            <w:r>
              <w:rPr>
                <w:rFonts w:hint="eastAsia" w:ascii="宋体" w:hAnsi="宋体"/>
                <w:sz w:val="24"/>
                <w:szCs w:val="24"/>
              </w:rPr>
              <w:t>可设置。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21" w:type="pct"/>
            <w:vAlign w:val="center"/>
          </w:tcPr>
          <w:p>
            <w:pPr>
              <w:jc w:val="left"/>
              <w:rPr>
                <w:rFonts w:ascii="宋体" w:hAnsi="宋体"/>
                <w:sz w:val="24"/>
                <w:szCs w:val="24"/>
              </w:rPr>
            </w:pPr>
            <w:r>
              <w:rPr>
                <w:rFonts w:hint="eastAsia" w:ascii="宋体" w:hAnsi="宋体"/>
                <w:sz w:val="24"/>
                <w:szCs w:val="24"/>
              </w:rPr>
              <w:t>▲视频接入能力</w:t>
            </w:r>
          </w:p>
        </w:tc>
        <w:tc>
          <w:tcPr>
            <w:tcW w:w="4079" w:type="pct"/>
            <w:vAlign w:val="center"/>
          </w:tcPr>
          <w:p>
            <w:pPr>
              <w:jc w:val="left"/>
              <w:rPr>
                <w:rFonts w:ascii="宋体" w:hAnsi="宋体"/>
                <w:sz w:val="24"/>
                <w:szCs w:val="24"/>
              </w:rPr>
            </w:pPr>
            <w:r>
              <w:rPr>
                <w:rFonts w:hint="eastAsia" w:ascii="宋体" w:hAnsi="宋体"/>
                <w:sz w:val="24"/>
                <w:szCs w:val="24"/>
              </w:rPr>
              <w:t>支持1</w:t>
            </w:r>
            <w:r>
              <w:rPr>
                <w:rFonts w:ascii="宋体" w:hAnsi="宋体"/>
                <w:sz w:val="24"/>
                <w:szCs w:val="24"/>
              </w:rPr>
              <w:t>6</w:t>
            </w:r>
            <w:r>
              <w:rPr>
                <w:rFonts w:hint="eastAsia" w:ascii="宋体" w:hAnsi="宋体"/>
                <w:sz w:val="24"/>
                <w:szCs w:val="24"/>
              </w:rPr>
              <w:t>路I</w:t>
            </w:r>
            <w:r>
              <w:rPr>
                <w:rFonts w:ascii="宋体" w:hAnsi="宋体"/>
                <w:sz w:val="24"/>
                <w:szCs w:val="24"/>
              </w:rPr>
              <w:t>P</w:t>
            </w:r>
            <w:r>
              <w:rPr>
                <w:rFonts w:hint="eastAsia" w:ascii="宋体" w:hAnsi="宋体"/>
                <w:sz w:val="24"/>
                <w:szCs w:val="24"/>
              </w:rPr>
              <w:t>摄像机和S</w:t>
            </w:r>
            <w:r>
              <w:rPr>
                <w:rFonts w:ascii="宋体" w:hAnsi="宋体"/>
                <w:sz w:val="24"/>
                <w:szCs w:val="24"/>
              </w:rPr>
              <w:t>DI</w:t>
            </w:r>
            <w:r>
              <w:rPr>
                <w:rFonts w:hint="eastAsia" w:ascii="宋体" w:hAnsi="宋体"/>
                <w:sz w:val="24"/>
                <w:szCs w:val="24"/>
              </w:rPr>
              <w:t>摄像机混合接入，支持1</w:t>
            </w:r>
            <w:r>
              <w:rPr>
                <w:rFonts w:ascii="宋体" w:hAnsi="宋体"/>
                <w:sz w:val="24"/>
                <w:szCs w:val="24"/>
              </w:rPr>
              <w:t>6</w:t>
            </w:r>
            <w:r>
              <w:rPr>
                <w:rFonts w:hint="eastAsia" w:ascii="宋体" w:hAnsi="宋体"/>
                <w:sz w:val="24"/>
                <w:szCs w:val="24"/>
              </w:rPr>
              <w:t>路4</w:t>
            </w:r>
            <w:r>
              <w:rPr>
                <w:rFonts w:ascii="宋体" w:hAnsi="宋体"/>
                <w:sz w:val="24"/>
                <w:szCs w:val="24"/>
              </w:rPr>
              <w:t>K</w:t>
            </w:r>
            <w:r>
              <w:rPr>
                <w:rFonts w:hint="eastAsia" w:ascii="宋体" w:hAnsi="宋体"/>
                <w:sz w:val="24"/>
                <w:szCs w:val="24"/>
              </w:rPr>
              <w:t>接入；支持</w:t>
            </w:r>
            <w:r>
              <w:rPr>
                <w:rFonts w:ascii="宋体" w:hAnsi="宋体"/>
                <w:sz w:val="24"/>
                <w:szCs w:val="24"/>
              </w:rPr>
              <w:t>4K</w:t>
            </w:r>
            <w:r>
              <w:rPr>
                <w:rFonts w:hint="eastAsia" w:ascii="宋体" w:hAnsi="宋体"/>
                <w:sz w:val="24"/>
                <w:szCs w:val="24"/>
              </w:rPr>
              <w:t>、</w:t>
            </w:r>
            <w:r>
              <w:rPr>
                <w:rFonts w:ascii="宋体" w:hAnsi="宋体"/>
                <w:sz w:val="24"/>
                <w:szCs w:val="24"/>
              </w:rPr>
              <w:t>2K</w:t>
            </w:r>
            <w:r>
              <w:rPr>
                <w:rFonts w:hint="eastAsia" w:ascii="宋体" w:hAnsi="宋体"/>
                <w:sz w:val="24"/>
                <w:szCs w:val="24"/>
              </w:rPr>
              <w:t>、</w:t>
            </w:r>
            <w:r>
              <w:rPr>
                <w:rFonts w:ascii="宋体" w:hAnsi="宋体"/>
                <w:sz w:val="24"/>
                <w:szCs w:val="24"/>
              </w:rPr>
              <w:t>1080P</w:t>
            </w:r>
            <w:r>
              <w:rPr>
                <w:rFonts w:hint="eastAsia" w:ascii="宋体" w:hAnsi="宋体"/>
                <w:sz w:val="24"/>
                <w:szCs w:val="24"/>
              </w:rPr>
              <w:t>、</w:t>
            </w:r>
            <w:r>
              <w:rPr>
                <w:rFonts w:ascii="宋体" w:hAnsi="宋体"/>
                <w:sz w:val="24"/>
                <w:szCs w:val="24"/>
              </w:rPr>
              <w:t>720P</w:t>
            </w:r>
            <w:r>
              <w:rPr>
                <w:rFonts w:hint="eastAsia" w:ascii="宋体" w:hAnsi="宋体"/>
                <w:sz w:val="24"/>
                <w:szCs w:val="24"/>
              </w:rPr>
              <w:t>、</w:t>
            </w:r>
            <w:r>
              <w:rPr>
                <w:rFonts w:ascii="宋体" w:hAnsi="宋体"/>
                <w:sz w:val="24"/>
                <w:szCs w:val="24"/>
              </w:rPr>
              <w:t>D1</w:t>
            </w:r>
            <w:r>
              <w:rPr>
                <w:rFonts w:hint="eastAsia" w:ascii="宋体" w:hAnsi="宋体"/>
                <w:sz w:val="24"/>
                <w:szCs w:val="24"/>
              </w:rPr>
              <w:t>图像分辨率前端接入，并进入合成画面（需提供产品界面截图、产品彩页、产品说明书、产品白皮书或第三方检测机构出具的检测报告等证明材料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921" w:type="pct"/>
            <w:vAlign w:val="center"/>
          </w:tcPr>
          <w:p>
            <w:pPr>
              <w:jc w:val="left"/>
              <w:rPr>
                <w:rFonts w:ascii="宋体" w:hAnsi="宋体"/>
                <w:sz w:val="24"/>
                <w:szCs w:val="24"/>
              </w:rPr>
            </w:pPr>
            <w:r>
              <w:rPr>
                <w:rFonts w:hint="eastAsia" w:ascii="宋体" w:hAnsi="宋体"/>
                <w:sz w:val="24"/>
                <w:szCs w:val="24"/>
              </w:rPr>
              <w:t>画面合成功能</w:t>
            </w:r>
          </w:p>
        </w:tc>
        <w:tc>
          <w:tcPr>
            <w:tcW w:w="4079" w:type="pct"/>
            <w:vAlign w:val="center"/>
          </w:tcPr>
          <w:p>
            <w:pPr>
              <w:jc w:val="left"/>
              <w:rPr>
                <w:rFonts w:ascii="宋体" w:hAnsi="宋体"/>
                <w:sz w:val="24"/>
                <w:szCs w:val="24"/>
              </w:rPr>
            </w:pPr>
            <w:r>
              <w:rPr>
                <w:rFonts w:hint="eastAsia" w:ascii="宋体" w:hAnsi="宋体"/>
                <w:sz w:val="24"/>
                <w:szCs w:val="24"/>
              </w:rPr>
              <w:t>支持调节合成画面尺寸，支持</w:t>
            </w:r>
            <w:r>
              <w:rPr>
                <w:rFonts w:ascii="宋体" w:hAnsi="宋体"/>
                <w:sz w:val="24"/>
                <w:szCs w:val="24"/>
              </w:rPr>
              <w:t>4K</w:t>
            </w:r>
            <w:r>
              <w:rPr>
                <w:rFonts w:hint="eastAsia" w:ascii="宋体" w:hAnsi="宋体"/>
                <w:sz w:val="24"/>
                <w:szCs w:val="24"/>
              </w:rPr>
              <w:t>、</w:t>
            </w:r>
            <w:r>
              <w:rPr>
                <w:rFonts w:ascii="宋体" w:hAnsi="宋体"/>
                <w:sz w:val="24"/>
                <w:szCs w:val="24"/>
              </w:rPr>
              <w:t>2K</w:t>
            </w:r>
            <w:r>
              <w:rPr>
                <w:rFonts w:hint="eastAsia" w:ascii="宋体" w:hAnsi="宋体"/>
                <w:sz w:val="24"/>
                <w:szCs w:val="24"/>
              </w:rPr>
              <w:t>、</w:t>
            </w:r>
            <w:r>
              <w:rPr>
                <w:rFonts w:ascii="宋体" w:hAnsi="宋体"/>
                <w:sz w:val="24"/>
                <w:szCs w:val="24"/>
              </w:rPr>
              <w:t>1080P</w:t>
            </w:r>
            <w:r>
              <w:rPr>
                <w:rFonts w:hint="eastAsia" w:ascii="宋体" w:hAnsi="宋体"/>
                <w:sz w:val="24"/>
                <w:szCs w:val="24"/>
              </w:rPr>
              <w:t>、</w:t>
            </w:r>
            <w:r>
              <w:rPr>
                <w:rFonts w:ascii="宋体" w:hAnsi="宋体"/>
                <w:sz w:val="24"/>
                <w:szCs w:val="24"/>
              </w:rPr>
              <w:t>720P</w:t>
            </w:r>
            <w:r>
              <w:rPr>
                <w:rFonts w:hint="eastAsia" w:ascii="宋体" w:hAnsi="宋体"/>
                <w:sz w:val="24"/>
                <w:szCs w:val="24"/>
              </w:rPr>
              <w:t>、</w:t>
            </w:r>
            <w:r>
              <w:rPr>
                <w:rFonts w:ascii="宋体" w:hAnsi="宋体"/>
                <w:sz w:val="24"/>
                <w:szCs w:val="24"/>
              </w:rPr>
              <w:t>D1</w:t>
            </w:r>
            <w:r>
              <w:rPr>
                <w:rFonts w:hint="eastAsia" w:ascii="宋体" w:hAnsi="宋体"/>
                <w:sz w:val="24"/>
                <w:szCs w:val="24"/>
              </w:rPr>
              <w:t>分辨率编码，合成画面帧率支持</w:t>
            </w:r>
            <w:r>
              <w:rPr>
                <w:rFonts w:ascii="宋体" w:hAnsi="宋体"/>
                <w:sz w:val="24"/>
                <w:szCs w:val="24"/>
              </w:rPr>
              <w:t>30fps</w:t>
            </w:r>
            <w:r>
              <w:rPr>
                <w:rFonts w:hint="eastAsia" w:ascii="宋体" w:hAnsi="宋体"/>
                <w:sz w:val="24"/>
                <w:szCs w:val="24"/>
              </w:rPr>
              <w:t>、</w:t>
            </w:r>
            <w:r>
              <w:rPr>
                <w:rFonts w:ascii="宋体" w:hAnsi="宋体"/>
                <w:sz w:val="24"/>
                <w:szCs w:val="24"/>
              </w:rPr>
              <w:t>45fps</w:t>
            </w:r>
            <w:r>
              <w:rPr>
                <w:rFonts w:hint="eastAsia" w:ascii="宋体" w:hAnsi="宋体"/>
                <w:sz w:val="24"/>
                <w:szCs w:val="24"/>
              </w:rPr>
              <w:t>和</w:t>
            </w:r>
            <w:r>
              <w:rPr>
                <w:rFonts w:ascii="宋体" w:hAnsi="宋体"/>
                <w:sz w:val="24"/>
                <w:szCs w:val="24"/>
              </w:rPr>
              <w:t>60fps</w:t>
            </w:r>
            <w:r>
              <w:rPr>
                <w:rFonts w:hint="eastAsia" w:ascii="宋体" w:hAnsi="宋体"/>
                <w:sz w:val="24"/>
                <w:szCs w:val="24"/>
              </w:rPr>
              <w:t>可设置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921" w:type="pct"/>
            <w:vAlign w:val="center"/>
          </w:tcPr>
          <w:p>
            <w:pPr>
              <w:jc w:val="left"/>
              <w:rPr>
                <w:rFonts w:ascii="宋体" w:hAnsi="宋体"/>
                <w:sz w:val="24"/>
                <w:szCs w:val="24"/>
              </w:rPr>
            </w:pPr>
            <w:r>
              <w:rPr>
                <w:rFonts w:hint="eastAsia" w:ascii="宋体" w:hAnsi="宋体"/>
                <w:sz w:val="24"/>
                <w:szCs w:val="24"/>
              </w:rPr>
              <w:t>证据展示功能</w:t>
            </w:r>
          </w:p>
        </w:tc>
        <w:tc>
          <w:tcPr>
            <w:tcW w:w="4079" w:type="pct"/>
            <w:vAlign w:val="center"/>
          </w:tcPr>
          <w:p>
            <w:pPr>
              <w:jc w:val="left"/>
              <w:rPr>
                <w:rFonts w:ascii="宋体" w:hAnsi="宋体"/>
                <w:sz w:val="24"/>
                <w:szCs w:val="24"/>
              </w:rPr>
            </w:pPr>
            <w:r>
              <w:rPr>
                <w:rFonts w:hint="eastAsia" w:ascii="宋体" w:hAnsi="宋体"/>
                <w:sz w:val="24"/>
                <w:szCs w:val="24"/>
              </w:rPr>
              <w:t>支持两路证据展台（</w:t>
            </w:r>
            <w:r>
              <w:rPr>
                <w:rFonts w:ascii="宋体" w:hAnsi="宋体"/>
                <w:sz w:val="24"/>
                <w:szCs w:val="24"/>
              </w:rPr>
              <w:t>HDMI</w:t>
            </w:r>
            <w:r>
              <w:rPr>
                <w:rFonts w:hint="eastAsia" w:ascii="宋体" w:hAnsi="宋体"/>
                <w:sz w:val="24"/>
                <w:szCs w:val="24"/>
              </w:rPr>
              <w:t>、</w:t>
            </w:r>
            <w:r>
              <w:rPr>
                <w:rFonts w:ascii="宋体" w:hAnsi="宋体"/>
                <w:sz w:val="24"/>
                <w:szCs w:val="24"/>
              </w:rPr>
              <w:t>DVI</w:t>
            </w:r>
            <w:r>
              <w:rPr>
                <w:rFonts w:hint="eastAsia" w:ascii="宋体" w:hAnsi="宋体"/>
                <w:sz w:val="24"/>
                <w:szCs w:val="24"/>
              </w:rPr>
              <w:t>）接入并编码，支持两路证据编码独立录像，可同时将两路证据画面加入到合成画面中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921" w:type="pct"/>
            <w:vAlign w:val="center"/>
          </w:tcPr>
          <w:p>
            <w:pPr>
              <w:jc w:val="left"/>
              <w:rPr>
                <w:rFonts w:ascii="宋体" w:hAnsi="宋体"/>
                <w:sz w:val="24"/>
                <w:szCs w:val="24"/>
              </w:rPr>
            </w:pPr>
            <w:r>
              <w:rPr>
                <w:rFonts w:hint="eastAsia" w:ascii="宋体" w:hAnsi="宋体"/>
                <w:sz w:val="24"/>
                <w:szCs w:val="24"/>
              </w:rPr>
              <w:t>混音功能</w:t>
            </w:r>
          </w:p>
        </w:tc>
        <w:tc>
          <w:tcPr>
            <w:tcW w:w="4079" w:type="pct"/>
            <w:vAlign w:val="center"/>
          </w:tcPr>
          <w:p>
            <w:pPr>
              <w:jc w:val="left"/>
              <w:rPr>
                <w:rFonts w:ascii="宋体" w:hAnsi="宋体"/>
                <w:sz w:val="24"/>
                <w:szCs w:val="24"/>
              </w:rPr>
            </w:pPr>
            <w:r>
              <w:rPr>
                <w:rFonts w:hint="eastAsia" w:ascii="宋体" w:hAnsi="宋体"/>
                <w:sz w:val="24"/>
                <w:szCs w:val="24"/>
              </w:rPr>
              <w:t>支持</w:t>
            </w:r>
            <w:r>
              <w:rPr>
                <w:rFonts w:ascii="宋体" w:hAnsi="宋体"/>
                <w:sz w:val="24"/>
                <w:szCs w:val="24"/>
              </w:rPr>
              <w:t>35</w:t>
            </w:r>
            <w:r>
              <w:rPr>
                <w:rFonts w:hint="eastAsia" w:ascii="宋体" w:hAnsi="宋体"/>
                <w:sz w:val="24"/>
                <w:szCs w:val="24"/>
              </w:rPr>
              <w:t>路音频输入，能够实现远程声音和本地声音混音刻录；支持</w:t>
            </w:r>
            <w:r>
              <w:rPr>
                <w:rFonts w:ascii="宋体" w:hAnsi="宋体"/>
                <w:sz w:val="24"/>
                <w:szCs w:val="24"/>
              </w:rPr>
              <w:t>5</w:t>
            </w:r>
            <w:r>
              <w:rPr>
                <w:rFonts w:hint="eastAsia" w:ascii="宋体" w:hAnsi="宋体"/>
                <w:sz w:val="24"/>
                <w:szCs w:val="24"/>
              </w:rPr>
              <w:t>组混音器设置，每路音频输入通道自定义加入不同混音器混音；</w:t>
            </w:r>
            <w:r>
              <w:rPr>
                <w:rFonts w:ascii="宋体" w:hAnsi="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921" w:type="pct"/>
            <w:vAlign w:val="center"/>
          </w:tcPr>
          <w:p>
            <w:pPr>
              <w:jc w:val="left"/>
              <w:rPr>
                <w:rFonts w:ascii="宋体" w:hAnsi="宋体"/>
                <w:sz w:val="24"/>
                <w:szCs w:val="24"/>
              </w:rPr>
            </w:pPr>
            <w:r>
              <w:rPr>
                <w:rFonts w:hint="eastAsia" w:ascii="宋体" w:hAnsi="宋体"/>
                <w:sz w:val="24"/>
                <w:szCs w:val="24"/>
              </w:rPr>
              <w:t>音频处理功能</w:t>
            </w:r>
          </w:p>
        </w:tc>
        <w:tc>
          <w:tcPr>
            <w:tcW w:w="4079" w:type="pct"/>
            <w:vAlign w:val="center"/>
          </w:tcPr>
          <w:p>
            <w:pPr>
              <w:jc w:val="left"/>
              <w:rPr>
                <w:rFonts w:ascii="宋体" w:hAnsi="宋体"/>
                <w:sz w:val="24"/>
                <w:szCs w:val="24"/>
              </w:rPr>
            </w:pPr>
            <w:r>
              <w:rPr>
                <w:rFonts w:hint="eastAsia" w:ascii="宋体" w:hAnsi="宋体"/>
                <w:sz w:val="24"/>
                <w:szCs w:val="24"/>
              </w:rPr>
              <w:t>支持啸叫抑制、回声抵消、自动增益、音频降噪，变声等音频处理功能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21" w:type="pct"/>
            <w:vAlign w:val="center"/>
          </w:tcPr>
          <w:p>
            <w:pPr>
              <w:jc w:val="left"/>
              <w:rPr>
                <w:rFonts w:ascii="宋体" w:hAnsi="宋体"/>
                <w:sz w:val="24"/>
                <w:szCs w:val="24"/>
              </w:rPr>
            </w:pPr>
            <w:r>
              <w:rPr>
                <w:rFonts w:hint="eastAsia" w:ascii="宋体" w:hAnsi="宋体"/>
                <w:sz w:val="24"/>
                <w:szCs w:val="24"/>
              </w:rPr>
              <w:t>语音激励功能</w:t>
            </w:r>
          </w:p>
        </w:tc>
        <w:tc>
          <w:tcPr>
            <w:tcW w:w="4079" w:type="pct"/>
            <w:vAlign w:val="center"/>
          </w:tcPr>
          <w:p>
            <w:pPr>
              <w:jc w:val="left"/>
              <w:rPr>
                <w:rFonts w:ascii="宋体" w:hAnsi="宋体"/>
                <w:sz w:val="24"/>
                <w:szCs w:val="24"/>
              </w:rPr>
            </w:pPr>
            <w:r>
              <w:rPr>
                <w:rFonts w:hint="eastAsia" w:ascii="宋体" w:hAnsi="宋体"/>
                <w:sz w:val="24"/>
                <w:szCs w:val="24"/>
              </w:rPr>
              <w:t>支持S</w:t>
            </w:r>
            <w:r>
              <w:rPr>
                <w:rFonts w:ascii="宋体" w:hAnsi="宋体"/>
                <w:sz w:val="24"/>
                <w:szCs w:val="24"/>
              </w:rPr>
              <w:t>DI</w:t>
            </w:r>
            <w:r>
              <w:rPr>
                <w:rFonts w:hint="eastAsia" w:ascii="宋体" w:hAnsi="宋体"/>
                <w:sz w:val="24"/>
                <w:szCs w:val="24"/>
              </w:rPr>
              <w:t>摄像机</w:t>
            </w:r>
            <w:r>
              <w:rPr>
                <w:rFonts w:ascii="宋体" w:hAnsi="宋体"/>
                <w:sz w:val="24"/>
                <w:szCs w:val="24"/>
              </w:rPr>
              <w:t>/</w:t>
            </w:r>
            <w:r>
              <w:rPr>
                <w:rFonts w:hint="eastAsia" w:ascii="宋体" w:hAnsi="宋体"/>
                <w:sz w:val="24"/>
                <w:szCs w:val="24"/>
              </w:rPr>
              <w:t>远程点通道与本地</w:t>
            </w:r>
            <w:r>
              <w:rPr>
                <w:rFonts w:ascii="宋体" w:hAnsi="宋体"/>
                <w:sz w:val="24"/>
                <w:szCs w:val="24"/>
              </w:rPr>
              <w:t>/</w:t>
            </w:r>
            <w:r>
              <w:rPr>
                <w:rFonts w:hint="eastAsia" w:ascii="宋体" w:hAnsi="宋体"/>
                <w:sz w:val="24"/>
                <w:szCs w:val="24"/>
              </w:rPr>
              <w:t>网络音频通道关联，实现自动切换发言话筒对应的前端图像，支持触发云台转动到配置的预置点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921" w:type="pct"/>
            <w:vAlign w:val="center"/>
          </w:tcPr>
          <w:p>
            <w:pPr>
              <w:jc w:val="left"/>
              <w:rPr>
                <w:rFonts w:ascii="宋体" w:hAnsi="宋体"/>
                <w:sz w:val="24"/>
                <w:szCs w:val="24"/>
              </w:rPr>
            </w:pPr>
            <w:r>
              <w:rPr>
                <w:rFonts w:hint="eastAsia" w:ascii="宋体" w:hAnsi="宋体"/>
                <w:sz w:val="24"/>
                <w:szCs w:val="24"/>
              </w:rPr>
              <w:t>▲远程审讯功能</w:t>
            </w:r>
          </w:p>
        </w:tc>
        <w:tc>
          <w:tcPr>
            <w:tcW w:w="4079" w:type="pct"/>
            <w:vAlign w:val="center"/>
          </w:tcPr>
          <w:p>
            <w:pPr>
              <w:jc w:val="left"/>
              <w:rPr>
                <w:rFonts w:ascii="宋体" w:hAnsi="宋体"/>
                <w:sz w:val="24"/>
                <w:szCs w:val="24"/>
              </w:rPr>
            </w:pPr>
            <w:r>
              <w:rPr>
                <w:rFonts w:hint="eastAsia" w:ascii="宋体" w:hAnsi="宋体"/>
                <w:sz w:val="24"/>
                <w:szCs w:val="24"/>
              </w:rPr>
              <w:t>支持</w:t>
            </w:r>
            <w:r>
              <w:rPr>
                <w:rFonts w:ascii="宋体" w:hAnsi="宋体"/>
                <w:sz w:val="24"/>
                <w:szCs w:val="24"/>
              </w:rPr>
              <w:t>H.323</w:t>
            </w:r>
            <w:r>
              <w:rPr>
                <w:rFonts w:hint="eastAsia" w:ascii="宋体" w:hAnsi="宋体"/>
                <w:sz w:val="24"/>
                <w:szCs w:val="24"/>
              </w:rPr>
              <w:t>协议接入视频会议系统，远程点支持双流（需提供产品界面截图、产品彩页、产品说明书、产品白皮书或第三方检测机构出具的检测报告等证明材料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921" w:type="pct"/>
            <w:vAlign w:val="center"/>
          </w:tcPr>
          <w:p>
            <w:pPr>
              <w:jc w:val="left"/>
              <w:rPr>
                <w:rFonts w:ascii="宋体" w:hAnsi="宋体"/>
                <w:sz w:val="24"/>
                <w:szCs w:val="24"/>
              </w:rPr>
            </w:pPr>
            <w:r>
              <w:rPr>
                <w:rFonts w:hint="eastAsia" w:ascii="宋体" w:hAnsi="宋体"/>
                <w:sz w:val="24"/>
                <w:szCs w:val="24"/>
              </w:rPr>
              <w:t>智能算法功能</w:t>
            </w:r>
          </w:p>
        </w:tc>
        <w:tc>
          <w:tcPr>
            <w:tcW w:w="4079" w:type="pct"/>
            <w:vAlign w:val="center"/>
          </w:tcPr>
          <w:p>
            <w:pPr>
              <w:jc w:val="left"/>
              <w:rPr>
                <w:rFonts w:ascii="宋体" w:hAnsi="宋体"/>
                <w:sz w:val="24"/>
                <w:szCs w:val="24"/>
              </w:rPr>
            </w:pPr>
            <w:r>
              <w:rPr>
                <w:rFonts w:hint="eastAsia" w:ascii="宋体" w:hAnsi="宋体"/>
                <w:sz w:val="24"/>
                <w:szCs w:val="24"/>
              </w:rPr>
              <w:t>支持对多种视频智能分析（证人保护、庭纪监督、区域看防、视频诊断、异常行为检测、姿态检测）的算法进行详细的参数配置，支持视频窗口绘制待检测区域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21" w:type="pct"/>
            <w:vAlign w:val="center"/>
          </w:tcPr>
          <w:p>
            <w:pPr>
              <w:jc w:val="left"/>
              <w:rPr>
                <w:rFonts w:ascii="宋体" w:hAnsi="宋体"/>
                <w:sz w:val="24"/>
                <w:szCs w:val="24"/>
              </w:rPr>
            </w:pPr>
            <w:r>
              <w:rPr>
                <w:rFonts w:hint="eastAsia" w:ascii="宋体" w:hAnsi="宋体"/>
                <w:sz w:val="24"/>
                <w:szCs w:val="24"/>
              </w:rPr>
              <w:t>证人保护功能</w:t>
            </w:r>
          </w:p>
        </w:tc>
        <w:tc>
          <w:tcPr>
            <w:tcW w:w="4079" w:type="pct"/>
            <w:vAlign w:val="center"/>
          </w:tcPr>
          <w:p>
            <w:pPr>
              <w:jc w:val="left"/>
              <w:rPr>
                <w:rFonts w:ascii="宋体" w:hAnsi="宋体"/>
                <w:sz w:val="24"/>
                <w:szCs w:val="24"/>
              </w:rPr>
            </w:pPr>
            <w:r>
              <w:rPr>
                <w:rFonts w:hint="eastAsia" w:ascii="宋体" w:hAnsi="宋体"/>
                <w:sz w:val="24"/>
                <w:szCs w:val="24"/>
              </w:rPr>
              <w:t>支持人脸马赛克处理，支持自定义设置马赛克等级，支持证人声音变声功能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21" w:type="pct"/>
            <w:vAlign w:val="center"/>
          </w:tcPr>
          <w:p>
            <w:pPr>
              <w:jc w:val="left"/>
              <w:rPr>
                <w:rFonts w:ascii="宋体" w:hAnsi="宋体"/>
                <w:sz w:val="24"/>
                <w:szCs w:val="24"/>
              </w:rPr>
            </w:pPr>
            <w:r>
              <w:rPr>
                <w:rFonts w:hint="eastAsia" w:ascii="宋体" w:hAnsi="宋体"/>
                <w:sz w:val="24"/>
                <w:szCs w:val="24"/>
              </w:rPr>
              <w:t>区域看防功能</w:t>
            </w:r>
          </w:p>
        </w:tc>
        <w:tc>
          <w:tcPr>
            <w:tcW w:w="4079" w:type="pct"/>
            <w:vAlign w:val="center"/>
          </w:tcPr>
          <w:p>
            <w:pPr>
              <w:jc w:val="left"/>
              <w:rPr>
                <w:rFonts w:ascii="宋体" w:hAnsi="宋体"/>
                <w:sz w:val="24"/>
                <w:szCs w:val="24"/>
              </w:rPr>
            </w:pPr>
            <w:r>
              <w:rPr>
                <w:rFonts w:hint="eastAsia" w:ascii="宋体" w:hAnsi="宋体"/>
                <w:sz w:val="24"/>
                <w:szCs w:val="24"/>
              </w:rPr>
              <w:t>在视频图像中设定检测区域，当有人员进入、逗留、离开均会产生告警信息，准确率不低于</w:t>
            </w:r>
            <w:r>
              <w:rPr>
                <w:rFonts w:ascii="宋体" w:hAnsi="宋体"/>
                <w:sz w:val="24"/>
                <w:szCs w:val="24"/>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21" w:type="pct"/>
            <w:vAlign w:val="center"/>
          </w:tcPr>
          <w:p>
            <w:pPr>
              <w:jc w:val="left"/>
              <w:rPr>
                <w:rFonts w:ascii="宋体" w:hAnsi="宋体"/>
                <w:sz w:val="24"/>
                <w:szCs w:val="24"/>
              </w:rPr>
            </w:pPr>
            <w:r>
              <w:rPr>
                <w:rFonts w:hint="eastAsia" w:ascii="宋体" w:hAnsi="宋体"/>
                <w:sz w:val="24"/>
                <w:szCs w:val="24"/>
              </w:rPr>
              <w:t>▲庭纪检督功能</w:t>
            </w:r>
          </w:p>
        </w:tc>
        <w:tc>
          <w:tcPr>
            <w:tcW w:w="4079" w:type="pct"/>
            <w:vAlign w:val="center"/>
          </w:tcPr>
          <w:p>
            <w:pPr>
              <w:jc w:val="left"/>
              <w:rPr>
                <w:rFonts w:ascii="宋体" w:hAnsi="宋体"/>
                <w:sz w:val="24"/>
                <w:szCs w:val="24"/>
              </w:rPr>
            </w:pPr>
            <w:r>
              <w:rPr>
                <w:rFonts w:hint="eastAsia" w:ascii="宋体" w:hAnsi="宋体"/>
                <w:sz w:val="24"/>
                <w:szCs w:val="24"/>
              </w:rPr>
              <w:t>支持对指定区域内庭审秩序不规范检测，如迟到、早退、中途离席、缺席、法官制服不规范检测，准确率不低于</w:t>
            </w:r>
            <w:r>
              <w:rPr>
                <w:rFonts w:ascii="宋体" w:hAnsi="宋体"/>
                <w:sz w:val="24"/>
                <w:szCs w:val="24"/>
              </w:rPr>
              <w:t>95%</w:t>
            </w:r>
            <w:r>
              <w:rPr>
                <w:rFonts w:hint="eastAsia" w:ascii="宋体" w:hAnsi="宋体"/>
                <w:sz w:val="24"/>
                <w:szCs w:val="24"/>
              </w:rPr>
              <w:t>（需提供产品界面截图、产品彩页、产品说明书、产品白皮书或第三方检测机构出具的检测报告等证明材料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21" w:type="pct"/>
            <w:vAlign w:val="center"/>
          </w:tcPr>
          <w:p>
            <w:pPr>
              <w:jc w:val="left"/>
              <w:rPr>
                <w:rFonts w:ascii="宋体" w:hAnsi="宋体"/>
                <w:sz w:val="24"/>
                <w:szCs w:val="24"/>
              </w:rPr>
            </w:pPr>
            <w:r>
              <w:rPr>
                <w:rFonts w:hint="eastAsia" w:ascii="宋体" w:hAnsi="宋体"/>
                <w:sz w:val="24"/>
                <w:szCs w:val="24"/>
              </w:rPr>
              <w:t>视频诊断功能</w:t>
            </w:r>
          </w:p>
        </w:tc>
        <w:tc>
          <w:tcPr>
            <w:tcW w:w="4079" w:type="pct"/>
            <w:vAlign w:val="bottom"/>
          </w:tcPr>
          <w:p>
            <w:pPr>
              <w:jc w:val="left"/>
              <w:rPr>
                <w:rFonts w:ascii="宋体" w:hAnsi="宋体"/>
                <w:sz w:val="24"/>
                <w:szCs w:val="24"/>
              </w:rPr>
            </w:pPr>
            <w:r>
              <w:rPr>
                <w:rFonts w:hint="eastAsia" w:ascii="宋体" w:hAnsi="宋体"/>
                <w:sz w:val="24"/>
                <w:szCs w:val="24"/>
              </w:rPr>
              <w:t>支持对视频图像全画面的清晰度、偏色、曝光、视频干扰、遮挡、视频丢失指标进行检测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21" w:type="pct"/>
            <w:vAlign w:val="center"/>
          </w:tcPr>
          <w:p>
            <w:pPr>
              <w:jc w:val="left"/>
              <w:rPr>
                <w:rFonts w:ascii="宋体" w:hAnsi="宋体"/>
                <w:sz w:val="24"/>
                <w:szCs w:val="24"/>
              </w:rPr>
            </w:pPr>
            <w:r>
              <w:rPr>
                <w:rFonts w:hint="eastAsia" w:ascii="宋体" w:hAnsi="宋体"/>
                <w:sz w:val="24"/>
                <w:szCs w:val="24"/>
              </w:rPr>
              <w:t>光盘刻录功能</w:t>
            </w:r>
          </w:p>
        </w:tc>
        <w:tc>
          <w:tcPr>
            <w:tcW w:w="4079" w:type="pct"/>
            <w:vAlign w:val="center"/>
          </w:tcPr>
          <w:p>
            <w:pPr>
              <w:jc w:val="left"/>
              <w:rPr>
                <w:rFonts w:ascii="宋体" w:hAnsi="宋体"/>
                <w:sz w:val="24"/>
                <w:szCs w:val="24"/>
              </w:rPr>
            </w:pPr>
            <w:r>
              <w:rPr>
                <w:rFonts w:hint="eastAsia" w:ascii="宋体" w:hAnsi="宋体"/>
                <w:sz w:val="24"/>
                <w:szCs w:val="24"/>
              </w:rPr>
              <w:t>支持双D</w:t>
            </w:r>
            <w:r>
              <w:rPr>
                <w:rFonts w:ascii="宋体" w:hAnsi="宋体"/>
                <w:sz w:val="24"/>
                <w:szCs w:val="24"/>
              </w:rPr>
              <w:t>VD</w:t>
            </w:r>
            <w:r>
              <w:rPr>
                <w:rFonts w:hint="eastAsia" w:ascii="宋体" w:hAnsi="宋体"/>
                <w:sz w:val="24"/>
                <w:szCs w:val="24"/>
              </w:rPr>
              <w:t>刻录光驱或双蓝光刻录光驱，支持热插拔，支持便捷拆卸光驱，可实现在不拆设备机箱的情况下更换光驱。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21" w:type="pct"/>
            <w:vAlign w:val="center"/>
          </w:tcPr>
          <w:p>
            <w:pPr>
              <w:jc w:val="left"/>
              <w:rPr>
                <w:rFonts w:ascii="宋体" w:hAnsi="宋体"/>
                <w:sz w:val="24"/>
                <w:szCs w:val="24"/>
              </w:rPr>
            </w:pPr>
            <w:r>
              <w:rPr>
                <w:rFonts w:hint="eastAsia" w:ascii="宋体" w:hAnsi="宋体"/>
                <w:sz w:val="24"/>
                <w:szCs w:val="24"/>
              </w:rPr>
              <w:t>光盘加密功能</w:t>
            </w:r>
          </w:p>
        </w:tc>
        <w:tc>
          <w:tcPr>
            <w:tcW w:w="4079" w:type="pct"/>
            <w:vAlign w:val="center"/>
          </w:tcPr>
          <w:p>
            <w:pPr>
              <w:jc w:val="left"/>
              <w:rPr>
                <w:rFonts w:ascii="宋体" w:hAnsi="宋体"/>
                <w:sz w:val="24"/>
                <w:szCs w:val="24"/>
              </w:rPr>
            </w:pPr>
            <w:r>
              <w:rPr>
                <w:rFonts w:hint="eastAsia" w:ascii="宋体" w:hAnsi="宋体"/>
                <w:sz w:val="24"/>
                <w:szCs w:val="24"/>
              </w:rPr>
              <w:t>支持刻录光盘加密，支持防擦写（无法直接删除文件）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21" w:type="pct"/>
            <w:vAlign w:val="center"/>
          </w:tcPr>
          <w:p>
            <w:pPr>
              <w:jc w:val="left"/>
              <w:rPr>
                <w:rFonts w:ascii="宋体" w:hAnsi="宋体"/>
                <w:sz w:val="24"/>
                <w:szCs w:val="24"/>
              </w:rPr>
            </w:pPr>
            <w:r>
              <w:rPr>
                <w:rFonts w:hint="eastAsia" w:ascii="宋体" w:hAnsi="宋体"/>
                <w:sz w:val="24"/>
                <w:szCs w:val="24"/>
              </w:rPr>
              <w:t>姿态检测功能</w:t>
            </w:r>
          </w:p>
        </w:tc>
        <w:tc>
          <w:tcPr>
            <w:tcW w:w="4079" w:type="pct"/>
            <w:vAlign w:val="center"/>
          </w:tcPr>
          <w:p>
            <w:pPr>
              <w:jc w:val="left"/>
              <w:rPr>
                <w:rFonts w:ascii="宋体" w:hAnsi="宋体"/>
                <w:sz w:val="24"/>
                <w:szCs w:val="24"/>
              </w:rPr>
            </w:pPr>
            <w:r>
              <w:rPr>
                <w:rFonts w:hint="eastAsia" w:ascii="宋体" w:hAnsi="宋体"/>
                <w:sz w:val="24"/>
                <w:szCs w:val="24"/>
              </w:rPr>
              <w:t>在视频图像中设定检测区域，当有人员站立、坐、起身、异常倒地、打瞌睡检测可自定义开启或关闭</w:t>
            </w:r>
          </w:p>
        </w:tc>
      </w:tr>
    </w:tbl>
    <w:p>
      <w:pPr>
        <w:rPr>
          <w:rFonts w:ascii="宋体" w:hAnsi="宋体"/>
        </w:rPr>
      </w:pPr>
    </w:p>
    <w:p>
      <w:pPr>
        <w:pStyle w:val="4"/>
        <w:numPr>
          <w:ilvl w:val="0"/>
          <w:numId w:val="5"/>
        </w:numPr>
        <w:snapToGrid w:val="0"/>
        <w:spacing w:before="0" w:after="0" w:line="360" w:lineRule="auto"/>
        <w:ind w:left="0" w:firstLine="0"/>
        <w:rPr>
          <w:rFonts w:ascii="宋体" w:hAnsi="宋体" w:eastAsia="宋体"/>
          <w:b/>
          <w:bCs/>
          <w:sz w:val="24"/>
          <w:szCs w:val="24"/>
        </w:rPr>
      </w:pPr>
      <w:r>
        <w:rPr>
          <w:rFonts w:hint="eastAsia" w:ascii="宋体" w:hAnsi="宋体" w:eastAsia="宋体"/>
          <w:b/>
          <w:bCs/>
          <w:sz w:val="24"/>
          <w:szCs w:val="24"/>
        </w:rPr>
        <w:t>4K超高清摄像机</w:t>
      </w:r>
    </w:p>
    <w:tbl>
      <w:tblPr>
        <w:tblStyle w:val="15"/>
        <w:tblW w:w="500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497"/>
        <w:gridCol w:w="6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9" w:hRule="atLeast"/>
        </w:trPr>
        <w:tc>
          <w:tcPr>
            <w:tcW w:w="899"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rPr>
            </w:pPr>
            <w:r>
              <w:rPr>
                <w:rFonts w:ascii="宋体" w:hAnsi="宋体"/>
                <w:b/>
                <w:bCs/>
                <w:sz w:val="24"/>
                <w:szCs w:val="24"/>
              </w:rPr>
              <w:t>指标项</w:t>
            </w:r>
          </w:p>
        </w:tc>
        <w:tc>
          <w:tcPr>
            <w:tcW w:w="410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rPr>
            </w:pPr>
            <w:r>
              <w:rPr>
                <w:rFonts w:ascii="宋体" w:hAnsi="宋体"/>
                <w:b/>
                <w:bCs/>
                <w:sz w:val="24"/>
                <w:szCs w:val="24"/>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7" w:hRule="atLeast"/>
        </w:trPr>
        <w:tc>
          <w:tcPr>
            <w:tcW w:w="899" w:type="pct"/>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ascii="宋体" w:hAnsi="宋体"/>
                <w:sz w:val="24"/>
                <w:szCs w:val="24"/>
              </w:rPr>
              <w:t>▲</w:t>
            </w:r>
            <w:r>
              <w:rPr>
                <w:rFonts w:hint="eastAsia" w:ascii="宋体" w:hAnsi="宋体"/>
                <w:sz w:val="24"/>
                <w:szCs w:val="24"/>
              </w:rPr>
              <w:t>接口要求</w:t>
            </w:r>
          </w:p>
        </w:tc>
        <w:tc>
          <w:tcPr>
            <w:tcW w:w="4101" w:type="pct"/>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szCs w:val="24"/>
              </w:rPr>
              <w:t>设备应具有H</w:t>
            </w:r>
            <w:r>
              <w:rPr>
                <w:rFonts w:ascii="宋体" w:hAnsi="宋体"/>
                <w:sz w:val="24"/>
                <w:szCs w:val="24"/>
              </w:rPr>
              <w:t>DMI接口、SDI接口、以太网接口。</w:t>
            </w:r>
            <w:r>
              <w:rPr>
                <w:rFonts w:hint="eastAsia" w:ascii="宋体" w:hAnsi="宋体"/>
                <w:sz w:val="24"/>
              </w:rPr>
              <w:t>（需</w:t>
            </w:r>
            <w:r>
              <w:rPr>
                <w:rFonts w:hint="eastAsia" w:ascii="宋体" w:hAnsi="宋体"/>
                <w:sz w:val="24"/>
                <w:szCs w:val="24"/>
              </w:rPr>
              <w:t xml:space="preserve">提供产品界面截图、产品彩页、产品说明书、产品白皮书或第三方检测机构出具的检测报告等证明材料 </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0" w:hRule="atLeast"/>
        </w:trPr>
        <w:tc>
          <w:tcPr>
            <w:tcW w:w="899" w:type="pct"/>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ascii="宋体" w:hAnsi="宋体"/>
                <w:sz w:val="24"/>
                <w:szCs w:val="24"/>
              </w:rPr>
              <w:t>传感器类型</w:t>
            </w:r>
          </w:p>
        </w:tc>
        <w:tc>
          <w:tcPr>
            <w:tcW w:w="4101" w:type="pct"/>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szCs w:val="24"/>
              </w:rPr>
              <w:t>应采用1/</w:t>
            </w:r>
            <w:r>
              <w:rPr>
                <w:rFonts w:ascii="宋体" w:hAnsi="宋体"/>
                <w:sz w:val="24"/>
                <w:szCs w:val="24"/>
              </w:rPr>
              <w:t>1</w:t>
            </w:r>
            <w:r>
              <w:rPr>
                <w:rFonts w:hint="eastAsia" w:ascii="宋体" w:hAnsi="宋体"/>
                <w:sz w:val="24"/>
                <w:szCs w:val="24"/>
              </w:rPr>
              <w:t>.8英寸高品质CMOS传感器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8" w:hRule="atLeast"/>
        </w:trPr>
        <w:tc>
          <w:tcPr>
            <w:tcW w:w="899" w:type="pct"/>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ascii="宋体" w:hAnsi="宋体"/>
                <w:sz w:val="24"/>
                <w:szCs w:val="24"/>
              </w:rPr>
              <w:t>像素</w:t>
            </w:r>
          </w:p>
        </w:tc>
        <w:tc>
          <w:tcPr>
            <w:tcW w:w="4101" w:type="pct"/>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szCs w:val="24"/>
              </w:rPr>
              <w:t>不低于</w:t>
            </w:r>
            <w:r>
              <w:rPr>
                <w:rFonts w:ascii="宋体" w:hAnsi="宋体"/>
                <w:sz w:val="24"/>
                <w:szCs w:val="24"/>
              </w:rPr>
              <w:t>850</w:t>
            </w:r>
            <w:r>
              <w:rPr>
                <w:rFonts w:hint="eastAsia" w:ascii="宋体" w:hAnsi="宋体"/>
                <w:sz w:val="24"/>
                <w:szCs w:val="24"/>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8" w:hRule="atLeast"/>
        </w:trPr>
        <w:tc>
          <w:tcPr>
            <w:tcW w:w="899" w:type="pct"/>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szCs w:val="24"/>
              </w:rPr>
              <w:t>最大亮度鉴别等级</w:t>
            </w:r>
          </w:p>
        </w:tc>
        <w:tc>
          <w:tcPr>
            <w:tcW w:w="4101" w:type="pct"/>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szCs w:val="24"/>
              </w:rPr>
              <w:t>JO级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8" w:hRule="atLeast"/>
        </w:trPr>
        <w:tc>
          <w:tcPr>
            <w:tcW w:w="899" w:type="pct"/>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ascii="宋体" w:hAnsi="宋体"/>
                <w:sz w:val="24"/>
                <w:szCs w:val="24"/>
              </w:rPr>
              <w:t>▲</w:t>
            </w:r>
            <w:r>
              <w:rPr>
                <w:rFonts w:hint="eastAsia" w:ascii="宋体" w:hAnsi="宋体"/>
                <w:sz w:val="24"/>
                <w:szCs w:val="24"/>
              </w:rPr>
              <w:t>三码流功能</w:t>
            </w:r>
          </w:p>
        </w:tc>
        <w:tc>
          <w:tcPr>
            <w:tcW w:w="4101" w:type="pct"/>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szCs w:val="24"/>
              </w:rPr>
              <w:t>具有同时输出两（多）路码流或存储书路的同时输出另一路在图像格式、压缩编码格式或压缩码率等参数上有所不同并可以独立设置的视频码流的功能</w:t>
            </w:r>
            <w:r>
              <w:rPr>
                <w:rFonts w:hint="eastAsia" w:ascii="宋体" w:hAnsi="宋体"/>
                <w:sz w:val="24"/>
              </w:rPr>
              <w:t>（需</w:t>
            </w:r>
            <w:r>
              <w:rPr>
                <w:rFonts w:hint="eastAsia" w:ascii="宋体" w:hAnsi="宋体"/>
                <w:sz w:val="24"/>
                <w:szCs w:val="24"/>
              </w:rPr>
              <w:t xml:space="preserve">提供产品界面截图、产品彩页、产品说明书、产品白皮书或第三方检测机构出具的检测报告等证明材料 </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0" w:hRule="atLeast"/>
        </w:trPr>
        <w:tc>
          <w:tcPr>
            <w:tcW w:w="899" w:type="pct"/>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szCs w:val="24"/>
              </w:rPr>
              <w:t>镜头</w:t>
            </w:r>
          </w:p>
        </w:tc>
        <w:tc>
          <w:tcPr>
            <w:tcW w:w="4101" w:type="pct"/>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szCs w:val="24"/>
              </w:rPr>
              <w:t>设备应支持12倍光学变焦</w:t>
            </w:r>
            <w:r>
              <w:rPr>
                <w:rFonts w:ascii="宋体" w:hAnsi="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9" w:hRule="atLeast"/>
        </w:trPr>
        <w:tc>
          <w:tcPr>
            <w:tcW w:w="899" w:type="pct"/>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szCs w:val="24"/>
              </w:rPr>
              <w:t>信噪比</w:t>
            </w:r>
          </w:p>
        </w:tc>
        <w:tc>
          <w:tcPr>
            <w:tcW w:w="4101" w:type="pct"/>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cs="宋体"/>
                <w:sz w:val="24"/>
                <w:szCs w:val="24"/>
              </w:rPr>
              <w:t>≥5</w:t>
            </w:r>
            <w:r>
              <w:rPr>
                <w:rFonts w:ascii="宋体" w:hAnsi="宋体" w:cs="宋体"/>
                <w:sz w:val="24"/>
                <w:szCs w:val="24"/>
              </w:rPr>
              <w:t>0dB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7" w:hRule="atLeast"/>
        </w:trPr>
        <w:tc>
          <w:tcPr>
            <w:tcW w:w="899" w:type="pct"/>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ascii="宋体" w:hAnsi="宋体"/>
                <w:sz w:val="24"/>
                <w:szCs w:val="24"/>
              </w:rPr>
              <w:t>最大分辨率</w:t>
            </w:r>
          </w:p>
        </w:tc>
        <w:tc>
          <w:tcPr>
            <w:tcW w:w="4101" w:type="pct"/>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支持4KP30、1080P60等分辨率。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9" w:hRule="atLeast"/>
        </w:trPr>
        <w:tc>
          <w:tcPr>
            <w:tcW w:w="899" w:type="pct"/>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ascii="宋体" w:hAnsi="宋体"/>
                <w:sz w:val="24"/>
                <w:szCs w:val="24"/>
              </w:rPr>
              <w:t>扫描方式</w:t>
            </w:r>
          </w:p>
        </w:tc>
        <w:tc>
          <w:tcPr>
            <w:tcW w:w="4101" w:type="pct"/>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szCs w:val="24"/>
              </w:rPr>
              <w:t>逐行扫描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9" w:hRule="atLeast"/>
        </w:trPr>
        <w:tc>
          <w:tcPr>
            <w:tcW w:w="899" w:type="pct"/>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szCs w:val="24"/>
              </w:rPr>
              <w:t>编码格式</w:t>
            </w:r>
          </w:p>
        </w:tc>
        <w:tc>
          <w:tcPr>
            <w:tcW w:w="4101" w:type="pct"/>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szCs w:val="24"/>
              </w:rPr>
              <w:t>设备支持H.265、H.264编码格式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6" w:hRule="atLeast"/>
        </w:trPr>
        <w:tc>
          <w:tcPr>
            <w:tcW w:w="899" w:type="pct"/>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ascii="宋体" w:hAnsi="宋体"/>
                <w:sz w:val="24"/>
                <w:szCs w:val="24"/>
              </w:rPr>
              <w:t>最低照度</w:t>
            </w:r>
          </w:p>
        </w:tc>
        <w:tc>
          <w:tcPr>
            <w:tcW w:w="4101" w:type="pct"/>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szCs w:val="24"/>
              </w:rPr>
              <w:t>最低照度支持0.0</w:t>
            </w:r>
            <w:r>
              <w:rPr>
                <w:rFonts w:ascii="宋体" w:hAnsi="宋体"/>
                <w:sz w:val="24"/>
                <w:szCs w:val="24"/>
              </w:rPr>
              <w:t>5</w:t>
            </w:r>
            <w:r>
              <w:rPr>
                <w:rFonts w:hint="eastAsia" w:ascii="宋体" w:hAnsi="宋体"/>
                <w:sz w:val="24"/>
                <w:szCs w:val="24"/>
              </w:rPr>
              <w:t>lx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trPr>
        <w:tc>
          <w:tcPr>
            <w:tcW w:w="899" w:type="pct"/>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szCs w:val="24"/>
              </w:rPr>
              <w:t>云台范围</w:t>
            </w:r>
          </w:p>
        </w:tc>
        <w:tc>
          <w:tcPr>
            <w:tcW w:w="4101" w:type="pct"/>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szCs w:val="24"/>
              </w:rPr>
              <w:t>设备应支持水平范围-170°～+170°，水平键控速度不小于</w:t>
            </w:r>
            <w:r>
              <w:rPr>
                <w:rFonts w:ascii="宋体" w:hAnsi="宋体"/>
                <w:sz w:val="24"/>
                <w:szCs w:val="24"/>
              </w:rPr>
              <w:t>0.82°/s</w:t>
            </w:r>
            <w:r>
              <w:rPr>
                <w:rFonts w:hint="eastAsia" w:ascii="宋体" w:hAnsi="宋体" w:cs="宋体"/>
                <w:sz w:val="24"/>
                <w:szCs w:val="24"/>
              </w:rPr>
              <w:t>～</w:t>
            </w:r>
            <w:r>
              <w:rPr>
                <w:rFonts w:ascii="宋体" w:hAnsi="宋体"/>
                <w:sz w:val="24"/>
                <w:szCs w:val="24"/>
              </w:rPr>
              <w:t>38.6°/秒</w:t>
            </w:r>
            <w:r>
              <w:rPr>
                <w:rFonts w:hint="eastAsia" w:ascii="宋体" w:hAnsi="宋体"/>
                <w:sz w:val="24"/>
                <w:szCs w:val="24"/>
              </w:rPr>
              <w:t>；支持-30°～+90°垂直旋转范围；云台定位精准度偏差不大于±0.1°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96" w:hRule="atLeast"/>
        </w:trPr>
        <w:tc>
          <w:tcPr>
            <w:tcW w:w="899" w:type="pct"/>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szCs w:val="24"/>
              </w:rPr>
              <w:t>预置位</w:t>
            </w:r>
          </w:p>
        </w:tc>
        <w:tc>
          <w:tcPr>
            <w:tcW w:w="4101" w:type="pct"/>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szCs w:val="24"/>
              </w:rPr>
              <w:t>设备支持不少于 255 个预置位</w:t>
            </w:r>
          </w:p>
        </w:tc>
      </w:tr>
    </w:tbl>
    <w:p>
      <w:pPr>
        <w:rPr>
          <w:rFonts w:ascii="宋体" w:hAnsi="宋体"/>
        </w:rPr>
      </w:pPr>
    </w:p>
    <w:p>
      <w:pPr>
        <w:pStyle w:val="4"/>
        <w:numPr>
          <w:ilvl w:val="0"/>
          <w:numId w:val="5"/>
        </w:numPr>
        <w:snapToGrid w:val="0"/>
        <w:spacing w:before="0" w:after="0" w:line="360" w:lineRule="auto"/>
        <w:ind w:left="0" w:firstLine="0"/>
        <w:rPr>
          <w:rFonts w:ascii="宋体" w:hAnsi="宋体" w:eastAsia="宋体"/>
          <w:b/>
          <w:bCs/>
          <w:sz w:val="24"/>
          <w:szCs w:val="24"/>
        </w:rPr>
      </w:pPr>
      <w:r>
        <w:rPr>
          <w:rFonts w:hint="eastAsia" w:ascii="宋体" w:hAnsi="宋体" w:eastAsia="宋体"/>
          <w:b/>
          <w:bCs/>
          <w:sz w:val="24"/>
          <w:szCs w:val="24"/>
        </w:rPr>
        <w:t>数字音频矩阵</w:t>
      </w:r>
    </w:p>
    <w:tbl>
      <w:tblPr>
        <w:tblStyle w:val="15"/>
        <w:tblW w:w="5066"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566"/>
        <w:gridCol w:w="6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2" w:hRule="atLeast"/>
        </w:trPr>
        <w:tc>
          <w:tcPr>
            <w:tcW w:w="92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000000"/>
                <w:sz w:val="24"/>
                <w:szCs w:val="24"/>
              </w:rPr>
            </w:pPr>
            <w:r>
              <w:rPr>
                <w:rFonts w:ascii="宋体" w:hAnsi="宋体"/>
                <w:b/>
                <w:bCs/>
                <w:color w:val="000000"/>
                <w:sz w:val="24"/>
                <w:szCs w:val="24"/>
              </w:rPr>
              <w:t>指标项</w:t>
            </w:r>
          </w:p>
        </w:tc>
        <w:tc>
          <w:tcPr>
            <w:tcW w:w="407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000000"/>
                <w:sz w:val="24"/>
                <w:szCs w:val="24"/>
              </w:rPr>
            </w:pPr>
            <w:r>
              <w:rPr>
                <w:rFonts w:ascii="宋体" w:hAnsi="宋体"/>
                <w:b/>
                <w:bCs/>
                <w:color w:val="000000"/>
                <w:sz w:val="24"/>
                <w:szCs w:val="24"/>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97" w:hRule="atLeast"/>
        </w:trPr>
        <w:tc>
          <w:tcPr>
            <w:tcW w:w="92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通道数量</w:t>
            </w:r>
          </w:p>
        </w:tc>
        <w:tc>
          <w:tcPr>
            <w:tcW w:w="4072"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不少于16路输入、16路输出平衡接口;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9" w:hRule="atLeast"/>
        </w:trPr>
        <w:tc>
          <w:tcPr>
            <w:tcW w:w="92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编组</w:t>
            </w:r>
          </w:p>
        </w:tc>
        <w:tc>
          <w:tcPr>
            <w:tcW w:w="4072"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支持编组控制功能,通道拷贝、粘贴、联控功能;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97" w:hRule="atLeast"/>
        </w:trPr>
        <w:tc>
          <w:tcPr>
            <w:tcW w:w="92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输入通道内置功能</w:t>
            </w:r>
          </w:p>
        </w:tc>
        <w:tc>
          <w:tcPr>
            <w:tcW w:w="4072"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具有48V 幻象供电前级放大、信号发生器、扩展器、压缩器、5 段参量均衡(支持多种类型,包括PEQ、High-Shelf、Low-Shelf、LP、HP);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18" w:hRule="atLeast"/>
        </w:trPr>
        <w:tc>
          <w:tcPr>
            <w:tcW w:w="92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输出通道内置功能</w:t>
            </w:r>
          </w:p>
        </w:tc>
        <w:tc>
          <w:tcPr>
            <w:tcW w:w="4072"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具有48V 幻象供电前级放大、信号发生器、扩展器、压缩器、5 段参量均衡(支持多种类型,包括PEQ、High-Shelf、Low-Shelf、LP、HP)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9" w:hRule="atLeast"/>
        </w:trPr>
        <w:tc>
          <w:tcPr>
            <w:tcW w:w="92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ascii="宋体" w:hAnsi="宋体"/>
                <w:sz w:val="24"/>
                <w:szCs w:val="24"/>
              </w:rPr>
              <w:t>▲</w:t>
            </w:r>
            <w:r>
              <w:rPr>
                <w:rFonts w:hint="eastAsia" w:ascii="宋体" w:hAnsi="宋体"/>
                <w:sz w:val="24"/>
                <w:szCs w:val="24"/>
              </w:rPr>
              <w:t>自适应反馈消除</w:t>
            </w:r>
          </w:p>
        </w:tc>
        <w:tc>
          <w:tcPr>
            <w:tcW w:w="4072"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抑制点数不少于16 点，应具有手动，动态，固定三种处理方式，多种模式可选（需提供产品界面截图、产品彩页、产品说明书、产品白皮书或第三方检测机构出具的检测报告等证明材料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16" w:hRule="atLeast"/>
        </w:trPr>
        <w:tc>
          <w:tcPr>
            <w:tcW w:w="92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ascii="宋体" w:hAnsi="宋体"/>
                <w:sz w:val="24"/>
                <w:szCs w:val="24"/>
              </w:rPr>
              <w:t>▲</w:t>
            </w:r>
            <w:r>
              <w:rPr>
                <w:rFonts w:hint="eastAsia" w:ascii="宋体" w:hAnsi="宋体"/>
                <w:sz w:val="24"/>
                <w:szCs w:val="24"/>
              </w:rPr>
              <w:t>回音消除功能</w:t>
            </w:r>
          </w:p>
        </w:tc>
        <w:tc>
          <w:tcPr>
            <w:tcW w:w="4072"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回声消除尾长不高于512ms; 内置ANC 噪声消除量不高于18dB（需提供产品界面截图、产品彩页、产品说明书、产品白皮书或第三方检测机构出具的检测报告等证明材料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9" w:hRule="atLeast"/>
        </w:trPr>
        <w:tc>
          <w:tcPr>
            <w:tcW w:w="92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G</w:t>
            </w:r>
            <w:r>
              <w:rPr>
                <w:rFonts w:ascii="宋体" w:hAnsi="宋体"/>
                <w:sz w:val="24"/>
                <w:szCs w:val="24"/>
              </w:rPr>
              <w:t>PIO</w:t>
            </w:r>
            <w:r>
              <w:rPr>
                <w:rFonts w:hint="eastAsia" w:ascii="宋体" w:hAnsi="宋体"/>
                <w:sz w:val="24"/>
                <w:szCs w:val="24"/>
              </w:rPr>
              <w:t>功能</w:t>
            </w:r>
          </w:p>
        </w:tc>
        <w:tc>
          <w:tcPr>
            <w:tcW w:w="4072"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支持GPIO可编程控制接口;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16" w:hRule="atLeast"/>
        </w:trPr>
        <w:tc>
          <w:tcPr>
            <w:tcW w:w="92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录音功能</w:t>
            </w:r>
          </w:p>
        </w:tc>
        <w:tc>
          <w:tcPr>
            <w:tcW w:w="4072"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USB2.0 音频接口，可快速播放和录制音频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9" w:hRule="atLeast"/>
        </w:trPr>
        <w:tc>
          <w:tcPr>
            <w:tcW w:w="92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场景预设</w:t>
            </w:r>
          </w:p>
        </w:tc>
        <w:tc>
          <w:tcPr>
            <w:tcW w:w="4072"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支持不少于50组场景预设功能;</w:t>
            </w:r>
          </w:p>
        </w:tc>
      </w:tr>
    </w:tbl>
    <w:p>
      <w:pPr>
        <w:rPr>
          <w:rFonts w:ascii="宋体" w:hAnsi="宋体"/>
        </w:rPr>
      </w:pPr>
    </w:p>
    <w:p>
      <w:pPr>
        <w:pStyle w:val="4"/>
        <w:numPr>
          <w:ilvl w:val="0"/>
          <w:numId w:val="5"/>
        </w:numPr>
        <w:snapToGrid w:val="0"/>
        <w:spacing w:before="0" w:after="0" w:line="360" w:lineRule="auto"/>
        <w:ind w:left="0" w:firstLine="0"/>
        <w:rPr>
          <w:rFonts w:ascii="宋体" w:hAnsi="宋体" w:eastAsia="宋体"/>
          <w:b/>
          <w:bCs/>
          <w:sz w:val="24"/>
          <w:szCs w:val="24"/>
        </w:rPr>
      </w:pPr>
      <w:r>
        <w:rPr>
          <w:rFonts w:hint="eastAsia" w:ascii="宋体" w:hAnsi="宋体" w:eastAsia="宋体"/>
          <w:b/>
          <w:bCs/>
          <w:sz w:val="24"/>
          <w:szCs w:val="24"/>
        </w:rPr>
        <w:t>法官当事人庭审助手终端、在线庭审终端</w:t>
      </w:r>
    </w:p>
    <w:tbl>
      <w:tblPr>
        <w:tblStyle w:val="15"/>
        <w:tblW w:w="500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565"/>
        <w:gridCol w:w="6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10" w:hRule="atLeast"/>
        </w:trPr>
        <w:tc>
          <w:tcPr>
            <w:tcW w:w="94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000000"/>
                <w:sz w:val="24"/>
              </w:rPr>
            </w:pPr>
            <w:r>
              <w:rPr>
                <w:rFonts w:ascii="宋体" w:hAnsi="宋体"/>
                <w:b/>
                <w:bCs/>
                <w:color w:val="000000"/>
                <w:sz w:val="24"/>
              </w:rPr>
              <w:t>指标项</w:t>
            </w:r>
          </w:p>
        </w:tc>
        <w:tc>
          <w:tcPr>
            <w:tcW w:w="406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000000"/>
                <w:sz w:val="24"/>
              </w:rPr>
            </w:pPr>
            <w:r>
              <w:rPr>
                <w:rFonts w:ascii="宋体" w:hAnsi="宋体"/>
                <w:b/>
                <w:bCs/>
                <w:color w:val="000000"/>
                <w:sz w:val="24"/>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98" w:hRule="atLeast"/>
        </w:trPr>
        <w:tc>
          <w:tcPr>
            <w:tcW w:w="94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处理器</w:t>
            </w:r>
          </w:p>
        </w:tc>
        <w:tc>
          <w:tcPr>
            <w:tcW w:w="4060"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rPr>
            </w:pPr>
            <w:r>
              <w:rPr>
                <w:rFonts w:hint="eastAsia" w:ascii="宋体" w:hAnsi="宋体"/>
                <w:sz w:val="24"/>
              </w:rPr>
              <w:t>采用国产处理器，≥8核、主频≥2.7GHz；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10" w:hRule="atLeast"/>
        </w:trPr>
        <w:tc>
          <w:tcPr>
            <w:tcW w:w="94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内存</w:t>
            </w:r>
          </w:p>
        </w:tc>
        <w:tc>
          <w:tcPr>
            <w:tcW w:w="4060"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rPr>
            </w:pPr>
            <w:r>
              <w:rPr>
                <w:rFonts w:hint="eastAsia" w:ascii="宋体" w:hAnsi="宋体"/>
                <w:sz w:val="24"/>
              </w:rPr>
              <w:t>≥8GB DDR4内存，至少空余1个内存插槽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0" w:hRule="atLeast"/>
        </w:trPr>
        <w:tc>
          <w:tcPr>
            <w:tcW w:w="94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显卡</w:t>
            </w:r>
          </w:p>
        </w:tc>
        <w:tc>
          <w:tcPr>
            <w:tcW w:w="4060"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rPr>
            </w:pPr>
            <w:r>
              <w:rPr>
                <w:rFonts w:hint="eastAsia" w:ascii="宋体" w:hAnsi="宋体"/>
                <w:sz w:val="24"/>
              </w:rPr>
              <w:t>配置≥1</w:t>
            </w:r>
            <w:r>
              <w:rPr>
                <w:rFonts w:ascii="宋体" w:hAnsi="宋体"/>
                <w:sz w:val="24"/>
              </w:rPr>
              <w:t>G</w:t>
            </w:r>
            <w:r>
              <w:rPr>
                <w:rFonts w:hint="eastAsia" w:ascii="宋体" w:hAnsi="宋体"/>
                <w:sz w:val="24"/>
              </w:rPr>
              <w:t>独立显卡；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10" w:hRule="atLeast"/>
        </w:trPr>
        <w:tc>
          <w:tcPr>
            <w:tcW w:w="94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硬盘</w:t>
            </w:r>
          </w:p>
        </w:tc>
        <w:tc>
          <w:tcPr>
            <w:tcW w:w="4060"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rPr>
            </w:pPr>
            <w:r>
              <w:rPr>
                <w:rFonts w:hint="eastAsia" w:ascii="宋体" w:hAnsi="宋体"/>
                <w:sz w:val="24"/>
              </w:rPr>
              <w:t>≥256G M.2接口NVME协议SSD；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98" w:hRule="atLeast"/>
        </w:trPr>
        <w:tc>
          <w:tcPr>
            <w:tcW w:w="94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光驱</w:t>
            </w:r>
          </w:p>
        </w:tc>
        <w:tc>
          <w:tcPr>
            <w:tcW w:w="4060"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rPr>
            </w:pPr>
            <w:r>
              <w:rPr>
                <w:rFonts w:hint="eastAsia" w:ascii="宋体" w:hAnsi="宋体"/>
                <w:sz w:val="24"/>
              </w:rPr>
              <w:t>配置Slim DVD RW；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36" w:hRule="atLeast"/>
        </w:trPr>
        <w:tc>
          <w:tcPr>
            <w:tcW w:w="94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电源</w:t>
            </w:r>
          </w:p>
        </w:tc>
        <w:tc>
          <w:tcPr>
            <w:tcW w:w="4060"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rPr>
            </w:pPr>
            <w:r>
              <w:rPr>
                <w:rFonts w:hint="eastAsia" w:ascii="宋体" w:hAnsi="宋体"/>
                <w:sz w:val="24"/>
              </w:rPr>
              <w:t>配置电源功率≤180W；电源通过80PLUS认证，提供相关证明文件；</w:t>
            </w:r>
            <w:r>
              <w:rPr>
                <w:rFonts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0" w:hRule="atLeast"/>
        </w:trPr>
        <w:tc>
          <w:tcPr>
            <w:tcW w:w="94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维护</w:t>
            </w:r>
          </w:p>
        </w:tc>
        <w:tc>
          <w:tcPr>
            <w:tcW w:w="4060"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rPr>
            </w:pPr>
            <w:r>
              <w:rPr>
                <w:rFonts w:hint="eastAsia" w:ascii="宋体" w:hAnsi="宋体"/>
                <w:sz w:val="24"/>
              </w:rPr>
              <w:t>免工具拆卸机箱、带顶置提手，便于维护；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36" w:hRule="atLeast"/>
        </w:trPr>
        <w:tc>
          <w:tcPr>
            <w:tcW w:w="94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接口</w:t>
            </w:r>
          </w:p>
        </w:tc>
        <w:tc>
          <w:tcPr>
            <w:tcW w:w="4060"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rPr>
            </w:pPr>
            <w:r>
              <w:rPr>
                <w:rFonts w:hint="eastAsia" w:ascii="宋体" w:hAnsi="宋体"/>
                <w:sz w:val="24"/>
              </w:rPr>
              <w:t>配置USB接口不少于8个，其中USB3.0数量≥</w:t>
            </w:r>
            <w:r>
              <w:rPr>
                <w:rFonts w:ascii="宋体" w:hAnsi="宋体"/>
                <w:sz w:val="24"/>
              </w:rPr>
              <w:t>4</w:t>
            </w:r>
            <w:r>
              <w:rPr>
                <w:rFonts w:hint="eastAsia" w:ascii="宋体" w:hAnsi="宋体"/>
                <w:sz w:val="24"/>
              </w:rPr>
              <w:t>个、10/100/1000自适应以太网1个、标准VGA接口2个、标准HDMI接口2个；音频接口：前置麦克风1个，耳机1个；后置Audio*3个接口；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3" w:hRule="atLeast"/>
        </w:trPr>
        <w:tc>
          <w:tcPr>
            <w:tcW w:w="94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兼容性</w:t>
            </w:r>
          </w:p>
        </w:tc>
        <w:tc>
          <w:tcPr>
            <w:tcW w:w="4060"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rPr>
            </w:pPr>
            <w:r>
              <w:rPr>
                <w:rFonts w:hint="eastAsia" w:ascii="宋体" w:hAnsi="宋体"/>
                <w:sz w:val="24"/>
              </w:rPr>
              <w:t>电磁兼容性：考虑设备工作稳定：需提供浪涌（冲击）抗扰度的证书或检测报告；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10" w:hRule="atLeast"/>
        </w:trPr>
        <w:tc>
          <w:tcPr>
            <w:tcW w:w="94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舒适性</w:t>
            </w:r>
          </w:p>
        </w:tc>
        <w:tc>
          <w:tcPr>
            <w:tcW w:w="4060"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rPr>
            </w:pPr>
            <w:r>
              <w:rPr>
                <w:rFonts w:hint="eastAsia" w:ascii="宋体" w:hAnsi="宋体"/>
                <w:sz w:val="24"/>
              </w:rPr>
              <w:t>静音舒适性：考虑工作环境的静音舒适，要求设备的噪声声功率级≤1.84Bel，噪声声压级≤11.65dB，提供证书或检测报告证明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6" w:hRule="atLeast"/>
        </w:trPr>
        <w:tc>
          <w:tcPr>
            <w:tcW w:w="94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安全性</w:t>
            </w:r>
          </w:p>
        </w:tc>
        <w:tc>
          <w:tcPr>
            <w:tcW w:w="4060"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rPr>
            </w:pPr>
            <w:r>
              <w:rPr>
                <w:rFonts w:hint="eastAsia" w:ascii="宋体" w:hAnsi="宋体"/>
                <w:sz w:val="24"/>
              </w:rPr>
              <w:t>支持基于BIOS级别的一键操作系统备份和恢复的功能（非操作系统自带功能），另对用户提供服务保障，确保业务数据安全可靠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9" w:hRule="atLeast"/>
        </w:trPr>
        <w:tc>
          <w:tcPr>
            <w:tcW w:w="94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szCs w:val="24"/>
              </w:rPr>
              <w:t>▲</w:t>
            </w:r>
            <w:r>
              <w:rPr>
                <w:rFonts w:hint="eastAsia" w:ascii="宋体" w:hAnsi="宋体"/>
                <w:sz w:val="24"/>
              </w:rPr>
              <w:t>稳定性</w:t>
            </w:r>
          </w:p>
        </w:tc>
        <w:tc>
          <w:tcPr>
            <w:tcW w:w="4060"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rPr>
            </w:pPr>
            <w:r>
              <w:rPr>
                <w:rFonts w:hint="eastAsia" w:ascii="宋体" w:hAnsi="宋体"/>
                <w:sz w:val="24"/>
              </w:rPr>
              <w:t>MTBF≥300000小时，提供相关证明文件。</w:t>
            </w:r>
          </w:p>
        </w:tc>
      </w:tr>
    </w:tbl>
    <w:p>
      <w:pPr>
        <w:rPr>
          <w:rFonts w:ascii="宋体" w:hAnsi="宋体"/>
        </w:rPr>
      </w:pPr>
    </w:p>
    <w:p>
      <w:pPr>
        <w:pStyle w:val="4"/>
        <w:numPr>
          <w:ilvl w:val="0"/>
          <w:numId w:val="5"/>
        </w:numPr>
        <w:snapToGrid w:val="0"/>
        <w:spacing w:before="0" w:after="0" w:line="360" w:lineRule="auto"/>
        <w:ind w:left="0" w:firstLine="0"/>
        <w:rPr>
          <w:rFonts w:ascii="宋体" w:hAnsi="宋体" w:eastAsia="宋体"/>
          <w:b/>
          <w:bCs/>
          <w:sz w:val="24"/>
          <w:szCs w:val="24"/>
        </w:rPr>
      </w:pPr>
      <w:r>
        <w:rPr>
          <w:rFonts w:hint="eastAsia" w:ascii="宋体" w:hAnsi="宋体" w:eastAsia="宋体"/>
          <w:b/>
          <w:bCs/>
          <w:sz w:val="24"/>
          <w:szCs w:val="24"/>
        </w:rPr>
        <w:t>高清混合矩阵</w:t>
      </w:r>
    </w:p>
    <w:tbl>
      <w:tblPr>
        <w:tblStyle w:val="15"/>
        <w:tblW w:w="507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561"/>
        <w:gridCol w:w="6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17" w:hRule="atLeast"/>
        </w:trPr>
        <w:tc>
          <w:tcPr>
            <w:tcW w:w="924"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ascii="宋体" w:hAnsi="宋体"/>
                <w:b/>
                <w:bCs/>
                <w:color w:val="000000"/>
                <w:sz w:val="24"/>
                <w:szCs w:val="24"/>
              </w:rPr>
              <w:t>指标项</w:t>
            </w:r>
          </w:p>
        </w:tc>
        <w:tc>
          <w:tcPr>
            <w:tcW w:w="407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ascii="宋体" w:hAnsi="宋体"/>
                <w:b/>
                <w:bCs/>
                <w:color w:val="000000"/>
                <w:sz w:val="24"/>
                <w:szCs w:val="24"/>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1" w:hRule="atLeast"/>
        </w:trPr>
        <w:tc>
          <w:tcPr>
            <w:tcW w:w="924"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无缝切换</w:t>
            </w:r>
          </w:p>
        </w:tc>
        <w:tc>
          <w:tcPr>
            <w:tcW w:w="4076" w:type="pct"/>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24"/>
              </w:rPr>
            </w:pPr>
            <w:r>
              <w:rPr>
                <w:rFonts w:hint="eastAsia" w:ascii="宋体" w:hAnsi="宋体"/>
                <w:sz w:val="24"/>
                <w:szCs w:val="24"/>
              </w:rPr>
              <w:t>全数字化切换，每种无缝输出卡都能实现真正实时的无缝切换；</w:t>
            </w:r>
            <w:r>
              <w:rPr>
                <w:rFonts w:ascii="宋体" w:hAnsi="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5" w:hRule="atLeast"/>
        </w:trPr>
        <w:tc>
          <w:tcPr>
            <w:tcW w:w="924"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视频拼接</w:t>
            </w:r>
          </w:p>
        </w:tc>
        <w:tc>
          <w:tcPr>
            <w:tcW w:w="4076" w:type="pct"/>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24"/>
              </w:rPr>
            </w:pPr>
            <w:r>
              <w:rPr>
                <w:rFonts w:hint="eastAsia" w:ascii="宋体" w:hAnsi="宋体"/>
                <w:sz w:val="24"/>
                <w:szCs w:val="24"/>
              </w:rPr>
              <w:t>支持视频拼接，每种拼接输出卡都能实现视频拼接功能，图像视窗在全屏范围内可以任意缩放、叠加、漫游、开窗；</w:t>
            </w:r>
            <w:r>
              <w:rPr>
                <w:rFonts w:ascii="宋体" w:hAnsi="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3" w:hRule="atLeast"/>
        </w:trPr>
        <w:tc>
          <w:tcPr>
            <w:tcW w:w="924"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输入信号预览</w:t>
            </w:r>
          </w:p>
        </w:tc>
        <w:tc>
          <w:tcPr>
            <w:tcW w:w="4076" w:type="pct"/>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24"/>
              </w:rPr>
            </w:pPr>
            <w:r>
              <w:rPr>
                <w:rFonts w:hint="eastAsia" w:ascii="宋体" w:hAnsi="宋体"/>
                <w:sz w:val="24"/>
                <w:szCs w:val="24"/>
              </w:rPr>
              <w:t>支持输入信号预览，预览卡能实现视频预览及切换功能；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52" w:hRule="atLeast"/>
        </w:trPr>
        <w:tc>
          <w:tcPr>
            <w:tcW w:w="924"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热插拔</w:t>
            </w:r>
          </w:p>
        </w:tc>
        <w:tc>
          <w:tcPr>
            <w:tcW w:w="4076" w:type="pct"/>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24"/>
              </w:rPr>
            </w:pPr>
            <w:r>
              <w:rPr>
                <w:rFonts w:hint="eastAsia" w:ascii="宋体" w:hAnsi="宋体"/>
                <w:sz w:val="24"/>
                <w:szCs w:val="24"/>
              </w:rPr>
              <w:t>支持热插拔，支持音视频信号一起切换；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1" w:hRule="atLeast"/>
        </w:trPr>
        <w:tc>
          <w:tcPr>
            <w:tcW w:w="924"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数字音频和模拟音频</w:t>
            </w:r>
          </w:p>
        </w:tc>
        <w:tc>
          <w:tcPr>
            <w:tcW w:w="4076" w:type="pct"/>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24"/>
              </w:rPr>
            </w:pPr>
            <w:r>
              <w:rPr>
                <w:rFonts w:hint="eastAsia" w:ascii="宋体" w:hAnsi="宋体"/>
                <w:sz w:val="24"/>
                <w:szCs w:val="24"/>
              </w:rPr>
              <w:t>HDMI数字音频与模拟音频选择输入，HDMI数字音频与模拟音频同时输出；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7" w:hRule="atLeast"/>
        </w:trPr>
        <w:tc>
          <w:tcPr>
            <w:tcW w:w="924"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EDID读取</w:t>
            </w:r>
          </w:p>
        </w:tc>
        <w:tc>
          <w:tcPr>
            <w:tcW w:w="4076" w:type="pct"/>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24"/>
              </w:rPr>
            </w:pPr>
            <w:r>
              <w:rPr>
                <w:rFonts w:hint="eastAsia" w:ascii="宋体" w:hAnsi="宋体"/>
                <w:sz w:val="24"/>
                <w:szCs w:val="24"/>
              </w:rPr>
              <w:t>支持EDID读取，PC软件控制切换与EDID管理；</w:t>
            </w:r>
            <w:r>
              <w:rPr>
                <w:rFonts w:ascii="宋体" w:hAnsi="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7" w:hRule="atLeast"/>
        </w:trPr>
        <w:tc>
          <w:tcPr>
            <w:tcW w:w="924"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4K</w:t>
            </w:r>
          </w:p>
        </w:tc>
        <w:tc>
          <w:tcPr>
            <w:tcW w:w="4076" w:type="pct"/>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24"/>
              </w:rPr>
            </w:pPr>
            <w:r>
              <w:rPr>
                <w:rFonts w:hint="eastAsia" w:ascii="宋体" w:hAnsi="宋体"/>
                <w:sz w:val="24"/>
                <w:szCs w:val="24"/>
              </w:rPr>
              <w:t>支持最大分辨率≥4K；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1" w:hRule="atLeast"/>
        </w:trPr>
        <w:tc>
          <w:tcPr>
            <w:tcW w:w="924"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ascii="宋体" w:hAnsi="宋体"/>
                <w:sz w:val="24"/>
                <w:szCs w:val="24"/>
              </w:rPr>
              <w:t>▲</w:t>
            </w:r>
            <w:r>
              <w:rPr>
                <w:rFonts w:hint="eastAsia" w:ascii="宋体" w:hAnsi="宋体"/>
                <w:sz w:val="24"/>
                <w:szCs w:val="24"/>
              </w:rPr>
              <w:t>智能控制风扇</w:t>
            </w:r>
          </w:p>
        </w:tc>
        <w:tc>
          <w:tcPr>
            <w:tcW w:w="4076" w:type="pct"/>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24"/>
              </w:rPr>
            </w:pPr>
            <w:r>
              <w:rPr>
                <w:rFonts w:hint="eastAsia" w:ascii="宋体" w:hAnsi="宋体"/>
                <w:sz w:val="24"/>
                <w:szCs w:val="24"/>
              </w:rPr>
              <w:t>支持智能控制矩阵风扇的运行；（需提供产品界面截图、产品彩页、产品说明书、产品白皮书或第三方检测机构出具的检测报告等证明材料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17" w:hRule="atLeast"/>
        </w:trPr>
        <w:tc>
          <w:tcPr>
            <w:tcW w:w="924"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冗余电源</w:t>
            </w:r>
          </w:p>
        </w:tc>
        <w:tc>
          <w:tcPr>
            <w:tcW w:w="4076" w:type="pct"/>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24"/>
              </w:rPr>
            </w:pPr>
            <w:r>
              <w:rPr>
                <w:rFonts w:hint="eastAsia" w:ascii="宋体" w:hAnsi="宋体"/>
                <w:sz w:val="24"/>
                <w:szCs w:val="24"/>
              </w:rPr>
              <w:t>支持冗余电源设计；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924"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结构设计</w:t>
            </w:r>
          </w:p>
        </w:tc>
        <w:tc>
          <w:tcPr>
            <w:tcW w:w="407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插卡式结构设计，可灵活配置输入输出信号类型及信号通道数；</w:t>
            </w:r>
          </w:p>
        </w:tc>
      </w:tr>
    </w:tbl>
    <w:p>
      <w:pPr>
        <w:rPr>
          <w:rFonts w:ascii="宋体" w:hAnsi="宋体"/>
        </w:rPr>
      </w:pPr>
    </w:p>
    <w:p>
      <w:pPr>
        <w:pStyle w:val="4"/>
        <w:numPr>
          <w:ilvl w:val="0"/>
          <w:numId w:val="5"/>
        </w:numPr>
        <w:snapToGrid w:val="0"/>
        <w:spacing w:before="0" w:after="0" w:line="360" w:lineRule="auto"/>
        <w:ind w:left="0" w:firstLine="0"/>
        <w:rPr>
          <w:rFonts w:ascii="宋体" w:hAnsi="宋体" w:eastAsia="宋体"/>
          <w:b/>
          <w:bCs/>
          <w:sz w:val="24"/>
          <w:szCs w:val="24"/>
        </w:rPr>
      </w:pPr>
      <w:r>
        <w:rPr>
          <w:rFonts w:hint="eastAsia" w:ascii="宋体" w:hAnsi="宋体" w:eastAsia="宋体"/>
          <w:b/>
          <w:bCs/>
          <w:sz w:val="24"/>
          <w:szCs w:val="24"/>
        </w:rPr>
        <w:t>语音转录主机</w:t>
      </w:r>
    </w:p>
    <w:tbl>
      <w:tblPr>
        <w:tblStyle w:val="15"/>
        <w:tblW w:w="5095"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1747"/>
        <w:gridCol w:w="6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4" w:hRule="atLeast"/>
        </w:trPr>
        <w:tc>
          <w:tcPr>
            <w:tcW w:w="1006" w:type="pct"/>
            <w:shd w:val="clear" w:color="auto" w:fill="FFFFFF" w:themeFill="background1"/>
            <w:vAlign w:val="center"/>
          </w:tcPr>
          <w:p>
            <w:pPr>
              <w:widowControl/>
              <w:spacing w:line="276" w:lineRule="auto"/>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指标项</w:t>
            </w:r>
          </w:p>
        </w:tc>
        <w:tc>
          <w:tcPr>
            <w:tcW w:w="3994" w:type="pct"/>
            <w:shd w:val="clear" w:color="auto" w:fill="FFFFFF" w:themeFill="background1"/>
            <w:vAlign w:val="center"/>
          </w:tcPr>
          <w:p>
            <w:pPr>
              <w:widowControl/>
              <w:spacing w:line="276" w:lineRule="auto"/>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92" w:hRule="atLeast"/>
        </w:trPr>
        <w:tc>
          <w:tcPr>
            <w:tcW w:w="1006" w:type="pct"/>
            <w:shd w:val="clear" w:color="auto" w:fill="auto"/>
            <w:tcMar>
              <w:top w:w="0" w:type="dxa"/>
              <w:left w:w="108" w:type="dxa"/>
              <w:bottom w:w="0" w:type="dxa"/>
              <w:right w:w="108" w:type="dxa"/>
            </w:tcMar>
            <w:vAlign w:val="center"/>
          </w:tcPr>
          <w:p>
            <w:pPr>
              <w:widowControl/>
              <w:spacing w:line="276" w:lineRule="auto"/>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音频输入-频响</w:t>
            </w:r>
          </w:p>
        </w:tc>
        <w:tc>
          <w:tcPr>
            <w:tcW w:w="3994" w:type="pct"/>
            <w:shd w:val="clear" w:color="auto" w:fill="auto"/>
            <w:tcMar>
              <w:top w:w="0" w:type="dxa"/>
              <w:left w:w="108" w:type="dxa"/>
              <w:bottom w:w="0" w:type="dxa"/>
              <w:right w:w="108" w:type="dxa"/>
            </w:tcMar>
            <w:vAlign w:val="center"/>
          </w:tcPr>
          <w:p>
            <w:pPr>
              <w:widowControl/>
              <w:spacing w:line="276"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20HZ-20KHZ（+0.1/-0.4dB)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12" w:hRule="atLeast"/>
        </w:trPr>
        <w:tc>
          <w:tcPr>
            <w:tcW w:w="1006" w:type="pct"/>
            <w:shd w:val="clear" w:color="auto" w:fill="auto"/>
            <w:tcMar>
              <w:top w:w="0" w:type="dxa"/>
              <w:left w:w="108" w:type="dxa"/>
              <w:bottom w:w="0" w:type="dxa"/>
              <w:right w:w="108" w:type="dxa"/>
            </w:tcMar>
            <w:vAlign w:val="center"/>
          </w:tcPr>
          <w:p>
            <w:pPr>
              <w:widowControl/>
              <w:spacing w:line="276" w:lineRule="auto"/>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音频输入-动态范围</w:t>
            </w:r>
          </w:p>
        </w:tc>
        <w:tc>
          <w:tcPr>
            <w:tcW w:w="3994" w:type="pct"/>
            <w:shd w:val="clear" w:color="auto" w:fill="auto"/>
            <w:tcMar>
              <w:top w:w="0" w:type="dxa"/>
              <w:left w:w="108" w:type="dxa"/>
              <w:bottom w:w="0" w:type="dxa"/>
              <w:right w:w="108" w:type="dxa"/>
            </w:tcMar>
            <w:vAlign w:val="center"/>
          </w:tcPr>
          <w:p>
            <w:pPr>
              <w:widowControl/>
              <w:spacing w:line="276"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最高92dB，A计权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99" w:hRule="atLeast"/>
        </w:trPr>
        <w:tc>
          <w:tcPr>
            <w:tcW w:w="1006" w:type="pct"/>
            <w:shd w:val="clear" w:color="auto" w:fill="auto"/>
            <w:tcMar>
              <w:top w:w="0" w:type="dxa"/>
              <w:left w:w="108" w:type="dxa"/>
              <w:bottom w:w="0" w:type="dxa"/>
              <w:right w:w="108" w:type="dxa"/>
            </w:tcMar>
            <w:vAlign w:val="center"/>
          </w:tcPr>
          <w:p>
            <w:pPr>
              <w:widowControl/>
              <w:spacing w:line="276" w:lineRule="auto"/>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音频输入-噪声级别</w:t>
            </w:r>
          </w:p>
        </w:tc>
        <w:tc>
          <w:tcPr>
            <w:tcW w:w="3994" w:type="pct"/>
            <w:shd w:val="clear" w:color="auto" w:fill="auto"/>
            <w:tcMar>
              <w:top w:w="0" w:type="dxa"/>
              <w:left w:w="108" w:type="dxa"/>
              <w:bottom w:w="0" w:type="dxa"/>
              <w:right w:w="108" w:type="dxa"/>
            </w:tcMar>
            <w:vAlign w:val="center"/>
          </w:tcPr>
          <w:p>
            <w:pPr>
              <w:widowControl/>
              <w:spacing w:line="276"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-92dB，A计权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4" w:hRule="atLeast"/>
        </w:trPr>
        <w:tc>
          <w:tcPr>
            <w:tcW w:w="1006" w:type="pct"/>
            <w:shd w:val="clear" w:color="auto" w:fill="auto"/>
            <w:tcMar>
              <w:top w:w="0" w:type="dxa"/>
              <w:left w:w="108" w:type="dxa"/>
              <w:bottom w:w="0" w:type="dxa"/>
              <w:right w:w="108" w:type="dxa"/>
            </w:tcMar>
            <w:vAlign w:val="center"/>
          </w:tcPr>
          <w:p>
            <w:pPr>
              <w:widowControl/>
              <w:spacing w:line="276" w:lineRule="auto"/>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音频输入-阻抗</w:t>
            </w:r>
          </w:p>
        </w:tc>
        <w:tc>
          <w:tcPr>
            <w:tcW w:w="3994" w:type="pct"/>
            <w:shd w:val="clear" w:color="auto" w:fill="auto"/>
            <w:tcMar>
              <w:top w:w="0" w:type="dxa"/>
              <w:left w:w="108" w:type="dxa"/>
              <w:bottom w:w="0" w:type="dxa"/>
              <w:right w:w="108" w:type="dxa"/>
            </w:tcMar>
            <w:vAlign w:val="center"/>
          </w:tcPr>
          <w:p>
            <w:pPr>
              <w:widowControl/>
              <w:spacing w:line="276"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不低于20kohm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12" w:hRule="atLeast"/>
        </w:trPr>
        <w:tc>
          <w:tcPr>
            <w:tcW w:w="1006" w:type="pct"/>
            <w:shd w:val="clear" w:color="auto" w:fill="auto"/>
            <w:tcMar>
              <w:top w:w="0" w:type="dxa"/>
              <w:left w:w="108" w:type="dxa"/>
              <w:bottom w:w="0" w:type="dxa"/>
              <w:right w:w="108" w:type="dxa"/>
            </w:tcMar>
            <w:vAlign w:val="center"/>
          </w:tcPr>
          <w:p>
            <w:pPr>
              <w:widowControl/>
              <w:spacing w:line="276" w:lineRule="auto"/>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音频输入-输入电平</w:t>
            </w:r>
          </w:p>
        </w:tc>
        <w:tc>
          <w:tcPr>
            <w:tcW w:w="3994" w:type="pct"/>
            <w:shd w:val="clear" w:color="auto" w:fill="auto"/>
            <w:tcMar>
              <w:top w:w="0" w:type="dxa"/>
              <w:left w:w="108" w:type="dxa"/>
              <w:bottom w:w="0" w:type="dxa"/>
              <w:right w:w="108" w:type="dxa"/>
            </w:tcMar>
            <w:vAlign w:val="center"/>
          </w:tcPr>
          <w:p>
            <w:pPr>
              <w:widowControl/>
              <w:spacing w:line="276"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不低于+4dBu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99" w:hRule="atLeast"/>
        </w:trPr>
        <w:tc>
          <w:tcPr>
            <w:tcW w:w="1006" w:type="pct"/>
            <w:shd w:val="clear" w:color="auto" w:fill="auto"/>
            <w:tcMar>
              <w:top w:w="0" w:type="dxa"/>
              <w:left w:w="108" w:type="dxa"/>
              <w:bottom w:w="0" w:type="dxa"/>
              <w:right w:w="108" w:type="dxa"/>
            </w:tcMar>
            <w:vAlign w:val="center"/>
          </w:tcPr>
          <w:p>
            <w:pPr>
              <w:widowControl/>
              <w:spacing w:line="276" w:lineRule="auto"/>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音频输入-可调节增益范围</w:t>
            </w:r>
          </w:p>
        </w:tc>
        <w:tc>
          <w:tcPr>
            <w:tcW w:w="3994" w:type="pct"/>
            <w:shd w:val="clear" w:color="auto" w:fill="auto"/>
            <w:tcMar>
              <w:top w:w="0" w:type="dxa"/>
              <w:left w:w="108" w:type="dxa"/>
              <w:bottom w:w="0" w:type="dxa"/>
              <w:right w:w="108" w:type="dxa"/>
            </w:tcMar>
            <w:vAlign w:val="center"/>
          </w:tcPr>
          <w:p>
            <w:pPr>
              <w:widowControl/>
              <w:spacing w:line="276"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0dB~51dB（数字调节）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4" w:hRule="atLeast"/>
        </w:trPr>
        <w:tc>
          <w:tcPr>
            <w:tcW w:w="1006" w:type="pct"/>
            <w:shd w:val="clear" w:color="auto" w:fill="auto"/>
            <w:tcMar>
              <w:top w:w="0" w:type="dxa"/>
              <w:left w:w="108" w:type="dxa"/>
              <w:bottom w:w="0" w:type="dxa"/>
              <w:right w:w="108" w:type="dxa"/>
            </w:tcMar>
            <w:vAlign w:val="center"/>
          </w:tcPr>
          <w:p>
            <w:pPr>
              <w:widowControl/>
              <w:spacing w:line="276" w:lineRule="auto"/>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音频输出-频响</w:t>
            </w:r>
          </w:p>
        </w:tc>
        <w:tc>
          <w:tcPr>
            <w:tcW w:w="3994" w:type="pct"/>
            <w:shd w:val="clear" w:color="auto" w:fill="auto"/>
            <w:tcMar>
              <w:top w:w="0" w:type="dxa"/>
              <w:left w:w="108" w:type="dxa"/>
              <w:bottom w:w="0" w:type="dxa"/>
              <w:right w:w="108" w:type="dxa"/>
            </w:tcMar>
            <w:vAlign w:val="center"/>
          </w:tcPr>
          <w:p>
            <w:pPr>
              <w:widowControl/>
              <w:spacing w:line="276"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20HZ-20KHZ（+0.1/-0.4dB）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12" w:hRule="atLeast"/>
        </w:trPr>
        <w:tc>
          <w:tcPr>
            <w:tcW w:w="1006" w:type="pct"/>
            <w:shd w:val="clear" w:color="auto" w:fill="auto"/>
            <w:tcMar>
              <w:top w:w="0" w:type="dxa"/>
              <w:left w:w="108" w:type="dxa"/>
              <w:bottom w:w="0" w:type="dxa"/>
              <w:right w:w="108" w:type="dxa"/>
            </w:tcMar>
            <w:vAlign w:val="center"/>
          </w:tcPr>
          <w:p>
            <w:pPr>
              <w:widowControl/>
              <w:spacing w:line="276" w:lineRule="auto"/>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音频输出-噪声级别</w:t>
            </w:r>
          </w:p>
        </w:tc>
        <w:tc>
          <w:tcPr>
            <w:tcW w:w="3994" w:type="pct"/>
            <w:shd w:val="clear" w:color="auto" w:fill="auto"/>
            <w:tcMar>
              <w:top w:w="0" w:type="dxa"/>
              <w:left w:w="108" w:type="dxa"/>
              <w:bottom w:w="0" w:type="dxa"/>
              <w:right w:w="108" w:type="dxa"/>
            </w:tcMar>
            <w:vAlign w:val="center"/>
          </w:tcPr>
          <w:p>
            <w:pPr>
              <w:widowControl/>
              <w:spacing w:line="276"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不低于-92dB，A计权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92" w:hRule="atLeast"/>
        </w:trPr>
        <w:tc>
          <w:tcPr>
            <w:tcW w:w="1006" w:type="pct"/>
            <w:shd w:val="clear" w:color="auto" w:fill="auto"/>
            <w:tcMar>
              <w:top w:w="0" w:type="dxa"/>
              <w:left w:w="108" w:type="dxa"/>
              <w:bottom w:w="0" w:type="dxa"/>
              <w:right w:w="108" w:type="dxa"/>
            </w:tcMar>
            <w:vAlign w:val="center"/>
          </w:tcPr>
          <w:p>
            <w:pPr>
              <w:widowControl/>
              <w:spacing w:line="276" w:lineRule="auto"/>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音频输出-阻抗</w:t>
            </w:r>
          </w:p>
        </w:tc>
        <w:tc>
          <w:tcPr>
            <w:tcW w:w="3994" w:type="pct"/>
            <w:shd w:val="clear" w:color="auto" w:fill="auto"/>
            <w:tcMar>
              <w:top w:w="0" w:type="dxa"/>
              <w:left w:w="108" w:type="dxa"/>
              <w:bottom w:w="0" w:type="dxa"/>
              <w:right w:w="108" w:type="dxa"/>
            </w:tcMar>
            <w:vAlign w:val="center"/>
          </w:tcPr>
          <w:p>
            <w:pPr>
              <w:widowControl/>
              <w:spacing w:line="276"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不低于470ohm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12" w:hRule="atLeast"/>
        </w:trPr>
        <w:tc>
          <w:tcPr>
            <w:tcW w:w="1006" w:type="pct"/>
            <w:shd w:val="clear" w:color="auto" w:fill="auto"/>
            <w:tcMar>
              <w:top w:w="0" w:type="dxa"/>
              <w:left w:w="108" w:type="dxa"/>
              <w:bottom w:w="0" w:type="dxa"/>
              <w:right w:w="108" w:type="dxa"/>
            </w:tcMar>
            <w:vAlign w:val="center"/>
          </w:tcPr>
          <w:p>
            <w:pPr>
              <w:widowControl/>
              <w:spacing w:line="276" w:lineRule="auto"/>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音频输出-输出电平</w:t>
            </w:r>
          </w:p>
        </w:tc>
        <w:tc>
          <w:tcPr>
            <w:tcW w:w="3994" w:type="pct"/>
            <w:shd w:val="clear" w:color="auto" w:fill="auto"/>
            <w:tcMar>
              <w:top w:w="0" w:type="dxa"/>
              <w:left w:w="108" w:type="dxa"/>
              <w:bottom w:w="0" w:type="dxa"/>
              <w:right w:w="108" w:type="dxa"/>
            </w:tcMar>
            <w:vAlign w:val="center"/>
          </w:tcPr>
          <w:p>
            <w:pPr>
              <w:widowControl/>
              <w:spacing w:line="276"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不低于+4dBu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4" w:hRule="atLeast"/>
        </w:trPr>
        <w:tc>
          <w:tcPr>
            <w:tcW w:w="1006" w:type="pct"/>
            <w:shd w:val="clear" w:color="auto" w:fill="auto"/>
            <w:tcMar>
              <w:top w:w="0" w:type="dxa"/>
              <w:left w:w="108" w:type="dxa"/>
              <w:bottom w:w="0" w:type="dxa"/>
              <w:right w:w="108" w:type="dxa"/>
            </w:tcMar>
            <w:vAlign w:val="center"/>
          </w:tcPr>
          <w:p>
            <w:pPr>
              <w:widowControl/>
              <w:spacing w:line="276" w:lineRule="auto"/>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采样率</w:t>
            </w:r>
          </w:p>
        </w:tc>
        <w:tc>
          <w:tcPr>
            <w:tcW w:w="3994" w:type="pct"/>
            <w:shd w:val="clear" w:color="auto" w:fill="auto"/>
            <w:tcMar>
              <w:top w:w="0" w:type="dxa"/>
              <w:left w:w="108" w:type="dxa"/>
              <w:bottom w:w="0" w:type="dxa"/>
              <w:right w:w="108" w:type="dxa"/>
            </w:tcMar>
            <w:vAlign w:val="center"/>
          </w:tcPr>
          <w:p>
            <w:pPr>
              <w:widowControl/>
              <w:spacing w:line="276"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不低于16k/48k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92" w:hRule="atLeast"/>
        </w:trPr>
        <w:tc>
          <w:tcPr>
            <w:tcW w:w="1006" w:type="pct"/>
            <w:shd w:val="clear" w:color="auto" w:fill="auto"/>
            <w:tcMar>
              <w:top w:w="0" w:type="dxa"/>
              <w:left w:w="108" w:type="dxa"/>
              <w:bottom w:w="0" w:type="dxa"/>
              <w:right w:w="108" w:type="dxa"/>
            </w:tcMar>
            <w:vAlign w:val="center"/>
          </w:tcPr>
          <w:p>
            <w:pPr>
              <w:widowControl/>
              <w:spacing w:line="276" w:lineRule="auto"/>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位深</w:t>
            </w:r>
          </w:p>
        </w:tc>
        <w:tc>
          <w:tcPr>
            <w:tcW w:w="3994" w:type="pct"/>
            <w:shd w:val="clear" w:color="auto" w:fill="auto"/>
            <w:tcMar>
              <w:top w:w="0" w:type="dxa"/>
              <w:left w:w="108" w:type="dxa"/>
              <w:bottom w:w="0" w:type="dxa"/>
              <w:right w:w="108" w:type="dxa"/>
            </w:tcMar>
            <w:vAlign w:val="center"/>
          </w:tcPr>
          <w:p>
            <w:pPr>
              <w:widowControl/>
              <w:spacing w:line="276"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不低于16bit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4" w:hRule="atLeast"/>
        </w:trPr>
        <w:tc>
          <w:tcPr>
            <w:tcW w:w="1006" w:type="pct"/>
            <w:shd w:val="clear" w:color="auto" w:fill="auto"/>
            <w:tcMar>
              <w:top w:w="0" w:type="dxa"/>
              <w:left w:w="108" w:type="dxa"/>
              <w:bottom w:w="0" w:type="dxa"/>
              <w:right w:w="108" w:type="dxa"/>
            </w:tcMar>
            <w:vAlign w:val="center"/>
          </w:tcPr>
          <w:p>
            <w:pPr>
              <w:widowControl/>
              <w:spacing w:line="276" w:lineRule="auto"/>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通道</w:t>
            </w:r>
          </w:p>
        </w:tc>
        <w:tc>
          <w:tcPr>
            <w:tcW w:w="3994" w:type="pct"/>
            <w:shd w:val="clear" w:color="auto" w:fill="auto"/>
            <w:tcMar>
              <w:top w:w="0" w:type="dxa"/>
              <w:left w:w="108" w:type="dxa"/>
              <w:bottom w:w="0" w:type="dxa"/>
              <w:right w:w="108" w:type="dxa"/>
            </w:tcMar>
            <w:vAlign w:val="center"/>
          </w:tcPr>
          <w:p>
            <w:pPr>
              <w:widowControl/>
              <w:spacing w:line="276"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不少于12通道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4" w:hRule="atLeast"/>
        </w:trPr>
        <w:tc>
          <w:tcPr>
            <w:tcW w:w="1006" w:type="pct"/>
            <w:shd w:val="clear" w:color="auto" w:fill="auto"/>
            <w:tcMar>
              <w:top w:w="0" w:type="dxa"/>
              <w:left w:w="108" w:type="dxa"/>
              <w:bottom w:w="0" w:type="dxa"/>
              <w:right w:w="108" w:type="dxa"/>
            </w:tcMar>
            <w:vAlign w:val="center"/>
          </w:tcPr>
          <w:p>
            <w:pPr>
              <w:widowControl/>
              <w:spacing w:line="276" w:lineRule="auto"/>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光纤同步接口</w:t>
            </w:r>
          </w:p>
        </w:tc>
        <w:tc>
          <w:tcPr>
            <w:tcW w:w="3994" w:type="pct"/>
            <w:shd w:val="clear" w:color="auto" w:fill="auto"/>
            <w:tcMar>
              <w:top w:w="0" w:type="dxa"/>
              <w:left w:w="108" w:type="dxa"/>
              <w:bottom w:w="0" w:type="dxa"/>
              <w:right w:w="108" w:type="dxa"/>
            </w:tcMar>
            <w:vAlign w:val="center"/>
          </w:tcPr>
          <w:p>
            <w:pPr>
              <w:widowControl/>
              <w:spacing w:line="276"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不少于input*1，output*1</w:t>
            </w:r>
          </w:p>
        </w:tc>
      </w:tr>
    </w:tbl>
    <w:p>
      <w:pPr>
        <w:pStyle w:val="28"/>
        <w:rPr>
          <w:rFonts w:ascii="宋体" w:hAnsi="宋体"/>
        </w:rPr>
      </w:pPr>
    </w:p>
    <w:p>
      <w:pPr>
        <w:pStyle w:val="4"/>
        <w:numPr>
          <w:ilvl w:val="0"/>
          <w:numId w:val="5"/>
        </w:numPr>
        <w:snapToGrid w:val="0"/>
        <w:spacing w:before="0" w:after="0" w:line="360" w:lineRule="auto"/>
        <w:ind w:left="0" w:firstLine="0"/>
        <w:rPr>
          <w:rFonts w:ascii="宋体" w:hAnsi="宋体" w:eastAsia="宋体"/>
          <w:b/>
          <w:bCs/>
          <w:sz w:val="24"/>
          <w:szCs w:val="24"/>
        </w:rPr>
      </w:pPr>
      <w:r>
        <w:rPr>
          <w:rFonts w:hint="eastAsia" w:ascii="宋体" w:hAnsi="宋体" w:eastAsia="宋体"/>
          <w:b/>
          <w:bCs/>
          <w:sz w:val="24"/>
          <w:szCs w:val="24"/>
        </w:rPr>
        <w:t>在线庭审摄像机</w:t>
      </w:r>
    </w:p>
    <w:tbl>
      <w:tblPr>
        <w:tblStyle w:val="15"/>
        <w:tblW w:w="512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844"/>
        <w:gridCol w:w="6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4"/>
              </w:rPr>
            </w:pPr>
            <w:r>
              <w:rPr>
                <w:rFonts w:ascii="宋体" w:hAnsi="宋体"/>
                <w:b/>
                <w:bCs/>
                <w:sz w:val="24"/>
                <w:szCs w:val="24"/>
              </w:rPr>
              <w:t>指标项</w:t>
            </w:r>
          </w:p>
        </w:tc>
        <w:tc>
          <w:tcPr>
            <w:tcW w:w="3919"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4"/>
              </w:rPr>
            </w:pPr>
            <w:r>
              <w:rPr>
                <w:rFonts w:ascii="宋体" w:hAnsi="宋体"/>
                <w:b/>
                <w:bCs/>
                <w:sz w:val="24"/>
                <w:szCs w:val="24"/>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81" w:type="pct"/>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24"/>
              </w:rPr>
            </w:pPr>
            <w:r>
              <w:rPr>
                <w:rFonts w:hint="eastAsia" w:ascii="宋体" w:hAnsi="宋体"/>
                <w:sz w:val="24"/>
                <w:szCs w:val="24"/>
              </w:rPr>
              <w:t>▲接口要求</w:t>
            </w:r>
          </w:p>
        </w:tc>
        <w:tc>
          <w:tcPr>
            <w:tcW w:w="3919" w:type="pct"/>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24"/>
              </w:rPr>
            </w:pPr>
            <w:r>
              <w:rPr>
                <w:rFonts w:hint="eastAsia" w:ascii="宋体" w:hAnsi="宋体"/>
                <w:sz w:val="24"/>
                <w:szCs w:val="24"/>
              </w:rPr>
              <w:t>设备应具有H</w:t>
            </w:r>
            <w:r>
              <w:rPr>
                <w:rFonts w:ascii="宋体" w:hAnsi="宋体"/>
                <w:sz w:val="24"/>
                <w:szCs w:val="24"/>
              </w:rPr>
              <w:t>DMI接口、SDI接口、</w:t>
            </w:r>
            <w:r>
              <w:rPr>
                <w:rFonts w:hint="eastAsia" w:ascii="宋体" w:hAnsi="宋体"/>
                <w:sz w:val="24"/>
                <w:szCs w:val="24"/>
              </w:rPr>
              <w:t>U</w:t>
            </w:r>
            <w:r>
              <w:rPr>
                <w:rFonts w:ascii="宋体" w:hAnsi="宋体"/>
                <w:sz w:val="24"/>
                <w:szCs w:val="24"/>
              </w:rPr>
              <w:t>SB2.0接口、以太网接口。</w:t>
            </w:r>
            <w:r>
              <w:rPr>
                <w:rFonts w:hint="eastAsia" w:ascii="宋体" w:hAnsi="宋体"/>
                <w:sz w:val="24"/>
                <w:szCs w:val="24"/>
              </w:rPr>
              <w:t>（需提供产品界面截图、产品彩页、产品说明书、产品白皮书或第三方检测机构出具的检测报告等证明材料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81" w:type="pct"/>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24"/>
              </w:rPr>
            </w:pPr>
            <w:r>
              <w:rPr>
                <w:rFonts w:ascii="宋体" w:hAnsi="宋体"/>
                <w:sz w:val="24"/>
                <w:szCs w:val="24"/>
              </w:rPr>
              <w:t>传感器类型</w:t>
            </w:r>
          </w:p>
        </w:tc>
        <w:tc>
          <w:tcPr>
            <w:tcW w:w="3919" w:type="pct"/>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24"/>
              </w:rPr>
            </w:pPr>
            <w:r>
              <w:rPr>
                <w:rFonts w:hint="eastAsia" w:ascii="宋体" w:hAnsi="宋体"/>
                <w:sz w:val="24"/>
                <w:szCs w:val="24"/>
              </w:rPr>
              <w:t>应采用1/2.8英寸高品质CMOS传感器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1" w:hRule="atLeast"/>
        </w:trPr>
        <w:tc>
          <w:tcPr>
            <w:tcW w:w="1081" w:type="pct"/>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24"/>
              </w:rPr>
            </w:pPr>
            <w:r>
              <w:rPr>
                <w:rFonts w:ascii="宋体" w:hAnsi="宋体"/>
                <w:sz w:val="24"/>
                <w:szCs w:val="24"/>
              </w:rPr>
              <w:t>像素</w:t>
            </w:r>
          </w:p>
        </w:tc>
        <w:tc>
          <w:tcPr>
            <w:tcW w:w="3919" w:type="pct"/>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24"/>
              </w:rPr>
            </w:pPr>
            <w:r>
              <w:rPr>
                <w:rFonts w:hint="eastAsia" w:ascii="宋体" w:hAnsi="宋体"/>
                <w:sz w:val="24"/>
                <w:szCs w:val="24"/>
              </w:rPr>
              <w:t>不低于</w:t>
            </w:r>
            <w:r>
              <w:rPr>
                <w:rFonts w:ascii="宋体" w:hAnsi="宋体"/>
                <w:sz w:val="24"/>
                <w:szCs w:val="24"/>
              </w:rPr>
              <w:t>200</w:t>
            </w:r>
            <w:r>
              <w:rPr>
                <w:rFonts w:hint="eastAsia" w:ascii="宋体" w:hAnsi="宋体"/>
                <w:sz w:val="24"/>
                <w:szCs w:val="24"/>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1" w:hRule="atLeast"/>
        </w:trPr>
        <w:tc>
          <w:tcPr>
            <w:tcW w:w="1081" w:type="pct"/>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24"/>
              </w:rPr>
            </w:pPr>
            <w:r>
              <w:rPr>
                <w:rFonts w:hint="eastAsia" w:ascii="宋体" w:hAnsi="宋体"/>
                <w:sz w:val="24"/>
                <w:szCs w:val="24"/>
              </w:rPr>
              <w:t>▲三码流功能</w:t>
            </w:r>
          </w:p>
        </w:tc>
        <w:tc>
          <w:tcPr>
            <w:tcW w:w="3919" w:type="pct"/>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24"/>
              </w:rPr>
            </w:pPr>
            <w:r>
              <w:rPr>
                <w:rFonts w:hint="eastAsia" w:ascii="宋体" w:hAnsi="宋体"/>
                <w:sz w:val="24"/>
                <w:szCs w:val="24"/>
              </w:rPr>
              <w:t>具有同时输出两（多）路码流或存储书路的同时输出另一路在图像格式、压缩编码格式或压缩码率等参数上有所不同并可以独立设置的视频码流的功能（需提供产品界面截图、产品彩页、产品说明书、产品白皮书或第三方检测机构出具的检测报告等证明材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1" w:type="pct"/>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24"/>
              </w:rPr>
            </w:pPr>
            <w:r>
              <w:rPr>
                <w:rFonts w:hint="eastAsia" w:ascii="宋体" w:hAnsi="宋体"/>
                <w:sz w:val="24"/>
                <w:szCs w:val="24"/>
              </w:rPr>
              <w:t>镜头</w:t>
            </w:r>
          </w:p>
        </w:tc>
        <w:tc>
          <w:tcPr>
            <w:tcW w:w="3919" w:type="pct"/>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24"/>
              </w:rPr>
            </w:pPr>
            <w:r>
              <w:rPr>
                <w:rFonts w:hint="eastAsia" w:ascii="宋体" w:hAnsi="宋体"/>
                <w:sz w:val="24"/>
                <w:szCs w:val="24"/>
              </w:rPr>
              <w:t>设备应支持12倍光学变焦</w:t>
            </w:r>
            <w:r>
              <w:rPr>
                <w:rFonts w:ascii="宋体" w:hAnsi="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81" w:type="pct"/>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24"/>
              </w:rPr>
            </w:pPr>
            <w:r>
              <w:rPr>
                <w:rFonts w:ascii="宋体" w:hAnsi="宋体"/>
                <w:sz w:val="24"/>
                <w:szCs w:val="24"/>
              </w:rPr>
              <w:t>最大分辨率</w:t>
            </w:r>
          </w:p>
        </w:tc>
        <w:tc>
          <w:tcPr>
            <w:tcW w:w="3919" w:type="pct"/>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24"/>
              </w:rPr>
            </w:pPr>
            <w:r>
              <w:rPr>
                <w:rFonts w:ascii="宋体" w:hAnsi="宋体"/>
                <w:sz w:val="24"/>
                <w:szCs w:val="24"/>
              </w:rPr>
              <w:t>1920*1080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81" w:type="pct"/>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24"/>
              </w:rPr>
            </w:pPr>
            <w:r>
              <w:rPr>
                <w:rFonts w:ascii="宋体" w:hAnsi="宋体"/>
                <w:sz w:val="24"/>
                <w:szCs w:val="24"/>
              </w:rPr>
              <w:t>扫描方式</w:t>
            </w:r>
          </w:p>
        </w:tc>
        <w:tc>
          <w:tcPr>
            <w:tcW w:w="3919" w:type="pct"/>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24"/>
              </w:rPr>
            </w:pPr>
            <w:r>
              <w:rPr>
                <w:rFonts w:hint="eastAsia" w:ascii="宋体" w:hAnsi="宋体"/>
                <w:sz w:val="24"/>
                <w:szCs w:val="24"/>
              </w:rPr>
              <w:t>逐行扫描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81" w:type="pct"/>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24"/>
              </w:rPr>
            </w:pPr>
            <w:r>
              <w:rPr>
                <w:rFonts w:hint="eastAsia" w:ascii="宋体" w:hAnsi="宋体"/>
                <w:sz w:val="24"/>
                <w:szCs w:val="24"/>
              </w:rPr>
              <w:t>编码格式</w:t>
            </w:r>
          </w:p>
        </w:tc>
        <w:tc>
          <w:tcPr>
            <w:tcW w:w="3919" w:type="pct"/>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24"/>
              </w:rPr>
            </w:pPr>
            <w:r>
              <w:rPr>
                <w:rFonts w:hint="eastAsia" w:ascii="宋体" w:hAnsi="宋体"/>
                <w:sz w:val="24"/>
                <w:szCs w:val="24"/>
              </w:rPr>
              <w:t>设备支持H.265、H.264编码格式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1" w:type="pct"/>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24"/>
              </w:rPr>
            </w:pPr>
            <w:r>
              <w:rPr>
                <w:rFonts w:ascii="宋体" w:hAnsi="宋体"/>
                <w:sz w:val="24"/>
                <w:szCs w:val="24"/>
              </w:rPr>
              <w:t>数字变倍</w:t>
            </w:r>
          </w:p>
        </w:tc>
        <w:tc>
          <w:tcPr>
            <w:tcW w:w="3919" w:type="pct"/>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24"/>
              </w:rPr>
            </w:pPr>
            <w:r>
              <w:rPr>
                <w:rFonts w:hint="eastAsia" w:ascii="宋体" w:hAnsi="宋体"/>
                <w:sz w:val="24"/>
                <w:szCs w:val="24"/>
              </w:rPr>
              <w:t>设备应</w:t>
            </w:r>
            <w:r>
              <w:rPr>
                <w:rFonts w:ascii="宋体" w:hAnsi="宋体"/>
                <w:sz w:val="24"/>
                <w:szCs w:val="24"/>
              </w:rPr>
              <w:t>支持不小于</w:t>
            </w:r>
            <w:r>
              <w:rPr>
                <w:rFonts w:hint="eastAsia" w:ascii="宋体" w:hAnsi="宋体"/>
                <w:sz w:val="24"/>
                <w:szCs w:val="24"/>
              </w:rPr>
              <w:t>1</w:t>
            </w:r>
            <w:r>
              <w:rPr>
                <w:rFonts w:ascii="宋体" w:hAnsi="宋体"/>
                <w:sz w:val="24"/>
                <w:szCs w:val="24"/>
              </w:rPr>
              <w:t>5</w:t>
            </w:r>
            <w:r>
              <w:rPr>
                <w:rFonts w:hint="eastAsia" w:ascii="宋体" w:hAnsi="宋体"/>
                <w:sz w:val="24"/>
                <w:szCs w:val="24"/>
              </w:rPr>
              <w:t>倍电子变倍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81" w:type="pct"/>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24"/>
              </w:rPr>
            </w:pPr>
            <w:r>
              <w:rPr>
                <w:rFonts w:ascii="宋体" w:hAnsi="宋体"/>
                <w:sz w:val="24"/>
                <w:szCs w:val="24"/>
              </w:rPr>
              <w:t>最低照度</w:t>
            </w:r>
          </w:p>
        </w:tc>
        <w:tc>
          <w:tcPr>
            <w:tcW w:w="3919" w:type="pct"/>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24"/>
              </w:rPr>
            </w:pPr>
            <w:r>
              <w:rPr>
                <w:rFonts w:hint="eastAsia" w:ascii="宋体" w:hAnsi="宋体"/>
                <w:sz w:val="24"/>
                <w:szCs w:val="24"/>
              </w:rPr>
              <w:t>最低照度支持0.0</w:t>
            </w:r>
            <w:r>
              <w:rPr>
                <w:rFonts w:ascii="宋体" w:hAnsi="宋体"/>
                <w:sz w:val="24"/>
                <w:szCs w:val="24"/>
              </w:rPr>
              <w:t>5</w:t>
            </w:r>
            <w:r>
              <w:rPr>
                <w:rFonts w:hint="eastAsia" w:ascii="宋体" w:hAnsi="宋体"/>
                <w:sz w:val="24"/>
                <w:szCs w:val="24"/>
              </w:rPr>
              <w:t>lx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81" w:type="pct"/>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24"/>
              </w:rPr>
            </w:pPr>
            <w:r>
              <w:rPr>
                <w:rFonts w:hint="eastAsia" w:ascii="宋体" w:hAnsi="宋体"/>
                <w:sz w:val="24"/>
                <w:szCs w:val="24"/>
              </w:rPr>
              <w:t>云台范围</w:t>
            </w:r>
          </w:p>
        </w:tc>
        <w:tc>
          <w:tcPr>
            <w:tcW w:w="3919" w:type="pct"/>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24"/>
              </w:rPr>
            </w:pPr>
            <w:r>
              <w:rPr>
                <w:rFonts w:hint="eastAsia" w:ascii="宋体" w:hAnsi="宋体"/>
                <w:sz w:val="24"/>
                <w:szCs w:val="24"/>
              </w:rPr>
              <w:t>设备应支持水平范围-170°～+170°，水平键控速度不小于</w:t>
            </w:r>
            <w:r>
              <w:rPr>
                <w:rFonts w:ascii="宋体" w:hAnsi="宋体"/>
                <w:sz w:val="24"/>
                <w:szCs w:val="24"/>
              </w:rPr>
              <w:t>0.82°/s</w:t>
            </w:r>
            <w:r>
              <w:rPr>
                <w:rFonts w:hint="eastAsia" w:ascii="宋体" w:hAnsi="宋体" w:cs="宋体"/>
                <w:sz w:val="24"/>
                <w:szCs w:val="24"/>
              </w:rPr>
              <w:t>～</w:t>
            </w:r>
            <w:r>
              <w:rPr>
                <w:rFonts w:ascii="宋体" w:hAnsi="宋体"/>
                <w:sz w:val="24"/>
                <w:szCs w:val="24"/>
              </w:rPr>
              <w:t>38.6°/秒</w:t>
            </w:r>
            <w:r>
              <w:rPr>
                <w:rFonts w:hint="eastAsia" w:ascii="宋体" w:hAnsi="宋体"/>
                <w:sz w:val="24"/>
                <w:szCs w:val="24"/>
              </w:rPr>
              <w:t>；支持-30°～+90°垂直旋转范围；云台定位精准度偏差不大于±0.1°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81" w:type="pct"/>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24"/>
              </w:rPr>
            </w:pPr>
            <w:r>
              <w:rPr>
                <w:rFonts w:hint="eastAsia" w:ascii="宋体" w:hAnsi="宋体"/>
                <w:sz w:val="24"/>
                <w:szCs w:val="24"/>
              </w:rPr>
              <w:t>预置位</w:t>
            </w:r>
          </w:p>
        </w:tc>
        <w:tc>
          <w:tcPr>
            <w:tcW w:w="3919" w:type="pct"/>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24"/>
              </w:rPr>
            </w:pPr>
            <w:r>
              <w:rPr>
                <w:rFonts w:hint="eastAsia" w:ascii="宋体" w:hAnsi="宋体"/>
                <w:sz w:val="24"/>
                <w:szCs w:val="24"/>
              </w:rPr>
              <w:t>设备支持不少于 255 个预置位</w:t>
            </w:r>
          </w:p>
        </w:tc>
      </w:tr>
    </w:tbl>
    <w:p>
      <w:pPr>
        <w:rPr>
          <w:rFonts w:ascii="宋体" w:hAnsi="宋体"/>
        </w:rPr>
      </w:pPr>
    </w:p>
    <w:p>
      <w:pPr>
        <w:spacing w:line="360" w:lineRule="auto"/>
        <w:ind w:firstLine="484" w:firstLineChars="201"/>
        <w:rPr>
          <w:rFonts w:ascii="宋体" w:hAnsi="宋体" w:cs="宋体"/>
          <w:b/>
          <w:bCs/>
          <w:kern w:val="0"/>
          <w:sz w:val="24"/>
          <w:szCs w:val="24"/>
        </w:rPr>
      </w:pPr>
    </w:p>
    <w:p>
      <w:pPr>
        <w:pStyle w:val="4"/>
        <w:numPr>
          <w:ilvl w:val="0"/>
          <w:numId w:val="5"/>
        </w:numPr>
        <w:snapToGrid w:val="0"/>
        <w:spacing w:before="0" w:after="0" w:line="360" w:lineRule="auto"/>
        <w:ind w:left="0" w:firstLine="0"/>
        <w:rPr>
          <w:rFonts w:ascii="宋体" w:hAnsi="宋体" w:eastAsia="宋体"/>
          <w:b/>
          <w:bCs/>
          <w:sz w:val="24"/>
          <w:szCs w:val="24"/>
        </w:rPr>
      </w:pPr>
      <w:r>
        <w:rPr>
          <w:rFonts w:hint="eastAsia" w:ascii="宋体" w:hAnsi="宋体" w:eastAsia="宋体"/>
          <w:b/>
          <w:bCs/>
          <w:sz w:val="24"/>
          <w:szCs w:val="24"/>
        </w:rPr>
        <w:t>视频压缩编码器</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22" w:type="pct"/>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指标项</w:t>
            </w:r>
          </w:p>
        </w:tc>
        <w:tc>
          <w:tcPr>
            <w:tcW w:w="3978" w:type="pct"/>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22" w:type="pct"/>
            <w:vAlign w:val="center"/>
          </w:tcPr>
          <w:p>
            <w:pPr>
              <w:jc w:val="left"/>
              <w:rPr>
                <w:rFonts w:ascii="宋体" w:hAnsi="宋体"/>
                <w:sz w:val="24"/>
                <w:szCs w:val="24"/>
              </w:rPr>
            </w:pPr>
            <w:r>
              <w:rPr>
                <w:rFonts w:hint="eastAsia" w:ascii="宋体" w:hAnsi="宋体"/>
                <w:sz w:val="24"/>
                <w:szCs w:val="24"/>
              </w:rPr>
              <w:t>外观及结构</w:t>
            </w:r>
          </w:p>
        </w:tc>
        <w:tc>
          <w:tcPr>
            <w:tcW w:w="3978" w:type="pct"/>
            <w:vAlign w:val="center"/>
          </w:tcPr>
          <w:p>
            <w:pPr>
              <w:jc w:val="left"/>
              <w:rPr>
                <w:rFonts w:ascii="宋体" w:hAnsi="宋体"/>
                <w:sz w:val="24"/>
                <w:szCs w:val="24"/>
              </w:rPr>
            </w:pPr>
            <w:r>
              <w:rPr>
                <w:rFonts w:hint="eastAsia" w:ascii="宋体" w:hAnsi="宋体"/>
                <w:sz w:val="24"/>
                <w:szCs w:val="24"/>
              </w:rPr>
              <w:t>产品外观应整洁，表面无明显的凹凸痕、划伤、裂缝、变形、毛刺、污染等缺陷，表面涂层无起泡、龟裂、脱落和磨损等现象。金属件无锈蚀和其他机械损伤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22" w:type="pct"/>
            <w:vAlign w:val="center"/>
          </w:tcPr>
          <w:p>
            <w:pPr>
              <w:jc w:val="left"/>
              <w:rPr>
                <w:rFonts w:ascii="宋体" w:hAnsi="宋体"/>
                <w:sz w:val="24"/>
                <w:szCs w:val="24"/>
              </w:rPr>
            </w:pPr>
            <w:r>
              <w:rPr>
                <w:rFonts w:hint="eastAsia" w:ascii="宋体" w:hAnsi="宋体"/>
                <w:sz w:val="24"/>
                <w:szCs w:val="24"/>
              </w:rPr>
              <w:t>电源电压</w:t>
            </w:r>
          </w:p>
        </w:tc>
        <w:tc>
          <w:tcPr>
            <w:tcW w:w="3978" w:type="pct"/>
            <w:vAlign w:val="center"/>
          </w:tcPr>
          <w:p>
            <w:pPr>
              <w:jc w:val="left"/>
              <w:rPr>
                <w:rFonts w:ascii="宋体" w:hAnsi="宋体"/>
                <w:sz w:val="24"/>
                <w:szCs w:val="24"/>
              </w:rPr>
            </w:pPr>
            <w:r>
              <w:rPr>
                <w:rFonts w:ascii="宋体" w:hAnsi="宋体"/>
                <w:sz w:val="24"/>
                <w:szCs w:val="24"/>
              </w:rPr>
              <w:t>AC 220V±5V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22" w:type="pct"/>
            <w:vAlign w:val="center"/>
          </w:tcPr>
          <w:p>
            <w:pPr>
              <w:jc w:val="left"/>
              <w:rPr>
                <w:rFonts w:ascii="宋体" w:hAnsi="宋体"/>
                <w:sz w:val="24"/>
                <w:szCs w:val="24"/>
              </w:rPr>
            </w:pPr>
            <w:r>
              <w:rPr>
                <w:rFonts w:hint="eastAsia" w:ascii="宋体" w:hAnsi="宋体"/>
                <w:sz w:val="24"/>
                <w:szCs w:val="24"/>
              </w:rPr>
              <w:t>网络接口</w:t>
            </w:r>
          </w:p>
        </w:tc>
        <w:tc>
          <w:tcPr>
            <w:tcW w:w="3978" w:type="pct"/>
            <w:vAlign w:val="center"/>
          </w:tcPr>
          <w:p>
            <w:pPr>
              <w:jc w:val="left"/>
              <w:rPr>
                <w:rFonts w:ascii="宋体" w:hAnsi="宋体"/>
                <w:sz w:val="24"/>
                <w:szCs w:val="24"/>
              </w:rPr>
            </w:pPr>
            <w:r>
              <w:rPr>
                <w:rFonts w:hint="eastAsia" w:ascii="宋体" w:hAnsi="宋体"/>
                <w:sz w:val="24"/>
                <w:szCs w:val="24"/>
              </w:rPr>
              <w:t>不少于2个RJ45接口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22" w:type="pct"/>
            <w:vAlign w:val="center"/>
          </w:tcPr>
          <w:p>
            <w:pPr>
              <w:jc w:val="left"/>
              <w:rPr>
                <w:rFonts w:ascii="宋体" w:hAnsi="宋体"/>
                <w:sz w:val="24"/>
                <w:szCs w:val="24"/>
              </w:rPr>
            </w:pPr>
            <w:r>
              <w:rPr>
                <w:rFonts w:hint="eastAsia" w:ascii="宋体" w:hAnsi="宋体"/>
                <w:sz w:val="24"/>
                <w:szCs w:val="24"/>
              </w:rPr>
              <w:t>网络协议</w:t>
            </w:r>
          </w:p>
        </w:tc>
        <w:tc>
          <w:tcPr>
            <w:tcW w:w="3978" w:type="pct"/>
            <w:vAlign w:val="center"/>
          </w:tcPr>
          <w:p>
            <w:pPr>
              <w:jc w:val="left"/>
              <w:rPr>
                <w:rFonts w:ascii="宋体" w:hAnsi="宋体"/>
                <w:sz w:val="24"/>
                <w:szCs w:val="24"/>
              </w:rPr>
            </w:pPr>
            <w:r>
              <w:rPr>
                <w:rFonts w:hint="eastAsia" w:ascii="宋体" w:hAnsi="宋体"/>
                <w:sz w:val="24"/>
                <w:szCs w:val="24"/>
              </w:rPr>
              <w:t>支持TCP/IP、UDP、HTTP、DHCP、RTSP、RTMP、GB28181、ONVIF协议，并具有相应设置选项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22" w:type="pct"/>
            <w:vAlign w:val="center"/>
          </w:tcPr>
          <w:p>
            <w:pPr>
              <w:jc w:val="left"/>
              <w:rPr>
                <w:rFonts w:ascii="宋体" w:hAnsi="宋体"/>
                <w:sz w:val="24"/>
                <w:szCs w:val="24"/>
              </w:rPr>
            </w:pPr>
            <w:r>
              <w:rPr>
                <w:rFonts w:hint="eastAsia" w:ascii="宋体" w:hAnsi="宋体"/>
                <w:sz w:val="24"/>
                <w:szCs w:val="24"/>
              </w:rPr>
              <w:t>编码格式</w:t>
            </w:r>
          </w:p>
        </w:tc>
        <w:tc>
          <w:tcPr>
            <w:tcW w:w="3978" w:type="pct"/>
            <w:vAlign w:val="center"/>
          </w:tcPr>
          <w:p>
            <w:pPr>
              <w:jc w:val="left"/>
              <w:rPr>
                <w:rFonts w:ascii="宋体" w:hAnsi="宋体"/>
                <w:sz w:val="24"/>
                <w:szCs w:val="24"/>
              </w:rPr>
            </w:pPr>
            <w:r>
              <w:rPr>
                <w:rFonts w:hint="eastAsia" w:ascii="宋体" w:hAnsi="宋体"/>
                <w:sz w:val="24"/>
                <w:szCs w:val="24"/>
              </w:rPr>
              <w:t>支持视频H.264(HIGH PROFILE)/H.265编码格式和G.711A/U、AAC音频编码格式，输出的视频编码格式为H.264/H.265，编码格式不变。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22" w:type="pct"/>
            <w:vAlign w:val="center"/>
          </w:tcPr>
          <w:p>
            <w:pPr>
              <w:jc w:val="left"/>
              <w:rPr>
                <w:rFonts w:ascii="宋体" w:hAnsi="宋体"/>
                <w:sz w:val="24"/>
                <w:szCs w:val="24"/>
              </w:rPr>
            </w:pPr>
            <w:r>
              <w:rPr>
                <w:rFonts w:hint="eastAsia" w:ascii="宋体" w:hAnsi="宋体"/>
                <w:sz w:val="24"/>
                <w:szCs w:val="24"/>
              </w:rPr>
              <w:t>接入能力</w:t>
            </w:r>
          </w:p>
        </w:tc>
        <w:tc>
          <w:tcPr>
            <w:tcW w:w="3978" w:type="pct"/>
            <w:vAlign w:val="center"/>
          </w:tcPr>
          <w:p>
            <w:pPr>
              <w:jc w:val="left"/>
              <w:rPr>
                <w:rFonts w:ascii="宋体" w:hAnsi="宋体"/>
                <w:sz w:val="24"/>
                <w:szCs w:val="24"/>
              </w:rPr>
            </w:pPr>
            <w:r>
              <w:rPr>
                <w:rFonts w:hint="eastAsia" w:ascii="宋体" w:hAnsi="宋体"/>
                <w:sz w:val="24"/>
                <w:szCs w:val="24"/>
              </w:rPr>
              <w:t>支持最大接入最多16路1080P(1920X1080@25fps,8Mbps)码流或4路4K@25fps的RTSP压缩视频码流输出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22" w:type="pct"/>
            <w:vAlign w:val="center"/>
          </w:tcPr>
          <w:p>
            <w:pPr>
              <w:jc w:val="left"/>
              <w:rPr>
                <w:rFonts w:ascii="宋体" w:hAnsi="宋体"/>
                <w:sz w:val="24"/>
                <w:szCs w:val="24"/>
              </w:rPr>
            </w:pPr>
            <w:r>
              <w:rPr>
                <w:rFonts w:hint="eastAsia" w:ascii="宋体" w:hAnsi="宋体"/>
                <w:sz w:val="24"/>
                <w:szCs w:val="24"/>
              </w:rPr>
              <w:t>▲视频压缩功能</w:t>
            </w:r>
          </w:p>
        </w:tc>
        <w:tc>
          <w:tcPr>
            <w:tcW w:w="3978" w:type="pct"/>
            <w:vAlign w:val="center"/>
          </w:tcPr>
          <w:p>
            <w:pPr>
              <w:jc w:val="left"/>
              <w:rPr>
                <w:rFonts w:ascii="宋体" w:hAnsi="宋体"/>
                <w:sz w:val="24"/>
                <w:szCs w:val="24"/>
              </w:rPr>
            </w:pPr>
            <w:r>
              <w:rPr>
                <w:rFonts w:hint="eastAsia" w:ascii="宋体" w:hAnsi="宋体"/>
                <w:sz w:val="24"/>
                <w:szCs w:val="24"/>
              </w:rPr>
              <w:t>可将2Mbps~32Mbps 码率的输入视频压缩成平均不低于6倍压缩比视频输出（需提供产品界面截图、产品彩页、产品说明书、产品白皮书或第三方检测机构出具的检测报告等证明材料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22" w:type="pct"/>
            <w:vAlign w:val="center"/>
          </w:tcPr>
          <w:p>
            <w:pPr>
              <w:jc w:val="left"/>
              <w:rPr>
                <w:rFonts w:ascii="宋体" w:hAnsi="宋体"/>
                <w:sz w:val="24"/>
                <w:szCs w:val="24"/>
              </w:rPr>
            </w:pPr>
            <w:r>
              <w:rPr>
                <w:rFonts w:hint="eastAsia" w:ascii="宋体" w:hAnsi="宋体"/>
                <w:sz w:val="24"/>
                <w:szCs w:val="24"/>
              </w:rPr>
              <w:t>编码码流实时输出功能</w:t>
            </w:r>
          </w:p>
        </w:tc>
        <w:tc>
          <w:tcPr>
            <w:tcW w:w="3978" w:type="pct"/>
            <w:vAlign w:val="center"/>
          </w:tcPr>
          <w:p>
            <w:pPr>
              <w:jc w:val="left"/>
              <w:rPr>
                <w:rFonts w:ascii="宋体" w:hAnsi="宋体"/>
                <w:sz w:val="24"/>
                <w:szCs w:val="24"/>
              </w:rPr>
            </w:pPr>
            <w:r>
              <w:rPr>
                <w:rFonts w:hint="eastAsia" w:ascii="宋体" w:hAnsi="宋体"/>
                <w:sz w:val="24"/>
                <w:szCs w:val="24"/>
              </w:rPr>
              <w:t>可通过网口输出编码后的实时码流，码流可通过第三方播放软件或硬件设备播放。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22" w:type="pct"/>
            <w:vAlign w:val="center"/>
          </w:tcPr>
          <w:p>
            <w:pPr>
              <w:jc w:val="left"/>
              <w:rPr>
                <w:rFonts w:ascii="宋体" w:hAnsi="宋体"/>
                <w:sz w:val="24"/>
                <w:szCs w:val="24"/>
              </w:rPr>
            </w:pPr>
            <w:r>
              <w:rPr>
                <w:rFonts w:hint="eastAsia" w:ascii="宋体" w:hAnsi="宋体"/>
                <w:sz w:val="24"/>
                <w:szCs w:val="24"/>
              </w:rPr>
              <w:t>视频图像几何位置失真</w:t>
            </w:r>
          </w:p>
        </w:tc>
        <w:tc>
          <w:tcPr>
            <w:tcW w:w="3978" w:type="pct"/>
            <w:vAlign w:val="center"/>
          </w:tcPr>
          <w:p>
            <w:pPr>
              <w:jc w:val="left"/>
              <w:rPr>
                <w:rFonts w:ascii="宋体" w:hAnsi="宋体"/>
                <w:sz w:val="24"/>
                <w:szCs w:val="24"/>
              </w:rPr>
            </w:pPr>
            <w:r>
              <w:rPr>
                <w:rFonts w:hint="eastAsia" w:ascii="宋体" w:hAnsi="宋体"/>
                <w:sz w:val="24"/>
                <w:szCs w:val="24"/>
              </w:rPr>
              <w:t>编码输出的码流与原始码流对比，视频图像几何位置失真≤5%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22" w:type="pct"/>
            <w:vAlign w:val="center"/>
          </w:tcPr>
          <w:p>
            <w:pPr>
              <w:jc w:val="left"/>
              <w:rPr>
                <w:rFonts w:ascii="宋体" w:hAnsi="宋体"/>
                <w:sz w:val="24"/>
                <w:szCs w:val="24"/>
              </w:rPr>
            </w:pPr>
            <w:r>
              <w:rPr>
                <w:rFonts w:hint="eastAsia" w:ascii="宋体" w:hAnsi="宋体"/>
                <w:sz w:val="24"/>
                <w:szCs w:val="24"/>
              </w:rPr>
              <w:t>兼容性</w:t>
            </w:r>
          </w:p>
        </w:tc>
        <w:tc>
          <w:tcPr>
            <w:tcW w:w="3978" w:type="pct"/>
            <w:vAlign w:val="center"/>
          </w:tcPr>
          <w:p>
            <w:pPr>
              <w:jc w:val="left"/>
              <w:rPr>
                <w:rFonts w:ascii="宋体" w:hAnsi="宋体"/>
                <w:sz w:val="24"/>
                <w:szCs w:val="24"/>
              </w:rPr>
            </w:pPr>
            <w:r>
              <w:rPr>
                <w:rFonts w:hint="eastAsia" w:ascii="宋体" w:hAnsi="宋体"/>
                <w:sz w:val="24"/>
                <w:szCs w:val="24"/>
              </w:rPr>
              <w:t>能完全兼容主流品牌庭审主机生产厂商的RTSP/RTMP协议；</w:t>
            </w:r>
          </w:p>
        </w:tc>
      </w:tr>
    </w:tbl>
    <w:p>
      <w:pPr>
        <w:spacing w:line="360" w:lineRule="auto"/>
        <w:ind w:firstLine="482" w:firstLineChars="201"/>
        <w:rPr>
          <w:rFonts w:ascii="宋体" w:hAnsi="宋体"/>
          <w:sz w:val="24"/>
          <w:szCs w:val="24"/>
        </w:rPr>
      </w:pPr>
    </w:p>
    <w:p>
      <w:pPr>
        <w:pStyle w:val="4"/>
        <w:numPr>
          <w:ilvl w:val="0"/>
          <w:numId w:val="5"/>
        </w:numPr>
        <w:snapToGrid w:val="0"/>
        <w:spacing w:before="0" w:after="0" w:line="360" w:lineRule="auto"/>
        <w:ind w:left="0" w:firstLine="0"/>
        <w:rPr>
          <w:rFonts w:ascii="宋体" w:hAnsi="宋体" w:eastAsia="宋体"/>
          <w:b/>
          <w:sz w:val="24"/>
          <w:szCs w:val="24"/>
        </w:rPr>
      </w:pPr>
      <w:r>
        <w:rPr>
          <w:rFonts w:hint="eastAsia" w:ascii="宋体" w:hAnsi="宋体" w:eastAsia="宋体"/>
          <w:b/>
          <w:bCs/>
          <w:sz w:val="24"/>
          <w:szCs w:val="24"/>
        </w:rPr>
        <w:t>分布式存储节点</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1597"/>
        <w:gridCol w:w="6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7"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276" w:lineRule="auto"/>
              <w:jc w:val="center"/>
              <w:rPr>
                <w:rFonts w:ascii="宋体" w:hAnsi="宋体"/>
                <w:b/>
                <w:bCs/>
                <w:sz w:val="24"/>
              </w:rPr>
            </w:pPr>
            <w:r>
              <w:rPr>
                <w:rFonts w:hint="eastAsia" w:ascii="宋体" w:hAnsi="宋体" w:cs="宋体"/>
                <w:b/>
                <w:bCs/>
                <w:sz w:val="24"/>
              </w:rPr>
              <w:t>指标项</w:t>
            </w:r>
          </w:p>
        </w:tc>
        <w:tc>
          <w:tcPr>
            <w:tcW w:w="4063"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276" w:lineRule="auto"/>
              <w:jc w:val="center"/>
              <w:rPr>
                <w:rFonts w:ascii="宋体" w:hAnsi="宋体"/>
                <w:b/>
                <w:bCs/>
                <w:sz w:val="24"/>
              </w:rPr>
            </w:pPr>
            <w:r>
              <w:rPr>
                <w:rFonts w:hint="eastAsia" w:ascii="宋体" w:hAnsi="宋体"/>
                <w:b/>
                <w:bCs/>
                <w:sz w:val="24"/>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19" w:hRule="atLeast"/>
        </w:trPr>
        <w:tc>
          <w:tcPr>
            <w:tcW w:w="937"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276" w:lineRule="auto"/>
              <w:jc w:val="center"/>
              <w:rPr>
                <w:rFonts w:ascii="宋体" w:hAnsi="宋体" w:cs="宋体"/>
                <w:color w:val="000000"/>
                <w:sz w:val="24"/>
              </w:rPr>
            </w:pPr>
            <w:r>
              <w:rPr>
                <w:rFonts w:hint="eastAsia" w:ascii="宋体" w:hAnsi="宋体" w:cs="宋体"/>
                <w:color w:val="000000"/>
                <w:sz w:val="24"/>
              </w:rPr>
              <w:t>总体要求</w:t>
            </w:r>
          </w:p>
        </w:tc>
        <w:tc>
          <w:tcPr>
            <w:tcW w:w="4063"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276" w:lineRule="auto"/>
              <w:rPr>
                <w:rFonts w:ascii="宋体" w:hAnsi="宋体" w:cs="宋体"/>
                <w:color w:val="000000"/>
                <w:sz w:val="24"/>
              </w:rPr>
            </w:pPr>
            <w:r>
              <w:rPr>
                <w:rFonts w:hint="eastAsia" w:ascii="宋体" w:hAnsi="宋体"/>
                <w:sz w:val="24"/>
              </w:rPr>
              <w:t>国内主流品牌，存储产品为软硬一体，且软件和硬件均非OEM产品，非联合产品。拥有自主知识产权，提供计算机软件著作权登记证书（含证书号）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19" w:hRule="atLeast"/>
        </w:trPr>
        <w:tc>
          <w:tcPr>
            <w:tcW w:w="937"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276" w:lineRule="auto"/>
              <w:jc w:val="center"/>
              <w:rPr>
                <w:rFonts w:ascii="宋体" w:hAnsi="宋体" w:cs="宋体"/>
                <w:color w:val="000000"/>
                <w:sz w:val="24"/>
              </w:rPr>
            </w:pPr>
            <w:r>
              <w:rPr>
                <w:rFonts w:hint="eastAsia" w:ascii="宋体" w:hAnsi="宋体" w:cs="宋体"/>
                <w:color w:val="000000"/>
                <w:sz w:val="24"/>
              </w:rPr>
              <w:t>互认证证明</w:t>
            </w:r>
          </w:p>
        </w:tc>
        <w:tc>
          <w:tcPr>
            <w:tcW w:w="4063"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276" w:lineRule="auto"/>
              <w:rPr>
                <w:rFonts w:ascii="宋体" w:hAnsi="宋体"/>
                <w:sz w:val="24"/>
              </w:rPr>
            </w:pPr>
            <w:r>
              <w:rPr>
                <w:rFonts w:hint="eastAsia" w:ascii="宋体" w:hAnsi="宋体"/>
                <w:sz w:val="24"/>
              </w:rPr>
              <w:t>支持国产数据库人大金仓、神州通用、南大通用、瀚高数据库、达梦数据库等；普元中间件、中创中间件等国产数据库中间件；统信、麒麟国产服务器操作系统产品互认证；需提供相关认证材料。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9" w:hRule="atLeast"/>
        </w:trPr>
        <w:tc>
          <w:tcPr>
            <w:tcW w:w="937"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276" w:lineRule="auto"/>
              <w:jc w:val="center"/>
              <w:rPr>
                <w:rFonts w:ascii="宋体" w:hAnsi="宋体"/>
                <w:sz w:val="24"/>
              </w:rPr>
            </w:pPr>
            <w:r>
              <w:rPr>
                <w:rFonts w:hint="eastAsia" w:ascii="宋体" w:hAnsi="宋体" w:cs="宋体"/>
                <w:color w:val="000000"/>
                <w:kern w:val="0"/>
                <w:sz w:val="24"/>
              </w:rPr>
              <w:t>认证证书</w:t>
            </w:r>
          </w:p>
        </w:tc>
        <w:tc>
          <w:tcPr>
            <w:tcW w:w="4063"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276" w:lineRule="auto"/>
              <w:rPr>
                <w:rFonts w:ascii="宋体" w:hAnsi="宋体"/>
                <w:sz w:val="24"/>
              </w:rPr>
            </w:pPr>
            <w:r>
              <w:rPr>
                <w:rFonts w:hint="eastAsia" w:ascii="宋体" w:hAnsi="宋体" w:cs="宋体"/>
                <w:color w:val="000000"/>
                <w:kern w:val="0"/>
                <w:sz w:val="24"/>
              </w:rPr>
              <w:t>为确保产品文件、对象、大数据和块等性能有保障。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70" w:hRule="atLeast"/>
        </w:trPr>
        <w:tc>
          <w:tcPr>
            <w:tcW w:w="937"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276" w:lineRule="auto"/>
              <w:jc w:val="center"/>
              <w:rPr>
                <w:rFonts w:ascii="宋体" w:hAnsi="宋体"/>
                <w:sz w:val="24"/>
              </w:rPr>
            </w:pPr>
            <w:r>
              <w:rPr>
                <w:rFonts w:hint="eastAsia" w:ascii="宋体" w:hAnsi="宋体"/>
                <w:sz w:val="24"/>
              </w:rPr>
              <w:t>体系架构</w:t>
            </w:r>
          </w:p>
        </w:tc>
        <w:tc>
          <w:tcPr>
            <w:tcW w:w="4063"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276" w:lineRule="auto"/>
              <w:rPr>
                <w:rFonts w:ascii="宋体" w:hAnsi="宋体"/>
                <w:sz w:val="24"/>
              </w:rPr>
            </w:pPr>
            <w:r>
              <w:rPr>
                <w:rFonts w:hint="eastAsia" w:ascii="宋体" w:hAnsi="宋体"/>
                <w:sz w:val="24"/>
              </w:rPr>
              <w:t>采用全对称分布式架构，元数据和数据的融合部署到存储节点上，无需专用管理节点（元数据节点或索引节点）；元数据、数据均采用集群方式部署，满足任何一个节点出现故障，不影响数据的正常访问功能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70" w:hRule="atLeast"/>
        </w:trPr>
        <w:tc>
          <w:tcPr>
            <w:tcW w:w="937"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276" w:lineRule="auto"/>
              <w:jc w:val="center"/>
              <w:rPr>
                <w:rFonts w:ascii="宋体" w:hAnsi="宋体"/>
                <w:sz w:val="24"/>
              </w:rPr>
            </w:pPr>
            <w:r>
              <w:rPr>
                <w:rFonts w:hint="eastAsia" w:ascii="宋体" w:hAnsi="宋体" w:cs="宋体"/>
                <w:color w:val="000000"/>
                <w:kern w:val="0"/>
                <w:sz w:val="24"/>
              </w:rPr>
              <w:t>快速扩容</w:t>
            </w:r>
          </w:p>
        </w:tc>
        <w:tc>
          <w:tcPr>
            <w:tcW w:w="4063"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276" w:lineRule="auto"/>
              <w:rPr>
                <w:rFonts w:ascii="宋体" w:hAnsi="宋体"/>
                <w:sz w:val="24"/>
              </w:rPr>
            </w:pPr>
            <w:r>
              <w:rPr>
                <w:rFonts w:hint="eastAsia" w:ascii="宋体" w:hAnsi="宋体" w:cs="宋体"/>
                <w:color w:val="000000"/>
                <w:kern w:val="0"/>
                <w:sz w:val="24"/>
              </w:rPr>
              <w:t>所投产品支持增强扩容，分钟级完成扩容，扩容时，集群整体性能无影响，可不进行数据迁移，随集群整体容量水位上升各个存储节点容量水位趋于平衡，最终新老节点容量水位误差率不超2%，且集群冗余个数提升，并</w:t>
            </w:r>
            <w:r>
              <w:rPr>
                <w:rFonts w:hint="eastAsia" w:ascii="宋体" w:hAnsi="宋体"/>
                <w:sz w:val="24"/>
                <w:szCs w:val="24"/>
              </w:rPr>
              <w:t xml:space="preserve">提供产品界面截图、产品彩页、产品说明书、产品白皮书或第三方检测机构出具的检测报告等证明材料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01" w:hRule="atLeast"/>
        </w:trPr>
        <w:tc>
          <w:tcPr>
            <w:tcW w:w="937"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276" w:lineRule="auto"/>
              <w:jc w:val="center"/>
              <w:rPr>
                <w:rFonts w:ascii="宋体" w:hAnsi="宋体"/>
                <w:sz w:val="24"/>
              </w:rPr>
            </w:pPr>
            <w:r>
              <w:rPr>
                <w:rFonts w:hint="eastAsia" w:ascii="宋体" w:hAnsi="宋体"/>
                <w:sz w:val="24"/>
              </w:rPr>
              <w:t>存储服务</w:t>
            </w:r>
          </w:p>
        </w:tc>
        <w:tc>
          <w:tcPr>
            <w:tcW w:w="4063"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276" w:lineRule="auto"/>
              <w:rPr>
                <w:rFonts w:ascii="宋体" w:hAnsi="宋体"/>
                <w:sz w:val="24"/>
              </w:rPr>
            </w:pPr>
            <w:r>
              <w:rPr>
                <w:rFonts w:hint="eastAsia" w:ascii="宋体" w:hAnsi="宋体"/>
                <w:sz w:val="24"/>
              </w:rPr>
              <w:t>所投产品组成的集群可同时提供块存储、文件存储、对象以及大数据存储服务，本次配置不限容量的块、文件、对象存储服务授权许可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58" w:hRule="atLeast"/>
        </w:trPr>
        <w:tc>
          <w:tcPr>
            <w:tcW w:w="937"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276" w:lineRule="auto"/>
              <w:jc w:val="center"/>
              <w:rPr>
                <w:rFonts w:ascii="宋体" w:hAnsi="宋体"/>
                <w:sz w:val="24"/>
              </w:rPr>
            </w:pPr>
            <w:r>
              <w:rPr>
                <w:rFonts w:hint="eastAsia" w:ascii="宋体" w:hAnsi="宋体"/>
                <w:sz w:val="24"/>
              </w:rPr>
              <w:t>扩展性</w:t>
            </w:r>
          </w:p>
        </w:tc>
        <w:tc>
          <w:tcPr>
            <w:tcW w:w="4063"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276" w:lineRule="auto"/>
              <w:rPr>
                <w:rFonts w:ascii="宋体" w:hAnsi="宋体"/>
                <w:sz w:val="24"/>
              </w:rPr>
            </w:pPr>
            <w:r>
              <w:rPr>
                <w:rFonts w:hint="eastAsia" w:ascii="宋体" w:hAnsi="宋体" w:cs="宋体"/>
                <w:color w:val="000000"/>
                <w:kern w:val="0"/>
                <w:sz w:val="24"/>
              </w:rPr>
              <w:t>存储集群支持扩展节点不小于10240节点，集群容量规模可达EB级；提供官方网站截图证明，并加盖公章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21" w:hRule="atLeast"/>
        </w:trPr>
        <w:tc>
          <w:tcPr>
            <w:tcW w:w="937"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276" w:lineRule="auto"/>
              <w:jc w:val="center"/>
              <w:rPr>
                <w:rFonts w:ascii="宋体" w:hAnsi="宋体"/>
                <w:sz w:val="24"/>
              </w:rPr>
            </w:pPr>
            <w:r>
              <w:rPr>
                <w:rFonts w:hint="eastAsia" w:ascii="宋体" w:hAnsi="宋体"/>
                <w:sz w:val="24"/>
              </w:rPr>
              <w:t>小文件聚合</w:t>
            </w:r>
          </w:p>
        </w:tc>
        <w:tc>
          <w:tcPr>
            <w:tcW w:w="4063"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276" w:lineRule="auto"/>
              <w:rPr>
                <w:rFonts w:ascii="宋体" w:hAnsi="宋体"/>
                <w:sz w:val="24"/>
              </w:rPr>
            </w:pPr>
            <w:r>
              <w:rPr>
                <w:rFonts w:hint="eastAsia" w:ascii="宋体" w:hAnsi="宋体"/>
                <w:sz w:val="24"/>
              </w:rPr>
              <w:t>所投产品支持全局聚合策略将多个小文件写入后聚合成一个文件，提供官方网站截图证明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1" w:hRule="atLeast"/>
        </w:trPr>
        <w:tc>
          <w:tcPr>
            <w:tcW w:w="937"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276" w:lineRule="auto"/>
              <w:jc w:val="center"/>
              <w:rPr>
                <w:rFonts w:ascii="宋体" w:hAnsi="宋体"/>
                <w:sz w:val="24"/>
              </w:rPr>
            </w:pPr>
            <w:r>
              <w:rPr>
                <w:rFonts w:hint="eastAsia" w:ascii="宋体" w:hAnsi="宋体"/>
                <w:sz w:val="24"/>
              </w:rPr>
              <w:t>文件数目支持</w:t>
            </w:r>
          </w:p>
        </w:tc>
        <w:tc>
          <w:tcPr>
            <w:tcW w:w="4063"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276" w:lineRule="auto"/>
              <w:rPr>
                <w:rFonts w:ascii="宋体" w:hAnsi="宋体"/>
                <w:sz w:val="24"/>
              </w:rPr>
            </w:pPr>
            <w:r>
              <w:rPr>
                <w:rFonts w:hint="eastAsia" w:ascii="宋体" w:hAnsi="宋体"/>
                <w:sz w:val="24"/>
              </w:rPr>
              <w:t>所投产品单一目录支持</w:t>
            </w:r>
            <w:r>
              <w:rPr>
                <w:rFonts w:ascii="宋体" w:hAnsi="宋体"/>
                <w:sz w:val="24"/>
              </w:rPr>
              <w:t>1000</w:t>
            </w:r>
            <w:r>
              <w:rPr>
                <w:rFonts w:hint="eastAsia" w:ascii="宋体" w:hAnsi="宋体"/>
                <w:sz w:val="24"/>
              </w:rPr>
              <w:t>万文件，文件系统支持千亿级文件，提供官方网站截图证明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1" w:hRule="atLeast"/>
        </w:trPr>
        <w:tc>
          <w:tcPr>
            <w:tcW w:w="937"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276" w:lineRule="auto"/>
              <w:jc w:val="center"/>
              <w:rPr>
                <w:rFonts w:ascii="宋体" w:hAnsi="宋体"/>
                <w:sz w:val="24"/>
              </w:rPr>
            </w:pPr>
            <w:r>
              <w:rPr>
                <w:rFonts w:hint="eastAsia" w:ascii="宋体" w:hAnsi="宋体"/>
                <w:sz w:val="24"/>
              </w:rPr>
              <w:t>软拷贝</w:t>
            </w:r>
          </w:p>
        </w:tc>
        <w:tc>
          <w:tcPr>
            <w:tcW w:w="4063"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276" w:lineRule="auto"/>
              <w:rPr>
                <w:rFonts w:ascii="宋体" w:hAnsi="宋体" w:cs="宋体"/>
                <w:color w:val="000000"/>
                <w:sz w:val="24"/>
              </w:rPr>
            </w:pPr>
            <w:r>
              <w:rPr>
                <w:rFonts w:hint="eastAsia" w:ascii="宋体" w:hAnsi="宋体" w:cs="宋体"/>
                <w:color w:val="000000"/>
                <w:kern w:val="0"/>
                <w:sz w:val="24"/>
              </w:rPr>
              <w:t>所投产品支持文件软拷贝功能， 支持对文件进行软拷贝，软拷贝文件可读可写，且其读、写、重命名等操作与源文件独立。实现对大文件的软拷贝时长小于1S，且拷贝时对性能无影响，所占用空间容量低于源文件容量的1%，并</w:t>
            </w:r>
            <w:r>
              <w:rPr>
                <w:rFonts w:hint="eastAsia" w:ascii="宋体" w:hAnsi="宋体"/>
                <w:sz w:val="24"/>
                <w:szCs w:val="24"/>
              </w:rPr>
              <w:t xml:space="preserve">提供产品界面截图、产品彩页、产品说明书、产品白皮书或第三方检测机构出具的检测报告等证明材料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1" w:hRule="atLeast"/>
        </w:trPr>
        <w:tc>
          <w:tcPr>
            <w:tcW w:w="937"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276" w:lineRule="auto"/>
              <w:jc w:val="center"/>
              <w:rPr>
                <w:rFonts w:ascii="宋体" w:hAnsi="宋体"/>
                <w:sz w:val="24"/>
              </w:rPr>
            </w:pPr>
            <w:r>
              <w:rPr>
                <w:rFonts w:hint="eastAsia" w:ascii="宋体" w:hAnsi="宋体"/>
                <w:sz w:val="24"/>
              </w:rPr>
              <w:t>回收站功能</w:t>
            </w:r>
          </w:p>
        </w:tc>
        <w:tc>
          <w:tcPr>
            <w:tcW w:w="4063"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276" w:lineRule="auto"/>
              <w:rPr>
                <w:rFonts w:ascii="宋体" w:hAnsi="宋体"/>
                <w:sz w:val="24"/>
              </w:rPr>
            </w:pPr>
            <w:r>
              <w:rPr>
                <w:rFonts w:hint="eastAsia" w:ascii="宋体" w:hAnsi="宋体"/>
                <w:sz w:val="24"/>
              </w:rPr>
              <w:t>所投产品支持文件回收站功能，文件删除后自动保存一段时间，在文件过期前可以找回被删除数据，在文件过期后数据自动删除，提供证明材料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1" w:hRule="atLeast"/>
        </w:trPr>
        <w:tc>
          <w:tcPr>
            <w:tcW w:w="937"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276" w:lineRule="auto"/>
              <w:jc w:val="center"/>
              <w:rPr>
                <w:rFonts w:ascii="宋体" w:hAnsi="宋体"/>
                <w:sz w:val="24"/>
              </w:rPr>
            </w:pPr>
            <w:r>
              <w:rPr>
                <w:rFonts w:hint="eastAsia" w:ascii="宋体" w:hAnsi="宋体" w:cs="宋体"/>
                <w:color w:val="000000"/>
                <w:kern w:val="0"/>
                <w:sz w:val="24"/>
              </w:rPr>
              <w:t>▲</w:t>
            </w:r>
            <w:r>
              <w:rPr>
                <w:rFonts w:hint="eastAsia" w:ascii="宋体" w:hAnsi="宋体"/>
                <w:sz w:val="24"/>
              </w:rPr>
              <w:t>海量删除</w:t>
            </w:r>
          </w:p>
        </w:tc>
        <w:tc>
          <w:tcPr>
            <w:tcW w:w="4063"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276" w:lineRule="auto"/>
              <w:rPr>
                <w:rFonts w:ascii="宋体" w:hAnsi="宋体"/>
                <w:sz w:val="24"/>
              </w:rPr>
            </w:pPr>
            <w:r>
              <w:rPr>
                <w:rFonts w:hint="eastAsia" w:ascii="宋体" w:hAnsi="宋体" w:cs="宋体"/>
                <w:color w:val="000000"/>
                <w:kern w:val="0"/>
                <w:sz w:val="24"/>
              </w:rPr>
              <w:t>所投产品支持海量快速删除功能，删除100万个文件在1s内返回。</w:t>
            </w:r>
            <w:r>
              <w:rPr>
                <w:rFonts w:hint="eastAsia" w:ascii="宋体" w:hAnsi="宋体"/>
                <w:sz w:val="24"/>
                <w:szCs w:val="24"/>
              </w:rPr>
              <w:t>（需提供产品界面截图、产品彩页、产品说明书、产品白皮书或第三方检测机构出具的检测报告等证明材料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1" w:hRule="atLeast"/>
        </w:trPr>
        <w:tc>
          <w:tcPr>
            <w:tcW w:w="937"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276" w:lineRule="auto"/>
              <w:jc w:val="center"/>
              <w:rPr>
                <w:rFonts w:ascii="宋体" w:hAnsi="宋体"/>
                <w:sz w:val="24"/>
              </w:rPr>
            </w:pPr>
            <w:r>
              <w:rPr>
                <w:rFonts w:hint="eastAsia" w:ascii="宋体" w:hAnsi="宋体"/>
                <w:sz w:val="24"/>
              </w:rPr>
              <w:t>定时快照</w:t>
            </w:r>
          </w:p>
        </w:tc>
        <w:tc>
          <w:tcPr>
            <w:tcW w:w="4063"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276" w:lineRule="auto"/>
              <w:rPr>
                <w:rFonts w:ascii="宋体" w:hAnsi="宋体"/>
                <w:sz w:val="24"/>
              </w:rPr>
            </w:pPr>
            <w:r>
              <w:rPr>
                <w:rFonts w:hint="eastAsia" w:ascii="宋体" w:hAnsi="宋体"/>
                <w:sz w:val="24"/>
              </w:rPr>
              <w:t>所投产品支持定时快照功能可按策略生效，可支持分钟粒度的间隔策略，每日策略，每周策略，每月策略，且支持多种策略混合部署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54" w:hRule="atLeast"/>
        </w:trPr>
        <w:tc>
          <w:tcPr>
            <w:tcW w:w="937"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276" w:lineRule="auto"/>
              <w:jc w:val="center"/>
              <w:rPr>
                <w:rFonts w:ascii="宋体" w:hAnsi="宋体"/>
                <w:sz w:val="24"/>
              </w:rPr>
            </w:pPr>
            <w:r>
              <w:rPr>
                <w:rFonts w:ascii="宋体" w:hAnsi="宋体"/>
                <w:sz w:val="24"/>
              </w:rPr>
              <w:t>WORM</w:t>
            </w:r>
            <w:r>
              <w:rPr>
                <w:rFonts w:hint="eastAsia" w:ascii="宋体" w:hAnsi="宋体"/>
                <w:sz w:val="24"/>
              </w:rPr>
              <w:t>技术</w:t>
            </w:r>
          </w:p>
        </w:tc>
        <w:tc>
          <w:tcPr>
            <w:tcW w:w="4063"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276" w:lineRule="auto"/>
              <w:rPr>
                <w:rFonts w:ascii="宋体" w:hAnsi="宋体"/>
                <w:sz w:val="24"/>
              </w:rPr>
            </w:pPr>
            <w:r>
              <w:rPr>
                <w:rFonts w:hint="eastAsia" w:ascii="宋体" w:hAnsi="宋体"/>
                <w:sz w:val="24"/>
              </w:rPr>
              <w:t>所投产品支持基于文件和目录的</w:t>
            </w:r>
            <w:r>
              <w:rPr>
                <w:rFonts w:ascii="宋体" w:hAnsi="宋体"/>
                <w:sz w:val="24"/>
              </w:rPr>
              <w:t>WORM</w:t>
            </w:r>
            <w:r>
              <w:rPr>
                <w:rFonts w:hint="eastAsia" w:ascii="宋体" w:hAnsi="宋体"/>
                <w:sz w:val="24"/>
              </w:rPr>
              <w:t>功能，文件进入保护期后，文件只能被读取，不可进行修改，写入，删除等操作；保护期结束后，文件可修改，修改后重新进入新一轮的宽限期、保护期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trPr>
        <w:tc>
          <w:tcPr>
            <w:tcW w:w="937"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276" w:lineRule="auto"/>
              <w:jc w:val="center"/>
              <w:rPr>
                <w:rFonts w:ascii="宋体" w:hAnsi="宋体"/>
                <w:sz w:val="24"/>
              </w:rPr>
            </w:pPr>
            <w:r>
              <w:rPr>
                <w:rFonts w:hint="eastAsia" w:ascii="宋体" w:hAnsi="宋体"/>
                <w:sz w:val="24"/>
              </w:rPr>
              <w:t>分级存储</w:t>
            </w:r>
          </w:p>
        </w:tc>
        <w:tc>
          <w:tcPr>
            <w:tcW w:w="4063"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276" w:lineRule="auto"/>
              <w:rPr>
                <w:rFonts w:ascii="宋体" w:hAnsi="宋体"/>
                <w:sz w:val="24"/>
              </w:rPr>
            </w:pPr>
            <w:r>
              <w:rPr>
                <w:rFonts w:hint="eastAsia" w:ascii="宋体" w:hAnsi="宋体"/>
                <w:sz w:val="24"/>
              </w:rPr>
              <w:t>所投产品支持文件分级功能，可以创建文件写入策略和数据迁移策略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83" w:hRule="atLeast"/>
        </w:trPr>
        <w:tc>
          <w:tcPr>
            <w:tcW w:w="937"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276" w:lineRule="auto"/>
              <w:jc w:val="center"/>
              <w:rPr>
                <w:rFonts w:ascii="宋体" w:hAnsi="宋体"/>
                <w:sz w:val="24"/>
              </w:rPr>
            </w:pPr>
            <w:r>
              <w:rPr>
                <w:rFonts w:hint="eastAsia" w:ascii="宋体" w:hAnsi="宋体"/>
                <w:sz w:val="24"/>
              </w:rPr>
              <w:t>卷影拷贝</w:t>
            </w:r>
          </w:p>
        </w:tc>
        <w:tc>
          <w:tcPr>
            <w:tcW w:w="4063"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276" w:lineRule="auto"/>
              <w:rPr>
                <w:rFonts w:ascii="宋体" w:hAnsi="宋体"/>
                <w:sz w:val="24"/>
              </w:rPr>
            </w:pPr>
            <w:r>
              <w:rPr>
                <w:rFonts w:hint="eastAsia" w:ascii="宋体" w:hAnsi="宋体"/>
                <w:sz w:val="24"/>
              </w:rPr>
              <w:t>所投产品支持文件卷影拷贝功能，本地客户可以通过客户端直接查看卷影快照</w:t>
            </w:r>
            <w:r>
              <w:rPr>
                <w:rFonts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95" w:hRule="atLeast"/>
        </w:trPr>
        <w:tc>
          <w:tcPr>
            <w:tcW w:w="937"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276" w:lineRule="auto"/>
              <w:jc w:val="center"/>
              <w:rPr>
                <w:rFonts w:ascii="宋体" w:hAnsi="宋体"/>
                <w:sz w:val="24"/>
              </w:rPr>
            </w:pPr>
            <w:r>
              <w:rPr>
                <w:rFonts w:hint="eastAsia" w:ascii="宋体" w:hAnsi="宋体"/>
                <w:sz w:val="24"/>
              </w:rPr>
              <w:t>数据冗余保护</w:t>
            </w:r>
          </w:p>
        </w:tc>
        <w:tc>
          <w:tcPr>
            <w:tcW w:w="4063"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276" w:lineRule="auto"/>
              <w:rPr>
                <w:rFonts w:ascii="宋体" w:hAnsi="宋体"/>
                <w:sz w:val="24"/>
              </w:rPr>
            </w:pPr>
            <w:r>
              <w:rPr>
                <w:rFonts w:hint="eastAsia" w:ascii="宋体" w:hAnsi="宋体" w:cs="宋体"/>
                <w:color w:val="000000"/>
                <w:kern w:val="0"/>
                <w:sz w:val="24"/>
              </w:rPr>
              <w:t>所投产品支持数据副本和纠删码K+M方式的冗余保护机制，可根据数据不同的保护级别在同一系统内同时设置数据副本模式和纠删码模式；副本支持2~8副本，提供官方网站截图证明，并加盖公章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1" w:hRule="atLeast"/>
        </w:trPr>
        <w:tc>
          <w:tcPr>
            <w:tcW w:w="937"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276" w:lineRule="auto"/>
              <w:jc w:val="center"/>
              <w:rPr>
                <w:rFonts w:ascii="宋体" w:hAnsi="宋体"/>
                <w:sz w:val="24"/>
              </w:rPr>
            </w:pPr>
            <w:r>
              <w:rPr>
                <w:rFonts w:hint="eastAsia" w:ascii="宋体" w:hAnsi="宋体"/>
                <w:sz w:val="24"/>
              </w:rPr>
              <w:t>重构性能</w:t>
            </w:r>
          </w:p>
        </w:tc>
        <w:tc>
          <w:tcPr>
            <w:tcW w:w="4063"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276" w:lineRule="auto"/>
              <w:rPr>
                <w:rFonts w:ascii="宋体" w:hAnsi="宋体"/>
                <w:sz w:val="24"/>
              </w:rPr>
            </w:pPr>
            <w:r>
              <w:rPr>
                <w:rFonts w:hint="eastAsia" w:ascii="宋体" w:hAnsi="宋体" w:cs="宋体"/>
                <w:color w:val="000000"/>
                <w:kern w:val="0"/>
                <w:sz w:val="24"/>
              </w:rPr>
              <w:t>提供不低于4TB/h的硬盘重构速度，提供官方网站截图证明，并加盖公章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1" w:hRule="atLeast"/>
        </w:trPr>
        <w:tc>
          <w:tcPr>
            <w:tcW w:w="937"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276" w:lineRule="auto"/>
              <w:jc w:val="center"/>
              <w:rPr>
                <w:rFonts w:ascii="宋体" w:hAnsi="宋体"/>
                <w:sz w:val="24"/>
              </w:rPr>
            </w:pPr>
            <w:r>
              <w:rPr>
                <w:rFonts w:hint="eastAsia" w:ascii="宋体" w:hAnsi="宋体"/>
                <w:sz w:val="24"/>
              </w:rPr>
              <w:t>增强</w:t>
            </w:r>
            <w:r>
              <w:rPr>
                <w:rFonts w:ascii="宋体" w:hAnsi="宋体"/>
                <w:sz w:val="24"/>
              </w:rPr>
              <w:t>ACL</w:t>
            </w:r>
          </w:p>
        </w:tc>
        <w:tc>
          <w:tcPr>
            <w:tcW w:w="4063"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276" w:lineRule="auto"/>
              <w:rPr>
                <w:rFonts w:ascii="宋体" w:hAnsi="宋体"/>
                <w:sz w:val="24"/>
              </w:rPr>
            </w:pPr>
            <w:r>
              <w:rPr>
                <w:rFonts w:hint="eastAsia" w:ascii="宋体" w:hAnsi="宋体" w:cs="宋体"/>
                <w:color w:val="000000"/>
                <w:kern w:val="0"/>
                <w:sz w:val="24"/>
              </w:rPr>
              <w:t>所投产品配置权限管理支持读、写、执行、删除、可视五种权限，提供功能手册（含界面截图），并加盖公章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16" w:hRule="atLeast"/>
        </w:trPr>
        <w:tc>
          <w:tcPr>
            <w:tcW w:w="937"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276" w:lineRule="auto"/>
              <w:jc w:val="center"/>
              <w:rPr>
                <w:rFonts w:ascii="宋体" w:hAnsi="宋体"/>
                <w:sz w:val="24"/>
              </w:rPr>
            </w:pPr>
            <w:r>
              <w:rPr>
                <w:rFonts w:hint="eastAsia" w:ascii="宋体" w:hAnsi="宋体"/>
                <w:sz w:val="24"/>
              </w:rPr>
              <w:t>性能监控</w:t>
            </w:r>
          </w:p>
        </w:tc>
        <w:tc>
          <w:tcPr>
            <w:tcW w:w="4063"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276" w:lineRule="auto"/>
              <w:rPr>
                <w:rFonts w:ascii="宋体" w:hAnsi="宋体"/>
                <w:sz w:val="24"/>
              </w:rPr>
            </w:pPr>
            <w:r>
              <w:rPr>
                <w:rFonts w:hint="eastAsia" w:ascii="宋体" w:hAnsi="宋体"/>
                <w:sz w:val="24"/>
              </w:rPr>
              <w:t>所投产品支持存储卷性能监控，包括</w:t>
            </w:r>
            <w:r>
              <w:rPr>
                <w:rFonts w:ascii="宋体" w:hAnsi="宋体"/>
                <w:sz w:val="24"/>
              </w:rPr>
              <w:t>IOPS</w:t>
            </w:r>
            <w:r>
              <w:rPr>
                <w:rFonts w:hint="eastAsia" w:ascii="宋体" w:hAnsi="宋体"/>
                <w:sz w:val="24"/>
              </w:rPr>
              <w:t>、带宽、时延、平均</w:t>
            </w:r>
            <w:r>
              <w:rPr>
                <w:rFonts w:ascii="宋体" w:hAnsi="宋体"/>
                <w:sz w:val="24"/>
              </w:rPr>
              <w:t>I/O</w:t>
            </w:r>
            <w:r>
              <w:rPr>
                <w:rFonts w:hint="eastAsia" w:ascii="宋体" w:hAnsi="宋体"/>
                <w:sz w:val="24"/>
              </w:rPr>
              <w:t>大小等，管理界面可查看集群和存储池的</w:t>
            </w:r>
            <w:r>
              <w:rPr>
                <w:rFonts w:ascii="宋体" w:hAnsi="宋体"/>
                <w:sz w:val="24"/>
              </w:rPr>
              <w:t>IOPS/</w:t>
            </w:r>
            <w:r>
              <w:rPr>
                <w:rFonts w:hint="eastAsia" w:ascii="宋体" w:hAnsi="宋体"/>
                <w:sz w:val="24"/>
              </w:rPr>
              <w:t>带宽，可查看大于等于</w:t>
            </w:r>
            <w:r>
              <w:rPr>
                <w:rFonts w:ascii="宋体" w:hAnsi="宋体"/>
                <w:sz w:val="24"/>
              </w:rPr>
              <w:t>7</w:t>
            </w:r>
            <w:r>
              <w:rPr>
                <w:rFonts w:hint="eastAsia" w:ascii="宋体" w:hAnsi="宋体"/>
                <w:sz w:val="24"/>
              </w:rPr>
              <w:t>天的性能监控数据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16" w:hRule="atLeast"/>
        </w:trPr>
        <w:tc>
          <w:tcPr>
            <w:tcW w:w="937"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276" w:lineRule="auto"/>
              <w:jc w:val="center"/>
              <w:rPr>
                <w:rFonts w:ascii="宋体" w:hAnsi="宋体"/>
                <w:sz w:val="24"/>
              </w:rPr>
            </w:pPr>
            <w:r>
              <w:rPr>
                <w:rFonts w:hint="eastAsia" w:ascii="宋体" w:hAnsi="宋体" w:cs="宋体"/>
                <w:color w:val="000000"/>
                <w:kern w:val="0"/>
                <w:sz w:val="24"/>
              </w:rPr>
              <w:t>快速ACL</w:t>
            </w:r>
          </w:p>
        </w:tc>
        <w:tc>
          <w:tcPr>
            <w:tcW w:w="4063"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276" w:lineRule="auto"/>
              <w:rPr>
                <w:rFonts w:ascii="宋体" w:hAnsi="宋体"/>
                <w:sz w:val="24"/>
              </w:rPr>
            </w:pPr>
            <w:r>
              <w:rPr>
                <w:rFonts w:hint="eastAsia" w:ascii="宋体" w:hAnsi="宋体" w:cs="宋体"/>
                <w:color w:val="000000"/>
                <w:kern w:val="0"/>
                <w:sz w:val="24"/>
              </w:rPr>
              <w:t>所投产品支持快速ACL设置，100W文件ACL返回时间在5s内，且用户ACL设置生效，提供第三方评测机构签字盖章的测试报告复印件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16" w:hRule="atLeast"/>
        </w:trPr>
        <w:tc>
          <w:tcPr>
            <w:tcW w:w="937" w:type="pct"/>
            <w:tcBorders>
              <w:top w:val="single" w:color="auto" w:sz="4" w:space="0"/>
              <w:left w:val="single" w:color="auto" w:sz="4" w:space="0"/>
              <w:bottom w:val="single" w:color="auto" w:sz="4" w:space="0"/>
              <w:right w:val="single" w:color="auto" w:sz="4" w:space="0"/>
            </w:tcBorders>
            <w:shd w:val="clear" w:color="auto" w:fill="FFFFFF"/>
          </w:tcPr>
          <w:p>
            <w:pPr>
              <w:spacing w:line="276" w:lineRule="auto"/>
              <w:jc w:val="center"/>
              <w:rPr>
                <w:rFonts w:ascii="宋体" w:hAnsi="宋体"/>
                <w:sz w:val="24"/>
                <w:szCs w:val="24"/>
              </w:rPr>
            </w:pPr>
            <w:r>
              <w:rPr>
                <w:rFonts w:hint="eastAsia"/>
                <w:sz w:val="24"/>
                <w:szCs w:val="24"/>
              </w:rPr>
              <w:t>▲IOPS性能要求</w:t>
            </w:r>
          </w:p>
        </w:tc>
        <w:tc>
          <w:tcPr>
            <w:tcW w:w="4063" w:type="pct"/>
            <w:tcBorders>
              <w:top w:val="single" w:color="auto" w:sz="4" w:space="0"/>
              <w:left w:val="single" w:color="auto" w:sz="4" w:space="0"/>
              <w:bottom w:val="single" w:color="auto" w:sz="4" w:space="0"/>
              <w:right w:val="single" w:color="auto" w:sz="4" w:space="0"/>
            </w:tcBorders>
            <w:shd w:val="clear" w:color="auto" w:fill="FFFFFF"/>
          </w:tcPr>
          <w:p>
            <w:pPr>
              <w:spacing w:line="276" w:lineRule="auto"/>
              <w:rPr>
                <w:rFonts w:ascii="宋体" w:hAnsi="宋体"/>
                <w:sz w:val="24"/>
                <w:szCs w:val="24"/>
              </w:rPr>
            </w:pPr>
            <w:r>
              <w:rPr>
                <w:rFonts w:hint="eastAsia"/>
                <w:sz w:val="24"/>
                <w:szCs w:val="24"/>
              </w:rPr>
              <w:t>分布式存储单节点基于测试工具模拟IOPS性能≥2200，需提供测试截图证明材料并加盖公章。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16" w:hRule="atLeast"/>
        </w:trPr>
        <w:tc>
          <w:tcPr>
            <w:tcW w:w="937" w:type="pct"/>
            <w:tcBorders>
              <w:top w:val="single" w:color="auto" w:sz="4" w:space="0"/>
              <w:left w:val="single" w:color="auto" w:sz="4" w:space="0"/>
              <w:bottom w:val="single" w:color="auto" w:sz="4" w:space="0"/>
              <w:right w:val="single" w:color="auto" w:sz="4" w:space="0"/>
            </w:tcBorders>
            <w:shd w:val="clear" w:color="auto" w:fill="FFFFFF"/>
          </w:tcPr>
          <w:p>
            <w:pPr>
              <w:spacing w:line="276" w:lineRule="auto"/>
              <w:jc w:val="center"/>
              <w:rPr>
                <w:rFonts w:ascii="宋体" w:hAnsi="宋体"/>
                <w:sz w:val="24"/>
                <w:szCs w:val="24"/>
              </w:rPr>
            </w:pPr>
            <w:r>
              <w:rPr>
                <w:rFonts w:hint="eastAsia"/>
                <w:sz w:val="24"/>
                <w:szCs w:val="24"/>
              </w:rPr>
              <w:t>▲接入性能要求</w:t>
            </w:r>
          </w:p>
        </w:tc>
        <w:tc>
          <w:tcPr>
            <w:tcW w:w="4063" w:type="pct"/>
            <w:tcBorders>
              <w:top w:val="single" w:color="auto" w:sz="4" w:space="0"/>
              <w:left w:val="single" w:color="auto" w:sz="4" w:space="0"/>
              <w:bottom w:val="single" w:color="auto" w:sz="4" w:space="0"/>
              <w:right w:val="single" w:color="auto" w:sz="4" w:space="0"/>
            </w:tcBorders>
            <w:shd w:val="clear" w:color="auto" w:fill="FFFFFF"/>
          </w:tcPr>
          <w:p>
            <w:pPr>
              <w:spacing w:line="276" w:lineRule="auto"/>
              <w:rPr>
                <w:rFonts w:ascii="宋体" w:hAnsi="宋体"/>
                <w:sz w:val="24"/>
                <w:szCs w:val="24"/>
              </w:rPr>
            </w:pPr>
            <w:r>
              <w:rPr>
                <w:rFonts w:hint="eastAsia"/>
                <w:sz w:val="24"/>
                <w:szCs w:val="24"/>
              </w:rPr>
              <w:t>分布式存储每节点应支持220路4Mbps码流视频推流，拉流并发录入NFS文件共享，持续写入15分钟无异常。</w:t>
            </w:r>
            <w:r>
              <w:rPr>
                <w:rFonts w:hint="eastAsia" w:ascii="宋体" w:hAnsi="宋体"/>
                <w:sz w:val="24"/>
                <w:szCs w:val="24"/>
              </w:rPr>
              <w:t>（需提供产品界面截图、产品彩页、产品说明书、产品白皮书或第三方检测机构出具的检测报告等证明材料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04" w:hRule="atLeast"/>
        </w:trPr>
        <w:tc>
          <w:tcPr>
            <w:tcW w:w="937" w:type="pct"/>
            <w:vMerge w:val="restart"/>
            <w:tcBorders>
              <w:top w:val="single" w:color="auto" w:sz="4" w:space="0"/>
              <w:left w:val="single" w:color="auto" w:sz="4" w:space="0"/>
              <w:right w:val="single" w:color="auto" w:sz="4" w:space="0"/>
            </w:tcBorders>
            <w:shd w:val="clear" w:color="auto" w:fill="FFFFFF"/>
            <w:vAlign w:val="center"/>
          </w:tcPr>
          <w:p>
            <w:pPr>
              <w:spacing w:line="276" w:lineRule="auto"/>
              <w:jc w:val="center"/>
              <w:rPr>
                <w:rFonts w:ascii="宋体" w:hAnsi="宋体"/>
                <w:sz w:val="24"/>
              </w:rPr>
            </w:pPr>
            <w:r>
              <w:rPr>
                <w:rFonts w:hint="eastAsia" w:ascii="宋体" w:hAnsi="宋体"/>
                <w:sz w:val="24"/>
              </w:rPr>
              <w:t>基本配置</w:t>
            </w:r>
          </w:p>
        </w:tc>
        <w:tc>
          <w:tcPr>
            <w:tcW w:w="4063" w:type="pct"/>
            <w:tcBorders>
              <w:top w:val="single" w:color="auto" w:sz="4" w:space="0"/>
              <w:left w:val="single" w:color="auto" w:sz="4" w:space="0"/>
              <w:right w:val="single" w:color="auto" w:sz="4" w:space="0"/>
            </w:tcBorders>
            <w:shd w:val="clear" w:color="auto" w:fill="FFFFFF"/>
            <w:vAlign w:val="center"/>
          </w:tcPr>
          <w:p>
            <w:pPr>
              <w:spacing w:line="276" w:lineRule="auto"/>
              <w:rPr>
                <w:rFonts w:ascii="宋体" w:hAnsi="宋体"/>
                <w:sz w:val="24"/>
              </w:rPr>
            </w:pPr>
            <w:r>
              <w:rPr>
                <w:rFonts w:hint="eastAsia" w:ascii="宋体" w:hAnsi="宋体"/>
                <w:sz w:val="24"/>
              </w:rPr>
              <w:t>每个存储节点配置≥</w:t>
            </w:r>
            <w:r>
              <w:rPr>
                <w:rFonts w:ascii="宋体" w:hAnsi="宋体"/>
                <w:sz w:val="24"/>
              </w:rPr>
              <w:t>2</w:t>
            </w:r>
            <w:r>
              <w:rPr>
                <w:rFonts w:hint="eastAsia" w:ascii="宋体" w:hAnsi="宋体"/>
                <w:sz w:val="24"/>
              </w:rPr>
              <w:t>颗海光7</w:t>
            </w:r>
            <w:r>
              <w:rPr>
                <w:rFonts w:ascii="宋体" w:hAnsi="宋体"/>
                <w:sz w:val="24"/>
              </w:rPr>
              <w:t>380 CPU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21" w:hRule="atLeast"/>
        </w:trPr>
        <w:tc>
          <w:tcPr>
            <w:tcW w:w="937" w:type="pct"/>
            <w:vMerge w:val="continue"/>
            <w:tcBorders>
              <w:left w:val="single" w:color="auto" w:sz="4" w:space="0"/>
              <w:right w:val="single" w:color="auto" w:sz="4" w:space="0"/>
            </w:tcBorders>
            <w:shd w:val="clear" w:color="auto" w:fill="FFFFFF"/>
            <w:vAlign w:val="center"/>
          </w:tcPr>
          <w:p>
            <w:pPr>
              <w:spacing w:line="276" w:lineRule="auto"/>
              <w:jc w:val="center"/>
              <w:rPr>
                <w:rFonts w:ascii="宋体" w:hAnsi="宋体"/>
                <w:sz w:val="24"/>
              </w:rPr>
            </w:pPr>
          </w:p>
        </w:tc>
        <w:tc>
          <w:tcPr>
            <w:tcW w:w="4063"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276" w:lineRule="auto"/>
              <w:rPr>
                <w:rFonts w:ascii="宋体" w:hAnsi="宋体"/>
                <w:sz w:val="24"/>
              </w:rPr>
            </w:pPr>
            <w:r>
              <w:rPr>
                <w:rFonts w:hint="eastAsia" w:ascii="宋体" w:hAnsi="宋体"/>
                <w:sz w:val="24"/>
              </w:rPr>
              <w:t>每个节点内存≥</w:t>
            </w:r>
            <w:r>
              <w:rPr>
                <w:rFonts w:ascii="宋体" w:hAnsi="宋体"/>
                <w:sz w:val="24"/>
              </w:rPr>
              <w:t>128GB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21" w:hRule="atLeast"/>
        </w:trPr>
        <w:tc>
          <w:tcPr>
            <w:tcW w:w="937" w:type="pct"/>
            <w:vMerge w:val="continue"/>
            <w:tcBorders>
              <w:left w:val="single" w:color="auto" w:sz="4" w:space="0"/>
              <w:right w:val="single" w:color="auto" w:sz="4" w:space="0"/>
            </w:tcBorders>
            <w:shd w:val="clear" w:color="auto" w:fill="FFFFFF"/>
            <w:vAlign w:val="center"/>
          </w:tcPr>
          <w:p>
            <w:pPr>
              <w:spacing w:line="276" w:lineRule="auto"/>
              <w:jc w:val="center"/>
              <w:rPr>
                <w:rFonts w:ascii="宋体" w:hAnsi="宋体"/>
                <w:sz w:val="24"/>
              </w:rPr>
            </w:pPr>
          </w:p>
        </w:tc>
        <w:tc>
          <w:tcPr>
            <w:tcW w:w="4063"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276" w:lineRule="auto"/>
              <w:rPr>
                <w:rFonts w:ascii="宋体" w:hAnsi="宋体"/>
                <w:sz w:val="24"/>
              </w:rPr>
            </w:pPr>
            <w:r>
              <w:rPr>
                <w:rFonts w:hint="eastAsia" w:ascii="宋体" w:hAnsi="宋体"/>
                <w:sz w:val="24"/>
              </w:rPr>
              <w:t>每个节点应支持不少于3</w:t>
            </w:r>
            <w:r>
              <w:rPr>
                <w:rFonts w:ascii="宋体" w:hAnsi="宋体"/>
                <w:sz w:val="24"/>
              </w:rPr>
              <w:t>6盘位。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21" w:hRule="atLeast"/>
        </w:trPr>
        <w:tc>
          <w:tcPr>
            <w:tcW w:w="937" w:type="pct"/>
            <w:vMerge w:val="continue"/>
            <w:tcBorders>
              <w:left w:val="single" w:color="auto" w:sz="4" w:space="0"/>
              <w:right w:val="single" w:color="auto" w:sz="4" w:space="0"/>
            </w:tcBorders>
            <w:shd w:val="clear" w:color="auto" w:fill="FFFFFF"/>
            <w:vAlign w:val="center"/>
          </w:tcPr>
          <w:p>
            <w:pPr>
              <w:spacing w:line="276" w:lineRule="auto"/>
              <w:jc w:val="center"/>
              <w:rPr>
                <w:rFonts w:ascii="宋体" w:hAnsi="宋体"/>
                <w:sz w:val="24"/>
              </w:rPr>
            </w:pPr>
          </w:p>
        </w:tc>
        <w:tc>
          <w:tcPr>
            <w:tcW w:w="4063"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276" w:lineRule="auto"/>
              <w:rPr>
                <w:rFonts w:ascii="宋体" w:hAnsi="宋体"/>
                <w:sz w:val="24"/>
              </w:rPr>
            </w:pPr>
            <w:r>
              <w:rPr>
                <w:rFonts w:hint="eastAsia" w:ascii="宋体" w:hAnsi="宋体"/>
                <w:sz w:val="24"/>
              </w:rPr>
              <w:t>每个节点配置≥</w:t>
            </w:r>
            <w:r>
              <w:rPr>
                <w:rFonts w:ascii="宋体" w:hAnsi="宋体"/>
                <w:sz w:val="24"/>
              </w:rPr>
              <w:t>2</w:t>
            </w:r>
            <w:r>
              <w:rPr>
                <w:rFonts w:hint="eastAsia" w:ascii="宋体" w:hAnsi="宋体"/>
                <w:sz w:val="24"/>
              </w:rPr>
              <w:t>个</w:t>
            </w:r>
            <w:r>
              <w:rPr>
                <w:rFonts w:ascii="宋体" w:hAnsi="宋体"/>
                <w:sz w:val="24"/>
              </w:rPr>
              <w:t>480G  SATA SSD</w:t>
            </w:r>
            <w:r>
              <w:rPr>
                <w:rFonts w:hint="eastAsia" w:ascii="宋体" w:hAnsi="宋体"/>
                <w:sz w:val="24"/>
              </w:rPr>
              <w:t>硬盘（系统盘）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12" w:hRule="atLeast"/>
        </w:trPr>
        <w:tc>
          <w:tcPr>
            <w:tcW w:w="937" w:type="pct"/>
            <w:vMerge w:val="continue"/>
            <w:tcBorders>
              <w:left w:val="single" w:color="auto" w:sz="4" w:space="0"/>
              <w:right w:val="single" w:color="auto" w:sz="4" w:space="0"/>
            </w:tcBorders>
            <w:shd w:val="clear" w:color="auto" w:fill="FFFFFF"/>
            <w:vAlign w:val="center"/>
          </w:tcPr>
          <w:p>
            <w:pPr>
              <w:spacing w:line="276" w:lineRule="auto"/>
              <w:jc w:val="center"/>
              <w:rPr>
                <w:rFonts w:ascii="宋体" w:hAnsi="宋体"/>
                <w:sz w:val="24"/>
              </w:rPr>
            </w:pPr>
          </w:p>
        </w:tc>
        <w:tc>
          <w:tcPr>
            <w:tcW w:w="4063"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276" w:lineRule="auto"/>
              <w:rPr>
                <w:rFonts w:ascii="宋体" w:hAnsi="宋体"/>
                <w:sz w:val="24"/>
              </w:rPr>
            </w:pPr>
            <w:r>
              <w:rPr>
                <w:rFonts w:hint="eastAsia" w:ascii="宋体" w:hAnsi="宋体"/>
                <w:sz w:val="24"/>
              </w:rPr>
              <w:t>每个存储节点配置≥</w:t>
            </w:r>
            <w:r>
              <w:rPr>
                <w:rFonts w:ascii="宋体" w:hAnsi="宋体"/>
                <w:sz w:val="24"/>
              </w:rPr>
              <w:t>2</w:t>
            </w:r>
            <w:r>
              <w:rPr>
                <w:rFonts w:hint="eastAsia" w:ascii="宋体" w:hAnsi="宋体"/>
                <w:sz w:val="24"/>
              </w:rPr>
              <w:t>个双口万兆光模块（含模块）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04" w:hRule="atLeast"/>
        </w:trPr>
        <w:tc>
          <w:tcPr>
            <w:tcW w:w="937" w:type="pct"/>
            <w:vMerge w:val="continue"/>
            <w:tcBorders>
              <w:left w:val="single" w:color="auto" w:sz="4" w:space="0"/>
              <w:bottom w:val="single" w:color="auto" w:sz="4" w:space="0"/>
              <w:right w:val="single" w:color="auto" w:sz="4" w:space="0"/>
            </w:tcBorders>
            <w:shd w:val="clear" w:color="auto" w:fill="FFFFFF"/>
            <w:vAlign w:val="center"/>
          </w:tcPr>
          <w:p>
            <w:pPr>
              <w:spacing w:line="276" w:lineRule="auto"/>
              <w:jc w:val="center"/>
              <w:rPr>
                <w:rFonts w:ascii="宋体" w:hAnsi="宋体"/>
                <w:sz w:val="24"/>
              </w:rPr>
            </w:pPr>
          </w:p>
        </w:tc>
        <w:tc>
          <w:tcPr>
            <w:tcW w:w="4063"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276" w:lineRule="auto"/>
              <w:rPr>
                <w:rFonts w:ascii="宋体" w:hAnsi="宋体"/>
                <w:sz w:val="24"/>
              </w:rPr>
            </w:pPr>
            <w:r>
              <w:rPr>
                <w:rFonts w:hint="eastAsia" w:ascii="宋体" w:hAnsi="宋体"/>
                <w:sz w:val="24"/>
              </w:rPr>
              <w:t>每个存储节点配置≥</w:t>
            </w:r>
            <w:r>
              <w:rPr>
                <w:rFonts w:ascii="宋体" w:hAnsi="宋体"/>
                <w:sz w:val="24"/>
              </w:rPr>
              <w:t>2</w:t>
            </w:r>
            <w:r>
              <w:rPr>
                <w:rFonts w:hint="eastAsia" w:ascii="宋体" w:hAnsi="宋体"/>
                <w:sz w:val="24"/>
              </w:rPr>
              <w:t>个双口千兆网卡（电口）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6" w:hRule="atLeast"/>
        </w:trPr>
        <w:tc>
          <w:tcPr>
            <w:tcW w:w="937"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276" w:lineRule="auto"/>
              <w:rPr>
                <w:rFonts w:ascii="宋体" w:hAnsi="宋体"/>
                <w:sz w:val="24"/>
              </w:rPr>
            </w:pPr>
            <w:r>
              <w:rPr>
                <w:rFonts w:ascii="宋体" w:hAnsi="宋体"/>
                <w:sz w:val="24"/>
              </w:rPr>
              <w:t>当前硬盘配置</w:t>
            </w:r>
          </w:p>
        </w:tc>
        <w:tc>
          <w:tcPr>
            <w:tcW w:w="4063"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276" w:lineRule="auto"/>
              <w:rPr>
                <w:rFonts w:ascii="宋体" w:hAnsi="宋体"/>
                <w:sz w:val="24"/>
              </w:rPr>
            </w:pPr>
            <w:r>
              <w:rPr>
                <w:rFonts w:hint="eastAsia" w:ascii="宋体" w:hAnsi="宋体"/>
                <w:sz w:val="24"/>
              </w:rPr>
              <w:t>3个节点总配置应不少于</w:t>
            </w:r>
            <w:r>
              <w:rPr>
                <w:rFonts w:ascii="宋体" w:hAnsi="宋体"/>
                <w:sz w:val="24"/>
              </w:rPr>
              <w:t>6</w:t>
            </w:r>
            <w:r>
              <w:rPr>
                <w:rFonts w:hint="eastAsia" w:ascii="宋体" w:hAnsi="宋体"/>
                <w:sz w:val="24"/>
              </w:rPr>
              <w:t>个</w:t>
            </w:r>
            <w:r>
              <w:rPr>
                <w:rFonts w:ascii="宋体" w:hAnsi="宋体"/>
                <w:sz w:val="24"/>
              </w:rPr>
              <w:t>1.92</w:t>
            </w:r>
            <w:r>
              <w:rPr>
                <w:rFonts w:hint="eastAsia" w:ascii="宋体" w:hAnsi="宋体"/>
                <w:sz w:val="24"/>
              </w:rPr>
              <w:t>T</w:t>
            </w:r>
            <w:r>
              <w:rPr>
                <w:rFonts w:ascii="宋体" w:hAnsi="宋体"/>
                <w:sz w:val="24"/>
              </w:rPr>
              <w:t>B SSD</w:t>
            </w:r>
            <w:r>
              <w:rPr>
                <w:rFonts w:hint="eastAsia" w:ascii="宋体" w:hAnsi="宋体"/>
                <w:sz w:val="24"/>
              </w:rPr>
              <w:t>硬盘</w:t>
            </w:r>
          </w:p>
          <w:p>
            <w:pPr>
              <w:spacing w:line="276" w:lineRule="auto"/>
              <w:rPr>
                <w:rFonts w:ascii="宋体" w:hAnsi="宋体"/>
                <w:sz w:val="24"/>
              </w:rPr>
            </w:pPr>
            <w:r>
              <w:rPr>
                <w:rFonts w:ascii="宋体" w:hAnsi="宋体"/>
                <w:sz w:val="24"/>
              </w:rPr>
              <w:t>3个节点</w:t>
            </w:r>
            <w:r>
              <w:rPr>
                <w:rFonts w:hint="eastAsia" w:ascii="宋体" w:hAnsi="宋体"/>
                <w:sz w:val="24"/>
              </w:rPr>
              <w:t>总配置应不少于40个</w:t>
            </w:r>
            <w:r>
              <w:rPr>
                <w:rFonts w:ascii="宋体" w:hAnsi="宋体"/>
                <w:sz w:val="24"/>
              </w:rPr>
              <w:t>1</w:t>
            </w:r>
            <w:r>
              <w:rPr>
                <w:rFonts w:hint="eastAsia" w:ascii="宋体" w:hAnsi="宋体"/>
                <w:sz w:val="24"/>
              </w:rPr>
              <w:t>6</w:t>
            </w:r>
            <w:r>
              <w:rPr>
                <w:rFonts w:ascii="宋体" w:hAnsi="宋体"/>
                <w:sz w:val="24"/>
              </w:rPr>
              <w:t>TB SATA</w:t>
            </w:r>
            <w:r>
              <w:rPr>
                <w:rFonts w:hint="eastAsia" w:ascii="宋体" w:hAnsi="宋体"/>
                <w:sz w:val="24"/>
              </w:rPr>
              <w:t>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6" w:hRule="atLeast"/>
        </w:trPr>
        <w:tc>
          <w:tcPr>
            <w:tcW w:w="937"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276" w:lineRule="auto"/>
              <w:rPr>
                <w:rFonts w:ascii="宋体" w:hAnsi="宋体"/>
                <w:sz w:val="24"/>
              </w:rPr>
            </w:pPr>
            <w:r>
              <w:rPr>
                <w:rFonts w:ascii="宋体" w:hAnsi="宋体"/>
                <w:sz w:val="24"/>
              </w:rPr>
              <w:t>当前容量授权</w:t>
            </w:r>
          </w:p>
        </w:tc>
        <w:tc>
          <w:tcPr>
            <w:tcW w:w="4063"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276" w:lineRule="auto"/>
              <w:rPr>
                <w:rFonts w:ascii="宋体" w:hAnsi="宋体"/>
                <w:sz w:val="24"/>
              </w:rPr>
            </w:pPr>
            <w:r>
              <w:rPr>
                <w:rFonts w:hint="eastAsia" w:ascii="宋体" w:hAnsi="宋体" w:cs="宋体"/>
                <w:color w:val="000000"/>
                <w:kern w:val="0"/>
                <w:sz w:val="24"/>
              </w:rPr>
              <w:t>3个节点总配置存储磁盘容量授权应不少于408</w:t>
            </w:r>
            <w:r>
              <w:rPr>
                <w:rFonts w:ascii="宋体" w:hAnsi="宋体" w:cs="宋体"/>
                <w:color w:val="000000"/>
                <w:kern w:val="0"/>
                <w:sz w:val="24"/>
              </w:rPr>
              <w:t>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6" w:hRule="atLeast"/>
        </w:trPr>
        <w:tc>
          <w:tcPr>
            <w:tcW w:w="937"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276" w:lineRule="auto"/>
              <w:jc w:val="center"/>
              <w:rPr>
                <w:rFonts w:ascii="宋体" w:hAnsi="宋体"/>
                <w:sz w:val="24"/>
              </w:rPr>
            </w:pPr>
            <w:r>
              <w:rPr>
                <w:rFonts w:hint="eastAsia" w:ascii="宋体" w:hAnsi="宋体"/>
                <w:sz w:val="24"/>
              </w:rPr>
              <w:t>服务要求</w:t>
            </w:r>
          </w:p>
        </w:tc>
        <w:tc>
          <w:tcPr>
            <w:tcW w:w="4063" w:type="pct"/>
            <w:tcBorders>
              <w:top w:val="single" w:color="auto" w:sz="4" w:space="0"/>
              <w:left w:val="single" w:color="auto" w:sz="4" w:space="0"/>
              <w:bottom w:val="single" w:color="auto" w:sz="4" w:space="0"/>
              <w:right w:val="single" w:color="auto" w:sz="4" w:space="0"/>
            </w:tcBorders>
            <w:shd w:val="clear" w:color="auto" w:fill="FFFFFF"/>
            <w:vAlign w:val="bottom"/>
          </w:tcPr>
          <w:p>
            <w:pPr>
              <w:spacing w:line="276" w:lineRule="auto"/>
              <w:rPr>
                <w:rFonts w:ascii="宋体" w:hAnsi="宋体"/>
                <w:sz w:val="24"/>
              </w:rPr>
            </w:pPr>
            <w:r>
              <w:rPr>
                <w:rFonts w:hint="eastAsia" w:ascii="宋体" w:hAnsi="宋体"/>
                <w:sz w:val="24"/>
              </w:rPr>
              <w:t>提供3年硬件介质保留服务。</w:t>
            </w:r>
          </w:p>
        </w:tc>
      </w:tr>
    </w:tbl>
    <w:p>
      <w:pPr>
        <w:spacing w:line="360" w:lineRule="auto"/>
        <w:ind w:firstLine="480" w:firstLineChars="200"/>
        <w:rPr>
          <w:rFonts w:ascii="宋体" w:hAnsi="宋体"/>
          <w:sz w:val="24"/>
        </w:rPr>
      </w:pPr>
    </w:p>
    <w:p>
      <w:pPr>
        <w:pStyle w:val="4"/>
        <w:numPr>
          <w:ilvl w:val="0"/>
          <w:numId w:val="5"/>
        </w:numPr>
        <w:spacing w:before="0" w:after="0" w:line="360" w:lineRule="auto"/>
        <w:ind w:left="0" w:firstLine="0"/>
        <w:rPr>
          <w:rFonts w:ascii="宋体" w:hAnsi="宋体" w:eastAsia="宋体"/>
          <w:b/>
          <w:bCs/>
          <w:sz w:val="24"/>
          <w:szCs w:val="24"/>
        </w:rPr>
      </w:pPr>
      <w:r>
        <w:rPr>
          <w:rFonts w:hint="eastAsia" w:ascii="宋体" w:hAnsi="宋体" w:eastAsia="宋体"/>
          <w:b/>
          <w:bCs/>
          <w:sz w:val="24"/>
          <w:szCs w:val="24"/>
        </w:rPr>
        <w:t>庭审存储管理平台</w:t>
      </w:r>
    </w:p>
    <w:tbl>
      <w:tblPr>
        <w:tblStyle w:val="15"/>
        <w:tblW w:w="8453" w:type="dxa"/>
        <w:tblInd w:w="-1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82"/>
        <w:gridCol w:w="727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3" w:hRule="atLeast"/>
        </w:trPr>
        <w:tc>
          <w:tcPr>
            <w:tcW w:w="1182" w:type="dxa"/>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指标项</w:t>
            </w:r>
          </w:p>
        </w:tc>
        <w:tc>
          <w:tcPr>
            <w:tcW w:w="7271" w:type="dxa"/>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指标要求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3" w:hRule="atLeast"/>
        </w:trPr>
        <w:tc>
          <w:tcPr>
            <w:tcW w:w="1182"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基本要求</w:t>
            </w:r>
          </w:p>
        </w:tc>
        <w:tc>
          <w:tcPr>
            <w:tcW w:w="7271" w:type="dxa"/>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升级原来庭审存储管理平台，兼容原存储节点与新配备的存储节点。系统采用云架构，动态配置各资源。兼容FT、HG等国产CPU；适配UOS、QL国产操作系统与国产数据库。系统支持对存储节点及各资源运行状况、存储容量、IO性能进行实时监测，并动态展示相关数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7" w:hRule="atLeast"/>
        </w:trPr>
        <w:tc>
          <w:tcPr>
            <w:tcW w:w="1182"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设备监管</w:t>
            </w:r>
          </w:p>
        </w:tc>
        <w:tc>
          <w:tcPr>
            <w:tcW w:w="7271" w:type="dxa"/>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支持查看设备的硬件信息，软件信息，支持通过</w:t>
            </w:r>
            <w:r>
              <w:rPr>
                <w:rFonts w:ascii="宋体" w:hAnsi="宋体" w:cs="宋体"/>
                <w:color w:val="000000"/>
                <w:kern w:val="0"/>
                <w:sz w:val="24"/>
              </w:rPr>
              <w:t>InView</w:t>
            </w:r>
            <w:r>
              <w:rPr>
                <w:rFonts w:hint="eastAsia" w:ascii="宋体" w:hAnsi="宋体" w:cs="宋体"/>
                <w:color w:val="000000"/>
                <w:kern w:val="0"/>
                <w:sz w:val="24"/>
              </w:rPr>
              <w:t>登录自带</w:t>
            </w:r>
            <w:r>
              <w:rPr>
                <w:rFonts w:ascii="宋体" w:hAnsi="宋体" w:cs="宋体"/>
                <w:color w:val="000000"/>
                <w:kern w:val="0"/>
                <w:sz w:val="24"/>
              </w:rPr>
              <w:t>Web</w:t>
            </w:r>
            <w:r>
              <w:rPr>
                <w:rFonts w:hint="eastAsia" w:ascii="宋体" w:hAnsi="宋体" w:cs="宋体"/>
                <w:color w:val="000000"/>
                <w:kern w:val="0"/>
                <w:sz w:val="24"/>
              </w:rPr>
              <w:t>，支持通过</w:t>
            </w:r>
            <w:r>
              <w:rPr>
                <w:rFonts w:ascii="宋体" w:hAnsi="宋体" w:cs="宋体"/>
                <w:color w:val="000000"/>
                <w:kern w:val="0"/>
                <w:sz w:val="24"/>
              </w:rPr>
              <w:t>InView</w:t>
            </w:r>
            <w:r>
              <w:rPr>
                <w:rFonts w:hint="eastAsia" w:ascii="宋体" w:hAnsi="宋体" w:cs="宋体"/>
                <w:color w:val="000000"/>
                <w:kern w:val="0"/>
                <w:sz w:val="24"/>
              </w:rPr>
              <w:t>登录控制台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3" w:hRule="atLeast"/>
        </w:trPr>
        <w:tc>
          <w:tcPr>
            <w:tcW w:w="1182"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健康度分析</w:t>
            </w:r>
          </w:p>
        </w:tc>
        <w:tc>
          <w:tcPr>
            <w:tcW w:w="7271" w:type="dxa"/>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支持从设备多个维度维度智能化分析健康状态，并给出综合评分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6" w:hRule="atLeast"/>
        </w:trPr>
        <w:tc>
          <w:tcPr>
            <w:tcW w:w="1182"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告警监控</w:t>
            </w:r>
          </w:p>
        </w:tc>
        <w:tc>
          <w:tcPr>
            <w:tcW w:w="7271" w:type="dxa"/>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支持查看设备的告警，并通过邮件</w:t>
            </w:r>
            <w:r>
              <w:rPr>
                <w:rFonts w:ascii="宋体" w:hAnsi="宋体" w:cs="宋体"/>
                <w:color w:val="000000"/>
                <w:kern w:val="0"/>
                <w:sz w:val="24"/>
              </w:rPr>
              <w:t>/snmptrap/</w:t>
            </w:r>
            <w:r>
              <w:rPr>
                <w:rFonts w:hint="eastAsia" w:ascii="宋体" w:hAnsi="宋体" w:cs="宋体"/>
                <w:color w:val="000000"/>
                <w:kern w:val="0"/>
                <w:sz w:val="24"/>
              </w:rPr>
              <w:t>浏览器方式通知告警，支持对告警信息进行屏蔽、过滤、聚合、重定义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43" w:hRule="atLeast"/>
        </w:trPr>
        <w:tc>
          <w:tcPr>
            <w:tcW w:w="1182"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性能分析、预测及转存</w:t>
            </w:r>
          </w:p>
        </w:tc>
        <w:tc>
          <w:tcPr>
            <w:tcW w:w="7271" w:type="dxa"/>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支持对设备的历史性能监控，支持对性能使用趋势进行预测，支持对性能进行潮汐分析，支持对多个性能指标的对比分析，支持自定义设置性能保留时长和备份恢复策略，需提供功能截图或白皮书等证明材料并加盖公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3" w:hRule="atLeast"/>
        </w:trPr>
        <w:tc>
          <w:tcPr>
            <w:tcW w:w="1182"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磁盘预测</w:t>
            </w:r>
          </w:p>
        </w:tc>
        <w:tc>
          <w:tcPr>
            <w:tcW w:w="7271" w:type="dxa"/>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支持对</w:t>
            </w:r>
            <w:r>
              <w:rPr>
                <w:rFonts w:ascii="宋体" w:hAnsi="宋体" w:cs="宋体"/>
                <w:color w:val="000000"/>
                <w:kern w:val="0"/>
                <w:sz w:val="24"/>
              </w:rPr>
              <w:t>HDD</w:t>
            </w:r>
            <w:r>
              <w:rPr>
                <w:rFonts w:hint="eastAsia" w:ascii="宋体" w:hAnsi="宋体" w:cs="宋体"/>
                <w:color w:val="000000"/>
                <w:kern w:val="0"/>
                <w:sz w:val="24"/>
              </w:rPr>
              <w:t>盘、</w:t>
            </w:r>
            <w:r>
              <w:rPr>
                <w:rFonts w:ascii="宋体" w:hAnsi="宋体" w:cs="宋体"/>
                <w:color w:val="000000"/>
                <w:kern w:val="0"/>
                <w:sz w:val="24"/>
              </w:rPr>
              <w:t>SSD</w:t>
            </w:r>
            <w:r>
              <w:rPr>
                <w:rFonts w:hint="eastAsia" w:ascii="宋体" w:hAnsi="宋体" w:cs="宋体"/>
                <w:color w:val="000000"/>
                <w:kern w:val="0"/>
                <w:sz w:val="24"/>
              </w:rPr>
              <w:t>盘提供磁盘故障或寿命预测</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6" w:hRule="atLeast"/>
        </w:trPr>
        <w:tc>
          <w:tcPr>
            <w:tcW w:w="1182"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日志一键导出</w:t>
            </w:r>
          </w:p>
        </w:tc>
        <w:tc>
          <w:tcPr>
            <w:tcW w:w="7271" w:type="dxa"/>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支持一键导出所有纳管集中式存储、分布式存储的日志。需提供功能截图或白皮书等证明材料并加盖公章。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6" w:hRule="atLeast"/>
        </w:trPr>
        <w:tc>
          <w:tcPr>
            <w:tcW w:w="1182"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批量配置</w:t>
            </w:r>
          </w:p>
        </w:tc>
        <w:tc>
          <w:tcPr>
            <w:tcW w:w="7271" w:type="dxa"/>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支持批量设备的池、卷、卷组、主机、主机组、一致性组、用户等配置资源。需提供功能截图或白皮书等证明材料并加盖公章。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0" w:hRule="atLeast"/>
        </w:trPr>
        <w:tc>
          <w:tcPr>
            <w:tcW w:w="1182"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数据容灾</w:t>
            </w:r>
          </w:p>
        </w:tc>
        <w:tc>
          <w:tcPr>
            <w:tcW w:w="7271" w:type="dxa"/>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支持对指定的对象进行定时快照创建，支持通过多个存储构建</w:t>
            </w:r>
            <w:r>
              <w:rPr>
                <w:rFonts w:ascii="宋体" w:hAnsi="宋体" w:cs="宋体"/>
                <w:color w:val="000000"/>
                <w:kern w:val="0"/>
                <w:sz w:val="24"/>
              </w:rPr>
              <w:t>3DC</w:t>
            </w:r>
            <w:r>
              <w:rPr>
                <w:rFonts w:hint="eastAsia" w:ascii="宋体" w:hAnsi="宋体" w:cs="宋体"/>
                <w:color w:val="000000"/>
                <w:kern w:val="0"/>
                <w:sz w:val="24"/>
              </w:rPr>
              <w:t>容灾，支持配置</w:t>
            </w:r>
            <w:r>
              <w:rPr>
                <w:rFonts w:ascii="宋体" w:hAnsi="宋体" w:cs="宋体"/>
                <w:color w:val="000000"/>
                <w:kern w:val="0"/>
                <w:sz w:val="24"/>
              </w:rPr>
              <w:t>NAS</w:t>
            </w:r>
            <w:r>
              <w:rPr>
                <w:rFonts w:hint="eastAsia" w:ascii="宋体" w:hAnsi="宋体" w:cs="宋体"/>
                <w:color w:val="000000"/>
                <w:kern w:val="0"/>
                <w:sz w:val="24"/>
              </w:rPr>
              <w:t>容灾功能。需提供功能截图或白皮书等证明材料并加盖公章。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3" w:hRule="atLeast"/>
        </w:trPr>
        <w:tc>
          <w:tcPr>
            <w:tcW w:w="1182"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数据迁移</w:t>
            </w:r>
          </w:p>
        </w:tc>
        <w:tc>
          <w:tcPr>
            <w:tcW w:w="7271" w:type="dxa"/>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支持存储间</w:t>
            </w:r>
            <w:r>
              <w:rPr>
                <w:rFonts w:ascii="宋体" w:hAnsi="宋体" w:cs="宋体"/>
                <w:color w:val="000000"/>
                <w:kern w:val="0"/>
                <w:sz w:val="24"/>
              </w:rPr>
              <w:t>NFS</w:t>
            </w:r>
            <w:r>
              <w:rPr>
                <w:rFonts w:hint="eastAsia" w:ascii="宋体" w:hAnsi="宋体" w:cs="宋体"/>
                <w:color w:val="000000"/>
                <w:kern w:val="0"/>
                <w:sz w:val="24"/>
              </w:rPr>
              <w:t>文件、</w:t>
            </w:r>
            <w:r>
              <w:rPr>
                <w:rFonts w:ascii="宋体" w:hAnsi="宋体" w:cs="宋体"/>
                <w:color w:val="000000"/>
                <w:kern w:val="0"/>
                <w:sz w:val="24"/>
              </w:rPr>
              <w:t>S3</w:t>
            </w:r>
            <w:r>
              <w:rPr>
                <w:rFonts w:hint="eastAsia" w:ascii="宋体" w:hAnsi="宋体" w:cs="宋体"/>
                <w:color w:val="000000"/>
                <w:kern w:val="0"/>
                <w:sz w:val="24"/>
              </w:rPr>
              <w:t>对象数据迁移</w:t>
            </w:r>
          </w:p>
        </w:tc>
      </w:tr>
    </w:tbl>
    <w:p>
      <w:pPr>
        <w:widowControl/>
        <w:rPr>
          <w:rFonts w:ascii="宋体" w:hAnsi="宋体" w:cs="宋体"/>
          <w:color w:val="000000"/>
          <w:kern w:val="0"/>
          <w:sz w:val="24"/>
        </w:rPr>
      </w:pPr>
    </w:p>
    <w:p>
      <w:pPr>
        <w:rPr>
          <w:rFonts w:ascii="宋体" w:hAnsi="宋体"/>
          <w:sz w:val="24"/>
          <w:szCs w:val="24"/>
        </w:rPr>
      </w:pPr>
    </w:p>
    <w:p>
      <w:pPr>
        <w:rPr>
          <w:rFonts w:ascii="宋体" w:hAnsi="宋体"/>
          <w:sz w:val="24"/>
          <w:szCs w:val="24"/>
        </w:rPr>
      </w:pPr>
    </w:p>
    <w:p>
      <w:pPr>
        <w:pStyle w:val="3"/>
        <w:numPr>
          <w:ilvl w:val="0"/>
          <w:numId w:val="2"/>
        </w:numPr>
        <w:spacing w:before="0" w:after="0" w:line="360" w:lineRule="auto"/>
        <w:rPr>
          <w:rFonts w:ascii="宋体" w:hAnsi="宋体" w:eastAsia="宋体"/>
          <w:sz w:val="24"/>
          <w:szCs w:val="24"/>
        </w:rPr>
      </w:pPr>
      <w:r>
        <w:rPr>
          <w:rFonts w:hint="eastAsia" w:ascii="宋体" w:hAnsi="宋体" w:eastAsia="宋体"/>
          <w:sz w:val="24"/>
          <w:szCs w:val="24"/>
        </w:rPr>
        <w:t>软件及系统接口要求</w:t>
      </w:r>
    </w:p>
    <w:p>
      <w:pPr>
        <w:spacing w:line="360" w:lineRule="auto"/>
        <w:ind w:firstLine="480" w:firstLineChars="200"/>
        <w:rPr>
          <w:rFonts w:ascii="宋体" w:hAnsi="宋体"/>
          <w:bCs/>
          <w:sz w:val="24"/>
          <w:szCs w:val="24"/>
        </w:rPr>
      </w:pPr>
      <w:r>
        <w:rPr>
          <w:rFonts w:hint="eastAsia" w:ascii="宋体" w:hAnsi="宋体"/>
          <w:bCs/>
          <w:sz w:val="24"/>
          <w:szCs w:val="24"/>
        </w:rPr>
        <w:t>松江法院高清庭审升级改造</w:t>
      </w:r>
      <w:r>
        <w:rPr>
          <w:rFonts w:ascii="宋体" w:hAnsi="宋体"/>
          <w:bCs/>
          <w:sz w:val="24"/>
          <w:szCs w:val="24"/>
        </w:rPr>
        <w:t>项目要结合上海法院</w:t>
      </w:r>
      <w:r>
        <w:rPr>
          <w:rFonts w:hint="eastAsia" w:ascii="宋体" w:hAnsi="宋体"/>
          <w:bCs/>
          <w:sz w:val="24"/>
          <w:szCs w:val="24"/>
        </w:rPr>
        <w:t>审判</w:t>
      </w:r>
      <w:r>
        <w:rPr>
          <w:rFonts w:ascii="宋体" w:hAnsi="宋体"/>
          <w:bCs/>
          <w:sz w:val="24"/>
          <w:szCs w:val="24"/>
        </w:rPr>
        <w:t>业务管理系统，建设完成后系统</w:t>
      </w:r>
      <w:r>
        <w:rPr>
          <w:rFonts w:hint="eastAsia" w:ascii="宋体" w:hAnsi="宋体"/>
          <w:bCs/>
          <w:sz w:val="24"/>
          <w:szCs w:val="24"/>
        </w:rPr>
        <w:t>需</w:t>
      </w:r>
      <w:r>
        <w:rPr>
          <w:rFonts w:ascii="宋体" w:hAnsi="宋体"/>
          <w:bCs/>
          <w:sz w:val="24"/>
          <w:szCs w:val="24"/>
        </w:rPr>
        <w:t>接入</w:t>
      </w:r>
      <w:r>
        <w:rPr>
          <w:rFonts w:hint="eastAsia" w:ascii="宋体" w:hAnsi="宋体"/>
          <w:bCs/>
          <w:sz w:val="24"/>
          <w:szCs w:val="24"/>
        </w:rPr>
        <w:t>上海法院</w:t>
      </w:r>
      <w:r>
        <w:rPr>
          <w:rFonts w:ascii="宋体" w:hAnsi="宋体"/>
          <w:bCs/>
          <w:sz w:val="24"/>
          <w:szCs w:val="24"/>
        </w:rPr>
        <w:t>审判管理及庭审管理平台</w:t>
      </w:r>
      <w:r>
        <w:rPr>
          <w:rFonts w:hint="eastAsia" w:ascii="宋体" w:hAnsi="宋体"/>
          <w:bCs/>
          <w:sz w:val="24"/>
          <w:szCs w:val="24"/>
        </w:rPr>
        <w:t>，</w:t>
      </w:r>
      <w:r>
        <w:rPr>
          <w:rFonts w:ascii="宋体" w:hAnsi="宋体"/>
          <w:bCs/>
          <w:sz w:val="24"/>
          <w:szCs w:val="24"/>
        </w:rPr>
        <w:t>实现实时获取开庭、闭庭、案件审核、刻录等信息用于查询、汇总、统计分析等</w:t>
      </w:r>
      <w:r>
        <w:rPr>
          <w:rFonts w:hint="eastAsia" w:ascii="宋体" w:hAnsi="宋体"/>
          <w:bCs/>
          <w:sz w:val="24"/>
          <w:szCs w:val="24"/>
        </w:rPr>
        <w:t>，同时新建</w:t>
      </w:r>
      <w:r>
        <w:rPr>
          <w:rFonts w:ascii="宋体" w:hAnsi="宋体"/>
          <w:bCs/>
          <w:sz w:val="24"/>
          <w:szCs w:val="24"/>
        </w:rPr>
        <w:t>系统纳入到上海法院庭审统一管理中，经CA系统授权，相应权限的</w:t>
      </w:r>
      <w:r>
        <w:rPr>
          <w:rFonts w:hint="eastAsia" w:ascii="宋体" w:hAnsi="宋体"/>
          <w:bCs/>
          <w:sz w:val="24"/>
          <w:szCs w:val="24"/>
        </w:rPr>
        <w:t>用户</w:t>
      </w:r>
      <w:r>
        <w:rPr>
          <w:rFonts w:ascii="宋体" w:hAnsi="宋体"/>
          <w:bCs/>
          <w:sz w:val="24"/>
          <w:szCs w:val="24"/>
        </w:rPr>
        <w:t>可以远程</w:t>
      </w:r>
      <w:r>
        <w:rPr>
          <w:rFonts w:hint="eastAsia" w:ascii="宋体" w:hAnsi="宋体"/>
          <w:bCs/>
          <w:sz w:val="24"/>
          <w:szCs w:val="24"/>
        </w:rPr>
        <w:t>浏览</w:t>
      </w:r>
      <w:r>
        <w:rPr>
          <w:rFonts w:ascii="宋体" w:hAnsi="宋体"/>
          <w:bCs/>
          <w:sz w:val="24"/>
          <w:szCs w:val="24"/>
        </w:rPr>
        <w:t>高清庭审直播，</w:t>
      </w:r>
      <w:r>
        <w:rPr>
          <w:rFonts w:hint="eastAsia" w:ascii="宋体" w:hAnsi="宋体"/>
          <w:bCs/>
          <w:sz w:val="24"/>
          <w:szCs w:val="24"/>
        </w:rPr>
        <w:t>并能够</w:t>
      </w:r>
      <w:r>
        <w:rPr>
          <w:rFonts w:ascii="宋体" w:hAnsi="宋体"/>
          <w:bCs/>
          <w:sz w:val="24"/>
          <w:szCs w:val="24"/>
        </w:rPr>
        <w:t>点播以前案件的庭审录像。本项目</w:t>
      </w:r>
      <w:r>
        <w:rPr>
          <w:rFonts w:hint="eastAsia" w:ascii="宋体" w:hAnsi="宋体"/>
          <w:bCs/>
          <w:sz w:val="24"/>
          <w:szCs w:val="24"/>
        </w:rPr>
        <w:t>涉及的庭审信息管理软件</w:t>
      </w:r>
      <w:r>
        <w:rPr>
          <w:rFonts w:ascii="宋体" w:hAnsi="宋体"/>
          <w:bCs/>
          <w:sz w:val="24"/>
          <w:szCs w:val="24"/>
        </w:rPr>
        <w:t>包含与高院现有</w:t>
      </w:r>
      <w:r>
        <w:rPr>
          <w:rFonts w:hint="eastAsia" w:ascii="宋体" w:hAnsi="宋体"/>
          <w:bCs/>
          <w:sz w:val="24"/>
          <w:szCs w:val="24"/>
        </w:rPr>
        <w:t>审判业务管理</w:t>
      </w:r>
      <w:r>
        <w:rPr>
          <w:rFonts w:ascii="宋体" w:hAnsi="宋体"/>
          <w:bCs/>
          <w:sz w:val="24"/>
          <w:szCs w:val="24"/>
        </w:rPr>
        <w:t>系统的对接统一，进行数据共享。</w:t>
      </w:r>
    </w:p>
    <w:p>
      <w:pPr>
        <w:pStyle w:val="23"/>
        <w:autoSpaceDE w:val="0"/>
        <w:autoSpaceDN w:val="0"/>
        <w:adjustRightInd w:val="0"/>
        <w:spacing w:line="360" w:lineRule="auto"/>
        <w:ind w:firstLineChars="0"/>
        <w:contextualSpacing/>
        <w:rPr>
          <w:rFonts w:ascii="宋体" w:hAnsi="宋体"/>
          <w:sz w:val="24"/>
          <w:szCs w:val="24"/>
        </w:rPr>
      </w:pPr>
    </w:p>
    <w:p>
      <w:pPr>
        <w:pStyle w:val="3"/>
        <w:numPr>
          <w:ilvl w:val="0"/>
          <w:numId w:val="2"/>
        </w:numPr>
        <w:spacing w:before="0" w:after="0" w:line="360" w:lineRule="auto"/>
        <w:rPr>
          <w:rFonts w:ascii="宋体" w:hAnsi="宋体" w:eastAsia="宋体"/>
          <w:sz w:val="24"/>
          <w:szCs w:val="24"/>
        </w:rPr>
      </w:pPr>
      <w:r>
        <w:rPr>
          <w:rFonts w:hint="eastAsia" w:ascii="宋体" w:hAnsi="宋体" w:eastAsia="宋体"/>
          <w:sz w:val="24"/>
          <w:szCs w:val="24"/>
        </w:rPr>
        <w:t>数据安全控制要求</w:t>
      </w:r>
    </w:p>
    <w:p>
      <w:pPr>
        <w:tabs>
          <w:tab w:val="left" w:pos="7770"/>
        </w:tabs>
        <w:snapToGrid w:val="0"/>
        <w:spacing w:line="360" w:lineRule="auto"/>
        <w:ind w:firstLine="480" w:firstLineChars="200"/>
        <w:rPr>
          <w:rFonts w:ascii="宋体" w:hAnsi="宋体"/>
          <w:sz w:val="24"/>
          <w:szCs w:val="24"/>
        </w:rPr>
      </w:pPr>
      <w:r>
        <w:rPr>
          <w:rFonts w:hint="eastAsia" w:ascii="宋体" w:hAnsi="宋体"/>
          <w:sz w:val="24"/>
          <w:szCs w:val="24"/>
        </w:rPr>
        <w:t>要求集成上海法院现有的CA安全认证，确保系统安全。</w:t>
      </w:r>
    </w:p>
    <w:p>
      <w:pPr>
        <w:tabs>
          <w:tab w:val="left" w:pos="7770"/>
        </w:tabs>
        <w:snapToGrid w:val="0"/>
        <w:spacing w:line="360" w:lineRule="auto"/>
        <w:ind w:firstLine="480" w:firstLineChars="200"/>
        <w:rPr>
          <w:rFonts w:ascii="宋体" w:hAnsi="宋体"/>
          <w:sz w:val="24"/>
          <w:szCs w:val="24"/>
        </w:rPr>
      </w:pPr>
      <w:r>
        <w:rPr>
          <w:rFonts w:hint="eastAsia" w:ascii="宋体" w:hAnsi="宋体"/>
          <w:sz w:val="24"/>
          <w:szCs w:val="24"/>
        </w:rPr>
        <w:t>系统应严格控制用户的访问、操作权限，不允许未授权用户使用本系统。</w:t>
      </w:r>
    </w:p>
    <w:p>
      <w:pPr>
        <w:pStyle w:val="23"/>
        <w:autoSpaceDE w:val="0"/>
        <w:autoSpaceDN w:val="0"/>
        <w:adjustRightInd w:val="0"/>
        <w:spacing w:line="360" w:lineRule="auto"/>
        <w:ind w:firstLineChars="0"/>
        <w:contextualSpacing/>
        <w:rPr>
          <w:rFonts w:ascii="宋体" w:hAnsi="宋体"/>
          <w:b/>
          <w:sz w:val="24"/>
          <w:szCs w:val="24"/>
        </w:rPr>
      </w:pPr>
    </w:p>
    <w:p>
      <w:pPr>
        <w:pStyle w:val="3"/>
        <w:numPr>
          <w:ilvl w:val="0"/>
          <w:numId w:val="2"/>
        </w:numPr>
        <w:spacing w:before="0" w:after="0" w:line="360" w:lineRule="auto"/>
        <w:rPr>
          <w:rFonts w:ascii="宋体" w:hAnsi="宋体" w:eastAsia="宋体"/>
          <w:sz w:val="24"/>
          <w:szCs w:val="24"/>
        </w:rPr>
      </w:pPr>
      <w:r>
        <w:rPr>
          <w:rFonts w:hint="eastAsia" w:ascii="宋体" w:hAnsi="宋体" w:eastAsia="宋体"/>
          <w:sz w:val="24"/>
          <w:szCs w:val="24"/>
        </w:rPr>
        <w:t>售后服务要求</w:t>
      </w:r>
    </w:p>
    <w:p>
      <w:pPr>
        <w:spacing w:line="360" w:lineRule="auto"/>
        <w:ind w:firstLine="480" w:firstLineChars="200"/>
        <w:rPr>
          <w:rFonts w:ascii="宋体" w:hAnsi="宋体"/>
          <w:sz w:val="24"/>
          <w:szCs w:val="24"/>
        </w:rPr>
      </w:pPr>
      <w:r>
        <w:rPr>
          <w:rFonts w:hint="eastAsia" w:ascii="宋体" w:hAnsi="宋体"/>
          <w:sz w:val="24"/>
          <w:szCs w:val="24"/>
        </w:rPr>
        <w:t>自系统验收通过之日提供系统不少于1年的免费质保，设备不少于3年的免费质保。</w:t>
      </w:r>
    </w:p>
    <w:p>
      <w:pPr>
        <w:spacing w:line="360" w:lineRule="auto"/>
        <w:ind w:firstLine="480" w:firstLineChars="200"/>
        <w:rPr>
          <w:rFonts w:ascii="宋体" w:hAnsi="宋体"/>
          <w:sz w:val="24"/>
          <w:szCs w:val="24"/>
        </w:rPr>
      </w:pPr>
      <w:r>
        <w:rPr>
          <w:rFonts w:hint="eastAsia" w:ascii="宋体" w:hAnsi="宋体"/>
          <w:sz w:val="24"/>
          <w:szCs w:val="24"/>
        </w:rPr>
        <w:t>系统建设完毕后，提供技术支持和保障服务；工作时间半小时响应，如有紧急或重大情况发生，需增派工程师提供现场服务；非工作时间2小时响应（上门服务）</w:t>
      </w:r>
    </w:p>
    <w:p>
      <w:pPr>
        <w:spacing w:line="360" w:lineRule="auto"/>
        <w:ind w:firstLine="480" w:firstLineChars="200"/>
        <w:rPr>
          <w:rFonts w:ascii="宋体" w:hAnsi="宋体"/>
          <w:sz w:val="24"/>
          <w:szCs w:val="24"/>
        </w:rPr>
      </w:pPr>
      <w:r>
        <w:rPr>
          <w:rFonts w:hint="eastAsia" w:ascii="宋体" w:hAnsi="宋体"/>
          <w:sz w:val="24"/>
          <w:szCs w:val="24"/>
        </w:rPr>
        <w:t>提供系统的技术培训、系统扩充、升级方面的技术支持服务。</w:t>
      </w:r>
    </w:p>
    <w:p>
      <w:pPr>
        <w:spacing w:line="360" w:lineRule="auto"/>
        <w:ind w:firstLine="480" w:firstLineChars="200"/>
        <w:rPr>
          <w:rFonts w:ascii="宋体" w:hAnsi="宋体"/>
          <w:sz w:val="24"/>
          <w:szCs w:val="24"/>
        </w:rPr>
      </w:pPr>
    </w:p>
    <w:p>
      <w:pPr>
        <w:pStyle w:val="3"/>
        <w:numPr>
          <w:ilvl w:val="0"/>
          <w:numId w:val="2"/>
        </w:numPr>
        <w:spacing w:before="0" w:after="0" w:line="360" w:lineRule="auto"/>
        <w:rPr>
          <w:rFonts w:ascii="宋体" w:hAnsi="宋体" w:eastAsia="宋体"/>
          <w:sz w:val="24"/>
          <w:szCs w:val="24"/>
        </w:rPr>
      </w:pPr>
      <w:r>
        <w:rPr>
          <w:rFonts w:hint="eastAsia" w:ascii="宋体" w:hAnsi="宋体" w:eastAsia="宋体"/>
          <w:sz w:val="24"/>
          <w:szCs w:val="24"/>
        </w:rPr>
        <w:t>项目人员要求</w:t>
      </w:r>
    </w:p>
    <w:p>
      <w:pPr>
        <w:spacing w:line="360" w:lineRule="auto"/>
        <w:ind w:firstLine="480" w:firstLineChars="200"/>
        <w:rPr>
          <w:rFonts w:ascii="宋体" w:hAnsi="宋体"/>
          <w:sz w:val="24"/>
        </w:rPr>
      </w:pPr>
      <w:r>
        <w:rPr>
          <w:rFonts w:hint="eastAsia" w:ascii="宋体" w:hAnsi="宋体"/>
          <w:sz w:val="24"/>
        </w:rPr>
        <w:t>项目经理具有信息系统项目管理师证书，</w:t>
      </w:r>
      <w:r>
        <w:rPr>
          <w:rFonts w:ascii="宋体" w:hAnsi="宋体"/>
          <w:sz w:val="24"/>
        </w:rPr>
        <w:t>10</w:t>
      </w:r>
      <w:r>
        <w:rPr>
          <w:rFonts w:hint="eastAsia" w:ascii="宋体" w:hAnsi="宋体"/>
          <w:sz w:val="24"/>
        </w:rPr>
        <w:t>年以上信息化项目工作经历；承担过信息系统集成项目经理职务优先考虑。</w:t>
      </w:r>
    </w:p>
    <w:p>
      <w:pPr>
        <w:spacing w:line="360" w:lineRule="auto"/>
        <w:ind w:firstLine="480" w:firstLineChars="200"/>
        <w:rPr>
          <w:rFonts w:ascii="宋体" w:hAnsi="宋体"/>
          <w:sz w:val="24"/>
        </w:rPr>
      </w:pPr>
      <w:r>
        <w:rPr>
          <w:rFonts w:hint="eastAsia" w:ascii="宋体" w:hAnsi="宋体"/>
          <w:sz w:val="24"/>
        </w:rPr>
        <w:t>系统建设期间，项目组人员不少于6人；团队人员具有网络工程师相关认证证书、CISAW信息安全保障人员认证证书、CISP注册信息安全专业人员证书的优先考虑。</w:t>
      </w:r>
    </w:p>
    <w:p>
      <w:pPr>
        <w:spacing w:line="360" w:lineRule="auto"/>
        <w:ind w:firstLine="480" w:firstLineChars="200"/>
        <w:rPr>
          <w:rFonts w:ascii="宋体" w:hAnsi="宋体"/>
          <w:sz w:val="24"/>
        </w:rPr>
      </w:pPr>
    </w:p>
    <w:p>
      <w:pPr>
        <w:pStyle w:val="3"/>
        <w:numPr>
          <w:ilvl w:val="0"/>
          <w:numId w:val="2"/>
        </w:numPr>
        <w:spacing w:before="0" w:after="0" w:line="360" w:lineRule="auto"/>
        <w:rPr>
          <w:rFonts w:ascii="宋体" w:hAnsi="宋体" w:eastAsia="宋体"/>
          <w:sz w:val="24"/>
          <w:szCs w:val="24"/>
        </w:rPr>
      </w:pPr>
      <w:r>
        <w:rPr>
          <w:rFonts w:hint="eastAsia" w:ascii="宋体" w:hAnsi="宋体" w:eastAsia="宋体"/>
          <w:sz w:val="24"/>
          <w:szCs w:val="24"/>
        </w:rPr>
        <w:t>其他要求</w:t>
      </w:r>
    </w:p>
    <w:p>
      <w:pPr>
        <w:spacing w:line="360" w:lineRule="auto"/>
        <w:ind w:firstLine="480" w:firstLineChars="200"/>
        <w:rPr>
          <w:rFonts w:ascii="宋体" w:hAnsi="宋体"/>
          <w:sz w:val="24"/>
        </w:rPr>
      </w:pPr>
      <w:r>
        <w:rPr>
          <w:rFonts w:hint="eastAsia" w:ascii="宋体" w:hAnsi="宋体"/>
          <w:sz w:val="24"/>
        </w:rPr>
        <w:t>供应商</w:t>
      </w:r>
      <w:r>
        <w:rPr>
          <w:rFonts w:ascii="宋体" w:hAnsi="宋体"/>
          <w:sz w:val="24"/>
        </w:rPr>
        <w:t>具有</w:t>
      </w:r>
      <w:r>
        <w:rPr>
          <w:rFonts w:hint="eastAsia" w:ascii="宋体" w:hAnsi="宋体"/>
          <w:sz w:val="24"/>
        </w:rPr>
        <w:t>质量管理体系认证、信息技术服务管理体系认证、信息安全管理体系认证、</w:t>
      </w:r>
      <w:r>
        <w:rPr>
          <w:rFonts w:ascii="宋体" w:hAnsi="宋体"/>
          <w:sz w:val="24"/>
        </w:rPr>
        <w:t>隐私信息管理体系证书</w:t>
      </w:r>
      <w:r>
        <w:rPr>
          <w:rFonts w:hint="eastAsia" w:ascii="宋体" w:hAnsi="宋体"/>
          <w:sz w:val="24"/>
        </w:rPr>
        <w:t>的优先考虑；</w:t>
      </w:r>
    </w:p>
    <w:p>
      <w:pPr>
        <w:spacing w:line="360" w:lineRule="auto"/>
        <w:ind w:firstLine="480" w:firstLineChars="200"/>
        <w:rPr>
          <w:rFonts w:ascii="宋体" w:hAnsi="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国标黑体">
    <w:panose1 w:val="020005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微软雅黑">
    <w:altName w:val="方正黑体_GBK"/>
    <w:panose1 w:val="020B0503020204020204"/>
    <w:charset w:val="86"/>
    <w:family w:val="swiss"/>
    <w:pitch w:val="default"/>
    <w:sig w:usb0="00000000" w:usb1="00000000" w:usb2="00000016" w:usb3="00000000" w:csb0="0004001F" w:csb1="00000000"/>
  </w:font>
  <w:font w:name="华文新魏">
    <w:panose1 w:val="02010800040101010101"/>
    <w:charset w:val="86"/>
    <w:family w:val="auto"/>
    <w:pitch w:val="default"/>
    <w:sig w:usb0="00000001" w:usb1="080F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E"/>
    <w:multiLevelType w:val="multilevel"/>
    <w:tmpl w:val="0000000E"/>
    <w:lvl w:ilvl="0" w:tentative="0">
      <w:start w:val="1"/>
      <w:numFmt w:val="bullet"/>
      <w:lvlText w:val=""/>
      <w:lvlJc w:val="left"/>
      <w:pPr>
        <w:ind w:left="1200" w:hanging="360"/>
      </w:pPr>
      <w:rPr>
        <w:rFonts w:hint="default" w:ascii="Wingdings" w:hAnsi="Wingdings"/>
      </w:rPr>
    </w:lvl>
    <w:lvl w:ilvl="1" w:tentative="0">
      <w:start w:val="1"/>
      <w:numFmt w:val="bullet"/>
      <w:lvlText w:val="o"/>
      <w:lvlJc w:val="left"/>
      <w:pPr>
        <w:ind w:left="1920" w:hanging="360"/>
      </w:pPr>
      <w:rPr>
        <w:rFonts w:hint="default" w:ascii="Courier New" w:hAnsi="Courier New" w:cs="Courier New"/>
      </w:rPr>
    </w:lvl>
    <w:lvl w:ilvl="2" w:tentative="0">
      <w:start w:val="1"/>
      <w:numFmt w:val="bullet"/>
      <w:lvlText w:val=""/>
      <w:lvlJc w:val="left"/>
      <w:pPr>
        <w:ind w:left="2640" w:hanging="360"/>
      </w:pPr>
      <w:rPr>
        <w:rFonts w:hint="default" w:ascii="Wingdings" w:hAnsi="Wingdings"/>
      </w:rPr>
    </w:lvl>
    <w:lvl w:ilvl="3" w:tentative="0">
      <w:start w:val="1"/>
      <w:numFmt w:val="bullet"/>
      <w:lvlText w:val=""/>
      <w:lvlJc w:val="left"/>
      <w:pPr>
        <w:ind w:left="3360" w:hanging="360"/>
      </w:pPr>
      <w:rPr>
        <w:rFonts w:hint="default" w:ascii="Symbol" w:hAnsi="Symbol"/>
      </w:rPr>
    </w:lvl>
    <w:lvl w:ilvl="4" w:tentative="0">
      <w:start w:val="1"/>
      <w:numFmt w:val="bullet"/>
      <w:lvlText w:val="o"/>
      <w:lvlJc w:val="left"/>
      <w:pPr>
        <w:ind w:left="4080" w:hanging="360"/>
      </w:pPr>
      <w:rPr>
        <w:rFonts w:hint="default" w:ascii="Courier New" w:hAnsi="Courier New" w:cs="Courier New"/>
      </w:rPr>
    </w:lvl>
    <w:lvl w:ilvl="5" w:tentative="0">
      <w:start w:val="1"/>
      <w:numFmt w:val="bullet"/>
      <w:lvlText w:val=""/>
      <w:lvlJc w:val="left"/>
      <w:pPr>
        <w:ind w:left="4800" w:hanging="360"/>
      </w:pPr>
      <w:rPr>
        <w:rFonts w:hint="default" w:ascii="Wingdings" w:hAnsi="Wingdings"/>
      </w:rPr>
    </w:lvl>
    <w:lvl w:ilvl="6" w:tentative="0">
      <w:start w:val="1"/>
      <w:numFmt w:val="bullet"/>
      <w:lvlText w:val=""/>
      <w:lvlJc w:val="left"/>
      <w:pPr>
        <w:ind w:left="5520" w:hanging="360"/>
      </w:pPr>
      <w:rPr>
        <w:rFonts w:hint="default" w:ascii="Symbol" w:hAnsi="Symbol"/>
      </w:rPr>
    </w:lvl>
    <w:lvl w:ilvl="7" w:tentative="0">
      <w:start w:val="1"/>
      <w:numFmt w:val="bullet"/>
      <w:lvlText w:val="o"/>
      <w:lvlJc w:val="left"/>
      <w:pPr>
        <w:ind w:left="6240" w:hanging="360"/>
      </w:pPr>
      <w:rPr>
        <w:rFonts w:hint="default" w:ascii="Courier New" w:hAnsi="Courier New" w:cs="Courier New"/>
      </w:rPr>
    </w:lvl>
    <w:lvl w:ilvl="8" w:tentative="0">
      <w:start w:val="1"/>
      <w:numFmt w:val="bullet"/>
      <w:lvlText w:val=""/>
      <w:lvlJc w:val="left"/>
      <w:pPr>
        <w:ind w:left="6960" w:hanging="360"/>
      </w:pPr>
      <w:rPr>
        <w:rFonts w:hint="default" w:ascii="Wingdings" w:hAnsi="Wingdings"/>
      </w:rPr>
    </w:lvl>
  </w:abstractNum>
  <w:abstractNum w:abstractNumId="1">
    <w:nsid w:val="0AC7177F"/>
    <w:multiLevelType w:val="multilevel"/>
    <w:tmpl w:val="0AC7177F"/>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F6C6769"/>
    <w:multiLevelType w:val="multilevel"/>
    <w:tmpl w:val="0F6C6769"/>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511E21E8"/>
    <w:multiLevelType w:val="multilevel"/>
    <w:tmpl w:val="511E21E8"/>
    <w:lvl w:ilvl="0" w:tentative="0">
      <w:start w:val="1"/>
      <w:numFmt w:val="decimal"/>
      <w:lvlText w:val="%1. "/>
      <w:lvlJc w:val="left"/>
      <w:pPr>
        <w:tabs>
          <w:tab w:val="left" w:pos="420"/>
        </w:tabs>
        <w:ind w:left="420" w:hanging="420"/>
      </w:pPr>
      <w:rPr>
        <w:rFonts w:hint="eastAsia"/>
      </w:r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4">
    <w:nsid w:val="7CA5081B"/>
    <w:multiLevelType w:val="multilevel"/>
    <w:tmpl w:val="7CA5081B"/>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DEB"/>
    <w:rsid w:val="00013500"/>
    <w:rsid w:val="00040923"/>
    <w:rsid w:val="00047ABB"/>
    <w:rsid w:val="00050AB4"/>
    <w:rsid w:val="00077DFD"/>
    <w:rsid w:val="00090D83"/>
    <w:rsid w:val="000A101C"/>
    <w:rsid w:val="000D649E"/>
    <w:rsid w:val="000F0C50"/>
    <w:rsid w:val="000F580B"/>
    <w:rsid w:val="00153DB4"/>
    <w:rsid w:val="00162EC5"/>
    <w:rsid w:val="00166F31"/>
    <w:rsid w:val="00175BB2"/>
    <w:rsid w:val="00180DEB"/>
    <w:rsid w:val="00190CEE"/>
    <w:rsid w:val="001C221E"/>
    <w:rsid w:val="001D1AEF"/>
    <w:rsid w:val="001D3897"/>
    <w:rsid w:val="0020231D"/>
    <w:rsid w:val="00202A40"/>
    <w:rsid w:val="002032D4"/>
    <w:rsid w:val="00211B95"/>
    <w:rsid w:val="0022779B"/>
    <w:rsid w:val="00241B56"/>
    <w:rsid w:val="0024353E"/>
    <w:rsid w:val="002519FA"/>
    <w:rsid w:val="002579A2"/>
    <w:rsid w:val="00270568"/>
    <w:rsid w:val="00273862"/>
    <w:rsid w:val="002763BF"/>
    <w:rsid w:val="0028113A"/>
    <w:rsid w:val="0029590F"/>
    <w:rsid w:val="002B0AA1"/>
    <w:rsid w:val="002B1424"/>
    <w:rsid w:val="002B6AE0"/>
    <w:rsid w:val="002C52E0"/>
    <w:rsid w:val="002D2FAB"/>
    <w:rsid w:val="002E0208"/>
    <w:rsid w:val="002F4813"/>
    <w:rsid w:val="00307077"/>
    <w:rsid w:val="00320FEE"/>
    <w:rsid w:val="00327B30"/>
    <w:rsid w:val="0033662E"/>
    <w:rsid w:val="00350EDD"/>
    <w:rsid w:val="003525E2"/>
    <w:rsid w:val="0035453E"/>
    <w:rsid w:val="00364C5F"/>
    <w:rsid w:val="00380106"/>
    <w:rsid w:val="003C658F"/>
    <w:rsid w:val="003E761A"/>
    <w:rsid w:val="00403BD1"/>
    <w:rsid w:val="00430145"/>
    <w:rsid w:val="00431C50"/>
    <w:rsid w:val="004371D9"/>
    <w:rsid w:val="00443E63"/>
    <w:rsid w:val="00450A6D"/>
    <w:rsid w:val="004522F3"/>
    <w:rsid w:val="00462F24"/>
    <w:rsid w:val="00472AEB"/>
    <w:rsid w:val="00475A4C"/>
    <w:rsid w:val="00483927"/>
    <w:rsid w:val="00487B88"/>
    <w:rsid w:val="00494395"/>
    <w:rsid w:val="004A001B"/>
    <w:rsid w:val="004B0A8B"/>
    <w:rsid w:val="004B535F"/>
    <w:rsid w:val="004B683A"/>
    <w:rsid w:val="004B6CD6"/>
    <w:rsid w:val="004C3022"/>
    <w:rsid w:val="004C4FA9"/>
    <w:rsid w:val="004C75CF"/>
    <w:rsid w:val="004D53D1"/>
    <w:rsid w:val="004E653D"/>
    <w:rsid w:val="004E7E2B"/>
    <w:rsid w:val="004F4302"/>
    <w:rsid w:val="0050374A"/>
    <w:rsid w:val="00552676"/>
    <w:rsid w:val="0055452D"/>
    <w:rsid w:val="00556935"/>
    <w:rsid w:val="00595ED9"/>
    <w:rsid w:val="005A0B77"/>
    <w:rsid w:val="005A1E02"/>
    <w:rsid w:val="005B5F45"/>
    <w:rsid w:val="005C1F30"/>
    <w:rsid w:val="005C3CCB"/>
    <w:rsid w:val="005D2EAD"/>
    <w:rsid w:val="005D510C"/>
    <w:rsid w:val="005E331C"/>
    <w:rsid w:val="005E5E83"/>
    <w:rsid w:val="00602374"/>
    <w:rsid w:val="006070FC"/>
    <w:rsid w:val="00612014"/>
    <w:rsid w:val="00636390"/>
    <w:rsid w:val="006364F3"/>
    <w:rsid w:val="00654E91"/>
    <w:rsid w:val="00663079"/>
    <w:rsid w:val="00667612"/>
    <w:rsid w:val="00673ED3"/>
    <w:rsid w:val="00674D8C"/>
    <w:rsid w:val="006A2401"/>
    <w:rsid w:val="006B2751"/>
    <w:rsid w:val="006C1378"/>
    <w:rsid w:val="006D5A58"/>
    <w:rsid w:val="006F51E6"/>
    <w:rsid w:val="00706819"/>
    <w:rsid w:val="00713A0E"/>
    <w:rsid w:val="00737D57"/>
    <w:rsid w:val="00760D69"/>
    <w:rsid w:val="00775D80"/>
    <w:rsid w:val="00794599"/>
    <w:rsid w:val="007B6599"/>
    <w:rsid w:val="007E38D3"/>
    <w:rsid w:val="007E53AD"/>
    <w:rsid w:val="007F12CB"/>
    <w:rsid w:val="00803959"/>
    <w:rsid w:val="00862F70"/>
    <w:rsid w:val="00872D81"/>
    <w:rsid w:val="00877017"/>
    <w:rsid w:val="00880A91"/>
    <w:rsid w:val="00890A2C"/>
    <w:rsid w:val="008B5A74"/>
    <w:rsid w:val="008D07FF"/>
    <w:rsid w:val="008D2A8F"/>
    <w:rsid w:val="008F63F0"/>
    <w:rsid w:val="00907A5E"/>
    <w:rsid w:val="00920287"/>
    <w:rsid w:val="00946251"/>
    <w:rsid w:val="009536D0"/>
    <w:rsid w:val="00962D83"/>
    <w:rsid w:val="00966117"/>
    <w:rsid w:val="009719DD"/>
    <w:rsid w:val="009753DD"/>
    <w:rsid w:val="00975FB0"/>
    <w:rsid w:val="00976E3E"/>
    <w:rsid w:val="00992CF3"/>
    <w:rsid w:val="0099586A"/>
    <w:rsid w:val="00996CC7"/>
    <w:rsid w:val="009A4FFD"/>
    <w:rsid w:val="009E389D"/>
    <w:rsid w:val="009F53B0"/>
    <w:rsid w:val="00A120FC"/>
    <w:rsid w:val="00A35549"/>
    <w:rsid w:val="00A40D45"/>
    <w:rsid w:val="00A62BB3"/>
    <w:rsid w:val="00A63796"/>
    <w:rsid w:val="00A660AF"/>
    <w:rsid w:val="00A721B5"/>
    <w:rsid w:val="00A76688"/>
    <w:rsid w:val="00A808A0"/>
    <w:rsid w:val="00A83936"/>
    <w:rsid w:val="00A90CB3"/>
    <w:rsid w:val="00A96100"/>
    <w:rsid w:val="00AA7164"/>
    <w:rsid w:val="00AB0CFF"/>
    <w:rsid w:val="00AD1552"/>
    <w:rsid w:val="00AD4AC3"/>
    <w:rsid w:val="00AE1E5D"/>
    <w:rsid w:val="00AE7FFA"/>
    <w:rsid w:val="00B0529F"/>
    <w:rsid w:val="00B11454"/>
    <w:rsid w:val="00B12837"/>
    <w:rsid w:val="00B15C74"/>
    <w:rsid w:val="00B16755"/>
    <w:rsid w:val="00B4150A"/>
    <w:rsid w:val="00B43A9D"/>
    <w:rsid w:val="00B50C92"/>
    <w:rsid w:val="00B535E2"/>
    <w:rsid w:val="00B5567A"/>
    <w:rsid w:val="00B55F52"/>
    <w:rsid w:val="00B74EB0"/>
    <w:rsid w:val="00B8234A"/>
    <w:rsid w:val="00B96210"/>
    <w:rsid w:val="00BA33B3"/>
    <w:rsid w:val="00BA555C"/>
    <w:rsid w:val="00BC56C6"/>
    <w:rsid w:val="00BC5894"/>
    <w:rsid w:val="00BE212D"/>
    <w:rsid w:val="00BF05E0"/>
    <w:rsid w:val="00BF383E"/>
    <w:rsid w:val="00BF4DDB"/>
    <w:rsid w:val="00BF55A6"/>
    <w:rsid w:val="00BF5628"/>
    <w:rsid w:val="00C00770"/>
    <w:rsid w:val="00C114D1"/>
    <w:rsid w:val="00C22F48"/>
    <w:rsid w:val="00C3509B"/>
    <w:rsid w:val="00C53510"/>
    <w:rsid w:val="00C61C17"/>
    <w:rsid w:val="00C75D2A"/>
    <w:rsid w:val="00C9360C"/>
    <w:rsid w:val="00CA2941"/>
    <w:rsid w:val="00CA3725"/>
    <w:rsid w:val="00CC1A10"/>
    <w:rsid w:val="00CC23EA"/>
    <w:rsid w:val="00CC45D6"/>
    <w:rsid w:val="00CC48AF"/>
    <w:rsid w:val="00CD7D8D"/>
    <w:rsid w:val="00CF21F2"/>
    <w:rsid w:val="00D001DA"/>
    <w:rsid w:val="00D130E0"/>
    <w:rsid w:val="00D156B2"/>
    <w:rsid w:val="00D222FC"/>
    <w:rsid w:val="00D269EC"/>
    <w:rsid w:val="00D37A05"/>
    <w:rsid w:val="00D40031"/>
    <w:rsid w:val="00D40816"/>
    <w:rsid w:val="00D45DFC"/>
    <w:rsid w:val="00D52FF6"/>
    <w:rsid w:val="00D612F7"/>
    <w:rsid w:val="00D6433A"/>
    <w:rsid w:val="00D6474A"/>
    <w:rsid w:val="00D7103D"/>
    <w:rsid w:val="00D83460"/>
    <w:rsid w:val="00DA324F"/>
    <w:rsid w:val="00DB1BDE"/>
    <w:rsid w:val="00DB60A7"/>
    <w:rsid w:val="00DB656F"/>
    <w:rsid w:val="00DC20A8"/>
    <w:rsid w:val="00DD1C6D"/>
    <w:rsid w:val="00DE043C"/>
    <w:rsid w:val="00DF12E8"/>
    <w:rsid w:val="00E06509"/>
    <w:rsid w:val="00E077B9"/>
    <w:rsid w:val="00E07D08"/>
    <w:rsid w:val="00E11E0B"/>
    <w:rsid w:val="00E132B3"/>
    <w:rsid w:val="00E249DA"/>
    <w:rsid w:val="00E40955"/>
    <w:rsid w:val="00E50F39"/>
    <w:rsid w:val="00E52209"/>
    <w:rsid w:val="00E5362C"/>
    <w:rsid w:val="00E56E7C"/>
    <w:rsid w:val="00E6080C"/>
    <w:rsid w:val="00E60C56"/>
    <w:rsid w:val="00E65479"/>
    <w:rsid w:val="00E77390"/>
    <w:rsid w:val="00E803F1"/>
    <w:rsid w:val="00E81053"/>
    <w:rsid w:val="00E919AD"/>
    <w:rsid w:val="00E9432E"/>
    <w:rsid w:val="00E95BB4"/>
    <w:rsid w:val="00E97BE7"/>
    <w:rsid w:val="00EA298D"/>
    <w:rsid w:val="00EB0570"/>
    <w:rsid w:val="00EC4ADF"/>
    <w:rsid w:val="00EC701F"/>
    <w:rsid w:val="00ED363D"/>
    <w:rsid w:val="00EE6DD8"/>
    <w:rsid w:val="00EF11BD"/>
    <w:rsid w:val="00F04BE2"/>
    <w:rsid w:val="00F11353"/>
    <w:rsid w:val="00F16253"/>
    <w:rsid w:val="00F30236"/>
    <w:rsid w:val="00F30BD9"/>
    <w:rsid w:val="00F43525"/>
    <w:rsid w:val="00F43A96"/>
    <w:rsid w:val="00F45F86"/>
    <w:rsid w:val="00F6757C"/>
    <w:rsid w:val="00F76461"/>
    <w:rsid w:val="00F85168"/>
    <w:rsid w:val="00FB542D"/>
    <w:rsid w:val="00FC0D42"/>
    <w:rsid w:val="00FD67E7"/>
    <w:rsid w:val="00FE210C"/>
    <w:rsid w:val="00FE49EC"/>
    <w:rsid w:val="00FE6610"/>
    <w:rsid w:val="00FF0D9B"/>
    <w:rsid w:val="00FF1D97"/>
    <w:rsid w:val="00FF3DCA"/>
    <w:rsid w:val="3DFF99B4"/>
    <w:rsid w:val="7B2F3901"/>
    <w:rsid w:val="B6BE4FA0"/>
    <w:rsid w:val="BA7E8D00"/>
    <w:rsid w:val="BFBABE29"/>
    <w:rsid w:val="DFD31B64"/>
    <w:rsid w:val="F7FF4511"/>
    <w:rsid w:val="FF7691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0"/>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3"/>
    <w:next w:val="5"/>
    <w:link w:val="21"/>
    <w:qFormat/>
    <w:uiPriority w:val="9"/>
    <w:pPr>
      <w:numPr>
        <w:ilvl w:val="2"/>
      </w:numPr>
      <w:outlineLvl w:val="2"/>
    </w:pPr>
    <w:rPr>
      <w:b w:val="0"/>
      <w:bCs w:val="0"/>
    </w:rPr>
  </w:style>
  <w:style w:type="paragraph" w:styleId="5">
    <w:name w:val="heading 4"/>
    <w:basedOn w:val="1"/>
    <w:next w:val="1"/>
    <w:link w:val="24"/>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40"/>
    <w:qFormat/>
    <w:uiPriority w:val="0"/>
    <w:pPr>
      <w:ind w:firstLine="420"/>
    </w:pPr>
  </w:style>
  <w:style w:type="paragraph" w:styleId="7">
    <w:name w:val="Document Map"/>
    <w:basedOn w:val="1"/>
    <w:link w:val="35"/>
    <w:semiHidden/>
    <w:unhideWhenUsed/>
    <w:qFormat/>
    <w:uiPriority w:val="99"/>
    <w:rPr>
      <w:rFonts w:ascii="宋体"/>
      <w:sz w:val="18"/>
      <w:szCs w:val="18"/>
    </w:rPr>
  </w:style>
  <w:style w:type="paragraph" w:styleId="8">
    <w:name w:val="annotation text"/>
    <w:basedOn w:val="1"/>
    <w:link w:val="38"/>
    <w:unhideWhenUsed/>
    <w:qFormat/>
    <w:uiPriority w:val="99"/>
    <w:pPr>
      <w:jc w:val="left"/>
    </w:pPr>
  </w:style>
  <w:style w:type="paragraph" w:styleId="9">
    <w:name w:val="Body Text"/>
    <w:basedOn w:val="1"/>
    <w:link w:val="29"/>
    <w:qFormat/>
    <w:uiPriority w:val="0"/>
    <w:pPr>
      <w:widowControl/>
      <w:overflowPunct w:val="0"/>
      <w:autoSpaceDE w:val="0"/>
      <w:autoSpaceDN w:val="0"/>
      <w:adjustRightInd w:val="0"/>
      <w:snapToGrid w:val="0"/>
      <w:spacing w:line="360" w:lineRule="auto"/>
      <w:textAlignment w:val="baseline"/>
    </w:pPr>
    <w:rPr>
      <w:rFonts w:ascii="宋体" w:hAnsi="宋体" w:eastAsiaTheme="minorEastAsia" w:cstheme="minorBidi"/>
      <w:i/>
      <w:sz w:val="24"/>
      <w:szCs w:val="22"/>
    </w:rPr>
  </w:style>
  <w:style w:type="paragraph" w:styleId="10">
    <w:name w:val="Plain Text"/>
    <w:basedOn w:val="1"/>
    <w:link w:val="30"/>
    <w:qFormat/>
    <w:uiPriority w:val="0"/>
    <w:rPr>
      <w:rFonts w:ascii="宋体" w:hAnsi="Courier New" w:cs="Courier New" w:eastAsiaTheme="minorEastAsia"/>
      <w:szCs w:val="21"/>
    </w:rPr>
  </w:style>
  <w:style w:type="paragraph" w:styleId="11">
    <w:name w:val="Balloon Text"/>
    <w:basedOn w:val="1"/>
    <w:link w:val="41"/>
    <w:semiHidden/>
    <w:unhideWhenUsed/>
    <w:qFormat/>
    <w:uiPriority w:val="99"/>
    <w:rPr>
      <w:sz w:val="18"/>
      <w:szCs w:val="18"/>
    </w:rPr>
  </w:style>
  <w:style w:type="paragraph" w:styleId="12">
    <w:name w:val="footer"/>
    <w:basedOn w:val="1"/>
    <w:link w:val="26"/>
    <w:unhideWhenUsed/>
    <w:qFormat/>
    <w:uiPriority w:val="99"/>
    <w:pPr>
      <w:tabs>
        <w:tab w:val="center" w:pos="4153"/>
        <w:tab w:val="right" w:pos="8306"/>
      </w:tabs>
      <w:snapToGrid w:val="0"/>
      <w:jc w:val="left"/>
    </w:pPr>
    <w:rPr>
      <w:sz w:val="18"/>
      <w:szCs w:val="18"/>
    </w:rPr>
  </w:style>
  <w:style w:type="paragraph" w:styleId="13">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annotation subject"/>
    <w:basedOn w:val="8"/>
    <w:next w:val="8"/>
    <w:link w:val="39"/>
    <w:semiHidden/>
    <w:unhideWhenUsed/>
    <w:qFormat/>
    <w:uiPriority w:val="99"/>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qFormat/>
    <w:uiPriority w:val="99"/>
    <w:rPr>
      <w:color w:val="0000FF"/>
      <w:u w:val="single"/>
    </w:rPr>
  </w:style>
  <w:style w:type="character" w:styleId="19">
    <w:name w:val="annotation reference"/>
    <w:basedOn w:val="17"/>
    <w:semiHidden/>
    <w:unhideWhenUsed/>
    <w:qFormat/>
    <w:uiPriority w:val="99"/>
    <w:rPr>
      <w:sz w:val="21"/>
      <w:szCs w:val="21"/>
    </w:rPr>
  </w:style>
  <w:style w:type="character" w:customStyle="1" w:styleId="20">
    <w:name w:val="标题 2 字符"/>
    <w:basedOn w:val="17"/>
    <w:link w:val="3"/>
    <w:qFormat/>
    <w:uiPriority w:val="0"/>
    <w:rPr>
      <w:rFonts w:ascii="Arial" w:hAnsi="Arial" w:eastAsia="黑体" w:cs="Times New Roman"/>
      <w:b/>
      <w:bCs/>
      <w:sz w:val="32"/>
      <w:szCs w:val="32"/>
    </w:rPr>
  </w:style>
  <w:style w:type="character" w:customStyle="1" w:styleId="21">
    <w:name w:val="标题 3 字符"/>
    <w:basedOn w:val="17"/>
    <w:link w:val="4"/>
    <w:qFormat/>
    <w:uiPriority w:val="9"/>
    <w:rPr>
      <w:rFonts w:ascii="Arial" w:hAnsi="Arial" w:eastAsia="黑体" w:cs="Times New Roman"/>
      <w:sz w:val="32"/>
      <w:szCs w:val="32"/>
    </w:rPr>
  </w:style>
  <w:style w:type="character" w:customStyle="1" w:styleId="22">
    <w:name w:val="列出段落 字符"/>
    <w:link w:val="23"/>
    <w:qFormat/>
    <w:locked/>
    <w:uiPriority w:val="34"/>
    <w:rPr>
      <w:rFonts w:ascii="Calibri" w:hAnsi="Calibri" w:eastAsia="宋体"/>
    </w:rPr>
  </w:style>
  <w:style w:type="paragraph" w:styleId="23">
    <w:name w:val="List Paragraph"/>
    <w:basedOn w:val="1"/>
    <w:link w:val="22"/>
    <w:qFormat/>
    <w:uiPriority w:val="34"/>
    <w:pPr>
      <w:ind w:firstLine="420" w:firstLineChars="200"/>
    </w:pPr>
    <w:rPr>
      <w:rFonts w:ascii="Calibri" w:hAnsi="Calibri" w:cstheme="minorBidi"/>
      <w:szCs w:val="22"/>
    </w:rPr>
  </w:style>
  <w:style w:type="character" w:customStyle="1" w:styleId="24">
    <w:name w:val="标题 4 字符"/>
    <w:basedOn w:val="17"/>
    <w:link w:val="5"/>
    <w:semiHidden/>
    <w:qFormat/>
    <w:uiPriority w:val="9"/>
    <w:rPr>
      <w:rFonts w:asciiTheme="majorHAnsi" w:hAnsiTheme="majorHAnsi" w:eastAsiaTheme="majorEastAsia" w:cstheme="majorBidi"/>
      <w:b/>
      <w:bCs/>
      <w:sz w:val="28"/>
      <w:szCs w:val="28"/>
    </w:rPr>
  </w:style>
  <w:style w:type="character" w:customStyle="1" w:styleId="25">
    <w:name w:val="页眉 字符"/>
    <w:basedOn w:val="17"/>
    <w:link w:val="13"/>
    <w:qFormat/>
    <w:uiPriority w:val="99"/>
    <w:rPr>
      <w:rFonts w:ascii="Times New Roman" w:hAnsi="Times New Roman" w:eastAsia="宋体" w:cs="Times New Roman"/>
      <w:sz w:val="18"/>
      <w:szCs w:val="18"/>
    </w:rPr>
  </w:style>
  <w:style w:type="character" w:customStyle="1" w:styleId="26">
    <w:name w:val="页脚 字符"/>
    <w:basedOn w:val="17"/>
    <w:link w:val="12"/>
    <w:qFormat/>
    <w:uiPriority w:val="99"/>
    <w:rPr>
      <w:rFonts w:ascii="Times New Roman" w:hAnsi="Times New Roman" w:eastAsia="宋体" w:cs="Times New Roman"/>
      <w:sz w:val="18"/>
      <w:szCs w:val="18"/>
    </w:rPr>
  </w:style>
  <w:style w:type="character" w:customStyle="1" w:styleId="27">
    <w:name w:val="apple-converted-space"/>
    <w:basedOn w:val="17"/>
    <w:qFormat/>
    <w:uiPriority w:val="0"/>
  </w:style>
  <w:style w:type="paragraph" w:customStyle="1" w:styleId="28">
    <w:name w:val="正文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29">
    <w:name w:val="正文文本 字符"/>
    <w:link w:val="9"/>
    <w:qFormat/>
    <w:locked/>
    <w:uiPriority w:val="0"/>
    <w:rPr>
      <w:rFonts w:ascii="宋体" w:hAnsi="宋体"/>
      <w:i/>
      <w:sz w:val="24"/>
    </w:rPr>
  </w:style>
  <w:style w:type="character" w:customStyle="1" w:styleId="30">
    <w:name w:val="纯文本 字符"/>
    <w:link w:val="10"/>
    <w:qFormat/>
    <w:locked/>
    <w:uiPriority w:val="0"/>
    <w:rPr>
      <w:rFonts w:ascii="宋体" w:hAnsi="Courier New" w:cs="Courier New"/>
      <w:szCs w:val="21"/>
    </w:rPr>
  </w:style>
  <w:style w:type="character" w:customStyle="1" w:styleId="31">
    <w:name w:val="正文文本 Char1"/>
    <w:basedOn w:val="17"/>
    <w:semiHidden/>
    <w:qFormat/>
    <w:uiPriority w:val="99"/>
    <w:rPr>
      <w:rFonts w:ascii="Times New Roman" w:hAnsi="Times New Roman" w:eastAsia="宋体" w:cs="Times New Roman"/>
      <w:szCs w:val="20"/>
    </w:rPr>
  </w:style>
  <w:style w:type="character" w:customStyle="1" w:styleId="32">
    <w:name w:val="纯文本 Char1"/>
    <w:basedOn w:val="17"/>
    <w:semiHidden/>
    <w:qFormat/>
    <w:uiPriority w:val="99"/>
    <w:rPr>
      <w:rFonts w:ascii="宋体" w:hAnsi="Courier New" w:eastAsia="宋体" w:cs="Courier New"/>
      <w:szCs w:val="21"/>
    </w:rPr>
  </w:style>
  <w:style w:type="paragraph" w:customStyle="1" w:styleId="33">
    <w:name w:val="列出段落1"/>
    <w:basedOn w:val="1"/>
    <w:qFormat/>
    <w:uiPriority w:val="0"/>
    <w:pPr>
      <w:ind w:firstLine="420" w:firstLineChars="200"/>
    </w:pPr>
    <w:rPr>
      <w:rFonts w:ascii="Calibri" w:hAnsi="Calibri"/>
      <w:szCs w:val="22"/>
    </w:rPr>
  </w:style>
  <w:style w:type="paragraph" w:customStyle="1" w:styleId="34">
    <w:name w:val="Table Paragraph"/>
    <w:basedOn w:val="1"/>
    <w:qFormat/>
    <w:uiPriority w:val="1"/>
    <w:pPr>
      <w:jc w:val="left"/>
    </w:pPr>
    <w:rPr>
      <w:rFonts w:ascii="Calibri" w:hAnsi="Calibri"/>
      <w:kern w:val="0"/>
      <w:sz w:val="22"/>
      <w:szCs w:val="22"/>
      <w:lang w:eastAsia="en-US"/>
    </w:rPr>
  </w:style>
  <w:style w:type="character" w:customStyle="1" w:styleId="35">
    <w:name w:val="文档结构图 字符"/>
    <w:basedOn w:val="17"/>
    <w:link w:val="7"/>
    <w:semiHidden/>
    <w:qFormat/>
    <w:uiPriority w:val="99"/>
    <w:rPr>
      <w:rFonts w:ascii="宋体" w:hAnsi="Times New Roman" w:eastAsia="宋体" w:cs="Times New Roman"/>
      <w:sz w:val="18"/>
      <w:szCs w:val="18"/>
    </w:rPr>
  </w:style>
  <w:style w:type="character" w:customStyle="1" w:styleId="36">
    <w:name w:val="项目编号A Char Char"/>
    <w:link w:val="37"/>
    <w:qFormat/>
    <w:locked/>
    <w:uiPriority w:val="0"/>
    <w:rPr>
      <w:rFonts w:ascii="Arial" w:hAnsi="Arial" w:cs="Arial"/>
      <w:sz w:val="24"/>
      <w:szCs w:val="24"/>
    </w:rPr>
  </w:style>
  <w:style w:type="paragraph" w:customStyle="1" w:styleId="37">
    <w:name w:val="项目编号A"/>
    <w:basedOn w:val="1"/>
    <w:link w:val="36"/>
    <w:qFormat/>
    <w:uiPriority w:val="0"/>
    <w:pPr>
      <w:tabs>
        <w:tab w:val="left" w:pos="432"/>
      </w:tabs>
      <w:spacing w:line="360" w:lineRule="auto"/>
      <w:ind w:left="432" w:hanging="432"/>
    </w:pPr>
    <w:rPr>
      <w:rFonts w:ascii="Arial" w:hAnsi="Arial" w:cs="Arial" w:eastAsiaTheme="minorEastAsia"/>
      <w:sz w:val="24"/>
      <w:szCs w:val="24"/>
    </w:rPr>
  </w:style>
  <w:style w:type="character" w:customStyle="1" w:styleId="38">
    <w:name w:val="批注文字 字符"/>
    <w:basedOn w:val="17"/>
    <w:link w:val="8"/>
    <w:qFormat/>
    <w:uiPriority w:val="99"/>
    <w:rPr>
      <w:rFonts w:ascii="Times New Roman" w:hAnsi="Times New Roman" w:eastAsia="宋体" w:cs="Times New Roman"/>
      <w:szCs w:val="20"/>
    </w:rPr>
  </w:style>
  <w:style w:type="character" w:customStyle="1" w:styleId="39">
    <w:name w:val="批注主题 字符"/>
    <w:basedOn w:val="38"/>
    <w:link w:val="14"/>
    <w:semiHidden/>
    <w:qFormat/>
    <w:uiPriority w:val="99"/>
    <w:rPr>
      <w:rFonts w:ascii="Times New Roman" w:hAnsi="Times New Roman" w:eastAsia="宋体" w:cs="Times New Roman"/>
      <w:b/>
      <w:bCs/>
      <w:szCs w:val="20"/>
    </w:rPr>
  </w:style>
  <w:style w:type="character" w:customStyle="1" w:styleId="40">
    <w:name w:val="正文缩进 字符"/>
    <w:link w:val="6"/>
    <w:qFormat/>
    <w:uiPriority w:val="0"/>
    <w:rPr>
      <w:rFonts w:ascii="Times New Roman" w:hAnsi="Times New Roman" w:eastAsia="宋体" w:cs="Times New Roman"/>
      <w:szCs w:val="20"/>
    </w:rPr>
  </w:style>
  <w:style w:type="character" w:customStyle="1" w:styleId="41">
    <w:name w:val="批注框文本 字符"/>
    <w:basedOn w:val="17"/>
    <w:link w:val="11"/>
    <w:semiHidden/>
    <w:qFormat/>
    <w:uiPriority w:val="99"/>
    <w:rPr>
      <w:rFonts w:ascii="Times New Roman" w:hAnsi="Times New Roman" w:eastAsia="宋体" w:cs="Times New Roman"/>
      <w:sz w:val="18"/>
      <w:szCs w:val="18"/>
    </w:rPr>
  </w:style>
  <w:style w:type="paragraph" w:customStyle="1" w:styleId="42">
    <w:name w:val="修订1"/>
    <w:hidden/>
    <w:semiHidden/>
    <w:qFormat/>
    <w:uiPriority w:val="99"/>
    <w:rPr>
      <w:rFonts w:ascii="Times New Roman" w:hAnsi="Times New Roman" w:eastAsia="宋体" w:cs="Times New Roman"/>
      <w:kern w:val="2"/>
      <w:sz w:val="21"/>
      <w:lang w:val="en-US" w:eastAsia="zh-CN" w:bidi="ar-SA"/>
    </w:rPr>
  </w:style>
  <w:style w:type="paragraph" w:customStyle="1" w:styleId="43">
    <w:name w:val="_Style 41"/>
    <w:basedOn w:val="1"/>
    <w:next w:val="23"/>
    <w:qFormat/>
    <w:uiPriority w:val="0"/>
    <w:pPr>
      <w:ind w:firstLine="420" w:firstLineChars="200"/>
    </w:pPr>
    <w:rPr>
      <w:szCs w:val="24"/>
    </w:rPr>
  </w:style>
  <w:style w:type="character" w:customStyle="1" w:styleId="44">
    <w:name w:val="文档正文 Char"/>
    <w:link w:val="45"/>
    <w:qFormat/>
    <w:uiPriority w:val="0"/>
    <w:rPr>
      <w:sz w:val="24"/>
    </w:rPr>
  </w:style>
  <w:style w:type="paragraph" w:customStyle="1" w:styleId="45">
    <w:name w:val="文档正文"/>
    <w:basedOn w:val="1"/>
    <w:link w:val="44"/>
    <w:unhideWhenUsed/>
    <w:qFormat/>
    <w:uiPriority w:val="0"/>
    <w:pPr>
      <w:widowControl/>
      <w:snapToGrid w:val="0"/>
      <w:spacing w:before="60" w:after="60" w:line="360" w:lineRule="atLeast"/>
      <w:ind w:firstLine="482"/>
      <w:jc w:val="left"/>
    </w:pPr>
    <w:rPr>
      <w:rFonts w:asciiTheme="minorHAnsi" w:hAnsiTheme="minorHAnsi" w:eastAsiaTheme="minorEastAsia" w:cstheme="minorBidi"/>
      <w:sz w:val="24"/>
      <w:szCs w:val="22"/>
    </w:rPr>
  </w:style>
  <w:style w:type="paragraph" w:customStyle="1" w:styleId="46">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character" w:customStyle="1" w:styleId="47">
    <w:name w:val="标题 1 字符"/>
    <w:basedOn w:val="17"/>
    <w:link w:val="2"/>
    <w:qFormat/>
    <w:uiPriority w:val="9"/>
    <w:rPr>
      <w:rFonts w:ascii="Times New Roman" w:hAnsi="Times New Roman" w:eastAsia="宋体" w:cs="Times New Roman"/>
      <w:b/>
      <w:bCs/>
      <w:kern w:val="44"/>
      <w:sz w:val="44"/>
      <w:szCs w:val="44"/>
    </w:rPr>
  </w:style>
  <w:style w:type="character" w:customStyle="1" w:styleId="48">
    <w:name w:val="列表段落 字符2"/>
    <w:qFormat/>
    <w:uiPriority w:val="34"/>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F45A306E-B923-4141-AC38-7E4D71AB0814}">
  <ds:schemaRefs/>
</ds:datastoreItem>
</file>

<file path=docProps/app.xml><?xml version="1.0" encoding="utf-8"?>
<Properties xmlns="http://schemas.openxmlformats.org/officeDocument/2006/extended-properties" xmlns:vt="http://schemas.openxmlformats.org/officeDocument/2006/docPropsVTypes">
  <Template>Normal.dotm</Template>
  <Pages>36</Pages>
  <Words>2699</Words>
  <Characters>15390</Characters>
  <Lines>128</Lines>
  <Paragraphs>36</Paragraphs>
  <TotalTime>9</TotalTime>
  <ScaleCrop>false</ScaleCrop>
  <LinksUpToDate>false</LinksUpToDate>
  <CharactersWithSpaces>18053</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2025-07-01T23:32:00Z</dcterms:created>
  <dc:creator>feng</dc:creator>
  <cp:lastModifiedBy>user</cp:lastModifiedBy>
  <dcterms:modified xsi:type="dcterms:W3CDTF">2025-07-02T11:25:56Z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D40BBF331636CC0974805268D4FCFF8B_42</vt:lpwstr>
  </property>
</Properties>
</file>