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ascii="黑体" w:hAnsi="黑体" w:eastAsia="黑体"/>
          <w:color w:val="auto"/>
          <w:sz w:val="48"/>
          <w:szCs w:val="48"/>
        </w:rPr>
      </w:pPr>
    </w:p>
    <w:p>
      <w:pPr>
        <w:ind w:firstLine="0" w:firstLineChars="0"/>
        <w:jc w:val="center"/>
        <w:rPr>
          <w:rFonts w:ascii="黑体" w:hAnsi="黑体" w:eastAsia="黑体"/>
          <w:color w:val="auto"/>
          <w:sz w:val="48"/>
          <w:szCs w:val="48"/>
        </w:rPr>
      </w:pPr>
    </w:p>
    <w:p>
      <w:pPr>
        <w:ind w:firstLine="0" w:firstLineChars="0"/>
        <w:jc w:val="center"/>
        <w:rPr>
          <w:rFonts w:ascii="黑体" w:hAnsi="黑体" w:eastAsia="黑体"/>
          <w:color w:val="auto"/>
          <w:sz w:val="52"/>
          <w:szCs w:val="52"/>
        </w:rPr>
      </w:pPr>
      <w:r>
        <w:rPr>
          <w:rFonts w:hint="eastAsia" w:ascii="黑体" w:hAnsi="黑体" w:eastAsia="黑体"/>
          <w:color w:val="auto"/>
          <w:sz w:val="52"/>
          <w:szCs w:val="52"/>
        </w:rPr>
        <w:t>上海市基于</w:t>
      </w:r>
      <w:r>
        <w:rPr>
          <w:rFonts w:ascii="黑体" w:hAnsi="黑体" w:eastAsia="黑体"/>
          <w:color w:val="auto"/>
          <w:sz w:val="52"/>
          <w:szCs w:val="52"/>
        </w:rPr>
        <w:t>BIM的工程建设项目</w:t>
      </w:r>
    </w:p>
    <w:p>
      <w:pPr>
        <w:ind w:firstLine="0" w:firstLineChars="0"/>
        <w:jc w:val="center"/>
        <w:rPr>
          <w:rFonts w:ascii="黑体" w:hAnsi="黑体" w:eastAsia="黑体"/>
          <w:color w:val="auto"/>
          <w:sz w:val="52"/>
          <w:szCs w:val="52"/>
        </w:rPr>
      </w:pPr>
      <w:r>
        <w:rPr>
          <w:rFonts w:ascii="黑体" w:hAnsi="黑体" w:eastAsia="黑体"/>
          <w:color w:val="auto"/>
          <w:sz w:val="52"/>
          <w:szCs w:val="52"/>
        </w:rPr>
        <w:t>全生命周期政府监管系统（一期）</w:t>
      </w:r>
    </w:p>
    <w:p>
      <w:pPr>
        <w:ind w:firstLine="0" w:firstLineChars="0"/>
        <w:jc w:val="center"/>
        <w:rPr>
          <w:rFonts w:ascii="黑体" w:hAnsi="黑体" w:eastAsia="黑体"/>
          <w:color w:val="auto"/>
          <w:sz w:val="52"/>
          <w:szCs w:val="52"/>
        </w:rPr>
      </w:pPr>
      <w:r>
        <w:rPr>
          <w:rFonts w:ascii="黑体" w:hAnsi="黑体" w:eastAsia="黑体"/>
          <w:color w:val="auto"/>
          <w:sz w:val="52"/>
          <w:szCs w:val="52"/>
        </w:rPr>
        <w:t>（升级改造）</w:t>
      </w:r>
      <w:r>
        <w:rPr>
          <w:rFonts w:hint="eastAsia" w:ascii="黑体" w:hAnsi="黑体" w:eastAsia="黑体"/>
          <w:color w:val="auto"/>
          <w:sz w:val="52"/>
          <w:szCs w:val="52"/>
        </w:rPr>
        <w:t>项目</w:t>
      </w:r>
    </w:p>
    <w:p>
      <w:pPr>
        <w:ind w:firstLine="0" w:firstLineChars="0"/>
        <w:jc w:val="center"/>
        <w:rPr>
          <w:rFonts w:ascii="黑体" w:hAnsi="黑体" w:eastAsia="黑体"/>
          <w:color w:val="auto"/>
          <w:sz w:val="52"/>
          <w:szCs w:val="52"/>
        </w:rPr>
      </w:pPr>
    </w:p>
    <w:p>
      <w:pPr>
        <w:ind w:firstLine="0" w:firstLineChars="0"/>
        <w:jc w:val="center"/>
        <w:rPr>
          <w:rFonts w:ascii="黑体" w:hAnsi="黑体" w:eastAsia="黑体"/>
          <w:color w:val="auto"/>
          <w:sz w:val="52"/>
          <w:szCs w:val="52"/>
        </w:rPr>
      </w:pPr>
      <w:r>
        <w:rPr>
          <w:rFonts w:hint="eastAsia" w:ascii="黑体" w:hAnsi="黑体" w:eastAsia="黑体"/>
          <w:color w:val="auto"/>
          <w:sz w:val="52"/>
          <w:szCs w:val="52"/>
        </w:rPr>
        <w:t>采购需求</w:t>
      </w:r>
    </w:p>
    <w:p>
      <w:pPr>
        <w:ind w:firstLine="0" w:firstLineChars="0"/>
        <w:jc w:val="center"/>
        <w:rPr>
          <w:rFonts w:ascii="黑体" w:hAnsi="黑体" w:eastAsia="黑体"/>
          <w:color w:val="auto"/>
          <w:sz w:val="72"/>
          <w:szCs w:val="72"/>
        </w:rPr>
      </w:pPr>
    </w:p>
    <w:p>
      <w:pPr>
        <w:ind w:firstLine="0" w:firstLineChars="0"/>
        <w:jc w:val="center"/>
        <w:rPr>
          <w:rFonts w:ascii="黑体" w:hAnsi="黑体" w:eastAsia="黑体"/>
          <w:color w:val="auto"/>
          <w:sz w:val="48"/>
          <w:szCs w:val="48"/>
        </w:rPr>
      </w:pPr>
    </w:p>
    <w:p>
      <w:pPr>
        <w:ind w:firstLine="0" w:firstLineChars="0"/>
        <w:jc w:val="center"/>
        <w:rPr>
          <w:rFonts w:ascii="黑体" w:hAnsi="黑体" w:eastAsia="黑体"/>
          <w:color w:val="auto"/>
          <w:sz w:val="52"/>
          <w:szCs w:val="52"/>
        </w:rPr>
      </w:pPr>
    </w:p>
    <w:p>
      <w:pPr>
        <w:ind w:firstLine="1040"/>
        <w:rPr>
          <w:rFonts w:ascii="黑体" w:hAnsi="黑体" w:eastAsia="黑体"/>
          <w:color w:val="auto"/>
          <w:sz w:val="52"/>
          <w:szCs w:val="52"/>
        </w:rPr>
      </w:pPr>
    </w:p>
    <w:p>
      <w:pPr>
        <w:rPr>
          <w:color w:val="auto"/>
        </w:rPr>
      </w:pPr>
    </w:p>
    <w:p>
      <w:pPr>
        <w:rPr>
          <w:color w:val="auto"/>
        </w:rPr>
      </w:pPr>
    </w:p>
    <w:p>
      <w:pPr>
        <w:rPr>
          <w:color w:val="auto"/>
        </w:rPr>
      </w:pPr>
    </w:p>
    <w:p>
      <w:pPr>
        <w:rPr>
          <w:color w:val="auto"/>
        </w:rPr>
      </w:pPr>
    </w:p>
    <w:p>
      <w:pPr>
        <w:rPr>
          <w:color w:val="auto"/>
        </w:rPr>
      </w:pPr>
    </w:p>
    <w:p>
      <w:pPr>
        <w:ind w:firstLine="1040"/>
        <w:rPr>
          <w:rFonts w:ascii="黑体" w:hAnsi="黑体" w:eastAsia="黑体"/>
          <w:color w:val="auto"/>
          <w:sz w:val="52"/>
          <w:szCs w:val="52"/>
        </w:rPr>
      </w:pPr>
    </w:p>
    <w:p>
      <w:pPr>
        <w:jc w:val="center"/>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pPr>
        <w:pStyle w:val="2"/>
        <w:rPr>
          <w:color w:val="auto"/>
        </w:rPr>
      </w:pPr>
      <w:bookmarkStart w:id="0" w:name="_Toc63785461"/>
      <w:r>
        <w:rPr>
          <w:rFonts w:hint="eastAsia"/>
          <w:color w:val="auto"/>
        </w:rPr>
        <w:t>项目概况</w:t>
      </w:r>
      <w:bookmarkEnd w:id="0"/>
    </w:p>
    <w:p>
      <w:pPr>
        <w:spacing w:line="560" w:lineRule="exact"/>
        <w:rPr>
          <w:color w:val="auto"/>
        </w:rPr>
      </w:pPr>
      <w:r>
        <w:rPr>
          <w:rFonts w:hint="eastAsia"/>
          <w:color w:val="auto"/>
        </w:rPr>
        <w:t>项目背景&amp;现状：</w:t>
      </w:r>
      <w:r>
        <w:rPr>
          <w:color w:val="auto"/>
        </w:rPr>
        <w:t>2021年，本市发布《关于进一步推进本市工程建设项目施工图设计文件审查改革工作的通知》（沪建建管联〔2021〕288号）中，提出进一步优化审查方式，探索推进施工图智能化审查。明确“依托审批管理系统，研究开发基于BIM技术的一站式建设管理智能化审批功能，健全统一的规则库和数据交互标准，形成基于BIM技术的审批体系，探索实施三维模型及导出的施工图设计文件自动审查及审核监管，推进施工图审查由审核图纸向审核模型过渡。”同时，该文件规定了本市免于施工图审查、转为政府部门事中事后监管的六种项目类型。2021年11月，市住建委印发了《上海市房屋建筑施工图、竣工建筑信息模型建模和交付要求（试行）》的通知（沪建建管〔2021〕725号），对提交本系统的模型提出了技术层面的细化要求。《上海市住房和城乡建设管理行业数字化转型实施方案》中明确，“搭建基于BIM技术的智能审查和监管系统，试点数字化交付，形成数字化监管模式”</w:t>
      </w:r>
      <w:r>
        <w:rPr>
          <w:rFonts w:hint="eastAsia"/>
          <w:color w:val="auto"/>
        </w:rPr>
        <w:t>。</w:t>
      </w:r>
    </w:p>
    <w:p>
      <w:pPr>
        <w:spacing w:line="560" w:lineRule="exact"/>
        <w:rPr>
          <w:color w:val="auto"/>
        </w:rPr>
      </w:pPr>
      <w:r>
        <w:rPr>
          <w:rFonts w:hint="eastAsia"/>
          <w:color w:val="auto"/>
        </w:rPr>
        <w:t>本项目在前期项目建设的基础上进行</w:t>
      </w:r>
      <w:r>
        <w:rPr>
          <w:color w:val="auto"/>
        </w:rPr>
        <w:t>升级改造，对基于BIM的全生命周期政府监管体系进行技术层面的顶层设计，明确接入系统进行监管的BIM模型交付标准，并从辅助政府审批和对设计质量进行事中事后监管的角度进行审查要点分析、智能算法开发、基础平台</w:t>
      </w:r>
      <w:r>
        <w:rPr>
          <w:rFonts w:hint="eastAsia"/>
          <w:color w:val="auto"/>
        </w:rPr>
        <w:t>等</w:t>
      </w:r>
      <w:r>
        <w:rPr>
          <w:color w:val="auto"/>
        </w:rPr>
        <w:t>建设。</w:t>
      </w:r>
    </w:p>
    <w:p>
      <w:pPr>
        <w:spacing w:line="560" w:lineRule="exact"/>
        <w:rPr>
          <w:color w:val="auto"/>
        </w:rPr>
      </w:pPr>
      <w:r>
        <w:rPr>
          <w:rFonts w:hint="eastAsia"/>
          <w:color w:val="auto"/>
        </w:rPr>
        <w:t>建设期限：自合同签订之日起至2024年11月30日</w:t>
      </w:r>
    </w:p>
    <w:p>
      <w:pPr>
        <w:spacing w:line="560" w:lineRule="exact"/>
        <w:rPr>
          <w:color w:val="auto"/>
        </w:rPr>
      </w:pPr>
      <w:r>
        <w:rPr>
          <w:rFonts w:hint="eastAsia"/>
          <w:color w:val="auto"/>
        </w:rPr>
        <w:t>建设地点：上海市住房和城乡建设管理委员会</w:t>
      </w:r>
    </w:p>
    <w:p>
      <w:pPr>
        <w:spacing w:line="560" w:lineRule="exact"/>
        <w:rPr>
          <w:color w:val="auto"/>
        </w:rPr>
      </w:pPr>
      <w:r>
        <w:rPr>
          <w:rFonts w:hint="eastAsia"/>
          <w:color w:val="auto"/>
        </w:rPr>
        <w:t>预算金额：</w:t>
      </w:r>
      <w:bookmarkStart w:id="1" w:name="_Hlk124156411"/>
      <w:r>
        <w:rPr>
          <w:color w:val="auto"/>
        </w:rPr>
        <w:t>3,862,500</w:t>
      </w:r>
      <w:r>
        <w:rPr>
          <w:rFonts w:hint="eastAsia"/>
          <w:color w:val="auto"/>
        </w:rPr>
        <w:t>.</w:t>
      </w:r>
      <w:r>
        <w:rPr>
          <w:color w:val="auto"/>
        </w:rPr>
        <w:t>00</w:t>
      </w:r>
      <w:bookmarkEnd w:id="1"/>
      <w:r>
        <w:rPr>
          <w:rFonts w:hint="eastAsia"/>
          <w:color w:val="auto"/>
        </w:rPr>
        <w:t>元。</w:t>
      </w:r>
    </w:p>
    <w:p>
      <w:pPr>
        <w:spacing w:line="560" w:lineRule="exact"/>
        <w:rPr>
          <w:color w:val="auto"/>
        </w:rPr>
      </w:pPr>
      <w:r>
        <w:rPr>
          <w:rFonts w:hint="eastAsia"/>
          <w:color w:val="auto"/>
        </w:rPr>
        <w:t>采购金额（最高限价）：</w:t>
      </w:r>
      <w:r>
        <w:rPr>
          <w:color w:val="auto"/>
        </w:rPr>
        <w:t>3,862,500</w:t>
      </w:r>
      <w:r>
        <w:rPr>
          <w:rFonts w:hint="eastAsia"/>
          <w:color w:val="auto"/>
        </w:rPr>
        <w:t>.</w:t>
      </w:r>
      <w:r>
        <w:rPr>
          <w:color w:val="auto"/>
        </w:rPr>
        <w:t>00</w:t>
      </w:r>
      <w:r>
        <w:rPr>
          <w:rFonts w:hint="eastAsia"/>
          <w:color w:val="auto"/>
        </w:rPr>
        <w:t>元</w:t>
      </w:r>
    </w:p>
    <w:p>
      <w:pPr>
        <w:rPr>
          <w:color w:val="auto"/>
        </w:rPr>
      </w:pPr>
      <w:r>
        <w:rPr>
          <w:rFonts w:hint="eastAsia"/>
          <w:color w:val="auto"/>
        </w:rPr>
        <w:t>组织形式：集中采购</w:t>
      </w:r>
    </w:p>
    <w:p>
      <w:pPr>
        <w:rPr>
          <w:color w:val="auto"/>
        </w:rPr>
      </w:pPr>
      <w:r>
        <w:rPr>
          <w:rFonts w:hint="eastAsia"/>
          <w:color w:val="auto"/>
        </w:rPr>
        <w:t>采购方式：竞争性磋商</w:t>
      </w:r>
    </w:p>
    <w:p>
      <w:pPr>
        <w:rPr>
          <w:color w:val="auto"/>
        </w:rPr>
      </w:pPr>
      <w:r>
        <w:rPr>
          <w:rFonts w:hint="eastAsia"/>
          <w:color w:val="auto"/>
        </w:rPr>
        <w:t>是否接受联合体投标：否</w:t>
      </w:r>
    </w:p>
    <w:p>
      <w:pPr>
        <w:rPr>
          <w:color w:val="auto"/>
        </w:rPr>
      </w:pPr>
      <w:r>
        <w:rPr>
          <w:color w:val="auto"/>
        </w:rPr>
        <w:t>是否按信创要求建设：是</w:t>
      </w:r>
    </w:p>
    <w:p>
      <w:pPr>
        <w:rPr>
          <w:color w:val="auto"/>
        </w:rPr>
      </w:pPr>
      <w:r>
        <w:rPr>
          <w:rFonts w:hint="eastAsia"/>
          <w:color w:val="auto"/>
        </w:rPr>
        <w:t>运维后所属大系统：市住建委“一网通办”门户</w:t>
      </w:r>
    </w:p>
    <w:p>
      <w:pPr>
        <w:pStyle w:val="2"/>
        <w:rPr>
          <w:color w:val="auto"/>
        </w:rPr>
      </w:pPr>
      <w:bookmarkStart w:id="2" w:name="_Toc47539070"/>
      <w:bookmarkEnd w:id="2"/>
      <w:bookmarkStart w:id="3" w:name="_Toc47531634"/>
      <w:bookmarkEnd w:id="3"/>
      <w:bookmarkStart w:id="4" w:name="_Toc47536644"/>
      <w:bookmarkEnd w:id="4"/>
      <w:bookmarkStart w:id="5" w:name="_Toc47532891"/>
      <w:bookmarkEnd w:id="5"/>
      <w:bookmarkStart w:id="6" w:name="_Toc47537134"/>
      <w:bookmarkEnd w:id="6"/>
      <w:bookmarkStart w:id="7" w:name="_Toc47533256"/>
      <w:bookmarkEnd w:id="7"/>
      <w:bookmarkStart w:id="8" w:name="_Toc47536272"/>
      <w:bookmarkEnd w:id="8"/>
      <w:bookmarkStart w:id="9" w:name="_Toc47532255"/>
      <w:bookmarkEnd w:id="9"/>
      <w:bookmarkStart w:id="10" w:name="_Toc63785463"/>
      <w:bookmarkStart w:id="11" w:name="_Toc48223882"/>
      <w:r>
        <w:rPr>
          <w:rFonts w:hint="eastAsia"/>
          <w:color w:val="auto"/>
        </w:rPr>
        <w:t>建设目标</w:t>
      </w:r>
      <w:bookmarkEnd w:id="10"/>
      <w:bookmarkEnd w:id="11"/>
    </w:p>
    <w:p>
      <w:pPr>
        <w:pStyle w:val="165"/>
        <w:numPr>
          <w:ilvl w:val="0"/>
          <w:numId w:val="4"/>
        </w:numPr>
        <w:ind w:left="426" w:firstLineChars="0"/>
        <w:rPr>
          <w:b/>
          <w:bCs/>
          <w:color w:val="auto"/>
          <w:sz w:val="24"/>
          <w:szCs w:val="24"/>
        </w:rPr>
      </w:pPr>
      <w:r>
        <w:rPr>
          <w:rFonts w:hint="eastAsia" w:ascii="宋体" w:hAnsi="宋体"/>
          <w:b/>
          <w:bCs/>
          <w:color w:val="auto"/>
          <w:sz w:val="24"/>
          <w:szCs w:val="24"/>
        </w:rPr>
        <w:t>实现目标</w:t>
      </w:r>
    </w:p>
    <w:p>
      <w:pPr>
        <w:rPr>
          <w:color w:val="auto"/>
        </w:rPr>
      </w:pPr>
      <w:r>
        <w:rPr>
          <w:rFonts w:hint="eastAsia"/>
          <w:color w:val="auto"/>
        </w:rPr>
        <w:t>通过基于</w:t>
      </w:r>
      <w:r>
        <w:rPr>
          <w:color w:val="auto"/>
        </w:rPr>
        <w:t>BIM模型审查技术能有效提高政府审批设计质量监管的把控，有效缩减管理人员的重复工作量，同时降低失误率，提升审查的技术水平，通过BIM技术助力提高工程建设项目审批的效率和质量，优化行政资源配置，推动工程建设项目审批改革从行政审批提效向新技术辅助技术审查提速转变，助力城市工程建设管理的信息化管控，为CIM基础平台提供基础数据。</w:t>
      </w:r>
    </w:p>
    <w:p>
      <w:pPr>
        <w:rPr>
          <w:color w:val="auto"/>
        </w:rPr>
      </w:pPr>
      <w:r>
        <w:rPr>
          <w:rFonts w:hint="eastAsia"/>
          <w:color w:val="auto"/>
        </w:rPr>
        <w:t>通过基于</w:t>
      </w:r>
      <w:r>
        <w:rPr>
          <w:color w:val="auto"/>
        </w:rPr>
        <w:t>BIM的工程建设项目全生命周期政府监管系统升级改造项目的实施，从基于BIM的设计质量监管贯穿到现场监管、竣工检查，带动市场和现场联动，辅助进行工程建设项目全生命周期监管和高效的电子化审批，提高项目审批数字化和信息化水平，加强工程建设项目可视化的BIM数字化监管和审查，推动建设领域信息化、数字化、智能化建设，为智慧城市建设奠定基础</w:t>
      </w:r>
      <w:r>
        <w:rPr>
          <w:rFonts w:hint="eastAsia"/>
          <w:color w:val="auto"/>
        </w:rPr>
        <w:t>。</w:t>
      </w:r>
    </w:p>
    <w:p>
      <w:pPr>
        <w:pStyle w:val="165"/>
        <w:numPr>
          <w:ilvl w:val="0"/>
          <w:numId w:val="4"/>
        </w:numPr>
        <w:ind w:left="426" w:firstLineChars="0"/>
        <w:rPr>
          <w:rFonts w:ascii="宋体" w:hAnsi="宋体"/>
          <w:b/>
          <w:bCs/>
          <w:color w:val="auto"/>
          <w:sz w:val="24"/>
          <w:szCs w:val="24"/>
        </w:rPr>
      </w:pPr>
      <w:r>
        <w:rPr>
          <w:rFonts w:ascii="宋体" w:hAnsi="宋体"/>
          <w:b/>
          <w:bCs/>
          <w:color w:val="auto"/>
          <w:sz w:val="24"/>
          <w:szCs w:val="24"/>
        </w:rPr>
        <w:t>业务绩效指标</w:t>
      </w:r>
    </w:p>
    <w:p>
      <w:pPr>
        <w:rPr>
          <w:color w:val="auto"/>
        </w:rPr>
      </w:pPr>
      <w:r>
        <w:rPr>
          <w:rFonts w:hint="eastAsia"/>
          <w:color w:val="auto"/>
        </w:rPr>
        <w:t>通过本项目的建设，建立工程建设项目申请单位和管理部门之间线上线下联动的工作机制，推动高质量、高水平发展，推动新一轮改革。建立工程建设项目审批使用</w:t>
      </w:r>
      <w:r>
        <w:rPr>
          <w:color w:val="auto"/>
        </w:rPr>
        <w:t>BIM技术的有效机制，推进使用BIM模型进行交付和归档，为建设城市数字化管理体系提供基础数据，推动本市数字化转型相关重点工作任务的完成</w:t>
      </w:r>
      <w:r>
        <w:rPr>
          <w:rFonts w:hint="eastAsia"/>
          <w:color w:val="auto"/>
        </w:rPr>
        <w:t>。</w:t>
      </w:r>
    </w:p>
    <w:p>
      <w:pPr>
        <w:pStyle w:val="165"/>
        <w:numPr>
          <w:ilvl w:val="0"/>
          <w:numId w:val="4"/>
        </w:numPr>
        <w:ind w:left="426" w:firstLineChars="0"/>
        <w:rPr>
          <w:rFonts w:ascii="宋体" w:hAnsi="宋体"/>
          <w:b/>
          <w:bCs/>
          <w:color w:val="auto"/>
          <w:sz w:val="24"/>
          <w:szCs w:val="24"/>
        </w:rPr>
      </w:pPr>
      <w:r>
        <w:rPr>
          <w:rFonts w:ascii="宋体" w:hAnsi="宋体"/>
          <w:b/>
          <w:bCs/>
          <w:color w:val="auto"/>
          <w:sz w:val="24"/>
          <w:szCs w:val="24"/>
        </w:rPr>
        <w:t>功能考核指标</w:t>
      </w:r>
    </w:p>
    <w:p>
      <w:pPr>
        <w:rPr>
          <w:color w:val="auto"/>
        </w:rPr>
      </w:pPr>
      <w:r>
        <w:rPr>
          <w:rFonts w:hint="eastAsia"/>
          <w:color w:val="auto"/>
        </w:rPr>
        <w:t>根据功能设计要求保质保量完成开发，经过试运行各项功能运行正常，且须通过第三方机构的安全测评、软件测试和密码测评，应用软件功能实现率</w:t>
      </w:r>
      <w:r>
        <w:rPr>
          <w:color w:val="auto"/>
        </w:rPr>
        <w:t>&gt;90%，第三方测试通过率&gt;90%</w:t>
      </w:r>
      <w:r>
        <w:rPr>
          <w:rFonts w:hint="eastAsia"/>
          <w:color w:val="auto"/>
        </w:rPr>
        <w:t>，</w:t>
      </w:r>
      <w:r>
        <w:rPr>
          <w:color w:val="auto"/>
        </w:rPr>
        <w:t>应符合GB/T 25000.51-2016 中有关软件质量的要求，最终通过项目验收</w:t>
      </w:r>
      <w:r>
        <w:rPr>
          <w:rFonts w:hint="eastAsia"/>
          <w:color w:val="auto"/>
        </w:rPr>
        <w:t>。</w:t>
      </w:r>
    </w:p>
    <w:p>
      <w:pPr>
        <w:pStyle w:val="165"/>
        <w:numPr>
          <w:ilvl w:val="0"/>
          <w:numId w:val="4"/>
        </w:numPr>
        <w:ind w:left="426" w:firstLineChars="0"/>
        <w:rPr>
          <w:rFonts w:ascii="宋体" w:hAnsi="宋体"/>
          <w:b/>
          <w:bCs/>
          <w:color w:val="auto"/>
          <w:sz w:val="24"/>
          <w:szCs w:val="24"/>
        </w:rPr>
      </w:pPr>
      <w:r>
        <w:rPr>
          <w:rFonts w:ascii="宋体" w:hAnsi="宋体"/>
          <w:b/>
          <w:bCs/>
          <w:color w:val="auto"/>
          <w:sz w:val="24"/>
          <w:szCs w:val="24"/>
        </w:rPr>
        <w:t>性能及安全考核指标</w:t>
      </w:r>
    </w:p>
    <w:p>
      <w:pPr>
        <w:rPr>
          <w:color w:val="auto"/>
        </w:rPr>
      </w:pPr>
      <w:r>
        <w:rPr>
          <w:rFonts w:hint="eastAsia"/>
          <w:color w:val="auto"/>
        </w:rPr>
        <w:t>1、软件性能</w:t>
      </w:r>
    </w:p>
    <w:p>
      <w:pPr>
        <w:rPr>
          <w:color w:val="auto"/>
        </w:rPr>
      </w:pPr>
      <w:r>
        <w:rPr>
          <w:rFonts w:hint="eastAsia"/>
          <w:color w:val="auto"/>
        </w:rPr>
        <w:t>A）系统架构满足未来3年内业务发展的要求，确保系统持续正常运行。</w:t>
      </w:r>
    </w:p>
    <w:p>
      <w:pPr>
        <w:rPr>
          <w:color w:val="auto"/>
        </w:rPr>
      </w:pPr>
      <w:r>
        <w:rPr>
          <w:rFonts w:hint="eastAsia"/>
          <w:color w:val="auto"/>
        </w:rPr>
        <w:t>B）一般查询操作响应时间小于3秒，一般业务办理操作响应时间小于5秒；复杂的统计分析响应时间小于10秒。平台性能及安全考核指标：</w:t>
      </w:r>
    </w:p>
    <w:p>
      <w:pPr>
        <w:rPr>
          <w:color w:val="auto"/>
        </w:rPr>
      </w:pPr>
      <w:r>
        <w:rPr>
          <w:rFonts w:hint="eastAsia"/>
          <w:color w:val="auto"/>
        </w:rPr>
        <w:t>1）在线数为500个，并发数为50个；</w:t>
      </w:r>
    </w:p>
    <w:p>
      <w:pPr>
        <w:rPr>
          <w:color w:val="auto"/>
        </w:rPr>
      </w:pPr>
      <w:r>
        <w:rPr>
          <w:rFonts w:hint="eastAsia"/>
          <w:color w:val="auto"/>
        </w:rPr>
        <w:t>2）模型加载时间不超过10秒；数据呈现时间不超过3秒，简单的查询响应时间不超过5秒，复杂的查询时间不超过10秒；</w:t>
      </w:r>
    </w:p>
    <w:p>
      <w:pPr>
        <w:rPr>
          <w:color w:val="auto"/>
        </w:rPr>
      </w:pPr>
      <w:r>
        <w:rPr>
          <w:rFonts w:hint="eastAsia"/>
          <w:color w:val="auto"/>
        </w:rPr>
        <w:t>3）无故障运行时间大于720小时；</w:t>
      </w:r>
    </w:p>
    <w:p>
      <w:pPr>
        <w:rPr>
          <w:color w:val="auto"/>
        </w:rPr>
      </w:pPr>
      <w:r>
        <w:rPr>
          <w:rFonts w:hint="eastAsia"/>
          <w:color w:val="auto"/>
        </w:rPr>
        <w:t>4）故障恢复时间小于</w:t>
      </w:r>
      <w:r>
        <w:rPr>
          <w:color w:val="auto"/>
        </w:rPr>
        <w:t>4</w:t>
      </w:r>
      <w:r>
        <w:rPr>
          <w:rFonts w:hint="eastAsia"/>
          <w:color w:val="auto"/>
        </w:rPr>
        <w:t>小时。</w:t>
      </w:r>
    </w:p>
    <w:p>
      <w:pPr>
        <w:rPr>
          <w:color w:val="auto"/>
        </w:rPr>
      </w:pPr>
      <w:r>
        <w:rPr>
          <w:rFonts w:hint="eastAsia"/>
          <w:color w:val="auto"/>
        </w:rPr>
        <w:t>2、安全性能</w:t>
      </w:r>
    </w:p>
    <w:p>
      <w:pPr>
        <w:rPr>
          <w:color w:val="auto"/>
        </w:rPr>
      </w:pPr>
      <w:r>
        <w:rPr>
          <w:rFonts w:hint="eastAsia"/>
          <w:color w:val="auto"/>
        </w:rPr>
        <w:t>系统应通过第三方机构的安全测评，满足信息安全等级保护的相应要求以及商用密码保护的要求，符合国产化软硬件选型要求与国产化运行环境适配。</w:t>
      </w:r>
    </w:p>
    <w:p>
      <w:pPr>
        <w:rPr>
          <w:color w:val="auto"/>
        </w:rPr>
      </w:pPr>
    </w:p>
    <w:p>
      <w:pPr>
        <w:pStyle w:val="2"/>
        <w:rPr>
          <w:color w:val="auto"/>
        </w:rPr>
      </w:pPr>
      <w:bookmarkStart w:id="12" w:name="_Toc47536304"/>
      <w:bookmarkEnd w:id="12"/>
      <w:bookmarkStart w:id="13" w:name="_Toc47533288"/>
      <w:bookmarkEnd w:id="13"/>
      <w:bookmarkStart w:id="14" w:name="_Toc47537166"/>
      <w:bookmarkEnd w:id="14"/>
      <w:bookmarkStart w:id="15" w:name="_Toc47532923"/>
      <w:bookmarkEnd w:id="15"/>
      <w:bookmarkStart w:id="16" w:name="_Toc47539102"/>
      <w:bookmarkEnd w:id="16"/>
      <w:bookmarkStart w:id="17" w:name="_Toc47536676"/>
      <w:bookmarkEnd w:id="17"/>
      <w:r>
        <w:rPr>
          <w:rFonts w:hint="eastAsia"/>
          <w:color w:val="auto"/>
        </w:rPr>
        <w:t>项目建设内容</w:t>
      </w:r>
    </w:p>
    <w:p>
      <w:pPr>
        <w:pStyle w:val="3"/>
        <w:ind w:left="0"/>
        <w:rPr>
          <w:color w:val="auto"/>
          <w:sz w:val="28"/>
          <w:szCs w:val="28"/>
        </w:rPr>
      </w:pPr>
      <w:bookmarkStart w:id="18" w:name="_Toc21664"/>
      <w:r>
        <w:rPr>
          <w:rFonts w:hint="eastAsia"/>
          <w:color w:val="auto"/>
          <w:sz w:val="28"/>
          <w:szCs w:val="28"/>
        </w:rPr>
        <w:t>项目总体设计</w:t>
      </w:r>
      <w:bookmarkEnd w:id="18"/>
    </w:p>
    <w:p>
      <w:pPr>
        <w:pStyle w:val="4"/>
        <w:ind w:left="420" w:hanging="420"/>
        <w:rPr>
          <w:color w:val="auto"/>
        </w:rPr>
      </w:pPr>
      <w:bookmarkStart w:id="19" w:name="_Toc25367"/>
      <w:r>
        <w:rPr>
          <w:rFonts w:hint="eastAsia"/>
          <w:color w:val="auto"/>
        </w:rPr>
        <w:t>技术路线</w:t>
      </w:r>
      <w:bookmarkEnd w:id="19"/>
    </w:p>
    <w:p>
      <w:pPr>
        <w:pStyle w:val="165"/>
        <w:numPr>
          <w:ilvl w:val="0"/>
          <w:numId w:val="5"/>
        </w:numPr>
        <w:ind w:left="0" w:firstLine="0" w:firstLineChars="0"/>
        <w:rPr>
          <w:rFonts w:ascii="宋体" w:hAnsi="宋体"/>
          <w:b/>
          <w:bCs/>
          <w:color w:val="auto"/>
          <w:sz w:val="24"/>
          <w:szCs w:val="24"/>
        </w:rPr>
      </w:pPr>
      <w:r>
        <w:rPr>
          <w:rFonts w:hint="eastAsia" w:ascii="宋体" w:hAnsi="宋体"/>
          <w:b/>
          <w:bCs/>
          <w:color w:val="auto"/>
          <w:sz w:val="24"/>
          <w:szCs w:val="24"/>
        </w:rPr>
        <w:t>技术路线</w:t>
      </w:r>
    </w:p>
    <w:p>
      <w:pPr>
        <w:rPr>
          <w:color w:val="auto"/>
        </w:rPr>
      </w:pPr>
      <w:r>
        <w:rPr>
          <w:rFonts w:hint="eastAsia"/>
          <w:color w:val="auto"/>
        </w:rPr>
        <w:t>1.系统总体框架</w:t>
      </w:r>
    </w:p>
    <w:p>
      <w:pPr>
        <w:rPr>
          <w:color w:val="auto"/>
        </w:rPr>
      </w:pPr>
      <w:r>
        <w:rPr>
          <w:rFonts w:hint="eastAsia"/>
          <w:color w:val="auto"/>
        </w:rPr>
        <w:t>基于平台规划的指导思想，本系统由下列部分组成：</w:t>
      </w:r>
    </w:p>
    <w:p>
      <w:pPr>
        <w:rPr>
          <w:color w:val="auto"/>
        </w:rPr>
      </w:pPr>
      <w:r>
        <w:rPr>
          <w:rFonts w:hint="eastAsia"/>
          <w:color w:val="auto"/>
        </w:rPr>
        <w:t>1)</w:t>
      </w:r>
      <w:r>
        <w:rPr>
          <w:rFonts w:hint="eastAsia"/>
          <w:color w:val="auto"/>
        </w:rPr>
        <w:tab/>
      </w:r>
      <w:r>
        <w:rPr>
          <w:rFonts w:hint="eastAsia"/>
          <w:color w:val="auto"/>
        </w:rPr>
        <w:t>数据层</w:t>
      </w:r>
    </w:p>
    <w:p>
      <w:pPr>
        <w:rPr>
          <w:color w:val="auto"/>
        </w:rPr>
      </w:pPr>
      <w:r>
        <w:rPr>
          <w:rFonts w:hint="eastAsia"/>
          <w:color w:val="auto"/>
        </w:rPr>
        <w:t>集成各种数据资源库为后续的各种不同的应用提供服务，包括BIM轻量化模型、视图、以及资料数据。</w:t>
      </w:r>
    </w:p>
    <w:p>
      <w:pPr>
        <w:rPr>
          <w:color w:val="auto"/>
        </w:rPr>
      </w:pPr>
      <w:r>
        <w:rPr>
          <w:rFonts w:hint="eastAsia"/>
          <w:color w:val="auto"/>
        </w:rPr>
        <w:t>2)</w:t>
      </w:r>
      <w:r>
        <w:rPr>
          <w:rFonts w:hint="eastAsia"/>
          <w:color w:val="auto"/>
        </w:rPr>
        <w:tab/>
      </w:r>
      <w:r>
        <w:rPr>
          <w:rFonts w:hint="eastAsia"/>
          <w:color w:val="auto"/>
        </w:rPr>
        <w:t>支撑层</w:t>
      </w:r>
    </w:p>
    <w:p>
      <w:pPr>
        <w:rPr>
          <w:color w:val="auto"/>
        </w:rPr>
      </w:pPr>
      <w:r>
        <w:rPr>
          <w:rFonts w:hint="eastAsia"/>
          <w:color w:val="auto"/>
        </w:rPr>
        <w:t>该层为各种应用系统提供基础支撑服务，它由多种不同的技术引擎或者功能组件构成，具体包括BIM导出插件、格式检查、数据标准、用户管理、智能审查引擎、规则库等。</w:t>
      </w:r>
    </w:p>
    <w:p>
      <w:pPr>
        <w:rPr>
          <w:color w:val="auto"/>
        </w:rPr>
      </w:pPr>
      <w:r>
        <w:rPr>
          <w:rFonts w:hint="eastAsia"/>
          <w:color w:val="auto"/>
        </w:rPr>
        <w:t>3)</w:t>
      </w:r>
      <w:r>
        <w:rPr>
          <w:rFonts w:hint="eastAsia"/>
          <w:color w:val="auto"/>
        </w:rPr>
        <w:tab/>
      </w:r>
      <w:r>
        <w:rPr>
          <w:rFonts w:hint="eastAsia"/>
          <w:color w:val="auto"/>
        </w:rPr>
        <w:t>应用层</w:t>
      </w:r>
    </w:p>
    <w:p>
      <w:pPr>
        <w:rPr>
          <w:color w:val="auto"/>
        </w:rPr>
      </w:pPr>
      <w:r>
        <w:rPr>
          <w:rFonts w:hint="eastAsia"/>
          <w:color w:val="auto"/>
        </w:rPr>
        <w:t>应用层为最终交付给用户使用的各种功能应用，主要包括模型浏览、自动审查、规范检索、审查报告等。应用层具备良好的扩展属性，随着业务和管理的变化，应用层可以增加或减少。</w:t>
      </w:r>
    </w:p>
    <w:p>
      <w:pPr>
        <w:rPr>
          <w:color w:val="auto"/>
        </w:rPr>
      </w:pPr>
      <w:r>
        <w:rPr>
          <w:rFonts w:hint="eastAsia"/>
          <w:color w:val="auto"/>
        </w:rPr>
        <w:t>2. 技术路线</w:t>
      </w:r>
    </w:p>
    <w:p>
      <w:pPr>
        <w:rPr>
          <w:color w:val="auto"/>
        </w:rPr>
      </w:pPr>
      <w:r>
        <w:rPr>
          <w:rFonts w:hint="eastAsia"/>
          <w:color w:val="auto"/>
        </w:rPr>
        <w:t>项目的技术路线围绕技术驱动（BIM数据融合）和业务需求（建设工程施工图检查）两条主线展开。从数据融合方面BIM能对二三维数据、全专业数据高效管理、发布与可视化分析，其中的技术要点包括BIM高效三维引擎、多级LOD及轻量化、二三维服务一体化管理与分布式部署。从业务需求方面，在工程建设项目审批制度改革的背景下，通过BIM审查支撑子系统，支撑管理人员完成图纸抽查和审查工作，为行政审批提供技术支撑，辅助优化审批流程；同时审查过程和结果在平台上都能留底，形成整个建设工程的审查数据库，方便监管部门对行业的整体监管；通过线上智能审查，缩短审批的时间。</w:t>
      </w:r>
    </w:p>
    <w:p>
      <w:pPr>
        <w:rPr>
          <w:color w:val="auto"/>
        </w:rPr>
      </w:pPr>
      <w:r>
        <w:rPr>
          <w:rFonts w:hint="eastAsia"/>
          <w:color w:val="auto"/>
        </w:rPr>
        <w:t>3.服务框架</w:t>
      </w:r>
    </w:p>
    <w:p>
      <w:pPr>
        <w:rPr>
          <w:color w:val="auto"/>
        </w:rPr>
      </w:pPr>
      <w:r>
        <w:rPr>
          <w:rFonts w:hint="eastAsia"/>
          <w:color w:val="auto"/>
        </w:rPr>
        <w:t>web服务器基于B/S模式进行设计与开发。BIM审查系统需满足能够部署在国产操作系统的服务器上，用户通过桌面端浏览器访问，能支持国产的客户端浏览器。</w:t>
      </w:r>
    </w:p>
    <w:p>
      <w:pPr>
        <w:pStyle w:val="4"/>
        <w:ind w:left="420" w:hanging="420"/>
        <w:rPr>
          <w:color w:val="auto"/>
        </w:rPr>
      </w:pPr>
      <w:bookmarkStart w:id="20" w:name="_Toc4193"/>
      <w:r>
        <w:rPr>
          <w:rFonts w:hint="eastAsia"/>
          <w:color w:val="auto"/>
        </w:rPr>
        <w:t>功能实现</w:t>
      </w:r>
    </w:p>
    <w:p>
      <w:pPr>
        <w:rPr>
          <w:color w:val="auto"/>
        </w:rPr>
      </w:pPr>
      <w:r>
        <w:rPr>
          <w:rFonts w:hint="eastAsia"/>
          <w:color w:val="auto"/>
        </w:rPr>
        <w:t>根据市大数据中心和市住建委的要求，协助制定并应用相关数据标准；对接大系统的用户体系，接受统一管理；根据市住建委实际需要，在</w:t>
      </w:r>
      <w:r>
        <w:rPr>
          <w:color w:val="auto"/>
        </w:rPr>
        <w:t>BIM智能化审查模型检查子系统</w:t>
      </w:r>
      <w:r>
        <w:rPr>
          <w:rFonts w:hint="eastAsia"/>
          <w:color w:val="auto"/>
        </w:rPr>
        <w:t>中，开发相应的条文功能。</w:t>
      </w:r>
    </w:p>
    <w:p>
      <w:pPr>
        <w:pStyle w:val="4"/>
        <w:ind w:left="420" w:hanging="420"/>
        <w:rPr>
          <w:color w:val="auto"/>
        </w:rPr>
      </w:pPr>
      <w:r>
        <w:rPr>
          <w:rFonts w:hint="eastAsia"/>
          <w:color w:val="auto"/>
        </w:rPr>
        <w:t>总体架构</w:t>
      </w:r>
      <w:bookmarkEnd w:id="20"/>
    </w:p>
    <w:p>
      <w:pPr>
        <w:pStyle w:val="166"/>
        <w:ind w:left="-849" w:leftChars="-354"/>
        <w:rPr>
          <w:color w:val="auto"/>
        </w:rPr>
      </w:pPr>
      <w:r>
        <w:rPr>
          <w:color w:val="auto"/>
          <w:szCs w:val="28"/>
        </w:rPr>
        <w:drawing>
          <wp:inline distT="0" distB="0" distL="114300" distR="114300">
            <wp:extent cx="6038850" cy="3619500"/>
            <wp:effectExtent l="0" t="0" r="0" b="0"/>
            <wp:docPr id="121" name="图片 121" descr="a875a624e6049fad48998bc50c9e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descr="a875a624e6049fad48998bc50c9e8aa"/>
                    <pic:cNvPicPr>
                      <a:picLocks noChangeAspect="1"/>
                    </pic:cNvPicPr>
                  </pic:nvPicPr>
                  <pic:blipFill>
                    <a:blip r:embed="rId13"/>
                    <a:stretch>
                      <a:fillRect/>
                    </a:stretch>
                  </pic:blipFill>
                  <pic:spPr>
                    <a:xfrm>
                      <a:off x="0" y="0"/>
                      <a:ext cx="6039060" cy="3619626"/>
                    </a:xfrm>
                    <a:prstGeom prst="rect">
                      <a:avLst/>
                    </a:prstGeom>
                  </pic:spPr>
                </pic:pic>
              </a:graphicData>
            </a:graphic>
          </wp:inline>
        </w:drawing>
      </w:r>
    </w:p>
    <w:p>
      <w:pPr>
        <w:rPr>
          <w:color w:val="auto"/>
        </w:rPr>
      </w:pPr>
      <w:r>
        <w:rPr>
          <w:rFonts w:hint="eastAsia"/>
          <w:color w:val="auto"/>
        </w:rPr>
        <w:t>本项目基于BIM的工程建设项目全生命周期政府系统（一期）项目的基础上进行相关模块升级和功能新增，主要包括以下建设内容：</w:t>
      </w:r>
    </w:p>
    <w:p>
      <w:pPr>
        <w:rPr>
          <w:color w:val="auto"/>
        </w:rPr>
      </w:pPr>
      <w:r>
        <w:rPr>
          <w:rFonts w:hint="eastAsia"/>
          <w:color w:val="auto"/>
        </w:rPr>
        <w:t>1、BIM智能化设计质量审查子系统升级改造：对建筑工程专业进行BIM三维审查，接入各专业标准格式数据模型，提供相应的检查工具。新增房建专业规范条文智能检查引擎，完成对建筑、结构、给排水、暖通、电气、消防和装配式常用计算规则和复杂计算规则的研发和测试。</w:t>
      </w:r>
    </w:p>
    <w:p>
      <w:pPr>
        <w:rPr>
          <w:color w:val="auto"/>
        </w:rPr>
      </w:pPr>
      <w:r>
        <w:rPr>
          <w:rFonts w:hint="eastAsia"/>
          <w:color w:val="auto"/>
        </w:rPr>
        <w:t>2、BIM辅助验收子系统：新增基于BIM的联合验收系统，增加BIM模型上报、审批、辅助现场验收、城建档案移交等。增加BIM模型的竣工报审接口，对竣工资料与竣工模型进行管理。</w:t>
      </w:r>
    </w:p>
    <w:p>
      <w:pPr>
        <w:rPr>
          <w:color w:val="auto"/>
        </w:rPr>
      </w:pPr>
      <w:r>
        <w:rPr>
          <w:rFonts w:hint="eastAsia"/>
          <w:color w:val="auto"/>
        </w:rPr>
        <w:t>3、支撑全专业的辅助工具开发：提供主流BIM软件的统一格式导出插件工具,并支持数据质检功能，对报审数据完整性、有效性、合法性进行校验。插件工具包括智能审查模型导出插件、竣工验收模型导出插件、交付模型规则设置功能、标准规则植入设计端。EDM模型质检工具包括建筑模型构件检查、给排水模型构件检查、暖通模型构件检查、电气模型构件检查、插件版本检查、楼层检查、检查报告预览保存。</w:t>
      </w:r>
    </w:p>
    <w:p>
      <w:pPr>
        <w:rPr>
          <w:color w:val="auto"/>
        </w:rPr>
      </w:pPr>
      <w:r>
        <w:rPr>
          <w:rFonts w:hint="eastAsia"/>
          <w:color w:val="auto"/>
        </w:rPr>
        <w:t>4、建筑知识平台：将建筑行业知识利用人工智能技术翻译成结构化立体化的计算机语言，实现知识的精准查询、智能推荐、决策支撑等。利用知识图谱技术实现行业知识服务平台，通过知识融合、知识推理、知识应用等核心环节，依托于知识库的知识推理能力、认知能力，帮助行业对特定的问题进行分析、推理、辅助决策。</w:t>
      </w:r>
    </w:p>
    <w:p>
      <w:pPr>
        <w:rPr>
          <w:color w:val="auto"/>
        </w:rPr>
      </w:pPr>
      <w:r>
        <w:rPr>
          <w:rFonts w:hint="eastAsia"/>
          <w:color w:val="auto"/>
        </w:rPr>
        <w:t xml:space="preserve">5、能力支撑子系统升级改造：针对一期轻量化引擎进行定制化升级，新增球面坐标系统，模型图纸双向定位，渲染效果升级，版本管理支持和小地图功能；新增多模态知识图谱，智能检索引擎以及知识图谱信息检索操作接口。 </w:t>
      </w:r>
    </w:p>
    <w:p>
      <w:pPr>
        <w:rPr>
          <w:color w:val="auto"/>
        </w:rPr>
      </w:pPr>
      <w:r>
        <w:rPr>
          <w:rFonts w:hint="eastAsia"/>
          <w:color w:val="auto"/>
        </w:rPr>
        <w:t>6、与外部数据进行对接：与上海市工程建设项目审批系统（建设工程联审共享平台）进行对接，获取工程建设项目在施工许可阶段与竣工验收阶段的报审材料、业务数据、企业人员信息等相关数据。</w:t>
      </w:r>
    </w:p>
    <w:p>
      <w:pPr>
        <w:pStyle w:val="4"/>
        <w:ind w:left="420" w:hanging="420"/>
        <w:rPr>
          <w:color w:val="auto"/>
        </w:rPr>
      </w:pPr>
      <w:bookmarkStart w:id="21" w:name="_Toc29348"/>
      <w:r>
        <w:rPr>
          <w:rFonts w:hint="eastAsia"/>
          <w:color w:val="auto"/>
        </w:rPr>
        <w:t>部署环境</w:t>
      </w:r>
      <w:bookmarkEnd w:id="21"/>
    </w:p>
    <w:p>
      <w:pPr>
        <w:pStyle w:val="14"/>
        <w:numPr>
          <w:ilvl w:val="0"/>
          <w:numId w:val="0"/>
        </w:numPr>
        <w:ind w:firstLine="480" w:firstLineChars="200"/>
        <w:rPr>
          <w:color w:val="auto"/>
        </w:rPr>
      </w:pPr>
      <w:bookmarkStart w:id="22" w:name="_Toc28902"/>
      <w:r>
        <w:rPr>
          <w:rFonts w:hint="eastAsia"/>
          <w:color w:val="auto"/>
        </w:rPr>
        <w:t>系统部署在上海市电子政务云上，依托上海市电子政务云提供网络、设备，部署环境要求，根据项目前期资源现状，本次建设拟申请电子政务云资源如下（以政务云实际提供为准）：</w:t>
      </w:r>
    </w:p>
    <w:tbl>
      <w:tblPr>
        <w:tblStyle w:val="3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126"/>
        <w:gridCol w:w="1560"/>
        <w:gridCol w:w="661"/>
        <w:gridCol w:w="940"/>
        <w:gridCol w:w="940"/>
        <w:gridCol w:w="780"/>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序号</w:t>
            </w:r>
          </w:p>
        </w:tc>
        <w:tc>
          <w:tcPr>
            <w:tcW w:w="36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云资源</w:t>
            </w:r>
          </w:p>
        </w:tc>
        <w:tc>
          <w:tcPr>
            <w:tcW w:w="6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CPU</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内存（GB）</w:t>
            </w:r>
          </w:p>
        </w:tc>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系统盘（GB）</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数据盘</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b/>
                <w:bCs/>
                <w:color w:val="auto"/>
                <w:kern w:val="0"/>
              </w:rPr>
            </w:pPr>
            <w:r>
              <w:rPr>
                <w:rFonts w:hint="eastAsia"/>
                <w:b/>
                <w:bCs/>
                <w:color w:val="auto"/>
                <w:kern w:val="0"/>
              </w:rPr>
              <w:t>申报数量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color w:val="auto"/>
                <w:kern w:val="0"/>
              </w:rPr>
            </w:pPr>
            <w:r>
              <w:rPr>
                <w:rFonts w:hint="eastAsia"/>
                <w:b/>
                <w:bCs/>
                <w:color w:val="auto"/>
                <w:kern w:val="0"/>
              </w:rPr>
              <w:t>一、服务器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文件服务器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政务外网区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64</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3T</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施工图审查数据库服务器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政务外网区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64</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1T</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施工图审查引擎服务器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政务外网区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200G</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4</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施工图审查引擎服务器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互联网区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200G</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5</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知识平台后端处理服务器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政务外网区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64</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500G</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6</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知识平台业务前端服务器</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互联网区</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32</w:t>
            </w: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100</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200G</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9"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rPr>
                <w:b/>
                <w:bCs/>
                <w:color w:val="auto"/>
                <w:kern w:val="0"/>
              </w:rPr>
            </w:pPr>
            <w:r>
              <w:rPr>
                <w:rFonts w:hint="eastAsia"/>
                <w:b/>
                <w:bCs/>
                <w:color w:val="auto"/>
                <w:kern w:val="0"/>
              </w:rPr>
              <w:t>二、基础软件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操作系统</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麒麟</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2</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数据库</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人大金仓</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中间件</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东方通</w:t>
            </w:r>
          </w:p>
        </w:tc>
        <w:tc>
          <w:tcPr>
            <w:tcW w:w="6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9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color w:val="auto"/>
                <w:kern w:val="0"/>
              </w:rPr>
            </w:pPr>
            <w:r>
              <w:rPr>
                <w:rFonts w:hint="eastAsia"/>
                <w:color w:val="auto"/>
                <w:kern w:val="0"/>
              </w:rPr>
              <w:t>3</w:t>
            </w:r>
          </w:p>
        </w:tc>
      </w:tr>
    </w:tbl>
    <w:p>
      <w:pPr>
        <w:pStyle w:val="14"/>
        <w:numPr>
          <w:ilvl w:val="0"/>
          <w:numId w:val="0"/>
        </w:numPr>
        <w:spacing w:after="163"/>
        <w:rPr>
          <w:color w:val="auto"/>
        </w:rPr>
      </w:pPr>
    </w:p>
    <w:p>
      <w:pPr>
        <w:pStyle w:val="3"/>
        <w:ind w:left="0"/>
        <w:rPr>
          <w:color w:val="auto"/>
          <w:sz w:val="28"/>
          <w:szCs w:val="28"/>
        </w:rPr>
      </w:pPr>
      <w:r>
        <w:rPr>
          <w:rFonts w:hint="eastAsia"/>
          <w:color w:val="auto"/>
          <w:sz w:val="28"/>
          <w:szCs w:val="28"/>
        </w:rPr>
        <w:t>软件开发清单</w:t>
      </w:r>
      <w:bookmarkEnd w:id="22"/>
    </w:p>
    <w:tbl>
      <w:tblPr>
        <w:tblStyle w:val="36"/>
        <w:tblW w:w="8662" w:type="dxa"/>
        <w:jc w:val="center"/>
        <w:tblLayout w:type="autofit"/>
        <w:tblCellMar>
          <w:top w:w="0" w:type="dxa"/>
          <w:left w:w="108" w:type="dxa"/>
          <w:bottom w:w="0" w:type="dxa"/>
          <w:right w:w="108" w:type="dxa"/>
        </w:tblCellMar>
      </w:tblPr>
      <w:tblGrid>
        <w:gridCol w:w="704"/>
        <w:gridCol w:w="3402"/>
        <w:gridCol w:w="4556"/>
      </w:tblGrid>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序号</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子系统名称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功能名称</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审查规则库引擎-结构自然化语言（SNL）:将条文按照SNL编写检查规则-给排水审查引擎</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审查规则库引擎-结构自然化语言（SNL）:将条文按照SNL编写检查规则-暖通审查引擎</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审查规则库引擎-结构自然化语言（SNL）:将条文按照SNL编写检查规则-电气审查引擎</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审查规则库引擎-结构自然化语言（SNL）:将条文按照SNL编写检查规则-装配式审查引擎</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审查规则库引擎-结构自然化语言（SNL）:将条文按照SNL编写检查规则-消防审查引擎</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审查规则库引擎-给排水专业智能审查引擎(43条条文）</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审查规则库引擎-暖通专业智能审查引擎(30条条文）</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审查规则库引擎-电气专业智能审查引擎(28条条文）</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审查规则库引擎-装配式专项智能审查引擎（3条条文）</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审查规则库引擎-消防专项智能审查引擎（50条条文）</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全专业BIM审查-给排水专业BIM智能审查（接入标准格式数据模型，提供审查工具）</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全专业BIM审查-暖通专业BIM智能审查（接入标准格式数据模型，提供审查工具）</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全专业BIM审查-电气专业BIM智能审查（接入标准格式数据模型，提供审查工具）</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全专业BIM审查-消防专项BIM智能审查（接入标准格式数据模型，提供审查工具）</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全专业BIM审查-装配式专项BIM智能审查（接入标准格式数据模型，提供审查工具）</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结构荷载校核检查模块-IFC模型生成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结构荷载校核检查模块-IFC文件合规性检查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结构荷载校核检查模块-在线校审系统-系统管理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19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结构荷载校核检查模块-在线校审系统-项目管理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结构荷载校核检查模块-在线校审系统-流程管理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结构荷载校核检查模块-在线校审系统-多模型查看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结构荷载校核检查模块-在线校审系统-结构荷载校审</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结构荷载校核检查模块-在线校审系统-校审结果查看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BIM智能化审查模型检查子系统（升级改造）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结构荷载校核检查模块-在线校审系统数据标准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建设信息同步模块-同步工程信息展示</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竣工模型收取登记-BIM模型管理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竣工模型收取登记-模型文件管理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竣工模型收取登记-BIM模型版本管理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29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基于BIM模型的现场验收辅助-模型对比</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基于BIM模型的现场验收辅助-模型与材料关联浏览</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基于BIM模型的现场验收辅助-验收批注管理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BIM城建档案移交-竣工验收后提交城建档案BIM模型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BIM辅助验收子系统</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BIM城建档案移交-归档模型合标性检查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智能审查模型导出插件</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竣工验收模型导出插件</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交付模型规则设置功能</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标准规则植入设计端</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建筑模型构件检查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39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给排水模型构件检查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暖通模型构件检查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电气模型构件检查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插件版本检查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楼层检查</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支撑全专业的辅助设计工具开发</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检查报告预览保存</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知识搜索查询-搜索结果分类查看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知识搜索查询-搜索内容相关推荐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知识搜索查询-名词关联查询</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知识图谱-全专业节点知识图谱查询</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49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知识图谱-知识图谱节点详情查看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条文应用的相关统计分析-规范分类列表查看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条文应用的相关统计分析-规范在线查看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条文应用的相关统计分析-正文与条文说明对比查看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建筑知识平台</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条文应用的相关统计分析-相似条文在线查看</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球面坐标底层搭建</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球面坐标位置自动匹配</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球面坐标高程处理</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模型图纸解析与渲染</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图纸与模型双向定位</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59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PBR渲染效果升级</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连续性抗锯齿TAA效果支持</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屏幕空间环境遮蔽SSDO效果支持</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光照和阴影效果升级</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版本变更管理支持</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版本对比</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小地图功能</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小地图素材适配</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自然语言查询引擎-建筑行业用语语料库构建</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自然语言查询引擎-基于专业用语的语义分析模型构建</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69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自然语言查询引擎-基于专业用语的用户意图分析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多模态信息关联处理-基于像素图的特征提取</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多模态信息关联处理-图文关联</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多模态信息关联处理-图图关联</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多模态信息关联处理-基于特征分析的信息索引结构化</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多模态信息的内容分析与解析-基于语义分割的图像分析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多模态信息的内容分析与解析-图像与文本特征归类与挖掘</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多模态信息的内容分析与解析-图文特征匹配分析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自动化图谱迭代-数据更新触发迭代</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自动化图谱迭代-图像特征迭代与文本特征迭代</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79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自动化图谱迭代-分析算法模型迭代</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80</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智能化图模检索-多粒度图像特征分析</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81</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智能化图模检索-多粒度特征索引</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82</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智能化图模检索-图图检索</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83</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 xml:space="preserve">智能化图模检索-文图检索 </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84</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智能化图模检索-复合语义检索</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85</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基于数据挖掘的信息归类工具-像素图语义分割与子图特征提取</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86</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基于数据挖掘的信息归类工具-子图特征向量构建与索引</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87</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能力支撑子系统（升级改造）</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基于数据挖掘的文本信息归类</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88</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与外部数据进行对接</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对接项目信息</w:t>
            </w:r>
          </w:p>
        </w:tc>
      </w:tr>
      <w:tr>
        <w:tblPrEx>
          <w:tblCellMar>
            <w:top w:w="0" w:type="dxa"/>
            <w:left w:w="108" w:type="dxa"/>
            <w:bottom w:w="0" w:type="dxa"/>
            <w:right w:w="108" w:type="dxa"/>
          </w:tblCellMar>
        </w:tblPrEx>
        <w:trPr>
          <w:trHeight w:val="3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center"/>
              <w:rPr>
                <w:rFonts w:cs="宋体"/>
                <w:color w:val="auto"/>
                <w:kern w:val="0"/>
              </w:rPr>
            </w:pPr>
            <w:r>
              <w:rPr>
                <w:rFonts w:hint="eastAsia" w:cs="宋体"/>
                <w:color w:val="auto"/>
                <w:kern w:val="0"/>
              </w:rPr>
              <w:t>89</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密码建设</w:t>
            </w:r>
          </w:p>
        </w:tc>
        <w:tc>
          <w:tcPr>
            <w:tcW w:w="45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auto"/>
              <w:ind w:firstLine="0" w:firstLineChars="0"/>
              <w:jc w:val="left"/>
              <w:rPr>
                <w:rFonts w:cs="宋体"/>
                <w:color w:val="auto"/>
                <w:kern w:val="0"/>
              </w:rPr>
            </w:pPr>
            <w:r>
              <w:rPr>
                <w:rFonts w:hint="eastAsia" w:cs="宋体"/>
                <w:color w:val="auto"/>
                <w:kern w:val="0"/>
              </w:rPr>
              <w:t>密码应用接口</w:t>
            </w:r>
          </w:p>
        </w:tc>
      </w:tr>
    </w:tbl>
    <w:p>
      <w:pPr>
        <w:ind w:firstLine="0" w:firstLineChars="0"/>
        <w:rPr>
          <w:color w:val="auto"/>
        </w:rPr>
      </w:pPr>
    </w:p>
    <w:p>
      <w:pPr>
        <w:ind w:firstLine="0" w:firstLineChars="0"/>
        <w:rPr>
          <w:color w:val="auto"/>
        </w:rPr>
      </w:pPr>
    </w:p>
    <w:p>
      <w:pPr>
        <w:pStyle w:val="2"/>
        <w:rPr>
          <w:color w:val="auto"/>
        </w:rPr>
      </w:pPr>
      <w:bookmarkStart w:id="23" w:name="_Toc124925694"/>
      <w:bookmarkStart w:id="24" w:name="_Toc124925704"/>
      <w:bookmarkStart w:id="25" w:name="_Toc63785503"/>
      <w:r>
        <w:rPr>
          <w:rFonts w:hint="eastAsia"/>
          <w:color w:val="auto"/>
        </w:rPr>
        <w:t>其他工作要求</w:t>
      </w:r>
    </w:p>
    <w:p>
      <w:pPr>
        <w:pStyle w:val="3"/>
        <w:ind w:left="0"/>
        <w:rPr>
          <w:color w:val="auto"/>
          <w:sz w:val="28"/>
          <w:szCs w:val="28"/>
        </w:rPr>
      </w:pPr>
      <w:r>
        <w:rPr>
          <w:rFonts w:hint="eastAsia"/>
          <w:color w:val="auto"/>
          <w:sz w:val="28"/>
          <w:szCs w:val="28"/>
        </w:rPr>
        <w:t>售后服务要求</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本项目从系统验收通过之日起1年内提供</w:t>
      </w:r>
      <w:r>
        <w:rPr>
          <w:rFonts w:ascii="宋体" w:hAnsi="宋体"/>
          <w:color w:val="auto"/>
          <w:sz w:val="24"/>
          <w:szCs w:val="24"/>
        </w:rPr>
        <w:t>7*24小时免费技术支持</w:t>
      </w:r>
      <w:r>
        <w:rPr>
          <w:rFonts w:hint="eastAsia" w:ascii="宋体" w:hAnsi="宋体"/>
          <w:color w:val="auto"/>
          <w:sz w:val="24"/>
          <w:szCs w:val="24"/>
        </w:rPr>
        <w:t>和售后服务，1年后进入有偿维护期。</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在质量保证期内，供应商将按照售后服务的承诺提供保修和运行维护服务，如果厂商对信息系统中软、硬件设备等产品中的部分保修期超过上述期限的，则按照厂商的规定进行免费保修。</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在质量保证期内，供应商负责信息系统的运行维护工作，确保信息系统安全、稳定、可靠地运行。本项目涉及的运行维护工作范围为：</w:t>
      </w:r>
    </w:p>
    <w:p>
      <w:pPr>
        <w:numPr>
          <w:ilvl w:val="0"/>
          <w:numId w:val="6"/>
        </w:numPr>
        <w:ind w:firstLine="480"/>
        <w:rPr>
          <w:color w:val="auto"/>
        </w:rPr>
      </w:pPr>
      <w:r>
        <w:rPr>
          <w:rFonts w:hint="eastAsia"/>
          <w:color w:val="auto"/>
        </w:rPr>
        <w:t>在质量保证期内，供应商负责信息系统的运行维护工作，确保信息系统安全、稳定、可靠地运行。本项目涉及的运行维护工作范围为：对系统进行日常巡检，查看如系统性能、</w:t>
      </w:r>
      <w:r>
        <w:rPr>
          <w:rFonts w:hint="eastAsia"/>
          <w:color w:val="auto"/>
          <w:lang w:eastAsia="zh-Hans"/>
        </w:rPr>
        <w:t>系统</w:t>
      </w:r>
      <w:r>
        <w:rPr>
          <w:rFonts w:hint="eastAsia"/>
          <w:color w:val="auto"/>
        </w:rPr>
        <w:t>备份、数据接口等是否正常，确保系统及数据安全；</w:t>
      </w:r>
    </w:p>
    <w:p>
      <w:pPr>
        <w:numPr>
          <w:ilvl w:val="0"/>
          <w:numId w:val="6"/>
        </w:numPr>
        <w:ind w:firstLine="480"/>
        <w:rPr>
          <w:color w:val="auto"/>
        </w:rPr>
      </w:pPr>
      <w:r>
        <w:rPr>
          <w:rFonts w:hint="eastAsia"/>
          <w:color w:val="auto"/>
        </w:rPr>
        <w:t>配合招标方做好日常工作,提供必要的信息化服务；</w:t>
      </w:r>
    </w:p>
    <w:p>
      <w:pPr>
        <w:numPr>
          <w:ilvl w:val="0"/>
          <w:numId w:val="6"/>
        </w:numPr>
        <w:ind w:firstLine="480"/>
        <w:rPr>
          <w:color w:val="auto"/>
        </w:rPr>
      </w:pPr>
      <w:r>
        <w:rPr>
          <w:rFonts w:hint="eastAsia"/>
          <w:color w:val="auto"/>
        </w:rPr>
        <w:t>与系统相关单位、部门做好数据接口的保障工作，实现数据在不同业务系统间的正常传输；</w:t>
      </w:r>
    </w:p>
    <w:p>
      <w:pPr>
        <w:numPr>
          <w:ilvl w:val="0"/>
          <w:numId w:val="6"/>
        </w:numPr>
        <w:ind w:firstLine="480"/>
        <w:rPr>
          <w:color w:val="auto"/>
        </w:rPr>
      </w:pPr>
      <w:r>
        <w:rPr>
          <w:rFonts w:hint="eastAsia"/>
          <w:color w:val="auto"/>
        </w:rPr>
        <w:t>对在合同约定范围内用户提出修改、</w:t>
      </w:r>
      <w:r>
        <w:rPr>
          <w:color w:val="auto"/>
        </w:rPr>
        <w:t>新增和</w:t>
      </w:r>
      <w:r>
        <w:rPr>
          <w:rFonts w:hint="eastAsia"/>
          <w:color w:val="auto"/>
        </w:rPr>
        <w:t>完善等需求，同招标方进行沟通达成一致后进行实施，包括新功能的调研、设计、开发、测试等工作。</w:t>
      </w:r>
    </w:p>
    <w:p>
      <w:pPr>
        <w:pStyle w:val="3"/>
        <w:ind w:left="0"/>
        <w:rPr>
          <w:color w:val="auto"/>
          <w:sz w:val="28"/>
          <w:szCs w:val="28"/>
        </w:rPr>
      </w:pPr>
      <w:r>
        <w:rPr>
          <w:rFonts w:hint="eastAsia"/>
          <w:color w:val="auto"/>
          <w:sz w:val="28"/>
          <w:szCs w:val="28"/>
        </w:rPr>
        <w:t>应急响应要求</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ascii="宋体" w:hAnsi="宋体"/>
          <w:color w:val="auto"/>
          <w:sz w:val="24"/>
          <w:szCs w:val="24"/>
        </w:rPr>
        <w:t xml:space="preserve">30分钟之内响应， </w:t>
      </w:r>
      <w:r>
        <w:rPr>
          <w:rFonts w:hint="eastAsia" w:ascii="宋体" w:hAnsi="宋体"/>
          <w:color w:val="auto"/>
          <w:sz w:val="24"/>
          <w:szCs w:val="24"/>
        </w:rPr>
        <w:t>1</w:t>
      </w:r>
      <w:r>
        <w:rPr>
          <w:rFonts w:ascii="宋体" w:hAnsi="宋体"/>
          <w:color w:val="auto"/>
          <w:sz w:val="24"/>
          <w:szCs w:val="24"/>
        </w:rPr>
        <w:t>小时内</w:t>
      </w:r>
      <w:r>
        <w:rPr>
          <w:rFonts w:hint="eastAsia" w:ascii="宋体" w:hAnsi="宋体"/>
          <w:color w:val="auto"/>
          <w:sz w:val="24"/>
          <w:szCs w:val="24"/>
        </w:rPr>
        <w:t>确诊问题。特殊故障与客户沟通协商后，按照协商的方式制定解决方案并进行处理。</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具体故障级别及对应的应急响应要求如下：</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一级故障：在</w:t>
      </w:r>
      <w:r>
        <w:rPr>
          <w:rFonts w:ascii="宋体" w:hAnsi="宋体"/>
          <w:color w:val="auto"/>
          <w:sz w:val="24"/>
          <w:szCs w:val="24"/>
        </w:rPr>
        <w:t>1小时内确诊，总故障解决时间不超过2小时。</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二级故障：在</w:t>
      </w:r>
      <w:r>
        <w:rPr>
          <w:rFonts w:ascii="宋体" w:hAnsi="宋体"/>
          <w:color w:val="auto"/>
          <w:sz w:val="24"/>
          <w:szCs w:val="24"/>
        </w:rPr>
        <w:t>2小时内确诊，并在2小时内解决，总故障解决时间不超过</w:t>
      </w:r>
      <w:r>
        <w:rPr>
          <w:rFonts w:hint="eastAsia" w:ascii="宋体" w:hAnsi="宋体"/>
          <w:color w:val="auto"/>
          <w:sz w:val="24"/>
          <w:szCs w:val="24"/>
        </w:rPr>
        <w:t>3</w:t>
      </w:r>
      <w:r>
        <w:rPr>
          <w:rFonts w:ascii="宋体" w:hAnsi="宋体"/>
          <w:color w:val="auto"/>
          <w:sz w:val="24"/>
          <w:szCs w:val="24"/>
        </w:rPr>
        <w:t>小时；</w:t>
      </w:r>
    </w:p>
    <w:p>
      <w:pPr>
        <w:pStyle w:val="108"/>
        <w:snapToGrid w:val="0"/>
        <w:spacing w:line="360" w:lineRule="auto"/>
        <w:ind w:firstLine="480"/>
        <w:rPr>
          <w:rFonts w:ascii="宋体" w:hAnsi="宋体"/>
          <w:color w:val="auto"/>
          <w:sz w:val="24"/>
          <w:szCs w:val="24"/>
        </w:rPr>
      </w:pPr>
      <w:r>
        <w:rPr>
          <w:rFonts w:hint="eastAsia" w:ascii="宋体" w:hAnsi="宋体"/>
          <w:color w:val="auto"/>
          <w:sz w:val="24"/>
          <w:szCs w:val="24"/>
        </w:rPr>
        <w:t>三、四级故障：在2</w:t>
      </w:r>
      <w:r>
        <w:rPr>
          <w:rFonts w:ascii="宋体" w:hAnsi="宋体"/>
          <w:color w:val="auto"/>
          <w:sz w:val="24"/>
          <w:szCs w:val="24"/>
        </w:rPr>
        <w:t>小时内确诊故障，总故障解决时间不超过</w:t>
      </w:r>
      <w:r>
        <w:rPr>
          <w:rFonts w:hint="eastAsia" w:ascii="宋体" w:hAnsi="宋体"/>
          <w:color w:val="auto"/>
          <w:sz w:val="24"/>
          <w:szCs w:val="24"/>
        </w:rPr>
        <w:t>4</w:t>
      </w:r>
      <w:r>
        <w:rPr>
          <w:rFonts w:ascii="宋体" w:hAnsi="宋体"/>
          <w:color w:val="auto"/>
          <w:sz w:val="24"/>
          <w:szCs w:val="24"/>
        </w:rPr>
        <w:t>小时。</w:t>
      </w:r>
    </w:p>
    <w:p>
      <w:pPr>
        <w:pStyle w:val="3"/>
        <w:ind w:left="0"/>
        <w:rPr>
          <w:color w:val="auto"/>
          <w:sz w:val="28"/>
          <w:szCs w:val="28"/>
        </w:rPr>
      </w:pPr>
      <w:r>
        <w:rPr>
          <w:rFonts w:hint="eastAsia"/>
          <w:color w:val="auto"/>
          <w:sz w:val="28"/>
          <w:szCs w:val="28"/>
        </w:rPr>
        <w:t>培训要求</w:t>
      </w:r>
    </w:p>
    <w:p>
      <w:pPr>
        <w:rPr>
          <w:color w:val="auto"/>
        </w:rPr>
      </w:pPr>
      <w:r>
        <w:rPr>
          <w:rFonts w:hint="eastAsia"/>
          <w:color w:val="auto"/>
        </w:rPr>
        <w:t>对系统使用单位提供业务操作培训，应提供详细培训方案。</w:t>
      </w:r>
    </w:p>
    <w:p>
      <w:pPr>
        <w:rPr>
          <w:color w:val="auto"/>
        </w:rPr>
      </w:pPr>
      <w:r>
        <w:rPr>
          <w:rFonts w:hint="eastAsia"/>
          <w:color w:val="auto"/>
        </w:rPr>
        <w:t>(1)在12个月的质量保证期内，提供2次与项目相关的必要培训。</w:t>
      </w:r>
    </w:p>
    <w:p>
      <w:pPr>
        <w:rPr>
          <w:color w:val="auto"/>
        </w:rPr>
      </w:pPr>
      <w:r>
        <w:rPr>
          <w:rFonts w:hint="eastAsia"/>
          <w:color w:val="auto"/>
        </w:rPr>
        <w:t>(2)供应商需要开展分层次的人员培训工作，每次培训后应对参加培训人员进行测试，评估培训成果。培训应具有培训教材、培训环境和高水平的培训讲师。</w:t>
      </w:r>
    </w:p>
    <w:p>
      <w:pPr>
        <w:rPr>
          <w:color w:val="auto"/>
        </w:rPr>
      </w:pPr>
      <w:r>
        <w:rPr>
          <w:rFonts w:hint="eastAsia"/>
          <w:color w:val="auto"/>
        </w:rPr>
        <w:t>(3)供应商应提供一般用户的基础操作培训和部门信息管理员的日常应用维护的培训，确保用户对象能够掌握对应的操作技能。</w:t>
      </w:r>
    </w:p>
    <w:p>
      <w:pPr>
        <w:rPr>
          <w:color w:val="auto"/>
        </w:rPr>
      </w:pPr>
      <w:r>
        <w:rPr>
          <w:rFonts w:hint="eastAsia"/>
          <w:color w:val="auto"/>
        </w:rPr>
        <w:t>(4)供应商应根据甲方需求，提供与项目相关的技术培训。</w:t>
      </w:r>
    </w:p>
    <w:p>
      <w:pPr>
        <w:pStyle w:val="3"/>
        <w:ind w:left="0"/>
        <w:rPr>
          <w:color w:val="auto"/>
          <w:sz w:val="28"/>
          <w:szCs w:val="28"/>
        </w:rPr>
      </w:pPr>
      <w:r>
        <w:rPr>
          <w:rFonts w:hint="eastAsia"/>
          <w:color w:val="auto"/>
          <w:sz w:val="28"/>
          <w:szCs w:val="28"/>
        </w:rPr>
        <w:t>进度要求</w:t>
      </w:r>
    </w:p>
    <w:p>
      <w:pPr>
        <w:rPr>
          <w:color w:val="auto"/>
        </w:rPr>
      </w:pPr>
      <w:r>
        <w:rPr>
          <w:rFonts w:hint="eastAsia"/>
          <w:color w:val="auto"/>
        </w:rPr>
        <w:t>投标人应根据建设内容，分阶段制定合理的时间进度，并且应根据招标方要求进行调整和细化。</w:t>
      </w:r>
    </w:p>
    <w:p>
      <w:pPr>
        <w:rPr>
          <w:color w:val="auto"/>
        </w:rPr>
      </w:pPr>
      <w:r>
        <w:rPr>
          <w:rFonts w:hint="eastAsia"/>
          <w:color w:val="auto"/>
        </w:rPr>
        <w:t>总建设周期分为</w:t>
      </w:r>
      <w:r>
        <w:rPr>
          <w:color w:val="auto"/>
        </w:rPr>
        <w:t>3</w:t>
      </w:r>
      <w:r>
        <w:rPr>
          <w:rFonts w:hint="eastAsia"/>
          <w:color w:val="auto"/>
        </w:rPr>
        <w:t>个阶段。</w:t>
      </w:r>
    </w:p>
    <w:p>
      <w:pPr>
        <w:rPr>
          <w:color w:val="auto"/>
        </w:rPr>
      </w:pPr>
      <w:r>
        <w:rPr>
          <w:rFonts w:hint="eastAsia"/>
          <w:color w:val="auto"/>
        </w:rPr>
        <w:t>第一阶段完成系统建设。</w:t>
      </w:r>
    </w:p>
    <w:p>
      <w:pPr>
        <w:rPr>
          <w:color w:val="auto"/>
        </w:rPr>
      </w:pPr>
      <w:r>
        <w:rPr>
          <w:rFonts w:hint="eastAsia"/>
          <w:color w:val="auto"/>
        </w:rPr>
        <w:t>第二阶段为完成系统测试。</w:t>
      </w:r>
    </w:p>
    <w:p>
      <w:pPr>
        <w:rPr>
          <w:color w:val="auto"/>
        </w:rPr>
      </w:pPr>
      <w:r>
        <w:rPr>
          <w:rFonts w:hint="eastAsia"/>
          <w:color w:val="auto"/>
        </w:rPr>
        <w:t>第三阶段为完成系统试运行。</w:t>
      </w:r>
    </w:p>
    <w:p>
      <w:pPr>
        <w:rPr>
          <w:color w:val="auto"/>
        </w:rPr>
      </w:pPr>
      <w:r>
        <w:rPr>
          <w:color w:val="auto"/>
        </w:rPr>
        <w:t>2024年1</w:t>
      </w:r>
      <w:r>
        <w:rPr>
          <w:rFonts w:hint="eastAsia"/>
          <w:color w:val="auto"/>
        </w:rPr>
        <w:t>1</w:t>
      </w:r>
      <w:r>
        <w:rPr>
          <w:color w:val="auto"/>
        </w:rPr>
        <w:t>月完成最终验收。</w:t>
      </w:r>
    </w:p>
    <w:p>
      <w:pPr>
        <w:pStyle w:val="3"/>
        <w:ind w:left="0"/>
        <w:rPr>
          <w:color w:val="auto"/>
          <w:sz w:val="28"/>
          <w:szCs w:val="28"/>
        </w:rPr>
      </w:pPr>
      <w:r>
        <w:rPr>
          <w:rFonts w:hint="eastAsia"/>
          <w:color w:val="auto"/>
          <w:sz w:val="28"/>
          <w:szCs w:val="28"/>
        </w:rPr>
        <w:t>项目团队及驻场人员要求</w:t>
      </w:r>
    </w:p>
    <w:p>
      <w:pPr>
        <w:rPr>
          <w:color w:val="auto"/>
        </w:rPr>
      </w:pPr>
      <w:r>
        <w:rPr>
          <w:color w:val="auto"/>
        </w:rPr>
        <w:t>1）投标人必须在上海设有常设办事机构，具有稳定的在职技术保障力量，能够提供及时的技术支援或服务，应针对本项目提供不少于</w:t>
      </w:r>
      <w:r>
        <w:rPr>
          <w:rFonts w:hint="eastAsia"/>
          <w:color w:val="auto"/>
        </w:rPr>
        <w:t>17</w:t>
      </w:r>
      <w:r>
        <w:rPr>
          <w:color w:val="auto"/>
        </w:rPr>
        <w:t>人的项目服务团队（包括项目经理、产品经理、研发</w:t>
      </w:r>
      <w:r>
        <w:rPr>
          <w:rFonts w:hint="eastAsia"/>
          <w:color w:val="auto"/>
        </w:rPr>
        <w:t>、测试</w:t>
      </w:r>
      <w:r>
        <w:rPr>
          <w:color w:val="auto"/>
        </w:rPr>
        <w:t>等），投标单位的相关服务人员需具备相应的服务能力，需提供相关证明（</w:t>
      </w:r>
      <w:r>
        <w:rPr>
          <w:rFonts w:hint="eastAsia"/>
          <w:color w:val="auto"/>
        </w:rPr>
        <w:t>项目经理及核心开发人员提供任意一个月在职社保证明</w:t>
      </w:r>
      <w:r>
        <w:rPr>
          <w:color w:val="auto"/>
        </w:rPr>
        <w:t>）。</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254"/>
        <w:gridCol w:w="993"/>
        <w:gridCol w:w="1984"/>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143" w:type="dxa"/>
            <w:shd w:val="clear" w:color="auto" w:fill="auto"/>
            <w:noWrap/>
            <w:vAlign w:val="center"/>
          </w:tcPr>
          <w:p>
            <w:pPr>
              <w:widowControl/>
              <w:spacing w:line="276" w:lineRule="auto"/>
              <w:ind w:firstLine="0" w:firstLineChars="0"/>
              <w:jc w:val="center"/>
              <w:rPr>
                <w:b/>
                <w:color w:val="auto"/>
              </w:rPr>
            </w:pPr>
            <w:r>
              <w:rPr>
                <w:rFonts w:hint="eastAsia"/>
                <w:b/>
                <w:color w:val="auto"/>
              </w:rPr>
              <w:t>角色</w:t>
            </w:r>
          </w:p>
        </w:tc>
        <w:tc>
          <w:tcPr>
            <w:tcW w:w="2254" w:type="dxa"/>
            <w:shd w:val="clear" w:color="auto" w:fill="auto"/>
            <w:noWrap/>
            <w:vAlign w:val="center"/>
          </w:tcPr>
          <w:p>
            <w:pPr>
              <w:widowControl/>
              <w:spacing w:line="276" w:lineRule="auto"/>
              <w:ind w:firstLine="0" w:firstLineChars="0"/>
              <w:jc w:val="center"/>
              <w:rPr>
                <w:b/>
                <w:color w:val="auto"/>
              </w:rPr>
            </w:pPr>
            <w:r>
              <w:rPr>
                <w:rFonts w:hint="eastAsia"/>
                <w:b/>
                <w:color w:val="auto"/>
              </w:rPr>
              <w:t>主要职责</w:t>
            </w:r>
          </w:p>
        </w:tc>
        <w:tc>
          <w:tcPr>
            <w:tcW w:w="993" w:type="dxa"/>
            <w:shd w:val="clear" w:color="auto" w:fill="auto"/>
            <w:noWrap/>
            <w:vAlign w:val="center"/>
          </w:tcPr>
          <w:p>
            <w:pPr>
              <w:widowControl/>
              <w:spacing w:line="276" w:lineRule="auto"/>
              <w:ind w:firstLine="0" w:firstLineChars="0"/>
              <w:jc w:val="center"/>
              <w:rPr>
                <w:b/>
                <w:color w:val="auto"/>
              </w:rPr>
            </w:pPr>
            <w:r>
              <w:rPr>
                <w:rFonts w:hint="eastAsia"/>
                <w:b/>
                <w:color w:val="auto"/>
              </w:rPr>
              <w:t>人员数量</w:t>
            </w:r>
          </w:p>
        </w:tc>
        <w:tc>
          <w:tcPr>
            <w:tcW w:w="1984" w:type="dxa"/>
            <w:vAlign w:val="center"/>
          </w:tcPr>
          <w:p>
            <w:pPr>
              <w:widowControl/>
              <w:spacing w:line="276" w:lineRule="auto"/>
              <w:ind w:firstLine="0" w:firstLineChars="0"/>
              <w:jc w:val="center"/>
              <w:rPr>
                <w:b/>
                <w:color w:val="auto"/>
              </w:rPr>
            </w:pPr>
            <w:r>
              <w:rPr>
                <w:rFonts w:hint="eastAsia"/>
                <w:b/>
                <w:color w:val="auto"/>
              </w:rPr>
              <w:t>人员要求</w:t>
            </w:r>
          </w:p>
        </w:tc>
        <w:tc>
          <w:tcPr>
            <w:tcW w:w="1928" w:type="dxa"/>
            <w:shd w:val="clear" w:color="auto" w:fill="auto"/>
            <w:noWrap/>
            <w:vAlign w:val="center"/>
          </w:tcPr>
          <w:p>
            <w:pPr>
              <w:widowControl/>
              <w:spacing w:line="276" w:lineRule="auto"/>
              <w:ind w:firstLine="0" w:firstLineChars="0"/>
              <w:jc w:val="center"/>
              <w:rPr>
                <w:b/>
                <w:color w:val="auto"/>
              </w:rPr>
            </w:pPr>
            <w:r>
              <w:rPr>
                <w:rFonts w:hint="eastAsia"/>
                <w:b/>
                <w:color w:val="auto"/>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3" w:type="dxa"/>
            <w:shd w:val="clear" w:color="auto" w:fill="auto"/>
            <w:noWrap/>
            <w:vAlign w:val="center"/>
          </w:tcPr>
          <w:p>
            <w:pPr>
              <w:widowControl/>
              <w:spacing w:line="240" w:lineRule="auto"/>
              <w:ind w:firstLine="0" w:firstLineChars="0"/>
              <w:jc w:val="center"/>
              <w:rPr>
                <w:color w:val="auto"/>
              </w:rPr>
            </w:pPr>
            <w:r>
              <w:rPr>
                <w:rFonts w:hint="eastAsia"/>
                <w:color w:val="auto"/>
              </w:rPr>
              <w:t>项目经理</w:t>
            </w:r>
          </w:p>
        </w:tc>
        <w:tc>
          <w:tcPr>
            <w:tcW w:w="2254" w:type="dxa"/>
            <w:shd w:val="clear" w:color="auto" w:fill="auto"/>
            <w:vAlign w:val="center"/>
          </w:tcPr>
          <w:p>
            <w:pPr>
              <w:widowControl/>
              <w:spacing w:line="240" w:lineRule="auto"/>
              <w:ind w:firstLine="0" w:firstLineChars="0"/>
              <w:jc w:val="center"/>
              <w:rPr>
                <w:color w:val="auto"/>
              </w:rPr>
            </w:pPr>
            <w:r>
              <w:rPr>
                <w:rFonts w:hint="eastAsia"/>
                <w:color w:val="auto"/>
              </w:rPr>
              <w:t>负责项目质量和进度控制</w:t>
            </w:r>
          </w:p>
        </w:tc>
        <w:tc>
          <w:tcPr>
            <w:tcW w:w="993" w:type="dxa"/>
            <w:shd w:val="clear" w:color="auto" w:fill="auto"/>
            <w:noWrap/>
            <w:vAlign w:val="center"/>
          </w:tcPr>
          <w:p>
            <w:pPr>
              <w:widowControl/>
              <w:spacing w:line="240" w:lineRule="auto"/>
              <w:ind w:firstLine="0" w:firstLineChars="0"/>
              <w:jc w:val="center"/>
              <w:rPr>
                <w:color w:val="auto"/>
              </w:rPr>
            </w:pPr>
            <w:r>
              <w:rPr>
                <w:color w:val="auto"/>
              </w:rPr>
              <w:t>1</w:t>
            </w:r>
            <w:r>
              <w:rPr>
                <w:rFonts w:hint="eastAsia"/>
                <w:color w:val="auto"/>
              </w:rPr>
              <w:t>人</w:t>
            </w:r>
          </w:p>
        </w:tc>
        <w:tc>
          <w:tcPr>
            <w:tcW w:w="1984" w:type="dxa"/>
            <w:vAlign w:val="center"/>
          </w:tcPr>
          <w:p>
            <w:pPr>
              <w:widowControl/>
              <w:spacing w:line="240" w:lineRule="auto"/>
              <w:ind w:firstLine="0" w:firstLineChars="0"/>
              <w:jc w:val="center"/>
              <w:rPr>
                <w:color w:val="auto"/>
              </w:rPr>
            </w:pPr>
            <w:r>
              <w:rPr>
                <w:color w:val="auto"/>
              </w:rPr>
              <w:t>本科</w:t>
            </w:r>
            <w:r>
              <w:rPr>
                <w:rFonts w:hint="eastAsia"/>
                <w:color w:val="auto"/>
              </w:rPr>
              <w:t>及以上学历， 有人工智能相关信息化项目经验</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3" w:type="dxa"/>
            <w:shd w:val="clear" w:color="auto" w:fill="auto"/>
            <w:noWrap/>
            <w:vAlign w:val="center"/>
          </w:tcPr>
          <w:p>
            <w:pPr>
              <w:widowControl/>
              <w:spacing w:line="240" w:lineRule="auto"/>
              <w:ind w:firstLine="0" w:firstLineChars="0"/>
              <w:jc w:val="center"/>
              <w:rPr>
                <w:color w:val="auto"/>
              </w:rPr>
            </w:pPr>
            <w:r>
              <w:rPr>
                <w:rFonts w:hint="eastAsia"/>
                <w:color w:val="auto"/>
              </w:rPr>
              <w:t>产品经理</w:t>
            </w:r>
          </w:p>
        </w:tc>
        <w:tc>
          <w:tcPr>
            <w:tcW w:w="2254" w:type="dxa"/>
            <w:shd w:val="clear" w:color="auto" w:fill="auto"/>
            <w:vAlign w:val="center"/>
          </w:tcPr>
          <w:p>
            <w:pPr>
              <w:widowControl/>
              <w:spacing w:line="240" w:lineRule="auto"/>
              <w:ind w:firstLine="0" w:firstLineChars="0"/>
              <w:jc w:val="center"/>
              <w:rPr>
                <w:color w:val="auto"/>
              </w:rPr>
            </w:pPr>
            <w:r>
              <w:rPr>
                <w:rFonts w:hint="eastAsia"/>
                <w:color w:val="auto"/>
              </w:rPr>
              <w:t>负责项目需求评估与产品设计</w:t>
            </w:r>
          </w:p>
        </w:tc>
        <w:tc>
          <w:tcPr>
            <w:tcW w:w="993" w:type="dxa"/>
            <w:shd w:val="clear" w:color="auto" w:fill="auto"/>
            <w:noWrap/>
            <w:vAlign w:val="center"/>
          </w:tcPr>
          <w:p>
            <w:pPr>
              <w:widowControl/>
              <w:spacing w:line="240" w:lineRule="auto"/>
              <w:ind w:firstLine="0" w:firstLineChars="0"/>
              <w:jc w:val="center"/>
              <w:rPr>
                <w:color w:val="auto"/>
              </w:rPr>
            </w:pPr>
            <w:r>
              <w:rPr>
                <w:color w:val="auto"/>
              </w:rPr>
              <w:t>1</w:t>
            </w:r>
            <w:r>
              <w:rPr>
                <w:rFonts w:hint="eastAsia"/>
                <w:color w:val="auto"/>
              </w:rPr>
              <w:t>人</w:t>
            </w:r>
          </w:p>
        </w:tc>
        <w:tc>
          <w:tcPr>
            <w:tcW w:w="1984" w:type="dxa"/>
            <w:vAlign w:val="center"/>
          </w:tcPr>
          <w:p>
            <w:pPr>
              <w:widowControl/>
              <w:spacing w:line="240" w:lineRule="auto"/>
              <w:ind w:firstLine="0" w:firstLineChars="0"/>
              <w:jc w:val="center"/>
              <w:rPr>
                <w:color w:val="auto"/>
              </w:rPr>
            </w:pPr>
            <w:r>
              <w:rPr>
                <w:color w:val="auto"/>
              </w:rPr>
              <w:t>本科</w:t>
            </w:r>
            <w:r>
              <w:rPr>
                <w:rFonts w:hint="eastAsia"/>
                <w:color w:val="auto"/>
              </w:rPr>
              <w:t>及以上学历， 有BIM相关技能证书</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3" w:type="dxa"/>
            <w:shd w:val="clear" w:color="auto" w:fill="auto"/>
            <w:noWrap/>
            <w:vAlign w:val="center"/>
          </w:tcPr>
          <w:p>
            <w:pPr>
              <w:widowControl/>
              <w:spacing w:line="240" w:lineRule="auto"/>
              <w:ind w:firstLine="0" w:firstLineChars="0"/>
              <w:jc w:val="center"/>
              <w:rPr>
                <w:color w:val="auto"/>
              </w:rPr>
            </w:pPr>
            <w:r>
              <w:rPr>
                <w:rFonts w:hint="eastAsia"/>
                <w:color w:val="auto"/>
              </w:rPr>
              <w:t>研发、测试</w:t>
            </w:r>
          </w:p>
        </w:tc>
        <w:tc>
          <w:tcPr>
            <w:tcW w:w="2254" w:type="dxa"/>
            <w:shd w:val="clear" w:color="auto" w:fill="auto"/>
            <w:noWrap/>
            <w:vAlign w:val="center"/>
          </w:tcPr>
          <w:p>
            <w:pPr>
              <w:widowControl/>
              <w:spacing w:line="240" w:lineRule="auto"/>
              <w:ind w:firstLine="0" w:firstLineChars="0"/>
              <w:jc w:val="center"/>
              <w:rPr>
                <w:color w:val="auto"/>
              </w:rPr>
            </w:pPr>
            <w:r>
              <w:rPr>
                <w:rFonts w:hint="eastAsia"/>
                <w:color w:val="auto"/>
              </w:rPr>
              <w:t>负责项目具体开发与实施</w:t>
            </w:r>
          </w:p>
        </w:tc>
        <w:tc>
          <w:tcPr>
            <w:tcW w:w="993" w:type="dxa"/>
            <w:shd w:val="clear" w:color="auto" w:fill="auto"/>
            <w:noWrap/>
            <w:vAlign w:val="center"/>
          </w:tcPr>
          <w:p>
            <w:pPr>
              <w:widowControl/>
              <w:spacing w:line="240" w:lineRule="auto"/>
              <w:ind w:firstLine="0" w:firstLineChars="0"/>
              <w:jc w:val="center"/>
              <w:rPr>
                <w:color w:val="auto"/>
              </w:rPr>
            </w:pPr>
            <w:r>
              <w:rPr>
                <w:rFonts w:hint="eastAsia"/>
                <w:color w:val="auto"/>
              </w:rPr>
              <w:t>15人</w:t>
            </w:r>
          </w:p>
        </w:tc>
        <w:tc>
          <w:tcPr>
            <w:tcW w:w="1984" w:type="dxa"/>
            <w:vAlign w:val="center"/>
          </w:tcPr>
          <w:p>
            <w:pPr>
              <w:widowControl/>
              <w:spacing w:line="240" w:lineRule="auto"/>
              <w:ind w:firstLine="0" w:firstLineChars="0"/>
              <w:jc w:val="center"/>
              <w:rPr>
                <w:color w:val="auto"/>
              </w:rPr>
            </w:pPr>
            <w:r>
              <w:rPr>
                <w:rFonts w:hint="eastAsia"/>
                <w:color w:val="auto"/>
              </w:rPr>
              <w:t>计算机或工程相关专业，有类似不低于两个项目的研发经验</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至少1</w:t>
            </w:r>
            <w:r>
              <w:rPr>
                <w:color w:val="auto"/>
              </w:rPr>
              <w:t>人驻场</w:t>
            </w:r>
            <w:r>
              <w:rPr>
                <w:rFonts w:hint="eastAsia"/>
                <w:color w:val="auto"/>
              </w:rPr>
              <w:t>，并安排专人专线解答用户咨询</w:t>
            </w:r>
          </w:p>
        </w:tc>
      </w:tr>
    </w:tbl>
    <w:p>
      <w:pPr>
        <w:rPr>
          <w:color w:val="auto"/>
        </w:rPr>
      </w:pPr>
    </w:p>
    <w:p>
      <w:pPr>
        <w:rPr>
          <w:color w:val="auto"/>
        </w:rPr>
      </w:pPr>
      <w:r>
        <w:rPr>
          <w:color w:val="auto"/>
        </w:rPr>
        <w:t>2）投标人应针对本项目提供不少于4人的质保期间支撑团队（其中技术经理1人，产品经理1人，技术工程师不少于2</w:t>
      </w:r>
      <w:bookmarkStart w:id="26" w:name="_GoBack"/>
      <w:bookmarkEnd w:id="26"/>
      <w:r>
        <w:rPr>
          <w:color w:val="auto"/>
        </w:rPr>
        <w:t>人）；投标人的相关服务人员需具备相应的服务能力，需提供相关证明（</w:t>
      </w:r>
      <w:r>
        <w:rPr>
          <w:rFonts w:hint="eastAsia"/>
          <w:color w:val="auto"/>
        </w:rPr>
        <w:t>项目经理及核心开发人员提供任意一个月在职社保证明</w:t>
      </w:r>
      <w:r>
        <w:rPr>
          <w:color w:val="auto"/>
        </w:rPr>
        <w:t>）。</w:t>
      </w:r>
    </w:p>
    <w:tbl>
      <w:tblPr>
        <w:tblStyle w:val="36"/>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36"/>
        <w:gridCol w:w="1180"/>
        <w:gridCol w:w="2209"/>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76" w:lineRule="auto"/>
              <w:ind w:firstLine="0" w:firstLineChars="0"/>
              <w:jc w:val="center"/>
              <w:rPr>
                <w:b/>
                <w:color w:val="auto"/>
              </w:rPr>
            </w:pPr>
            <w:r>
              <w:rPr>
                <w:rFonts w:hint="eastAsia"/>
                <w:b/>
                <w:color w:val="auto"/>
              </w:rPr>
              <w:t>角色</w:t>
            </w:r>
          </w:p>
        </w:tc>
        <w:tc>
          <w:tcPr>
            <w:tcW w:w="0" w:type="auto"/>
            <w:shd w:val="clear" w:color="auto" w:fill="auto"/>
            <w:noWrap/>
            <w:vAlign w:val="center"/>
          </w:tcPr>
          <w:p>
            <w:pPr>
              <w:widowControl/>
              <w:spacing w:line="276" w:lineRule="auto"/>
              <w:ind w:firstLine="0" w:firstLineChars="0"/>
              <w:jc w:val="center"/>
              <w:rPr>
                <w:b/>
                <w:color w:val="auto"/>
              </w:rPr>
            </w:pPr>
            <w:r>
              <w:rPr>
                <w:rFonts w:hint="eastAsia"/>
                <w:b/>
                <w:color w:val="auto"/>
              </w:rPr>
              <w:t>主要职责</w:t>
            </w:r>
          </w:p>
        </w:tc>
        <w:tc>
          <w:tcPr>
            <w:tcW w:w="0" w:type="auto"/>
            <w:shd w:val="clear" w:color="auto" w:fill="auto"/>
            <w:noWrap/>
            <w:vAlign w:val="center"/>
          </w:tcPr>
          <w:p>
            <w:pPr>
              <w:widowControl/>
              <w:spacing w:line="276" w:lineRule="auto"/>
              <w:ind w:firstLine="0" w:firstLineChars="0"/>
              <w:jc w:val="center"/>
              <w:rPr>
                <w:b/>
                <w:color w:val="auto"/>
              </w:rPr>
            </w:pPr>
            <w:r>
              <w:rPr>
                <w:rFonts w:hint="eastAsia"/>
                <w:b/>
                <w:color w:val="auto"/>
              </w:rPr>
              <w:t>人员数量</w:t>
            </w:r>
          </w:p>
        </w:tc>
        <w:tc>
          <w:tcPr>
            <w:tcW w:w="2209" w:type="dxa"/>
            <w:vAlign w:val="center"/>
          </w:tcPr>
          <w:p>
            <w:pPr>
              <w:widowControl/>
              <w:spacing w:line="276" w:lineRule="auto"/>
              <w:ind w:firstLine="0" w:firstLineChars="0"/>
              <w:jc w:val="center"/>
              <w:rPr>
                <w:b/>
                <w:color w:val="auto"/>
              </w:rPr>
            </w:pPr>
            <w:r>
              <w:rPr>
                <w:rFonts w:hint="eastAsia"/>
                <w:b/>
                <w:color w:val="auto"/>
              </w:rPr>
              <w:t>人员要求</w:t>
            </w:r>
          </w:p>
        </w:tc>
        <w:tc>
          <w:tcPr>
            <w:tcW w:w="1928" w:type="dxa"/>
            <w:shd w:val="clear" w:color="auto" w:fill="auto"/>
            <w:noWrap/>
            <w:vAlign w:val="center"/>
          </w:tcPr>
          <w:p>
            <w:pPr>
              <w:widowControl/>
              <w:spacing w:line="276" w:lineRule="auto"/>
              <w:ind w:firstLine="0" w:firstLineChars="0"/>
              <w:jc w:val="center"/>
              <w:rPr>
                <w:b/>
                <w:color w:val="auto"/>
              </w:rPr>
            </w:pPr>
            <w:r>
              <w:rPr>
                <w:rFonts w:hint="eastAsia"/>
                <w:b/>
                <w:color w:val="auto"/>
              </w:rPr>
              <w:t>驻场要求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color w:val="auto"/>
              </w:rPr>
            </w:pPr>
            <w:r>
              <w:rPr>
                <w:rFonts w:hint="eastAsia"/>
                <w:color w:val="auto"/>
              </w:rPr>
              <w:t>项目经理</w:t>
            </w:r>
          </w:p>
        </w:tc>
        <w:tc>
          <w:tcPr>
            <w:tcW w:w="0" w:type="auto"/>
            <w:shd w:val="clear" w:color="auto" w:fill="auto"/>
            <w:vAlign w:val="center"/>
          </w:tcPr>
          <w:p>
            <w:pPr>
              <w:widowControl/>
              <w:spacing w:line="240" w:lineRule="auto"/>
              <w:ind w:firstLine="0" w:firstLineChars="0"/>
              <w:jc w:val="center"/>
              <w:rPr>
                <w:color w:val="auto"/>
              </w:rPr>
            </w:pPr>
            <w:r>
              <w:rPr>
                <w:rFonts w:hint="eastAsia"/>
                <w:color w:val="auto"/>
              </w:rPr>
              <w:t>负责项目质量和进度控制</w:t>
            </w:r>
          </w:p>
        </w:tc>
        <w:tc>
          <w:tcPr>
            <w:tcW w:w="0" w:type="auto"/>
            <w:shd w:val="clear" w:color="auto" w:fill="auto"/>
            <w:noWrap/>
            <w:vAlign w:val="center"/>
          </w:tcPr>
          <w:p>
            <w:pPr>
              <w:widowControl/>
              <w:spacing w:line="240" w:lineRule="auto"/>
              <w:ind w:firstLine="0" w:firstLineChars="0"/>
              <w:jc w:val="center"/>
              <w:rPr>
                <w:color w:val="auto"/>
              </w:rPr>
            </w:pPr>
            <w:r>
              <w:rPr>
                <w:color w:val="auto"/>
              </w:rPr>
              <w:t>1</w:t>
            </w:r>
            <w:r>
              <w:rPr>
                <w:rFonts w:hint="eastAsia"/>
                <w:color w:val="auto"/>
              </w:rPr>
              <w:t>人</w:t>
            </w:r>
          </w:p>
        </w:tc>
        <w:tc>
          <w:tcPr>
            <w:tcW w:w="2209" w:type="dxa"/>
            <w:vAlign w:val="center"/>
          </w:tcPr>
          <w:p>
            <w:pPr>
              <w:widowControl/>
              <w:spacing w:line="240" w:lineRule="auto"/>
              <w:ind w:firstLine="0" w:firstLineChars="0"/>
              <w:jc w:val="center"/>
              <w:rPr>
                <w:color w:val="auto"/>
              </w:rPr>
            </w:pPr>
            <w:r>
              <w:rPr>
                <w:color w:val="auto"/>
              </w:rPr>
              <w:t>本科</w:t>
            </w:r>
            <w:r>
              <w:rPr>
                <w:rFonts w:hint="eastAsia"/>
                <w:color w:val="auto"/>
              </w:rPr>
              <w:t>及以上学历， 有人工智能相关信息化项目经验</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color w:val="auto"/>
              </w:rPr>
            </w:pPr>
            <w:r>
              <w:rPr>
                <w:rFonts w:hint="eastAsia"/>
                <w:color w:val="auto"/>
              </w:rPr>
              <w:t>产品经理</w:t>
            </w:r>
          </w:p>
        </w:tc>
        <w:tc>
          <w:tcPr>
            <w:tcW w:w="0" w:type="auto"/>
            <w:shd w:val="clear" w:color="auto" w:fill="auto"/>
            <w:vAlign w:val="center"/>
          </w:tcPr>
          <w:p>
            <w:pPr>
              <w:widowControl/>
              <w:spacing w:line="240" w:lineRule="auto"/>
              <w:ind w:firstLine="0" w:firstLineChars="0"/>
              <w:jc w:val="center"/>
              <w:rPr>
                <w:color w:val="auto"/>
              </w:rPr>
            </w:pPr>
            <w:r>
              <w:rPr>
                <w:rFonts w:hint="eastAsia"/>
                <w:color w:val="auto"/>
              </w:rPr>
              <w:t>负责项目需求评估与产品设计</w:t>
            </w:r>
          </w:p>
        </w:tc>
        <w:tc>
          <w:tcPr>
            <w:tcW w:w="0" w:type="auto"/>
            <w:shd w:val="clear" w:color="auto" w:fill="auto"/>
            <w:noWrap/>
            <w:vAlign w:val="center"/>
          </w:tcPr>
          <w:p>
            <w:pPr>
              <w:widowControl/>
              <w:spacing w:line="240" w:lineRule="auto"/>
              <w:ind w:firstLine="0" w:firstLineChars="0"/>
              <w:jc w:val="center"/>
              <w:rPr>
                <w:color w:val="auto"/>
              </w:rPr>
            </w:pPr>
            <w:r>
              <w:rPr>
                <w:color w:val="auto"/>
              </w:rPr>
              <w:t>1</w:t>
            </w:r>
            <w:r>
              <w:rPr>
                <w:rFonts w:hint="eastAsia"/>
                <w:color w:val="auto"/>
              </w:rPr>
              <w:t>人</w:t>
            </w:r>
          </w:p>
        </w:tc>
        <w:tc>
          <w:tcPr>
            <w:tcW w:w="2209" w:type="dxa"/>
            <w:vAlign w:val="center"/>
          </w:tcPr>
          <w:p>
            <w:pPr>
              <w:widowControl/>
              <w:spacing w:line="240" w:lineRule="auto"/>
              <w:ind w:firstLine="0" w:firstLineChars="0"/>
              <w:jc w:val="center"/>
              <w:rPr>
                <w:color w:val="auto"/>
              </w:rPr>
            </w:pPr>
            <w:r>
              <w:rPr>
                <w:color w:val="auto"/>
              </w:rPr>
              <w:t>本科</w:t>
            </w:r>
            <w:r>
              <w:rPr>
                <w:rFonts w:hint="eastAsia"/>
                <w:color w:val="auto"/>
              </w:rPr>
              <w:t>及以上学历， 有BIM相关技能证书</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不驻场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pPr>
              <w:widowControl/>
              <w:spacing w:line="240" w:lineRule="auto"/>
              <w:ind w:firstLine="0" w:firstLineChars="0"/>
              <w:jc w:val="center"/>
              <w:rPr>
                <w:color w:val="auto"/>
              </w:rPr>
            </w:pPr>
            <w:r>
              <w:rPr>
                <w:rFonts w:hint="eastAsia"/>
                <w:color w:val="auto"/>
              </w:rPr>
              <w:t>技术工程师</w:t>
            </w:r>
          </w:p>
        </w:tc>
        <w:tc>
          <w:tcPr>
            <w:tcW w:w="0" w:type="auto"/>
            <w:shd w:val="clear" w:color="auto" w:fill="auto"/>
            <w:noWrap/>
            <w:vAlign w:val="center"/>
          </w:tcPr>
          <w:p>
            <w:pPr>
              <w:widowControl/>
              <w:spacing w:line="240" w:lineRule="auto"/>
              <w:ind w:firstLine="0" w:firstLineChars="0"/>
              <w:jc w:val="center"/>
              <w:rPr>
                <w:color w:val="auto"/>
              </w:rPr>
            </w:pPr>
            <w:r>
              <w:rPr>
                <w:rFonts w:hint="eastAsia"/>
                <w:color w:val="auto"/>
              </w:rPr>
              <w:t>负责项目运行维护</w:t>
            </w:r>
          </w:p>
        </w:tc>
        <w:tc>
          <w:tcPr>
            <w:tcW w:w="0" w:type="auto"/>
            <w:shd w:val="clear" w:color="auto" w:fill="auto"/>
            <w:noWrap/>
            <w:vAlign w:val="center"/>
          </w:tcPr>
          <w:p>
            <w:pPr>
              <w:widowControl/>
              <w:spacing w:line="240" w:lineRule="auto"/>
              <w:ind w:firstLine="0" w:firstLineChars="0"/>
              <w:jc w:val="center"/>
              <w:rPr>
                <w:color w:val="auto"/>
              </w:rPr>
            </w:pPr>
            <w:r>
              <w:rPr>
                <w:color w:val="auto"/>
              </w:rPr>
              <w:t>2</w:t>
            </w:r>
            <w:r>
              <w:rPr>
                <w:rFonts w:hint="eastAsia"/>
                <w:color w:val="auto"/>
              </w:rPr>
              <w:t>人</w:t>
            </w:r>
          </w:p>
        </w:tc>
        <w:tc>
          <w:tcPr>
            <w:tcW w:w="2209" w:type="dxa"/>
            <w:vAlign w:val="center"/>
          </w:tcPr>
          <w:p>
            <w:pPr>
              <w:widowControl/>
              <w:spacing w:line="240" w:lineRule="auto"/>
              <w:ind w:firstLine="0" w:firstLineChars="0"/>
              <w:jc w:val="center"/>
              <w:rPr>
                <w:color w:val="auto"/>
              </w:rPr>
            </w:pPr>
            <w:r>
              <w:rPr>
                <w:rFonts w:hint="eastAsia"/>
                <w:color w:val="auto"/>
              </w:rPr>
              <w:t>计算机或工程相关专业，有类似不低于两个项目的研发经验</w:t>
            </w:r>
          </w:p>
        </w:tc>
        <w:tc>
          <w:tcPr>
            <w:tcW w:w="1928" w:type="dxa"/>
            <w:shd w:val="clear" w:color="auto" w:fill="auto"/>
            <w:noWrap/>
            <w:vAlign w:val="center"/>
          </w:tcPr>
          <w:p>
            <w:pPr>
              <w:widowControl/>
              <w:spacing w:line="240" w:lineRule="auto"/>
              <w:ind w:firstLine="0" w:firstLineChars="0"/>
              <w:jc w:val="center"/>
              <w:rPr>
                <w:color w:val="auto"/>
              </w:rPr>
            </w:pPr>
            <w:r>
              <w:rPr>
                <w:rFonts w:hint="eastAsia"/>
                <w:color w:val="auto"/>
              </w:rPr>
              <w:t>至少1</w:t>
            </w:r>
            <w:r>
              <w:rPr>
                <w:color w:val="auto"/>
              </w:rPr>
              <w:t>人驻场</w:t>
            </w:r>
            <w:r>
              <w:rPr>
                <w:rFonts w:hint="eastAsia"/>
                <w:color w:val="auto"/>
              </w:rPr>
              <w:t>，并安排专人专线解答用户咨询</w:t>
            </w:r>
          </w:p>
        </w:tc>
      </w:tr>
    </w:tbl>
    <w:p>
      <w:pPr>
        <w:rPr>
          <w:color w:val="auto"/>
        </w:rPr>
      </w:pPr>
    </w:p>
    <w:p>
      <w:pPr>
        <w:pStyle w:val="3"/>
        <w:ind w:left="0"/>
        <w:rPr>
          <w:color w:val="auto"/>
          <w:sz w:val="28"/>
          <w:szCs w:val="28"/>
        </w:rPr>
      </w:pPr>
      <w:r>
        <w:rPr>
          <w:color w:val="auto"/>
          <w:sz w:val="28"/>
          <w:szCs w:val="28"/>
        </w:rPr>
        <w:t>等级保护要求</w:t>
      </w:r>
    </w:p>
    <w:p>
      <w:pPr>
        <w:rPr>
          <w:color w:val="auto"/>
        </w:rPr>
      </w:pPr>
      <w:r>
        <w:rPr>
          <w:color w:val="auto"/>
        </w:rPr>
        <w:t>本项目等级保护要求：参照等保</w:t>
      </w:r>
      <w:r>
        <w:rPr>
          <w:rFonts w:hint="eastAsia"/>
          <w:color w:val="auto"/>
        </w:rPr>
        <w:t>二</w:t>
      </w:r>
      <w:r>
        <w:rPr>
          <w:color w:val="auto"/>
        </w:rPr>
        <w:t>级要求建设。</w:t>
      </w:r>
    </w:p>
    <w:p>
      <w:pPr>
        <w:pStyle w:val="3"/>
        <w:ind w:left="0"/>
        <w:rPr>
          <w:color w:val="auto"/>
          <w:sz w:val="28"/>
          <w:szCs w:val="28"/>
        </w:rPr>
      </w:pPr>
      <w:r>
        <w:rPr>
          <w:rFonts w:hint="eastAsia"/>
          <w:color w:val="auto"/>
          <w:sz w:val="28"/>
          <w:szCs w:val="28"/>
        </w:rPr>
        <w:t>商业密码应用需求</w:t>
      </w:r>
    </w:p>
    <w:p>
      <w:pPr>
        <w:rPr>
          <w:color w:val="auto"/>
        </w:rPr>
      </w:pPr>
      <w:r>
        <w:rPr>
          <w:rFonts w:hint="eastAsia"/>
          <w:color w:val="auto"/>
        </w:rPr>
        <w:t>本项目需按照《密码应用基本要求》中三级指标要求建设，具体需求如下：</w:t>
      </w:r>
    </w:p>
    <w:tbl>
      <w:tblPr>
        <w:tblStyle w:val="36"/>
        <w:tblW w:w="8784" w:type="dxa"/>
        <w:jc w:val="center"/>
        <w:tblLayout w:type="autofit"/>
        <w:tblCellMar>
          <w:top w:w="0" w:type="dxa"/>
          <w:left w:w="108" w:type="dxa"/>
          <w:bottom w:w="0" w:type="dxa"/>
          <w:right w:w="108" w:type="dxa"/>
        </w:tblCellMar>
      </w:tblPr>
      <w:tblGrid>
        <w:gridCol w:w="1230"/>
        <w:gridCol w:w="2380"/>
        <w:gridCol w:w="3473"/>
        <w:gridCol w:w="1701"/>
      </w:tblGrid>
      <w:tr>
        <w:tblPrEx>
          <w:tblCellMar>
            <w:top w:w="0" w:type="dxa"/>
            <w:left w:w="108" w:type="dxa"/>
            <w:bottom w:w="0" w:type="dxa"/>
            <w:right w:w="108" w:type="dxa"/>
          </w:tblCellMar>
        </w:tblPrEx>
        <w:trPr>
          <w:trHeight w:val="460" w:hRule="atLeast"/>
          <w:tblHeader/>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spacing w:line="240" w:lineRule="auto"/>
              <w:ind w:firstLine="0" w:firstLineChars="0"/>
              <w:jc w:val="center"/>
              <w:textAlignment w:val="center"/>
              <w:rPr>
                <w:b/>
                <w:bCs/>
                <w:color w:val="auto"/>
              </w:rPr>
            </w:pPr>
            <w:r>
              <w:rPr>
                <w:rFonts w:hint="eastAsia"/>
                <w:b/>
                <w:bCs/>
                <w:color w:val="auto"/>
                <w:kern w:val="0"/>
              </w:rPr>
              <w:t>指标要求</w:t>
            </w:r>
          </w:p>
        </w:tc>
        <w:tc>
          <w:tcPr>
            <w:tcW w:w="2380" w:type="dxa"/>
            <w:tcBorders>
              <w:top w:val="single" w:color="000000" w:sz="4" w:space="0"/>
              <w:left w:val="nil"/>
              <w:bottom w:val="single" w:color="000000" w:sz="4" w:space="0"/>
              <w:right w:val="single" w:color="000000" w:sz="4" w:space="0"/>
            </w:tcBorders>
            <w:shd w:val="clear" w:color="auto" w:fill="D9D9D9"/>
            <w:vAlign w:val="center"/>
          </w:tcPr>
          <w:p>
            <w:pPr>
              <w:widowControl/>
              <w:spacing w:line="240" w:lineRule="auto"/>
              <w:ind w:firstLine="0" w:firstLineChars="0"/>
              <w:jc w:val="center"/>
              <w:textAlignment w:val="center"/>
              <w:rPr>
                <w:b/>
                <w:bCs/>
                <w:color w:val="auto"/>
              </w:rPr>
            </w:pPr>
            <w:r>
              <w:rPr>
                <w:rFonts w:hint="eastAsia"/>
                <w:b/>
                <w:bCs/>
                <w:color w:val="auto"/>
                <w:kern w:val="0"/>
              </w:rPr>
              <w:t>密码技术应用点</w:t>
            </w:r>
          </w:p>
        </w:tc>
        <w:tc>
          <w:tcPr>
            <w:tcW w:w="3473" w:type="dxa"/>
            <w:tcBorders>
              <w:top w:val="single" w:color="000000" w:sz="4" w:space="0"/>
              <w:left w:val="nil"/>
              <w:bottom w:val="single" w:color="000000" w:sz="4" w:space="0"/>
              <w:right w:val="single" w:color="000000" w:sz="4" w:space="0"/>
            </w:tcBorders>
            <w:shd w:val="clear" w:color="auto" w:fill="D9D9D9"/>
            <w:vAlign w:val="center"/>
          </w:tcPr>
          <w:p>
            <w:pPr>
              <w:widowControl/>
              <w:spacing w:line="240" w:lineRule="auto"/>
              <w:ind w:firstLine="0" w:firstLineChars="0"/>
              <w:jc w:val="center"/>
              <w:textAlignment w:val="center"/>
              <w:rPr>
                <w:b/>
                <w:bCs/>
                <w:color w:val="auto"/>
              </w:rPr>
            </w:pPr>
            <w:r>
              <w:rPr>
                <w:rFonts w:hint="eastAsia"/>
                <w:b/>
                <w:bCs/>
                <w:color w:val="auto"/>
                <w:kern w:val="0"/>
              </w:rPr>
              <w:t>采取措施</w:t>
            </w:r>
          </w:p>
        </w:tc>
        <w:tc>
          <w:tcPr>
            <w:tcW w:w="1701" w:type="dxa"/>
            <w:tcBorders>
              <w:top w:val="single" w:color="000000" w:sz="4" w:space="0"/>
              <w:left w:val="nil"/>
              <w:bottom w:val="single" w:color="000000" w:sz="4" w:space="0"/>
              <w:right w:val="single" w:color="000000" w:sz="4" w:space="0"/>
            </w:tcBorders>
            <w:shd w:val="clear" w:color="auto" w:fill="D9D9D9"/>
            <w:vAlign w:val="center"/>
          </w:tcPr>
          <w:p>
            <w:pPr>
              <w:widowControl/>
              <w:spacing w:line="240" w:lineRule="auto"/>
              <w:ind w:firstLine="0" w:firstLineChars="0"/>
              <w:jc w:val="center"/>
              <w:textAlignment w:val="center"/>
              <w:rPr>
                <w:b/>
                <w:bCs/>
                <w:color w:val="auto"/>
              </w:rPr>
            </w:pPr>
            <w:r>
              <w:rPr>
                <w:rFonts w:hint="eastAsia"/>
                <w:b/>
                <w:bCs/>
                <w:color w:val="auto"/>
                <w:kern w:val="0"/>
              </w:rPr>
              <w:t>不适用说明</w:t>
            </w:r>
          </w:p>
        </w:tc>
      </w:tr>
      <w:tr>
        <w:tblPrEx>
          <w:tblCellMar>
            <w:top w:w="0" w:type="dxa"/>
            <w:left w:w="108" w:type="dxa"/>
            <w:bottom w:w="0" w:type="dxa"/>
            <w:right w:w="108" w:type="dxa"/>
          </w:tblCellMar>
        </w:tblPrEx>
        <w:trPr>
          <w:trHeight w:val="440" w:hRule="atLeast"/>
          <w:jc w:val="center"/>
        </w:trPr>
        <w:tc>
          <w:tcPr>
            <w:tcW w:w="1230" w:type="dxa"/>
            <w:vMerge w:val="restart"/>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rPr>
            </w:pPr>
            <w:r>
              <w:rPr>
                <w:rFonts w:hint="eastAsia"/>
                <w:color w:val="auto"/>
                <w:kern w:val="0"/>
              </w:rPr>
              <w:t>物理和环境安全</w:t>
            </w: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身份鉴别</w:t>
            </w:r>
          </w:p>
        </w:tc>
        <w:tc>
          <w:tcPr>
            <w:tcW w:w="3473"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系统的物理和环境安全由云平台提供安全保障，不适用。</w:t>
            </w:r>
          </w:p>
        </w:tc>
        <w:tc>
          <w:tcPr>
            <w:tcW w:w="1701"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2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color w:val="auto"/>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电子门禁记录数据完整性</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r>
      <w:tr>
        <w:tblPrEx>
          <w:tblCellMar>
            <w:top w:w="0" w:type="dxa"/>
            <w:left w:w="108" w:type="dxa"/>
            <w:bottom w:w="0" w:type="dxa"/>
            <w:right w:w="108" w:type="dxa"/>
          </w:tblCellMar>
        </w:tblPrEx>
        <w:trPr>
          <w:trHeight w:val="4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color w:val="auto"/>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视频记录数据完整性</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r>
      <w:tr>
        <w:tblPrEx>
          <w:tblCellMar>
            <w:top w:w="0" w:type="dxa"/>
            <w:left w:w="108" w:type="dxa"/>
            <w:bottom w:w="0" w:type="dxa"/>
            <w:right w:w="108" w:type="dxa"/>
          </w:tblCellMar>
        </w:tblPrEx>
        <w:trPr>
          <w:trHeight w:val="2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color w:val="auto"/>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密码服务</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r>
      <w:tr>
        <w:tblPrEx>
          <w:tblCellMar>
            <w:top w:w="0" w:type="dxa"/>
            <w:left w:w="108" w:type="dxa"/>
            <w:bottom w:w="0" w:type="dxa"/>
            <w:right w:w="108" w:type="dxa"/>
          </w:tblCellMar>
        </w:tblPrEx>
        <w:trPr>
          <w:trHeight w:val="2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jc w:val="left"/>
              <w:rPr>
                <w:color w:val="auto"/>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jc w:val="left"/>
              <w:textAlignment w:val="center"/>
              <w:rPr>
                <w:color w:val="auto"/>
              </w:rPr>
            </w:pPr>
            <w:r>
              <w:rPr>
                <w:rFonts w:hint="eastAsia"/>
                <w:color w:val="auto"/>
                <w:kern w:val="0"/>
              </w:rPr>
              <w:t>密码产品</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jc w:val="left"/>
              <w:rPr>
                <w:color w:val="auto"/>
              </w:rPr>
            </w:pPr>
          </w:p>
        </w:tc>
      </w:tr>
      <w:tr>
        <w:tblPrEx>
          <w:tblCellMar>
            <w:top w:w="0" w:type="dxa"/>
            <w:left w:w="108" w:type="dxa"/>
            <w:bottom w:w="0" w:type="dxa"/>
            <w:right w:w="108" w:type="dxa"/>
          </w:tblCellMar>
        </w:tblPrEx>
        <w:trPr>
          <w:trHeight w:val="780" w:hRule="atLeast"/>
          <w:jc w:val="center"/>
        </w:trPr>
        <w:tc>
          <w:tcPr>
            <w:tcW w:w="1230" w:type="dxa"/>
            <w:vMerge w:val="restart"/>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网络和通信安全</w:t>
            </w: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身份鉴别</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确保移动终端和服务端通信实体身份的真实性，防止与假冒实体进行通信。</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管理端的身份鉴别由云平台提供安全保障，不适用。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通信数据完整性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使用安全认证网关等服务来 确保数据在传输过程中的完 整性。</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管理端进行远程运维管理时的运维通信数据完整性由云平台提供安全保障，不适 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通信过程中重要数据的机密性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使用安全认证网关服务建立 移动终端到服务端的加密传 输服务来确保数据传输的机 密性。</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管理端进行远程运维管理时的运维通信 数据机密性由云平台提供安全保障，不适用。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网络边界访问控制信息的完整性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系统网络拓扑中不同区域网络边界需确保访问控制信息的完整性。</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安全接入认证</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无外部设备接入本系统的需求。</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密码服务</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采用的数字证书由具备资质的电子认证服务机构签发。</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采用的云密码服务由云平台提供，不适用。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780" w:hRule="atLeast"/>
          <w:jc w:val="center"/>
        </w:trPr>
        <w:tc>
          <w:tcPr>
            <w:tcW w:w="1230" w:type="dxa"/>
            <w:vMerge w:val="restart"/>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设备和计算安全</w:t>
            </w: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身份鉴别</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对服务器虚拟机等设备的远程运维管理员身份真实性进行识别和确认，防止假冒人员登录。</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远程管理通道安全</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对服务器虚拟机等设备的远程运维管理通道进行保护，防止鉴别信息泄漏。</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系统资源访问控制信息完整性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保护服务器虚拟机、数据库等设备访问控制信息的完整性，防止被非授权篡改。</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6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重要信息资源安全标记的完整性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设备没有安全标记。</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日志记录完整性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保护服务器虚拟机、数据库等设备中日志记录的完整性，防止被非授权篡改。</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重要可执行程序完整性、来源真实性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保护应用服务器虚拟机等设备中重要可执行程序的完整性和来源真实性，防止被 非授权篡改。</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密码服务</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采用的云密码服务由云平台提供，不适用。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restart"/>
            <w:tcBorders>
              <w:top w:val="nil"/>
              <w:left w:val="nil"/>
              <w:bottom w:val="single" w:color="000000" w:sz="4" w:space="0"/>
              <w:right w:val="single" w:color="000000" w:sz="4" w:space="0"/>
            </w:tcBorders>
            <w:noWrap/>
            <w:vAlign w:val="center"/>
          </w:tcPr>
          <w:p>
            <w:pPr>
              <w:widowControl/>
              <w:spacing w:line="240" w:lineRule="auto"/>
              <w:ind w:firstLine="0" w:firstLineChars="0"/>
              <w:textAlignment w:val="center"/>
              <w:rPr>
                <w:color w:val="auto"/>
                <w:kern w:val="0"/>
              </w:rPr>
            </w:pPr>
            <w:r>
              <w:rPr>
                <w:rFonts w:hint="eastAsia"/>
                <w:color w:val="auto"/>
                <w:kern w:val="0"/>
              </w:rPr>
              <w:t>密码产品</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移动终端采用的密码产品应达到GB/T 37092二级及以上安全要求。</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服务端相关的密码产品由云平台提供安全保障，不适用。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520" w:hRule="atLeast"/>
          <w:jc w:val="center"/>
        </w:trPr>
        <w:tc>
          <w:tcPr>
            <w:tcW w:w="1230" w:type="dxa"/>
            <w:vMerge w:val="restart"/>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应用和数据安全</w:t>
            </w: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身份鉴别</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确认终端登录用户的身份真实性，防止假冒人员登录。</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访问控制信息完整性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对应用系统的访问权限控制列表进行完整性保护，防止被非授权篡改。</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重要信息资源安全标记完整性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应用没有安全标记。</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重要数据传输机密性</w:t>
            </w:r>
          </w:p>
        </w:tc>
        <w:tc>
          <w:tcPr>
            <w:tcW w:w="3473"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保护移动终端与服务端之间传输和存储 的用户身份鉴别信息、电子公文数据等重 要数据的机密性和完整性，防止数据泄露 给非授权的个人、进程等。保护系统业务 日志数据的完整性，防止该数据被非授权篡改。</w:t>
            </w:r>
          </w:p>
        </w:tc>
        <w:tc>
          <w:tcPr>
            <w:tcW w:w="1701"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重要数据存储机密性</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重要数据传输完整性</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重要数据存储完整性</w:t>
            </w: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r>
      <w:tr>
        <w:tblPrEx>
          <w:tblCellMar>
            <w:top w:w="0" w:type="dxa"/>
            <w:left w:w="108" w:type="dxa"/>
            <w:bottom w:w="0" w:type="dxa"/>
            <w:right w:w="108" w:type="dxa"/>
          </w:tblCellMar>
        </w:tblPrEx>
        <w:trPr>
          <w:trHeight w:val="104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不可否认性</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系统无涉及法律责任认定的重要操作行为</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密码服务</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采用的数字证书由具备资质的电子认证服务机构签发。</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采用的云密码服务由云平台提供，不适用。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r>
        <w:tblPrEx>
          <w:tblCellMar>
            <w:top w:w="0" w:type="dxa"/>
            <w:left w:w="108" w:type="dxa"/>
            <w:bottom w:w="0" w:type="dxa"/>
            <w:right w:w="108" w:type="dxa"/>
          </w:tblCellMar>
        </w:tblPrEx>
        <w:trPr>
          <w:trHeight w:val="52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2380" w:type="dxa"/>
            <w:vMerge w:val="restart"/>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密码产品</w:t>
            </w: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移动终端采用的密码产品应达到GB/T 37092二级及以上安全要求。</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无</w:t>
            </w:r>
          </w:p>
        </w:tc>
      </w:tr>
      <w:tr>
        <w:tblPrEx>
          <w:tblCellMar>
            <w:top w:w="0" w:type="dxa"/>
            <w:left w:w="108" w:type="dxa"/>
            <w:bottom w:w="0" w:type="dxa"/>
            <w:right w:w="108" w:type="dxa"/>
          </w:tblCellMar>
        </w:tblPrEx>
        <w:trPr>
          <w:trHeight w:val="780"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0" w:type="auto"/>
            <w:vMerge w:val="continue"/>
            <w:tcBorders>
              <w:top w:val="nil"/>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p>
        </w:tc>
        <w:tc>
          <w:tcPr>
            <w:tcW w:w="3473"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服务端相关的密码产品由云平台提供安 全保障，不适用。</w:t>
            </w:r>
          </w:p>
        </w:tc>
        <w:tc>
          <w:tcPr>
            <w:tcW w:w="1701" w:type="dxa"/>
            <w:tcBorders>
              <w:top w:val="single" w:color="000000" w:sz="4" w:space="0"/>
              <w:left w:val="nil"/>
              <w:bottom w:val="single" w:color="000000" w:sz="4" w:space="0"/>
              <w:right w:val="single" w:color="000000" w:sz="4" w:space="0"/>
            </w:tcBorders>
            <w:vAlign w:val="center"/>
          </w:tcPr>
          <w:p>
            <w:pPr>
              <w:widowControl/>
              <w:spacing w:line="240" w:lineRule="auto"/>
              <w:ind w:firstLine="0" w:firstLineChars="0"/>
              <w:textAlignment w:val="center"/>
              <w:rPr>
                <w:color w:val="auto"/>
                <w:kern w:val="0"/>
              </w:rPr>
            </w:pPr>
            <w:r>
              <w:rPr>
                <w:rFonts w:hint="eastAsia"/>
                <w:color w:val="auto"/>
                <w:kern w:val="0"/>
              </w:rPr>
              <w:t>云平台通过密评，已被完全评估。</w:t>
            </w:r>
          </w:p>
        </w:tc>
      </w:tr>
    </w:tbl>
    <w:p>
      <w:pPr>
        <w:ind w:firstLine="0" w:firstLineChars="0"/>
        <w:rPr>
          <w:color w:val="auto"/>
        </w:rPr>
      </w:pPr>
    </w:p>
    <w:p>
      <w:pPr>
        <w:pStyle w:val="3"/>
        <w:ind w:left="0"/>
        <w:rPr>
          <w:color w:val="auto"/>
          <w:sz w:val="28"/>
          <w:szCs w:val="28"/>
        </w:rPr>
      </w:pPr>
      <w:r>
        <w:rPr>
          <w:rFonts w:hint="eastAsia"/>
          <w:color w:val="auto"/>
          <w:sz w:val="28"/>
          <w:szCs w:val="28"/>
        </w:rPr>
        <w:t>技术文件要求</w:t>
      </w:r>
    </w:p>
    <w:p>
      <w:pPr>
        <w:rPr>
          <w:color w:val="auto"/>
        </w:rPr>
      </w:pPr>
      <w:r>
        <w:rPr>
          <w:rFonts w:hint="eastAsia"/>
          <w:color w:val="auto"/>
        </w:rPr>
        <w:t>投标人提供的书面技术资料应能确保系统正常运行所需的管理、运营及维护有关的全套文件。技术文件应该全面、完整、详细。投标人提供的技术文件至少应包括：</w:t>
      </w:r>
    </w:p>
    <w:p>
      <w:pPr>
        <w:rPr>
          <w:color w:val="auto"/>
        </w:rPr>
      </w:pPr>
      <w:r>
        <w:rPr>
          <w:rFonts w:hint="eastAsia"/>
          <w:color w:val="auto"/>
        </w:rPr>
        <w:t>－</w:t>
      </w:r>
      <w:r>
        <w:rPr>
          <w:color w:val="auto"/>
        </w:rPr>
        <w:t xml:space="preserve"> 系统说明文件； </w:t>
      </w:r>
    </w:p>
    <w:p>
      <w:pPr>
        <w:rPr>
          <w:color w:val="auto"/>
        </w:rPr>
      </w:pPr>
      <w:r>
        <w:rPr>
          <w:rFonts w:hint="eastAsia"/>
          <w:color w:val="auto"/>
        </w:rPr>
        <w:t>－</w:t>
      </w:r>
      <w:r>
        <w:rPr>
          <w:color w:val="auto"/>
        </w:rPr>
        <w:t xml:space="preserve"> 技术手册(安装、测试、操作、维护、故障排除等)； </w:t>
      </w:r>
    </w:p>
    <w:p>
      <w:pPr>
        <w:rPr>
          <w:color w:val="auto"/>
        </w:rPr>
      </w:pPr>
      <w:r>
        <w:rPr>
          <w:rFonts w:hint="eastAsia"/>
          <w:color w:val="auto"/>
        </w:rPr>
        <w:t>－</w:t>
      </w:r>
      <w:r>
        <w:rPr>
          <w:color w:val="auto"/>
        </w:rPr>
        <w:t xml:space="preserve"> 项目文档，应该包括：</w:t>
      </w:r>
    </w:p>
    <w:p>
      <w:pPr>
        <w:ind w:left="360"/>
        <w:rPr>
          <w:color w:val="auto"/>
        </w:rPr>
      </w:pPr>
      <w:r>
        <w:rPr>
          <w:color w:val="auto"/>
        </w:rPr>
        <w:t>(1) 软件需求说明书</w:t>
      </w:r>
    </w:p>
    <w:p>
      <w:pPr>
        <w:ind w:left="360"/>
        <w:rPr>
          <w:color w:val="auto"/>
        </w:rPr>
      </w:pPr>
      <w:r>
        <w:rPr>
          <w:color w:val="auto"/>
        </w:rPr>
        <w:t>(2)</w:t>
      </w:r>
      <w:r>
        <w:rPr>
          <w:color w:val="auto"/>
        </w:rPr>
        <w:tab/>
      </w:r>
      <w:r>
        <w:rPr>
          <w:color w:val="auto"/>
        </w:rPr>
        <w:t>系统总体设计说明书</w:t>
      </w:r>
    </w:p>
    <w:p>
      <w:pPr>
        <w:ind w:left="360"/>
        <w:rPr>
          <w:color w:val="auto"/>
        </w:rPr>
      </w:pPr>
      <w:r>
        <w:rPr>
          <w:color w:val="auto"/>
        </w:rPr>
        <w:t>(3)</w:t>
      </w:r>
      <w:r>
        <w:rPr>
          <w:color w:val="auto"/>
        </w:rPr>
        <w:tab/>
      </w:r>
      <w:r>
        <w:rPr>
          <w:color w:val="auto"/>
        </w:rPr>
        <w:t>应用软件功能清单</w:t>
      </w:r>
    </w:p>
    <w:p>
      <w:pPr>
        <w:rPr>
          <w:color w:val="auto"/>
        </w:rPr>
      </w:pPr>
      <w:r>
        <w:rPr>
          <w:rFonts w:hint="eastAsia"/>
          <w:color w:val="auto"/>
        </w:rPr>
        <w:t>提供全套技术文件纸介质</w:t>
      </w:r>
      <w:r>
        <w:rPr>
          <w:color w:val="auto"/>
        </w:rPr>
        <w:t>3套以及电子文件1套。</w:t>
      </w:r>
    </w:p>
    <w:p>
      <w:pPr>
        <w:rPr>
          <w:color w:val="auto"/>
        </w:rPr>
      </w:pPr>
    </w:p>
    <w:bookmarkEnd w:id="23"/>
    <w:bookmarkEnd w:id="24"/>
    <w:p>
      <w:pPr>
        <w:rPr>
          <w:color w:val="auto"/>
        </w:rPr>
      </w:pPr>
    </w:p>
    <w:bookmarkEnd w:id="25"/>
    <w:p>
      <w:pPr>
        <w:ind w:firstLine="0" w:firstLineChars="0"/>
        <w:rPr>
          <w:b/>
          <w:color w:val="auto"/>
        </w:rPr>
      </w:pPr>
    </w:p>
    <w:p>
      <w:pPr>
        <w:ind w:firstLine="0" w:firstLineChars="0"/>
        <w:rPr>
          <w:b/>
          <w:color w:val="auto"/>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Microsoft Sans Serif">
    <w:panose1 w:val="020B0604020202020204"/>
    <w:charset w:val="00"/>
    <w:family w:val="swiss"/>
    <w:pitch w:val="default"/>
    <w:sig w:usb0="E1002AFF" w:usb1="C0000002" w:usb2="00000008"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pPr>
    <w:r>
      <w:fldChar w:fldCharType="begin"/>
    </w:r>
    <w:r>
      <w:instrText xml:space="preserve">PAGE   \* MERGEFORMAT</w:instrText>
    </w:r>
    <w:r>
      <w:fldChar w:fldCharType="separate"/>
    </w:r>
    <w:r>
      <w:rPr>
        <w:lang w:val="zh-CN"/>
      </w:rPr>
      <w:t>15</w:t>
    </w:r>
    <w:r>
      <w:rPr>
        <w:lang w:val="zh-CN"/>
      </w:rP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A2034"/>
    <w:multiLevelType w:val="multilevel"/>
    <w:tmpl w:val="071A203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09F7EEF5"/>
    <w:multiLevelType w:val="singleLevel"/>
    <w:tmpl w:val="09F7EEF5"/>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2">
    <w:nsid w:val="6253C4AD"/>
    <w:multiLevelType w:val="singleLevel"/>
    <w:tmpl w:val="6253C4AD"/>
    <w:lvl w:ilvl="0" w:tentative="0">
      <w:start w:val="1"/>
      <w:numFmt w:val="decimal"/>
      <w:lvlText w:val="%1."/>
      <w:lvlJc w:val="left"/>
      <w:pPr>
        <w:ind w:left="425" w:hanging="425"/>
      </w:pPr>
      <w:rPr>
        <w:rFonts w:hint="default"/>
      </w:rPr>
    </w:lvl>
  </w:abstractNum>
  <w:abstractNum w:abstractNumId="3">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6FD8003F"/>
    <w:multiLevelType w:val="multilevel"/>
    <w:tmpl w:val="6FD8003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0MzczZDAxNzhhNzIyMzk5OGNlNjZkZWM1MWFkNmIifQ=="/>
  </w:docVars>
  <w:rsids>
    <w:rsidRoot w:val="006910C0"/>
    <w:rsid w:val="0000005A"/>
    <w:rsid w:val="00000AED"/>
    <w:rsid w:val="00003516"/>
    <w:rsid w:val="0000380E"/>
    <w:rsid w:val="00005AFD"/>
    <w:rsid w:val="00006563"/>
    <w:rsid w:val="000074F1"/>
    <w:rsid w:val="00007A41"/>
    <w:rsid w:val="00007DA7"/>
    <w:rsid w:val="00012EF0"/>
    <w:rsid w:val="00015475"/>
    <w:rsid w:val="000156DE"/>
    <w:rsid w:val="000165AD"/>
    <w:rsid w:val="000168D1"/>
    <w:rsid w:val="00017683"/>
    <w:rsid w:val="000179E9"/>
    <w:rsid w:val="00020C18"/>
    <w:rsid w:val="00021EE6"/>
    <w:rsid w:val="0002236F"/>
    <w:rsid w:val="0002280E"/>
    <w:rsid w:val="00022C74"/>
    <w:rsid w:val="000238E3"/>
    <w:rsid w:val="00025122"/>
    <w:rsid w:val="000252D5"/>
    <w:rsid w:val="00026997"/>
    <w:rsid w:val="00027A64"/>
    <w:rsid w:val="00032D27"/>
    <w:rsid w:val="000345A5"/>
    <w:rsid w:val="00035325"/>
    <w:rsid w:val="00035D5B"/>
    <w:rsid w:val="000378D0"/>
    <w:rsid w:val="00037F2C"/>
    <w:rsid w:val="00042C2A"/>
    <w:rsid w:val="000430EC"/>
    <w:rsid w:val="000447CB"/>
    <w:rsid w:val="00044E2C"/>
    <w:rsid w:val="00047915"/>
    <w:rsid w:val="00047D06"/>
    <w:rsid w:val="00050FBD"/>
    <w:rsid w:val="0005107A"/>
    <w:rsid w:val="0005192C"/>
    <w:rsid w:val="00052929"/>
    <w:rsid w:val="0005299F"/>
    <w:rsid w:val="0005393D"/>
    <w:rsid w:val="000539D6"/>
    <w:rsid w:val="000541D7"/>
    <w:rsid w:val="000545C0"/>
    <w:rsid w:val="00055608"/>
    <w:rsid w:val="0005586D"/>
    <w:rsid w:val="000563BB"/>
    <w:rsid w:val="00056C0E"/>
    <w:rsid w:val="000574A8"/>
    <w:rsid w:val="000574F8"/>
    <w:rsid w:val="00057A49"/>
    <w:rsid w:val="00057C3B"/>
    <w:rsid w:val="0006231F"/>
    <w:rsid w:val="00062A05"/>
    <w:rsid w:val="00062EE6"/>
    <w:rsid w:val="0006344E"/>
    <w:rsid w:val="000649E6"/>
    <w:rsid w:val="0006794B"/>
    <w:rsid w:val="00067DCA"/>
    <w:rsid w:val="00070063"/>
    <w:rsid w:val="0007087A"/>
    <w:rsid w:val="000710EC"/>
    <w:rsid w:val="00072237"/>
    <w:rsid w:val="00072ABE"/>
    <w:rsid w:val="00080B39"/>
    <w:rsid w:val="00083950"/>
    <w:rsid w:val="0008452F"/>
    <w:rsid w:val="00084E8E"/>
    <w:rsid w:val="00085A68"/>
    <w:rsid w:val="00090625"/>
    <w:rsid w:val="00090948"/>
    <w:rsid w:val="00091CD1"/>
    <w:rsid w:val="00092278"/>
    <w:rsid w:val="0009460E"/>
    <w:rsid w:val="000951D4"/>
    <w:rsid w:val="00097B66"/>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585B"/>
    <w:rsid w:val="000B642F"/>
    <w:rsid w:val="000B6C99"/>
    <w:rsid w:val="000C3F3C"/>
    <w:rsid w:val="000C5702"/>
    <w:rsid w:val="000C5A75"/>
    <w:rsid w:val="000C75F7"/>
    <w:rsid w:val="000D0AB2"/>
    <w:rsid w:val="000D225C"/>
    <w:rsid w:val="000D36F2"/>
    <w:rsid w:val="000D4B26"/>
    <w:rsid w:val="000D74DB"/>
    <w:rsid w:val="000E16DF"/>
    <w:rsid w:val="000E24D6"/>
    <w:rsid w:val="000E595C"/>
    <w:rsid w:val="000E6072"/>
    <w:rsid w:val="000E6D61"/>
    <w:rsid w:val="000E7A23"/>
    <w:rsid w:val="000F1C29"/>
    <w:rsid w:val="000F1E9E"/>
    <w:rsid w:val="000F2B10"/>
    <w:rsid w:val="000F3F72"/>
    <w:rsid w:val="00103151"/>
    <w:rsid w:val="001055B2"/>
    <w:rsid w:val="0010610A"/>
    <w:rsid w:val="001068F0"/>
    <w:rsid w:val="00106AB8"/>
    <w:rsid w:val="00106C9E"/>
    <w:rsid w:val="00106E16"/>
    <w:rsid w:val="0010768B"/>
    <w:rsid w:val="00111701"/>
    <w:rsid w:val="00112948"/>
    <w:rsid w:val="00112A29"/>
    <w:rsid w:val="00114F8C"/>
    <w:rsid w:val="001167F6"/>
    <w:rsid w:val="00116C86"/>
    <w:rsid w:val="00120F2B"/>
    <w:rsid w:val="00121ACF"/>
    <w:rsid w:val="00121D8F"/>
    <w:rsid w:val="00122037"/>
    <w:rsid w:val="0012210C"/>
    <w:rsid w:val="00122A7F"/>
    <w:rsid w:val="00123F98"/>
    <w:rsid w:val="001242A5"/>
    <w:rsid w:val="00124531"/>
    <w:rsid w:val="00126EDF"/>
    <w:rsid w:val="00127BBE"/>
    <w:rsid w:val="00131D52"/>
    <w:rsid w:val="001329C1"/>
    <w:rsid w:val="00132C16"/>
    <w:rsid w:val="00134585"/>
    <w:rsid w:val="00136320"/>
    <w:rsid w:val="00136FFA"/>
    <w:rsid w:val="00137AC6"/>
    <w:rsid w:val="00140696"/>
    <w:rsid w:val="0014408B"/>
    <w:rsid w:val="00145512"/>
    <w:rsid w:val="001465BD"/>
    <w:rsid w:val="001472BD"/>
    <w:rsid w:val="00147B45"/>
    <w:rsid w:val="00150803"/>
    <w:rsid w:val="00151D83"/>
    <w:rsid w:val="0015271D"/>
    <w:rsid w:val="001546C9"/>
    <w:rsid w:val="00154FAE"/>
    <w:rsid w:val="00155E77"/>
    <w:rsid w:val="00156A70"/>
    <w:rsid w:val="00160A61"/>
    <w:rsid w:val="00160FC0"/>
    <w:rsid w:val="0016429B"/>
    <w:rsid w:val="00164525"/>
    <w:rsid w:val="00164C50"/>
    <w:rsid w:val="00165CB2"/>
    <w:rsid w:val="00166767"/>
    <w:rsid w:val="001707CB"/>
    <w:rsid w:val="00171477"/>
    <w:rsid w:val="00172A1A"/>
    <w:rsid w:val="00173251"/>
    <w:rsid w:val="00176BED"/>
    <w:rsid w:val="0017759D"/>
    <w:rsid w:val="001804A5"/>
    <w:rsid w:val="00181C94"/>
    <w:rsid w:val="00182C84"/>
    <w:rsid w:val="00187031"/>
    <w:rsid w:val="00191EA4"/>
    <w:rsid w:val="00192B6C"/>
    <w:rsid w:val="00192C30"/>
    <w:rsid w:val="0019381E"/>
    <w:rsid w:val="00194CF5"/>
    <w:rsid w:val="0019503C"/>
    <w:rsid w:val="00195D94"/>
    <w:rsid w:val="00196F1B"/>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91E"/>
    <w:rsid w:val="001C3B98"/>
    <w:rsid w:val="001C6028"/>
    <w:rsid w:val="001C6365"/>
    <w:rsid w:val="001C65C1"/>
    <w:rsid w:val="001C7B8E"/>
    <w:rsid w:val="001C7F57"/>
    <w:rsid w:val="001D0E79"/>
    <w:rsid w:val="001D6049"/>
    <w:rsid w:val="001D6A61"/>
    <w:rsid w:val="001D7339"/>
    <w:rsid w:val="001E2750"/>
    <w:rsid w:val="001E4343"/>
    <w:rsid w:val="001E52BB"/>
    <w:rsid w:val="001E660A"/>
    <w:rsid w:val="001E700A"/>
    <w:rsid w:val="001F05D6"/>
    <w:rsid w:val="001F084D"/>
    <w:rsid w:val="001F5B0A"/>
    <w:rsid w:val="001F640F"/>
    <w:rsid w:val="001F6794"/>
    <w:rsid w:val="001F6F65"/>
    <w:rsid w:val="002002DF"/>
    <w:rsid w:val="00202338"/>
    <w:rsid w:val="00202B94"/>
    <w:rsid w:val="0020349D"/>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492E"/>
    <w:rsid w:val="002451EC"/>
    <w:rsid w:val="00245ED4"/>
    <w:rsid w:val="00246B41"/>
    <w:rsid w:val="0025002B"/>
    <w:rsid w:val="002500DE"/>
    <w:rsid w:val="00252457"/>
    <w:rsid w:val="00252581"/>
    <w:rsid w:val="002535B5"/>
    <w:rsid w:val="002538CB"/>
    <w:rsid w:val="002542BD"/>
    <w:rsid w:val="00254C05"/>
    <w:rsid w:val="00256076"/>
    <w:rsid w:val="0025774E"/>
    <w:rsid w:val="00257D64"/>
    <w:rsid w:val="0026340A"/>
    <w:rsid w:val="002654EA"/>
    <w:rsid w:val="00267238"/>
    <w:rsid w:val="002704EA"/>
    <w:rsid w:val="0027061A"/>
    <w:rsid w:val="002719CC"/>
    <w:rsid w:val="002730C5"/>
    <w:rsid w:val="0027337C"/>
    <w:rsid w:val="0027602B"/>
    <w:rsid w:val="00277F5E"/>
    <w:rsid w:val="00280084"/>
    <w:rsid w:val="00280490"/>
    <w:rsid w:val="002860B8"/>
    <w:rsid w:val="002902C4"/>
    <w:rsid w:val="00290ECC"/>
    <w:rsid w:val="0029206E"/>
    <w:rsid w:val="002920AC"/>
    <w:rsid w:val="002922FB"/>
    <w:rsid w:val="00293382"/>
    <w:rsid w:val="00294F51"/>
    <w:rsid w:val="002A2342"/>
    <w:rsid w:val="002A279E"/>
    <w:rsid w:val="002A4FA3"/>
    <w:rsid w:val="002B1ACE"/>
    <w:rsid w:val="002B3606"/>
    <w:rsid w:val="002B3D80"/>
    <w:rsid w:val="002B4402"/>
    <w:rsid w:val="002B4946"/>
    <w:rsid w:val="002B4C41"/>
    <w:rsid w:val="002B4FD6"/>
    <w:rsid w:val="002B588D"/>
    <w:rsid w:val="002C0187"/>
    <w:rsid w:val="002C1839"/>
    <w:rsid w:val="002C214A"/>
    <w:rsid w:val="002C28E8"/>
    <w:rsid w:val="002C3027"/>
    <w:rsid w:val="002C674D"/>
    <w:rsid w:val="002C7648"/>
    <w:rsid w:val="002C7DC4"/>
    <w:rsid w:val="002D0821"/>
    <w:rsid w:val="002D1929"/>
    <w:rsid w:val="002D1B73"/>
    <w:rsid w:val="002D3318"/>
    <w:rsid w:val="002D3CB0"/>
    <w:rsid w:val="002D4800"/>
    <w:rsid w:val="002D5B21"/>
    <w:rsid w:val="002D6F6D"/>
    <w:rsid w:val="002E1FE6"/>
    <w:rsid w:val="002E2EA7"/>
    <w:rsid w:val="002E36D2"/>
    <w:rsid w:val="002E748B"/>
    <w:rsid w:val="002E7FDD"/>
    <w:rsid w:val="002F2002"/>
    <w:rsid w:val="002F335D"/>
    <w:rsid w:val="002F4E32"/>
    <w:rsid w:val="002F503F"/>
    <w:rsid w:val="002F51DD"/>
    <w:rsid w:val="002F5D08"/>
    <w:rsid w:val="002F6895"/>
    <w:rsid w:val="002F6D13"/>
    <w:rsid w:val="003038D3"/>
    <w:rsid w:val="003049C7"/>
    <w:rsid w:val="00305F0E"/>
    <w:rsid w:val="0030667A"/>
    <w:rsid w:val="003079B0"/>
    <w:rsid w:val="003106DE"/>
    <w:rsid w:val="00311530"/>
    <w:rsid w:val="00312D31"/>
    <w:rsid w:val="00315216"/>
    <w:rsid w:val="0031691C"/>
    <w:rsid w:val="00317AEF"/>
    <w:rsid w:val="00317F49"/>
    <w:rsid w:val="0032089B"/>
    <w:rsid w:val="00323450"/>
    <w:rsid w:val="00323D93"/>
    <w:rsid w:val="0032489B"/>
    <w:rsid w:val="0032525B"/>
    <w:rsid w:val="003258D7"/>
    <w:rsid w:val="00326A7A"/>
    <w:rsid w:val="00326FEE"/>
    <w:rsid w:val="003315D7"/>
    <w:rsid w:val="00334DE6"/>
    <w:rsid w:val="0033536D"/>
    <w:rsid w:val="003353FF"/>
    <w:rsid w:val="003366D2"/>
    <w:rsid w:val="00337C79"/>
    <w:rsid w:val="00337FEF"/>
    <w:rsid w:val="0034084C"/>
    <w:rsid w:val="00340D5E"/>
    <w:rsid w:val="003420B5"/>
    <w:rsid w:val="00342892"/>
    <w:rsid w:val="00343646"/>
    <w:rsid w:val="00344CCB"/>
    <w:rsid w:val="00345897"/>
    <w:rsid w:val="00351656"/>
    <w:rsid w:val="00351BFC"/>
    <w:rsid w:val="0035575E"/>
    <w:rsid w:val="003565B4"/>
    <w:rsid w:val="00356C61"/>
    <w:rsid w:val="00362E75"/>
    <w:rsid w:val="003631AA"/>
    <w:rsid w:val="003632D5"/>
    <w:rsid w:val="00363575"/>
    <w:rsid w:val="00364EF9"/>
    <w:rsid w:val="00367579"/>
    <w:rsid w:val="0036795B"/>
    <w:rsid w:val="00370A29"/>
    <w:rsid w:val="00370D52"/>
    <w:rsid w:val="003722F9"/>
    <w:rsid w:val="00372349"/>
    <w:rsid w:val="00372CBC"/>
    <w:rsid w:val="00373A61"/>
    <w:rsid w:val="003741CD"/>
    <w:rsid w:val="00374BDE"/>
    <w:rsid w:val="00376B39"/>
    <w:rsid w:val="003772C0"/>
    <w:rsid w:val="00377753"/>
    <w:rsid w:val="00377BAC"/>
    <w:rsid w:val="00380142"/>
    <w:rsid w:val="00380558"/>
    <w:rsid w:val="00381D3C"/>
    <w:rsid w:val="0038223E"/>
    <w:rsid w:val="00382D92"/>
    <w:rsid w:val="00383489"/>
    <w:rsid w:val="00385AEF"/>
    <w:rsid w:val="003860EA"/>
    <w:rsid w:val="00386157"/>
    <w:rsid w:val="0038781A"/>
    <w:rsid w:val="0039080B"/>
    <w:rsid w:val="0039326E"/>
    <w:rsid w:val="00394304"/>
    <w:rsid w:val="00394E22"/>
    <w:rsid w:val="003967A4"/>
    <w:rsid w:val="00397FA3"/>
    <w:rsid w:val="003A1596"/>
    <w:rsid w:val="003A2941"/>
    <w:rsid w:val="003A317E"/>
    <w:rsid w:val="003A345B"/>
    <w:rsid w:val="003A49EE"/>
    <w:rsid w:val="003A674D"/>
    <w:rsid w:val="003A7123"/>
    <w:rsid w:val="003B102E"/>
    <w:rsid w:val="003B2167"/>
    <w:rsid w:val="003B2FFF"/>
    <w:rsid w:val="003B5F5D"/>
    <w:rsid w:val="003B62C8"/>
    <w:rsid w:val="003C0C62"/>
    <w:rsid w:val="003C12DC"/>
    <w:rsid w:val="003C2CDA"/>
    <w:rsid w:val="003D000A"/>
    <w:rsid w:val="003D31E9"/>
    <w:rsid w:val="003D544E"/>
    <w:rsid w:val="003D5980"/>
    <w:rsid w:val="003E0842"/>
    <w:rsid w:val="003E13B0"/>
    <w:rsid w:val="003E2580"/>
    <w:rsid w:val="003E3DEE"/>
    <w:rsid w:val="003E3EBB"/>
    <w:rsid w:val="003E4A4C"/>
    <w:rsid w:val="003E4BAF"/>
    <w:rsid w:val="003E4CBA"/>
    <w:rsid w:val="003E4D2F"/>
    <w:rsid w:val="003E4EDC"/>
    <w:rsid w:val="003E599D"/>
    <w:rsid w:val="003E5C81"/>
    <w:rsid w:val="003E6965"/>
    <w:rsid w:val="003F00E8"/>
    <w:rsid w:val="003F1936"/>
    <w:rsid w:val="003F1BDD"/>
    <w:rsid w:val="003F3BA3"/>
    <w:rsid w:val="003F3BD5"/>
    <w:rsid w:val="003F400E"/>
    <w:rsid w:val="003F4476"/>
    <w:rsid w:val="003F6F35"/>
    <w:rsid w:val="003F7768"/>
    <w:rsid w:val="00400E8C"/>
    <w:rsid w:val="004017DC"/>
    <w:rsid w:val="00401B53"/>
    <w:rsid w:val="00402668"/>
    <w:rsid w:val="00404FEC"/>
    <w:rsid w:val="0040534D"/>
    <w:rsid w:val="00405FAD"/>
    <w:rsid w:val="004117AB"/>
    <w:rsid w:val="00412B2F"/>
    <w:rsid w:val="00412F81"/>
    <w:rsid w:val="00415281"/>
    <w:rsid w:val="00415716"/>
    <w:rsid w:val="0041604D"/>
    <w:rsid w:val="00417842"/>
    <w:rsid w:val="00417A6E"/>
    <w:rsid w:val="0042285D"/>
    <w:rsid w:val="00427D2B"/>
    <w:rsid w:val="00430B13"/>
    <w:rsid w:val="00430CE5"/>
    <w:rsid w:val="0043153C"/>
    <w:rsid w:val="00431D0F"/>
    <w:rsid w:val="0043481C"/>
    <w:rsid w:val="004370F4"/>
    <w:rsid w:val="00440070"/>
    <w:rsid w:val="00442E5A"/>
    <w:rsid w:val="00444307"/>
    <w:rsid w:val="0044436F"/>
    <w:rsid w:val="004443EB"/>
    <w:rsid w:val="00444432"/>
    <w:rsid w:val="00444673"/>
    <w:rsid w:val="0044621E"/>
    <w:rsid w:val="00447BF1"/>
    <w:rsid w:val="00450BA4"/>
    <w:rsid w:val="004511FC"/>
    <w:rsid w:val="00456784"/>
    <w:rsid w:val="00456DCA"/>
    <w:rsid w:val="00461140"/>
    <w:rsid w:val="004611DB"/>
    <w:rsid w:val="004658B0"/>
    <w:rsid w:val="0046614B"/>
    <w:rsid w:val="00467FD7"/>
    <w:rsid w:val="00470073"/>
    <w:rsid w:val="004700ED"/>
    <w:rsid w:val="004708B9"/>
    <w:rsid w:val="004730F8"/>
    <w:rsid w:val="00474353"/>
    <w:rsid w:val="00474555"/>
    <w:rsid w:val="004750F4"/>
    <w:rsid w:val="0047555B"/>
    <w:rsid w:val="00476CB1"/>
    <w:rsid w:val="00480A48"/>
    <w:rsid w:val="00480F22"/>
    <w:rsid w:val="00482501"/>
    <w:rsid w:val="00482E7D"/>
    <w:rsid w:val="00484395"/>
    <w:rsid w:val="004844E1"/>
    <w:rsid w:val="004865FB"/>
    <w:rsid w:val="00486C03"/>
    <w:rsid w:val="00487F93"/>
    <w:rsid w:val="00491AB3"/>
    <w:rsid w:val="00491E20"/>
    <w:rsid w:val="004932B2"/>
    <w:rsid w:val="00497A33"/>
    <w:rsid w:val="004A1112"/>
    <w:rsid w:val="004A1DA0"/>
    <w:rsid w:val="004A1F20"/>
    <w:rsid w:val="004A2393"/>
    <w:rsid w:val="004A3569"/>
    <w:rsid w:val="004A452A"/>
    <w:rsid w:val="004A5342"/>
    <w:rsid w:val="004A53DE"/>
    <w:rsid w:val="004A5F2C"/>
    <w:rsid w:val="004A6E4F"/>
    <w:rsid w:val="004A720D"/>
    <w:rsid w:val="004B00D0"/>
    <w:rsid w:val="004B29D2"/>
    <w:rsid w:val="004B3487"/>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288"/>
    <w:rsid w:val="004E2C82"/>
    <w:rsid w:val="004E4FAE"/>
    <w:rsid w:val="004E62C7"/>
    <w:rsid w:val="004E68FF"/>
    <w:rsid w:val="004E7A1B"/>
    <w:rsid w:val="004F0B7F"/>
    <w:rsid w:val="004F1193"/>
    <w:rsid w:val="004F11DC"/>
    <w:rsid w:val="004F2124"/>
    <w:rsid w:val="004F22AB"/>
    <w:rsid w:val="004F271B"/>
    <w:rsid w:val="004F3A52"/>
    <w:rsid w:val="004F449F"/>
    <w:rsid w:val="004F4E7E"/>
    <w:rsid w:val="004F631E"/>
    <w:rsid w:val="004F63AB"/>
    <w:rsid w:val="004F6B76"/>
    <w:rsid w:val="004F6C7C"/>
    <w:rsid w:val="004F7B93"/>
    <w:rsid w:val="004F7F1A"/>
    <w:rsid w:val="004F7FBB"/>
    <w:rsid w:val="0050230D"/>
    <w:rsid w:val="005042B3"/>
    <w:rsid w:val="005045AB"/>
    <w:rsid w:val="00505FF1"/>
    <w:rsid w:val="00507D43"/>
    <w:rsid w:val="005103B5"/>
    <w:rsid w:val="005103F2"/>
    <w:rsid w:val="00510E2C"/>
    <w:rsid w:val="00511FDC"/>
    <w:rsid w:val="005124C6"/>
    <w:rsid w:val="00512C54"/>
    <w:rsid w:val="00513EBC"/>
    <w:rsid w:val="00514CE1"/>
    <w:rsid w:val="00517155"/>
    <w:rsid w:val="00517DB3"/>
    <w:rsid w:val="005200DC"/>
    <w:rsid w:val="005200F2"/>
    <w:rsid w:val="0052369D"/>
    <w:rsid w:val="005271DB"/>
    <w:rsid w:val="00530BEA"/>
    <w:rsid w:val="00530D2F"/>
    <w:rsid w:val="0053487C"/>
    <w:rsid w:val="005356E1"/>
    <w:rsid w:val="00536A8B"/>
    <w:rsid w:val="00540418"/>
    <w:rsid w:val="00541A96"/>
    <w:rsid w:val="00541C6A"/>
    <w:rsid w:val="00542C54"/>
    <w:rsid w:val="00546A43"/>
    <w:rsid w:val="00546C70"/>
    <w:rsid w:val="00547258"/>
    <w:rsid w:val="005508F2"/>
    <w:rsid w:val="00550CF0"/>
    <w:rsid w:val="005559FE"/>
    <w:rsid w:val="005560D6"/>
    <w:rsid w:val="00556D07"/>
    <w:rsid w:val="005603B2"/>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805E4"/>
    <w:rsid w:val="0058102A"/>
    <w:rsid w:val="0058202F"/>
    <w:rsid w:val="005835F4"/>
    <w:rsid w:val="00584221"/>
    <w:rsid w:val="00584EB6"/>
    <w:rsid w:val="005858EA"/>
    <w:rsid w:val="00586B68"/>
    <w:rsid w:val="0058774E"/>
    <w:rsid w:val="005878CF"/>
    <w:rsid w:val="00590CA0"/>
    <w:rsid w:val="00591C10"/>
    <w:rsid w:val="00595B01"/>
    <w:rsid w:val="00596D98"/>
    <w:rsid w:val="005979A5"/>
    <w:rsid w:val="005A0021"/>
    <w:rsid w:val="005A017B"/>
    <w:rsid w:val="005A0E16"/>
    <w:rsid w:val="005A2AEC"/>
    <w:rsid w:val="005A412D"/>
    <w:rsid w:val="005A4370"/>
    <w:rsid w:val="005A5212"/>
    <w:rsid w:val="005B002D"/>
    <w:rsid w:val="005B0FFF"/>
    <w:rsid w:val="005B19AF"/>
    <w:rsid w:val="005B258C"/>
    <w:rsid w:val="005B4058"/>
    <w:rsid w:val="005B61DD"/>
    <w:rsid w:val="005B6735"/>
    <w:rsid w:val="005B6CE9"/>
    <w:rsid w:val="005B7831"/>
    <w:rsid w:val="005C0CD6"/>
    <w:rsid w:val="005C12D9"/>
    <w:rsid w:val="005C2146"/>
    <w:rsid w:val="005C309D"/>
    <w:rsid w:val="005C544B"/>
    <w:rsid w:val="005C5916"/>
    <w:rsid w:val="005C5AEE"/>
    <w:rsid w:val="005C602D"/>
    <w:rsid w:val="005C774A"/>
    <w:rsid w:val="005D3734"/>
    <w:rsid w:val="005D4F16"/>
    <w:rsid w:val="005D5A53"/>
    <w:rsid w:val="005D5DA0"/>
    <w:rsid w:val="005D6CEB"/>
    <w:rsid w:val="005D7C73"/>
    <w:rsid w:val="005D7FBD"/>
    <w:rsid w:val="005E19B4"/>
    <w:rsid w:val="005E1D6B"/>
    <w:rsid w:val="005E227A"/>
    <w:rsid w:val="005E2CF8"/>
    <w:rsid w:val="005E3126"/>
    <w:rsid w:val="005E4D1F"/>
    <w:rsid w:val="005E7075"/>
    <w:rsid w:val="005E75A7"/>
    <w:rsid w:val="005F38E2"/>
    <w:rsid w:val="005F3EE6"/>
    <w:rsid w:val="005F6736"/>
    <w:rsid w:val="00602C10"/>
    <w:rsid w:val="00602EBD"/>
    <w:rsid w:val="00604CF2"/>
    <w:rsid w:val="00606DFF"/>
    <w:rsid w:val="00606FB7"/>
    <w:rsid w:val="00610533"/>
    <w:rsid w:val="006110F6"/>
    <w:rsid w:val="00611FA1"/>
    <w:rsid w:val="00612522"/>
    <w:rsid w:val="00612DA6"/>
    <w:rsid w:val="00613335"/>
    <w:rsid w:val="00613489"/>
    <w:rsid w:val="0061365B"/>
    <w:rsid w:val="006138B6"/>
    <w:rsid w:val="00614BC6"/>
    <w:rsid w:val="00614E33"/>
    <w:rsid w:val="006158B8"/>
    <w:rsid w:val="0061706D"/>
    <w:rsid w:val="006173DA"/>
    <w:rsid w:val="00617EF9"/>
    <w:rsid w:val="00620295"/>
    <w:rsid w:val="00622F8E"/>
    <w:rsid w:val="0062625F"/>
    <w:rsid w:val="00626AC8"/>
    <w:rsid w:val="00627912"/>
    <w:rsid w:val="0063195F"/>
    <w:rsid w:val="00631B13"/>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4E1"/>
    <w:rsid w:val="00672894"/>
    <w:rsid w:val="00674B47"/>
    <w:rsid w:val="00674BE6"/>
    <w:rsid w:val="0067609E"/>
    <w:rsid w:val="00676DCA"/>
    <w:rsid w:val="00677749"/>
    <w:rsid w:val="006809F2"/>
    <w:rsid w:val="00680E07"/>
    <w:rsid w:val="00682B9D"/>
    <w:rsid w:val="00683806"/>
    <w:rsid w:val="00684781"/>
    <w:rsid w:val="00686AF9"/>
    <w:rsid w:val="00686F7B"/>
    <w:rsid w:val="006910C0"/>
    <w:rsid w:val="00691954"/>
    <w:rsid w:val="00692E13"/>
    <w:rsid w:val="0069320E"/>
    <w:rsid w:val="00693D13"/>
    <w:rsid w:val="006947DE"/>
    <w:rsid w:val="00694F58"/>
    <w:rsid w:val="006955BC"/>
    <w:rsid w:val="006959E2"/>
    <w:rsid w:val="00695F84"/>
    <w:rsid w:val="00696920"/>
    <w:rsid w:val="00697EB9"/>
    <w:rsid w:val="006A0886"/>
    <w:rsid w:val="006A20D4"/>
    <w:rsid w:val="006A268D"/>
    <w:rsid w:val="006A350F"/>
    <w:rsid w:val="006A3957"/>
    <w:rsid w:val="006A39A4"/>
    <w:rsid w:val="006A41D6"/>
    <w:rsid w:val="006A4B1F"/>
    <w:rsid w:val="006A669D"/>
    <w:rsid w:val="006A6E41"/>
    <w:rsid w:val="006B012F"/>
    <w:rsid w:val="006B27CF"/>
    <w:rsid w:val="006B3D0C"/>
    <w:rsid w:val="006B41BD"/>
    <w:rsid w:val="006B5678"/>
    <w:rsid w:val="006B62B2"/>
    <w:rsid w:val="006C1C57"/>
    <w:rsid w:val="006C51FE"/>
    <w:rsid w:val="006C5760"/>
    <w:rsid w:val="006C6D6F"/>
    <w:rsid w:val="006D0D78"/>
    <w:rsid w:val="006D1128"/>
    <w:rsid w:val="006D2848"/>
    <w:rsid w:val="006D30E0"/>
    <w:rsid w:val="006D5521"/>
    <w:rsid w:val="006D5FE9"/>
    <w:rsid w:val="006D6176"/>
    <w:rsid w:val="006D6CBB"/>
    <w:rsid w:val="006D76A9"/>
    <w:rsid w:val="006D77F4"/>
    <w:rsid w:val="006E0898"/>
    <w:rsid w:val="006E1C3F"/>
    <w:rsid w:val="006E41CD"/>
    <w:rsid w:val="006F3BEC"/>
    <w:rsid w:val="00703C00"/>
    <w:rsid w:val="007057CC"/>
    <w:rsid w:val="007066F2"/>
    <w:rsid w:val="00706AE5"/>
    <w:rsid w:val="0070740A"/>
    <w:rsid w:val="00711F93"/>
    <w:rsid w:val="00712940"/>
    <w:rsid w:val="00713D75"/>
    <w:rsid w:val="0071428C"/>
    <w:rsid w:val="00715A16"/>
    <w:rsid w:val="007164B0"/>
    <w:rsid w:val="007166FF"/>
    <w:rsid w:val="00716D45"/>
    <w:rsid w:val="007260CC"/>
    <w:rsid w:val="00726543"/>
    <w:rsid w:val="0073353E"/>
    <w:rsid w:val="00736633"/>
    <w:rsid w:val="00737F7F"/>
    <w:rsid w:val="00741EE7"/>
    <w:rsid w:val="00743A79"/>
    <w:rsid w:val="00743A7F"/>
    <w:rsid w:val="007444D4"/>
    <w:rsid w:val="0074594D"/>
    <w:rsid w:val="007459F3"/>
    <w:rsid w:val="00746E35"/>
    <w:rsid w:val="007470E2"/>
    <w:rsid w:val="007500FB"/>
    <w:rsid w:val="00750CC2"/>
    <w:rsid w:val="0075232F"/>
    <w:rsid w:val="00753132"/>
    <w:rsid w:val="007550B3"/>
    <w:rsid w:val="00760451"/>
    <w:rsid w:val="0077182A"/>
    <w:rsid w:val="00771913"/>
    <w:rsid w:val="00772718"/>
    <w:rsid w:val="00775BCF"/>
    <w:rsid w:val="00780F7E"/>
    <w:rsid w:val="007818AA"/>
    <w:rsid w:val="00783140"/>
    <w:rsid w:val="007838B6"/>
    <w:rsid w:val="00783E77"/>
    <w:rsid w:val="007906F1"/>
    <w:rsid w:val="0079243D"/>
    <w:rsid w:val="00794A9B"/>
    <w:rsid w:val="0079583B"/>
    <w:rsid w:val="00795D5D"/>
    <w:rsid w:val="00796602"/>
    <w:rsid w:val="00797185"/>
    <w:rsid w:val="007976B7"/>
    <w:rsid w:val="00797A7E"/>
    <w:rsid w:val="00797C00"/>
    <w:rsid w:val="00797D6F"/>
    <w:rsid w:val="007B014B"/>
    <w:rsid w:val="007B0D88"/>
    <w:rsid w:val="007B306F"/>
    <w:rsid w:val="007B4714"/>
    <w:rsid w:val="007B4E82"/>
    <w:rsid w:val="007C08FD"/>
    <w:rsid w:val="007C1996"/>
    <w:rsid w:val="007C1B17"/>
    <w:rsid w:val="007C3773"/>
    <w:rsid w:val="007C3F1F"/>
    <w:rsid w:val="007D2D0D"/>
    <w:rsid w:val="007D3325"/>
    <w:rsid w:val="007D3818"/>
    <w:rsid w:val="007D6C69"/>
    <w:rsid w:val="007D6DC5"/>
    <w:rsid w:val="007D7425"/>
    <w:rsid w:val="007E320E"/>
    <w:rsid w:val="007E3280"/>
    <w:rsid w:val="007E4A02"/>
    <w:rsid w:val="007E595C"/>
    <w:rsid w:val="007E59A5"/>
    <w:rsid w:val="007E5F43"/>
    <w:rsid w:val="007F30A5"/>
    <w:rsid w:val="007F361A"/>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0309"/>
    <w:rsid w:val="008115AB"/>
    <w:rsid w:val="00812D2C"/>
    <w:rsid w:val="008143C5"/>
    <w:rsid w:val="008159F4"/>
    <w:rsid w:val="008167C1"/>
    <w:rsid w:val="008167C6"/>
    <w:rsid w:val="008168F5"/>
    <w:rsid w:val="00816B8F"/>
    <w:rsid w:val="00820331"/>
    <w:rsid w:val="00820BF5"/>
    <w:rsid w:val="008212B1"/>
    <w:rsid w:val="008214A8"/>
    <w:rsid w:val="0082155A"/>
    <w:rsid w:val="00821B84"/>
    <w:rsid w:val="0082209F"/>
    <w:rsid w:val="008223C2"/>
    <w:rsid w:val="00823C8F"/>
    <w:rsid w:val="00824398"/>
    <w:rsid w:val="008250A2"/>
    <w:rsid w:val="00825D64"/>
    <w:rsid w:val="0082650B"/>
    <w:rsid w:val="008301CE"/>
    <w:rsid w:val="008312E3"/>
    <w:rsid w:val="00831D5B"/>
    <w:rsid w:val="00832DD6"/>
    <w:rsid w:val="00832F0C"/>
    <w:rsid w:val="008336F2"/>
    <w:rsid w:val="008345D9"/>
    <w:rsid w:val="008347CB"/>
    <w:rsid w:val="00834D51"/>
    <w:rsid w:val="00835647"/>
    <w:rsid w:val="00836C7F"/>
    <w:rsid w:val="00837A2E"/>
    <w:rsid w:val="00841558"/>
    <w:rsid w:val="00842A68"/>
    <w:rsid w:val="008435BA"/>
    <w:rsid w:val="008447AB"/>
    <w:rsid w:val="0084558B"/>
    <w:rsid w:val="0084654A"/>
    <w:rsid w:val="00847654"/>
    <w:rsid w:val="00851064"/>
    <w:rsid w:val="00855543"/>
    <w:rsid w:val="008566B3"/>
    <w:rsid w:val="008576B7"/>
    <w:rsid w:val="00857DE2"/>
    <w:rsid w:val="00857F7B"/>
    <w:rsid w:val="00860698"/>
    <w:rsid w:val="00863DA1"/>
    <w:rsid w:val="008654A6"/>
    <w:rsid w:val="00865D86"/>
    <w:rsid w:val="00870495"/>
    <w:rsid w:val="00870EA1"/>
    <w:rsid w:val="008710C5"/>
    <w:rsid w:val="008738A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199B"/>
    <w:rsid w:val="00891F18"/>
    <w:rsid w:val="00892955"/>
    <w:rsid w:val="00893628"/>
    <w:rsid w:val="008936F9"/>
    <w:rsid w:val="008941EB"/>
    <w:rsid w:val="0089545A"/>
    <w:rsid w:val="00895A02"/>
    <w:rsid w:val="008A01EE"/>
    <w:rsid w:val="008A0DAC"/>
    <w:rsid w:val="008A3B78"/>
    <w:rsid w:val="008A4166"/>
    <w:rsid w:val="008A7DBF"/>
    <w:rsid w:val="008A7FB8"/>
    <w:rsid w:val="008B136C"/>
    <w:rsid w:val="008B55EF"/>
    <w:rsid w:val="008B6910"/>
    <w:rsid w:val="008C0B5C"/>
    <w:rsid w:val="008C1343"/>
    <w:rsid w:val="008C3912"/>
    <w:rsid w:val="008C5598"/>
    <w:rsid w:val="008C5A02"/>
    <w:rsid w:val="008C5D98"/>
    <w:rsid w:val="008C69EA"/>
    <w:rsid w:val="008C6F8B"/>
    <w:rsid w:val="008C75D0"/>
    <w:rsid w:val="008C78FD"/>
    <w:rsid w:val="008C7AB7"/>
    <w:rsid w:val="008C7FB4"/>
    <w:rsid w:val="008D2C8C"/>
    <w:rsid w:val="008D3040"/>
    <w:rsid w:val="008D3ECD"/>
    <w:rsid w:val="008D4F6C"/>
    <w:rsid w:val="008D5C03"/>
    <w:rsid w:val="008D5F62"/>
    <w:rsid w:val="008D7580"/>
    <w:rsid w:val="008D7C35"/>
    <w:rsid w:val="008E1D59"/>
    <w:rsid w:val="008E261E"/>
    <w:rsid w:val="008E5698"/>
    <w:rsid w:val="008E5733"/>
    <w:rsid w:val="008E5ABB"/>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14CD8"/>
    <w:rsid w:val="00917E89"/>
    <w:rsid w:val="00920FD2"/>
    <w:rsid w:val="00923A43"/>
    <w:rsid w:val="0092439C"/>
    <w:rsid w:val="0092498E"/>
    <w:rsid w:val="00925B91"/>
    <w:rsid w:val="00930E98"/>
    <w:rsid w:val="00934461"/>
    <w:rsid w:val="00934F7E"/>
    <w:rsid w:val="00936A1C"/>
    <w:rsid w:val="00943E35"/>
    <w:rsid w:val="00944654"/>
    <w:rsid w:val="00945278"/>
    <w:rsid w:val="0094658D"/>
    <w:rsid w:val="00947678"/>
    <w:rsid w:val="00947878"/>
    <w:rsid w:val="009504C2"/>
    <w:rsid w:val="009518E3"/>
    <w:rsid w:val="0095254A"/>
    <w:rsid w:val="0095273B"/>
    <w:rsid w:val="0095308F"/>
    <w:rsid w:val="009559E1"/>
    <w:rsid w:val="00956466"/>
    <w:rsid w:val="009568D5"/>
    <w:rsid w:val="00957CD3"/>
    <w:rsid w:val="0096269B"/>
    <w:rsid w:val="00963FB0"/>
    <w:rsid w:val="009647E9"/>
    <w:rsid w:val="00964C86"/>
    <w:rsid w:val="00965E82"/>
    <w:rsid w:val="009664BB"/>
    <w:rsid w:val="009669F8"/>
    <w:rsid w:val="00966F89"/>
    <w:rsid w:val="00973B5D"/>
    <w:rsid w:val="0097755E"/>
    <w:rsid w:val="00977E2D"/>
    <w:rsid w:val="00981467"/>
    <w:rsid w:val="00981C24"/>
    <w:rsid w:val="009852F6"/>
    <w:rsid w:val="00985DE5"/>
    <w:rsid w:val="00986254"/>
    <w:rsid w:val="00987144"/>
    <w:rsid w:val="0098729E"/>
    <w:rsid w:val="00990067"/>
    <w:rsid w:val="00992977"/>
    <w:rsid w:val="009937D4"/>
    <w:rsid w:val="00993C78"/>
    <w:rsid w:val="00994160"/>
    <w:rsid w:val="009948C7"/>
    <w:rsid w:val="00995850"/>
    <w:rsid w:val="0099796C"/>
    <w:rsid w:val="009A194E"/>
    <w:rsid w:val="009A1EA2"/>
    <w:rsid w:val="009A209E"/>
    <w:rsid w:val="009A357C"/>
    <w:rsid w:val="009A3FD7"/>
    <w:rsid w:val="009A6652"/>
    <w:rsid w:val="009A74FD"/>
    <w:rsid w:val="009B25D8"/>
    <w:rsid w:val="009B42E3"/>
    <w:rsid w:val="009B56EB"/>
    <w:rsid w:val="009B5859"/>
    <w:rsid w:val="009C496E"/>
    <w:rsid w:val="009C6D07"/>
    <w:rsid w:val="009C7CEC"/>
    <w:rsid w:val="009D154D"/>
    <w:rsid w:val="009D18EF"/>
    <w:rsid w:val="009D3BE8"/>
    <w:rsid w:val="009D44E0"/>
    <w:rsid w:val="009D573B"/>
    <w:rsid w:val="009D59A0"/>
    <w:rsid w:val="009D716A"/>
    <w:rsid w:val="009E00EE"/>
    <w:rsid w:val="009E1AC4"/>
    <w:rsid w:val="009E1C69"/>
    <w:rsid w:val="009E20B8"/>
    <w:rsid w:val="009E29A0"/>
    <w:rsid w:val="009E41B5"/>
    <w:rsid w:val="009E55D7"/>
    <w:rsid w:val="009E627C"/>
    <w:rsid w:val="009F110B"/>
    <w:rsid w:val="009F1498"/>
    <w:rsid w:val="009F1E9F"/>
    <w:rsid w:val="009F3793"/>
    <w:rsid w:val="009F54F2"/>
    <w:rsid w:val="009F7FE1"/>
    <w:rsid w:val="00A0056B"/>
    <w:rsid w:val="00A01657"/>
    <w:rsid w:val="00A01676"/>
    <w:rsid w:val="00A01C65"/>
    <w:rsid w:val="00A0213D"/>
    <w:rsid w:val="00A04C73"/>
    <w:rsid w:val="00A0679A"/>
    <w:rsid w:val="00A07A2B"/>
    <w:rsid w:val="00A12375"/>
    <w:rsid w:val="00A125B8"/>
    <w:rsid w:val="00A1290C"/>
    <w:rsid w:val="00A13124"/>
    <w:rsid w:val="00A13BFF"/>
    <w:rsid w:val="00A15370"/>
    <w:rsid w:val="00A156AB"/>
    <w:rsid w:val="00A160CE"/>
    <w:rsid w:val="00A16B8D"/>
    <w:rsid w:val="00A21293"/>
    <w:rsid w:val="00A2134B"/>
    <w:rsid w:val="00A215E7"/>
    <w:rsid w:val="00A21623"/>
    <w:rsid w:val="00A220EB"/>
    <w:rsid w:val="00A22302"/>
    <w:rsid w:val="00A25F1B"/>
    <w:rsid w:val="00A27A13"/>
    <w:rsid w:val="00A325F3"/>
    <w:rsid w:val="00A33103"/>
    <w:rsid w:val="00A33294"/>
    <w:rsid w:val="00A33D6F"/>
    <w:rsid w:val="00A35DCB"/>
    <w:rsid w:val="00A3690E"/>
    <w:rsid w:val="00A37751"/>
    <w:rsid w:val="00A406B1"/>
    <w:rsid w:val="00A4113E"/>
    <w:rsid w:val="00A42435"/>
    <w:rsid w:val="00A42FC8"/>
    <w:rsid w:val="00A438BA"/>
    <w:rsid w:val="00A446FD"/>
    <w:rsid w:val="00A448A5"/>
    <w:rsid w:val="00A46F46"/>
    <w:rsid w:val="00A51D55"/>
    <w:rsid w:val="00A52CB6"/>
    <w:rsid w:val="00A52F99"/>
    <w:rsid w:val="00A53529"/>
    <w:rsid w:val="00A538BB"/>
    <w:rsid w:val="00A54164"/>
    <w:rsid w:val="00A5427B"/>
    <w:rsid w:val="00A56737"/>
    <w:rsid w:val="00A60002"/>
    <w:rsid w:val="00A603D8"/>
    <w:rsid w:val="00A60AE2"/>
    <w:rsid w:val="00A61834"/>
    <w:rsid w:val="00A618B0"/>
    <w:rsid w:val="00A62790"/>
    <w:rsid w:val="00A6291F"/>
    <w:rsid w:val="00A63F53"/>
    <w:rsid w:val="00A7111E"/>
    <w:rsid w:val="00A73695"/>
    <w:rsid w:val="00A73C15"/>
    <w:rsid w:val="00A755B6"/>
    <w:rsid w:val="00A75B1A"/>
    <w:rsid w:val="00A80ED4"/>
    <w:rsid w:val="00A816C4"/>
    <w:rsid w:val="00A82981"/>
    <w:rsid w:val="00A86F10"/>
    <w:rsid w:val="00A87AF2"/>
    <w:rsid w:val="00A90B23"/>
    <w:rsid w:val="00A93193"/>
    <w:rsid w:val="00A93C2B"/>
    <w:rsid w:val="00A94556"/>
    <w:rsid w:val="00A974CB"/>
    <w:rsid w:val="00AA1EAC"/>
    <w:rsid w:val="00AA45E2"/>
    <w:rsid w:val="00AA7AC1"/>
    <w:rsid w:val="00AB6327"/>
    <w:rsid w:val="00AB6B8F"/>
    <w:rsid w:val="00AC0C65"/>
    <w:rsid w:val="00AC0FB2"/>
    <w:rsid w:val="00AC3721"/>
    <w:rsid w:val="00AC41C6"/>
    <w:rsid w:val="00AC4546"/>
    <w:rsid w:val="00AC70C7"/>
    <w:rsid w:val="00AC76B7"/>
    <w:rsid w:val="00AC79B1"/>
    <w:rsid w:val="00AD0223"/>
    <w:rsid w:val="00AD123A"/>
    <w:rsid w:val="00AD15FF"/>
    <w:rsid w:val="00AD1AA5"/>
    <w:rsid w:val="00AD2920"/>
    <w:rsid w:val="00AD2CD5"/>
    <w:rsid w:val="00AD2DFC"/>
    <w:rsid w:val="00AD3718"/>
    <w:rsid w:val="00AD38C4"/>
    <w:rsid w:val="00AD5A4A"/>
    <w:rsid w:val="00AD60EE"/>
    <w:rsid w:val="00AD6A2B"/>
    <w:rsid w:val="00AD73D4"/>
    <w:rsid w:val="00AD7C62"/>
    <w:rsid w:val="00AE1EA2"/>
    <w:rsid w:val="00AE2874"/>
    <w:rsid w:val="00AE2F98"/>
    <w:rsid w:val="00AE3602"/>
    <w:rsid w:val="00AE484D"/>
    <w:rsid w:val="00AE5342"/>
    <w:rsid w:val="00AE5987"/>
    <w:rsid w:val="00AE6472"/>
    <w:rsid w:val="00AF1345"/>
    <w:rsid w:val="00AF38A8"/>
    <w:rsid w:val="00AF63EB"/>
    <w:rsid w:val="00B016D2"/>
    <w:rsid w:val="00B018EC"/>
    <w:rsid w:val="00B060C7"/>
    <w:rsid w:val="00B11AB7"/>
    <w:rsid w:val="00B12213"/>
    <w:rsid w:val="00B13710"/>
    <w:rsid w:val="00B214D7"/>
    <w:rsid w:val="00B22796"/>
    <w:rsid w:val="00B22881"/>
    <w:rsid w:val="00B23EFC"/>
    <w:rsid w:val="00B24B72"/>
    <w:rsid w:val="00B24D68"/>
    <w:rsid w:val="00B25DB8"/>
    <w:rsid w:val="00B2656C"/>
    <w:rsid w:val="00B266E6"/>
    <w:rsid w:val="00B3094D"/>
    <w:rsid w:val="00B30B04"/>
    <w:rsid w:val="00B311BC"/>
    <w:rsid w:val="00B31810"/>
    <w:rsid w:val="00B31C10"/>
    <w:rsid w:val="00B32745"/>
    <w:rsid w:val="00B3446D"/>
    <w:rsid w:val="00B34652"/>
    <w:rsid w:val="00B34F89"/>
    <w:rsid w:val="00B358C8"/>
    <w:rsid w:val="00B36185"/>
    <w:rsid w:val="00B3662F"/>
    <w:rsid w:val="00B373CD"/>
    <w:rsid w:val="00B377C8"/>
    <w:rsid w:val="00B400B8"/>
    <w:rsid w:val="00B404DE"/>
    <w:rsid w:val="00B40765"/>
    <w:rsid w:val="00B4232D"/>
    <w:rsid w:val="00B42682"/>
    <w:rsid w:val="00B42992"/>
    <w:rsid w:val="00B43065"/>
    <w:rsid w:val="00B44784"/>
    <w:rsid w:val="00B449D0"/>
    <w:rsid w:val="00B456AB"/>
    <w:rsid w:val="00B46C2A"/>
    <w:rsid w:val="00B47E8B"/>
    <w:rsid w:val="00B51C67"/>
    <w:rsid w:val="00B53F86"/>
    <w:rsid w:val="00B53FDC"/>
    <w:rsid w:val="00B55431"/>
    <w:rsid w:val="00B55CAE"/>
    <w:rsid w:val="00B576C6"/>
    <w:rsid w:val="00B60CC4"/>
    <w:rsid w:val="00B615F2"/>
    <w:rsid w:val="00B61A28"/>
    <w:rsid w:val="00B65C6D"/>
    <w:rsid w:val="00B66B06"/>
    <w:rsid w:val="00B67862"/>
    <w:rsid w:val="00B70464"/>
    <w:rsid w:val="00B70634"/>
    <w:rsid w:val="00B70BE4"/>
    <w:rsid w:val="00B71D20"/>
    <w:rsid w:val="00B73880"/>
    <w:rsid w:val="00B73CF1"/>
    <w:rsid w:val="00B745B3"/>
    <w:rsid w:val="00B7599D"/>
    <w:rsid w:val="00B7648F"/>
    <w:rsid w:val="00B76C90"/>
    <w:rsid w:val="00B76E13"/>
    <w:rsid w:val="00B771EE"/>
    <w:rsid w:val="00B7765B"/>
    <w:rsid w:val="00B77B4B"/>
    <w:rsid w:val="00B80ABC"/>
    <w:rsid w:val="00B814C2"/>
    <w:rsid w:val="00B86D9F"/>
    <w:rsid w:val="00B86EF5"/>
    <w:rsid w:val="00B900FE"/>
    <w:rsid w:val="00B9064C"/>
    <w:rsid w:val="00B93962"/>
    <w:rsid w:val="00B97D6B"/>
    <w:rsid w:val="00BA0A14"/>
    <w:rsid w:val="00BA228D"/>
    <w:rsid w:val="00BA398D"/>
    <w:rsid w:val="00BA39D3"/>
    <w:rsid w:val="00BA5C56"/>
    <w:rsid w:val="00BA72BB"/>
    <w:rsid w:val="00BA776F"/>
    <w:rsid w:val="00BB09A9"/>
    <w:rsid w:val="00BB0C0D"/>
    <w:rsid w:val="00BB0D69"/>
    <w:rsid w:val="00BB115E"/>
    <w:rsid w:val="00BB366E"/>
    <w:rsid w:val="00BB3AF0"/>
    <w:rsid w:val="00BB4413"/>
    <w:rsid w:val="00BB4F70"/>
    <w:rsid w:val="00BB67FF"/>
    <w:rsid w:val="00BB7305"/>
    <w:rsid w:val="00BC11B9"/>
    <w:rsid w:val="00BC138C"/>
    <w:rsid w:val="00BC14CF"/>
    <w:rsid w:val="00BC1659"/>
    <w:rsid w:val="00BC2C91"/>
    <w:rsid w:val="00BC3A9C"/>
    <w:rsid w:val="00BC43BD"/>
    <w:rsid w:val="00BC5288"/>
    <w:rsid w:val="00BC5FC9"/>
    <w:rsid w:val="00BC6A71"/>
    <w:rsid w:val="00BC6B2F"/>
    <w:rsid w:val="00BD0637"/>
    <w:rsid w:val="00BD08A8"/>
    <w:rsid w:val="00BD1BAC"/>
    <w:rsid w:val="00BD1FA8"/>
    <w:rsid w:val="00BD25A6"/>
    <w:rsid w:val="00BD4C95"/>
    <w:rsid w:val="00BD65FC"/>
    <w:rsid w:val="00BD7660"/>
    <w:rsid w:val="00BE0200"/>
    <w:rsid w:val="00BE0666"/>
    <w:rsid w:val="00BE24B9"/>
    <w:rsid w:val="00BE2AE8"/>
    <w:rsid w:val="00BE2D55"/>
    <w:rsid w:val="00BE38DD"/>
    <w:rsid w:val="00BE4AB1"/>
    <w:rsid w:val="00BF16C3"/>
    <w:rsid w:val="00BF38E0"/>
    <w:rsid w:val="00BF44FA"/>
    <w:rsid w:val="00BF57E1"/>
    <w:rsid w:val="00BF74BD"/>
    <w:rsid w:val="00C003B4"/>
    <w:rsid w:val="00C00A5F"/>
    <w:rsid w:val="00C023AF"/>
    <w:rsid w:val="00C042E0"/>
    <w:rsid w:val="00C051D9"/>
    <w:rsid w:val="00C06333"/>
    <w:rsid w:val="00C06F68"/>
    <w:rsid w:val="00C075BA"/>
    <w:rsid w:val="00C10A3A"/>
    <w:rsid w:val="00C11E20"/>
    <w:rsid w:val="00C15D16"/>
    <w:rsid w:val="00C20015"/>
    <w:rsid w:val="00C21ED3"/>
    <w:rsid w:val="00C247DD"/>
    <w:rsid w:val="00C25B43"/>
    <w:rsid w:val="00C26A54"/>
    <w:rsid w:val="00C30D44"/>
    <w:rsid w:val="00C3261C"/>
    <w:rsid w:val="00C3318B"/>
    <w:rsid w:val="00C33C20"/>
    <w:rsid w:val="00C35362"/>
    <w:rsid w:val="00C357EA"/>
    <w:rsid w:val="00C36DAD"/>
    <w:rsid w:val="00C379F8"/>
    <w:rsid w:val="00C37A1C"/>
    <w:rsid w:val="00C40694"/>
    <w:rsid w:val="00C40996"/>
    <w:rsid w:val="00C42323"/>
    <w:rsid w:val="00C4316E"/>
    <w:rsid w:val="00C453A9"/>
    <w:rsid w:val="00C465D5"/>
    <w:rsid w:val="00C4756A"/>
    <w:rsid w:val="00C47C39"/>
    <w:rsid w:val="00C50649"/>
    <w:rsid w:val="00C50E1F"/>
    <w:rsid w:val="00C50F32"/>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4801"/>
    <w:rsid w:val="00C75017"/>
    <w:rsid w:val="00C765B4"/>
    <w:rsid w:val="00C813EA"/>
    <w:rsid w:val="00C81496"/>
    <w:rsid w:val="00C82CE6"/>
    <w:rsid w:val="00C82E22"/>
    <w:rsid w:val="00C841B0"/>
    <w:rsid w:val="00C85144"/>
    <w:rsid w:val="00C86738"/>
    <w:rsid w:val="00C86A27"/>
    <w:rsid w:val="00C91517"/>
    <w:rsid w:val="00C929BD"/>
    <w:rsid w:val="00C931A2"/>
    <w:rsid w:val="00C93F43"/>
    <w:rsid w:val="00C94E21"/>
    <w:rsid w:val="00CA02E1"/>
    <w:rsid w:val="00CA15DA"/>
    <w:rsid w:val="00CA224E"/>
    <w:rsid w:val="00CA41C5"/>
    <w:rsid w:val="00CA42B7"/>
    <w:rsid w:val="00CA4A53"/>
    <w:rsid w:val="00CA5095"/>
    <w:rsid w:val="00CA51F5"/>
    <w:rsid w:val="00CB218A"/>
    <w:rsid w:val="00CB225A"/>
    <w:rsid w:val="00CB41D1"/>
    <w:rsid w:val="00CB69E6"/>
    <w:rsid w:val="00CB761B"/>
    <w:rsid w:val="00CC13DF"/>
    <w:rsid w:val="00CC1EEE"/>
    <w:rsid w:val="00CC562B"/>
    <w:rsid w:val="00CC6C15"/>
    <w:rsid w:val="00CC7FCF"/>
    <w:rsid w:val="00CD1465"/>
    <w:rsid w:val="00CD205F"/>
    <w:rsid w:val="00CD2749"/>
    <w:rsid w:val="00CD2A60"/>
    <w:rsid w:val="00CD2BB9"/>
    <w:rsid w:val="00CD2EBF"/>
    <w:rsid w:val="00CD306F"/>
    <w:rsid w:val="00CD3971"/>
    <w:rsid w:val="00CD3DAB"/>
    <w:rsid w:val="00CE0DF1"/>
    <w:rsid w:val="00CE3786"/>
    <w:rsid w:val="00CE4027"/>
    <w:rsid w:val="00CE47CC"/>
    <w:rsid w:val="00CE68F6"/>
    <w:rsid w:val="00CE7E27"/>
    <w:rsid w:val="00CF22AC"/>
    <w:rsid w:val="00CF2F0A"/>
    <w:rsid w:val="00CF32F5"/>
    <w:rsid w:val="00CF7120"/>
    <w:rsid w:val="00CF79E8"/>
    <w:rsid w:val="00D015AA"/>
    <w:rsid w:val="00D021B8"/>
    <w:rsid w:val="00D03D90"/>
    <w:rsid w:val="00D04024"/>
    <w:rsid w:val="00D043EB"/>
    <w:rsid w:val="00D06705"/>
    <w:rsid w:val="00D06A9B"/>
    <w:rsid w:val="00D0743E"/>
    <w:rsid w:val="00D0750D"/>
    <w:rsid w:val="00D07DD8"/>
    <w:rsid w:val="00D1038F"/>
    <w:rsid w:val="00D10BF7"/>
    <w:rsid w:val="00D10FEB"/>
    <w:rsid w:val="00D140A0"/>
    <w:rsid w:val="00D159B6"/>
    <w:rsid w:val="00D203D1"/>
    <w:rsid w:val="00D2057A"/>
    <w:rsid w:val="00D2178F"/>
    <w:rsid w:val="00D21D98"/>
    <w:rsid w:val="00D2317F"/>
    <w:rsid w:val="00D231A9"/>
    <w:rsid w:val="00D24391"/>
    <w:rsid w:val="00D2472B"/>
    <w:rsid w:val="00D253DD"/>
    <w:rsid w:val="00D26FFA"/>
    <w:rsid w:val="00D30D10"/>
    <w:rsid w:val="00D3215D"/>
    <w:rsid w:val="00D33352"/>
    <w:rsid w:val="00D347D9"/>
    <w:rsid w:val="00D35565"/>
    <w:rsid w:val="00D36A19"/>
    <w:rsid w:val="00D40DCF"/>
    <w:rsid w:val="00D41075"/>
    <w:rsid w:val="00D4194E"/>
    <w:rsid w:val="00D41C76"/>
    <w:rsid w:val="00D41DD8"/>
    <w:rsid w:val="00D4222C"/>
    <w:rsid w:val="00D425CE"/>
    <w:rsid w:val="00D42F40"/>
    <w:rsid w:val="00D4396C"/>
    <w:rsid w:val="00D4446F"/>
    <w:rsid w:val="00D44B55"/>
    <w:rsid w:val="00D45490"/>
    <w:rsid w:val="00D457B8"/>
    <w:rsid w:val="00D457E1"/>
    <w:rsid w:val="00D46571"/>
    <w:rsid w:val="00D46D1A"/>
    <w:rsid w:val="00D47BEB"/>
    <w:rsid w:val="00D50487"/>
    <w:rsid w:val="00D50563"/>
    <w:rsid w:val="00D50F50"/>
    <w:rsid w:val="00D5235F"/>
    <w:rsid w:val="00D52F50"/>
    <w:rsid w:val="00D53332"/>
    <w:rsid w:val="00D5574F"/>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AF0"/>
    <w:rsid w:val="00D84D5F"/>
    <w:rsid w:val="00D851E2"/>
    <w:rsid w:val="00D87FFA"/>
    <w:rsid w:val="00D91419"/>
    <w:rsid w:val="00D91ED0"/>
    <w:rsid w:val="00D92A09"/>
    <w:rsid w:val="00D92D2A"/>
    <w:rsid w:val="00D92EEC"/>
    <w:rsid w:val="00D93470"/>
    <w:rsid w:val="00D9395F"/>
    <w:rsid w:val="00D93D55"/>
    <w:rsid w:val="00D941FA"/>
    <w:rsid w:val="00D94B59"/>
    <w:rsid w:val="00D94C3F"/>
    <w:rsid w:val="00D95315"/>
    <w:rsid w:val="00D95EAB"/>
    <w:rsid w:val="00DA0B39"/>
    <w:rsid w:val="00DA1203"/>
    <w:rsid w:val="00DA2316"/>
    <w:rsid w:val="00DA25E0"/>
    <w:rsid w:val="00DA2700"/>
    <w:rsid w:val="00DA3001"/>
    <w:rsid w:val="00DA314A"/>
    <w:rsid w:val="00DA3C5D"/>
    <w:rsid w:val="00DA3EFF"/>
    <w:rsid w:val="00DA57A4"/>
    <w:rsid w:val="00DA7769"/>
    <w:rsid w:val="00DB06D1"/>
    <w:rsid w:val="00DB08C6"/>
    <w:rsid w:val="00DB1BC2"/>
    <w:rsid w:val="00DB1CBB"/>
    <w:rsid w:val="00DB2F00"/>
    <w:rsid w:val="00DB31ED"/>
    <w:rsid w:val="00DB4124"/>
    <w:rsid w:val="00DB4511"/>
    <w:rsid w:val="00DB4F0C"/>
    <w:rsid w:val="00DC0176"/>
    <w:rsid w:val="00DC043F"/>
    <w:rsid w:val="00DC093E"/>
    <w:rsid w:val="00DC0E29"/>
    <w:rsid w:val="00DC0E7A"/>
    <w:rsid w:val="00DC2A65"/>
    <w:rsid w:val="00DC2A86"/>
    <w:rsid w:val="00DC3631"/>
    <w:rsid w:val="00DC37F7"/>
    <w:rsid w:val="00DC570E"/>
    <w:rsid w:val="00DC6F54"/>
    <w:rsid w:val="00DD0C00"/>
    <w:rsid w:val="00DD0F8C"/>
    <w:rsid w:val="00DD116C"/>
    <w:rsid w:val="00DD23D5"/>
    <w:rsid w:val="00DD2AF1"/>
    <w:rsid w:val="00DD46DA"/>
    <w:rsid w:val="00DD6072"/>
    <w:rsid w:val="00DD62BE"/>
    <w:rsid w:val="00DD6A37"/>
    <w:rsid w:val="00DD77D9"/>
    <w:rsid w:val="00DD7CA4"/>
    <w:rsid w:val="00DE167C"/>
    <w:rsid w:val="00DE3B70"/>
    <w:rsid w:val="00DE529F"/>
    <w:rsid w:val="00DE5813"/>
    <w:rsid w:val="00DF0D35"/>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5884"/>
    <w:rsid w:val="00E16857"/>
    <w:rsid w:val="00E16C3A"/>
    <w:rsid w:val="00E20651"/>
    <w:rsid w:val="00E2107C"/>
    <w:rsid w:val="00E21E70"/>
    <w:rsid w:val="00E224DE"/>
    <w:rsid w:val="00E23DCE"/>
    <w:rsid w:val="00E26363"/>
    <w:rsid w:val="00E272A4"/>
    <w:rsid w:val="00E305F9"/>
    <w:rsid w:val="00E306AC"/>
    <w:rsid w:val="00E30E53"/>
    <w:rsid w:val="00E33114"/>
    <w:rsid w:val="00E34446"/>
    <w:rsid w:val="00E3445E"/>
    <w:rsid w:val="00E3633B"/>
    <w:rsid w:val="00E36870"/>
    <w:rsid w:val="00E374E1"/>
    <w:rsid w:val="00E417AB"/>
    <w:rsid w:val="00E41811"/>
    <w:rsid w:val="00E43D48"/>
    <w:rsid w:val="00E4542D"/>
    <w:rsid w:val="00E45BE0"/>
    <w:rsid w:val="00E46CAD"/>
    <w:rsid w:val="00E47521"/>
    <w:rsid w:val="00E4760C"/>
    <w:rsid w:val="00E507A6"/>
    <w:rsid w:val="00E5375C"/>
    <w:rsid w:val="00E54212"/>
    <w:rsid w:val="00E561AD"/>
    <w:rsid w:val="00E57A4F"/>
    <w:rsid w:val="00E57FAF"/>
    <w:rsid w:val="00E60B9C"/>
    <w:rsid w:val="00E60BA9"/>
    <w:rsid w:val="00E61410"/>
    <w:rsid w:val="00E63510"/>
    <w:rsid w:val="00E635EA"/>
    <w:rsid w:val="00E655E5"/>
    <w:rsid w:val="00E65F4E"/>
    <w:rsid w:val="00E662E0"/>
    <w:rsid w:val="00E67D5D"/>
    <w:rsid w:val="00E71C7A"/>
    <w:rsid w:val="00E72BFE"/>
    <w:rsid w:val="00E73119"/>
    <w:rsid w:val="00E73E1E"/>
    <w:rsid w:val="00E767FF"/>
    <w:rsid w:val="00E84C91"/>
    <w:rsid w:val="00E84E60"/>
    <w:rsid w:val="00E8556E"/>
    <w:rsid w:val="00E85BA4"/>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13"/>
    <w:rsid w:val="00EB1383"/>
    <w:rsid w:val="00EB252D"/>
    <w:rsid w:val="00EB29FA"/>
    <w:rsid w:val="00EB2CCE"/>
    <w:rsid w:val="00EB385F"/>
    <w:rsid w:val="00EB3E49"/>
    <w:rsid w:val="00EB5FC3"/>
    <w:rsid w:val="00EB6DA9"/>
    <w:rsid w:val="00EC1561"/>
    <w:rsid w:val="00EC462E"/>
    <w:rsid w:val="00EC67F8"/>
    <w:rsid w:val="00EC6CD8"/>
    <w:rsid w:val="00EC786F"/>
    <w:rsid w:val="00ED0C7F"/>
    <w:rsid w:val="00ED1866"/>
    <w:rsid w:val="00ED1EA4"/>
    <w:rsid w:val="00ED3134"/>
    <w:rsid w:val="00ED38E2"/>
    <w:rsid w:val="00ED5C44"/>
    <w:rsid w:val="00ED635B"/>
    <w:rsid w:val="00EE040F"/>
    <w:rsid w:val="00EE31B9"/>
    <w:rsid w:val="00EE4364"/>
    <w:rsid w:val="00EE742D"/>
    <w:rsid w:val="00EF0A22"/>
    <w:rsid w:val="00EF1267"/>
    <w:rsid w:val="00EF180C"/>
    <w:rsid w:val="00EF3B6B"/>
    <w:rsid w:val="00EF4B43"/>
    <w:rsid w:val="00EF6750"/>
    <w:rsid w:val="00EF770B"/>
    <w:rsid w:val="00F02836"/>
    <w:rsid w:val="00F02FB5"/>
    <w:rsid w:val="00F0534E"/>
    <w:rsid w:val="00F05C30"/>
    <w:rsid w:val="00F10E9D"/>
    <w:rsid w:val="00F10F1B"/>
    <w:rsid w:val="00F113DB"/>
    <w:rsid w:val="00F12A9D"/>
    <w:rsid w:val="00F14179"/>
    <w:rsid w:val="00F15786"/>
    <w:rsid w:val="00F167C5"/>
    <w:rsid w:val="00F17ABD"/>
    <w:rsid w:val="00F20B5A"/>
    <w:rsid w:val="00F21F0B"/>
    <w:rsid w:val="00F22589"/>
    <w:rsid w:val="00F236AB"/>
    <w:rsid w:val="00F24EA4"/>
    <w:rsid w:val="00F27087"/>
    <w:rsid w:val="00F2773C"/>
    <w:rsid w:val="00F300B3"/>
    <w:rsid w:val="00F30188"/>
    <w:rsid w:val="00F30DB9"/>
    <w:rsid w:val="00F30FB8"/>
    <w:rsid w:val="00F31D68"/>
    <w:rsid w:val="00F32E27"/>
    <w:rsid w:val="00F33152"/>
    <w:rsid w:val="00F338F2"/>
    <w:rsid w:val="00F349D3"/>
    <w:rsid w:val="00F3533E"/>
    <w:rsid w:val="00F35B84"/>
    <w:rsid w:val="00F372B1"/>
    <w:rsid w:val="00F402B5"/>
    <w:rsid w:val="00F4072F"/>
    <w:rsid w:val="00F42839"/>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227"/>
    <w:rsid w:val="00F823A4"/>
    <w:rsid w:val="00F8412F"/>
    <w:rsid w:val="00F84791"/>
    <w:rsid w:val="00F85995"/>
    <w:rsid w:val="00F85FC5"/>
    <w:rsid w:val="00F86C22"/>
    <w:rsid w:val="00F90CB3"/>
    <w:rsid w:val="00F912A2"/>
    <w:rsid w:val="00F913A3"/>
    <w:rsid w:val="00F925C3"/>
    <w:rsid w:val="00FA0109"/>
    <w:rsid w:val="00FA458B"/>
    <w:rsid w:val="00FA5378"/>
    <w:rsid w:val="00FA5EC5"/>
    <w:rsid w:val="00FA7016"/>
    <w:rsid w:val="00FA7174"/>
    <w:rsid w:val="00FA793D"/>
    <w:rsid w:val="00FB020E"/>
    <w:rsid w:val="00FB0F17"/>
    <w:rsid w:val="00FB1488"/>
    <w:rsid w:val="00FB2880"/>
    <w:rsid w:val="00FB4B9D"/>
    <w:rsid w:val="00FB50ED"/>
    <w:rsid w:val="00FB6E18"/>
    <w:rsid w:val="00FB7CBA"/>
    <w:rsid w:val="00FC144B"/>
    <w:rsid w:val="00FC2169"/>
    <w:rsid w:val="00FC28E2"/>
    <w:rsid w:val="00FC3BF6"/>
    <w:rsid w:val="00FC3D22"/>
    <w:rsid w:val="00FC6FE1"/>
    <w:rsid w:val="00FD0C3D"/>
    <w:rsid w:val="00FD2F6B"/>
    <w:rsid w:val="00FD6FAA"/>
    <w:rsid w:val="00FE064A"/>
    <w:rsid w:val="00FE0B55"/>
    <w:rsid w:val="00FE1E98"/>
    <w:rsid w:val="00FE2452"/>
    <w:rsid w:val="00FE2467"/>
    <w:rsid w:val="00FE5469"/>
    <w:rsid w:val="00FE66C2"/>
    <w:rsid w:val="00FE684A"/>
    <w:rsid w:val="00FE6F23"/>
    <w:rsid w:val="00FF0F8C"/>
    <w:rsid w:val="00FF2923"/>
    <w:rsid w:val="00FF2AAD"/>
    <w:rsid w:val="00FF408B"/>
    <w:rsid w:val="00FF43E1"/>
    <w:rsid w:val="00FF5BF8"/>
    <w:rsid w:val="03430854"/>
    <w:rsid w:val="039F5FA6"/>
    <w:rsid w:val="09305ADA"/>
    <w:rsid w:val="0E8013B7"/>
    <w:rsid w:val="10D604C6"/>
    <w:rsid w:val="11B515E0"/>
    <w:rsid w:val="13A53267"/>
    <w:rsid w:val="13F970D2"/>
    <w:rsid w:val="14AA4136"/>
    <w:rsid w:val="163A420B"/>
    <w:rsid w:val="19413B26"/>
    <w:rsid w:val="1A9E6177"/>
    <w:rsid w:val="1C6D3688"/>
    <w:rsid w:val="1CC63D0A"/>
    <w:rsid w:val="1DC2081A"/>
    <w:rsid w:val="1DD94266"/>
    <w:rsid w:val="1F9D0947"/>
    <w:rsid w:val="1FFB29C6"/>
    <w:rsid w:val="21B77C75"/>
    <w:rsid w:val="22AF3620"/>
    <w:rsid w:val="22E70AD4"/>
    <w:rsid w:val="24F1508D"/>
    <w:rsid w:val="266F634F"/>
    <w:rsid w:val="291059EA"/>
    <w:rsid w:val="2A460B88"/>
    <w:rsid w:val="2A960F7D"/>
    <w:rsid w:val="2BBF12EC"/>
    <w:rsid w:val="2BC649D9"/>
    <w:rsid w:val="2F072C55"/>
    <w:rsid w:val="31500252"/>
    <w:rsid w:val="3515160D"/>
    <w:rsid w:val="382B4F2F"/>
    <w:rsid w:val="3C7D00D8"/>
    <w:rsid w:val="3CA06C0C"/>
    <w:rsid w:val="3D2557DC"/>
    <w:rsid w:val="3EA25851"/>
    <w:rsid w:val="3F6C3757"/>
    <w:rsid w:val="405D6A10"/>
    <w:rsid w:val="41DA6594"/>
    <w:rsid w:val="435C6C74"/>
    <w:rsid w:val="444C1A75"/>
    <w:rsid w:val="44A3526F"/>
    <w:rsid w:val="44B032F4"/>
    <w:rsid w:val="457D25F7"/>
    <w:rsid w:val="468341CD"/>
    <w:rsid w:val="472C2589"/>
    <w:rsid w:val="4A760AEB"/>
    <w:rsid w:val="4F3162CA"/>
    <w:rsid w:val="50D95873"/>
    <w:rsid w:val="526102AF"/>
    <w:rsid w:val="528444DA"/>
    <w:rsid w:val="537745D5"/>
    <w:rsid w:val="53BF368D"/>
    <w:rsid w:val="552306F6"/>
    <w:rsid w:val="56E352D5"/>
    <w:rsid w:val="57E435FE"/>
    <w:rsid w:val="582D0655"/>
    <w:rsid w:val="5951205C"/>
    <w:rsid w:val="59D079E8"/>
    <w:rsid w:val="59D40847"/>
    <w:rsid w:val="5AE37F25"/>
    <w:rsid w:val="5C5665CD"/>
    <w:rsid w:val="5CB23D47"/>
    <w:rsid w:val="5E9F2B00"/>
    <w:rsid w:val="5FAF09C4"/>
    <w:rsid w:val="608C4642"/>
    <w:rsid w:val="62795572"/>
    <w:rsid w:val="64DD6417"/>
    <w:rsid w:val="66004745"/>
    <w:rsid w:val="6A567F20"/>
    <w:rsid w:val="6CD97953"/>
    <w:rsid w:val="6ED30FD7"/>
    <w:rsid w:val="727D78FD"/>
    <w:rsid w:val="73CC655F"/>
    <w:rsid w:val="75021056"/>
    <w:rsid w:val="75957445"/>
    <w:rsid w:val="75D01AE1"/>
    <w:rsid w:val="77524363"/>
    <w:rsid w:val="77B917B5"/>
    <w:rsid w:val="77BA65D4"/>
    <w:rsid w:val="78703975"/>
    <w:rsid w:val="7BE420FD"/>
    <w:rsid w:val="7D0D296B"/>
    <w:rsid w:val="7D4E0B54"/>
    <w:rsid w:val="7D503E78"/>
    <w:rsid w:val="7E01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90"/>
    <w:autoRedefine/>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3"/>
    <w:autoRedefine/>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60"/>
    <w:autoRedefine/>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8"/>
    <w:autoRedefine/>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101"/>
    <w:autoRedefine/>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4"/>
    <w:autoRedefine/>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0"/>
    <w:autoRedefine/>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0"/>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8">
    <w:name w:val="Default Paragraph Font"/>
    <w:autoRedefine/>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等线" w:hAnsi="等线" w:eastAsia="等线"/>
      <w:szCs w:val="22"/>
    </w:rPr>
  </w:style>
  <w:style w:type="paragraph" w:styleId="12">
    <w:name w:val="Normal Indent"/>
    <w:basedOn w:val="1"/>
    <w:autoRedefine/>
    <w:unhideWhenUsed/>
    <w:qFormat/>
    <w:uiPriority w:val="99"/>
    <w:pPr>
      <w:spacing w:line="240" w:lineRule="auto"/>
      <w:ind w:firstLine="420"/>
    </w:pPr>
    <w:rPr>
      <w:rFonts w:ascii="Calibri" w:hAnsi="Calibri"/>
      <w:sz w:val="21"/>
    </w:rPr>
  </w:style>
  <w:style w:type="paragraph" w:styleId="13">
    <w:name w:val="caption"/>
    <w:basedOn w:val="1"/>
    <w:next w:val="1"/>
    <w:link w:val="56"/>
    <w:autoRedefine/>
    <w:qFormat/>
    <w:uiPriority w:val="0"/>
    <w:pPr>
      <w:spacing w:afterLines="50"/>
      <w:ind w:firstLine="200"/>
    </w:pPr>
    <w:rPr>
      <w:rFonts w:ascii="Arial" w:hAnsi="Arial" w:eastAsia="黑体"/>
      <w:sz w:val="20"/>
      <w:szCs w:val="20"/>
    </w:rPr>
  </w:style>
  <w:style w:type="paragraph" w:styleId="14">
    <w:name w:val="List Bullet"/>
    <w:basedOn w:val="1"/>
    <w:autoRedefine/>
    <w:qFormat/>
    <w:uiPriority w:val="0"/>
    <w:pPr>
      <w:numPr>
        <w:ilvl w:val="0"/>
        <w:numId w:val="2"/>
      </w:numPr>
      <w:ind w:firstLine="0" w:firstLineChars="0"/>
    </w:pPr>
  </w:style>
  <w:style w:type="paragraph" w:styleId="15">
    <w:name w:val="Document Map"/>
    <w:basedOn w:val="1"/>
    <w:link w:val="93"/>
    <w:autoRedefine/>
    <w:qFormat/>
    <w:uiPriority w:val="0"/>
    <w:rPr>
      <w:rFonts w:hAnsi="Times New Roman"/>
      <w:sz w:val="18"/>
      <w:szCs w:val="18"/>
    </w:rPr>
  </w:style>
  <w:style w:type="paragraph" w:styleId="16">
    <w:name w:val="annotation text"/>
    <w:basedOn w:val="1"/>
    <w:link w:val="47"/>
    <w:autoRedefine/>
    <w:qFormat/>
    <w:uiPriority w:val="99"/>
    <w:pPr>
      <w:jc w:val="left"/>
    </w:pPr>
    <w:rPr>
      <w:rFonts w:ascii="Times New Roman" w:hAnsi="Times New Roman" w:eastAsia="仿宋"/>
      <w:sz w:val="28"/>
    </w:rPr>
  </w:style>
  <w:style w:type="paragraph" w:styleId="17">
    <w:name w:val="Body Text"/>
    <w:basedOn w:val="1"/>
    <w:link w:val="61"/>
    <w:autoRedefine/>
    <w:unhideWhenUsed/>
    <w:qFormat/>
    <w:uiPriority w:val="0"/>
    <w:pPr>
      <w:spacing w:after="120" w:line="240" w:lineRule="auto"/>
      <w:ind w:firstLine="0" w:firstLineChars="0"/>
    </w:pPr>
    <w:rPr>
      <w:rFonts w:ascii="Times New Roman" w:hAnsi="Times New Roman"/>
      <w:sz w:val="21"/>
    </w:rPr>
  </w:style>
  <w:style w:type="paragraph" w:styleId="18">
    <w:name w:val="Body Text Indent"/>
    <w:basedOn w:val="1"/>
    <w:link w:val="87"/>
    <w:autoRedefine/>
    <w:qFormat/>
    <w:uiPriority w:val="0"/>
    <w:pPr>
      <w:spacing w:after="120"/>
      <w:ind w:firstLine="200"/>
    </w:pPr>
    <w:rPr>
      <w:rFonts w:ascii="Times New Roman" w:hAnsi="Times New Roman"/>
      <w:sz w:val="21"/>
      <w:szCs w:val="20"/>
    </w:rPr>
  </w:style>
  <w:style w:type="paragraph" w:styleId="19">
    <w:name w:val="toc 5"/>
    <w:basedOn w:val="1"/>
    <w:next w:val="1"/>
    <w:unhideWhenUsed/>
    <w:qFormat/>
    <w:uiPriority w:val="39"/>
    <w:pPr>
      <w:ind w:left="1680" w:leftChars="800"/>
    </w:pPr>
    <w:rPr>
      <w:rFonts w:ascii="等线" w:hAnsi="等线" w:eastAsia="等线"/>
      <w:szCs w:val="22"/>
    </w:rPr>
  </w:style>
  <w:style w:type="paragraph" w:styleId="20">
    <w:name w:val="toc 3"/>
    <w:basedOn w:val="1"/>
    <w:next w:val="1"/>
    <w:autoRedefine/>
    <w:qFormat/>
    <w:uiPriority w:val="39"/>
    <w:pPr>
      <w:tabs>
        <w:tab w:val="right" w:leader="dot" w:pos="8302"/>
      </w:tabs>
      <w:ind w:left="840" w:leftChars="400"/>
    </w:pPr>
  </w:style>
  <w:style w:type="paragraph" w:styleId="21">
    <w:name w:val="Plain Text"/>
    <w:basedOn w:val="1"/>
    <w:link w:val="68"/>
    <w:qFormat/>
    <w:uiPriority w:val="0"/>
    <w:pPr>
      <w:spacing w:line="240" w:lineRule="auto"/>
      <w:ind w:firstLine="0" w:firstLineChars="0"/>
    </w:pPr>
    <w:rPr>
      <w:rFonts w:hAnsi="Courier New"/>
      <w:sz w:val="21"/>
      <w:szCs w:val="20"/>
    </w:rPr>
  </w:style>
  <w:style w:type="paragraph" w:styleId="22">
    <w:name w:val="toc 8"/>
    <w:basedOn w:val="1"/>
    <w:next w:val="1"/>
    <w:autoRedefine/>
    <w:unhideWhenUsed/>
    <w:qFormat/>
    <w:uiPriority w:val="39"/>
    <w:pPr>
      <w:ind w:left="2940" w:leftChars="1400"/>
    </w:pPr>
    <w:rPr>
      <w:rFonts w:ascii="等线" w:hAnsi="等线" w:eastAsia="等线"/>
      <w:szCs w:val="22"/>
    </w:rPr>
  </w:style>
  <w:style w:type="paragraph" w:styleId="23">
    <w:name w:val="Date"/>
    <w:basedOn w:val="1"/>
    <w:next w:val="1"/>
    <w:link w:val="49"/>
    <w:qFormat/>
    <w:uiPriority w:val="0"/>
    <w:pPr>
      <w:ind w:left="100" w:leftChars="2500"/>
    </w:pPr>
    <w:rPr>
      <w:rFonts w:ascii="Times New Roman" w:hAnsi="Times New Roman"/>
      <w:sz w:val="21"/>
    </w:rPr>
  </w:style>
  <w:style w:type="paragraph" w:styleId="24">
    <w:name w:val="Balloon Text"/>
    <w:basedOn w:val="1"/>
    <w:link w:val="98"/>
    <w:autoRedefine/>
    <w:qFormat/>
    <w:uiPriority w:val="0"/>
    <w:rPr>
      <w:rFonts w:ascii="Times New Roman" w:hAnsi="Times New Roman"/>
      <w:sz w:val="18"/>
      <w:szCs w:val="18"/>
    </w:rPr>
  </w:style>
  <w:style w:type="paragraph" w:styleId="25">
    <w:name w:val="footer"/>
    <w:basedOn w:val="1"/>
    <w:link w:val="91"/>
    <w:autoRedefine/>
    <w:qFormat/>
    <w:uiPriority w:val="99"/>
    <w:pPr>
      <w:tabs>
        <w:tab w:val="center" w:pos="4153"/>
        <w:tab w:val="right" w:pos="8306"/>
      </w:tabs>
      <w:snapToGrid w:val="0"/>
      <w:jc w:val="center"/>
    </w:pPr>
    <w:rPr>
      <w:rFonts w:ascii="Times New Roman" w:hAnsi="Times New Roman"/>
      <w:sz w:val="18"/>
      <w:szCs w:val="18"/>
    </w:rPr>
  </w:style>
  <w:style w:type="paragraph" w:styleId="26">
    <w:name w:val="header"/>
    <w:basedOn w:val="1"/>
    <w:link w:val="99"/>
    <w:autoRedefine/>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7">
    <w:name w:val="toc 1"/>
    <w:basedOn w:val="1"/>
    <w:next w:val="1"/>
    <w:autoRedefine/>
    <w:qFormat/>
    <w:uiPriority w:val="39"/>
  </w:style>
  <w:style w:type="paragraph" w:styleId="28">
    <w:name w:val="toc 4"/>
    <w:basedOn w:val="1"/>
    <w:next w:val="1"/>
    <w:autoRedefine/>
    <w:unhideWhenUsed/>
    <w:qFormat/>
    <w:uiPriority w:val="39"/>
    <w:pPr>
      <w:ind w:left="1260" w:leftChars="600"/>
    </w:pPr>
    <w:rPr>
      <w:rFonts w:ascii="等线" w:hAnsi="等线" w:eastAsia="等线"/>
      <w:szCs w:val="22"/>
    </w:rPr>
  </w:style>
  <w:style w:type="paragraph" w:styleId="29">
    <w:name w:val="Subtitle"/>
    <w:basedOn w:val="1"/>
    <w:next w:val="1"/>
    <w:link w:val="89"/>
    <w:autoRedefine/>
    <w:qFormat/>
    <w:uiPriority w:val="0"/>
    <w:pPr>
      <w:spacing w:before="240" w:after="60" w:line="312" w:lineRule="auto"/>
      <w:jc w:val="center"/>
      <w:outlineLvl w:val="1"/>
    </w:pPr>
    <w:rPr>
      <w:rFonts w:ascii="Calibri Light" w:hAnsi="Calibri Light"/>
      <w:b/>
      <w:bCs/>
      <w:kern w:val="28"/>
      <w:sz w:val="32"/>
      <w:szCs w:val="32"/>
    </w:rPr>
  </w:style>
  <w:style w:type="paragraph" w:styleId="30">
    <w:name w:val="toc 6"/>
    <w:basedOn w:val="1"/>
    <w:next w:val="1"/>
    <w:autoRedefine/>
    <w:unhideWhenUsed/>
    <w:qFormat/>
    <w:uiPriority w:val="39"/>
    <w:pPr>
      <w:ind w:left="2100" w:leftChars="1000"/>
    </w:pPr>
    <w:rPr>
      <w:rFonts w:ascii="等线" w:hAnsi="等线" w:eastAsia="等线"/>
      <w:szCs w:val="22"/>
    </w:rPr>
  </w:style>
  <w:style w:type="paragraph" w:styleId="31">
    <w:name w:val="toc 2"/>
    <w:basedOn w:val="1"/>
    <w:next w:val="1"/>
    <w:autoRedefine/>
    <w:qFormat/>
    <w:uiPriority w:val="39"/>
    <w:pPr>
      <w:tabs>
        <w:tab w:val="right" w:leader="dot" w:pos="8302"/>
      </w:tabs>
      <w:ind w:left="420" w:leftChars="200"/>
    </w:pPr>
  </w:style>
  <w:style w:type="paragraph" w:styleId="32">
    <w:name w:val="toc 9"/>
    <w:basedOn w:val="1"/>
    <w:next w:val="1"/>
    <w:autoRedefine/>
    <w:unhideWhenUsed/>
    <w:qFormat/>
    <w:uiPriority w:val="39"/>
    <w:pPr>
      <w:ind w:left="3360" w:leftChars="1600"/>
    </w:pPr>
    <w:rPr>
      <w:rFonts w:ascii="等线" w:hAnsi="等线" w:eastAsia="等线"/>
      <w:szCs w:val="22"/>
    </w:rPr>
  </w:style>
  <w:style w:type="paragraph" w:styleId="33">
    <w:name w:val="Normal (Web)"/>
    <w:basedOn w:val="1"/>
    <w:autoRedefine/>
    <w:qFormat/>
    <w:uiPriority w:val="99"/>
    <w:pPr>
      <w:widowControl/>
      <w:spacing w:before="100" w:after="100"/>
      <w:jc w:val="left"/>
    </w:pPr>
    <w:rPr>
      <w:rFonts w:hint="eastAsia" w:ascii="Arial Unicode MS" w:hAnsi="Arial Unicode MS" w:eastAsia="Arial Unicode MS"/>
      <w:kern w:val="0"/>
    </w:rPr>
  </w:style>
  <w:style w:type="paragraph" w:styleId="34">
    <w:name w:val="Title"/>
    <w:basedOn w:val="1"/>
    <w:next w:val="1"/>
    <w:link w:val="97"/>
    <w:qFormat/>
    <w:uiPriority w:val="0"/>
    <w:pPr>
      <w:spacing w:before="240" w:after="60" w:line="960" w:lineRule="auto"/>
      <w:jc w:val="center"/>
    </w:pPr>
    <w:rPr>
      <w:rFonts w:ascii="Cambria" w:hAnsi="Cambria" w:eastAsia="黑体"/>
      <w:b/>
      <w:bCs/>
      <w:sz w:val="52"/>
      <w:szCs w:val="32"/>
    </w:rPr>
  </w:style>
  <w:style w:type="paragraph" w:styleId="35">
    <w:name w:val="annotation subject"/>
    <w:basedOn w:val="16"/>
    <w:next w:val="16"/>
    <w:link w:val="85"/>
    <w:autoRedefine/>
    <w:qFormat/>
    <w:uiPriority w:val="0"/>
    <w:rPr>
      <w:b/>
      <w:bCs/>
      <w:sz w:val="21"/>
    </w:rPr>
  </w:style>
  <w:style w:type="table" w:styleId="37">
    <w:name w:val="Table Grid"/>
    <w:basedOn w:val="36"/>
    <w:autoRedefine/>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page number"/>
    <w:basedOn w:val="38"/>
    <w:autoRedefine/>
    <w:qFormat/>
    <w:uiPriority w:val="0"/>
  </w:style>
  <w:style w:type="character" w:styleId="40">
    <w:name w:val="FollowedHyperlink"/>
    <w:autoRedefine/>
    <w:unhideWhenUsed/>
    <w:qFormat/>
    <w:uiPriority w:val="99"/>
    <w:rPr>
      <w:color w:val="954F72"/>
      <w:u w:val="single"/>
    </w:rPr>
  </w:style>
  <w:style w:type="character" w:styleId="41">
    <w:name w:val="Emphasis"/>
    <w:basedOn w:val="38"/>
    <w:autoRedefine/>
    <w:qFormat/>
    <w:uiPriority w:val="2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customStyle="1" w:styleId="44">
    <w:name w:val="标题 3 字符1"/>
    <w:autoRedefine/>
    <w:qFormat/>
    <w:uiPriority w:val="0"/>
    <w:rPr>
      <w:rFonts w:ascii="宋体" w:hAnsi="宋体"/>
      <w:b/>
      <w:bCs/>
      <w:kern w:val="2"/>
      <w:sz w:val="28"/>
      <w:szCs w:val="28"/>
    </w:rPr>
  </w:style>
  <w:style w:type="character" w:customStyle="1" w:styleId="45">
    <w:name w:val="首行缩进正文 Char"/>
    <w:link w:val="46"/>
    <w:autoRedefine/>
    <w:qFormat/>
    <w:uiPriority w:val="0"/>
    <w:rPr>
      <w:kern w:val="2"/>
      <w:sz w:val="24"/>
    </w:rPr>
  </w:style>
  <w:style w:type="paragraph" w:customStyle="1" w:styleId="46">
    <w:name w:val="首行缩进正文"/>
    <w:basedOn w:val="1"/>
    <w:link w:val="45"/>
    <w:autoRedefine/>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7">
    <w:name w:val="批注文字 字符1"/>
    <w:link w:val="16"/>
    <w:autoRedefine/>
    <w:qFormat/>
    <w:uiPriority w:val="99"/>
    <w:rPr>
      <w:rFonts w:eastAsia="仿宋"/>
      <w:kern w:val="2"/>
      <w:sz w:val="28"/>
      <w:szCs w:val="24"/>
    </w:rPr>
  </w:style>
  <w:style w:type="character" w:customStyle="1" w:styleId="48">
    <w:name w:val="日期 字符"/>
    <w:autoRedefine/>
    <w:semiHidden/>
    <w:qFormat/>
    <w:uiPriority w:val="99"/>
    <w:rPr>
      <w:rFonts w:ascii="宋体" w:hAnsi="宋体"/>
      <w:kern w:val="2"/>
      <w:sz w:val="24"/>
      <w:szCs w:val="24"/>
    </w:rPr>
  </w:style>
  <w:style w:type="character" w:customStyle="1" w:styleId="49">
    <w:name w:val="日期 字符1"/>
    <w:link w:val="23"/>
    <w:autoRedefine/>
    <w:qFormat/>
    <w:uiPriority w:val="0"/>
    <w:rPr>
      <w:kern w:val="2"/>
      <w:sz w:val="21"/>
      <w:szCs w:val="24"/>
    </w:rPr>
  </w:style>
  <w:style w:type="character" w:customStyle="1" w:styleId="50">
    <w:name w:val="标题 9 字符"/>
    <w:link w:val="10"/>
    <w:autoRedefine/>
    <w:qFormat/>
    <w:uiPriority w:val="9"/>
    <w:rPr>
      <w:rFonts w:ascii="Cambria" w:hAnsi="Cambria"/>
      <w:kern w:val="2"/>
      <w:sz w:val="21"/>
      <w:szCs w:val="21"/>
    </w:rPr>
  </w:style>
  <w:style w:type="character" w:customStyle="1" w:styleId="51">
    <w:name w:val="未处理的提及1"/>
    <w:autoRedefine/>
    <w:unhideWhenUsed/>
    <w:qFormat/>
    <w:uiPriority w:val="99"/>
    <w:rPr>
      <w:color w:val="605E5C"/>
      <w:shd w:val="clear" w:color="auto" w:fill="E1DFDD"/>
    </w:rPr>
  </w:style>
  <w:style w:type="character" w:customStyle="1" w:styleId="52">
    <w:name w:val="标题 1 字符"/>
    <w:qFormat/>
    <w:uiPriority w:val="9"/>
    <w:rPr>
      <w:rFonts w:ascii="宋体" w:hAnsi="宋体"/>
      <w:b/>
      <w:bCs/>
      <w:kern w:val="44"/>
      <w:sz w:val="44"/>
      <w:szCs w:val="44"/>
    </w:rPr>
  </w:style>
  <w:style w:type="character" w:customStyle="1" w:styleId="53">
    <w:name w:val="标题 3 字符"/>
    <w:autoRedefine/>
    <w:semiHidden/>
    <w:qFormat/>
    <w:uiPriority w:val="9"/>
    <w:rPr>
      <w:rFonts w:ascii="宋体" w:hAnsi="宋体"/>
      <w:b/>
      <w:bCs/>
      <w:kern w:val="2"/>
      <w:sz w:val="32"/>
      <w:szCs w:val="32"/>
    </w:rPr>
  </w:style>
  <w:style w:type="character" w:customStyle="1" w:styleId="54">
    <w:name w:val="页脚 字符"/>
    <w:autoRedefine/>
    <w:qFormat/>
    <w:uiPriority w:val="99"/>
  </w:style>
  <w:style w:type="character" w:customStyle="1" w:styleId="55">
    <w:name w:val="标题 5 字符"/>
    <w:autoRedefine/>
    <w:semiHidden/>
    <w:qFormat/>
    <w:uiPriority w:val="9"/>
    <w:rPr>
      <w:rFonts w:ascii="宋体" w:hAnsi="宋体"/>
      <w:b/>
      <w:bCs/>
      <w:kern w:val="2"/>
      <w:sz w:val="28"/>
      <w:szCs w:val="28"/>
    </w:rPr>
  </w:style>
  <w:style w:type="character" w:customStyle="1" w:styleId="56">
    <w:name w:val="题注 字符"/>
    <w:link w:val="13"/>
    <w:qFormat/>
    <w:locked/>
    <w:uiPriority w:val="0"/>
    <w:rPr>
      <w:rFonts w:ascii="Arial" w:hAnsi="Arial" w:eastAsia="黑体"/>
      <w:kern w:val="2"/>
    </w:rPr>
  </w:style>
  <w:style w:type="character" w:customStyle="1" w:styleId="57">
    <w:name w:val="标题 2 字符"/>
    <w:autoRedefine/>
    <w:semiHidden/>
    <w:qFormat/>
    <w:uiPriority w:val="9"/>
    <w:rPr>
      <w:rFonts w:ascii="等线 Light" w:hAnsi="等线 Light" w:eastAsia="等线 Light" w:cs="Times New Roman"/>
      <w:b/>
      <w:bCs/>
      <w:kern w:val="2"/>
      <w:sz w:val="32"/>
      <w:szCs w:val="32"/>
    </w:rPr>
  </w:style>
  <w:style w:type="character" w:customStyle="1" w:styleId="58">
    <w:name w:val="纯文本 字符"/>
    <w:autoRedefine/>
    <w:qFormat/>
    <w:uiPriority w:val="0"/>
    <w:rPr>
      <w:rFonts w:ascii="宋体" w:hAnsi="Courier New" w:cs="Courier New"/>
      <w:kern w:val="2"/>
      <w:sz w:val="21"/>
      <w:szCs w:val="21"/>
    </w:rPr>
  </w:style>
  <w:style w:type="character" w:customStyle="1" w:styleId="59">
    <w:name w:val="列表段落 字符"/>
    <w:autoRedefine/>
    <w:qFormat/>
    <w:uiPriority w:val="34"/>
    <w:rPr>
      <w:kern w:val="2"/>
      <w:sz w:val="21"/>
      <w:szCs w:val="22"/>
    </w:rPr>
  </w:style>
  <w:style w:type="character" w:customStyle="1" w:styleId="60">
    <w:name w:val="标题 4 字符1"/>
    <w:link w:val="5"/>
    <w:autoRedefine/>
    <w:qFormat/>
    <w:uiPriority w:val="0"/>
    <w:rPr>
      <w:rFonts w:ascii="宋体" w:hAnsi="宋体"/>
      <w:b/>
      <w:bCs/>
      <w:kern w:val="2"/>
      <w:sz w:val="30"/>
      <w:szCs w:val="30"/>
    </w:rPr>
  </w:style>
  <w:style w:type="character" w:customStyle="1" w:styleId="61">
    <w:name w:val="正文文本 字符"/>
    <w:link w:val="17"/>
    <w:autoRedefine/>
    <w:qFormat/>
    <w:uiPriority w:val="0"/>
    <w:rPr>
      <w:kern w:val="2"/>
      <w:sz w:val="21"/>
      <w:szCs w:val="24"/>
    </w:rPr>
  </w:style>
  <w:style w:type="character" w:customStyle="1" w:styleId="62">
    <w:name w:val="列表段落 字符1"/>
    <w:link w:val="63"/>
    <w:autoRedefine/>
    <w:qFormat/>
    <w:uiPriority w:val="34"/>
    <w:rPr>
      <w:kern w:val="2"/>
      <w:sz w:val="21"/>
      <w:szCs w:val="24"/>
    </w:rPr>
  </w:style>
  <w:style w:type="paragraph" w:styleId="63">
    <w:name w:val="List Paragraph"/>
    <w:basedOn w:val="1"/>
    <w:link w:val="62"/>
    <w:autoRedefine/>
    <w:qFormat/>
    <w:uiPriority w:val="34"/>
    <w:pPr>
      <w:ind w:firstLine="420"/>
    </w:pPr>
    <w:rPr>
      <w:rFonts w:ascii="Times New Roman" w:hAnsi="Times New Roman"/>
      <w:sz w:val="21"/>
    </w:rPr>
  </w:style>
  <w:style w:type="character" w:customStyle="1" w:styleId="64">
    <w:name w:val="font21"/>
    <w:autoRedefine/>
    <w:qFormat/>
    <w:uiPriority w:val="0"/>
    <w:rPr>
      <w:rFonts w:ascii="Calibri" w:hAnsi="Calibri" w:cs="Calibri"/>
      <w:color w:val="000000"/>
      <w:sz w:val="21"/>
      <w:szCs w:val="21"/>
      <w:u w:val="none"/>
    </w:rPr>
  </w:style>
  <w:style w:type="character" w:customStyle="1" w:styleId="65">
    <w:name w:val="*正文 Char"/>
    <w:link w:val="66"/>
    <w:autoRedefine/>
    <w:qFormat/>
    <w:uiPriority w:val="0"/>
    <w:rPr>
      <w:rFonts w:ascii="time" w:hAnsi="time"/>
      <w:sz w:val="24"/>
      <w:szCs w:val="24"/>
      <w:lang w:bidi="en-US"/>
    </w:rPr>
  </w:style>
  <w:style w:type="paragraph" w:customStyle="1" w:styleId="66">
    <w:name w:val="*正文"/>
    <w:basedOn w:val="1"/>
    <w:link w:val="65"/>
    <w:autoRedefine/>
    <w:qFormat/>
    <w:uiPriority w:val="0"/>
    <w:pPr>
      <w:widowControl/>
      <w:ind w:firstLine="200"/>
      <w:contextualSpacing/>
    </w:pPr>
    <w:rPr>
      <w:rFonts w:ascii="time" w:hAnsi="time"/>
      <w:kern w:val="0"/>
      <w:lang w:bidi="en-US"/>
    </w:rPr>
  </w:style>
  <w:style w:type="character" w:customStyle="1" w:styleId="67">
    <w:name w:val="正文文本缩进 字符"/>
    <w:autoRedefine/>
    <w:semiHidden/>
    <w:qFormat/>
    <w:uiPriority w:val="99"/>
    <w:rPr>
      <w:rFonts w:ascii="宋体" w:hAnsi="宋体"/>
      <w:kern w:val="2"/>
      <w:sz w:val="24"/>
      <w:szCs w:val="24"/>
    </w:rPr>
  </w:style>
  <w:style w:type="character" w:customStyle="1" w:styleId="68">
    <w:name w:val="纯文本 字符1"/>
    <w:link w:val="21"/>
    <w:autoRedefine/>
    <w:qFormat/>
    <w:locked/>
    <w:uiPriority w:val="0"/>
    <w:rPr>
      <w:rFonts w:ascii="宋体" w:hAnsi="Courier New"/>
      <w:kern w:val="2"/>
      <w:sz w:val="21"/>
    </w:rPr>
  </w:style>
  <w:style w:type="character" w:customStyle="1" w:styleId="69">
    <w:name w:val="my正文 Char"/>
    <w:link w:val="70"/>
    <w:autoRedefine/>
    <w:qFormat/>
    <w:uiPriority w:val="0"/>
    <w:rPr>
      <w:kern w:val="2"/>
      <w:sz w:val="21"/>
      <w:szCs w:val="24"/>
    </w:rPr>
  </w:style>
  <w:style w:type="paragraph" w:customStyle="1" w:styleId="70">
    <w:name w:val="my正文"/>
    <w:basedOn w:val="1"/>
    <w:link w:val="69"/>
    <w:autoRedefine/>
    <w:qFormat/>
    <w:uiPriority w:val="0"/>
    <w:pPr>
      <w:spacing w:line="240" w:lineRule="auto"/>
      <w:ind w:firstLine="0" w:firstLineChars="0"/>
    </w:pPr>
    <w:rPr>
      <w:rFonts w:ascii="Times New Roman" w:hAnsi="Times New Roman"/>
      <w:sz w:val="21"/>
    </w:rPr>
  </w:style>
  <w:style w:type="character" w:customStyle="1" w:styleId="71">
    <w:name w:val="正文2 字符"/>
    <w:link w:val="72"/>
    <w:autoRedefine/>
    <w:qFormat/>
    <w:uiPriority w:val="0"/>
    <w:rPr>
      <w:kern w:val="2"/>
      <w:sz w:val="21"/>
      <w:szCs w:val="24"/>
    </w:rPr>
  </w:style>
  <w:style w:type="paragraph" w:customStyle="1" w:styleId="72">
    <w:name w:val="正文2"/>
    <w:basedOn w:val="1"/>
    <w:link w:val="71"/>
    <w:autoRedefine/>
    <w:qFormat/>
    <w:uiPriority w:val="0"/>
    <w:pPr>
      <w:ind w:firstLine="420"/>
    </w:pPr>
    <w:rPr>
      <w:rFonts w:ascii="Times New Roman" w:hAnsi="Times New Roman"/>
      <w:sz w:val="21"/>
    </w:rPr>
  </w:style>
  <w:style w:type="character" w:customStyle="1" w:styleId="73">
    <w:name w:val="font41"/>
    <w:autoRedefine/>
    <w:qFormat/>
    <w:uiPriority w:val="0"/>
    <w:rPr>
      <w:rFonts w:hint="eastAsia" w:ascii="宋体" w:hAnsi="宋体" w:eastAsia="宋体" w:cs="宋体"/>
      <w:color w:val="000000"/>
      <w:sz w:val="21"/>
      <w:szCs w:val="21"/>
      <w:u w:val="none"/>
    </w:rPr>
  </w:style>
  <w:style w:type="character" w:customStyle="1" w:styleId="74">
    <w:name w:val="标题 7 字符"/>
    <w:link w:val="8"/>
    <w:autoRedefine/>
    <w:qFormat/>
    <w:uiPriority w:val="9"/>
    <w:rPr>
      <w:b/>
      <w:bCs/>
      <w:kern w:val="2"/>
      <w:sz w:val="21"/>
      <w:szCs w:val="24"/>
    </w:rPr>
  </w:style>
  <w:style w:type="character" w:customStyle="1" w:styleId="75">
    <w:name w:val="批注框文本 字符"/>
    <w:autoRedefine/>
    <w:semiHidden/>
    <w:qFormat/>
    <w:uiPriority w:val="99"/>
    <w:rPr>
      <w:rFonts w:ascii="宋体" w:hAnsi="宋体"/>
      <w:kern w:val="2"/>
      <w:sz w:val="18"/>
      <w:szCs w:val="18"/>
    </w:rPr>
  </w:style>
  <w:style w:type="character" w:customStyle="1" w:styleId="76">
    <w:name w:val="副标题 Char1"/>
    <w:autoRedefine/>
    <w:qFormat/>
    <w:uiPriority w:val="0"/>
    <w:rPr>
      <w:rFonts w:ascii="Calibri Light" w:hAnsi="Calibri Light" w:cs="Times New Roman"/>
      <w:b/>
      <w:bCs/>
      <w:kern w:val="28"/>
      <w:sz w:val="32"/>
      <w:szCs w:val="32"/>
    </w:rPr>
  </w:style>
  <w:style w:type="character" w:customStyle="1" w:styleId="77">
    <w:name w:val="标题 1 字符1"/>
    <w:link w:val="2"/>
    <w:autoRedefine/>
    <w:qFormat/>
    <w:uiPriority w:val="0"/>
    <w:rPr>
      <w:rFonts w:ascii="宋体" w:hAnsi="宋体" w:eastAsia="黑体"/>
      <w:b/>
      <w:bCs/>
      <w:kern w:val="44"/>
      <w:sz w:val="32"/>
      <w:szCs w:val="28"/>
    </w:rPr>
  </w:style>
  <w:style w:type="character" w:customStyle="1" w:styleId="78">
    <w:name w:val="批注文字 字符"/>
    <w:autoRedefine/>
    <w:qFormat/>
    <w:uiPriority w:val="99"/>
    <w:rPr>
      <w:rFonts w:ascii="宋体" w:hAnsi="宋体"/>
      <w:kern w:val="2"/>
      <w:sz w:val="24"/>
      <w:szCs w:val="24"/>
    </w:rPr>
  </w:style>
  <w:style w:type="character" w:customStyle="1" w:styleId="79">
    <w:name w:val="文档结构图 字符"/>
    <w:autoRedefine/>
    <w:semiHidden/>
    <w:qFormat/>
    <w:uiPriority w:val="99"/>
    <w:rPr>
      <w:rFonts w:ascii="Microsoft YaHei UI" w:hAnsi="宋体" w:eastAsia="Microsoft YaHei UI"/>
      <w:kern w:val="2"/>
      <w:sz w:val="18"/>
      <w:szCs w:val="18"/>
    </w:rPr>
  </w:style>
  <w:style w:type="character" w:customStyle="1" w:styleId="80">
    <w:name w:val="标题 6 字符"/>
    <w:autoRedefine/>
    <w:semiHidden/>
    <w:qFormat/>
    <w:uiPriority w:val="9"/>
    <w:rPr>
      <w:rFonts w:ascii="等线 Light" w:hAnsi="等线 Light" w:eastAsia="等线 Light" w:cs="Times New Roman"/>
      <w:b/>
      <w:bCs/>
      <w:kern w:val="2"/>
      <w:sz w:val="24"/>
      <w:szCs w:val="24"/>
    </w:rPr>
  </w:style>
  <w:style w:type="character" w:customStyle="1" w:styleId="81">
    <w:name w:val="正文正文2 Char"/>
    <w:link w:val="82"/>
    <w:autoRedefine/>
    <w:qFormat/>
    <w:uiPriority w:val="0"/>
    <w:rPr>
      <w:rFonts w:ascii="宋体" w:hAnsi="宋体"/>
      <w:kern w:val="2"/>
      <w:sz w:val="21"/>
      <w:szCs w:val="21"/>
    </w:rPr>
  </w:style>
  <w:style w:type="paragraph" w:customStyle="1" w:styleId="82">
    <w:name w:val="正文正文2"/>
    <w:basedOn w:val="1"/>
    <w:link w:val="81"/>
    <w:autoRedefine/>
    <w:qFormat/>
    <w:uiPriority w:val="0"/>
    <w:pPr>
      <w:ind w:firstLine="460"/>
    </w:pPr>
    <w:rPr>
      <w:sz w:val="21"/>
      <w:szCs w:val="21"/>
    </w:rPr>
  </w:style>
  <w:style w:type="character" w:customStyle="1" w:styleId="83">
    <w:name w:val="标题 3 字符2"/>
    <w:link w:val="4"/>
    <w:autoRedefine/>
    <w:qFormat/>
    <w:uiPriority w:val="0"/>
    <w:rPr>
      <w:rFonts w:ascii="宋体" w:hAnsi="宋体"/>
      <w:b/>
      <w:bCs/>
      <w:kern w:val="2"/>
      <w:sz w:val="28"/>
      <w:szCs w:val="28"/>
    </w:rPr>
  </w:style>
  <w:style w:type="character" w:customStyle="1" w:styleId="84">
    <w:name w:val="标题 4 字符"/>
    <w:autoRedefine/>
    <w:semiHidden/>
    <w:qFormat/>
    <w:uiPriority w:val="9"/>
    <w:rPr>
      <w:rFonts w:ascii="等线 Light" w:hAnsi="等线 Light" w:eastAsia="等线 Light" w:cs="Times New Roman"/>
      <w:b/>
      <w:bCs/>
      <w:kern w:val="2"/>
      <w:sz w:val="28"/>
      <w:szCs w:val="28"/>
    </w:rPr>
  </w:style>
  <w:style w:type="character" w:customStyle="1" w:styleId="85">
    <w:name w:val="批注主题 字符1"/>
    <w:link w:val="35"/>
    <w:autoRedefine/>
    <w:qFormat/>
    <w:uiPriority w:val="0"/>
    <w:rPr>
      <w:rFonts w:eastAsia="仿宋"/>
      <w:b/>
      <w:bCs/>
      <w:kern w:val="2"/>
      <w:sz w:val="21"/>
      <w:szCs w:val="24"/>
    </w:rPr>
  </w:style>
  <w:style w:type="character" w:customStyle="1" w:styleId="86">
    <w:name w:val="页眉 字符"/>
    <w:autoRedefine/>
    <w:semiHidden/>
    <w:qFormat/>
    <w:uiPriority w:val="99"/>
    <w:rPr>
      <w:rFonts w:ascii="宋体" w:hAnsi="宋体"/>
      <w:kern w:val="2"/>
      <w:sz w:val="18"/>
      <w:szCs w:val="18"/>
    </w:rPr>
  </w:style>
  <w:style w:type="character" w:customStyle="1" w:styleId="87">
    <w:name w:val="正文文本缩进 字符1"/>
    <w:link w:val="18"/>
    <w:autoRedefine/>
    <w:qFormat/>
    <w:uiPriority w:val="0"/>
    <w:rPr>
      <w:kern w:val="2"/>
      <w:sz w:val="21"/>
    </w:rPr>
  </w:style>
  <w:style w:type="character" w:customStyle="1" w:styleId="88">
    <w:name w:val="标题 5 字符1"/>
    <w:link w:val="6"/>
    <w:autoRedefine/>
    <w:qFormat/>
    <w:uiPriority w:val="0"/>
    <w:rPr>
      <w:rFonts w:ascii="宋体" w:hAnsi="宋体"/>
      <w:b/>
      <w:bCs/>
      <w:kern w:val="2"/>
      <w:sz w:val="24"/>
      <w:szCs w:val="28"/>
    </w:rPr>
  </w:style>
  <w:style w:type="character" w:customStyle="1" w:styleId="89">
    <w:name w:val="副标题 字符1"/>
    <w:link w:val="29"/>
    <w:autoRedefine/>
    <w:qFormat/>
    <w:uiPriority w:val="0"/>
    <w:rPr>
      <w:rFonts w:ascii="Calibri Light" w:hAnsi="Calibri Light"/>
      <w:b/>
      <w:bCs/>
      <w:kern w:val="28"/>
      <w:sz w:val="32"/>
      <w:szCs w:val="32"/>
    </w:rPr>
  </w:style>
  <w:style w:type="character" w:customStyle="1" w:styleId="90">
    <w:name w:val="标题 2 字符1"/>
    <w:link w:val="3"/>
    <w:autoRedefine/>
    <w:qFormat/>
    <w:uiPriority w:val="9"/>
    <w:rPr>
      <w:rFonts w:ascii="宋体" w:hAnsi="宋体"/>
      <w:b/>
      <w:bCs/>
      <w:kern w:val="2"/>
      <w:sz w:val="30"/>
      <w:szCs w:val="32"/>
    </w:rPr>
  </w:style>
  <w:style w:type="character" w:customStyle="1" w:styleId="91">
    <w:name w:val="页脚 字符1"/>
    <w:link w:val="25"/>
    <w:autoRedefine/>
    <w:qFormat/>
    <w:uiPriority w:val="99"/>
    <w:rPr>
      <w:kern w:val="2"/>
      <w:sz w:val="18"/>
      <w:szCs w:val="18"/>
    </w:rPr>
  </w:style>
  <w:style w:type="character" w:customStyle="1" w:styleId="92">
    <w:name w:val="批注主题 字符"/>
    <w:autoRedefine/>
    <w:semiHidden/>
    <w:qFormat/>
    <w:uiPriority w:val="99"/>
    <w:rPr>
      <w:rFonts w:ascii="宋体" w:hAnsi="宋体"/>
      <w:b/>
      <w:bCs/>
      <w:kern w:val="2"/>
      <w:sz w:val="24"/>
      <w:szCs w:val="24"/>
    </w:rPr>
  </w:style>
  <w:style w:type="character" w:customStyle="1" w:styleId="93">
    <w:name w:val="文档结构图 字符1"/>
    <w:link w:val="15"/>
    <w:autoRedefine/>
    <w:qFormat/>
    <w:uiPriority w:val="0"/>
    <w:rPr>
      <w:rFonts w:ascii="宋体"/>
      <w:kern w:val="2"/>
      <w:sz w:val="18"/>
      <w:szCs w:val="18"/>
    </w:rPr>
  </w:style>
  <w:style w:type="character" w:customStyle="1" w:styleId="94">
    <w:name w:val="font31"/>
    <w:autoRedefine/>
    <w:qFormat/>
    <w:uiPriority w:val="0"/>
    <w:rPr>
      <w:rFonts w:hint="eastAsia" w:ascii="宋体" w:hAnsi="宋体" w:eastAsia="宋体" w:cs="宋体"/>
      <w:color w:val="000000"/>
      <w:sz w:val="21"/>
      <w:szCs w:val="21"/>
      <w:u w:val="none"/>
    </w:rPr>
  </w:style>
  <w:style w:type="character" w:customStyle="1" w:styleId="95">
    <w:name w:val="标准正文 Char"/>
    <w:link w:val="96"/>
    <w:autoRedefine/>
    <w:qFormat/>
    <w:uiPriority w:val="0"/>
    <w:rPr>
      <w:rFonts w:ascii="Arial" w:hAnsi="Arial"/>
      <w:kern w:val="2"/>
      <w:sz w:val="24"/>
    </w:rPr>
  </w:style>
  <w:style w:type="paragraph" w:customStyle="1" w:styleId="96">
    <w:name w:val="标准正文"/>
    <w:basedOn w:val="18"/>
    <w:link w:val="95"/>
    <w:autoRedefine/>
    <w:qFormat/>
    <w:uiPriority w:val="0"/>
    <w:pPr>
      <w:spacing w:before="60" w:after="60"/>
      <w:ind w:firstLine="482" w:firstLineChars="0"/>
    </w:pPr>
    <w:rPr>
      <w:rFonts w:ascii="Arial" w:hAnsi="Arial"/>
      <w:sz w:val="24"/>
    </w:rPr>
  </w:style>
  <w:style w:type="character" w:customStyle="1" w:styleId="97">
    <w:name w:val="标题 字符1"/>
    <w:link w:val="34"/>
    <w:autoRedefine/>
    <w:qFormat/>
    <w:uiPriority w:val="0"/>
    <w:rPr>
      <w:rFonts w:ascii="Cambria" w:hAnsi="Cambria" w:eastAsia="黑体"/>
      <w:b/>
      <w:bCs/>
      <w:kern w:val="2"/>
      <w:sz w:val="52"/>
      <w:szCs w:val="32"/>
    </w:rPr>
  </w:style>
  <w:style w:type="character" w:customStyle="1" w:styleId="98">
    <w:name w:val="批注框文本 字符1"/>
    <w:link w:val="24"/>
    <w:autoRedefine/>
    <w:qFormat/>
    <w:uiPriority w:val="0"/>
    <w:rPr>
      <w:kern w:val="2"/>
      <w:sz w:val="18"/>
      <w:szCs w:val="18"/>
    </w:rPr>
  </w:style>
  <w:style w:type="character" w:customStyle="1" w:styleId="99">
    <w:name w:val="页眉 字符1"/>
    <w:link w:val="26"/>
    <w:autoRedefine/>
    <w:qFormat/>
    <w:uiPriority w:val="99"/>
    <w:rPr>
      <w:kern w:val="2"/>
      <w:sz w:val="18"/>
      <w:szCs w:val="18"/>
    </w:rPr>
  </w:style>
  <w:style w:type="character" w:customStyle="1" w:styleId="100">
    <w:name w:val="标题 8 字符"/>
    <w:link w:val="9"/>
    <w:autoRedefine/>
    <w:qFormat/>
    <w:uiPriority w:val="9"/>
    <w:rPr>
      <w:rFonts w:ascii="Cambria" w:hAnsi="Cambria"/>
      <w:kern w:val="2"/>
      <w:sz w:val="21"/>
      <w:szCs w:val="24"/>
    </w:rPr>
  </w:style>
  <w:style w:type="character" w:customStyle="1" w:styleId="101">
    <w:name w:val="标题 6 字符1"/>
    <w:link w:val="7"/>
    <w:autoRedefine/>
    <w:qFormat/>
    <w:uiPriority w:val="0"/>
    <w:rPr>
      <w:rFonts w:ascii="Cambria" w:hAnsi="Cambria"/>
      <w:b/>
      <w:bCs/>
      <w:kern w:val="2"/>
      <w:sz w:val="24"/>
      <w:szCs w:val="24"/>
    </w:rPr>
  </w:style>
  <w:style w:type="character" w:customStyle="1" w:styleId="102">
    <w:name w:val="标题 字符"/>
    <w:autoRedefine/>
    <w:qFormat/>
    <w:uiPriority w:val="10"/>
    <w:rPr>
      <w:rFonts w:ascii="等线 Light" w:hAnsi="等线 Light" w:eastAsia="等线 Light" w:cs="Times New Roman"/>
      <w:b/>
      <w:bCs/>
      <w:kern w:val="2"/>
      <w:sz w:val="32"/>
      <w:szCs w:val="32"/>
    </w:rPr>
  </w:style>
  <w:style w:type="character" w:customStyle="1" w:styleId="103">
    <w:name w:val="副标题 字符"/>
    <w:autoRedefine/>
    <w:qFormat/>
    <w:uiPriority w:val="11"/>
    <w:rPr>
      <w:rFonts w:ascii="等线" w:hAnsi="等线" w:eastAsia="等线" w:cs="Times New Roman"/>
      <w:b/>
      <w:bCs/>
      <w:kern w:val="28"/>
      <w:sz w:val="32"/>
      <w:szCs w:val="32"/>
    </w:rPr>
  </w:style>
  <w:style w:type="paragraph" w:customStyle="1" w:styleId="104">
    <w:name w:val="xl72"/>
    <w:basedOn w:val="1"/>
    <w:autoRedefine/>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autoRedefine/>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9">
    <w:name w:val="xl68"/>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autoRedefine/>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autoRedefine/>
    <w:qFormat/>
    <w:uiPriority w:val="0"/>
    <w:pPr>
      <w:ind w:firstLine="150" w:firstLineChars="150"/>
    </w:pPr>
  </w:style>
  <w:style w:type="paragraph" w:customStyle="1" w:styleId="112">
    <w:name w:val="msonormal"/>
    <w:basedOn w:val="1"/>
    <w:autoRedefine/>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autoRedefine/>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autoRedefine/>
    <w:qFormat/>
    <w:uiPriority w:val="0"/>
    <w:pPr>
      <w:numPr>
        <w:ilvl w:val="0"/>
        <w:numId w:val="3"/>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autoRedefine/>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autoRedefine/>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autoRedefine/>
    <w:qFormat/>
    <w:uiPriority w:val="0"/>
    <w:pPr>
      <w:widowControl/>
      <w:spacing w:after="160" w:line="240" w:lineRule="exact"/>
      <w:jc w:val="left"/>
    </w:pPr>
  </w:style>
  <w:style w:type="paragraph" w:customStyle="1" w:styleId="120">
    <w:name w:val="PM_Body"/>
    <w:basedOn w:val="1"/>
    <w:autoRedefine/>
    <w:qFormat/>
    <w:locked/>
    <w:uiPriority w:val="0"/>
    <w:rPr>
      <w:szCs w:val="21"/>
    </w:rPr>
  </w:style>
  <w:style w:type="paragraph" w:customStyle="1" w:styleId="121">
    <w:name w:val="Char Char1"/>
    <w:basedOn w:val="1"/>
    <w:autoRedefine/>
    <w:qFormat/>
    <w:uiPriority w:val="0"/>
    <w:pPr>
      <w:widowControl/>
      <w:spacing w:before="120" w:after="120"/>
    </w:pPr>
    <w:rPr>
      <w:rFonts w:ascii="Times New Roman" w:hAnsi="Times New Roman" w:cs="宋体"/>
    </w:rPr>
  </w:style>
  <w:style w:type="paragraph" w:customStyle="1" w:styleId="122">
    <w:name w:val="xl71"/>
    <w:basedOn w:val="1"/>
    <w:autoRedefine/>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autoRedefine/>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autoRedefine/>
    <w:qFormat/>
    <w:uiPriority w:val="0"/>
    <w:pPr>
      <w:spacing w:line="240" w:lineRule="auto"/>
      <w:ind w:firstLine="420"/>
    </w:pPr>
    <w:rPr>
      <w:rFonts w:ascii="等线" w:hAnsi="等线" w:eastAsia="等线" w:cs="等线"/>
      <w:sz w:val="21"/>
      <w:szCs w:val="21"/>
    </w:rPr>
  </w:style>
  <w:style w:type="paragraph" w:customStyle="1" w:styleId="125">
    <w:name w:val="xl69"/>
    <w:basedOn w:val="1"/>
    <w:autoRedefine/>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autoRedefine/>
    <w:qFormat/>
    <w:uiPriority w:val="0"/>
    <w:pPr>
      <w:ind w:firstLine="200"/>
    </w:pPr>
    <w:rPr>
      <w:rFonts w:ascii="Times New Roman" w:hAnsi="Times New Roman" w:eastAsia="仿宋_GB2312"/>
      <w:color w:val="000000"/>
      <w:szCs w:val="28"/>
    </w:rPr>
  </w:style>
  <w:style w:type="paragraph" w:customStyle="1" w:styleId="128">
    <w:name w:val="xl6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autoRedefine/>
    <w:qFormat/>
    <w:uiPriority w:val="0"/>
    <w:pPr>
      <w:ind w:firstLine="560"/>
      <w:jc w:val="left"/>
    </w:pPr>
    <w:rPr>
      <w:rFonts w:ascii="仿宋" w:hAnsi="仿宋" w:eastAsia="仿宋" w:cs="宋体"/>
      <w:sz w:val="28"/>
      <w:szCs w:val="20"/>
    </w:rPr>
  </w:style>
  <w:style w:type="paragraph" w:customStyle="1" w:styleId="131">
    <w:name w:val="TOC 标题1"/>
    <w:basedOn w:val="2"/>
    <w:next w:val="1"/>
    <w:autoRedefine/>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6"/>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autoRedefine/>
    <w:qFormat/>
    <w:uiPriority w:val="0"/>
    <w:rPr>
      <w:rFonts w:ascii="宋体" w:hAnsi="宋体" w:eastAsia="黑体"/>
      <w:b/>
      <w:bCs/>
      <w:kern w:val="44"/>
      <w:sz w:val="32"/>
      <w:szCs w:val="28"/>
    </w:rPr>
  </w:style>
  <w:style w:type="character" w:customStyle="1" w:styleId="135">
    <w:name w:val="纯文本 Char2"/>
    <w:autoRedefine/>
    <w:qFormat/>
    <w:uiPriority w:val="0"/>
    <w:rPr>
      <w:rFonts w:ascii="宋体" w:hAnsi="宋体" w:eastAsia="宋体" w:cs="Times New Roman"/>
      <w:color w:val="000000"/>
      <w:kern w:val="0"/>
      <w:sz w:val="24"/>
      <w:szCs w:val="24"/>
    </w:rPr>
  </w:style>
  <w:style w:type="paragraph" w:customStyle="1" w:styleId="136">
    <w:name w:val="font0"/>
    <w:basedOn w:val="1"/>
    <w:autoRedefine/>
    <w:qFormat/>
    <w:uiPriority w:val="0"/>
    <w:pPr>
      <w:widowControl/>
      <w:spacing w:before="100" w:beforeAutospacing="1" w:after="100" w:afterAutospacing="1" w:line="240" w:lineRule="auto"/>
      <w:ind w:firstLine="0" w:firstLineChars="0"/>
      <w:jc w:val="left"/>
    </w:pPr>
    <w:rPr>
      <w:rFonts w:ascii="Arial" w:hAnsi="Arial" w:cs="Arial"/>
      <w:color w:val="000000"/>
      <w:kern w:val="0"/>
      <w:sz w:val="20"/>
      <w:szCs w:val="20"/>
    </w:rPr>
  </w:style>
  <w:style w:type="paragraph" w:customStyle="1" w:styleId="137">
    <w:name w:val="font1"/>
    <w:basedOn w:val="1"/>
    <w:autoRedefine/>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138">
    <w:name w:val="font2"/>
    <w:basedOn w:val="1"/>
    <w:autoRedefine/>
    <w:qFormat/>
    <w:uiPriority w:val="0"/>
    <w:pPr>
      <w:widowControl/>
      <w:spacing w:before="100" w:beforeAutospacing="1" w:after="100" w:afterAutospacing="1" w:line="240" w:lineRule="auto"/>
      <w:ind w:firstLine="0" w:firstLineChars="0"/>
      <w:jc w:val="left"/>
    </w:pPr>
    <w:rPr>
      <w:rFonts w:cs="宋体"/>
      <w:b/>
      <w:bCs/>
      <w:color w:val="000000"/>
      <w:kern w:val="0"/>
      <w:sz w:val="20"/>
      <w:szCs w:val="20"/>
    </w:rPr>
  </w:style>
  <w:style w:type="paragraph" w:customStyle="1" w:styleId="139">
    <w:name w:val="font3"/>
    <w:basedOn w:val="1"/>
    <w:autoRedefine/>
    <w:qFormat/>
    <w:uiPriority w:val="0"/>
    <w:pPr>
      <w:widowControl/>
      <w:spacing w:before="100" w:beforeAutospacing="1" w:after="100" w:afterAutospacing="1" w:line="240" w:lineRule="auto"/>
      <w:ind w:firstLine="0" w:firstLineChars="0"/>
      <w:jc w:val="left"/>
    </w:pPr>
    <w:rPr>
      <w:rFonts w:cs="宋体"/>
      <w:color w:val="000000"/>
      <w:kern w:val="0"/>
      <w:sz w:val="20"/>
      <w:szCs w:val="20"/>
    </w:rPr>
  </w:style>
  <w:style w:type="paragraph" w:customStyle="1" w:styleId="140">
    <w:name w:val="font4"/>
    <w:basedOn w:val="1"/>
    <w:autoRedefine/>
    <w:qFormat/>
    <w:uiPriority w:val="0"/>
    <w:pPr>
      <w:widowControl/>
      <w:spacing w:before="100" w:beforeAutospacing="1" w:after="100" w:afterAutospacing="1" w:line="240" w:lineRule="auto"/>
      <w:ind w:firstLine="0" w:firstLineChars="0"/>
      <w:jc w:val="left"/>
    </w:pPr>
    <w:rPr>
      <w:rFonts w:cs="宋体"/>
      <w:color w:val="FF0000"/>
      <w:kern w:val="0"/>
      <w:sz w:val="20"/>
      <w:szCs w:val="20"/>
    </w:rPr>
  </w:style>
  <w:style w:type="paragraph" w:customStyle="1" w:styleId="141">
    <w:name w:val="et3"/>
    <w:basedOn w:val="1"/>
    <w:autoRedefine/>
    <w:qFormat/>
    <w:uiPriority w:val="0"/>
    <w:pPr>
      <w:widowControl/>
      <w:spacing w:before="100" w:beforeAutospacing="1" w:after="100" w:afterAutospacing="1" w:line="240" w:lineRule="auto"/>
      <w:ind w:firstLine="0" w:firstLineChars="0"/>
      <w:jc w:val="center"/>
      <w:textAlignment w:val="center"/>
    </w:pPr>
    <w:rPr>
      <w:rFonts w:cs="宋体"/>
      <w:kern w:val="0"/>
    </w:rPr>
  </w:style>
  <w:style w:type="paragraph" w:customStyle="1" w:styleId="142">
    <w:name w:val="et4"/>
    <w:basedOn w:val="1"/>
    <w:autoRedefine/>
    <w:qFormat/>
    <w:uiPriority w:val="0"/>
    <w:pPr>
      <w:widowControl/>
      <w:spacing w:before="100" w:beforeAutospacing="1" w:after="100" w:afterAutospacing="1" w:line="240" w:lineRule="auto"/>
      <w:ind w:firstLine="0" w:firstLineChars="0"/>
      <w:jc w:val="left"/>
      <w:textAlignment w:val="center"/>
    </w:pPr>
    <w:rPr>
      <w:rFonts w:cs="宋体"/>
      <w:kern w:val="0"/>
    </w:rPr>
  </w:style>
  <w:style w:type="paragraph" w:customStyle="1" w:styleId="143">
    <w:name w:val="et5"/>
    <w:basedOn w:val="1"/>
    <w:autoRedefine/>
    <w:qFormat/>
    <w:uiPriority w:val="0"/>
    <w:pPr>
      <w:widowControl/>
      <w:spacing w:before="100" w:beforeAutospacing="1" w:after="100" w:afterAutospacing="1" w:line="240" w:lineRule="auto"/>
      <w:ind w:firstLine="0" w:firstLineChars="0"/>
      <w:jc w:val="left"/>
      <w:textAlignment w:val="center"/>
    </w:pPr>
    <w:rPr>
      <w:rFonts w:cs="宋体"/>
      <w:kern w:val="0"/>
    </w:rPr>
  </w:style>
  <w:style w:type="paragraph" w:customStyle="1" w:styleId="14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cs="宋体"/>
      <w:b/>
      <w:bCs/>
      <w:kern w:val="0"/>
    </w:rPr>
  </w:style>
  <w:style w:type="paragraph" w:customStyle="1" w:styleId="145">
    <w:name w:val="et7"/>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46">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47">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color w:val="FF0000"/>
      <w:kern w:val="0"/>
    </w:rPr>
  </w:style>
  <w:style w:type="paragraph" w:customStyle="1" w:styleId="14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49">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50">
    <w:name w:val="et1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color w:val="000000"/>
      <w:kern w:val="0"/>
    </w:rPr>
  </w:style>
  <w:style w:type="paragraph" w:customStyle="1" w:styleId="151">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52">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53">
    <w:name w:val="et1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color w:val="000000"/>
      <w:kern w:val="0"/>
    </w:rPr>
  </w:style>
  <w:style w:type="paragraph" w:customStyle="1" w:styleId="154">
    <w:name w:val="et14"/>
    <w:basedOn w:val="1"/>
    <w:autoRedefine/>
    <w:qFormat/>
    <w:uiPriority w:val="0"/>
    <w:pPr>
      <w:widowControl/>
      <w:pBdr>
        <w:left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55">
    <w:name w:val="et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line="240" w:lineRule="auto"/>
      <w:ind w:firstLine="0" w:firstLineChars="0"/>
      <w:jc w:val="left"/>
      <w:textAlignment w:val="center"/>
    </w:pPr>
    <w:rPr>
      <w:rFonts w:cs="宋体"/>
      <w:kern w:val="0"/>
    </w:rPr>
  </w:style>
  <w:style w:type="paragraph" w:customStyle="1" w:styleId="156">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line="240" w:lineRule="auto"/>
      <w:ind w:firstLine="0" w:firstLineChars="0"/>
      <w:jc w:val="left"/>
      <w:textAlignment w:val="center"/>
    </w:pPr>
    <w:rPr>
      <w:rFonts w:cs="宋体"/>
      <w:color w:val="000000"/>
      <w:kern w:val="0"/>
    </w:rPr>
  </w:style>
  <w:style w:type="character" w:customStyle="1" w:styleId="157">
    <w:name w:val="批注文字 字符2"/>
    <w:basedOn w:val="38"/>
    <w:autoRedefine/>
    <w:semiHidden/>
    <w:qFormat/>
    <w:uiPriority w:val="99"/>
    <w:rPr>
      <w:rFonts w:eastAsia="仿宋"/>
      <w:kern w:val="2"/>
      <w:sz w:val="28"/>
      <w:szCs w:val="24"/>
    </w:rPr>
  </w:style>
  <w:style w:type="paragraph" w:customStyle="1" w:styleId="158">
    <w:name w:val="ces正文"/>
    <w:basedOn w:val="1"/>
    <w:link w:val="159"/>
    <w:autoRedefine/>
    <w:qFormat/>
    <w:uiPriority w:val="0"/>
    <w:pPr>
      <w:widowControl/>
      <w:jc w:val="left"/>
    </w:pPr>
    <w:rPr>
      <w:rFonts w:ascii="Times New Roman" w:hAnsi="Times New Roman" w:cs="宋体"/>
      <w:kern w:val="0"/>
    </w:rPr>
  </w:style>
  <w:style w:type="character" w:customStyle="1" w:styleId="159">
    <w:name w:val="ces正文 字符"/>
    <w:link w:val="158"/>
    <w:autoRedefine/>
    <w:qFormat/>
    <w:uiPriority w:val="0"/>
    <w:rPr>
      <w:rFonts w:cs="宋体"/>
      <w:sz w:val="24"/>
      <w:szCs w:val="24"/>
    </w:rPr>
  </w:style>
  <w:style w:type="paragraph" w:customStyle="1" w:styleId="160">
    <w:name w:val="0表格"/>
    <w:basedOn w:val="1"/>
    <w:link w:val="161"/>
    <w:autoRedefine/>
    <w:qFormat/>
    <w:uiPriority w:val="0"/>
    <w:pPr>
      <w:widowControl/>
      <w:spacing w:line="276" w:lineRule="auto"/>
      <w:ind w:firstLine="0" w:firstLineChars="0"/>
      <w:jc w:val="left"/>
    </w:pPr>
    <w:rPr>
      <w:rFonts w:ascii="仿宋" w:hAnsi="仿宋" w:eastAsia="仿宋" w:cs="宋体"/>
      <w:bCs/>
      <w:color w:val="000000"/>
      <w:kern w:val="0"/>
    </w:rPr>
  </w:style>
  <w:style w:type="character" w:customStyle="1" w:styleId="161">
    <w:name w:val="0表格 Char"/>
    <w:link w:val="160"/>
    <w:autoRedefine/>
    <w:qFormat/>
    <w:uiPriority w:val="0"/>
    <w:rPr>
      <w:rFonts w:ascii="仿宋" w:hAnsi="仿宋" w:eastAsia="仿宋" w:cs="宋体"/>
      <w:bCs/>
      <w:color w:val="000000"/>
      <w:sz w:val="24"/>
      <w:szCs w:val="24"/>
    </w:rPr>
  </w:style>
  <w:style w:type="paragraph" w:customStyle="1" w:styleId="162">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CE4D6"/>
      <w:spacing w:before="100" w:beforeAutospacing="1" w:after="100" w:afterAutospacing="1" w:line="240" w:lineRule="auto"/>
      <w:ind w:firstLine="0" w:firstLineChars="0"/>
      <w:jc w:val="left"/>
      <w:textAlignment w:val="center"/>
    </w:pPr>
    <w:rPr>
      <w:rFonts w:cs="宋体"/>
      <w:color w:val="FF0000"/>
      <w:kern w:val="0"/>
    </w:rPr>
  </w:style>
  <w:style w:type="paragraph" w:customStyle="1" w:styleId="163">
    <w:name w:val="et2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cs="宋体"/>
      <w:kern w:val="0"/>
    </w:rPr>
  </w:style>
  <w:style w:type="paragraph" w:customStyle="1" w:styleId="164">
    <w:name w:val="et21"/>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00"/>
      <w:spacing w:before="100" w:beforeAutospacing="1" w:after="100" w:afterAutospacing="1" w:line="240" w:lineRule="auto"/>
      <w:ind w:firstLine="0" w:firstLineChars="0"/>
      <w:jc w:val="left"/>
      <w:textAlignment w:val="center"/>
    </w:pPr>
    <w:rPr>
      <w:rFonts w:cs="宋体"/>
      <w:kern w:val="0"/>
    </w:rPr>
  </w:style>
  <w:style w:type="paragraph" w:customStyle="1" w:styleId="165">
    <w:name w:val="列表段落1"/>
    <w:basedOn w:val="1"/>
    <w:autoRedefine/>
    <w:qFormat/>
    <w:uiPriority w:val="0"/>
    <w:pPr>
      <w:ind w:firstLine="420"/>
    </w:pPr>
    <w:rPr>
      <w:rFonts w:ascii="Times New Roman" w:hAnsi="Times New Roman"/>
      <w:sz w:val="21"/>
      <w:szCs w:val="21"/>
    </w:rPr>
  </w:style>
  <w:style w:type="paragraph" w:customStyle="1" w:styleId="166">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67">
    <w:name w:val="修订2"/>
    <w:autoRedefine/>
    <w:hidden/>
    <w:semiHidden/>
    <w:qFormat/>
    <w:uiPriority w:val="99"/>
    <w:rPr>
      <w:rFonts w:ascii="宋体" w:hAnsi="宋体" w:eastAsia="宋体" w:cs="Times New Roman"/>
      <w:kern w:val="2"/>
      <w:sz w:val="24"/>
      <w:szCs w:val="24"/>
      <w:lang w:val="en-US" w:eastAsia="zh-CN" w:bidi="ar-SA"/>
    </w:rPr>
  </w:style>
  <w:style w:type="paragraph" w:customStyle="1" w:styleId="168">
    <w:name w:val="Revision"/>
    <w:autoRedefine/>
    <w:hidden/>
    <w:semiHidden/>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0355-93B4-4F3B-8428-50D7478171B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1588</Words>
  <Characters>9057</Characters>
  <Lines>75</Lines>
  <Paragraphs>21</Paragraphs>
  <TotalTime>459</TotalTime>
  <ScaleCrop>false</ScaleCrop>
  <LinksUpToDate>false</LinksUpToDate>
  <CharactersWithSpaces>10624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2024-02-29T10:41:00Z</dcterms:created>
  <dc:creator>gtig_tzb</dc:creator>
  <cp:lastModifiedBy>Artisan</cp:lastModifiedBy>
  <cp:lastPrinted>2020-08-06T12:08:00Z</cp:lastPrinted>
  <dcterms:modified xsi:type="dcterms:W3CDTF">2024-04-16T01:08:48Z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E68CB3A79A9A40299DE777F9BA7CD7EF_13</vt:lpwstr>
  </property>
</Properties>
</file>