
<file path=[Content_Types].xml><?xml version="1.0" encoding="utf-8"?>
<Types xmlns="http://schemas.openxmlformats.org/package/2006/content-types">
  <Default Extension="xml" ContentType="application/xml"/>
  <Default Extension="bin" ContentType="application/vnd.openxmlformats-officedocument.oleObject"/>
  <Default Extension="jpeg" ContentType="image/jpeg"/>
  <Default Extension="JPG" ContentType="image/.jp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77F3E84">
      <w:pPr>
        <w:ind w:firstLine="0" w:firstLineChars="0"/>
        <w:jc w:val="center"/>
        <w:rPr>
          <w:rFonts w:ascii="黑体" w:hAnsi="黑体" w:eastAsia="黑体"/>
          <w:sz w:val="48"/>
          <w:szCs w:val="48"/>
        </w:rPr>
      </w:pPr>
    </w:p>
    <w:p w14:paraId="21769A02">
      <w:pPr>
        <w:ind w:firstLine="0" w:firstLineChars="0"/>
        <w:jc w:val="center"/>
        <w:rPr>
          <w:rFonts w:ascii="黑体" w:hAnsi="黑体" w:eastAsia="黑体"/>
          <w:sz w:val="48"/>
          <w:szCs w:val="48"/>
        </w:rPr>
      </w:pPr>
    </w:p>
    <w:p w14:paraId="6AD29AFA">
      <w:pPr>
        <w:ind w:firstLine="0" w:firstLineChars="0"/>
        <w:jc w:val="center"/>
        <w:rPr>
          <w:rFonts w:ascii="黑体" w:hAnsi="黑体" w:eastAsia="黑体"/>
          <w:sz w:val="48"/>
          <w:szCs w:val="48"/>
        </w:rPr>
      </w:pPr>
    </w:p>
    <w:p w14:paraId="78606E90">
      <w:pPr>
        <w:ind w:firstLine="0" w:firstLineChars="0"/>
        <w:jc w:val="center"/>
        <w:rPr>
          <w:rFonts w:ascii="黑体" w:hAnsi="黑体" w:eastAsia="黑体"/>
          <w:sz w:val="48"/>
          <w:szCs w:val="48"/>
        </w:rPr>
      </w:pPr>
    </w:p>
    <w:p w14:paraId="2765D387">
      <w:pPr>
        <w:ind w:firstLine="0" w:firstLineChars="0"/>
        <w:jc w:val="center"/>
        <w:rPr>
          <w:rFonts w:ascii="黑体" w:hAnsi="黑体" w:eastAsia="黑体"/>
          <w:sz w:val="52"/>
          <w:szCs w:val="52"/>
        </w:rPr>
      </w:pPr>
      <w:r>
        <w:rPr>
          <w:rFonts w:hint="eastAsia" w:ascii="黑体" w:hAnsi="黑体" w:eastAsia="黑体"/>
          <w:sz w:val="52"/>
          <w:szCs w:val="52"/>
        </w:rPr>
        <w:t>上海城市交通信息监控系统</w:t>
      </w:r>
    </w:p>
    <w:p w14:paraId="387A5842">
      <w:pPr>
        <w:ind w:firstLine="0" w:firstLineChars="0"/>
        <w:jc w:val="center"/>
        <w:rPr>
          <w:rFonts w:ascii="黑体" w:hAnsi="黑体" w:eastAsia="黑体"/>
          <w:sz w:val="52"/>
          <w:szCs w:val="52"/>
        </w:rPr>
      </w:pPr>
      <w:r>
        <w:rPr>
          <w:rFonts w:hint="eastAsia" w:ascii="黑体" w:hAnsi="黑体" w:eastAsia="黑体"/>
          <w:sz w:val="52"/>
          <w:szCs w:val="52"/>
        </w:rPr>
        <w:t>（2025年升级改造）</w:t>
      </w:r>
    </w:p>
    <w:p w14:paraId="28511256">
      <w:pPr>
        <w:ind w:firstLine="0" w:firstLineChars="0"/>
        <w:jc w:val="center"/>
        <w:rPr>
          <w:rFonts w:ascii="黑体" w:hAnsi="黑体" w:eastAsia="黑体"/>
          <w:sz w:val="52"/>
          <w:szCs w:val="52"/>
        </w:rPr>
      </w:pPr>
      <w:r>
        <w:rPr>
          <w:rFonts w:hint="eastAsia" w:ascii="黑体" w:hAnsi="黑体" w:eastAsia="黑体"/>
          <w:sz w:val="52"/>
          <w:szCs w:val="52"/>
        </w:rPr>
        <w:t>采购需求</w:t>
      </w:r>
    </w:p>
    <w:p w14:paraId="2E3B8D0D">
      <w:pPr>
        <w:ind w:firstLine="0" w:firstLineChars="0"/>
        <w:jc w:val="center"/>
        <w:rPr>
          <w:rFonts w:ascii="黑体" w:hAnsi="黑体" w:eastAsia="黑体"/>
          <w:sz w:val="72"/>
          <w:szCs w:val="72"/>
        </w:rPr>
      </w:pPr>
    </w:p>
    <w:p w14:paraId="7F8DB24A">
      <w:pPr>
        <w:ind w:firstLine="0" w:firstLineChars="0"/>
        <w:jc w:val="center"/>
        <w:rPr>
          <w:rFonts w:ascii="黑体" w:hAnsi="黑体" w:eastAsia="黑体"/>
          <w:sz w:val="48"/>
          <w:szCs w:val="48"/>
        </w:rPr>
      </w:pPr>
    </w:p>
    <w:p w14:paraId="508B0241">
      <w:pPr>
        <w:ind w:firstLine="0" w:firstLineChars="0"/>
        <w:jc w:val="center"/>
        <w:rPr>
          <w:rFonts w:ascii="黑体" w:hAnsi="黑体" w:eastAsia="黑体"/>
          <w:sz w:val="52"/>
          <w:szCs w:val="52"/>
        </w:rPr>
      </w:pPr>
    </w:p>
    <w:p w14:paraId="5186CEC6">
      <w:pPr>
        <w:ind w:firstLine="1040"/>
        <w:rPr>
          <w:rFonts w:ascii="黑体" w:hAnsi="黑体" w:eastAsia="黑体"/>
          <w:sz w:val="52"/>
          <w:szCs w:val="52"/>
        </w:rPr>
      </w:pPr>
    </w:p>
    <w:p w14:paraId="43B04271"/>
    <w:p w14:paraId="7FE2D433"/>
    <w:p w14:paraId="76AD1F96"/>
    <w:p w14:paraId="473E8C49"/>
    <w:p w14:paraId="2120ACF1"/>
    <w:p w14:paraId="148E7111">
      <w:pPr>
        <w:ind w:firstLine="1040"/>
        <w:rPr>
          <w:rFonts w:ascii="黑体" w:hAnsi="黑体" w:eastAsia="黑体"/>
          <w:sz w:val="52"/>
          <w:szCs w:val="52"/>
        </w:rPr>
      </w:pPr>
    </w:p>
    <w:p w14:paraId="372760CD">
      <w:pPr>
        <w:jc w:val="center"/>
        <w:sectPr>
          <w:headerReference r:id="rId7" w:type="first"/>
          <w:footerReference r:id="rId10" w:type="first"/>
          <w:headerReference r:id="rId5" w:type="default"/>
          <w:footerReference r:id="rId8" w:type="default"/>
          <w:headerReference r:id="rId6" w:type="even"/>
          <w:footerReference r:id="rId9" w:type="even"/>
          <w:pgSz w:w="11906" w:h="16838"/>
          <w:pgMar w:top="1134" w:right="1797" w:bottom="1135" w:left="1797" w:header="340" w:footer="7" w:gutter="0"/>
          <w:pgNumType w:start="1"/>
          <w:cols w:space="720" w:num="1"/>
          <w:titlePg/>
          <w:docGrid w:type="linesAndChars" w:linePitch="326" w:charSpace="0"/>
        </w:sectPr>
      </w:pPr>
    </w:p>
    <w:p w14:paraId="7E9CEB88">
      <w:pPr>
        <w:pStyle w:val="2"/>
      </w:pPr>
      <w:bookmarkStart w:id="0" w:name="_Toc63785461"/>
      <w:r>
        <w:rPr>
          <w:rFonts w:hint="eastAsia"/>
        </w:rPr>
        <w:t>项目概况</w:t>
      </w:r>
      <w:bookmarkEnd w:id="0"/>
    </w:p>
    <w:p w14:paraId="1EC9FF7B">
      <w:pPr>
        <w:spacing w:line="560" w:lineRule="exact"/>
      </w:pPr>
      <w:r>
        <w:rPr>
          <w:rFonts w:hint="eastAsia"/>
        </w:rPr>
        <w:t>项目背景&amp;现状：</w:t>
      </w:r>
    </w:p>
    <w:p w14:paraId="0F8C091C">
      <w:pPr>
        <w:spacing w:line="560" w:lineRule="exact"/>
      </w:pPr>
      <w:r>
        <w:rPr>
          <w:rFonts w:hint="eastAsia"/>
        </w:rPr>
        <w:t>上海城市交通信息监控系统于2006年建设，其中涉及从业人员的从业人员受理发证系统（实现交通各行业从业人员行政审批受理、发证）和上海城市交通行业从业资格考试系统（实现考务管理和人员考试管理）未进行过升级改造。</w:t>
      </w:r>
    </w:p>
    <w:p w14:paraId="41C58125">
      <w:pPr>
        <w:spacing w:line="560" w:lineRule="exact"/>
      </w:pPr>
      <w:r>
        <w:rPr>
          <w:rFonts w:hint="eastAsia"/>
        </w:rPr>
        <w:t>市交通委交通从业人员业务被纳入市级重大民生保障数字化项目，《关于开展市级重大民生保障数字化项目(第一批)突发预案制定及相应灾备演练的通知》中提出：确保市级重大民生保障数宇化项目稳定性和可靠性，杜绝因信息系统故障而导致的为民服务“不能办、延期办”问题。</w:t>
      </w:r>
    </w:p>
    <w:p w14:paraId="05924847">
      <w:pPr>
        <w:spacing w:line="560" w:lineRule="exact"/>
      </w:pPr>
      <w:r>
        <w:rPr>
          <w:rFonts w:hint="eastAsia"/>
        </w:rPr>
        <w:t>根据《上海政务服务“一网通办”统一受理平台对接技术规范》、《政务服务“一网通办”电子文件归档管理技术规范》等相关技术标准完善交通从业人员电子证照管理、“一网通办”政务服务等应用。</w:t>
      </w:r>
    </w:p>
    <w:p w14:paraId="2D237228">
      <w:pPr>
        <w:spacing w:line="560" w:lineRule="exact"/>
      </w:pPr>
      <w:r>
        <w:rPr>
          <w:rFonts w:hint="eastAsia"/>
        </w:rPr>
        <w:t>建设期限：自合同签订之日起</w:t>
      </w:r>
      <w:r>
        <w:rPr>
          <w:rFonts w:hint="default"/>
          <w:lang w:val="en-US"/>
        </w:rPr>
        <w:t>10</w:t>
      </w:r>
      <w:r>
        <w:rPr>
          <w:rFonts w:hint="eastAsia"/>
          <w:lang w:val="en-US" w:eastAsia="zh-CN"/>
        </w:rPr>
        <w:t>个月内</w:t>
      </w:r>
    </w:p>
    <w:p w14:paraId="7EAC5CCC">
      <w:pPr>
        <w:spacing w:line="560" w:lineRule="exact"/>
      </w:pPr>
      <w:r>
        <w:rPr>
          <w:rFonts w:hint="eastAsia"/>
        </w:rPr>
        <w:t>建设地点：上海市交通委</w:t>
      </w:r>
    </w:p>
    <w:p w14:paraId="3821D008">
      <w:pPr>
        <w:spacing w:line="560" w:lineRule="exact"/>
      </w:pPr>
      <w:r>
        <w:rPr>
          <w:rFonts w:hint="eastAsia"/>
        </w:rPr>
        <w:t>预算金额：1,381,000元</w:t>
      </w:r>
    </w:p>
    <w:p w14:paraId="2753478D">
      <w:pPr>
        <w:spacing w:line="560" w:lineRule="exact"/>
      </w:pPr>
      <w:r>
        <w:rPr>
          <w:rFonts w:hint="eastAsia"/>
        </w:rPr>
        <w:t>采购金额（最高限价）：1,381,000元</w:t>
      </w:r>
    </w:p>
    <w:p w14:paraId="40E4BE39">
      <w:pPr>
        <w:spacing w:line="560" w:lineRule="exact"/>
      </w:pPr>
      <w:r>
        <w:rPr>
          <w:rFonts w:hint="eastAsia"/>
        </w:rPr>
        <w:t>组织形式：集中采购</w:t>
      </w:r>
    </w:p>
    <w:p w14:paraId="72DD06BF">
      <w:pPr>
        <w:spacing w:line="560" w:lineRule="exact"/>
      </w:pPr>
      <w:r>
        <w:rPr>
          <w:rFonts w:hint="eastAsia"/>
        </w:rPr>
        <w:t>采购方式：竞争性磋商</w:t>
      </w:r>
    </w:p>
    <w:p w14:paraId="02BF99A7">
      <w:pPr>
        <w:spacing w:line="560" w:lineRule="exact"/>
      </w:pPr>
      <w:r>
        <w:rPr>
          <w:rFonts w:hint="eastAsia"/>
        </w:rPr>
        <w:t>是否接受联合体投标：否</w:t>
      </w:r>
    </w:p>
    <w:p w14:paraId="0F65C6C5">
      <w:pPr>
        <w:spacing w:line="560" w:lineRule="exact"/>
      </w:pPr>
      <w:r>
        <w:t>是否按信创要求建设：是</w:t>
      </w:r>
    </w:p>
    <w:p w14:paraId="6450A6AB">
      <w:pPr>
        <w:spacing w:line="560" w:lineRule="exact"/>
      </w:pPr>
      <w:bookmarkStart w:id="1" w:name="_Hlk190074916"/>
      <w:r>
        <w:rPr>
          <w:rFonts w:hint="eastAsia"/>
        </w:rPr>
        <w:t>运维后所属大系统：</w:t>
      </w:r>
      <w:bookmarkEnd w:id="1"/>
      <w:r>
        <w:rPr>
          <w:rFonts w:hint="eastAsia"/>
        </w:rPr>
        <w:t>交通行业监管服务系统</w:t>
      </w:r>
    </w:p>
    <w:p w14:paraId="48089F50">
      <w:pPr>
        <w:pStyle w:val="2"/>
      </w:pPr>
      <w:bookmarkStart w:id="2" w:name="_Toc47532255"/>
      <w:bookmarkEnd w:id="2"/>
      <w:bookmarkStart w:id="3" w:name="_Toc47531634"/>
      <w:bookmarkEnd w:id="3"/>
      <w:bookmarkStart w:id="4" w:name="_Toc47537134"/>
      <w:bookmarkEnd w:id="4"/>
      <w:bookmarkStart w:id="5" w:name="_Toc47532891"/>
      <w:bookmarkEnd w:id="5"/>
      <w:bookmarkStart w:id="6" w:name="_Toc47536644"/>
      <w:bookmarkEnd w:id="6"/>
      <w:bookmarkStart w:id="7" w:name="_Toc47533256"/>
      <w:bookmarkEnd w:id="7"/>
      <w:bookmarkStart w:id="8" w:name="_Toc47539070"/>
      <w:bookmarkEnd w:id="8"/>
      <w:bookmarkStart w:id="9" w:name="_Toc47536272"/>
      <w:bookmarkEnd w:id="9"/>
      <w:bookmarkStart w:id="10" w:name="_Toc48223882"/>
      <w:bookmarkStart w:id="11" w:name="_Toc63785463"/>
      <w:r>
        <w:rPr>
          <w:rFonts w:hint="eastAsia"/>
        </w:rPr>
        <w:t>建设目标</w:t>
      </w:r>
      <w:bookmarkEnd w:id="10"/>
      <w:bookmarkEnd w:id="11"/>
    </w:p>
    <w:p w14:paraId="30D7F7F7">
      <w:r>
        <w:rPr>
          <w:rFonts w:hint="eastAsia"/>
        </w:rPr>
        <w:t>通过本次升级改造，实现以下目标：</w:t>
      </w:r>
    </w:p>
    <w:p w14:paraId="1B9E24C3">
      <w:r>
        <w:rPr>
          <w:rFonts w:hint="eastAsia"/>
        </w:rPr>
        <w:t>1)</w:t>
      </w:r>
      <w:r>
        <w:rPr>
          <w:rFonts w:hint="eastAsia"/>
        </w:rPr>
        <w:tab/>
      </w:r>
      <w:r>
        <w:rPr>
          <w:rFonts w:hint="eastAsia"/>
        </w:rPr>
        <w:t>建设自助终端标准化功能接口：包括统一入口、统一加密、统一鉴权、统一异常处理、统一日志记录。</w:t>
      </w:r>
    </w:p>
    <w:p w14:paraId="1D2CCB17">
      <w:r>
        <w:rPr>
          <w:rFonts w:hint="eastAsia"/>
        </w:rPr>
        <w:t>2)</w:t>
      </w:r>
      <w:r>
        <w:rPr>
          <w:rFonts w:hint="eastAsia"/>
        </w:rPr>
        <w:tab/>
      </w:r>
      <w:r>
        <w:rPr>
          <w:rFonts w:hint="eastAsia"/>
        </w:rPr>
        <w:t>从业人员受理发证系统升级：扩展从业人员受理发证系统功能，包括新增公交资格证、服务监督卡受理制证等业务，实现严重失信与行政处罚的锁停管理，优化返聘和解聘流程。</w:t>
      </w:r>
    </w:p>
    <w:p w14:paraId="4325DC17">
      <w:r>
        <w:rPr>
          <w:rFonts w:hint="eastAsia"/>
        </w:rPr>
        <w:t>3)</w:t>
      </w:r>
      <w:r>
        <w:rPr>
          <w:rFonts w:hint="eastAsia"/>
        </w:rPr>
        <w:tab/>
      </w:r>
      <w:r>
        <w:rPr>
          <w:rFonts w:hint="eastAsia"/>
        </w:rPr>
        <w:t>考试与培训报名系统升级：对从业资格考试系统和培训报名系统进行升级改造，提高系统的用户友好性和服务效率。</w:t>
      </w:r>
    </w:p>
    <w:p w14:paraId="78382BBA">
      <w:r>
        <w:rPr>
          <w:rFonts w:hint="eastAsia"/>
        </w:rPr>
        <w:t>4)</w:t>
      </w:r>
      <w:r>
        <w:rPr>
          <w:rFonts w:hint="eastAsia"/>
        </w:rPr>
        <w:tab/>
      </w:r>
      <w:r>
        <w:rPr>
          <w:rFonts w:hint="eastAsia"/>
        </w:rPr>
        <w:t>电子化证照与跨省通办：根据《综合运输服务“十四五”发展规划》精神，推广电子证照应用，实现道路运输从业人员证照的电子化，并推动跨省通办，优化服务流程，包括从业资格证的补发、换发、变更和注销等，减少办事时间，提高办事效率和政务服务效率。</w:t>
      </w:r>
    </w:p>
    <w:p w14:paraId="7009212E">
      <w:r>
        <w:rPr>
          <w:rFonts w:hint="eastAsia"/>
        </w:rPr>
        <w:t>5)</w:t>
      </w:r>
      <w:r>
        <w:rPr>
          <w:rFonts w:hint="eastAsia"/>
        </w:rPr>
        <w:tab/>
      </w:r>
      <w:r>
        <w:rPr>
          <w:rFonts w:hint="eastAsia"/>
        </w:rPr>
        <w:t>便民政务服务系统建设：按照交通运输部办公厅的要求，建设部省平台级交互服务，实现普通货运驾驶员从业资格网上申请等便民政务服务。</w:t>
      </w:r>
    </w:p>
    <w:p w14:paraId="544B48BA">
      <w:r>
        <w:rPr>
          <w:rFonts w:hint="eastAsia"/>
        </w:rPr>
        <w:t>6)</w:t>
      </w:r>
      <w:r>
        <w:rPr>
          <w:rFonts w:hint="eastAsia"/>
        </w:rPr>
        <w:tab/>
      </w:r>
      <w:r>
        <w:rPr>
          <w:rFonts w:hint="eastAsia"/>
        </w:rPr>
        <w:t>“一网通办”服务升级：配合全市“一网通办”政务服务升级，实现交通行业从业人员高频事项的全程网上办理，提升服务的便捷性和效率。</w:t>
      </w:r>
    </w:p>
    <w:p w14:paraId="4F016519">
      <w:r>
        <w:rPr>
          <w:rFonts w:hint="eastAsia"/>
        </w:rPr>
        <w:t>7)</w:t>
      </w:r>
      <w:r>
        <w:rPr>
          <w:rFonts w:hint="eastAsia"/>
        </w:rPr>
        <w:tab/>
      </w:r>
      <w:r>
        <w:rPr>
          <w:rFonts w:hint="eastAsia"/>
        </w:rPr>
        <w:t>规范化与信息化管理：通过规范化和信息化手段，提高从业人员管理的规范性和透明度，增强服务能力。</w:t>
      </w:r>
    </w:p>
    <w:p w14:paraId="103C76E5">
      <w:r>
        <w:rPr>
          <w:rFonts w:hint="eastAsia"/>
        </w:rPr>
        <w:t>8)</w:t>
      </w:r>
      <w:r>
        <w:rPr>
          <w:rFonts w:hint="eastAsia"/>
        </w:rPr>
        <w:tab/>
      </w:r>
      <w:r>
        <w:rPr>
          <w:rFonts w:hint="eastAsia"/>
        </w:rPr>
        <w:t>缴费系统非税改造：实现非税缴费线上支付，为从业人员提供更便捷的缴费渠道。</w:t>
      </w:r>
    </w:p>
    <w:p w14:paraId="0F0EF73D">
      <w:pPr>
        <w:pStyle w:val="3"/>
      </w:pPr>
      <w:r>
        <w:rPr>
          <w:rFonts w:hint="eastAsia"/>
        </w:rPr>
        <w:t>应用指标</w:t>
      </w:r>
      <w:r>
        <w:t>考核目标</w:t>
      </w:r>
    </w:p>
    <w:tbl>
      <w:tblPr>
        <w:tblStyle w:val="3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2"/>
        <w:gridCol w:w="1116"/>
        <w:gridCol w:w="1438"/>
        <w:gridCol w:w="1738"/>
        <w:gridCol w:w="1928"/>
        <w:gridCol w:w="1616"/>
      </w:tblGrid>
      <w:tr w14:paraId="33BCA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406" w:type="pct"/>
            <w:shd w:val="clear" w:color="auto" w:fill="auto"/>
            <w:vAlign w:val="center"/>
          </w:tcPr>
          <w:p w14:paraId="243709B8">
            <w:pPr>
              <w:widowControl/>
              <w:ind w:firstLine="0" w:firstLineChars="0"/>
              <w:jc w:val="center"/>
              <w:textAlignment w:val="center"/>
              <w:rPr>
                <w:rFonts w:cs="仿宋"/>
                <w:color w:val="000000"/>
                <w:sz w:val="22"/>
              </w:rPr>
            </w:pPr>
            <w:r>
              <w:rPr>
                <w:rFonts w:hint="eastAsia" w:cs="仿宋"/>
                <w:color w:val="000000"/>
                <w:kern w:val="0"/>
                <w:sz w:val="22"/>
              </w:rPr>
              <w:t>序号</w:t>
            </w:r>
          </w:p>
        </w:tc>
        <w:tc>
          <w:tcPr>
            <w:tcW w:w="654" w:type="pct"/>
            <w:shd w:val="clear" w:color="auto" w:fill="auto"/>
            <w:vAlign w:val="center"/>
          </w:tcPr>
          <w:p w14:paraId="603D2050">
            <w:pPr>
              <w:widowControl/>
              <w:ind w:firstLine="0" w:firstLineChars="0"/>
              <w:jc w:val="left"/>
              <w:textAlignment w:val="center"/>
              <w:rPr>
                <w:rFonts w:cs="仿宋"/>
                <w:color w:val="000000"/>
                <w:sz w:val="22"/>
              </w:rPr>
            </w:pPr>
            <w:r>
              <w:rPr>
                <w:rFonts w:hint="eastAsia" w:cs="仿宋"/>
                <w:color w:val="000000"/>
                <w:kern w:val="0"/>
                <w:sz w:val="22"/>
              </w:rPr>
              <w:t>一级指标</w:t>
            </w:r>
          </w:p>
        </w:tc>
        <w:tc>
          <w:tcPr>
            <w:tcW w:w="843" w:type="pct"/>
            <w:shd w:val="clear" w:color="auto" w:fill="auto"/>
            <w:vAlign w:val="center"/>
          </w:tcPr>
          <w:p w14:paraId="54E0D464">
            <w:pPr>
              <w:widowControl/>
              <w:ind w:firstLine="0" w:firstLineChars="0"/>
              <w:jc w:val="center"/>
              <w:textAlignment w:val="center"/>
              <w:rPr>
                <w:rFonts w:cs="仿宋"/>
                <w:color w:val="000000"/>
                <w:sz w:val="22"/>
              </w:rPr>
            </w:pPr>
            <w:r>
              <w:rPr>
                <w:rFonts w:hint="eastAsia" w:cs="仿宋"/>
                <w:color w:val="000000"/>
                <w:kern w:val="0"/>
                <w:sz w:val="22"/>
              </w:rPr>
              <w:t>二级指标</w:t>
            </w:r>
          </w:p>
        </w:tc>
        <w:tc>
          <w:tcPr>
            <w:tcW w:w="1019" w:type="pct"/>
          </w:tcPr>
          <w:p w14:paraId="72B22A46">
            <w:pPr>
              <w:widowControl/>
              <w:ind w:firstLine="0" w:firstLineChars="0"/>
              <w:jc w:val="center"/>
              <w:textAlignment w:val="center"/>
              <w:rPr>
                <w:rFonts w:cs="仿宋"/>
                <w:color w:val="000000"/>
                <w:kern w:val="0"/>
                <w:sz w:val="22"/>
              </w:rPr>
            </w:pPr>
            <w:r>
              <w:rPr>
                <w:rFonts w:hint="eastAsia" w:cs="仿宋"/>
                <w:color w:val="000000"/>
                <w:kern w:val="0"/>
                <w:sz w:val="22"/>
              </w:rPr>
              <w:t>三级指标</w:t>
            </w:r>
          </w:p>
        </w:tc>
        <w:tc>
          <w:tcPr>
            <w:tcW w:w="1130" w:type="pct"/>
            <w:shd w:val="clear" w:color="auto" w:fill="auto"/>
            <w:vAlign w:val="center"/>
          </w:tcPr>
          <w:p w14:paraId="3BEF2BE5">
            <w:pPr>
              <w:widowControl/>
              <w:ind w:firstLine="0" w:firstLineChars="0"/>
              <w:jc w:val="center"/>
              <w:textAlignment w:val="center"/>
              <w:rPr>
                <w:rFonts w:cs="仿宋"/>
                <w:color w:val="000000"/>
                <w:sz w:val="22"/>
              </w:rPr>
            </w:pPr>
            <w:r>
              <w:rPr>
                <w:rFonts w:hint="eastAsia" w:cs="仿宋"/>
                <w:color w:val="000000"/>
                <w:kern w:val="0"/>
                <w:sz w:val="22"/>
              </w:rPr>
              <w:t>四级指标</w:t>
            </w:r>
          </w:p>
        </w:tc>
        <w:tc>
          <w:tcPr>
            <w:tcW w:w="947" w:type="pct"/>
            <w:shd w:val="clear" w:color="auto" w:fill="auto"/>
            <w:vAlign w:val="center"/>
          </w:tcPr>
          <w:p w14:paraId="1CBC08DC">
            <w:pPr>
              <w:widowControl/>
              <w:ind w:firstLine="0" w:firstLineChars="0"/>
              <w:jc w:val="center"/>
              <w:textAlignment w:val="center"/>
              <w:rPr>
                <w:rFonts w:cs="仿宋"/>
                <w:color w:val="000000"/>
                <w:sz w:val="22"/>
              </w:rPr>
            </w:pPr>
            <w:r>
              <w:rPr>
                <w:rFonts w:hint="eastAsia" w:cs="仿宋"/>
                <w:color w:val="000000"/>
                <w:kern w:val="0"/>
                <w:sz w:val="22"/>
              </w:rPr>
              <w:t>指标值</w:t>
            </w:r>
          </w:p>
        </w:tc>
      </w:tr>
      <w:tr w14:paraId="16834B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406" w:type="pct"/>
            <w:shd w:val="clear" w:color="auto" w:fill="auto"/>
            <w:vAlign w:val="center"/>
          </w:tcPr>
          <w:p w14:paraId="550E4ACD">
            <w:pPr>
              <w:widowControl/>
              <w:numPr>
                <w:ilvl w:val="0"/>
                <w:numId w:val="3"/>
              </w:numPr>
              <w:spacing w:line="240" w:lineRule="auto"/>
              <w:ind w:firstLine="0" w:firstLineChars="0"/>
              <w:jc w:val="center"/>
              <w:textAlignment w:val="center"/>
              <w:rPr>
                <w:rFonts w:cs="仿宋"/>
                <w:color w:val="000000"/>
                <w:kern w:val="0"/>
                <w:sz w:val="22"/>
              </w:rPr>
            </w:pPr>
          </w:p>
        </w:tc>
        <w:tc>
          <w:tcPr>
            <w:tcW w:w="654" w:type="pct"/>
            <w:shd w:val="clear" w:color="auto" w:fill="auto"/>
            <w:vAlign w:val="center"/>
          </w:tcPr>
          <w:p w14:paraId="6E562351">
            <w:pPr>
              <w:widowControl/>
              <w:ind w:firstLine="0" w:firstLineChars="0"/>
              <w:jc w:val="left"/>
              <w:textAlignment w:val="center"/>
              <w:rPr>
                <w:rFonts w:cs="仿宋"/>
                <w:color w:val="000000"/>
                <w:kern w:val="0"/>
                <w:sz w:val="22"/>
              </w:rPr>
            </w:pPr>
            <w:r>
              <w:rPr>
                <w:rFonts w:hint="eastAsia" w:cs="仿宋"/>
                <w:color w:val="000000"/>
                <w:kern w:val="0"/>
                <w:sz w:val="22"/>
              </w:rPr>
              <w:t>通用指标</w:t>
            </w:r>
          </w:p>
        </w:tc>
        <w:tc>
          <w:tcPr>
            <w:tcW w:w="843" w:type="pct"/>
            <w:shd w:val="clear" w:color="auto" w:fill="auto"/>
            <w:vAlign w:val="center"/>
          </w:tcPr>
          <w:p w14:paraId="5A396A51">
            <w:pPr>
              <w:widowControl/>
              <w:ind w:firstLine="0" w:firstLineChars="0"/>
              <w:jc w:val="center"/>
              <w:textAlignment w:val="center"/>
              <w:rPr>
                <w:rFonts w:cs="仿宋"/>
                <w:color w:val="000000"/>
                <w:kern w:val="0"/>
                <w:sz w:val="22"/>
              </w:rPr>
            </w:pPr>
            <w:r>
              <w:rPr>
                <w:rFonts w:hint="eastAsia" w:cs="仿宋"/>
                <w:color w:val="000000"/>
                <w:kern w:val="0"/>
                <w:sz w:val="22"/>
              </w:rPr>
              <w:t>支撑系统/</w:t>
            </w:r>
          </w:p>
          <w:p w14:paraId="3DCBDD35">
            <w:pPr>
              <w:widowControl/>
              <w:ind w:firstLine="0" w:firstLineChars="0"/>
              <w:jc w:val="center"/>
              <w:textAlignment w:val="center"/>
              <w:rPr>
                <w:rFonts w:cs="仿宋"/>
                <w:color w:val="000000"/>
                <w:kern w:val="0"/>
                <w:sz w:val="22"/>
              </w:rPr>
            </w:pPr>
            <w:r>
              <w:rPr>
                <w:rFonts w:hint="eastAsia" w:cs="仿宋"/>
                <w:color w:val="000000"/>
                <w:kern w:val="0"/>
                <w:sz w:val="22"/>
              </w:rPr>
              <w:t>数据库/中间件。</w:t>
            </w:r>
          </w:p>
        </w:tc>
        <w:tc>
          <w:tcPr>
            <w:tcW w:w="1019" w:type="pct"/>
            <w:vAlign w:val="center"/>
          </w:tcPr>
          <w:p w14:paraId="2541F333">
            <w:pPr>
              <w:widowControl/>
              <w:ind w:firstLine="0" w:firstLineChars="0"/>
              <w:jc w:val="center"/>
              <w:textAlignment w:val="center"/>
              <w:rPr>
                <w:rFonts w:cs="仿宋"/>
                <w:color w:val="000000"/>
                <w:kern w:val="0"/>
                <w:sz w:val="22"/>
              </w:rPr>
            </w:pPr>
            <w:r>
              <w:rPr>
                <w:rFonts w:hint="eastAsia" w:ascii="宋体" w:hAnsi="宋体" w:eastAsia="宋体" w:cs="仿宋"/>
                <w:color w:val="000000"/>
                <w:kern w:val="0"/>
                <w:sz w:val="22"/>
              </w:rPr>
              <w:t>数字底座支撑能力</w:t>
            </w:r>
          </w:p>
        </w:tc>
        <w:tc>
          <w:tcPr>
            <w:tcW w:w="1130" w:type="pct"/>
            <w:shd w:val="clear" w:color="auto" w:fill="auto"/>
            <w:vAlign w:val="center"/>
          </w:tcPr>
          <w:p w14:paraId="1293F35F">
            <w:pPr>
              <w:widowControl/>
              <w:ind w:firstLine="0" w:firstLineChars="0"/>
              <w:jc w:val="center"/>
              <w:textAlignment w:val="center"/>
              <w:rPr>
                <w:rFonts w:cs="仿宋"/>
                <w:color w:val="000000"/>
                <w:kern w:val="0"/>
                <w:sz w:val="22"/>
              </w:rPr>
            </w:pPr>
            <w:r>
              <w:rPr>
                <w:rFonts w:hint="eastAsia" w:cs="仿宋"/>
                <w:color w:val="000000"/>
                <w:kern w:val="0"/>
                <w:sz w:val="22"/>
              </w:rPr>
              <w:t>支撑业务数</w:t>
            </w:r>
          </w:p>
          <w:p w14:paraId="7F940CB7">
            <w:pPr>
              <w:widowControl/>
              <w:ind w:firstLine="0" w:firstLineChars="0"/>
              <w:jc w:val="center"/>
              <w:textAlignment w:val="center"/>
              <w:rPr>
                <w:rFonts w:cs="仿宋"/>
                <w:color w:val="000000"/>
                <w:kern w:val="0"/>
                <w:sz w:val="22"/>
              </w:rPr>
            </w:pPr>
            <w:r>
              <w:rPr>
                <w:rFonts w:hint="eastAsia" w:cs="仿宋"/>
                <w:color w:val="000000"/>
                <w:kern w:val="0"/>
                <w:sz w:val="22"/>
              </w:rPr>
              <w:t>室中</w:t>
            </w:r>
          </w:p>
        </w:tc>
        <w:tc>
          <w:tcPr>
            <w:tcW w:w="947" w:type="pct"/>
            <w:shd w:val="clear" w:color="auto" w:fill="auto"/>
            <w:vAlign w:val="center"/>
          </w:tcPr>
          <w:p w14:paraId="6CA626BD">
            <w:pPr>
              <w:widowControl/>
              <w:ind w:firstLine="0" w:firstLineChars="0"/>
              <w:jc w:val="center"/>
              <w:textAlignment w:val="center"/>
              <w:rPr>
                <w:rFonts w:cs="仿宋"/>
                <w:color w:val="000000"/>
                <w:kern w:val="0"/>
                <w:sz w:val="22"/>
              </w:rPr>
            </w:pPr>
            <w:r>
              <w:rPr>
                <w:rFonts w:hint="eastAsia" w:cs="仿宋"/>
                <w:color w:val="000000"/>
                <w:kern w:val="0"/>
                <w:sz w:val="22"/>
              </w:rPr>
              <w:t>26 项，其中</w:t>
            </w:r>
          </w:p>
          <w:p w14:paraId="28F2D834">
            <w:pPr>
              <w:widowControl/>
              <w:ind w:firstLine="0" w:firstLineChars="0"/>
              <w:jc w:val="center"/>
              <w:textAlignment w:val="center"/>
              <w:rPr>
                <w:rFonts w:cs="仿宋"/>
                <w:color w:val="000000"/>
                <w:kern w:val="0"/>
                <w:sz w:val="22"/>
              </w:rPr>
            </w:pPr>
            <w:r>
              <w:rPr>
                <w:rFonts w:hint="eastAsia" w:cs="仿宋"/>
                <w:color w:val="000000"/>
                <w:kern w:val="0"/>
                <w:sz w:val="22"/>
              </w:rPr>
              <w:t>沿用1项，</w:t>
            </w:r>
          </w:p>
          <w:p w14:paraId="192CE9E9">
            <w:pPr>
              <w:widowControl/>
              <w:ind w:firstLine="0" w:firstLineChars="0"/>
              <w:jc w:val="center"/>
              <w:textAlignment w:val="center"/>
              <w:rPr>
                <w:rFonts w:cs="仿宋"/>
                <w:color w:val="000000"/>
                <w:kern w:val="0"/>
                <w:sz w:val="22"/>
              </w:rPr>
            </w:pPr>
            <w:r>
              <w:rPr>
                <w:rFonts w:hint="eastAsia" w:cs="仿宋"/>
                <w:color w:val="000000"/>
                <w:kern w:val="0"/>
                <w:sz w:val="22"/>
              </w:rPr>
              <w:t>升级改造及新增25 项</w:t>
            </w:r>
          </w:p>
        </w:tc>
      </w:tr>
      <w:tr w14:paraId="11614D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406" w:type="pct"/>
            <w:shd w:val="clear" w:color="auto" w:fill="auto"/>
            <w:vAlign w:val="center"/>
          </w:tcPr>
          <w:p w14:paraId="69FD643A">
            <w:pPr>
              <w:widowControl/>
              <w:numPr>
                <w:ilvl w:val="0"/>
                <w:numId w:val="3"/>
              </w:numPr>
              <w:spacing w:line="240" w:lineRule="auto"/>
              <w:ind w:firstLine="0" w:firstLineChars="0"/>
              <w:jc w:val="center"/>
              <w:textAlignment w:val="center"/>
              <w:rPr>
                <w:rFonts w:cs="仿宋"/>
                <w:color w:val="000000"/>
                <w:kern w:val="0"/>
                <w:sz w:val="22"/>
              </w:rPr>
            </w:pPr>
          </w:p>
        </w:tc>
        <w:tc>
          <w:tcPr>
            <w:tcW w:w="654" w:type="pct"/>
            <w:shd w:val="clear" w:color="auto" w:fill="auto"/>
            <w:vAlign w:val="center"/>
          </w:tcPr>
          <w:p w14:paraId="56655B33">
            <w:pPr>
              <w:widowControl/>
              <w:ind w:firstLine="0" w:firstLineChars="0"/>
              <w:jc w:val="left"/>
              <w:textAlignment w:val="center"/>
              <w:rPr>
                <w:rFonts w:cs="仿宋"/>
                <w:color w:val="000000"/>
                <w:kern w:val="0"/>
                <w:sz w:val="22"/>
              </w:rPr>
            </w:pPr>
            <w:r>
              <w:rPr>
                <w:rFonts w:hint="eastAsia" w:cs="仿宋"/>
                <w:color w:val="000000"/>
                <w:kern w:val="0"/>
                <w:sz w:val="22"/>
              </w:rPr>
              <w:t>通用指标</w:t>
            </w:r>
          </w:p>
        </w:tc>
        <w:tc>
          <w:tcPr>
            <w:tcW w:w="843" w:type="pct"/>
            <w:shd w:val="clear" w:color="auto" w:fill="auto"/>
            <w:vAlign w:val="center"/>
          </w:tcPr>
          <w:p w14:paraId="436F8418">
            <w:pPr>
              <w:widowControl/>
              <w:ind w:firstLine="0" w:firstLineChars="0"/>
              <w:jc w:val="center"/>
              <w:textAlignment w:val="center"/>
              <w:rPr>
                <w:rFonts w:cs="仿宋"/>
                <w:color w:val="000000"/>
                <w:kern w:val="0"/>
                <w:sz w:val="22"/>
              </w:rPr>
            </w:pPr>
            <w:r>
              <w:rPr>
                <w:rFonts w:hint="eastAsia" w:cs="仿宋"/>
                <w:color w:val="000000"/>
                <w:kern w:val="0"/>
                <w:sz w:val="22"/>
              </w:rPr>
              <w:t>共性能力</w:t>
            </w:r>
          </w:p>
        </w:tc>
        <w:tc>
          <w:tcPr>
            <w:tcW w:w="1019" w:type="pct"/>
            <w:vAlign w:val="center"/>
          </w:tcPr>
          <w:p w14:paraId="255F702D">
            <w:pPr>
              <w:widowControl/>
              <w:ind w:firstLine="0" w:firstLineChars="0"/>
              <w:jc w:val="center"/>
              <w:textAlignment w:val="center"/>
              <w:rPr>
                <w:rFonts w:cs="仿宋"/>
                <w:color w:val="000000"/>
                <w:kern w:val="0"/>
                <w:sz w:val="22"/>
              </w:rPr>
            </w:pPr>
            <w:r>
              <w:rPr>
                <w:rFonts w:hint="eastAsia" w:ascii="宋体" w:hAnsi="宋体" w:eastAsia="宋体" w:cs="仿宋"/>
                <w:color w:val="000000"/>
                <w:kern w:val="0"/>
                <w:sz w:val="22"/>
              </w:rPr>
              <w:t>平台整合能力</w:t>
            </w:r>
          </w:p>
        </w:tc>
        <w:tc>
          <w:tcPr>
            <w:tcW w:w="1130" w:type="pct"/>
            <w:shd w:val="clear" w:color="auto" w:fill="auto"/>
            <w:vAlign w:val="center"/>
          </w:tcPr>
          <w:p w14:paraId="6A951B54">
            <w:pPr>
              <w:widowControl/>
              <w:ind w:firstLine="0" w:firstLineChars="0"/>
              <w:jc w:val="center"/>
              <w:textAlignment w:val="center"/>
              <w:rPr>
                <w:rFonts w:cs="仿宋"/>
                <w:color w:val="000000"/>
                <w:kern w:val="0"/>
                <w:sz w:val="22"/>
              </w:rPr>
            </w:pPr>
            <w:r>
              <w:rPr>
                <w:rFonts w:hint="eastAsia" w:cs="仿宋"/>
                <w:color w:val="000000"/>
                <w:kern w:val="0"/>
                <w:sz w:val="22"/>
              </w:rPr>
              <w:t>集约化程度</w:t>
            </w:r>
          </w:p>
        </w:tc>
        <w:tc>
          <w:tcPr>
            <w:tcW w:w="947" w:type="pct"/>
            <w:shd w:val="clear" w:color="auto" w:fill="auto"/>
            <w:vAlign w:val="center"/>
          </w:tcPr>
          <w:p w14:paraId="23F4F3C0">
            <w:pPr>
              <w:widowControl/>
              <w:ind w:firstLine="0" w:firstLineChars="0"/>
              <w:jc w:val="center"/>
              <w:textAlignment w:val="center"/>
              <w:rPr>
                <w:rFonts w:cs="仿宋"/>
                <w:color w:val="000000"/>
                <w:kern w:val="0"/>
                <w:sz w:val="22"/>
              </w:rPr>
            </w:pPr>
            <w:r>
              <w:rPr>
                <w:rFonts w:hint="eastAsia" w:cs="仿宋"/>
                <w:color w:val="000000"/>
                <w:kern w:val="0"/>
                <w:sz w:val="22"/>
              </w:rPr>
              <w:t>对接系统数</w:t>
            </w:r>
          </w:p>
          <w:p w14:paraId="37532914">
            <w:pPr>
              <w:widowControl/>
              <w:ind w:firstLine="0" w:firstLineChars="0"/>
              <w:jc w:val="center"/>
              <w:textAlignment w:val="center"/>
              <w:rPr>
                <w:rFonts w:cs="仿宋"/>
                <w:color w:val="000000"/>
                <w:kern w:val="0"/>
                <w:sz w:val="22"/>
              </w:rPr>
            </w:pPr>
            <w:r>
              <w:rPr>
                <w:rFonts w:hint="eastAsia" w:cs="仿宋"/>
                <w:color w:val="000000"/>
                <w:kern w:val="0"/>
                <w:sz w:val="22"/>
              </w:rPr>
              <w:t>量约为3个系统</w:t>
            </w:r>
          </w:p>
        </w:tc>
      </w:tr>
      <w:tr w14:paraId="46E77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06" w:type="pct"/>
            <w:shd w:val="clear" w:color="auto" w:fill="auto"/>
            <w:vAlign w:val="center"/>
          </w:tcPr>
          <w:p w14:paraId="56D428B0">
            <w:pPr>
              <w:widowControl/>
              <w:numPr>
                <w:ilvl w:val="0"/>
                <w:numId w:val="3"/>
              </w:numPr>
              <w:spacing w:line="240" w:lineRule="auto"/>
              <w:ind w:firstLine="0" w:firstLineChars="0"/>
              <w:jc w:val="center"/>
              <w:textAlignment w:val="center"/>
              <w:rPr>
                <w:rFonts w:cs="仿宋"/>
                <w:color w:val="000000"/>
                <w:sz w:val="22"/>
              </w:rPr>
            </w:pPr>
          </w:p>
        </w:tc>
        <w:tc>
          <w:tcPr>
            <w:tcW w:w="654" w:type="pct"/>
            <w:shd w:val="clear" w:color="auto" w:fill="auto"/>
            <w:vAlign w:val="center"/>
          </w:tcPr>
          <w:p w14:paraId="66262393">
            <w:pPr>
              <w:widowControl/>
              <w:ind w:firstLine="0" w:firstLineChars="0"/>
              <w:jc w:val="left"/>
              <w:textAlignment w:val="center"/>
              <w:rPr>
                <w:rFonts w:cs="仿宋"/>
                <w:color w:val="000000"/>
                <w:sz w:val="22"/>
              </w:rPr>
            </w:pPr>
            <w:r>
              <w:rPr>
                <w:rFonts w:hint="eastAsia" w:cs="仿宋"/>
                <w:color w:val="000000"/>
                <w:kern w:val="0"/>
                <w:sz w:val="22"/>
              </w:rPr>
              <w:t>通用指标</w:t>
            </w:r>
          </w:p>
        </w:tc>
        <w:tc>
          <w:tcPr>
            <w:tcW w:w="843" w:type="pct"/>
            <w:shd w:val="clear" w:color="auto" w:fill="auto"/>
            <w:vAlign w:val="center"/>
          </w:tcPr>
          <w:p w14:paraId="3554A407">
            <w:pPr>
              <w:widowControl/>
              <w:ind w:firstLine="0" w:firstLineChars="0"/>
              <w:jc w:val="left"/>
              <w:textAlignment w:val="center"/>
              <w:rPr>
                <w:rFonts w:cs="仿宋"/>
                <w:color w:val="000000"/>
                <w:sz w:val="22"/>
              </w:rPr>
            </w:pPr>
            <w:r>
              <w:rPr>
                <w:rFonts w:hint="eastAsia" w:cs="仿宋"/>
                <w:color w:val="000000"/>
                <w:kern w:val="0"/>
                <w:sz w:val="22"/>
              </w:rPr>
              <w:t>产出指标</w:t>
            </w:r>
          </w:p>
        </w:tc>
        <w:tc>
          <w:tcPr>
            <w:tcW w:w="1019" w:type="pct"/>
          </w:tcPr>
          <w:p w14:paraId="42047402">
            <w:pPr>
              <w:widowControl/>
              <w:ind w:firstLine="0" w:firstLineChars="0"/>
              <w:jc w:val="center"/>
              <w:textAlignment w:val="center"/>
              <w:rPr>
                <w:rFonts w:cs="仿宋"/>
                <w:color w:val="000000"/>
                <w:kern w:val="0"/>
                <w:sz w:val="22"/>
              </w:rPr>
            </w:pPr>
            <w:r>
              <w:rPr>
                <w:rFonts w:hint="eastAsia" w:cs="仿宋"/>
                <w:color w:val="000000"/>
                <w:kern w:val="0"/>
                <w:sz w:val="22"/>
              </w:rPr>
              <w:t>产出质量</w:t>
            </w:r>
          </w:p>
        </w:tc>
        <w:tc>
          <w:tcPr>
            <w:tcW w:w="1130" w:type="pct"/>
            <w:shd w:val="clear" w:color="auto" w:fill="auto"/>
            <w:vAlign w:val="center"/>
          </w:tcPr>
          <w:p w14:paraId="43FDE970">
            <w:pPr>
              <w:widowControl/>
              <w:ind w:firstLine="0" w:firstLineChars="0"/>
              <w:jc w:val="left"/>
              <w:textAlignment w:val="center"/>
              <w:rPr>
                <w:rFonts w:cs="仿宋"/>
                <w:color w:val="000000"/>
                <w:sz w:val="22"/>
              </w:rPr>
            </w:pPr>
            <w:r>
              <w:rPr>
                <w:rFonts w:hint="eastAsia" w:cs="仿宋"/>
                <w:color w:val="000000"/>
                <w:kern w:val="0"/>
                <w:sz w:val="22"/>
              </w:rPr>
              <w:t>一次性验收合规率</w:t>
            </w:r>
          </w:p>
        </w:tc>
        <w:tc>
          <w:tcPr>
            <w:tcW w:w="947" w:type="pct"/>
            <w:shd w:val="clear" w:color="auto" w:fill="auto"/>
            <w:vAlign w:val="center"/>
          </w:tcPr>
          <w:p w14:paraId="6125E59D">
            <w:pPr>
              <w:widowControl/>
              <w:ind w:firstLine="0" w:firstLineChars="0"/>
              <w:jc w:val="left"/>
              <w:textAlignment w:val="center"/>
              <w:rPr>
                <w:rFonts w:cs="仿宋"/>
                <w:color w:val="000000"/>
                <w:sz w:val="22"/>
              </w:rPr>
            </w:pPr>
            <w:r>
              <w:rPr>
                <w:rFonts w:hint="eastAsia" w:cs="仿宋"/>
                <w:color w:val="000000"/>
                <w:kern w:val="0"/>
                <w:sz w:val="22"/>
              </w:rPr>
              <w:t>100%</w:t>
            </w:r>
          </w:p>
        </w:tc>
      </w:tr>
      <w:tr w14:paraId="3CF24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406" w:type="pct"/>
            <w:shd w:val="clear" w:color="auto" w:fill="auto"/>
            <w:vAlign w:val="center"/>
          </w:tcPr>
          <w:p w14:paraId="1D5DE410">
            <w:pPr>
              <w:widowControl/>
              <w:numPr>
                <w:ilvl w:val="0"/>
                <w:numId w:val="3"/>
              </w:numPr>
              <w:spacing w:line="240" w:lineRule="auto"/>
              <w:ind w:firstLine="0" w:firstLineChars="0"/>
              <w:jc w:val="center"/>
              <w:textAlignment w:val="center"/>
              <w:rPr>
                <w:rFonts w:cs="仿宋"/>
                <w:color w:val="000000"/>
                <w:sz w:val="22"/>
              </w:rPr>
            </w:pPr>
          </w:p>
        </w:tc>
        <w:tc>
          <w:tcPr>
            <w:tcW w:w="654" w:type="pct"/>
            <w:shd w:val="clear" w:color="auto" w:fill="auto"/>
            <w:vAlign w:val="center"/>
          </w:tcPr>
          <w:p w14:paraId="1A337892">
            <w:pPr>
              <w:widowControl/>
              <w:ind w:firstLine="0" w:firstLineChars="0"/>
              <w:jc w:val="left"/>
              <w:textAlignment w:val="center"/>
              <w:rPr>
                <w:rFonts w:cs="仿宋"/>
                <w:color w:val="000000"/>
                <w:sz w:val="22"/>
              </w:rPr>
            </w:pPr>
            <w:r>
              <w:rPr>
                <w:rFonts w:hint="eastAsia" w:cs="仿宋"/>
                <w:color w:val="000000"/>
                <w:kern w:val="0"/>
                <w:sz w:val="22"/>
              </w:rPr>
              <w:t>通用指标</w:t>
            </w:r>
          </w:p>
        </w:tc>
        <w:tc>
          <w:tcPr>
            <w:tcW w:w="843" w:type="pct"/>
            <w:shd w:val="clear" w:color="auto" w:fill="auto"/>
            <w:vAlign w:val="center"/>
          </w:tcPr>
          <w:p w14:paraId="0865E4A7">
            <w:pPr>
              <w:widowControl/>
              <w:ind w:firstLine="0" w:firstLineChars="0"/>
              <w:jc w:val="left"/>
              <w:textAlignment w:val="center"/>
              <w:rPr>
                <w:rFonts w:cs="仿宋"/>
                <w:color w:val="000000"/>
                <w:sz w:val="22"/>
              </w:rPr>
            </w:pPr>
            <w:r>
              <w:rPr>
                <w:rFonts w:hint="eastAsia" w:cs="仿宋"/>
                <w:color w:val="000000"/>
                <w:kern w:val="0"/>
                <w:sz w:val="22"/>
              </w:rPr>
              <w:t>产出指标</w:t>
            </w:r>
          </w:p>
        </w:tc>
        <w:tc>
          <w:tcPr>
            <w:tcW w:w="1019" w:type="pct"/>
          </w:tcPr>
          <w:p w14:paraId="51765B01">
            <w:pPr>
              <w:widowControl/>
              <w:ind w:firstLine="0" w:firstLineChars="0"/>
              <w:jc w:val="left"/>
              <w:textAlignment w:val="center"/>
              <w:rPr>
                <w:rFonts w:cs="仿宋"/>
                <w:color w:val="000000"/>
                <w:kern w:val="0"/>
                <w:sz w:val="22"/>
              </w:rPr>
            </w:pPr>
            <w:r>
              <w:rPr>
                <w:rFonts w:hint="eastAsia" w:cs="仿宋"/>
                <w:color w:val="000000"/>
                <w:kern w:val="0"/>
                <w:sz w:val="22"/>
              </w:rPr>
              <w:t>产出质量</w:t>
            </w:r>
          </w:p>
        </w:tc>
        <w:tc>
          <w:tcPr>
            <w:tcW w:w="1130" w:type="pct"/>
            <w:shd w:val="clear" w:color="auto" w:fill="auto"/>
            <w:vAlign w:val="center"/>
          </w:tcPr>
          <w:p w14:paraId="42850DC4">
            <w:pPr>
              <w:widowControl/>
              <w:ind w:firstLine="0" w:firstLineChars="0"/>
              <w:jc w:val="left"/>
              <w:textAlignment w:val="center"/>
              <w:rPr>
                <w:rFonts w:cs="仿宋"/>
                <w:color w:val="000000"/>
                <w:sz w:val="22"/>
              </w:rPr>
            </w:pPr>
            <w:r>
              <w:rPr>
                <w:rFonts w:hint="eastAsia" w:cs="仿宋"/>
                <w:color w:val="000000"/>
                <w:kern w:val="0"/>
                <w:sz w:val="22"/>
              </w:rPr>
              <w:t>项目建设周期</w:t>
            </w:r>
          </w:p>
        </w:tc>
        <w:tc>
          <w:tcPr>
            <w:tcW w:w="947" w:type="pct"/>
            <w:shd w:val="clear" w:color="auto" w:fill="auto"/>
            <w:vAlign w:val="center"/>
          </w:tcPr>
          <w:p w14:paraId="35273DF0">
            <w:pPr>
              <w:widowControl/>
              <w:ind w:firstLine="0" w:firstLineChars="0"/>
              <w:jc w:val="left"/>
              <w:textAlignment w:val="center"/>
              <w:rPr>
                <w:rFonts w:cs="仿宋"/>
                <w:color w:val="000000"/>
                <w:sz w:val="22"/>
              </w:rPr>
            </w:pPr>
            <w:r>
              <w:rPr>
                <w:rFonts w:hint="eastAsia" w:cs="仿宋"/>
                <w:color w:val="000000"/>
                <w:kern w:val="0"/>
                <w:sz w:val="22"/>
              </w:rPr>
              <w:t>10个月</w:t>
            </w:r>
          </w:p>
        </w:tc>
      </w:tr>
      <w:tr w14:paraId="6BC43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406" w:type="pct"/>
            <w:shd w:val="clear" w:color="auto" w:fill="auto"/>
            <w:vAlign w:val="center"/>
          </w:tcPr>
          <w:p w14:paraId="2A13F8EB">
            <w:pPr>
              <w:widowControl/>
              <w:numPr>
                <w:ilvl w:val="0"/>
                <w:numId w:val="3"/>
              </w:numPr>
              <w:spacing w:line="240" w:lineRule="auto"/>
              <w:ind w:firstLine="0" w:firstLineChars="0"/>
              <w:jc w:val="center"/>
              <w:textAlignment w:val="center"/>
              <w:rPr>
                <w:rFonts w:cs="仿宋"/>
                <w:color w:val="000000"/>
                <w:sz w:val="22"/>
              </w:rPr>
            </w:pPr>
          </w:p>
        </w:tc>
        <w:tc>
          <w:tcPr>
            <w:tcW w:w="654" w:type="pct"/>
            <w:shd w:val="clear" w:color="auto" w:fill="auto"/>
            <w:vAlign w:val="center"/>
          </w:tcPr>
          <w:p w14:paraId="688C885E">
            <w:pPr>
              <w:widowControl/>
              <w:ind w:firstLine="0" w:firstLineChars="0"/>
              <w:jc w:val="left"/>
              <w:textAlignment w:val="center"/>
              <w:rPr>
                <w:rFonts w:cs="仿宋"/>
                <w:color w:val="000000"/>
                <w:sz w:val="22"/>
              </w:rPr>
            </w:pPr>
            <w:r>
              <w:rPr>
                <w:rFonts w:hint="eastAsia" w:cs="仿宋"/>
                <w:color w:val="000000"/>
                <w:kern w:val="0"/>
                <w:sz w:val="22"/>
              </w:rPr>
              <w:t>通用指标</w:t>
            </w:r>
          </w:p>
        </w:tc>
        <w:tc>
          <w:tcPr>
            <w:tcW w:w="843" w:type="pct"/>
            <w:shd w:val="clear" w:color="auto" w:fill="auto"/>
            <w:vAlign w:val="center"/>
          </w:tcPr>
          <w:p w14:paraId="73EC781F">
            <w:pPr>
              <w:widowControl/>
              <w:ind w:firstLine="0" w:firstLineChars="0"/>
              <w:jc w:val="left"/>
              <w:textAlignment w:val="center"/>
              <w:rPr>
                <w:rFonts w:cs="仿宋"/>
                <w:color w:val="000000"/>
                <w:sz w:val="22"/>
              </w:rPr>
            </w:pPr>
            <w:r>
              <w:rPr>
                <w:rFonts w:hint="eastAsia" w:cs="仿宋"/>
                <w:color w:val="000000"/>
                <w:kern w:val="0"/>
                <w:sz w:val="22"/>
              </w:rPr>
              <w:t>产出指标</w:t>
            </w:r>
          </w:p>
        </w:tc>
        <w:tc>
          <w:tcPr>
            <w:tcW w:w="1019" w:type="pct"/>
          </w:tcPr>
          <w:p w14:paraId="7072406B">
            <w:pPr>
              <w:widowControl/>
              <w:ind w:firstLine="0" w:firstLineChars="0"/>
              <w:jc w:val="left"/>
              <w:textAlignment w:val="center"/>
              <w:rPr>
                <w:rFonts w:cs="仿宋"/>
                <w:color w:val="000000"/>
                <w:kern w:val="0"/>
                <w:sz w:val="22"/>
              </w:rPr>
            </w:pPr>
            <w:r>
              <w:rPr>
                <w:rFonts w:hint="eastAsia" w:cs="仿宋"/>
                <w:color w:val="000000"/>
                <w:kern w:val="0"/>
                <w:sz w:val="22"/>
              </w:rPr>
              <w:t>数量指标</w:t>
            </w:r>
          </w:p>
        </w:tc>
        <w:tc>
          <w:tcPr>
            <w:tcW w:w="1130" w:type="pct"/>
            <w:shd w:val="clear" w:color="auto" w:fill="auto"/>
            <w:vAlign w:val="center"/>
          </w:tcPr>
          <w:p w14:paraId="3866FDEB">
            <w:pPr>
              <w:widowControl/>
              <w:ind w:firstLine="0" w:firstLineChars="0"/>
              <w:jc w:val="left"/>
              <w:textAlignment w:val="center"/>
              <w:rPr>
                <w:rFonts w:cs="仿宋"/>
                <w:color w:val="000000"/>
                <w:sz w:val="22"/>
              </w:rPr>
            </w:pPr>
            <w:r>
              <w:rPr>
                <w:rFonts w:hint="eastAsia" w:cs="仿宋"/>
                <w:color w:val="000000"/>
                <w:kern w:val="0"/>
                <w:sz w:val="22"/>
              </w:rPr>
              <w:t>数据准确性</w:t>
            </w:r>
          </w:p>
        </w:tc>
        <w:tc>
          <w:tcPr>
            <w:tcW w:w="947" w:type="pct"/>
            <w:shd w:val="clear" w:color="auto" w:fill="auto"/>
            <w:vAlign w:val="center"/>
          </w:tcPr>
          <w:p w14:paraId="5A62CFF8">
            <w:pPr>
              <w:widowControl/>
              <w:ind w:firstLine="0" w:firstLineChars="0"/>
              <w:jc w:val="left"/>
              <w:textAlignment w:val="center"/>
              <w:rPr>
                <w:rFonts w:cs="仿宋"/>
                <w:color w:val="000000"/>
                <w:sz w:val="22"/>
              </w:rPr>
            </w:pPr>
            <w:r>
              <w:rPr>
                <w:rFonts w:hint="eastAsia" w:cs="仿宋"/>
                <w:color w:val="000000"/>
                <w:kern w:val="0"/>
                <w:sz w:val="22"/>
              </w:rPr>
              <w:t>95%</w:t>
            </w:r>
          </w:p>
        </w:tc>
      </w:tr>
    </w:tbl>
    <w:p w14:paraId="04B73CF4"/>
    <w:p w14:paraId="12765A3D">
      <w:pPr>
        <w:pStyle w:val="3"/>
      </w:pPr>
      <w:bookmarkStart w:id="12" w:name="_Toc172710992"/>
      <w:r>
        <w:t>业务绩效考核目标</w:t>
      </w:r>
      <w:bookmarkEnd w:id="12"/>
    </w:p>
    <w:tbl>
      <w:tblPr>
        <w:tblStyle w:val="3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7"/>
        <w:gridCol w:w="1100"/>
        <w:gridCol w:w="1218"/>
        <w:gridCol w:w="2084"/>
        <w:gridCol w:w="2084"/>
        <w:gridCol w:w="1385"/>
      </w:tblGrid>
      <w:tr w14:paraId="69B379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385" w:type="pct"/>
            <w:shd w:val="clear" w:color="auto" w:fill="auto"/>
            <w:vAlign w:val="center"/>
          </w:tcPr>
          <w:p w14:paraId="7CBC1482">
            <w:pPr>
              <w:widowControl/>
              <w:ind w:firstLine="0" w:firstLineChars="0"/>
              <w:jc w:val="left"/>
              <w:textAlignment w:val="center"/>
              <w:rPr>
                <w:rFonts w:ascii="宋体" w:hAnsi="宋体" w:eastAsia="宋体" w:cs="仿宋"/>
                <w:color w:val="000000"/>
                <w:kern w:val="0"/>
                <w:sz w:val="22"/>
              </w:rPr>
            </w:pPr>
            <w:r>
              <w:rPr>
                <w:rFonts w:hint="eastAsia" w:ascii="宋体" w:hAnsi="宋体" w:eastAsia="宋体" w:cs="仿宋"/>
                <w:color w:val="000000"/>
                <w:kern w:val="0"/>
                <w:sz w:val="22"/>
              </w:rPr>
              <w:t>序号</w:t>
            </w:r>
          </w:p>
        </w:tc>
        <w:tc>
          <w:tcPr>
            <w:tcW w:w="645" w:type="pct"/>
            <w:shd w:val="clear" w:color="auto" w:fill="auto"/>
            <w:vAlign w:val="center"/>
          </w:tcPr>
          <w:p w14:paraId="14A43D8B">
            <w:pPr>
              <w:widowControl/>
              <w:ind w:firstLine="0" w:firstLineChars="0"/>
              <w:jc w:val="left"/>
              <w:textAlignment w:val="center"/>
              <w:rPr>
                <w:rFonts w:ascii="宋体" w:hAnsi="宋体" w:eastAsia="宋体" w:cs="仿宋"/>
                <w:color w:val="000000"/>
                <w:kern w:val="0"/>
                <w:sz w:val="22"/>
              </w:rPr>
            </w:pPr>
            <w:r>
              <w:rPr>
                <w:rFonts w:hint="eastAsia" w:ascii="宋体" w:hAnsi="宋体" w:eastAsia="宋体" w:cs="仿宋"/>
                <w:color w:val="000000"/>
                <w:kern w:val="0"/>
                <w:sz w:val="22"/>
              </w:rPr>
              <w:t>一级指标</w:t>
            </w:r>
          </w:p>
        </w:tc>
        <w:tc>
          <w:tcPr>
            <w:tcW w:w="714" w:type="pct"/>
            <w:shd w:val="clear" w:color="auto" w:fill="auto"/>
            <w:vAlign w:val="center"/>
          </w:tcPr>
          <w:p w14:paraId="357284E2">
            <w:pPr>
              <w:widowControl/>
              <w:ind w:firstLine="0" w:firstLineChars="0"/>
              <w:jc w:val="left"/>
              <w:textAlignment w:val="center"/>
              <w:rPr>
                <w:rFonts w:ascii="宋体" w:hAnsi="宋体" w:eastAsia="宋体" w:cs="仿宋"/>
                <w:color w:val="000000"/>
                <w:kern w:val="0"/>
                <w:sz w:val="22"/>
              </w:rPr>
            </w:pPr>
            <w:r>
              <w:rPr>
                <w:rFonts w:hint="eastAsia" w:ascii="宋体" w:hAnsi="宋体" w:eastAsia="宋体" w:cs="仿宋"/>
                <w:color w:val="000000"/>
                <w:kern w:val="0"/>
                <w:sz w:val="22"/>
              </w:rPr>
              <w:t>二级指标</w:t>
            </w:r>
          </w:p>
        </w:tc>
        <w:tc>
          <w:tcPr>
            <w:tcW w:w="1222" w:type="pct"/>
          </w:tcPr>
          <w:p w14:paraId="7C7C7FBC">
            <w:pPr>
              <w:widowControl/>
              <w:ind w:firstLine="0" w:firstLineChars="0"/>
              <w:jc w:val="left"/>
              <w:textAlignment w:val="center"/>
              <w:rPr>
                <w:rFonts w:cs="仿宋"/>
                <w:color w:val="000000"/>
                <w:kern w:val="0"/>
                <w:sz w:val="22"/>
              </w:rPr>
            </w:pPr>
            <w:r>
              <w:rPr>
                <w:rFonts w:hint="eastAsia" w:cs="仿宋"/>
                <w:color w:val="000000"/>
                <w:kern w:val="0"/>
                <w:sz w:val="22"/>
              </w:rPr>
              <w:t>三级指标</w:t>
            </w:r>
          </w:p>
        </w:tc>
        <w:tc>
          <w:tcPr>
            <w:tcW w:w="1222" w:type="pct"/>
            <w:shd w:val="clear" w:color="auto" w:fill="auto"/>
            <w:vAlign w:val="center"/>
          </w:tcPr>
          <w:p w14:paraId="35F9948B">
            <w:pPr>
              <w:widowControl/>
              <w:ind w:firstLine="0" w:firstLineChars="0"/>
              <w:jc w:val="left"/>
              <w:textAlignment w:val="center"/>
              <w:rPr>
                <w:rFonts w:ascii="宋体" w:hAnsi="宋体" w:eastAsia="宋体" w:cs="仿宋"/>
                <w:color w:val="000000"/>
                <w:kern w:val="0"/>
                <w:sz w:val="22"/>
              </w:rPr>
            </w:pPr>
            <w:r>
              <w:rPr>
                <w:rFonts w:hint="eastAsia" w:ascii="宋体" w:hAnsi="宋体" w:eastAsia="宋体" w:cs="仿宋"/>
                <w:color w:val="000000"/>
                <w:kern w:val="0"/>
                <w:sz w:val="22"/>
              </w:rPr>
              <w:t>四级指标</w:t>
            </w:r>
          </w:p>
        </w:tc>
        <w:tc>
          <w:tcPr>
            <w:tcW w:w="812" w:type="pct"/>
            <w:shd w:val="clear" w:color="auto" w:fill="auto"/>
            <w:vAlign w:val="center"/>
          </w:tcPr>
          <w:p w14:paraId="4ECCC9F4">
            <w:pPr>
              <w:widowControl/>
              <w:ind w:firstLine="0" w:firstLineChars="0"/>
              <w:jc w:val="left"/>
              <w:textAlignment w:val="center"/>
              <w:rPr>
                <w:rFonts w:ascii="宋体" w:hAnsi="宋体" w:eastAsia="宋体" w:cs="仿宋"/>
                <w:color w:val="000000"/>
                <w:kern w:val="0"/>
                <w:sz w:val="22"/>
              </w:rPr>
            </w:pPr>
            <w:r>
              <w:rPr>
                <w:rFonts w:hint="eastAsia" w:ascii="宋体" w:hAnsi="宋体" w:eastAsia="宋体" w:cs="仿宋"/>
                <w:color w:val="000000"/>
                <w:kern w:val="0"/>
                <w:sz w:val="22"/>
              </w:rPr>
              <w:t>指标值</w:t>
            </w:r>
          </w:p>
        </w:tc>
      </w:tr>
      <w:tr w14:paraId="472CAC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385" w:type="pct"/>
            <w:shd w:val="clear" w:color="auto" w:fill="auto"/>
            <w:vAlign w:val="center"/>
          </w:tcPr>
          <w:p w14:paraId="22D32B9A">
            <w:pPr>
              <w:pStyle w:val="61"/>
              <w:widowControl/>
              <w:numPr>
                <w:ilvl w:val="0"/>
                <w:numId w:val="4"/>
              </w:numPr>
              <w:spacing w:line="240" w:lineRule="auto"/>
              <w:ind w:left="425" w:firstLineChars="0"/>
              <w:jc w:val="left"/>
              <w:textAlignment w:val="center"/>
              <w:rPr>
                <w:rFonts w:ascii="仿宋" w:hAnsi="仿宋" w:eastAsia="仿宋" w:cs="仿宋"/>
                <w:color w:val="000000"/>
                <w:kern w:val="0"/>
                <w:sz w:val="22"/>
              </w:rPr>
            </w:pPr>
          </w:p>
        </w:tc>
        <w:tc>
          <w:tcPr>
            <w:tcW w:w="645" w:type="pct"/>
            <w:shd w:val="clear" w:color="auto" w:fill="auto"/>
            <w:vAlign w:val="center"/>
          </w:tcPr>
          <w:p w14:paraId="4992EFAC">
            <w:pPr>
              <w:widowControl/>
              <w:ind w:firstLine="0" w:firstLineChars="0"/>
              <w:jc w:val="left"/>
              <w:textAlignment w:val="center"/>
              <w:rPr>
                <w:rFonts w:ascii="宋体" w:hAnsi="宋体" w:eastAsia="宋体" w:cs="仿宋"/>
                <w:color w:val="000000"/>
                <w:kern w:val="0"/>
                <w:sz w:val="22"/>
              </w:rPr>
            </w:pPr>
            <w:r>
              <w:rPr>
                <w:rFonts w:hint="eastAsia" w:ascii="宋体" w:hAnsi="宋体" w:eastAsia="宋体" w:cs="仿宋"/>
                <w:color w:val="000000"/>
                <w:kern w:val="0"/>
                <w:sz w:val="22"/>
              </w:rPr>
              <w:t>通用指标</w:t>
            </w:r>
          </w:p>
        </w:tc>
        <w:tc>
          <w:tcPr>
            <w:tcW w:w="714" w:type="pct"/>
            <w:shd w:val="clear" w:color="auto" w:fill="auto"/>
            <w:vAlign w:val="center"/>
          </w:tcPr>
          <w:p w14:paraId="19F0F82B">
            <w:pPr>
              <w:widowControl/>
              <w:ind w:firstLine="0" w:firstLineChars="0"/>
              <w:jc w:val="left"/>
              <w:textAlignment w:val="center"/>
              <w:rPr>
                <w:rFonts w:ascii="宋体" w:hAnsi="宋体" w:eastAsia="宋体" w:cs="仿宋"/>
                <w:color w:val="000000"/>
                <w:kern w:val="0"/>
                <w:sz w:val="22"/>
              </w:rPr>
            </w:pPr>
            <w:r>
              <w:rPr>
                <w:rFonts w:hint="eastAsia" w:ascii="宋体" w:hAnsi="宋体" w:eastAsia="宋体" w:cs="仿宋"/>
                <w:color w:val="000000"/>
                <w:kern w:val="0"/>
                <w:sz w:val="22"/>
              </w:rPr>
              <w:t>应用系统</w:t>
            </w:r>
          </w:p>
        </w:tc>
        <w:tc>
          <w:tcPr>
            <w:tcW w:w="1222" w:type="pct"/>
          </w:tcPr>
          <w:p w14:paraId="7E3CC04C">
            <w:pPr>
              <w:widowControl/>
              <w:ind w:firstLine="0" w:firstLineChars="0"/>
              <w:jc w:val="left"/>
              <w:textAlignment w:val="center"/>
              <w:rPr>
                <w:rFonts w:cs="仿宋"/>
                <w:color w:val="000000"/>
                <w:kern w:val="0"/>
                <w:sz w:val="22"/>
              </w:rPr>
            </w:pPr>
            <w:r>
              <w:rPr>
                <w:rFonts w:hint="eastAsia" w:ascii="宋体" w:hAnsi="宋体" w:eastAsia="宋体" w:cs="仿宋"/>
                <w:color w:val="000000"/>
                <w:kern w:val="0"/>
                <w:sz w:val="22"/>
              </w:rPr>
              <w:t>数量指标</w:t>
            </w:r>
          </w:p>
        </w:tc>
        <w:tc>
          <w:tcPr>
            <w:tcW w:w="1222" w:type="pct"/>
            <w:shd w:val="clear" w:color="auto" w:fill="auto"/>
            <w:vAlign w:val="center"/>
          </w:tcPr>
          <w:p w14:paraId="1C4DBE9F">
            <w:pPr>
              <w:widowControl/>
              <w:ind w:firstLine="0" w:firstLineChars="0"/>
              <w:jc w:val="left"/>
              <w:textAlignment w:val="center"/>
              <w:rPr>
                <w:rFonts w:ascii="宋体" w:hAnsi="宋体" w:eastAsia="宋体" w:cs="仿宋"/>
                <w:color w:val="000000"/>
                <w:kern w:val="0"/>
                <w:sz w:val="22"/>
              </w:rPr>
            </w:pPr>
            <w:r>
              <w:rPr>
                <w:rFonts w:hint="eastAsia" w:ascii="宋体" w:hAnsi="宋体" w:eastAsia="宋体" w:cs="仿宋"/>
                <w:color w:val="000000"/>
                <w:kern w:val="0"/>
                <w:sz w:val="22"/>
              </w:rPr>
              <w:t>支撑许可事项数量</w:t>
            </w:r>
          </w:p>
        </w:tc>
        <w:tc>
          <w:tcPr>
            <w:tcW w:w="812" w:type="pct"/>
            <w:shd w:val="clear" w:color="auto" w:fill="auto"/>
            <w:vAlign w:val="center"/>
          </w:tcPr>
          <w:p w14:paraId="563FB405">
            <w:pPr>
              <w:widowControl/>
              <w:ind w:firstLine="0" w:firstLineChars="0"/>
              <w:jc w:val="left"/>
              <w:textAlignment w:val="center"/>
              <w:rPr>
                <w:rFonts w:ascii="宋体" w:hAnsi="宋体" w:eastAsia="宋体" w:cs="仿宋"/>
                <w:color w:val="000000"/>
                <w:kern w:val="0"/>
                <w:sz w:val="22"/>
              </w:rPr>
            </w:pPr>
            <w:r>
              <w:rPr>
                <w:rFonts w:hint="eastAsia" w:cs="仿宋"/>
                <w:color w:val="000000"/>
                <w:kern w:val="0"/>
                <w:sz w:val="22"/>
              </w:rPr>
              <w:t>大于30</w:t>
            </w:r>
            <w:r>
              <w:rPr>
                <w:rFonts w:hint="eastAsia" w:cs="仿宋" w:asciiTheme="minorEastAsia" w:hAnsiTheme="minorEastAsia"/>
                <w:color w:val="000000"/>
                <w:kern w:val="0"/>
                <w:sz w:val="22"/>
              </w:rPr>
              <w:t>项</w:t>
            </w:r>
          </w:p>
        </w:tc>
      </w:tr>
      <w:tr w14:paraId="6C197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385" w:type="pct"/>
            <w:shd w:val="clear" w:color="auto" w:fill="auto"/>
            <w:vAlign w:val="center"/>
          </w:tcPr>
          <w:p w14:paraId="43969373">
            <w:pPr>
              <w:pStyle w:val="61"/>
              <w:widowControl/>
              <w:numPr>
                <w:ilvl w:val="0"/>
                <w:numId w:val="4"/>
              </w:numPr>
              <w:spacing w:line="240" w:lineRule="auto"/>
              <w:ind w:left="425" w:firstLineChars="0"/>
              <w:jc w:val="left"/>
              <w:textAlignment w:val="center"/>
              <w:rPr>
                <w:rFonts w:ascii="仿宋" w:hAnsi="仿宋" w:eastAsia="仿宋" w:cs="仿宋"/>
                <w:color w:val="000000"/>
                <w:kern w:val="0"/>
                <w:sz w:val="22"/>
              </w:rPr>
            </w:pPr>
          </w:p>
        </w:tc>
        <w:tc>
          <w:tcPr>
            <w:tcW w:w="645" w:type="pct"/>
            <w:shd w:val="clear" w:color="auto" w:fill="auto"/>
            <w:vAlign w:val="center"/>
          </w:tcPr>
          <w:p w14:paraId="43E65059">
            <w:pPr>
              <w:widowControl/>
              <w:ind w:firstLine="0" w:firstLineChars="0"/>
              <w:jc w:val="left"/>
              <w:textAlignment w:val="center"/>
              <w:rPr>
                <w:rFonts w:ascii="宋体" w:hAnsi="宋体" w:eastAsia="宋体" w:cs="仿宋"/>
                <w:color w:val="000000"/>
                <w:kern w:val="0"/>
                <w:sz w:val="22"/>
              </w:rPr>
            </w:pPr>
            <w:r>
              <w:rPr>
                <w:rFonts w:hint="eastAsia" w:ascii="宋体" w:hAnsi="宋体" w:eastAsia="宋体" w:cs="仿宋"/>
                <w:color w:val="000000"/>
                <w:kern w:val="0"/>
                <w:sz w:val="22"/>
              </w:rPr>
              <w:t>通用指标</w:t>
            </w:r>
          </w:p>
        </w:tc>
        <w:tc>
          <w:tcPr>
            <w:tcW w:w="714" w:type="pct"/>
            <w:shd w:val="clear" w:color="auto" w:fill="auto"/>
            <w:vAlign w:val="center"/>
          </w:tcPr>
          <w:p w14:paraId="708BA8D2">
            <w:pPr>
              <w:widowControl/>
              <w:ind w:firstLine="0" w:firstLineChars="0"/>
              <w:jc w:val="left"/>
              <w:textAlignment w:val="center"/>
              <w:rPr>
                <w:rFonts w:ascii="宋体" w:hAnsi="宋体" w:eastAsia="宋体" w:cs="仿宋"/>
                <w:color w:val="000000"/>
                <w:kern w:val="0"/>
                <w:sz w:val="22"/>
              </w:rPr>
            </w:pPr>
            <w:r>
              <w:rPr>
                <w:rFonts w:hint="eastAsia" w:ascii="宋体" w:hAnsi="宋体" w:eastAsia="宋体" w:cs="仿宋"/>
                <w:color w:val="000000"/>
                <w:kern w:val="0"/>
                <w:sz w:val="22"/>
              </w:rPr>
              <w:t>应用系统</w:t>
            </w:r>
          </w:p>
        </w:tc>
        <w:tc>
          <w:tcPr>
            <w:tcW w:w="1222" w:type="pct"/>
          </w:tcPr>
          <w:p w14:paraId="67EF9C23">
            <w:pPr>
              <w:widowControl/>
              <w:ind w:firstLine="0" w:firstLineChars="0"/>
              <w:jc w:val="left"/>
              <w:textAlignment w:val="center"/>
              <w:rPr>
                <w:rFonts w:cs="仿宋"/>
                <w:color w:val="000000"/>
                <w:kern w:val="0"/>
                <w:sz w:val="22"/>
              </w:rPr>
            </w:pPr>
            <w:r>
              <w:rPr>
                <w:rFonts w:hint="eastAsia" w:ascii="宋体" w:hAnsi="宋体" w:eastAsia="宋体" w:cs="仿宋"/>
                <w:color w:val="000000"/>
                <w:kern w:val="0"/>
                <w:sz w:val="22"/>
              </w:rPr>
              <w:t>数量指标</w:t>
            </w:r>
          </w:p>
        </w:tc>
        <w:tc>
          <w:tcPr>
            <w:tcW w:w="1222" w:type="pct"/>
            <w:shd w:val="clear" w:color="auto" w:fill="auto"/>
            <w:vAlign w:val="center"/>
          </w:tcPr>
          <w:p w14:paraId="4AAD0A37">
            <w:pPr>
              <w:widowControl/>
              <w:ind w:firstLine="0" w:firstLineChars="0"/>
              <w:jc w:val="left"/>
              <w:textAlignment w:val="center"/>
              <w:rPr>
                <w:rFonts w:ascii="宋体" w:hAnsi="宋体" w:eastAsia="宋体" w:cs="仿宋"/>
                <w:color w:val="000000"/>
                <w:kern w:val="0"/>
                <w:sz w:val="22"/>
              </w:rPr>
            </w:pPr>
            <w:r>
              <w:rPr>
                <w:rFonts w:hint="eastAsia" w:ascii="宋体" w:hAnsi="宋体" w:eastAsia="宋体" w:cs="仿宋"/>
                <w:color w:val="000000"/>
                <w:kern w:val="0"/>
                <w:sz w:val="22"/>
              </w:rPr>
              <w:t>办件量</w:t>
            </w:r>
          </w:p>
        </w:tc>
        <w:tc>
          <w:tcPr>
            <w:tcW w:w="812" w:type="pct"/>
            <w:shd w:val="clear" w:color="auto" w:fill="auto"/>
            <w:vAlign w:val="center"/>
          </w:tcPr>
          <w:p w14:paraId="48CC32EB">
            <w:pPr>
              <w:widowControl/>
              <w:ind w:firstLine="0" w:firstLineChars="0"/>
              <w:jc w:val="left"/>
              <w:textAlignment w:val="center"/>
              <w:rPr>
                <w:rFonts w:ascii="宋体" w:hAnsi="宋体" w:eastAsia="宋体" w:cs="仿宋"/>
                <w:color w:val="000000"/>
                <w:kern w:val="0"/>
                <w:sz w:val="22"/>
              </w:rPr>
            </w:pPr>
            <w:r>
              <w:rPr>
                <w:rFonts w:hint="eastAsia" w:ascii="宋体" w:hAnsi="宋体" w:eastAsia="宋体" w:cs="仿宋"/>
                <w:color w:val="000000"/>
                <w:kern w:val="0"/>
                <w:sz w:val="22"/>
              </w:rPr>
              <w:t>一年大于</w:t>
            </w:r>
            <w:r>
              <w:rPr>
                <w:rFonts w:ascii="宋体" w:hAnsi="宋体" w:eastAsia="宋体" w:cs="仿宋"/>
                <w:color w:val="000000"/>
                <w:kern w:val="0"/>
                <w:sz w:val="22"/>
              </w:rPr>
              <w:t>2万件</w:t>
            </w:r>
          </w:p>
        </w:tc>
      </w:tr>
      <w:tr w14:paraId="21F3F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385" w:type="pct"/>
            <w:shd w:val="clear" w:color="auto" w:fill="auto"/>
            <w:vAlign w:val="center"/>
          </w:tcPr>
          <w:p w14:paraId="3998C9D7">
            <w:pPr>
              <w:pStyle w:val="61"/>
              <w:widowControl/>
              <w:numPr>
                <w:ilvl w:val="0"/>
                <w:numId w:val="4"/>
              </w:numPr>
              <w:spacing w:line="240" w:lineRule="auto"/>
              <w:ind w:left="425" w:firstLineChars="0"/>
              <w:jc w:val="left"/>
              <w:textAlignment w:val="center"/>
              <w:rPr>
                <w:rFonts w:ascii="仿宋" w:hAnsi="仿宋" w:eastAsia="仿宋" w:cs="仿宋"/>
                <w:color w:val="000000"/>
                <w:kern w:val="0"/>
                <w:sz w:val="22"/>
              </w:rPr>
            </w:pPr>
          </w:p>
        </w:tc>
        <w:tc>
          <w:tcPr>
            <w:tcW w:w="645" w:type="pct"/>
            <w:shd w:val="clear" w:color="auto" w:fill="auto"/>
            <w:vAlign w:val="center"/>
          </w:tcPr>
          <w:p w14:paraId="156745F1">
            <w:pPr>
              <w:widowControl/>
              <w:ind w:firstLine="0" w:firstLineChars="0"/>
              <w:jc w:val="left"/>
              <w:textAlignment w:val="center"/>
              <w:rPr>
                <w:rFonts w:ascii="宋体" w:hAnsi="宋体" w:eastAsia="宋体" w:cs="仿宋"/>
                <w:color w:val="000000"/>
                <w:kern w:val="0"/>
                <w:sz w:val="22"/>
              </w:rPr>
            </w:pPr>
            <w:r>
              <w:rPr>
                <w:rFonts w:hint="eastAsia" w:ascii="宋体" w:hAnsi="宋体" w:eastAsia="宋体" w:cs="仿宋"/>
                <w:color w:val="000000"/>
                <w:kern w:val="0"/>
                <w:sz w:val="22"/>
              </w:rPr>
              <w:t>通用指标</w:t>
            </w:r>
          </w:p>
        </w:tc>
        <w:tc>
          <w:tcPr>
            <w:tcW w:w="714" w:type="pct"/>
            <w:shd w:val="clear" w:color="auto" w:fill="auto"/>
            <w:vAlign w:val="center"/>
          </w:tcPr>
          <w:p w14:paraId="54B5060D">
            <w:pPr>
              <w:widowControl/>
              <w:ind w:firstLine="0" w:firstLineChars="0"/>
              <w:jc w:val="left"/>
              <w:textAlignment w:val="center"/>
              <w:rPr>
                <w:rFonts w:ascii="宋体" w:hAnsi="宋体" w:eastAsia="宋体" w:cs="仿宋"/>
                <w:color w:val="000000"/>
                <w:kern w:val="0"/>
                <w:sz w:val="22"/>
              </w:rPr>
            </w:pPr>
            <w:r>
              <w:rPr>
                <w:rFonts w:hint="eastAsia" w:ascii="宋体" w:hAnsi="宋体" w:eastAsia="宋体" w:cs="仿宋"/>
                <w:color w:val="000000"/>
                <w:kern w:val="0"/>
                <w:sz w:val="22"/>
              </w:rPr>
              <w:t>应用系统</w:t>
            </w:r>
          </w:p>
        </w:tc>
        <w:tc>
          <w:tcPr>
            <w:tcW w:w="1222" w:type="pct"/>
          </w:tcPr>
          <w:p w14:paraId="03FC0E23">
            <w:pPr>
              <w:widowControl/>
              <w:ind w:firstLine="0" w:firstLineChars="0"/>
              <w:jc w:val="left"/>
              <w:textAlignment w:val="center"/>
              <w:rPr>
                <w:rFonts w:cs="仿宋"/>
                <w:color w:val="000000"/>
                <w:kern w:val="0"/>
                <w:sz w:val="22"/>
              </w:rPr>
            </w:pPr>
            <w:r>
              <w:rPr>
                <w:rFonts w:hint="eastAsia" w:ascii="宋体" w:hAnsi="宋体" w:eastAsia="宋体" w:cs="仿宋"/>
                <w:color w:val="000000"/>
                <w:kern w:val="0"/>
                <w:sz w:val="22"/>
              </w:rPr>
              <w:t>数量指标</w:t>
            </w:r>
          </w:p>
        </w:tc>
        <w:tc>
          <w:tcPr>
            <w:tcW w:w="1222" w:type="pct"/>
            <w:shd w:val="clear" w:color="auto" w:fill="auto"/>
            <w:vAlign w:val="center"/>
          </w:tcPr>
          <w:p w14:paraId="37BCEDD8">
            <w:pPr>
              <w:widowControl/>
              <w:ind w:firstLine="0" w:firstLineChars="0"/>
              <w:jc w:val="left"/>
              <w:textAlignment w:val="center"/>
              <w:rPr>
                <w:rFonts w:ascii="宋体" w:hAnsi="宋体" w:eastAsia="宋体" w:cs="仿宋"/>
                <w:color w:val="000000"/>
                <w:kern w:val="0"/>
                <w:sz w:val="22"/>
              </w:rPr>
            </w:pPr>
            <w:r>
              <w:rPr>
                <w:rFonts w:hint="eastAsia" w:ascii="宋体" w:hAnsi="宋体" w:eastAsia="宋体" w:cs="仿宋"/>
                <w:color w:val="000000"/>
                <w:kern w:val="0"/>
                <w:sz w:val="22"/>
              </w:rPr>
              <w:t>电子证照数据采集完成率</w:t>
            </w:r>
          </w:p>
        </w:tc>
        <w:tc>
          <w:tcPr>
            <w:tcW w:w="812" w:type="pct"/>
            <w:shd w:val="clear" w:color="auto" w:fill="auto"/>
            <w:vAlign w:val="center"/>
          </w:tcPr>
          <w:p w14:paraId="4F9F0806">
            <w:pPr>
              <w:widowControl/>
              <w:ind w:firstLine="0" w:firstLineChars="0"/>
              <w:jc w:val="left"/>
              <w:textAlignment w:val="center"/>
              <w:rPr>
                <w:rFonts w:ascii="宋体" w:hAnsi="宋体" w:eastAsia="宋体" w:cs="仿宋"/>
                <w:color w:val="000000"/>
                <w:kern w:val="0"/>
                <w:sz w:val="22"/>
              </w:rPr>
            </w:pPr>
            <w:r>
              <w:rPr>
                <w:rFonts w:ascii="宋体" w:hAnsi="宋体" w:eastAsia="宋体" w:cs="仿宋"/>
                <w:color w:val="000000"/>
                <w:kern w:val="0"/>
                <w:sz w:val="22"/>
              </w:rPr>
              <w:t>100%</w:t>
            </w:r>
          </w:p>
        </w:tc>
      </w:tr>
      <w:tr w14:paraId="7F8AF2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385" w:type="pct"/>
            <w:shd w:val="clear" w:color="auto" w:fill="auto"/>
            <w:vAlign w:val="center"/>
          </w:tcPr>
          <w:p w14:paraId="2E3A95FA">
            <w:pPr>
              <w:pStyle w:val="61"/>
              <w:widowControl/>
              <w:numPr>
                <w:ilvl w:val="0"/>
                <w:numId w:val="4"/>
              </w:numPr>
              <w:spacing w:line="240" w:lineRule="auto"/>
              <w:ind w:left="425" w:firstLineChars="0"/>
              <w:jc w:val="left"/>
              <w:textAlignment w:val="center"/>
              <w:rPr>
                <w:rFonts w:ascii="仿宋" w:hAnsi="仿宋" w:eastAsia="仿宋" w:cs="仿宋"/>
                <w:color w:val="000000"/>
                <w:kern w:val="0"/>
                <w:sz w:val="22"/>
              </w:rPr>
            </w:pPr>
          </w:p>
        </w:tc>
        <w:tc>
          <w:tcPr>
            <w:tcW w:w="645" w:type="pct"/>
            <w:shd w:val="clear" w:color="auto" w:fill="auto"/>
            <w:vAlign w:val="center"/>
          </w:tcPr>
          <w:p w14:paraId="4722B906">
            <w:pPr>
              <w:widowControl/>
              <w:ind w:firstLine="0" w:firstLineChars="0"/>
              <w:jc w:val="left"/>
              <w:textAlignment w:val="center"/>
              <w:rPr>
                <w:rFonts w:ascii="宋体" w:hAnsi="宋体" w:eastAsia="宋体" w:cs="仿宋"/>
                <w:color w:val="000000"/>
                <w:kern w:val="0"/>
                <w:sz w:val="22"/>
              </w:rPr>
            </w:pPr>
            <w:r>
              <w:rPr>
                <w:rFonts w:hint="eastAsia" w:ascii="宋体" w:hAnsi="宋体" w:eastAsia="宋体" w:cs="仿宋"/>
                <w:color w:val="000000"/>
                <w:kern w:val="0"/>
                <w:sz w:val="22"/>
              </w:rPr>
              <w:t>通用指标</w:t>
            </w:r>
          </w:p>
        </w:tc>
        <w:tc>
          <w:tcPr>
            <w:tcW w:w="714" w:type="pct"/>
            <w:shd w:val="clear" w:color="auto" w:fill="auto"/>
            <w:vAlign w:val="center"/>
          </w:tcPr>
          <w:p w14:paraId="44AC20AF">
            <w:pPr>
              <w:widowControl/>
              <w:ind w:firstLine="0" w:firstLineChars="0"/>
              <w:jc w:val="left"/>
              <w:textAlignment w:val="center"/>
              <w:rPr>
                <w:rFonts w:ascii="宋体" w:hAnsi="宋体" w:eastAsia="宋体" w:cs="仿宋"/>
                <w:color w:val="000000"/>
                <w:kern w:val="0"/>
                <w:sz w:val="22"/>
              </w:rPr>
            </w:pPr>
            <w:r>
              <w:rPr>
                <w:rFonts w:hint="eastAsia" w:ascii="宋体" w:hAnsi="宋体" w:eastAsia="宋体" w:cs="仿宋"/>
                <w:color w:val="000000"/>
                <w:kern w:val="0"/>
                <w:sz w:val="22"/>
              </w:rPr>
              <w:t>应用系统</w:t>
            </w:r>
          </w:p>
        </w:tc>
        <w:tc>
          <w:tcPr>
            <w:tcW w:w="1222" w:type="pct"/>
          </w:tcPr>
          <w:p w14:paraId="4C8F76A3">
            <w:pPr>
              <w:widowControl/>
              <w:ind w:firstLine="0" w:firstLineChars="0"/>
              <w:jc w:val="left"/>
              <w:textAlignment w:val="center"/>
              <w:rPr>
                <w:rFonts w:cs="仿宋"/>
                <w:color w:val="000000"/>
                <w:kern w:val="0"/>
                <w:sz w:val="22"/>
              </w:rPr>
            </w:pPr>
            <w:r>
              <w:rPr>
                <w:rFonts w:hint="eastAsia" w:ascii="宋体" w:hAnsi="宋体" w:eastAsia="宋体" w:cs="仿宋"/>
                <w:color w:val="000000"/>
                <w:kern w:val="0"/>
                <w:sz w:val="22"/>
              </w:rPr>
              <w:t>数量指标</w:t>
            </w:r>
          </w:p>
        </w:tc>
        <w:tc>
          <w:tcPr>
            <w:tcW w:w="1222" w:type="pct"/>
            <w:shd w:val="clear" w:color="auto" w:fill="auto"/>
            <w:vAlign w:val="center"/>
          </w:tcPr>
          <w:p w14:paraId="1D429286">
            <w:pPr>
              <w:widowControl/>
              <w:ind w:firstLine="0" w:firstLineChars="0"/>
              <w:jc w:val="left"/>
              <w:textAlignment w:val="center"/>
              <w:rPr>
                <w:rFonts w:ascii="宋体" w:hAnsi="宋体" w:eastAsia="宋体" w:cs="仿宋"/>
                <w:color w:val="000000"/>
                <w:kern w:val="0"/>
                <w:sz w:val="22"/>
              </w:rPr>
            </w:pPr>
            <w:r>
              <w:rPr>
                <w:rFonts w:hint="eastAsia" w:ascii="宋体" w:hAnsi="宋体" w:eastAsia="宋体" w:cs="仿宋"/>
                <w:color w:val="000000"/>
                <w:kern w:val="0"/>
                <w:sz w:val="22"/>
              </w:rPr>
              <w:t>数据源覆盖度</w:t>
            </w:r>
          </w:p>
        </w:tc>
        <w:tc>
          <w:tcPr>
            <w:tcW w:w="812" w:type="pct"/>
            <w:shd w:val="clear" w:color="auto" w:fill="auto"/>
            <w:vAlign w:val="center"/>
          </w:tcPr>
          <w:p w14:paraId="6947F0DE">
            <w:pPr>
              <w:widowControl/>
              <w:ind w:firstLine="0" w:firstLineChars="0"/>
              <w:jc w:val="left"/>
              <w:textAlignment w:val="center"/>
              <w:rPr>
                <w:rFonts w:ascii="宋体" w:hAnsi="宋体" w:eastAsia="宋体" w:cs="仿宋"/>
                <w:color w:val="000000"/>
                <w:kern w:val="0"/>
                <w:sz w:val="22"/>
              </w:rPr>
            </w:pPr>
            <w:r>
              <w:rPr>
                <w:rFonts w:ascii="宋体" w:hAnsi="宋体" w:eastAsia="宋体" w:cs="仿宋"/>
                <w:color w:val="000000"/>
                <w:kern w:val="0"/>
                <w:sz w:val="22"/>
              </w:rPr>
              <w:t>95%</w:t>
            </w:r>
          </w:p>
        </w:tc>
      </w:tr>
      <w:tr w14:paraId="09D1A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385" w:type="pct"/>
            <w:shd w:val="clear" w:color="auto" w:fill="auto"/>
            <w:vAlign w:val="center"/>
          </w:tcPr>
          <w:p w14:paraId="4B799AE6">
            <w:pPr>
              <w:pStyle w:val="61"/>
              <w:widowControl/>
              <w:numPr>
                <w:ilvl w:val="0"/>
                <w:numId w:val="4"/>
              </w:numPr>
              <w:spacing w:line="240" w:lineRule="auto"/>
              <w:ind w:left="425" w:firstLineChars="0"/>
              <w:jc w:val="left"/>
              <w:textAlignment w:val="center"/>
              <w:rPr>
                <w:rFonts w:ascii="仿宋" w:hAnsi="仿宋" w:eastAsia="仿宋" w:cs="仿宋"/>
                <w:color w:val="000000"/>
                <w:kern w:val="0"/>
                <w:sz w:val="22"/>
              </w:rPr>
            </w:pPr>
          </w:p>
        </w:tc>
        <w:tc>
          <w:tcPr>
            <w:tcW w:w="645" w:type="pct"/>
            <w:shd w:val="clear" w:color="auto" w:fill="auto"/>
            <w:vAlign w:val="center"/>
          </w:tcPr>
          <w:p w14:paraId="40A48DBE">
            <w:pPr>
              <w:widowControl/>
              <w:ind w:firstLine="0" w:firstLineChars="0"/>
              <w:jc w:val="left"/>
              <w:textAlignment w:val="center"/>
              <w:rPr>
                <w:rFonts w:ascii="宋体" w:hAnsi="宋体" w:eastAsia="宋体" w:cs="仿宋"/>
                <w:color w:val="000000"/>
                <w:kern w:val="0"/>
                <w:sz w:val="22"/>
              </w:rPr>
            </w:pPr>
            <w:r>
              <w:rPr>
                <w:rFonts w:hint="eastAsia" w:ascii="宋体" w:hAnsi="宋体" w:eastAsia="宋体" w:cs="仿宋"/>
                <w:color w:val="000000"/>
                <w:kern w:val="0"/>
                <w:sz w:val="22"/>
              </w:rPr>
              <w:t>通用指标</w:t>
            </w:r>
          </w:p>
        </w:tc>
        <w:tc>
          <w:tcPr>
            <w:tcW w:w="714" w:type="pct"/>
            <w:shd w:val="clear" w:color="auto" w:fill="auto"/>
            <w:vAlign w:val="center"/>
          </w:tcPr>
          <w:p w14:paraId="1150B65E">
            <w:pPr>
              <w:widowControl/>
              <w:ind w:firstLine="0" w:firstLineChars="0"/>
              <w:jc w:val="left"/>
              <w:textAlignment w:val="center"/>
              <w:rPr>
                <w:rFonts w:ascii="宋体" w:hAnsi="宋体" w:eastAsia="宋体" w:cs="仿宋"/>
                <w:color w:val="000000"/>
                <w:kern w:val="0"/>
                <w:sz w:val="22"/>
              </w:rPr>
            </w:pPr>
            <w:r>
              <w:rPr>
                <w:rFonts w:hint="eastAsia" w:ascii="宋体" w:hAnsi="宋体" w:eastAsia="宋体" w:cs="仿宋"/>
                <w:color w:val="000000"/>
                <w:kern w:val="0"/>
                <w:sz w:val="22"/>
              </w:rPr>
              <w:t>应用系统</w:t>
            </w:r>
          </w:p>
        </w:tc>
        <w:tc>
          <w:tcPr>
            <w:tcW w:w="1222" w:type="pct"/>
          </w:tcPr>
          <w:p w14:paraId="13372B81">
            <w:pPr>
              <w:widowControl/>
              <w:ind w:firstLine="0" w:firstLineChars="0"/>
              <w:jc w:val="left"/>
              <w:textAlignment w:val="center"/>
              <w:rPr>
                <w:rFonts w:cs="仿宋"/>
                <w:color w:val="000000"/>
                <w:kern w:val="0"/>
                <w:sz w:val="22"/>
              </w:rPr>
            </w:pPr>
            <w:r>
              <w:rPr>
                <w:rFonts w:hint="eastAsia" w:ascii="宋体" w:hAnsi="宋体" w:eastAsia="宋体" w:cs="仿宋"/>
                <w:color w:val="000000"/>
                <w:kern w:val="0"/>
                <w:sz w:val="22"/>
              </w:rPr>
              <w:t>数量指标</w:t>
            </w:r>
          </w:p>
        </w:tc>
        <w:tc>
          <w:tcPr>
            <w:tcW w:w="1222" w:type="pct"/>
            <w:shd w:val="clear" w:color="auto" w:fill="auto"/>
            <w:vAlign w:val="center"/>
          </w:tcPr>
          <w:p w14:paraId="49F60BC2">
            <w:pPr>
              <w:widowControl/>
              <w:ind w:firstLine="0" w:firstLineChars="0"/>
              <w:jc w:val="left"/>
              <w:textAlignment w:val="center"/>
              <w:rPr>
                <w:rFonts w:ascii="宋体" w:hAnsi="宋体" w:eastAsia="宋体" w:cs="仿宋"/>
                <w:color w:val="000000"/>
                <w:kern w:val="0"/>
                <w:sz w:val="22"/>
              </w:rPr>
            </w:pPr>
            <w:r>
              <w:rPr>
                <w:rFonts w:hint="eastAsia" w:ascii="宋体" w:hAnsi="宋体" w:eastAsia="宋体" w:cs="仿宋"/>
                <w:color w:val="000000"/>
                <w:kern w:val="0"/>
                <w:sz w:val="22"/>
              </w:rPr>
              <w:t>采集数据量</w:t>
            </w:r>
          </w:p>
        </w:tc>
        <w:tc>
          <w:tcPr>
            <w:tcW w:w="812" w:type="pct"/>
            <w:shd w:val="clear" w:color="auto" w:fill="auto"/>
            <w:vAlign w:val="center"/>
          </w:tcPr>
          <w:p w14:paraId="150DEECC">
            <w:pPr>
              <w:widowControl/>
              <w:ind w:firstLine="0" w:firstLineChars="0"/>
              <w:jc w:val="left"/>
              <w:textAlignment w:val="center"/>
              <w:rPr>
                <w:rFonts w:ascii="宋体" w:hAnsi="宋体" w:eastAsia="宋体" w:cs="仿宋"/>
                <w:color w:val="000000"/>
                <w:kern w:val="0"/>
                <w:sz w:val="22"/>
              </w:rPr>
            </w:pPr>
            <w:r>
              <w:rPr>
                <w:rFonts w:ascii="宋体" w:hAnsi="宋体" w:eastAsia="宋体" w:cs="仿宋"/>
                <w:color w:val="000000"/>
                <w:kern w:val="0"/>
                <w:sz w:val="22"/>
              </w:rPr>
              <w:t>1000GB左右</w:t>
            </w:r>
          </w:p>
        </w:tc>
      </w:tr>
    </w:tbl>
    <w:p w14:paraId="4249CDDB"/>
    <w:p w14:paraId="60993F7F">
      <w:pPr>
        <w:pStyle w:val="3"/>
      </w:pPr>
      <w:bookmarkStart w:id="13" w:name="_Toc172710993"/>
      <w:r>
        <w:t>技术绩效考核目标</w:t>
      </w:r>
      <w:bookmarkEnd w:id="13"/>
    </w:p>
    <w:tbl>
      <w:tblPr>
        <w:tblStyle w:val="35"/>
        <w:tblW w:w="5000" w:type="pct"/>
        <w:tblInd w:w="0" w:type="dxa"/>
        <w:tblLayout w:type="autofit"/>
        <w:tblCellMar>
          <w:top w:w="0" w:type="dxa"/>
          <w:left w:w="108" w:type="dxa"/>
          <w:bottom w:w="0" w:type="dxa"/>
          <w:right w:w="108" w:type="dxa"/>
        </w:tblCellMar>
      </w:tblPr>
      <w:tblGrid>
        <w:gridCol w:w="839"/>
        <w:gridCol w:w="1588"/>
        <w:gridCol w:w="1354"/>
        <w:gridCol w:w="1361"/>
        <w:gridCol w:w="2028"/>
        <w:gridCol w:w="1358"/>
      </w:tblGrid>
      <w:tr w14:paraId="203DF675">
        <w:tblPrEx>
          <w:tblCellMar>
            <w:top w:w="0" w:type="dxa"/>
            <w:left w:w="108" w:type="dxa"/>
            <w:bottom w:w="0" w:type="dxa"/>
            <w:right w:w="108" w:type="dxa"/>
          </w:tblCellMar>
        </w:tblPrEx>
        <w:trPr>
          <w:trHeight w:val="278"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64D248">
            <w:pPr>
              <w:widowControl/>
              <w:ind w:firstLine="0" w:firstLineChars="0"/>
              <w:jc w:val="center"/>
              <w:textAlignment w:val="center"/>
              <w:rPr>
                <w:rFonts w:cs="仿宋" w:asciiTheme="minorEastAsia" w:hAnsiTheme="minorEastAsia" w:eastAsiaTheme="minorEastAsia"/>
                <w:color w:val="000000"/>
                <w:sz w:val="22"/>
              </w:rPr>
            </w:pPr>
            <w:r>
              <w:rPr>
                <w:rFonts w:hint="eastAsia" w:cs="仿宋" w:asciiTheme="minorEastAsia" w:hAnsiTheme="minorEastAsia" w:eastAsiaTheme="minorEastAsia"/>
                <w:color w:val="000000"/>
                <w:kern w:val="0"/>
                <w:sz w:val="22"/>
              </w:rPr>
              <w:t>序号</w:t>
            </w:r>
          </w:p>
        </w:tc>
        <w:tc>
          <w:tcPr>
            <w:tcW w:w="9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6643A4">
            <w:pPr>
              <w:widowControl/>
              <w:ind w:firstLine="0" w:firstLineChars="0"/>
              <w:jc w:val="center"/>
              <w:textAlignment w:val="center"/>
              <w:rPr>
                <w:rFonts w:cs="仿宋" w:asciiTheme="minorEastAsia" w:hAnsiTheme="minorEastAsia" w:eastAsiaTheme="minorEastAsia"/>
                <w:color w:val="000000"/>
                <w:sz w:val="22"/>
              </w:rPr>
            </w:pPr>
            <w:r>
              <w:rPr>
                <w:rFonts w:hint="eastAsia" w:cs="仿宋" w:asciiTheme="minorEastAsia" w:hAnsiTheme="minorEastAsia" w:eastAsiaTheme="minorEastAsia"/>
                <w:color w:val="000000"/>
                <w:kern w:val="0"/>
                <w:sz w:val="22"/>
              </w:rPr>
              <w:t>一级指标</w:t>
            </w:r>
          </w:p>
        </w:tc>
        <w:tc>
          <w:tcPr>
            <w:tcW w:w="7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1074A2">
            <w:pPr>
              <w:widowControl/>
              <w:ind w:firstLine="0" w:firstLineChars="0"/>
              <w:jc w:val="center"/>
              <w:textAlignment w:val="center"/>
              <w:rPr>
                <w:rFonts w:cs="仿宋" w:asciiTheme="minorEastAsia" w:hAnsiTheme="minorEastAsia" w:eastAsiaTheme="minorEastAsia"/>
                <w:color w:val="000000"/>
                <w:sz w:val="22"/>
              </w:rPr>
            </w:pPr>
            <w:r>
              <w:rPr>
                <w:rFonts w:hint="eastAsia" w:cs="仿宋" w:asciiTheme="minorEastAsia" w:hAnsiTheme="minorEastAsia" w:eastAsiaTheme="minorEastAsia"/>
                <w:color w:val="000000"/>
                <w:kern w:val="0"/>
                <w:sz w:val="22"/>
              </w:rPr>
              <w:t>二级指标</w:t>
            </w:r>
          </w:p>
        </w:tc>
        <w:tc>
          <w:tcPr>
            <w:tcW w:w="7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FCDD38">
            <w:pPr>
              <w:widowControl/>
              <w:ind w:firstLine="0" w:firstLineChars="0"/>
              <w:jc w:val="center"/>
              <w:textAlignment w:val="center"/>
              <w:rPr>
                <w:rFonts w:cs="仿宋" w:asciiTheme="minorEastAsia" w:hAnsiTheme="minorEastAsia" w:eastAsiaTheme="minorEastAsia"/>
                <w:color w:val="000000"/>
                <w:sz w:val="22"/>
              </w:rPr>
            </w:pPr>
            <w:r>
              <w:rPr>
                <w:rFonts w:hint="eastAsia" w:cs="仿宋" w:asciiTheme="minorEastAsia" w:hAnsiTheme="minorEastAsia" w:eastAsiaTheme="minorEastAsia"/>
                <w:color w:val="000000"/>
                <w:kern w:val="0"/>
                <w:sz w:val="22"/>
              </w:rPr>
              <w:t>三级指标</w:t>
            </w:r>
          </w:p>
        </w:tc>
        <w:tc>
          <w:tcPr>
            <w:tcW w:w="1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D2B4E1">
            <w:pPr>
              <w:widowControl/>
              <w:ind w:firstLine="0" w:firstLineChars="0"/>
              <w:jc w:val="center"/>
              <w:textAlignment w:val="top"/>
              <w:rPr>
                <w:rFonts w:cs="仿宋" w:asciiTheme="minorEastAsia" w:hAnsiTheme="minorEastAsia" w:eastAsiaTheme="minorEastAsia"/>
                <w:color w:val="000000"/>
                <w:sz w:val="22"/>
              </w:rPr>
            </w:pPr>
            <w:r>
              <w:rPr>
                <w:rFonts w:hint="eastAsia" w:cs="仿宋" w:asciiTheme="minorEastAsia" w:hAnsiTheme="minorEastAsia" w:eastAsiaTheme="minorEastAsia"/>
                <w:color w:val="000000"/>
                <w:kern w:val="0"/>
                <w:sz w:val="22"/>
              </w:rPr>
              <w:t>四级指标</w:t>
            </w:r>
          </w:p>
        </w:tc>
        <w:tc>
          <w:tcPr>
            <w:tcW w:w="7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837F99">
            <w:pPr>
              <w:widowControl/>
              <w:ind w:firstLine="0" w:firstLineChars="0"/>
              <w:jc w:val="center"/>
              <w:textAlignment w:val="center"/>
              <w:rPr>
                <w:rFonts w:cs="仿宋" w:asciiTheme="minorEastAsia" w:hAnsiTheme="minorEastAsia" w:eastAsiaTheme="minorEastAsia"/>
                <w:color w:val="000000"/>
                <w:sz w:val="22"/>
              </w:rPr>
            </w:pPr>
            <w:r>
              <w:rPr>
                <w:rFonts w:hint="eastAsia" w:cs="仿宋" w:asciiTheme="minorEastAsia" w:hAnsiTheme="minorEastAsia" w:eastAsiaTheme="minorEastAsia"/>
                <w:color w:val="000000"/>
                <w:kern w:val="0"/>
                <w:sz w:val="22"/>
              </w:rPr>
              <w:t>指标值</w:t>
            </w:r>
          </w:p>
        </w:tc>
      </w:tr>
      <w:tr w14:paraId="4CB5BFEF">
        <w:tblPrEx>
          <w:tblCellMar>
            <w:top w:w="0" w:type="dxa"/>
            <w:left w:w="108" w:type="dxa"/>
            <w:bottom w:w="0" w:type="dxa"/>
            <w:right w:w="108" w:type="dxa"/>
          </w:tblCellMar>
        </w:tblPrEx>
        <w:trPr>
          <w:trHeight w:val="56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D79839">
            <w:pPr>
              <w:jc w:val="center"/>
              <w:rPr>
                <w:rFonts w:asciiTheme="minorEastAsia" w:hAnsiTheme="minorEastAsia" w:eastAsiaTheme="minorEastAsia"/>
              </w:rPr>
            </w:pPr>
            <w:r>
              <w:rPr>
                <w:rFonts w:hint="eastAsia" w:asciiTheme="minorEastAsia" w:hAnsiTheme="minorEastAsia" w:eastAsiaTheme="minorEastAsia"/>
              </w:rPr>
              <w:t>1</w:t>
            </w:r>
          </w:p>
        </w:tc>
        <w:tc>
          <w:tcPr>
            <w:tcW w:w="9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C763C0">
            <w:pPr>
              <w:widowControl/>
              <w:ind w:firstLine="0" w:firstLineChars="0"/>
              <w:jc w:val="left"/>
              <w:textAlignment w:val="center"/>
              <w:rPr>
                <w:rFonts w:cs="仿宋" w:asciiTheme="minorEastAsia" w:hAnsiTheme="minorEastAsia" w:eastAsiaTheme="minorEastAsia"/>
                <w:color w:val="000000"/>
                <w:sz w:val="22"/>
              </w:rPr>
            </w:pPr>
            <w:r>
              <w:rPr>
                <w:rFonts w:hint="eastAsia" w:cs="仿宋" w:asciiTheme="minorEastAsia" w:hAnsiTheme="minorEastAsia" w:eastAsiaTheme="minorEastAsia"/>
                <w:color w:val="000000"/>
                <w:kern w:val="0"/>
                <w:sz w:val="22"/>
              </w:rPr>
              <w:t>通用指标</w:t>
            </w:r>
          </w:p>
        </w:tc>
        <w:tc>
          <w:tcPr>
            <w:tcW w:w="7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DDBDD7">
            <w:pPr>
              <w:widowControl/>
              <w:ind w:firstLine="0" w:firstLineChars="0"/>
              <w:jc w:val="left"/>
              <w:textAlignment w:val="center"/>
              <w:rPr>
                <w:rFonts w:cs="仿宋" w:asciiTheme="minorEastAsia" w:hAnsiTheme="minorEastAsia" w:eastAsiaTheme="minorEastAsia"/>
                <w:color w:val="000000"/>
                <w:sz w:val="22"/>
              </w:rPr>
            </w:pPr>
            <w:r>
              <w:rPr>
                <w:rFonts w:hint="eastAsia" w:cs="仿宋" w:asciiTheme="minorEastAsia" w:hAnsiTheme="minorEastAsia" w:eastAsiaTheme="minorEastAsia"/>
                <w:color w:val="000000"/>
                <w:kern w:val="0"/>
                <w:sz w:val="22"/>
              </w:rPr>
              <w:t>产出指标</w:t>
            </w:r>
          </w:p>
        </w:tc>
        <w:tc>
          <w:tcPr>
            <w:tcW w:w="7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9020F0">
            <w:pPr>
              <w:widowControl/>
              <w:ind w:firstLine="0" w:firstLineChars="0"/>
              <w:jc w:val="left"/>
              <w:textAlignment w:val="center"/>
              <w:rPr>
                <w:rFonts w:cs="仿宋" w:asciiTheme="minorEastAsia" w:hAnsiTheme="minorEastAsia" w:eastAsiaTheme="minorEastAsia"/>
                <w:color w:val="000000"/>
                <w:sz w:val="22"/>
              </w:rPr>
            </w:pPr>
            <w:r>
              <w:rPr>
                <w:rFonts w:hint="eastAsia" w:cs="仿宋" w:asciiTheme="minorEastAsia" w:hAnsiTheme="minorEastAsia" w:eastAsiaTheme="minorEastAsia"/>
                <w:color w:val="000000"/>
                <w:kern w:val="0"/>
                <w:sz w:val="22"/>
              </w:rPr>
              <w:t>产出数量</w:t>
            </w:r>
          </w:p>
        </w:tc>
        <w:tc>
          <w:tcPr>
            <w:tcW w:w="1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2B76A9">
            <w:pPr>
              <w:widowControl/>
              <w:ind w:firstLine="0" w:firstLineChars="0"/>
              <w:jc w:val="left"/>
              <w:textAlignment w:val="center"/>
              <w:rPr>
                <w:rFonts w:cs="仿宋" w:asciiTheme="minorEastAsia" w:hAnsiTheme="minorEastAsia" w:eastAsiaTheme="minorEastAsia"/>
                <w:color w:val="000000"/>
                <w:sz w:val="22"/>
              </w:rPr>
            </w:pPr>
            <w:r>
              <w:rPr>
                <w:rFonts w:hint="eastAsia" w:cs="仿宋" w:asciiTheme="minorEastAsia" w:hAnsiTheme="minorEastAsia" w:eastAsiaTheme="minorEastAsia"/>
                <w:color w:val="000000"/>
                <w:kern w:val="0"/>
                <w:sz w:val="22"/>
              </w:rPr>
              <w:t>软件开发完成率</w:t>
            </w:r>
          </w:p>
        </w:tc>
        <w:tc>
          <w:tcPr>
            <w:tcW w:w="7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63D94F">
            <w:pPr>
              <w:widowControl/>
              <w:ind w:firstLine="0" w:firstLineChars="0"/>
              <w:jc w:val="left"/>
              <w:textAlignment w:val="center"/>
              <w:rPr>
                <w:rFonts w:cs="仿宋" w:asciiTheme="minorEastAsia" w:hAnsiTheme="minorEastAsia" w:eastAsiaTheme="minorEastAsia"/>
                <w:color w:val="000000"/>
                <w:sz w:val="22"/>
              </w:rPr>
            </w:pPr>
            <w:r>
              <w:rPr>
                <w:rFonts w:hint="eastAsia" w:cs="仿宋" w:asciiTheme="minorEastAsia" w:hAnsiTheme="minorEastAsia" w:eastAsiaTheme="minorEastAsia"/>
                <w:color w:val="000000"/>
                <w:kern w:val="0"/>
                <w:sz w:val="22"/>
              </w:rPr>
              <w:t>100%</w:t>
            </w:r>
          </w:p>
        </w:tc>
      </w:tr>
      <w:tr w14:paraId="43B7AF1B">
        <w:tblPrEx>
          <w:tblCellMar>
            <w:top w:w="0" w:type="dxa"/>
            <w:left w:w="108" w:type="dxa"/>
            <w:bottom w:w="0" w:type="dxa"/>
            <w:right w:w="108" w:type="dxa"/>
          </w:tblCellMar>
        </w:tblPrEx>
        <w:trPr>
          <w:trHeight w:val="28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A6C74E">
            <w:pPr>
              <w:jc w:val="center"/>
              <w:rPr>
                <w:rFonts w:asciiTheme="minorEastAsia" w:hAnsiTheme="minorEastAsia" w:eastAsiaTheme="minorEastAsia"/>
              </w:rPr>
            </w:pPr>
            <w:r>
              <w:rPr>
                <w:rFonts w:hint="eastAsia" w:asciiTheme="minorEastAsia" w:hAnsiTheme="minorEastAsia" w:eastAsiaTheme="minorEastAsia"/>
              </w:rPr>
              <w:t>2</w:t>
            </w:r>
          </w:p>
        </w:tc>
        <w:tc>
          <w:tcPr>
            <w:tcW w:w="9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198F24">
            <w:pPr>
              <w:widowControl/>
              <w:ind w:firstLine="0" w:firstLineChars="0"/>
              <w:jc w:val="left"/>
              <w:textAlignment w:val="center"/>
              <w:rPr>
                <w:rFonts w:cs="仿宋" w:asciiTheme="minorEastAsia" w:hAnsiTheme="minorEastAsia" w:eastAsiaTheme="minorEastAsia"/>
                <w:color w:val="000000"/>
                <w:sz w:val="22"/>
              </w:rPr>
            </w:pPr>
            <w:r>
              <w:rPr>
                <w:rFonts w:hint="eastAsia" w:cs="仿宋" w:asciiTheme="minorEastAsia" w:hAnsiTheme="minorEastAsia" w:eastAsiaTheme="minorEastAsia"/>
                <w:color w:val="000000"/>
                <w:kern w:val="0"/>
                <w:sz w:val="22"/>
              </w:rPr>
              <w:t>通用指标</w:t>
            </w:r>
          </w:p>
        </w:tc>
        <w:tc>
          <w:tcPr>
            <w:tcW w:w="7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6C3B43">
            <w:pPr>
              <w:widowControl/>
              <w:ind w:firstLine="0" w:firstLineChars="0"/>
              <w:jc w:val="left"/>
              <w:textAlignment w:val="center"/>
              <w:rPr>
                <w:rFonts w:cs="仿宋" w:asciiTheme="minorEastAsia" w:hAnsiTheme="minorEastAsia" w:eastAsiaTheme="minorEastAsia"/>
                <w:color w:val="000000"/>
                <w:sz w:val="22"/>
              </w:rPr>
            </w:pPr>
            <w:r>
              <w:rPr>
                <w:rFonts w:hint="eastAsia" w:cs="仿宋" w:asciiTheme="minorEastAsia" w:hAnsiTheme="minorEastAsia" w:eastAsiaTheme="minorEastAsia"/>
                <w:color w:val="000000"/>
                <w:kern w:val="0"/>
                <w:sz w:val="22"/>
              </w:rPr>
              <w:t>产出指标</w:t>
            </w:r>
          </w:p>
        </w:tc>
        <w:tc>
          <w:tcPr>
            <w:tcW w:w="7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A7A103">
            <w:pPr>
              <w:widowControl/>
              <w:ind w:firstLine="0" w:firstLineChars="0"/>
              <w:jc w:val="left"/>
              <w:textAlignment w:val="center"/>
              <w:rPr>
                <w:rFonts w:cs="仿宋" w:asciiTheme="minorEastAsia" w:hAnsiTheme="minorEastAsia" w:eastAsiaTheme="minorEastAsia"/>
                <w:color w:val="000000"/>
                <w:sz w:val="22"/>
              </w:rPr>
            </w:pPr>
            <w:r>
              <w:rPr>
                <w:rFonts w:hint="eastAsia" w:cs="仿宋" w:asciiTheme="minorEastAsia" w:hAnsiTheme="minorEastAsia" w:eastAsiaTheme="minorEastAsia"/>
                <w:color w:val="000000"/>
                <w:kern w:val="0"/>
                <w:sz w:val="22"/>
              </w:rPr>
              <w:t>产出质量</w:t>
            </w:r>
          </w:p>
        </w:tc>
        <w:tc>
          <w:tcPr>
            <w:tcW w:w="1189" w:type="pct"/>
            <w:tcBorders>
              <w:top w:val="single" w:color="000000" w:sz="4" w:space="0"/>
              <w:left w:val="single" w:color="000000" w:sz="4" w:space="0"/>
              <w:bottom w:val="single" w:color="000000" w:sz="4" w:space="0"/>
              <w:right w:val="single" w:color="000000" w:sz="4" w:space="0"/>
            </w:tcBorders>
            <w:shd w:val="clear" w:color="auto" w:fill="auto"/>
          </w:tcPr>
          <w:p w14:paraId="7312531B">
            <w:pPr>
              <w:widowControl/>
              <w:ind w:firstLine="0" w:firstLineChars="0"/>
              <w:jc w:val="left"/>
              <w:textAlignment w:val="top"/>
              <w:rPr>
                <w:rFonts w:cs="仿宋" w:asciiTheme="minorEastAsia" w:hAnsiTheme="minorEastAsia" w:eastAsiaTheme="minorEastAsia"/>
                <w:color w:val="000000"/>
                <w:sz w:val="22"/>
              </w:rPr>
            </w:pPr>
            <w:r>
              <w:rPr>
                <w:rFonts w:hint="eastAsia" w:cs="仿宋" w:asciiTheme="minorEastAsia" w:hAnsiTheme="minorEastAsia" w:eastAsiaTheme="minorEastAsia"/>
                <w:color w:val="000000"/>
                <w:kern w:val="0"/>
                <w:sz w:val="22"/>
              </w:rPr>
              <w:t>系统可靠性</w:t>
            </w:r>
          </w:p>
        </w:tc>
        <w:tc>
          <w:tcPr>
            <w:tcW w:w="7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9809F8">
            <w:pPr>
              <w:widowControl/>
              <w:ind w:firstLine="0" w:firstLineChars="0"/>
              <w:jc w:val="left"/>
              <w:textAlignment w:val="center"/>
              <w:rPr>
                <w:rFonts w:cs="仿宋" w:asciiTheme="minorEastAsia" w:hAnsiTheme="minorEastAsia" w:eastAsiaTheme="minorEastAsia"/>
                <w:color w:val="000000"/>
                <w:sz w:val="22"/>
              </w:rPr>
            </w:pPr>
            <w:r>
              <w:rPr>
                <w:rFonts w:hint="eastAsia" w:cs="仿宋" w:asciiTheme="minorEastAsia" w:hAnsiTheme="minorEastAsia" w:eastAsiaTheme="minorEastAsia"/>
                <w:color w:val="000000"/>
                <w:kern w:val="0"/>
                <w:sz w:val="22"/>
              </w:rPr>
              <w:t>95%以上</w:t>
            </w:r>
          </w:p>
        </w:tc>
      </w:tr>
      <w:tr w14:paraId="0E0EB231">
        <w:tblPrEx>
          <w:tblCellMar>
            <w:top w:w="0" w:type="dxa"/>
            <w:left w:w="108" w:type="dxa"/>
            <w:bottom w:w="0" w:type="dxa"/>
            <w:right w:w="108" w:type="dxa"/>
          </w:tblCellMar>
        </w:tblPrEx>
        <w:trPr>
          <w:trHeight w:val="28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75B296">
            <w:pPr>
              <w:jc w:val="center"/>
              <w:rPr>
                <w:rFonts w:asciiTheme="minorEastAsia" w:hAnsiTheme="minorEastAsia" w:eastAsiaTheme="minorEastAsia"/>
              </w:rPr>
            </w:pPr>
            <w:r>
              <w:rPr>
                <w:rFonts w:hint="eastAsia" w:asciiTheme="minorEastAsia" w:hAnsiTheme="minorEastAsia" w:eastAsiaTheme="minorEastAsia"/>
              </w:rPr>
              <w:t>3</w:t>
            </w:r>
          </w:p>
        </w:tc>
        <w:tc>
          <w:tcPr>
            <w:tcW w:w="9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BDCA64">
            <w:pPr>
              <w:widowControl/>
              <w:ind w:firstLine="0" w:firstLineChars="0"/>
              <w:jc w:val="left"/>
              <w:textAlignment w:val="center"/>
              <w:rPr>
                <w:rFonts w:cs="仿宋" w:asciiTheme="minorEastAsia" w:hAnsiTheme="minorEastAsia" w:eastAsiaTheme="minorEastAsia"/>
                <w:color w:val="000000"/>
                <w:sz w:val="22"/>
              </w:rPr>
            </w:pPr>
            <w:r>
              <w:rPr>
                <w:rFonts w:hint="eastAsia" w:cs="仿宋" w:asciiTheme="minorEastAsia" w:hAnsiTheme="minorEastAsia" w:eastAsiaTheme="minorEastAsia"/>
                <w:color w:val="000000"/>
                <w:kern w:val="0"/>
                <w:sz w:val="22"/>
              </w:rPr>
              <w:t>通用指标</w:t>
            </w:r>
          </w:p>
        </w:tc>
        <w:tc>
          <w:tcPr>
            <w:tcW w:w="7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3C3E55">
            <w:pPr>
              <w:widowControl/>
              <w:ind w:firstLine="0" w:firstLineChars="0"/>
              <w:jc w:val="left"/>
              <w:textAlignment w:val="center"/>
              <w:rPr>
                <w:rFonts w:cs="仿宋" w:asciiTheme="minorEastAsia" w:hAnsiTheme="minorEastAsia" w:eastAsiaTheme="minorEastAsia"/>
                <w:color w:val="000000"/>
                <w:sz w:val="22"/>
              </w:rPr>
            </w:pPr>
            <w:r>
              <w:rPr>
                <w:rFonts w:hint="eastAsia" w:cs="仿宋" w:asciiTheme="minorEastAsia" w:hAnsiTheme="minorEastAsia" w:eastAsiaTheme="minorEastAsia"/>
                <w:color w:val="000000"/>
                <w:kern w:val="0"/>
                <w:sz w:val="22"/>
              </w:rPr>
              <w:t>产出指标</w:t>
            </w:r>
          </w:p>
        </w:tc>
        <w:tc>
          <w:tcPr>
            <w:tcW w:w="7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AD3666">
            <w:pPr>
              <w:widowControl/>
              <w:ind w:firstLine="0" w:firstLineChars="0"/>
              <w:jc w:val="left"/>
              <w:textAlignment w:val="center"/>
              <w:rPr>
                <w:rFonts w:cs="仿宋" w:asciiTheme="minorEastAsia" w:hAnsiTheme="minorEastAsia" w:eastAsiaTheme="minorEastAsia"/>
                <w:color w:val="000000"/>
                <w:sz w:val="22"/>
              </w:rPr>
            </w:pPr>
            <w:r>
              <w:rPr>
                <w:rFonts w:hint="eastAsia" w:cs="仿宋" w:asciiTheme="minorEastAsia" w:hAnsiTheme="minorEastAsia" w:eastAsiaTheme="minorEastAsia"/>
                <w:color w:val="000000"/>
                <w:kern w:val="0"/>
                <w:sz w:val="22"/>
              </w:rPr>
              <w:t>产出质量</w:t>
            </w:r>
          </w:p>
        </w:tc>
        <w:tc>
          <w:tcPr>
            <w:tcW w:w="1189" w:type="pct"/>
            <w:tcBorders>
              <w:top w:val="single" w:color="000000" w:sz="4" w:space="0"/>
              <w:left w:val="single" w:color="000000" w:sz="4" w:space="0"/>
              <w:bottom w:val="single" w:color="000000" w:sz="4" w:space="0"/>
              <w:right w:val="single" w:color="000000" w:sz="4" w:space="0"/>
            </w:tcBorders>
            <w:shd w:val="clear" w:color="auto" w:fill="auto"/>
          </w:tcPr>
          <w:p w14:paraId="60083156">
            <w:pPr>
              <w:widowControl/>
              <w:ind w:firstLine="0" w:firstLineChars="0"/>
              <w:jc w:val="left"/>
              <w:textAlignment w:val="top"/>
              <w:rPr>
                <w:rFonts w:cs="仿宋" w:asciiTheme="minorEastAsia" w:hAnsiTheme="minorEastAsia" w:eastAsiaTheme="minorEastAsia"/>
                <w:color w:val="000000"/>
                <w:sz w:val="22"/>
              </w:rPr>
            </w:pPr>
            <w:r>
              <w:rPr>
                <w:rFonts w:hint="eastAsia" w:cs="仿宋" w:asciiTheme="minorEastAsia" w:hAnsiTheme="minorEastAsia" w:eastAsiaTheme="minorEastAsia"/>
                <w:color w:val="000000"/>
                <w:kern w:val="0"/>
                <w:sz w:val="22"/>
              </w:rPr>
              <w:t>软件测试达标</w:t>
            </w:r>
          </w:p>
        </w:tc>
        <w:tc>
          <w:tcPr>
            <w:tcW w:w="7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61F374">
            <w:pPr>
              <w:widowControl/>
              <w:ind w:firstLine="0" w:firstLineChars="0"/>
              <w:jc w:val="left"/>
              <w:textAlignment w:val="center"/>
              <w:rPr>
                <w:rFonts w:cs="仿宋" w:asciiTheme="minorEastAsia" w:hAnsiTheme="minorEastAsia" w:eastAsiaTheme="minorEastAsia"/>
                <w:color w:val="000000"/>
                <w:sz w:val="22"/>
              </w:rPr>
            </w:pPr>
            <w:r>
              <w:rPr>
                <w:rFonts w:hint="eastAsia" w:cs="仿宋" w:asciiTheme="minorEastAsia" w:hAnsiTheme="minorEastAsia" w:eastAsiaTheme="minorEastAsia"/>
                <w:color w:val="000000"/>
                <w:sz w:val="22"/>
              </w:rPr>
              <w:t>达标</w:t>
            </w:r>
          </w:p>
        </w:tc>
      </w:tr>
      <w:tr w14:paraId="5D9E5D0E">
        <w:tblPrEx>
          <w:tblCellMar>
            <w:top w:w="0" w:type="dxa"/>
            <w:left w:w="108" w:type="dxa"/>
            <w:bottom w:w="0" w:type="dxa"/>
            <w:right w:w="108" w:type="dxa"/>
          </w:tblCellMar>
        </w:tblPrEx>
        <w:trPr>
          <w:trHeight w:val="56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372640">
            <w:pPr>
              <w:jc w:val="center"/>
              <w:rPr>
                <w:rFonts w:asciiTheme="minorEastAsia" w:hAnsiTheme="minorEastAsia" w:eastAsiaTheme="minorEastAsia"/>
              </w:rPr>
            </w:pPr>
            <w:r>
              <w:rPr>
                <w:rFonts w:hint="eastAsia" w:asciiTheme="minorEastAsia" w:hAnsiTheme="minorEastAsia" w:eastAsiaTheme="minorEastAsia"/>
              </w:rPr>
              <w:t>4</w:t>
            </w:r>
          </w:p>
        </w:tc>
        <w:tc>
          <w:tcPr>
            <w:tcW w:w="9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D90C20">
            <w:pPr>
              <w:widowControl/>
              <w:ind w:firstLine="0" w:firstLineChars="0"/>
              <w:jc w:val="left"/>
              <w:textAlignment w:val="center"/>
              <w:rPr>
                <w:rFonts w:cs="仿宋" w:asciiTheme="minorEastAsia" w:hAnsiTheme="minorEastAsia" w:eastAsiaTheme="minorEastAsia"/>
                <w:color w:val="000000"/>
                <w:sz w:val="22"/>
              </w:rPr>
            </w:pPr>
            <w:r>
              <w:rPr>
                <w:rFonts w:hint="eastAsia" w:cs="仿宋" w:asciiTheme="minorEastAsia" w:hAnsiTheme="minorEastAsia" w:eastAsiaTheme="minorEastAsia"/>
                <w:color w:val="000000"/>
                <w:kern w:val="0"/>
                <w:sz w:val="22"/>
              </w:rPr>
              <w:t>通用指标</w:t>
            </w:r>
          </w:p>
        </w:tc>
        <w:tc>
          <w:tcPr>
            <w:tcW w:w="7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749AFD">
            <w:pPr>
              <w:widowControl/>
              <w:ind w:firstLine="0" w:firstLineChars="0"/>
              <w:jc w:val="left"/>
              <w:textAlignment w:val="center"/>
              <w:rPr>
                <w:rFonts w:cs="仿宋" w:asciiTheme="minorEastAsia" w:hAnsiTheme="minorEastAsia" w:eastAsiaTheme="minorEastAsia"/>
                <w:color w:val="000000"/>
                <w:sz w:val="22"/>
              </w:rPr>
            </w:pPr>
            <w:r>
              <w:rPr>
                <w:rFonts w:hint="eastAsia" w:cs="仿宋" w:asciiTheme="minorEastAsia" w:hAnsiTheme="minorEastAsia" w:eastAsiaTheme="minorEastAsia"/>
                <w:color w:val="000000"/>
                <w:kern w:val="0"/>
                <w:sz w:val="22"/>
              </w:rPr>
              <w:t>产出指标</w:t>
            </w:r>
          </w:p>
        </w:tc>
        <w:tc>
          <w:tcPr>
            <w:tcW w:w="7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3CAD84">
            <w:pPr>
              <w:widowControl/>
              <w:ind w:firstLine="0" w:firstLineChars="0"/>
              <w:jc w:val="left"/>
              <w:textAlignment w:val="center"/>
              <w:rPr>
                <w:rFonts w:cs="仿宋" w:asciiTheme="minorEastAsia" w:hAnsiTheme="minorEastAsia" w:eastAsiaTheme="minorEastAsia"/>
                <w:color w:val="000000"/>
                <w:sz w:val="22"/>
              </w:rPr>
            </w:pPr>
            <w:r>
              <w:rPr>
                <w:rFonts w:hint="eastAsia" w:cs="仿宋" w:asciiTheme="minorEastAsia" w:hAnsiTheme="minorEastAsia" w:eastAsiaTheme="minorEastAsia"/>
                <w:color w:val="000000"/>
                <w:kern w:val="0"/>
                <w:sz w:val="22"/>
              </w:rPr>
              <w:t>产出质量</w:t>
            </w:r>
          </w:p>
        </w:tc>
        <w:tc>
          <w:tcPr>
            <w:tcW w:w="1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EFC9BE">
            <w:pPr>
              <w:widowControl/>
              <w:ind w:firstLine="0" w:firstLineChars="0"/>
              <w:jc w:val="left"/>
              <w:textAlignment w:val="center"/>
              <w:rPr>
                <w:rFonts w:cs="仿宋" w:asciiTheme="minorEastAsia" w:hAnsiTheme="minorEastAsia" w:eastAsiaTheme="minorEastAsia"/>
                <w:color w:val="000000"/>
                <w:sz w:val="22"/>
              </w:rPr>
            </w:pPr>
            <w:r>
              <w:rPr>
                <w:rFonts w:hint="eastAsia" w:cs="仿宋" w:asciiTheme="minorEastAsia" w:hAnsiTheme="minorEastAsia" w:eastAsiaTheme="minorEastAsia"/>
                <w:color w:val="000000"/>
                <w:kern w:val="0"/>
                <w:sz w:val="22"/>
              </w:rPr>
              <w:t>安全测试指标达标</w:t>
            </w:r>
          </w:p>
        </w:tc>
        <w:tc>
          <w:tcPr>
            <w:tcW w:w="7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D6FD56">
            <w:pPr>
              <w:widowControl/>
              <w:ind w:firstLine="0" w:firstLineChars="0"/>
              <w:jc w:val="left"/>
              <w:textAlignment w:val="center"/>
              <w:rPr>
                <w:rFonts w:cs="仿宋" w:asciiTheme="minorEastAsia" w:hAnsiTheme="minorEastAsia" w:eastAsiaTheme="minorEastAsia"/>
                <w:color w:val="000000"/>
                <w:sz w:val="22"/>
              </w:rPr>
            </w:pPr>
            <w:r>
              <w:rPr>
                <w:rFonts w:hint="eastAsia" w:cs="仿宋" w:asciiTheme="minorEastAsia" w:hAnsiTheme="minorEastAsia" w:eastAsiaTheme="minorEastAsia"/>
                <w:color w:val="000000"/>
                <w:sz w:val="22"/>
              </w:rPr>
              <w:t>达标</w:t>
            </w:r>
          </w:p>
        </w:tc>
      </w:tr>
      <w:tr w14:paraId="6ADB2A7C">
        <w:tblPrEx>
          <w:tblCellMar>
            <w:top w:w="0" w:type="dxa"/>
            <w:left w:w="108" w:type="dxa"/>
            <w:bottom w:w="0" w:type="dxa"/>
            <w:right w:w="108" w:type="dxa"/>
          </w:tblCellMar>
        </w:tblPrEx>
        <w:trPr>
          <w:trHeight w:val="56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FD8BE8">
            <w:pPr>
              <w:jc w:val="center"/>
              <w:rPr>
                <w:rFonts w:asciiTheme="minorEastAsia" w:hAnsiTheme="minorEastAsia" w:eastAsiaTheme="minorEastAsia"/>
              </w:rPr>
            </w:pPr>
            <w:r>
              <w:rPr>
                <w:rFonts w:hint="eastAsia" w:asciiTheme="minorEastAsia" w:hAnsiTheme="minorEastAsia" w:eastAsiaTheme="minorEastAsia"/>
              </w:rPr>
              <w:t>5</w:t>
            </w:r>
          </w:p>
        </w:tc>
        <w:tc>
          <w:tcPr>
            <w:tcW w:w="9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E7A998">
            <w:pPr>
              <w:widowControl/>
              <w:ind w:firstLine="0" w:firstLineChars="0"/>
              <w:jc w:val="left"/>
              <w:textAlignment w:val="center"/>
              <w:rPr>
                <w:rFonts w:cs="仿宋" w:asciiTheme="minorEastAsia" w:hAnsiTheme="minorEastAsia" w:eastAsiaTheme="minorEastAsia"/>
                <w:color w:val="000000"/>
                <w:kern w:val="0"/>
                <w:sz w:val="22"/>
              </w:rPr>
            </w:pPr>
            <w:r>
              <w:rPr>
                <w:rFonts w:hint="eastAsia" w:cs="仿宋" w:asciiTheme="minorEastAsia" w:hAnsiTheme="minorEastAsia" w:eastAsiaTheme="minorEastAsia"/>
                <w:color w:val="000000"/>
                <w:kern w:val="0"/>
                <w:sz w:val="22"/>
              </w:rPr>
              <w:t>通用指标</w:t>
            </w:r>
          </w:p>
        </w:tc>
        <w:tc>
          <w:tcPr>
            <w:tcW w:w="7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BDBF93">
            <w:pPr>
              <w:widowControl/>
              <w:ind w:firstLine="0" w:firstLineChars="0"/>
              <w:jc w:val="left"/>
              <w:textAlignment w:val="center"/>
              <w:rPr>
                <w:rFonts w:cs="仿宋" w:asciiTheme="minorEastAsia" w:hAnsiTheme="minorEastAsia" w:eastAsiaTheme="minorEastAsia"/>
                <w:color w:val="000000"/>
                <w:kern w:val="0"/>
                <w:sz w:val="22"/>
              </w:rPr>
            </w:pPr>
            <w:r>
              <w:rPr>
                <w:rFonts w:hint="eastAsia" w:cs="仿宋" w:asciiTheme="minorEastAsia" w:hAnsiTheme="minorEastAsia" w:eastAsiaTheme="minorEastAsia"/>
                <w:color w:val="000000"/>
                <w:kern w:val="0"/>
                <w:sz w:val="22"/>
              </w:rPr>
              <w:t>产出指标</w:t>
            </w:r>
          </w:p>
        </w:tc>
        <w:tc>
          <w:tcPr>
            <w:tcW w:w="7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C0CBE3">
            <w:pPr>
              <w:widowControl/>
              <w:ind w:firstLine="0" w:firstLineChars="0"/>
              <w:jc w:val="left"/>
              <w:textAlignment w:val="center"/>
              <w:rPr>
                <w:rFonts w:cs="仿宋" w:asciiTheme="minorEastAsia" w:hAnsiTheme="minorEastAsia" w:eastAsiaTheme="minorEastAsia"/>
                <w:color w:val="000000"/>
                <w:kern w:val="0"/>
                <w:sz w:val="22"/>
              </w:rPr>
            </w:pPr>
            <w:r>
              <w:rPr>
                <w:rFonts w:hint="eastAsia" w:cs="仿宋" w:asciiTheme="minorEastAsia" w:hAnsiTheme="minorEastAsia" w:eastAsiaTheme="minorEastAsia"/>
                <w:color w:val="000000"/>
                <w:kern w:val="0"/>
                <w:sz w:val="22"/>
              </w:rPr>
              <w:t>产出质量</w:t>
            </w:r>
          </w:p>
        </w:tc>
        <w:tc>
          <w:tcPr>
            <w:tcW w:w="118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A36279">
            <w:pPr>
              <w:widowControl/>
              <w:ind w:firstLine="0" w:firstLineChars="0"/>
              <w:jc w:val="left"/>
              <w:textAlignment w:val="top"/>
              <w:rPr>
                <w:rFonts w:cs="仿宋" w:asciiTheme="minorEastAsia" w:hAnsiTheme="minorEastAsia" w:eastAsiaTheme="minorEastAsia"/>
                <w:color w:val="000000"/>
                <w:kern w:val="0"/>
                <w:sz w:val="22"/>
              </w:rPr>
            </w:pPr>
            <w:r>
              <w:rPr>
                <w:rFonts w:hint="eastAsia" w:cs="仿宋" w:asciiTheme="minorEastAsia" w:hAnsiTheme="minorEastAsia" w:eastAsiaTheme="minorEastAsia"/>
                <w:color w:val="000000"/>
                <w:kern w:val="0"/>
                <w:sz w:val="22"/>
              </w:rPr>
              <w:t>密码测试达标情况</w:t>
            </w:r>
          </w:p>
        </w:tc>
        <w:tc>
          <w:tcPr>
            <w:tcW w:w="7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0FD2D9">
            <w:pPr>
              <w:widowControl/>
              <w:ind w:firstLine="0" w:firstLineChars="0"/>
              <w:jc w:val="left"/>
              <w:textAlignment w:val="center"/>
              <w:rPr>
                <w:rFonts w:cs="仿宋" w:asciiTheme="minorEastAsia" w:hAnsiTheme="minorEastAsia" w:eastAsiaTheme="minorEastAsia"/>
                <w:color w:val="000000"/>
                <w:sz w:val="22"/>
              </w:rPr>
            </w:pPr>
            <w:r>
              <w:rPr>
                <w:rFonts w:hint="eastAsia" w:cs="仿宋" w:asciiTheme="minorEastAsia" w:hAnsiTheme="minorEastAsia" w:eastAsiaTheme="minorEastAsia"/>
                <w:color w:val="000000"/>
                <w:sz w:val="22"/>
              </w:rPr>
              <w:t>达标</w:t>
            </w:r>
          </w:p>
        </w:tc>
      </w:tr>
    </w:tbl>
    <w:p w14:paraId="6C3B2734"/>
    <w:p w14:paraId="38985394">
      <w:pPr>
        <w:pStyle w:val="2"/>
      </w:pPr>
      <w:bookmarkStart w:id="14" w:name="_Toc47532923"/>
      <w:bookmarkEnd w:id="14"/>
      <w:bookmarkStart w:id="15" w:name="_Toc47537166"/>
      <w:bookmarkEnd w:id="15"/>
      <w:bookmarkStart w:id="16" w:name="_Toc47539102"/>
      <w:bookmarkEnd w:id="16"/>
      <w:bookmarkStart w:id="17" w:name="_Toc47536304"/>
      <w:bookmarkEnd w:id="17"/>
      <w:bookmarkStart w:id="18" w:name="_Toc47533288"/>
      <w:bookmarkEnd w:id="18"/>
      <w:bookmarkStart w:id="19" w:name="_Toc47536676"/>
      <w:bookmarkEnd w:id="19"/>
      <w:r>
        <w:rPr>
          <w:rFonts w:hint="eastAsia"/>
        </w:rPr>
        <w:t>项目建设内容</w:t>
      </w:r>
    </w:p>
    <w:p w14:paraId="0A037B9B">
      <w:pPr>
        <w:pStyle w:val="3"/>
      </w:pPr>
      <w:r>
        <w:rPr>
          <w:rFonts w:hint="eastAsia"/>
        </w:rPr>
        <w:t>主要建设内容</w:t>
      </w:r>
    </w:p>
    <w:p w14:paraId="65FE9287">
      <w:r>
        <w:rPr>
          <w:rFonts w:hint="eastAsia"/>
        </w:rPr>
        <w:t>1、电子证照对接获取</w:t>
      </w:r>
    </w:p>
    <w:p w14:paraId="168EBB00">
      <w:pPr>
        <w:ind w:firstLineChars="0"/>
      </w:pPr>
      <w:r>
        <w:rPr>
          <w:rFonts w:hint="eastAsia"/>
        </w:rPr>
        <w:t>依《关于加快推广应用道路运输电子证照提升数字化服务与监管能力的通知》文件要求，2022年底前，由各省级交通主管单位完成全国各省份省级电子证照系统的部署和安装，实现部省两级电子证照系统联网运行，实现与运政系统等相关系统的对接联网与业务协同。其中省级电子证照平台将依托于上海市电子证照库，基于《上海市电子证照库建设技术标准》规范对交通委行政许可涉及的53类证照进行制证归集，并通过综合业务平台按《道路运输电子证照工程应用技术规范》完成部级9类证照的对接互信工作。除此以外，结合行政许可日常操作需求增加网申及审批中的电子证照查询亮证、验真等应用功能，以及证照调用、归集日志记录查询与统计分析功能。</w:t>
      </w:r>
    </w:p>
    <w:p w14:paraId="513B3187">
      <w:pPr>
        <w:ind w:firstLineChars="0"/>
      </w:pPr>
      <w:r>
        <w:rPr>
          <w:rFonts w:hint="eastAsia"/>
        </w:rPr>
        <w:t>2、与全市“一网通办”对接网申改造</w:t>
      </w:r>
    </w:p>
    <w:p w14:paraId="76A46147">
      <w:pPr>
        <w:ind w:firstLineChars="0"/>
      </w:pPr>
      <w:r>
        <w:rPr>
          <w:rFonts w:hint="eastAsia"/>
        </w:rPr>
        <w:t>为贯彻落实市委、市政府关于《2022年上海市全面深化“一网通办”改革工作要点》，着力推进“一网通办”改革向纵深发展，着力提升政务服务科学化、精细化、智能化水平，着力构建全方位服务体系，更好助力城市数字化转型要求。优化全流程一体化办事服务，巩固“好办”“快办”“智能办”“不见面办理”等改革成效。</w:t>
      </w:r>
    </w:p>
    <w:p w14:paraId="7B67D7F4">
      <w:pPr>
        <w:ind w:firstLineChars="0"/>
      </w:pPr>
      <w:r>
        <w:rPr>
          <w:rFonts w:hint="eastAsia"/>
        </w:rPr>
        <w:t>3、交通部道路运输从业人员跨省通办改造</w:t>
      </w:r>
    </w:p>
    <w:p w14:paraId="31904B00">
      <w:pPr>
        <w:ind w:firstLineChars="0"/>
      </w:pPr>
      <w:r>
        <w:rPr>
          <w:rFonts w:hint="eastAsia"/>
        </w:rPr>
        <w:t>实现交通部“互联网道路运输便民政务服务系统”与各省际运政系统的业务接口互联互通通道，统一各省际运政系统对“便民服务”系统的对接模式，并采集各子系统的对接日志及数据报文。道路运输从业人员从业资格证业务办理数据包括道路客货运输驾驶员、道路危险货物运输从业人员的从业资格证申领、补发换发、注销、信息变更、跨省转籍等业务办理。</w:t>
      </w:r>
    </w:p>
    <w:p w14:paraId="6760A56C">
      <w:pPr>
        <w:ind w:firstLineChars="0"/>
      </w:pPr>
      <w:r>
        <w:rPr>
          <w:rFonts w:hint="eastAsia"/>
        </w:rPr>
        <w:t>4、交通部道路运输从业人员跨省转籍改造</w:t>
      </w:r>
    </w:p>
    <w:p w14:paraId="30341F0A">
      <w:pPr>
        <w:ind w:firstLineChars="0"/>
      </w:pPr>
      <w:r>
        <w:rPr>
          <w:rFonts w:hint="eastAsia"/>
        </w:rPr>
        <w:t>通过互联网道路运输便民政务服务系统（以下简称“便民政务系统”）为道路运输从业人员（包括道路旅客运输驾驶员、道路货物运输驾驶员、道路危险货物运输驾驶员、道路危险货物押运员和装卸管理人员，不包括巡游出租车、网约车、公交车驾驶员从业资格）跨省转籍提供网上办理服务，转籍时默认选择转出地发证机关发放的所有从业资格类别（不包括巡游出租车、网约车、公交车驾驶员从业资格）的办理转籍，不允许只转某个或某几个从业资格类别。</w:t>
      </w:r>
    </w:p>
    <w:p w14:paraId="777193D4">
      <w:pPr>
        <w:ind w:firstLineChars="0"/>
      </w:pPr>
      <w:r>
        <w:rPr>
          <w:rFonts w:hint="eastAsia"/>
        </w:rPr>
        <w:t>5、从业人员受理发证系统升级改造</w:t>
      </w:r>
    </w:p>
    <w:p w14:paraId="6B6E4AED">
      <w:pPr>
        <w:ind w:firstLineChars="0"/>
      </w:pPr>
      <w:r>
        <w:rPr>
          <w:rFonts w:hint="eastAsia"/>
        </w:rPr>
        <w:t>在原有证件系统中新增扩容开发公交特有证件配发、人员锁停和人员返聘等从业人员管理业务，按照上海市“一网通办”和交通部从业人员跨省通办技术标准要求开发改造相关功能，更好地为社会公众、企业单位服务。</w:t>
      </w:r>
    </w:p>
    <w:p w14:paraId="21F8ED6C">
      <w:pPr>
        <w:ind w:firstLineChars="0"/>
      </w:pPr>
      <w:r>
        <w:rPr>
          <w:rFonts w:hint="eastAsia"/>
        </w:rPr>
        <w:t>6、从业资格考试系统升级改造</w:t>
      </w:r>
    </w:p>
    <w:p w14:paraId="4F6C999E">
      <w:pPr>
        <w:ind w:firstLineChars="0"/>
      </w:pPr>
      <w:r>
        <w:rPr>
          <w:rFonts w:hint="eastAsia"/>
        </w:rPr>
        <w:t>在原有考试系统中扩容开发分考场开设相关功能，按照市财政要求对考试报名费用线上支付缴费进行非税改造。</w:t>
      </w:r>
    </w:p>
    <w:p w14:paraId="358C017C">
      <w:pPr>
        <w:ind w:firstLineChars="0"/>
      </w:pPr>
      <w:r>
        <w:rPr>
          <w:rFonts w:hint="eastAsia"/>
        </w:rPr>
        <w:t>7、培训报名系统新增</w:t>
      </w:r>
    </w:p>
    <w:p w14:paraId="72CEF4AF">
      <w:pPr>
        <w:ind w:firstLineChars="0"/>
      </w:pPr>
      <w:r>
        <w:rPr>
          <w:rFonts w:hint="eastAsia"/>
        </w:rPr>
        <w:t>面向培训机构提供培训报名系统，用于人员培训报名和培训组织的管理。</w:t>
      </w:r>
    </w:p>
    <w:p w14:paraId="74B62733">
      <w:pPr>
        <w:ind w:firstLineChars="0"/>
      </w:pPr>
      <w:r>
        <w:rPr>
          <w:rFonts w:hint="eastAsia"/>
        </w:rPr>
        <w:t>8、系统架构升级</w:t>
      </w:r>
    </w:p>
    <w:p w14:paraId="2BF057B1">
      <w:pPr>
        <w:ind w:firstLineChars="0"/>
      </w:pPr>
      <w:r>
        <w:rPr>
          <w:rFonts w:hint="eastAsia"/>
        </w:rPr>
        <w:t>建设自助终端标准化功能接口，包括统一入口、统一加密、统一鉴权、统一异常处理、统一日志记录。</w:t>
      </w:r>
    </w:p>
    <w:p w14:paraId="6F66F895">
      <w:pPr>
        <w:pStyle w:val="3"/>
      </w:pPr>
      <w:r>
        <w:rPr>
          <w:rFonts w:hint="eastAsia"/>
        </w:rPr>
        <w:t>系统整体架构</w:t>
      </w:r>
    </w:p>
    <w:p w14:paraId="5AF11330">
      <w:r>
        <w:rPr>
          <w:rFonts w:hint="eastAsia"/>
        </w:rPr>
        <w:t>本次建设将对交通从业人员相关的两个核心业务系统全面升级系统框架，进行国产化适配改造，对其中还未上云的系统迁至政务云环境。扩容从业人员证件管理、资格考试相关功能，按照市“一网通办”要求和交通部从业人员跨省通办要求完成功能改造和对接。</w:t>
      </w:r>
    </w:p>
    <w:p w14:paraId="11FCFE1A">
      <w:pPr>
        <w:pStyle w:val="135"/>
        <w:ind w:firstLine="0" w:firstLineChars="0"/>
        <w:jc w:val="center"/>
        <w:rPr>
          <w:szCs w:val="32"/>
        </w:rPr>
      </w:pPr>
      <w:r>
        <w:drawing>
          <wp:inline distT="0" distB="0" distL="0" distR="0">
            <wp:extent cx="5274310" cy="4549775"/>
            <wp:effectExtent l="0" t="0" r="2540" b="3175"/>
            <wp:docPr id="126659674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6596741" name="图片 1"/>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274310" cy="4549775"/>
                    </a:xfrm>
                    <a:prstGeom prst="rect">
                      <a:avLst/>
                    </a:prstGeom>
                  </pic:spPr>
                </pic:pic>
              </a:graphicData>
            </a:graphic>
          </wp:inline>
        </w:drawing>
      </w:r>
    </w:p>
    <w:p w14:paraId="1B235438">
      <w:pPr>
        <w:pStyle w:val="3"/>
        <w:numPr>
          <w:ilvl w:val="1"/>
          <w:numId w:val="5"/>
        </w:numPr>
      </w:pPr>
      <w:r>
        <w:rPr>
          <w:rFonts w:hint="eastAsia"/>
        </w:rPr>
        <w:t>技术路线</w:t>
      </w:r>
    </w:p>
    <w:p w14:paraId="790091FD">
      <w:r>
        <w:rPr>
          <w:rFonts w:hint="eastAsia"/>
        </w:rPr>
        <w:t>本项目系统部署在市电子政务云上。投标方需针对电子政务云资源需求，制定适合本项目的集成方案，系统架构设计，能够满足系统的完备性和可扩展性要求，完成应用软件部署、配置和联调，并负责应用系统的售后维护工作。</w:t>
      </w:r>
    </w:p>
    <w:p w14:paraId="18FB64BC">
      <w:r>
        <w:rPr>
          <w:rFonts w:hint="eastAsia"/>
        </w:rPr>
        <w:t>本项目应满足对于信创环境支持的基本要求。信创环境支持包括：国产数据库、国产操作系统、国产服务器、国产计算机、国产办公软件、国产外设设备以及相关国产化中间件软件、浏览器、插件等。本系统建成后，部署在上海市电子政务云环境上，并完全适配安全可靠终端的使用。</w:t>
      </w:r>
    </w:p>
    <w:p w14:paraId="2365E044"/>
    <w:p w14:paraId="46C56B86">
      <w:pPr>
        <w:pStyle w:val="3"/>
      </w:pPr>
      <w:r>
        <w:rPr>
          <w:rFonts w:hint="eastAsia"/>
        </w:rPr>
        <w:t>软件开发清单</w:t>
      </w:r>
    </w:p>
    <w:tbl>
      <w:tblPr>
        <w:tblStyle w:val="35"/>
        <w:tblW w:w="5000" w:type="pct"/>
        <w:tblInd w:w="0" w:type="dxa"/>
        <w:tblLayout w:type="autofit"/>
        <w:tblCellMar>
          <w:top w:w="0" w:type="dxa"/>
          <w:left w:w="108" w:type="dxa"/>
          <w:bottom w:w="0" w:type="dxa"/>
          <w:right w:w="108" w:type="dxa"/>
        </w:tblCellMar>
      </w:tblPr>
      <w:tblGrid>
        <w:gridCol w:w="863"/>
        <w:gridCol w:w="1642"/>
        <w:gridCol w:w="2422"/>
        <w:gridCol w:w="3601"/>
      </w:tblGrid>
      <w:tr w14:paraId="371447C1">
        <w:tblPrEx>
          <w:tblCellMar>
            <w:top w:w="0" w:type="dxa"/>
            <w:left w:w="108" w:type="dxa"/>
            <w:bottom w:w="0" w:type="dxa"/>
            <w:right w:w="108" w:type="dxa"/>
          </w:tblCellMar>
        </w:tblPrEx>
        <w:trPr>
          <w:trHeight w:val="280" w:hRule="atLeast"/>
        </w:trPr>
        <w:tc>
          <w:tcPr>
            <w:tcW w:w="506" w:type="pct"/>
            <w:tcBorders>
              <w:top w:val="single" w:color="auto" w:sz="4" w:space="0"/>
              <w:left w:val="single" w:color="auto" w:sz="4" w:space="0"/>
              <w:bottom w:val="single" w:color="auto" w:sz="4" w:space="0"/>
              <w:right w:val="single" w:color="auto" w:sz="4" w:space="0"/>
            </w:tcBorders>
            <w:shd w:val="clear" w:color="000000" w:fill="F3F8FC"/>
            <w:vAlign w:val="center"/>
          </w:tcPr>
          <w:p w14:paraId="72A469C5">
            <w:pPr>
              <w:widowControl/>
              <w:spacing w:line="240" w:lineRule="auto"/>
              <w:ind w:firstLine="0" w:firstLineChars="0"/>
              <w:jc w:val="center"/>
              <w:rPr>
                <w:rFonts w:cs="宋体"/>
                <w:b/>
                <w:bCs/>
                <w:color w:val="000000"/>
                <w:kern w:val="0"/>
                <w:sz w:val="22"/>
                <w:szCs w:val="22"/>
              </w:rPr>
            </w:pPr>
            <w:r>
              <w:rPr>
                <w:rFonts w:hint="eastAsia" w:cs="宋体"/>
                <w:b/>
                <w:bCs/>
                <w:color w:val="000000"/>
                <w:kern w:val="0"/>
                <w:sz w:val="22"/>
                <w:szCs w:val="22"/>
              </w:rPr>
              <w:t>序号</w:t>
            </w:r>
          </w:p>
        </w:tc>
        <w:tc>
          <w:tcPr>
            <w:tcW w:w="963" w:type="pct"/>
            <w:tcBorders>
              <w:top w:val="single" w:color="auto" w:sz="4" w:space="0"/>
              <w:left w:val="nil"/>
              <w:bottom w:val="single" w:color="auto" w:sz="4" w:space="0"/>
              <w:right w:val="single" w:color="auto" w:sz="4" w:space="0"/>
            </w:tcBorders>
            <w:shd w:val="clear" w:color="000000" w:fill="F3F8FC"/>
            <w:vAlign w:val="center"/>
          </w:tcPr>
          <w:p w14:paraId="2BCCE711">
            <w:pPr>
              <w:widowControl/>
              <w:spacing w:line="240" w:lineRule="auto"/>
              <w:ind w:firstLine="0" w:firstLineChars="0"/>
              <w:jc w:val="center"/>
              <w:rPr>
                <w:rFonts w:cs="宋体"/>
                <w:b/>
                <w:bCs/>
                <w:color w:val="000000"/>
                <w:kern w:val="0"/>
                <w:sz w:val="22"/>
                <w:szCs w:val="22"/>
              </w:rPr>
            </w:pPr>
            <w:r>
              <w:rPr>
                <w:rFonts w:hint="eastAsia" w:cs="宋体"/>
                <w:b/>
                <w:bCs/>
                <w:color w:val="000000"/>
                <w:kern w:val="0"/>
                <w:sz w:val="22"/>
                <w:szCs w:val="22"/>
              </w:rPr>
              <w:t>应用系统名称</w:t>
            </w:r>
          </w:p>
        </w:tc>
        <w:tc>
          <w:tcPr>
            <w:tcW w:w="1420" w:type="pct"/>
            <w:tcBorders>
              <w:top w:val="single" w:color="auto" w:sz="4" w:space="0"/>
              <w:left w:val="nil"/>
              <w:bottom w:val="single" w:color="auto" w:sz="4" w:space="0"/>
              <w:right w:val="single" w:color="auto" w:sz="4" w:space="0"/>
            </w:tcBorders>
            <w:shd w:val="clear" w:color="000000" w:fill="F3F8FC"/>
            <w:vAlign w:val="center"/>
          </w:tcPr>
          <w:p w14:paraId="51BF9A34">
            <w:pPr>
              <w:widowControl/>
              <w:spacing w:line="240" w:lineRule="auto"/>
              <w:ind w:firstLine="0" w:firstLineChars="0"/>
              <w:jc w:val="center"/>
              <w:rPr>
                <w:rFonts w:cs="宋体"/>
                <w:b/>
                <w:bCs/>
                <w:color w:val="000000"/>
                <w:kern w:val="0"/>
                <w:sz w:val="22"/>
                <w:szCs w:val="22"/>
              </w:rPr>
            </w:pPr>
            <w:r>
              <w:rPr>
                <w:rFonts w:hint="eastAsia" w:cs="宋体"/>
                <w:b/>
                <w:bCs/>
                <w:color w:val="000000"/>
                <w:kern w:val="0"/>
                <w:sz w:val="22"/>
                <w:szCs w:val="22"/>
              </w:rPr>
              <w:t>模块名称</w:t>
            </w:r>
          </w:p>
        </w:tc>
        <w:tc>
          <w:tcPr>
            <w:tcW w:w="2111" w:type="pct"/>
            <w:tcBorders>
              <w:top w:val="single" w:color="auto" w:sz="4" w:space="0"/>
              <w:left w:val="nil"/>
              <w:bottom w:val="single" w:color="auto" w:sz="4" w:space="0"/>
              <w:right w:val="single" w:color="auto" w:sz="4" w:space="0"/>
            </w:tcBorders>
            <w:shd w:val="clear" w:color="000000" w:fill="F3F8FC"/>
            <w:vAlign w:val="center"/>
          </w:tcPr>
          <w:p w14:paraId="536AF6A0">
            <w:pPr>
              <w:widowControl/>
              <w:spacing w:line="240" w:lineRule="auto"/>
              <w:ind w:firstLine="0" w:firstLineChars="0"/>
              <w:jc w:val="center"/>
              <w:rPr>
                <w:rFonts w:cs="宋体"/>
                <w:b/>
                <w:bCs/>
                <w:color w:val="000000"/>
                <w:kern w:val="0"/>
                <w:sz w:val="22"/>
                <w:szCs w:val="22"/>
              </w:rPr>
            </w:pPr>
            <w:r>
              <w:rPr>
                <w:rFonts w:hint="eastAsia" w:cs="宋体"/>
                <w:b/>
                <w:bCs/>
                <w:color w:val="000000"/>
                <w:kern w:val="0"/>
                <w:sz w:val="22"/>
                <w:szCs w:val="22"/>
              </w:rPr>
              <w:t>模块描述</w:t>
            </w:r>
          </w:p>
        </w:tc>
      </w:tr>
      <w:tr w14:paraId="5A6165A0">
        <w:tblPrEx>
          <w:tblCellMar>
            <w:top w:w="0" w:type="dxa"/>
            <w:left w:w="108" w:type="dxa"/>
            <w:bottom w:w="0" w:type="dxa"/>
            <w:right w:w="108" w:type="dxa"/>
          </w:tblCellMar>
        </w:tblPrEx>
        <w:trPr>
          <w:trHeight w:val="56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6AD71247">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1</w:t>
            </w:r>
          </w:p>
        </w:tc>
        <w:tc>
          <w:tcPr>
            <w:tcW w:w="963" w:type="pct"/>
            <w:vMerge w:val="restart"/>
            <w:tcBorders>
              <w:top w:val="nil"/>
              <w:left w:val="single" w:color="auto" w:sz="4" w:space="0"/>
              <w:bottom w:val="single" w:color="000000" w:sz="4" w:space="0"/>
              <w:right w:val="single" w:color="auto" w:sz="4" w:space="0"/>
            </w:tcBorders>
            <w:shd w:val="clear" w:color="auto" w:fill="auto"/>
            <w:vAlign w:val="center"/>
          </w:tcPr>
          <w:p w14:paraId="0344DF61">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电子证照对接获取</w:t>
            </w:r>
          </w:p>
        </w:tc>
        <w:tc>
          <w:tcPr>
            <w:tcW w:w="1420" w:type="pct"/>
            <w:tcBorders>
              <w:top w:val="nil"/>
              <w:left w:val="nil"/>
              <w:bottom w:val="single" w:color="auto" w:sz="4" w:space="0"/>
              <w:right w:val="single" w:color="auto" w:sz="4" w:space="0"/>
            </w:tcBorders>
            <w:shd w:val="clear" w:color="auto" w:fill="auto"/>
            <w:vAlign w:val="center"/>
          </w:tcPr>
          <w:p w14:paraId="4AEFF23B">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市大数据中心电子证照库-从业人员证照获取</w:t>
            </w:r>
          </w:p>
        </w:tc>
        <w:tc>
          <w:tcPr>
            <w:tcW w:w="2111" w:type="pct"/>
            <w:tcBorders>
              <w:top w:val="nil"/>
              <w:left w:val="nil"/>
              <w:bottom w:val="single" w:color="auto" w:sz="4" w:space="0"/>
              <w:right w:val="single" w:color="auto" w:sz="4" w:space="0"/>
            </w:tcBorders>
            <w:shd w:val="clear" w:color="auto" w:fill="auto"/>
            <w:vAlign w:val="center"/>
          </w:tcPr>
          <w:p w14:paraId="2DE0E59E">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获取全部证照目录、获取证照照面数据、获取证照基本信息、查询证照基本信息</w:t>
            </w:r>
          </w:p>
        </w:tc>
      </w:tr>
      <w:tr w14:paraId="2223380D">
        <w:tblPrEx>
          <w:tblCellMar>
            <w:top w:w="0" w:type="dxa"/>
            <w:left w:w="108" w:type="dxa"/>
            <w:bottom w:w="0" w:type="dxa"/>
            <w:right w:w="108" w:type="dxa"/>
          </w:tblCellMar>
        </w:tblPrEx>
        <w:trPr>
          <w:trHeight w:val="56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374BCF86">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2</w:t>
            </w:r>
          </w:p>
        </w:tc>
        <w:tc>
          <w:tcPr>
            <w:tcW w:w="963" w:type="pct"/>
            <w:vMerge w:val="continue"/>
            <w:tcBorders>
              <w:top w:val="nil"/>
              <w:left w:val="single" w:color="auto" w:sz="4" w:space="0"/>
              <w:bottom w:val="single" w:color="000000" w:sz="4" w:space="0"/>
              <w:right w:val="single" w:color="auto" w:sz="4" w:space="0"/>
            </w:tcBorders>
            <w:vAlign w:val="center"/>
          </w:tcPr>
          <w:p w14:paraId="4ABB3569">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112874F9">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市大数据中心电子证照库-证照状态变更及验证</w:t>
            </w:r>
          </w:p>
        </w:tc>
        <w:tc>
          <w:tcPr>
            <w:tcW w:w="2111" w:type="pct"/>
            <w:tcBorders>
              <w:top w:val="nil"/>
              <w:left w:val="nil"/>
              <w:bottom w:val="single" w:color="auto" w:sz="4" w:space="0"/>
              <w:right w:val="single" w:color="auto" w:sz="4" w:space="0"/>
            </w:tcBorders>
            <w:shd w:val="clear" w:color="auto" w:fill="auto"/>
            <w:vAlign w:val="center"/>
          </w:tcPr>
          <w:p w14:paraId="2BF756A6">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变更证照状态、有效性验证</w:t>
            </w:r>
          </w:p>
        </w:tc>
      </w:tr>
      <w:tr w14:paraId="187FACF2">
        <w:tblPrEx>
          <w:tblCellMar>
            <w:top w:w="0" w:type="dxa"/>
            <w:left w:w="108" w:type="dxa"/>
            <w:bottom w:w="0" w:type="dxa"/>
            <w:right w:w="108" w:type="dxa"/>
          </w:tblCellMar>
        </w:tblPrEx>
        <w:trPr>
          <w:trHeight w:val="56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55CBCB6D">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3</w:t>
            </w:r>
          </w:p>
        </w:tc>
        <w:tc>
          <w:tcPr>
            <w:tcW w:w="963" w:type="pct"/>
            <w:vMerge w:val="continue"/>
            <w:tcBorders>
              <w:top w:val="nil"/>
              <w:left w:val="single" w:color="auto" w:sz="4" w:space="0"/>
              <w:bottom w:val="single" w:color="000000" w:sz="4" w:space="0"/>
              <w:right w:val="single" w:color="auto" w:sz="4" w:space="0"/>
            </w:tcBorders>
            <w:vAlign w:val="center"/>
          </w:tcPr>
          <w:p w14:paraId="23FEFBF8">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506E67E6">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市大数据中心电子证照库-模板制证</w:t>
            </w:r>
          </w:p>
        </w:tc>
        <w:tc>
          <w:tcPr>
            <w:tcW w:w="2111" w:type="pct"/>
            <w:tcBorders>
              <w:top w:val="nil"/>
              <w:left w:val="nil"/>
              <w:bottom w:val="single" w:color="auto" w:sz="4" w:space="0"/>
              <w:right w:val="single" w:color="auto" w:sz="4" w:space="0"/>
            </w:tcBorders>
            <w:shd w:val="clear" w:color="auto" w:fill="auto"/>
            <w:vAlign w:val="center"/>
          </w:tcPr>
          <w:p w14:paraId="5352E672">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制证（模板制证）</w:t>
            </w:r>
          </w:p>
        </w:tc>
      </w:tr>
      <w:tr w14:paraId="68097D5E">
        <w:tblPrEx>
          <w:tblCellMar>
            <w:top w:w="0" w:type="dxa"/>
            <w:left w:w="108" w:type="dxa"/>
            <w:bottom w:w="0" w:type="dxa"/>
            <w:right w:w="108" w:type="dxa"/>
          </w:tblCellMar>
        </w:tblPrEx>
        <w:trPr>
          <w:trHeight w:val="56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71D011AF">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4</w:t>
            </w:r>
          </w:p>
        </w:tc>
        <w:tc>
          <w:tcPr>
            <w:tcW w:w="963" w:type="pct"/>
            <w:vMerge w:val="continue"/>
            <w:tcBorders>
              <w:top w:val="nil"/>
              <w:left w:val="single" w:color="auto" w:sz="4" w:space="0"/>
              <w:bottom w:val="single" w:color="000000" w:sz="4" w:space="0"/>
              <w:right w:val="single" w:color="auto" w:sz="4" w:space="0"/>
            </w:tcBorders>
            <w:vAlign w:val="center"/>
          </w:tcPr>
          <w:p w14:paraId="51E72A62">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5BF4B7A8">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市大数据中心电子证照库-获取证照缩略图</w:t>
            </w:r>
          </w:p>
        </w:tc>
        <w:tc>
          <w:tcPr>
            <w:tcW w:w="2111" w:type="pct"/>
            <w:tcBorders>
              <w:top w:val="nil"/>
              <w:left w:val="nil"/>
              <w:bottom w:val="single" w:color="auto" w:sz="4" w:space="0"/>
              <w:right w:val="single" w:color="auto" w:sz="4" w:space="0"/>
            </w:tcBorders>
            <w:shd w:val="clear" w:color="auto" w:fill="auto"/>
            <w:vAlign w:val="center"/>
          </w:tcPr>
          <w:p w14:paraId="6B970052">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获取证照单页或组合的缩略图、一次性获取证照所有页的缩略图</w:t>
            </w:r>
          </w:p>
        </w:tc>
      </w:tr>
      <w:tr w14:paraId="7500B4E0">
        <w:tblPrEx>
          <w:tblCellMar>
            <w:top w:w="0" w:type="dxa"/>
            <w:left w:w="108" w:type="dxa"/>
            <w:bottom w:w="0" w:type="dxa"/>
            <w:right w:w="108" w:type="dxa"/>
          </w:tblCellMar>
        </w:tblPrEx>
        <w:trPr>
          <w:trHeight w:val="56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31CFAD29">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5</w:t>
            </w:r>
          </w:p>
        </w:tc>
        <w:tc>
          <w:tcPr>
            <w:tcW w:w="963" w:type="pct"/>
            <w:vMerge w:val="continue"/>
            <w:tcBorders>
              <w:top w:val="nil"/>
              <w:left w:val="single" w:color="auto" w:sz="4" w:space="0"/>
              <w:bottom w:val="single" w:color="000000" w:sz="4" w:space="0"/>
              <w:right w:val="single" w:color="auto" w:sz="4" w:space="0"/>
            </w:tcBorders>
            <w:vAlign w:val="center"/>
          </w:tcPr>
          <w:p w14:paraId="63C49647">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2A5E1E2C">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市大数据中心电子证照库-用证对接</w:t>
            </w:r>
          </w:p>
        </w:tc>
        <w:tc>
          <w:tcPr>
            <w:tcW w:w="2111" w:type="pct"/>
            <w:tcBorders>
              <w:top w:val="nil"/>
              <w:left w:val="nil"/>
              <w:bottom w:val="single" w:color="auto" w:sz="4" w:space="0"/>
              <w:right w:val="single" w:color="auto" w:sz="4" w:space="0"/>
            </w:tcBorders>
            <w:shd w:val="clear" w:color="auto" w:fill="auto"/>
            <w:vAlign w:val="center"/>
          </w:tcPr>
          <w:p w14:paraId="58BF9A7D">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用证接口（通过事项获取该事项材料对应证照的清单列表）</w:t>
            </w:r>
          </w:p>
        </w:tc>
      </w:tr>
      <w:tr w14:paraId="6A6E3FF5">
        <w:tblPrEx>
          <w:tblCellMar>
            <w:top w:w="0" w:type="dxa"/>
            <w:left w:w="108" w:type="dxa"/>
            <w:bottom w:w="0" w:type="dxa"/>
            <w:right w:w="108" w:type="dxa"/>
          </w:tblCellMar>
        </w:tblPrEx>
        <w:trPr>
          <w:trHeight w:val="84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2EDCB0F4">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6</w:t>
            </w:r>
          </w:p>
        </w:tc>
        <w:tc>
          <w:tcPr>
            <w:tcW w:w="963" w:type="pct"/>
            <w:vMerge w:val="continue"/>
            <w:tcBorders>
              <w:top w:val="nil"/>
              <w:left w:val="single" w:color="auto" w:sz="4" w:space="0"/>
              <w:bottom w:val="single" w:color="000000" w:sz="4" w:space="0"/>
              <w:right w:val="single" w:color="auto" w:sz="4" w:space="0"/>
            </w:tcBorders>
            <w:vAlign w:val="center"/>
          </w:tcPr>
          <w:p w14:paraId="2607FDBF">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07D72081">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市大数据中心电子证照库-获取项目相关证书与照面数据</w:t>
            </w:r>
          </w:p>
        </w:tc>
        <w:tc>
          <w:tcPr>
            <w:tcW w:w="2111" w:type="pct"/>
            <w:tcBorders>
              <w:top w:val="nil"/>
              <w:left w:val="nil"/>
              <w:bottom w:val="single" w:color="auto" w:sz="4" w:space="0"/>
              <w:right w:val="single" w:color="auto" w:sz="4" w:space="0"/>
            </w:tcBorders>
            <w:shd w:val="clear" w:color="auto" w:fill="auto"/>
            <w:vAlign w:val="center"/>
          </w:tcPr>
          <w:p w14:paraId="51ADDCE9">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获取项目相关证书与照面数据、查询证照基本信息和证照缩略图、根据证书证照唯一编号获取信息以及缩略图</w:t>
            </w:r>
          </w:p>
        </w:tc>
      </w:tr>
      <w:tr w14:paraId="59789975">
        <w:tblPrEx>
          <w:tblCellMar>
            <w:top w:w="0" w:type="dxa"/>
            <w:left w:w="108" w:type="dxa"/>
            <w:bottom w:w="0" w:type="dxa"/>
            <w:right w:w="108" w:type="dxa"/>
          </w:tblCellMar>
        </w:tblPrEx>
        <w:trPr>
          <w:trHeight w:val="56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164B2896">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7</w:t>
            </w:r>
          </w:p>
        </w:tc>
        <w:tc>
          <w:tcPr>
            <w:tcW w:w="963" w:type="pct"/>
            <w:vMerge w:val="continue"/>
            <w:tcBorders>
              <w:top w:val="nil"/>
              <w:left w:val="single" w:color="auto" w:sz="4" w:space="0"/>
              <w:bottom w:val="single" w:color="000000" w:sz="4" w:space="0"/>
              <w:right w:val="single" w:color="auto" w:sz="4" w:space="0"/>
            </w:tcBorders>
            <w:vAlign w:val="center"/>
          </w:tcPr>
          <w:p w14:paraId="647D5E60">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21AC7C3F">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市大数据中心电子证照库-从业人员证照数据组装</w:t>
            </w:r>
          </w:p>
        </w:tc>
        <w:tc>
          <w:tcPr>
            <w:tcW w:w="2111" w:type="pct"/>
            <w:tcBorders>
              <w:top w:val="nil"/>
              <w:left w:val="nil"/>
              <w:bottom w:val="single" w:color="auto" w:sz="4" w:space="0"/>
              <w:right w:val="single" w:color="auto" w:sz="4" w:space="0"/>
            </w:tcBorders>
            <w:shd w:val="clear" w:color="auto" w:fill="auto"/>
            <w:vAlign w:val="center"/>
          </w:tcPr>
          <w:p w14:paraId="3C28486C">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5项人员证照数据组装</w:t>
            </w:r>
          </w:p>
        </w:tc>
      </w:tr>
      <w:tr w14:paraId="4DCE3944">
        <w:tblPrEx>
          <w:tblCellMar>
            <w:top w:w="0" w:type="dxa"/>
            <w:left w:w="108" w:type="dxa"/>
            <w:bottom w:w="0" w:type="dxa"/>
            <w:right w:w="108" w:type="dxa"/>
          </w:tblCellMar>
        </w:tblPrEx>
        <w:trPr>
          <w:trHeight w:val="56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1F8C42B0">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8</w:t>
            </w:r>
          </w:p>
        </w:tc>
        <w:tc>
          <w:tcPr>
            <w:tcW w:w="963" w:type="pct"/>
            <w:vMerge w:val="continue"/>
            <w:tcBorders>
              <w:top w:val="nil"/>
              <w:left w:val="single" w:color="auto" w:sz="4" w:space="0"/>
              <w:bottom w:val="single" w:color="000000" w:sz="4" w:space="0"/>
              <w:right w:val="single" w:color="auto" w:sz="4" w:space="0"/>
            </w:tcBorders>
            <w:vAlign w:val="center"/>
          </w:tcPr>
          <w:p w14:paraId="2A869A8F">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18A7045C">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电子证照部级平台-电子证照文件上传</w:t>
            </w:r>
          </w:p>
        </w:tc>
        <w:tc>
          <w:tcPr>
            <w:tcW w:w="2111" w:type="pct"/>
            <w:tcBorders>
              <w:top w:val="nil"/>
              <w:left w:val="nil"/>
              <w:bottom w:val="single" w:color="auto" w:sz="4" w:space="0"/>
              <w:right w:val="single" w:color="auto" w:sz="4" w:space="0"/>
            </w:tcBorders>
            <w:shd w:val="clear" w:color="auto" w:fill="auto"/>
            <w:vAlign w:val="center"/>
          </w:tcPr>
          <w:p w14:paraId="2350173C">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对接部新增、更新电子证照文件上传接口</w:t>
            </w:r>
          </w:p>
        </w:tc>
      </w:tr>
      <w:tr w14:paraId="6455D2FB">
        <w:tblPrEx>
          <w:tblCellMar>
            <w:top w:w="0" w:type="dxa"/>
            <w:left w:w="108" w:type="dxa"/>
            <w:bottom w:w="0" w:type="dxa"/>
            <w:right w:w="108" w:type="dxa"/>
          </w:tblCellMar>
        </w:tblPrEx>
        <w:trPr>
          <w:trHeight w:val="56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325D4763">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9</w:t>
            </w:r>
          </w:p>
        </w:tc>
        <w:tc>
          <w:tcPr>
            <w:tcW w:w="963" w:type="pct"/>
            <w:vMerge w:val="continue"/>
            <w:tcBorders>
              <w:top w:val="nil"/>
              <w:left w:val="single" w:color="auto" w:sz="4" w:space="0"/>
              <w:bottom w:val="single" w:color="000000" w:sz="4" w:space="0"/>
              <w:right w:val="single" w:color="auto" w:sz="4" w:space="0"/>
            </w:tcBorders>
            <w:vAlign w:val="center"/>
          </w:tcPr>
          <w:p w14:paraId="4A69F94D">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7BE8B855">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电子证照部级平台-部电子证照信息获取</w:t>
            </w:r>
          </w:p>
        </w:tc>
        <w:tc>
          <w:tcPr>
            <w:tcW w:w="2111" w:type="pct"/>
            <w:tcBorders>
              <w:top w:val="nil"/>
              <w:left w:val="nil"/>
              <w:bottom w:val="single" w:color="auto" w:sz="4" w:space="0"/>
              <w:right w:val="single" w:color="auto" w:sz="4" w:space="0"/>
            </w:tcBorders>
            <w:shd w:val="clear" w:color="auto" w:fill="auto"/>
            <w:vAlign w:val="center"/>
          </w:tcPr>
          <w:p w14:paraId="140DE264">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对接部电子证照变更记录接收接口、对接部电子证照信息获取接口</w:t>
            </w:r>
          </w:p>
        </w:tc>
      </w:tr>
      <w:tr w14:paraId="4579FF22">
        <w:tblPrEx>
          <w:tblCellMar>
            <w:top w:w="0" w:type="dxa"/>
            <w:left w:w="108" w:type="dxa"/>
            <w:bottom w:w="0" w:type="dxa"/>
            <w:right w:w="108" w:type="dxa"/>
          </w:tblCellMar>
        </w:tblPrEx>
        <w:trPr>
          <w:trHeight w:val="56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0C4B4795">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10</w:t>
            </w:r>
          </w:p>
        </w:tc>
        <w:tc>
          <w:tcPr>
            <w:tcW w:w="963" w:type="pct"/>
            <w:vMerge w:val="continue"/>
            <w:tcBorders>
              <w:top w:val="nil"/>
              <w:left w:val="single" w:color="auto" w:sz="4" w:space="0"/>
              <w:bottom w:val="single" w:color="000000" w:sz="4" w:space="0"/>
              <w:right w:val="single" w:color="auto" w:sz="4" w:space="0"/>
            </w:tcBorders>
            <w:vAlign w:val="center"/>
          </w:tcPr>
          <w:p w14:paraId="43EA2019">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170634C7">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电子证照部级平台-模板调试数据组装</w:t>
            </w:r>
          </w:p>
        </w:tc>
        <w:tc>
          <w:tcPr>
            <w:tcW w:w="2111" w:type="pct"/>
            <w:tcBorders>
              <w:top w:val="nil"/>
              <w:left w:val="nil"/>
              <w:bottom w:val="single" w:color="auto" w:sz="4" w:space="0"/>
              <w:right w:val="single" w:color="auto" w:sz="4" w:space="0"/>
            </w:tcBorders>
            <w:shd w:val="clear" w:color="auto" w:fill="auto"/>
            <w:vAlign w:val="center"/>
          </w:tcPr>
          <w:p w14:paraId="23325049">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道路运输证模板调试，3类证照数据组装</w:t>
            </w:r>
          </w:p>
        </w:tc>
      </w:tr>
      <w:tr w14:paraId="58173438">
        <w:tblPrEx>
          <w:tblCellMar>
            <w:top w:w="0" w:type="dxa"/>
            <w:left w:w="108" w:type="dxa"/>
            <w:bottom w:w="0" w:type="dxa"/>
            <w:right w:w="108" w:type="dxa"/>
          </w:tblCellMar>
        </w:tblPrEx>
        <w:trPr>
          <w:trHeight w:val="84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75428CA2">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11</w:t>
            </w:r>
          </w:p>
        </w:tc>
        <w:tc>
          <w:tcPr>
            <w:tcW w:w="963" w:type="pct"/>
            <w:vMerge w:val="restart"/>
            <w:tcBorders>
              <w:top w:val="nil"/>
              <w:left w:val="single" w:color="auto" w:sz="4" w:space="0"/>
              <w:bottom w:val="single" w:color="000000" w:sz="4" w:space="0"/>
              <w:right w:val="single" w:color="auto" w:sz="4" w:space="0"/>
            </w:tcBorders>
            <w:shd w:val="clear" w:color="auto" w:fill="auto"/>
            <w:vAlign w:val="center"/>
          </w:tcPr>
          <w:p w14:paraId="5052B257">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与全市“一网通办”对接网申改造</w:t>
            </w:r>
          </w:p>
        </w:tc>
        <w:tc>
          <w:tcPr>
            <w:tcW w:w="1420" w:type="pct"/>
            <w:tcBorders>
              <w:top w:val="nil"/>
              <w:left w:val="nil"/>
              <w:bottom w:val="single" w:color="auto" w:sz="4" w:space="0"/>
              <w:right w:val="single" w:color="auto" w:sz="4" w:space="0"/>
            </w:tcBorders>
            <w:shd w:val="clear" w:color="auto" w:fill="auto"/>
            <w:vAlign w:val="center"/>
          </w:tcPr>
          <w:p w14:paraId="10341E22">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好办快办应用功能开发-高频事项自动生成申请表</w:t>
            </w:r>
          </w:p>
        </w:tc>
        <w:tc>
          <w:tcPr>
            <w:tcW w:w="2111" w:type="pct"/>
            <w:tcBorders>
              <w:top w:val="nil"/>
              <w:left w:val="nil"/>
              <w:bottom w:val="single" w:color="auto" w:sz="4" w:space="0"/>
              <w:right w:val="single" w:color="auto" w:sz="4" w:space="0"/>
            </w:tcBorders>
            <w:shd w:val="clear" w:color="auto" w:fill="auto"/>
            <w:vAlign w:val="center"/>
          </w:tcPr>
          <w:p w14:paraId="10589BA8">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对于高频事项，系统对应具体事项自动生成事项所需的申请表，并提供申请表的下载、打印</w:t>
            </w:r>
          </w:p>
        </w:tc>
      </w:tr>
      <w:tr w14:paraId="2091D722">
        <w:tblPrEx>
          <w:tblCellMar>
            <w:top w:w="0" w:type="dxa"/>
            <w:left w:w="108" w:type="dxa"/>
            <w:bottom w:w="0" w:type="dxa"/>
            <w:right w:w="108" w:type="dxa"/>
          </w:tblCellMar>
        </w:tblPrEx>
        <w:trPr>
          <w:trHeight w:val="84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20651FBC">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12</w:t>
            </w:r>
          </w:p>
        </w:tc>
        <w:tc>
          <w:tcPr>
            <w:tcW w:w="963" w:type="pct"/>
            <w:vMerge w:val="continue"/>
            <w:tcBorders>
              <w:top w:val="nil"/>
              <w:left w:val="single" w:color="auto" w:sz="4" w:space="0"/>
              <w:bottom w:val="single" w:color="000000" w:sz="4" w:space="0"/>
              <w:right w:val="single" w:color="auto" w:sz="4" w:space="0"/>
            </w:tcBorders>
            <w:vAlign w:val="center"/>
          </w:tcPr>
          <w:p w14:paraId="21F8A0BE">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134C9DB8">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好办快办应用功能开发-高频事项电子文书送达</w:t>
            </w:r>
          </w:p>
        </w:tc>
        <w:tc>
          <w:tcPr>
            <w:tcW w:w="2111" w:type="pct"/>
            <w:tcBorders>
              <w:top w:val="nil"/>
              <w:left w:val="nil"/>
              <w:bottom w:val="single" w:color="auto" w:sz="4" w:space="0"/>
              <w:right w:val="single" w:color="auto" w:sz="4" w:space="0"/>
            </w:tcBorders>
            <w:shd w:val="clear" w:color="auto" w:fill="auto"/>
            <w:vAlign w:val="center"/>
          </w:tcPr>
          <w:p w14:paraId="628556C0">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依照一网通办和大数据中心的数据对接标准，将申请事项产生的电子文书发送至一网通办我的办件中，达成文书送达功能</w:t>
            </w:r>
          </w:p>
        </w:tc>
      </w:tr>
      <w:tr w14:paraId="79A95007">
        <w:tblPrEx>
          <w:tblCellMar>
            <w:top w:w="0" w:type="dxa"/>
            <w:left w:w="108" w:type="dxa"/>
            <w:bottom w:w="0" w:type="dxa"/>
            <w:right w:w="108" w:type="dxa"/>
          </w:tblCellMar>
        </w:tblPrEx>
        <w:trPr>
          <w:trHeight w:val="112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606EA0D4">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13</w:t>
            </w:r>
          </w:p>
        </w:tc>
        <w:tc>
          <w:tcPr>
            <w:tcW w:w="963" w:type="pct"/>
            <w:vMerge w:val="continue"/>
            <w:tcBorders>
              <w:top w:val="nil"/>
              <w:left w:val="single" w:color="auto" w:sz="4" w:space="0"/>
              <w:bottom w:val="single" w:color="000000" w:sz="4" w:space="0"/>
              <w:right w:val="single" w:color="auto" w:sz="4" w:space="0"/>
            </w:tcBorders>
            <w:vAlign w:val="center"/>
          </w:tcPr>
          <w:p w14:paraId="23769E02">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67711679">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好办快办应用功能开发-高频事项暂存、补正功能开发</w:t>
            </w:r>
          </w:p>
        </w:tc>
        <w:tc>
          <w:tcPr>
            <w:tcW w:w="2111" w:type="pct"/>
            <w:tcBorders>
              <w:top w:val="nil"/>
              <w:left w:val="nil"/>
              <w:bottom w:val="single" w:color="auto" w:sz="4" w:space="0"/>
              <w:right w:val="single" w:color="auto" w:sz="4" w:space="0"/>
            </w:tcBorders>
            <w:shd w:val="clear" w:color="auto" w:fill="auto"/>
            <w:vAlign w:val="center"/>
          </w:tcPr>
          <w:p w14:paraId="0D957C91">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为申请人提供事项信息填报暂存的功能，方便申请人在填报申请表时遇到不能一次性填写完成或临时离开时可以先保存当前已填写内容</w:t>
            </w:r>
          </w:p>
        </w:tc>
      </w:tr>
      <w:tr w14:paraId="6B73B1A2">
        <w:tblPrEx>
          <w:tblCellMar>
            <w:top w:w="0" w:type="dxa"/>
            <w:left w:w="108" w:type="dxa"/>
            <w:bottom w:w="0" w:type="dxa"/>
            <w:right w:w="108" w:type="dxa"/>
          </w:tblCellMar>
        </w:tblPrEx>
        <w:trPr>
          <w:trHeight w:val="112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5AC386F8">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14</w:t>
            </w:r>
          </w:p>
        </w:tc>
        <w:tc>
          <w:tcPr>
            <w:tcW w:w="963" w:type="pct"/>
            <w:vMerge w:val="continue"/>
            <w:tcBorders>
              <w:top w:val="nil"/>
              <w:left w:val="single" w:color="auto" w:sz="4" w:space="0"/>
              <w:bottom w:val="single" w:color="000000" w:sz="4" w:space="0"/>
              <w:right w:val="single" w:color="auto" w:sz="4" w:space="0"/>
            </w:tcBorders>
            <w:vAlign w:val="center"/>
          </w:tcPr>
          <w:p w14:paraId="117BF69F">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7B521E1B">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好办快办应用功能开发-高频事项申请信息自动填充</w:t>
            </w:r>
          </w:p>
        </w:tc>
        <w:tc>
          <w:tcPr>
            <w:tcW w:w="2111" w:type="pct"/>
            <w:tcBorders>
              <w:top w:val="nil"/>
              <w:left w:val="nil"/>
              <w:bottom w:val="single" w:color="auto" w:sz="4" w:space="0"/>
              <w:right w:val="single" w:color="auto" w:sz="4" w:space="0"/>
            </w:tcBorders>
            <w:shd w:val="clear" w:color="auto" w:fill="auto"/>
            <w:vAlign w:val="center"/>
          </w:tcPr>
          <w:p w14:paraId="3DCDFFF6">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对于高频事项，系统对应具体事项基于申请人的账号信息将可自动填入的信息自动填入申请表，减少申请人的信息输入量，方便申请人</w:t>
            </w:r>
          </w:p>
        </w:tc>
      </w:tr>
      <w:tr w14:paraId="00594E0F">
        <w:tblPrEx>
          <w:tblCellMar>
            <w:top w:w="0" w:type="dxa"/>
            <w:left w:w="108" w:type="dxa"/>
            <w:bottom w:w="0" w:type="dxa"/>
            <w:right w:w="108" w:type="dxa"/>
          </w:tblCellMar>
        </w:tblPrEx>
        <w:trPr>
          <w:trHeight w:val="112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59871F83">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15</w:t>
            </w:r>
          </w:p>
        </w:tc>
        <w:tc>
          <w:tcPr>
            <w:tcW w:w="963" w:type="pct"/>
            <w:vMerge w:val="continue"/>
            <w:tcBorders>
              <w:top w:val="nil"/>
              <w:left w:val="single" w:color="auto" w:sz="4" w:space="0"/>
              <w:bottom w:val="single" w:color="000000" w:sz="4" w:space="0"/>
              <w:right w:val="single" w:color="auto" w:sz="4" w:space="0"/>
            </w:tcBorders>
            <w:vAlign w:val="center"/>
          </w:tcPr>
          <w:p w14:paraId="0E25C8CF">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3179C55F">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全程网办功能改造-从业资格网上预约升级网上申请</w:t>
            </w:r>
          </w:p>
        </w:tc>
        <w:tc>
          <w:tcPr>
            <w:tcW w:w="2111" w:type="pct"/>
            <w:tcBorders>
              <w:top w:val="nil"/>
              <w:left w:val="nil"/>
              <w:bottom w:val="single" w:color="auto" w:sz="4" w:space="0"/>
              <w:right w:val="single" w:color="auto" w:sz="4" w:space="0"/>
            </w:tcBorders>
            <w:shd w:val="clear" w:color="auto" w:fill="auto"/>
            <w:vAlign w:val="center"/>
          </w:tcPr>
          <w:p w14:paraId="55E5601C">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提供申请人通过一网通办网上预约的通道</w:t>
            </w:r>
            <w:r>
              <w:rPr>
                <w:rFonts w:hint="eastAsia" w:cs="宋体"/>
                <w:color w:val="000000"/>
                <w:kern w:val="0"/>
                <w:sz w:val="22"/>
                <w:szCs w:val="22"/>
              </w:rPr>
              <w:br w:type="textWrapping"/>
            </w:r>
            <w:r>
              <w:rPr>
                <w:rFonts w:hint="eastAsia" w:cs="宋体"/>
                <w:color w:val="000000"/>
                <w:kern w:val="0"/>
                <w:sz w:val="22"/>
                <w:szCs w:val="22"/>
              </w:rPr>
              <w:t>申请人选择预约办理时间，通过综合业务平台流转至从业资格系统，通过改造从业资格系统完成对事项的办理。</w:t>
            </w:r>
          </w:p>
        </w:tc>
      </w:tr>
      <w:tr w14:paraId="339697AE">
        <w:tblPrEx>
          <w:tblCellMar>
            <w:top w:w="0" w:type="dxa"/>
            <w:left w:w="108" w:type="dxa"/>
            <w:bottom w:w="0" w:type="dxa"/>
            <w:right w:w="108" w:type="dxa"/>
          </w:tblCellMar>
        </w:tblPrEx>
        <w:trPr>
          <w:trHeight w:val="84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546755AA">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16</w:t>
            </w:r>
          </w:p>
        </w:tc>
        <w:tc>
          <w:tcPr>
            <w:tcW w:w="963" w:type="pct"/>
            <w:vMerge w:val="continue"/>
            <w:tcBorders>
              <w:top w:val="nil"/>
              <w:left w:val="single" w:color="auto" w:sz="4" w:space="0"/>
              <w:bottom w:val="single" w:color="000000" w:sz="4" w:space="0"/>
              <w:right w:val="single" w:color="auto" w:sz="4" w:space="0"/>
            </w:tcBorders>
            <w:vAlign w:val="center"/>
          </w:tcPr>
          <w:p w14:paraId="1D10F5DF">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1449C1FE">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全程网办功能改造-道路客货运输驾驶员从业资格网申改造</w:t>
            </w:r>
          </w:p>
        </w:tc>
        <w:tc>
          <w:tcPr>
            <w:tcW w:w="2111" w:type="pct"/>
            <w:tcBorders>
              <w:top w:val="nil"/>
              <w:left w:val="nil"/>
              <w:bottom w:val="single" w:color="auto" w:sz="4" w:space="0"/>
              <w:right w:val="single" w:color="auto" w:sz="4" w:space="0"/>
            </w:tcBorders>
            <w:shd w:val="clear" w:color="auto" w:fill="auto"/>
            <w:vAlign w:val="center"/>
          </w:tcPr>
          <w:p w14:paraId="02A137A0">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道路客货运驾驶员从业资格涉及道路客货运两个行业驾驶员的补证、发证、换证、注销等7个业务情形</w:t>
            </w:r>
          </w:p>
        </w:tc>
      </w:tr>
      <w:tr w14:paraId="294CCCA5">
        <w:tblPrEx>
          <w:tblCellMar>
            <w:top w:w="0" w:type="dxa"/>
            <w:left w:w="108" w:type="dxa"/>
            <w:bottom w:w="0" w:type="dxa"/>
            <w:right w:w="108" w:type="dxa"/>
          </w:tblCellMar>
        </w:tblPrEx>
        <w:trPr>
          <w:trHeight w:val="84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78E43125">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17</w:t>
            </w:r>
          </w:p>
        </w:tc>
        <w:tc>
          <w:tcPr>
            <w:tcW w:w="963" w:type="pct"/>
            <w:vMerge w:val="continue"/>
            <w:tcBorders>
              <w:top w:val="nil"/>
              <w:left w:val="single" w:color="auto" w:sz="4" w:space="0"/>
              <w:bottom w:val="single" w:color="000000" w:sz="4" w:space="0"/>
              <w:right w:val="single" w:color="auto" w:sz="4" w:space="0"/>
            </w:tcBorders>
            <w:vAlign w:val="center"/>
          </w:tcPr>
          <w:p w14:paraId="40712B42">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4BA71112">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全程网办功能改造-道路危险货物运输驾驶员从业资格网申改造</w:t>
            </w:r>
          </w:p>
        </w:tc>
        <w:tc>
          <w:tcPr>
            <w:tcW w:w="2111" w:type="pct"/>
            <w:tcBorders>
              <w:top w:val="nil"/>
              <w:left w:val="nil"/>
              <w:bottom w:val="single" w:color="auto" w:sz="4" w:space="0"/>
              <w:right w:val="single" w:color="auto" w:sz="4" w:space="0"/>
            </w:tcBorders>
            <w:shd w:val="clear" w:color="auto" w:fill="auto"/>
            <w:vAlign w:val="center"/>
          </w:tcPr>
          <w:p w14:paraId="21241089">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道路危险货物运输驾驶员从业资格涉及押运员、装卸管理员、驾驶员三类人员的发证、注销、换证等6个情形</w:t>
            </w:r>
          </w:p>
        </w:tc>
      </w:tr>
      <w:tr w14:paraId="30650877">
        <w:tblPrEx>
          <w:tblCellMar>
            <w:top w:w="0" w:type="dxa"/>
            <w:left w:w="108" w:type="dxa"/>
            <w:bottom w:w="0" w:type="dxa"/>
            <w:right w:w="108" w:type="dxa"/>
          </w:tblCellMar>
        </w:tblPrEx>
        <w:trPr>
          <w:trHeight w:val="84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0341D9E7">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18</w:t>
            </w:r>
          </w:p>
        </w:tc>
        <w:tc>
          <w:tcPr>
            <w:tcW w:w="963" w:type="pct"/>
            <w:vMerge w:val="continue"/>
            <w:tcBorders>
              <w:top w:val="nil"/>
              <w:left w:val="single" w:color="auto" w:sz="4" w:space="0"/>
              <w:bottom w:val="single" w:color="000000" w:sz="4" w:space="0"/>
              <w:right w:val="single" w:color="auto" w:sz="4" w:space="0"/>
            </w:tcBorders>
            <w:vAlign w:val="center"/>
          </w:tcPr>
          <w:p w14:paraId="1FF03287">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239F604D">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全程网办功能改造-巡游出租汽车驾驶员从业资格网申改造</w:t>
            </w:r>
          </w:p>
        </w:tc>
        <w:tc>
          <w:tcPr>
            <w:tcW w:w="2111" w:type="pct"/>
            <w:tcBorders>
              <w:top w:val="nil"/>
              <w:left w:val="nil"/>
              <w:bottom w:val="single" w:color="auto" w:sz="4" w:space="0"/>
              <w:right w:val="single" w:color="auto" w:sz="4" w:space="0"/>
            </w:tcBorders>
            <w:shd w:val="clear" w:color="auto" w:fill="auto"/>
            <w:vAlign w:val="center"/>
          </w:tcPr>
          <w:p w14:paraId="7A8111BC">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巡游出租汽车驾驶员从业资格网申涉及驾驶员新增、注销、补证、换证4个业务情形</w:t>
            </w:r>
          </w:p>
        </w:tc>
      </w:tr>
      <w:tr w14:paraId="4E51DE9C">
        <w:tblPrEx>
          <w:tblCellMar>
            <w:top w:w="0" w:type="dxa"/>
            <w:left w:w="108" w:type="dxa"/>
            <w:bottom w:w="0" w:type="dxa"/>
            <w:right w:w="108" w:type="dxa"/>
          </w:tblCellMar>
        </w:tblPrEx>
        <w:trPr>
          <w:trHeight w:val="84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5108FCB6">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19</w:t>
            </w:r>
          </w:p>
        </w:tc>
        <w:tc>
          <w:tcPr>
            <w:tcW w:w="963" w:type="pct"/>
            <w:vMerge w:val="continue"/>
            <w:tcBorders>
              <w:top w:val="nil"/>
              <w:left w:val="single" w:color="auto" w:sz="4" w:space="0"/>
              <w:bottom w:val="single" w:color="000000" w:sz="4" w:space="0"/>
              <w:right w:val="single" w:color="auto" w:sz="4" w:space="0"/>
            </w:tcBorders>
            <w:vAlign w:val="center"/>
          </w:tcPr>
          <w:p w14:paraId="16BA8D12">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142993AF">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全程网办功能改造-网络预约出租汽车驾驶员网申改造</w:t>
            </w:r>
          </w:p>
        </w:tc>
        <w:tc>
          <w:tcPr>
            <w:tcW w:w="2111" w:type="pct"/>
            <w:tcBorders>
              <w:top w:val="nil"/>
              <w:left w:val="nil"/>
              <w:bottom w:val="single" w:color="auto" w:sz="4" w:space="0"/>
              <w:right w:val="single" w:color="auto" w:sz="4" w:space="0"/>
            </w:tcBorders>
            <w:shd w:val="clear" w:color="auto" w:fill="auto"/>
            <w:vAlign w:val="center"/>
          </w:tcPr>
          <w:p w14:paraId="7B623919">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网络预约出租汽车驾驶员从业资格网申涉及驾驶员新增、注销、补证、换证4个业务情形</w:t>
            </w:r>
          </w:p>
        </w:tc>
      </w:tr>
      <w:tr w14:paraId="39407E38">
        <w:tblPrEx>
          <w:tblCellMar>
            <w:top w:w="0" w:type="dxa"/>
            <w:left w:w="108" w:type="dxa"/>
            <w:bottom w:w="0" w:type="dxa"/>
            <w:right w:w="108" w:type="dxa"/>
          </w:tblCellMar>
        </w:tblPrEx>
        <w:trPr>
          <w:trHeight w:val="112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2C2AB85A">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20</w:t>
            </w:r>
          </w:p>
        </w:tc>
        <w:tc>
          <w:tcPr>
            <w:tcW w:w="963" w:type="pct"/>
            <w:vMerge w:val="continue"/>
            <w:tcBorders>
              <w:top w:val="nil"/>
              <w:left w:val="single" w:color="auto" w:sz="4" w:space="0"/>
              <w:bottom w:val="single" w:color="000000" w:sz="4" w:space="0"/>
              <w:right w:val="single" w:color="auto" w:sz="4" w:space="0"/>
            </w:tcBorders>
            <w:vAlign w:val="center"/>
          </w:tcPr>
          <w:p w14:paraId="177B6892">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13FC462A">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电子证照与纸质证照同步制发优化</w:t>
            </w:r>
          </w:p>
        </w:tc>
        <w:tc>
          <w:tcPr>
            <w:tcW w:w="2111" w:type="pct"/>
            <w:tcBorders>
              <w:top w:val="nil"/>
              <w:left w:val="nil"/>
              <w:bottom w:val="single" w:color="auto" w:sz="4" w:space="0"/>
              <w:right w:val="single" w:color="auto" w:sz="4" w:space="0"/>
            </w:tcBorders>
            <w:shd w:val="clear" w:color="auto" w:fill="auto"/>
            <w:vAlign w:val="center"/>
          </w:tcPr>
          <w:p w14:paraId="1DCFE046">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结合电子证照库归集、实际办理流程中的证件打印环节、后台业务办理系统三个方面，把制证环节统一成同一个系统中必经的一个环节</w:t>
            </w:r>
          </w:p>
        </w:tc>
      </w:tr>
      <w:tr w14:paraId="636EA609">
        <w:tblPrEx>
          <w:tblCellMar>
            <w:top w:w="0" w:type="dxa"/>
            <w:left w:w="108" w:type="dxa"/>
            <w:bottom w:w="0" w:type="dxa"/>
            <w:right w:w="108" w:type="dxa"/>
          </w:tblCellMar>
        </w:tblPrEx>
        <w:trPr>
          <w:trHeight w:val="140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413B16C2">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21</w:t>
            </w:r>
          </w:p>
        </w:tc>
        <w:tc>
          <w:tcPr>
            <w:tcW w:w="963" w:type="pct"/>
            <w:vMerge w:val="continue"/>
            <w:tcBorders>
              <w:top w:val="nil"/>
              <w:left w:val="single" w:color="auto" w:sz="4" w:space="0"/>
              <w:bottom w:val="single" w:color="000000" w:sz="4" w:space="0"/>
              <w:right w:val="single" w:color="auto" w:sz="4" w:space="0"/>
            </w:tcBorders>
            <w:vAlign w:val="center"/>
          </w:tcPr>
          <w:p w14:paraId="5098D46E">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06D7CF41">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统一预约及叫号系统对接-统一预约</w:t>
            </w:r>
          </w:p>
        </w:tc>
        <w:tc>
          <w:tcPr>
            <w:tcW w:w="2111" w:type="pct"/>
            <w:tcBorders>
              <w:top w:val="nil"/>
              <w:left w:val="nil"/>
              <w:bottom w:val="single" w:color="auto" w:sz="4" w:space="0"/>
              <w:right w:val="single" w:color="auto" w:sz="4" w:space="0"/>
            </w:tcBorders>
            <w:shd w:val="clear" w:color="auto" w:fill="auto"/>
            <w:vAlign w:val="center"/>
          </w:tcPr>
          <w:p w14:paraId="34E23942">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利用统一预约的数据与叫号系统关联，对有预约的申请人在叫号时提供绿色通道。申请人在现场办理完预约的事项后通过办理时拿到的叫号关联实际办理的事项，可统计实际的预约到场率以及是否正确预约事项</w:t>
            </w:r>
          </w:p>
        </w:tc>
      </w:tr>
      <w:tr w14:paraId="32D40871">
        <w:tblPrEx>
          <w:tblCellMar>
            <w:top w:w="0" w:type="dxa"/>
            <w:left w:w="108" w:type="dxa"/>
            <w:bottom w:w="0" w:type="dxa"/>
            <w:right w:w="108" w:type="dxa"/>
          </w:tblCellMar>
        </w:tblPrEx>
        <w:trPr>
          <w:trHeight w:val="140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052C5306">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22</w:t>
            </w:r>
          </w:p>
        </w:tc>
        <w:tc>
          <w:tcPr>
            <w:tcW w:w="963" w:type="pct"/>
            <w:vMerge w:val="continue"/>
            <w:tcBorders>
              <w:top w:val="nil"/>
              <w:left w:val="single" w:color="auto" w:sz="4" w:space="0"/>
              <w:bottom w:val="single" w:color="000000" w:sz="4" w:space="0"/>
              <w:right w:val="single" w:color="auto" w:sz="4" w:space="0"/>
            </w:tcBorders>
            <w:vAlign w:val="center"/>
          </w:tcPr>
          <w:p w14:paraId="288044EE">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4563BF39">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统一预约及叫号系统对接-叫号系统对接</w:t>
            </w:r>
          </w:p>
        </w:tc>
        <w:tc>
          <w:tcPr>
            <w:tcW w:w="2111" w:type="pct"/>
            <w:tcBorders>
              <w:top w:val="nil"/>
              <w:left w:val="nil"/>
              <w:bottom w:val="single" w:color="auto" w:sz="4" w:space="0"/>
              <w:right w:val="single" w:color="auto" w:sz="4" w:space="0"/>
            </w:tcBorders>
            <w:shd w:val="clear" w:color="auto" w:fill="auto"/>
            <w:vAlign w:val="center"/>
          </w:tcPr>
          <w:p w14:paraId="7833C340">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申请人通过职业资格中心的叫号机选取要排队办理的事项，同时在领取号码时与统一预约系统关联查找申请人是否有通过“一网通办”预约，若查到有预约则提供申请人绿色通道，可以优先前去窗口办理事项</w:t>
            </w:r>
          </w:p>
        </w:tc>
      </w:tr>
      <w:tr w14:paraId="60B68DC4">
        <w:tblPrEx>
          <w:tblCellMar>
            <w:top w:w="0" w:type="dxa"/>
            <w:left w:w="108" w:type="dxa"/>
            <w:bottom w:w="0" w:type="dxa"/>
            <w:right w:w="108" w:type="dxa"/>
          </w:tblCellMar>
        </w:tblPrEx>
        <w:trPr>
          <w:trHeight w:val="140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0C3CC53E">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23</w:t>
            </w:r>
          </w:p>
        </w:tc>
        <w:tc>
          <w:tcPr>
            <w:tcW w:w="963" w:type="pct"/>
            <w:vMerge w:val="restart"/>
            <w:tcBorders>
              <w:top w:val="nil"/>
              <w:left w:val="single" w:color="auto" w:sz="4" w:space="0"/>
              <w:bottom w:val="single" w:color="000000" w:sz="4" w:space="0"/>
              <w:right w:val="single" w:color="auto" w:sz="4" w:space="0"/>
            </w:tcBorders>
            <w:shd w:val="clear" w:color="auto" w:fill="auto"/>
            <w:vAlign w:val="center"/>
          </w:tcPr>
          <w:p w14:paraId="0A479100">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交通部道路运输从业人员跨省通办改造</w:t>
            </w:r>
          </w:p>
        </w:tc>
        <w:tc>
          <w:tcPr>
            <w:tcW w:w="1420" w:type="pct"/>
            <w:tcBorders>
              <w:top w:val="nil"/>
              <w:left w:val="nil"/>
              <w:bottom w:val="single" w:color="auto" w:sz="4" w:space="0"/>
              <w:right w:val="single" w:color="auto" w:sz="4" w:space="0"/>
            </w:tcBorders>
            <w:shd w:val="clear" w:color="auto" w:fill="auto"/>
            <w:vAlign w:val="center"/>
          </w:tcPr>
          <w:p w14:paraId="1E2F8936">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道路运输从业资格网上办理对接-道路运输从业资格网上申请</w:t>
            </w:r>
          </w:p>
        </w:tc>
        <w:tc>
          <w:tcPr>
            <w:tcW w:w="2111" w:type="pct"/>
            <w:tcBorders>
              <w:top w:val="nil"/>
              <w:left w:val="nil"/>
              <w:bottom w:val="single" w:color="auto" w:sz="4" w:space="0"/>
              <w:right w:val="single" w:color="auto" w:sz="4" w:space="0"/>
            </w:tcBorders>
            <w:shd w:val="clear" w:color="auto" w:fill="auto"/>
            <w:vAlign w:val="center"/>
          </w:tcPr>
          <w:p w14:paraId="54E8F2B5">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通过综合业务平台实时接收“便民服务”系统的路运输从业资格网上申请信息报文，将报文解析后接入事项道路运输从业资格申请受理事项。主要包含事项跨省受理页面的改造、跨省申请流程设计、审批流程改造等</w:t>
            </w:r>
          </w:p>
        </w:tc>
      </w:tr>
      <w:tr w14:paraId="5FE9F8B6">
        <w:tblPrEx>
          <w:tblCellMar>
            <w:top w:w="0" w:type="dxa"/>
            <w:left w:w="108" w:type="dxa"/>
            <w:bottom w:w="0" w:type="dxa"/>
            <w:right w:w="108" w:type="dxa"/>
          </w:tblCellMar>
        </w:tblPrEx>
        <w:trPr>
          <w:trHeight w:val="140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1D8A9791">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24</w:t>
            </w:r>
          </w:p>
        </w:tc>
        <w:tc>
          <w:tcPr>
            <w:tcW w:w="963" w:type="pct"/>
            <w:vMerge w:val="continue"/>
            <w:tcBorders>
              <w:top w:val="nil"/>
              <w:left w:val="single" w:color="auto" w:sz="4" w:space="0"/>
              <w:bottom w:val="single" w:color="000000" w:sz="4" w:space="0"/>
              <w:right w:val="single" w:color="auto" w:sz="4" w:space="0"/>
            </w:tcBorders>
            <w:vAlign w:val="center"/>
          </w:tcPr>
          <w:p w14:paraId="5A743242">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63579BD8">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道路运输从业资格网上办理对接-道路运输从业资格证补发网上办理</w:t>
            </w:r>
          </w:p>
        </w:tc>
        <w:tc>
          <w:tcPr>
            <w:tcW w:w="2111" w:type="pct"/>
            <w:tcBorders>
              <w:top w:val="nil"/>
              <w:left w:val="nil"/>
              <w:bottom w:val="single" w:color="auto" w:sz="4" w:space="0"/>
              <w:right w:val="single" w:color="auto" w:sz="4" w:space="0"/>
            </w:tcBorders>
            <w:shd w:val="clear" w:color="auto" w:fill="auto"/>
            <w:vAlign w:val="center"/>
          </w:tcPr>
          <w:p w14:paraId="3971AC75">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通过综合业务平台实时接收“便民服务”系统的路运输从业资格网上补发信息报文，将报文解析后接入事项道路运输从业资格申请受理事项，改造事项办理相关页面、功能和流程</w:t>
            </w:r>
          </w:p>
        </w:tc>
      </w:tr>
      <w:tr w14:paraId="2FDDB910">
        <w:tblPrEx>
          <w:tblCellMar>
            <w:top w:w="0" w:type="dxa"/>
            <w:left w:w="108" w:type="dxa"/>
            <w:bottom w:w="0" w:type="dxa"/>
            <w:right w:w="108" w:type="dxa"/>
          </w:tblCellMar>
        </w:tblPrEx>
        <w:trPr>
          <w:trHeight w:val="140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1E29DA05">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25</w:t>
            </w:r>
          </w:p>
        </w:tc>
        <w:tc>
          <w:tcPr>
            <w:tcW w:w="963" w:type="pct"/>
            <w:vMerge w:val="continue"/>
            <w:tcBorders>
              <w:top w:val="nil"/>
              <w:left w:val="single" w:color="auto" w:sz="4" w:space="0"/>
              <w:bottom w:val="single" w:color="000000" w:sz="4" w:space="0"/>
              <w:right w:val="single" w:color="auto" w:sz="4" w:space="0"/>
            </w:tcBorders>
            <w:vAlign w:val="center"/>
          </w:tcPr>
          <w:p w14:paraId="7DA7D856">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3123E85F">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道路运输从业资格网上办理对接-道路运输从业资格证换发网上办理</w:t>
            </w:r>
          </w:p>
        </w:tc>
        <w:tc>
          <w:tcPr>
            <w:tcW w:w="2111" w:type="pct"/>
            <w:tcBorders>
              <w:top w:val="nil"/>
              <w:left w:val="nil"/>
              <w:bottom w:val="single" w:color="auto" w:sz="4" w:space="0"/>
              <w:right w:val="single" w:color="auto" w:sz="4" w:space="0"/>
            </w:tcBorders>
            <w:shd w:val="clear" w:color="auto" w:fill="auto"/>
            <w:vAlign w:val="center"/>
          </w:tcPr>
          <w:p w14:paraId="2DC3AB9F">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通过综合业务平台实时接收“便民服务”系统的路运输从业资格网上换发信息报文，将报文解析后接入事项道路运输从业资格申请受理事项，改造事项办理相关页面、功能和流程</w:t>
            </w:r>
          </w:p>
        </w:tc>
      </w:tr>
      <w:tr w14:paraId="563DB3B3">
        <w:tblPrEx>
          <w:tblCellMar>
            <w:top w:w="0" w:type="dxa"/>
            <w:left w:w="108" w:type="dxa"/>
            <w:bottom w:w="0" w:type="dxa"/>
            <w:right w:w="108" w:type="dxa"/>
          </w:tblCellMar>
        </w:tblPrEx>
        <w:trPr>
          <w:trHeight w:val="140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6CB16C31">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26</w:t>
            </w:r>
          </w:p>
        </w:tc>
        <w:tc>
          <w:tcPr>
            <w:tcW w:w="963" w:type="pct"/>
            <w:vMerge w:val="continue"/>
            <w:tcBorders>
              <w:top w:val="nil"/>
              <w:left w:val="single" w:color="auto" w:sz="4" w:space="0"/>
              <w:bottom w:val="single" w:color="000000" w:sz="4" w:space="0"/>
              <w:right w:val="single" w:color="auto" w:sz="4" w:space="0"/>
            </w:tcBorders>
            <w:vAlign w:val="center"/>
          </w:tcPr>
          <w:p w14:paraId="6EE6CAD6">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57FEEA69">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道路运输从业资格网上办理对接-道路运输从业资格证注销网上办理</w:t>
            </w:r>
          </w:p>
        </w:tc>
        <w:tc>
          <w:tcPr>
            <w:tcW w:w="2111" w:type="pct"/>
            <w:tcBorders>
              <w:top w:val="nil"/>
              <w:left w:val="nil"/>
              <w:bottom w:val="single" w:color="auto" w:sz="4" w:space="0"/>
              <w:right w:val="single" w:color="auto" w:sz="4" w:space="0"/>
            </w:tcBorders>
            <w:shd w:val="clear" w:color="auto" w:fill="auto"/>
            <w:vAlign w:val="center"/>
          </w:tcPr>
          <w:p w14:paraId="4C95CEEA">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通过综合业务平台实时接收“便民服务”系统的路运输从业资格网上注销信息报文，将报文解析后接入事项道路运输从业资格申请受理事项，改造事项办理相关页面、功能和流程</w:t>
            </w:r>
          </w:p>
        </w:tc>
      </w:tr>
      <w:tr w14:paraId="1658D1D9">
        <w:tblPrEx>
          <w:tblCellMar>
            <w:top w:w="0" w:type="dxa"/>
            <w:left w:w="108" w:type="dxa"/>
            <w:bottom w:w="0" w:type="dxa"/>
            <w:right w:w="108" w:type="dxa"/>
          </w:tblCellMar>
        </w:tblPrEx>
        <w:trPr>
          <w:trHeight w:val="84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7DEA6E84">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27</w:t>
            </w:r>
          </w:p>
        </w:tc>
        <w:tc>
          <w:tcPr>
            <w:tcW w:w="963" w:type="pct"/>
            <w:vMerge w:val="continue"/>
            <w:tcBorders>
              <w:top w:val="nil"/>
              <w:left w:val="single" w:color="auto" w:sz="4" w:space="0"/>
              <w:bottom w:val="single" w:color="000000" w:sz="4" w:space="0"/>
              <w:right w:val="single" w:color="auto" w:sz="4" w:space="0"/>
            </w:tcBorders>
            <w:vAlign w:val="center"/>
          </w:tcPr>
          <w:p w14:paraId="10912D7A">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471CB3BB">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业务办理进度-道路运输从业资格网上申请进度反馈</w:t>
            </w:r>
          </w:p>
        </w:tc>
        <w:tc>
          <w:tcPr>
            <w:tcW w:w="2111" w:type="pct"/>
            <w:tcBorders>
              <w:top w:val="nil"/>
              <w:left w:val="nil"/>
              <w:bottom w:val="single" w:color="auto" w:sz="4" w:space="0"/>
              <w:right w:val="single" w:color="auto" w:sz="4" w:space="0"/>
            </w:tcBorders>
            <w:shd w:val="clear" w:color="auto" w:fill="auto"/>
            <w:vAlign w:val="center"/>
          </w:tcPr>
          <w:p w14:paraId="355055B2">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实时将道路运输从业资格网上申请进度反馈信息报文，通过综合业务平台将其转发至“便民服务”系统</w:t>
            </w:r>
          </w:p>
        </w:tc>
      </w:tr>
      <w:tr w14:paraId="09354040">
        <w:tblPrEx>
          <w:tblCellMar>
            <w:top w:w="0" w:type="dxa"/>
            <w:left w:w="108" w:type="dxa"/>
            <w:bottom w:w="0" w:type="dxa"/>
            <w:right w:w="108" w:type="dxa"/>
          </w:tblCellMar>
        </w:tblPrEx>
        <w:trPr>
          <w:trHeight w:val="84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13C57800">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28</w:t>
            </w:r>
          </w:p>
        </w:tc>
        <w:tc>
          <w:tcPr>
            <w:tcW w:w="963" w:type="pct"/>
            <w:vMerge w:val="continue"/>
            <w:tcBorders>
              <w:top w:val="nil"/>
              <w:left w:val="single" w:color="auto" w:sz="4" w:space="0"/>
              <w:bottom w:val="single" w:color="000000" w:sz="4" w:space="0"/>
              <w:right w:val="single" w:color="auto" w:sz="4" w:space="0"/>
            </w:tcBorders>
            <w:vAlign w:val="center"/>
          </w:tcPr>
          <w:p w14:paraId="340474D4">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49AE2510">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业务办理进度-其他业务进度及结果</w:t>
            </w:r>
          </w:p>
        </w:tc>
        <w:tc>
          <w:tcPr>
            <w:tcW w:w="2111" w:type="pct"/>
            <w:tcBorders>
              <w:top w:val="nil"/>
              <w:left w:val="nil"/>
              <w:bottom w:val="single" w:color="auto" w:sz="4" w:space="0"/>
              <w:right w:val="single" w:color="auto" w:sz="4" w:space="0"/>
            </w:tcBorders>
            <w:shd w:val="clear" w:color="auto" w:fill="auto"/>
            <w:vAlign w:val="center"/>
          </w:tcPr>
          <w:p w14:paraId="1773DC44">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实时通过综合业务平台接收各省级运政业务子系统的进度及结果反馈信息报文，将其转发至“便民服务”系统</w:t>
            </w:r>
          </w:p>
        </w:tc>
      </w:tr>
      <w:tr w14:paraId="6B7C5EAA">
        <w:tblPrEx>
          <w:tblCellMar>
            <w:top w:w="0" w:type="dxa"/>
            <w:left w:w="108" w:type="dxa"/>
            <w:bottom w:w="0" w:type="dxa"/>
            <w:right w:w="108" w:type="dxa"/>
          </w:tblCellMar>
        </w:tblPrEx>
        <w:trPr>
          <w:trHeight w:val="84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3B372E3A">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29</w:t>
            </w:r>
          </w:p>
        </w:tc>
        <w:tc>
          <w:tcPr>
            <w:tcW w:w="963" w:type="pct"/>
            <w:vMerge w:val="continue"/>
            <w:tcBorders>
              <w:top w:val="nil"/>
              <w:left w:val="single" w:color="auto" w:sz="4" w:space="0"/>
              <w:bottom w:val="single" w:color="000000" w:sz="4" w:space="0"/>
              <w:right w:val="single" w:color="auto" w:sz="4" w:space="0"/>
            </w:tcBorders>
            <w:vAlign w:val="center"/>
          </w:tcPr>
          <w:p w14:paraId="2F9E04FC">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2F48FCE3">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外省市业务撤销-业务撤销申请</w:t>
            </w:r>
          </w:p>
        </w:tc>
        <w:tc>
          <w:tcPr>
            <w:tcW w:w="2111" w:type="pct"/>
            <w:tcBorders>
              <w:top w:val="nil"/>
              <w:left w:val="nil"/>
              <w:bottom w:val="single" w:color="auto" w:sz="4" w:space="0"/>
              <w:right w:val="single" w:color="auto" w:sz="4" w:space="0"/>
            </w:tcBorders>
            <w:shd w:val="clear" w:color="auto" w:fill="auto"/>
            <w:vAlign w:val="center"/>
          </w:tcPr>
          <w:p w14:paraId="0B303F6B">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实时通过综合业务平台接收“便民服务”系统的业务撤销申请报文，将其转发至各省级运政业务子系统</w:t>
            </w:r>
          </w:p>
        </w:tc>
      </w:tr>
      <w:tr w14:paraId="2CEAA95F">
        <w:tblPrEx>
          <w:tblCellMar>
            <w:top w:w="0" w:type="dxa"/>
            <w:left w:w="108" w:type="dxa"/>
            <w:bottom w:w="0" w:type="dxa"/>
            <w:right w:w="108" w:type="dxa"/>
          </w:tblCellMar>
        </w:tblPrEx>
        <w:trPr>
          <w:trHeight w:val="84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29A85F36">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30</w:t>
            </w:r>
          </w:p>
        </w:tc>
        <w:tc>
          <w:tcPr>
            <w:tcW w:w="963" w:type="pct"/>
            <w:vMerge w:val="continue"/>
            <w:tcBorders>
              <w:top w:val="nil"/>
              <w:left w:val="single" w:color="auto" w:sz="4" w:space="0"/>
              <w:bottom w:val="single" w:color="000000" w:sz="4" w:space="0"/>
              <w:right w:val="single" w:color="auto" w:sz="4" w:space="0"/>
            </w:tcBorders>
            <w:vAlign w:val="center"/>
          </w:tcPr>
          <w:p w14:paraId="21ADA67C">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5808AF4E">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外省市业务撤销-业务撤销反馈</w:t>
            </w:r>
          </w:p>
        </w:tc>
        <w:tc>
          <w:tcPr>
            <w:tcW w:w="2111" w:type="pct"/>
            <w:tcBorders>
              <w:top w:val="nil"/>
              <w:left w:val="nil"/>
              <w:bottom w:val="single" w:color="auto" w:sz="4" w:space="0"/>
              <w:right w:val="single" w:color="auto" w:sz="4" w:space="0"/>
            </w:tcBorders>
            <w:shd w:val="clear" w:color="auto" w:fill="auto"/>
            <w:vAlign w:val="center"/>
          </w:tcPr>
          <w:p w14:paraId="6A7391F7">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实时通过综合业务平台接收各省级运政业务子系统的业务撤销反馈信息报文，将其转发至“便民服务”系统</w:t>
            </w:r>
          </w:p>
        </w:tc>
      </w:tr>
      <w:tr w14:paraId="5646A741">
        <w:tblPrEx>
          <w:tblCellMar>
            <w:top w:w="0" w:type="dxa"/>
            <w:left w:w="108" w:type="dxa"/>
            <w:bottom w:w="0" w:type="dxa"/>
            <w:right w:w="108" w:type="dxa"/>
          </w:tblCellMar>
        </w:tblPrEx>
        <w:trPr>
          <w:trHeight w:val="56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2EAD825A">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31</w:t>
            </w:r>
          </w:p>
        </w:tc>
        <w:tc>
          <w:tcPr>
            <w:tcW w:w="963" w:type="pct"/>
            <w:vMerge w:val="continue"/>
            <w:tcBorders>
              <w:top w:val="nil"/>
              <w:left w:val="single" w:color="auto" w:sz="4" w:space="0"/>
              <w:bottom w:val="single" w:color="000000" w:sz="4" w:space="0"/>
              <w:right w:val="single" w:color="auto" w:sz="4" w:space="0"/>
            </w:tcBorders>
            <w:vAlign w:val="center"/>
          </w:tcPr>
          <w:p w14:paraId="714AE57A">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1E91E732">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外省市业务撤销-业务回退申请</w:t>
            </w:r>
          </w:p>
        </w:tc>
        <w:tc>
          <w:tcPr>
            <w:tcW w:w="2111" w:type="pct"/>
            <w:tcBorders>
              <w:top w:val="nil"/>
              <w:left w:val="nil"/>
              <w:bottom w:val="single" w:color="auto" w:sz="4" w:space="0"/>
              <w:right w:val="single" w:color="auto" w:sz="4" w:space="0"/>
            </w:tcBorders>
            <w:shd w:val="clear" w:color="auto" w:fill="auto"/>
            <w:vAlign w:val="center"/>
          </w:tcPr>
          <w:p w14:paraId="01E9CC3E">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实时通过综合业务平台接收“便民服务”系统的业务回退申请报文</w:t>
            </w:r>
          </w:p>
        </w:tc>
      </w:tr>
      <w:tr w14:paraId="0BB70B96">
        <w:tblPrEx>
          <w:tblCellMar>
            <w:top w:w="0" w:type="dxa"/>
            <w:left w:w="108" w:type="dxa"/>
            <w:bottom w:w="0" w:type="dxa"/>
            <w:right w:w="108" w:type="dxa"/>
          </w:tblCellMar>
        </w:tblPrEx>
        <w:trPr>
          <w:trHeight w:val="84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03E4C1F6">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32</w:t>
            </w:r>
          </w:p>
        </w:tc>
        <w:tc>
          <w:tcPr>
            <w:tcW w:w="963" w:type="pct"/>
            <w:vMerge w:val="continue"/>
            <w:tcBorders>
              <w:top w:val="nil"/>
              <w:left w:val="single" w:color="auto" w:sz="4" w:space="0"/>
              <w:bottom w:val="single" w:color="000000" w:sz="4" w:space="0"/>
              <w:right w:val="single" w:color="auto" w:sz="4" w:space="0"/>
            </w:tcBorders>
            <w:vAlign w:val="center"/>
          </w:tcPr>
          <w:p w14:paraId="7680C64E">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353471BB">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外省市业务撤销-业务回退反馈</w:t>
            </w:r>
          </w:p>
        </w:tc>
        <w:tc>
          <w:tcPr>
            <w:tcW w:w="2111" w:type="pct"/>
            <w:tcBorders>
              <w:top w:val="nil"/>
              <w:left w:val="nil"/>
              <w:bottom w:val="single" w:color="auto" w:sz="4" w:space="0"/>
              <w:right w:val="single" w:color="auto" w:sz="4" w:space="0"/>
            </w:tcBorders>
            <w:shd w:val="clear" w:color="auto" w:fill="auto"/>
            <w:vAlign w:val="center"/>
          </w:tcPr>
          <w:p w14:paraId="3F67D795">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实时通过综合业务平台接收各省级运政业务子系统的业务回退反馈信息报文，将其转发至“便民服务”系统</w:t>
            </w:r>
          </w:p>
        </w:tc>
      </w:tr>
      <w:tr w14:paraId="24A1344E">
        <w:tblPrEx>
          <w:tblCellMar>
            <w:top w:w="0" w:type="dxa"/>
            <w:left w:w="108" w:type="dxa"/>
            <w:bottom w:w="0" w:type="dxa"/>
            <w:right w:w="108" w:type="dxa"/>
          </w:tblCellMar>
        </w:tblPrEx>
        <w:trPr>
          <w:trHeight w:val="28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3F82AF40">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33</w:t>
            </w:r>
          </w:p>
        </w:tc>
        <w:tc>
          <w:tcPr>
            <w:tcW w:w="963" w:type="pct"/>
            <w:vMerge w:val="continue"/>
            <w:tcBorders>
              <w:top w:val="nil"/>
              <w:left w:val="single" w:color="auto" w:sz="4" w:space="0"/>
              <w:bottom w:val="single" w:color="000000" w:sz="4" w:space="0"/>
              <w:right w:val="single" w:color="auto" w:sz="4" w:space="0"/>
            </w:tcBorders>
            <w:vAlign w:val="center"/>
          </w:tcPr>
          <w:p w14:paraId="2D420504">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42807365">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服务评价</w:t>
            </w:r>
          </w:p>
        </w:tc>
        <w:tc>
          <w:tcPr>
            <w:tcW w:w="2111" w:type="pct"/>
            <w:tcBorders>
              <w:top w:val="nil"/>
              <w:left w:val="nil"/>
              <w:bottom w:val="single" w:color="auto" w:sz="4" w:space="0"/>
              <w:right w:val="single" w:color="auto" w:sz="4" w:space="0"/>
            </w:tcBorders>
            <w:shd w:val="clear" w:color="auto" w:fill="auto"/>
            <w:vAlign w:val="center"/>
          </w:tcPr>
          <w:p w14:paraId="742F4909">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服务评价数据生成、服务评价处理结果反馈</w:t>
            </w:r>
          </w:p>
        </w:tc>
      </w:tr>
      <w:tr w14:paraId="76DCC1AD">
        <w:tblPrEx>
          <w:tblCellMar>
            <w:top w:w="0" w:type="dxa"/>
            <w:left w:w="108" w:type="dxa"/>
            <w:bottom w:w="0" w:type="dxa"/>
            <w:right w:w="108" w:type="dxa"/>
          </w:tblCellMar>
        </w:tblPrEx>
        <w:trPr>
          <w:trHeight w:val="28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630DB728">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34</w:t>
            </w:r>
          </w:p>
        </w:tc>
        <w:tc>
          <w:tcPr>
            <w:tcW w:w="963" w:type="pct"/>
            <w:vMerge w:val="continue"/>
            <w:tcBorders>
              <w:top w:val="nil"/>
              <w:left w:val="single" w:color="auto" w:sz="4" w:space="0"/>
              <w:bottom w:val="single" w:color="000000" w:sz="4" w:space="0"/>
              <w:right w:val="single" w:color="auto" w:sz="4" w:space="0"/>
            </w:tcBorders>
            <w:vAlign w:val="center"/>
          </w:tcPr>
          <w:p w14:paraId="2F8EC245">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143607F1">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服务投诉</w:t>
            </w:r>
          </w:p>
        </w:tc>
        <w:tc>
          <w:tcPr>
            <w:tcW w:w="2111" w:type="pct"/>
            <w:tcBorders>
              <w:top w:val="nil"/>
              <w:left w:val="nil"/>
              <w:bottom w:val="single" w:color="auto" w:sz="4" w:space="0"/>
              <w:right w:val="single" w:color="auto" w:sz="4" w:space="0"/>
            </w:tcBorders>
            <w:shd w:val="clear" w:color="auto" w:fill="auto"/>
            <w:vAlign w:val="center"/>
          </w:tcPr>
          <w:p w14:paraId="3999AF6B">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服务投诉数据生成、服务投诉处理结果反馈</w:t>
            </w:r>
          </w:p>
        </w:tc>
      </w:tr>
      <w:tr w14:paraId="2056A56B">
        <w:tblPrEx>
          <w:tblCellMar>
            <w:top w:w="0" w:type="dxa"/>
            <w:left w:w="108" w:type="dxa"/>
            <w:bottom w:w="0" w:type="dxa"/>
            <w:right w:w="108" w:type="dxa"/>
          </w:tblCellMar>
        </w:tblPrEx>
        <w:trPr>
          <w:trHeight w:val="112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33B8EDC4">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35</w:t>
            </w:r>
          </w:p>
        </w:tc>
        <w:tc>
          <w:tcPr>
            <w:tcW w:w="963" w:type="pct"/>
            <w:vMerge w:val="restart"/>
            <w:tcBorders>
              <w:top w:val="nil"/>
              <w:left w:val="single" w:color="auto" w:sz="4" w:space="0"/>
              <w:bottom w:val="single" w:color="000000" w:sz="4" w:space="0"/>
              <w:right w:val="single" w:color="auto" w:sz="4" w:space="0"/>
            </w:tcBorders>
            <w:shd w:val="clear" w:color="auto" w:fill="auto"/>
            <w:vAlign w:val="center"/>
          </w:tcPr>
          <w:p w14:paraId="7324DF9F">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交通部道路运输从业人员跨省转籍改造</w:t>
            </w:r>
          </w:p>
        </w:tc>
        <w:tc>
          <w:tcPr>
            <w:tcW w:w="1420" w:type="pct"/>
            <w:tcBorders>
              <w:top w:val="nil"/>
              <w:left w:val="nil"/>
              <w:bottom w:val="single" w:color="auto" w:sz="4" w:space="0"/>
              <w:right w:val="single" w:color="auto" w:sz="4" w:space="0"/>
            </w:tcBorders>
            <w:shd w:val="clear" w:color="auto" w:fill="auto"/>
            <w:vAlign w:val="center"/>
          </w:tcPr>
          <w:p w14:paraId="4A343209">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转籍业务撤销-业务撤销申请</w:t>
            </w:r>
          </w:p>
        </w:tc>
        <w:tc>
          <w:tcPr>
            <w:tcW w:w="2111" w:type="pct"/>
            <w:tcBorders>
              <w:top w:val="nil"/>
              <w:left w:val="nil"/>
              <w:bottom w:val="single" w:color="auto" w:sz="4" w:space="0"/>
              <w:right w:val="single" w:color="auto" w:sz="4" w:space="0"/>
            </w:tcBorders>
            <w:shd w:val="clear" w:color="auto" w:fill="auto"/>
            <w:vAlign w:val="center"/>
          </w:tcPr>
          <w:p w14:paraId="350F7A48">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实时通过综合业务平台接收“便民服务”系统的转籍业务撤销申请报文，对报文内容予以解析后接入事项道路运输从业资格转籍撤销事项</w:t>
            </w:r>
          </w:p>
        </w:tc>
      </w:tr>
      <w:tr w14:paraId="327A7D9D">
        <w:tblPrEx>
          <w:tblCellMar>
            <w:top w:w="0" w:type="dxa"/>
            <w:left w:w="108" w:type="dxa"/>
            <w:bottom w:w="0" w:type="dxa"/>
            <w:right w:w="108" w:type="dxa"/>
          </w:tblCellMar>
        </w:tblPrEx>
        <w:trPr>
          <w:trHeight w:val="112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24DAF5D2">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36</w:t>
            </w:r>
          </w:p>
        </w:tc>
        <w:tc>
          <w:tcPr>
            <w:tcW w:w="963" w:type="pct"/>
            <w:vMerge w:val="continue"/>
            <w:tcBorders>
              <w:top w:val="nil"/>
              <w:left w:val="single" w:color="auto" w:sz="4" w:space="0"/>
              <w:bottom w:val="single" w:color="000000" w:sz="4" w:space="0"/>
              <w:right w:val="single" w:color="auto" w:sz="4" w:space="0"/>
            </w:tcBorders>
            <w:vAlign w:val="center"/>
          </w:tcPr>
          <w:p w14:paraId="017EA4DE">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38767DC4">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转籍业务撤销-业务撤销反馈</w:t>
            </w:r>
          </w:p>
        </w:tc>
        <w:tc>
          <w:tcPr>
            <w:tcW w:w="2111" w:type="pct"/>
            <w:tcBorders>
              <w:top w:val="nil"/>
              <w:left w:val="nil"/>
              <w:bottom w:val="single" w:color="auto" w:sz="4" w:space="0"/>
              <w:right w:val="single" w:color="auto" w:sz="4" w:space="0"/>
            </w:tcBorders>
            <w:shd w:val="clear" w:color="auto" w:fill="auto"/>
            <w:vAlign w:val="center"/>
          </w:tcPr>
          <w:p w14:paraId="469EF7BA">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上海作为转出地、转入地对转籍业务撤销结果予以反馈，分别对应转出地、转入地业务流程实时通过综合业务平台向“便民服务”系统反馈撤销结果信息</w:t>
            </w:r>
          </w:p>
        </w:tc>
      </w:tr>
      <w:tr w14:paraId="30051FCF">
        <w:tblPrEx>
          <w:tblCellMar>
            <w:top w:w="0" w:type="dxa"/>
            <w:left w:w="108" w:type="dxa"/>
            <w:bottom w:w="0" w:type="dxa"/>
            <w:right w:w="108" w:type="dxa"/>
          </w:tblCellMar>
        </w:tblPrEx>
        <w:trPr>
          <w:trHeight w:val="56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322FD94B">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37</w:t>
            </w:r>
          </w:p>
        </w:tc>
        <w:tc>
          <w:tcPr>
            <w:tcW w:w="963" w:type="pct"/>
            <w:vMerge w:val="continue"/>
            <w:tcBorders>
              <w:top w:val="nil"/>
              <w:left w:val="single" w:color="auto" w:sz="4" w:space="0"/>
              <w:bottom w:val="single" w:color="000000" w:sz="4" w:space="0"/>
              <w:right w:val="single" w:color="auto" w:sz="4" w:space="0"/>
            </w:tcBorders>
            <w:vAlign w:val="center"/>
          </w:tcPr>
          <w:p w14:paraId="44AE5B43">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7B402E9D">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办理时效提醒</w:t>
            </w:r>
          </w:p>
        </w:tc>
        <w:tc>
          <w:tcPr>
            <w:tcW w:w="2111" w:type="pct"/>
            <w:tcBorders>
              <w:top w:val="nil"/>
              <w:left w:val="nil"/>
              <w:bottom w:val="single" w:color="auto" w:sz="4" w:space="0"/>
              <w:right w:val="single" w:color="auto" w:sz="4" w:space="0"/>
            </w:tcBorders>
            <w:shd w:val="clear" w:color="auto" w:fill="auto"/>
            <w:vAlign w:val="center"/>
          </w:tcPr>
          <w:p w14:paraId="2B269297">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按照业务要求，在跨省转籍流转流程中对关键流程点办理时效进行判断和提醒</w:t>
            </w:r>
          </w:p>
        </w:tc>
      </w:tr>
      <w:tr w14:paraId="33BB9C8F">
        <w:tblPrEx>
          <w:tblCellMar>
            <w:top w:w="0" w:type="dxa"/>
            <w:left w:w="108" w:type="dxa"/>
            <w:bottom w:w="0" w:type="dxa"/>
            <w:right w:w="108" w:type="dxa"/>
          </w:tblCellMar>
        </w:tblPrEx>
        <w:trPr>
          <w:trHeight w:val="112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7295E334">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38</w:t>
            </w:r>
          </w:p>
        </w:tc>
        <w:tc>
          <w:tcPr>
            <w:tcW w:w="963" w:type="pct"/>
            <w:vMerge w:val="restart"/>
            <w:tcBorders>
              <w:top w:val="nil"/>
              <w:left w:val="single" w:color="auto" w:sz="4" w:space="0"/>
              <w:bottom w:val="single" w:color="000000" w:sz="4" w:space="0"/>
              <w:right w:val="single" w:color="auto" w:sz="4" w:space="0"/>
            </w:tcBorders>
            <w:shd w:val="clear" w:color="auto" w:fill="auto"/>
            <w:vAlign w:val="center"/>
          </w:tcPr>
          <w:p w14:paraId="54BDD12A">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从业人员受理发证系统升级改造</w:t>
            </w:r>
          </w:p>
        </w:tc>
        <w:tc>
          <w:tcPr>
            <w:tcW w:w="1420" w:type="pct"/>
            <w:tcBorders>
              <w:top w:val="nil"/>
              <w:left w:val="nil"/>
              <w:bottom w:val="single" w:color="auto" w:sz="4" w:space="0"/>
              <w:right w:val="single" w:color="auto" w:sz="4" w:space="0"/>
            </w:tcBorders>
            <w:shd w:val="clear" w:color="auto" w:fill="auto"/>
            <w:vAlign w:val="center"/>
          </w:tcPr>
          <w:p w14:paraId="19D5C759">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出租汽车驾驶员管理-证件制作</w:t>
            </w:r>
          </w:p>
        </w:tc>
        <w:tc>
          <w:tcPr>
            <w:tcW w:w="2111" w:type="pct"/>
            <w:tcBorders>
              <w:top w:val="nil"/>
              <w:left w:val="nil"/>
              <w:bottom w:val="single" w:color="auto" w:sz="4" w:space="0"/>
              <w:right w:val="single" w:color="auto" w:sz="4" w:space="0"/>
            </w:tcBorders>
            <w:shd w:val="clear" w:color="auto" w:fill="auto"/>
            <w:vAlign w:val="center"/>
          </w:tcPr>
          <w:p w14:paraId="6BC12C6A">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出租车、网约车行业需要同步制作带有芯片的电子卡片。系统需要连接制卡机完成将相关信息写入芯片，同时完成电子卡面内容生成并套打</w:t>
            </w:r>
          </w:p>
        </w:tc>
      </w:tr>
      <w:tr w14:paraId="3602ED95">
        <w:tblPrEx>
          <w:tblCellMar>
            <w:top w:w="0" w:type="dxa"/>
            <w:left w:w="108" w:type="dxa"/>
            <w:bottom w:w="0" w:type="dxa"/>
            <w:right w:w="108" w:type="dxa"/>
          </w:tblCellMar>
        </w:tblPrEx>
        <w:trPr>
          <w:trHeight w:val="252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0D24D819">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39</w:t>
            </w:r>
          </w:p>
        </w:tc>
        <w:tc>
          <w:tcPr>
            <w:tcW w:w="963" w:type="pct"/>
            <w:vMerge w:val="continue"/>
            <w:tcBorders>
              <w:top w:val="nil"/>
              <w:left w:val="single" w:color="auto" w:sz="4" w:space="0"/>
              <w:bottom w:val="single" w:color="000000" w:sz="4" w:space="0"/>
              <w:right w:val="single" w:color="auto" w:sz="4" w:space="0"/>
            </w:tcBorders>
            <w:vAlign w:val="center"/>
          </w:tcPr>
          <w:p w14:paraId="305EB5C7">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17C34989">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出租汽车驾驶员管理-出租法律文书纸质文书与电子文书出具</w:t>
            </w:r>
          </w:p>
        </w:tc>
        <w:tc>
          <w:tcPr>
            <w:tcW w:w="2111" w:type="pct"/>
            <w:tcBorders>
              <w:top w:val="nil"/>
              <w:left w:val="nil"/>
              <w:bottom w:val="single" w:color="auto" w:sz="4" w:space="0"/>
              <w:right w:val="single" w:color="auto" w:sz="4" w:space="0"/>
            </w:tcBorders>
            <w:shd w:val="clear" w:color="auto" w:fill="auto"/>
            <w:vAlign w:val="center"/>
          </w:tcPr>
          <w:p w14:paraId="3BA446B2">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通过出具《行政许可受理通知书》或《行政许可不予受理决定书》、《行政许可材料补正告知书》《行政许可决定书》等生成、文书出具满足“一网通办”的规范性要求。法律文书可以纸质和电子形式出具。通过市“一网通办”办理的事项需要通过市“一网通办”平台以电子文书形式出具给当事人；通过窗口办理的事项，主要以纸质形式将文书出具给当事人</w:t>
            </w:r>
          </w:p>
        </w:tc>
      </w:tr>
      <w:tr w14:paraId="2D673922">
        <w:tblPrEx>
          <w:tblCellMar>
            <w:top w:w="0" w:type="dxa"/>
            <w:left w:w="108" w:type="dxa"/>
            <w:bottom w:w="0" w:type="dxa"/>
            <w:right w:w="108" w:type="dxa"/>
          </w:tblCellMar>
        </w:tblPrEx>
        <w:trPr>
          <w:trHeight w:val="168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7E15A409">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40</w:t>
            </w:r>
          </w:p>
        </w:tc>
        <w:tc>
          <w:tcPr>
            <w:tcW w:w="963" w:type="pct"/>
            <w:vMerge w:val="continue"/>
            <w:tcBorders>
              <w:top w:val="nil"/>
              <w:left w:val="single" w:color="auto" w:sz="4" w:space="0"/>
              <w:bottom w:val="single" w:color="000000" w:sz="4" w:space="0"/>
              <w:right w:val="single" w:color="auto" w:sz="4" w:space="0"/>
            </w:tcBorders>
            <w:vAlign w:val="center"/>
          </w:tcPr>
          <w:p w14:paraId="7C09F33C">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22F3F7D6">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道路危险货运行业人员管理系统-危货法律文书纸质文书与电子文书出具</w:t>
            </w:r>
          </w:p>
        </w:tc>
        <w:tc>
          <w:tcPr>
            <w:tcW w:w="2111" w:type="pct"/>
            <w:tcBorders>
              <w:top w:val="nil"/>
              <w:left w:val="nil"/>
              <w:bottom w:val="single" w:color="auto" w:sz="4" w:space="0"/>
              <w:right w:val="single" w:color="auto" w:sz="4" w:space="0"/>
            </w:tcBorders>
            <w:shd w:val="clear" w:color="auto" w:fill="auto"/>
            <w:vAlign w:val="center"/>
          </w:tcPr>
          <w:p w14:paraId="00957C25">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生成、文书出具满足“一网通办”的规范性要求。法律文书可以纸质和电子形式出具。通过市“一网通办”办理的事项需要通过市“一网通办”平台以电子文书形式出具给当事人；通过窗口办理的事项，主要以纸质形式将文书出具给当事人</w:t>
            </w:r>
          </w:p>
        </w:tc>
      </w:tr>
      <w:tr w14:paraId="013F6250">
        <w:tblPrEx>
          <w:tblCellMar>
            <w:top w:w="0" w:type="dxa"/>
            <w:left w:w="108" w:type="dxa"/>
            <w:bottom w:w="0" w:type="dxa"/>
            <w:right w:w="108" w:type="dxa"/>
          </w:tblCellMar>
        </w:tblPrEx>
        <w:trPr>
          <w:trHeight w:val="168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45360D32">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41</w:t>
            </w:r>
          </w:p>
        </w:tc>
        <w:tc>
          <w:tcPr>
            <w:tcW w:w="963" w:type="pct"/>
            <w:vMerge w:val="continue"/>
            <w:tcBorders>
              <w:top w:val="nil"/>
              <w:left w:val="single" w:color="auto" w:sz="4" w:space="0"/>
              <w:bottom w:val="single" w:color="000000" w:sz="4" w:space="0"/>
              <w:right w:val="single" w:color="auto" w:sz="4" w:space="0"/>
            </w:tcBorders>
            <w:vAlign w:val="center"/>
          </w:tcPr>
          <w:p w14:paraId="07C76544">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300E0559">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道路运输从业人员资格管理-普货法律文书纸质文书与电子文书出具</w:t>
            </w:r>
          </w:p>
        </w:tc>
        <w:tc>
          <w:tcPr>
            <w:tcW w:w="2111" w:type="pct"/>
            <w:tcBorders>
              <w:top w:val="nil"/>
              <w:left w:val="nil"/>
              <w:bottom w:val="single" w:color="auto" w:sz="4" w:space="0"/>
              <w:right w:val="single" w:color="auto" w:sz="4" w:space="0"/>
            </w:tcBorders>
            <w:shd w:val="clear" w:color="auto" w:fill="auto"/>
            <w:vAlign w:val="center"/>
          </w:tcPr>
          <w:p w14:paraId="5E826451">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生成、文书出具满足“一网通办”的规范性要求。法律文书可以纸质和电子形式出具。通过市“一网通办”办理的事项需要通过市“一网通办”平台以电子文书形式出具给当事人；通过窗口办理的事项，主要以纸质形式将文书出具给当事人</w:t>
            </w:r>
          </w:p>
        </w:tc>
      </w:tr>
      <w:tr w14:paraId="59DB788C">
        <w:tblPrEx>
          <w:tblCellMar>
            <w:top w:w="0" w:type="dxa"/>
            <w:left w:w="108" w:type="dxa"/>
            <w:bottom w:w="0" w:type="dxa"/>
            <w:right w:w="108" w:type="dxa"/>
          </w:tblCellMar>
        </w:tblPrEx>
        <w:trPr>
          <w:trHeight w:val="56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09034BE6">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42</w:t>
            </w:r>
          </w:p>
        </w:tc>
        <w:tc>
          <w:tcPr>
            <w:tcW w:w="963" w:type="pct"/>
            <w:vMerge w:val="continue"/>
            <w:tcBorders>
              <w:top w:val="nil"/>
              <w:left w:val="single" w:color="auto" w:sz="4" w:space="0"/>
              <w:bottom w:val="single" w:color="000000" w:sz="4" w:space="0"/>
              <w:right w:val="single" w:color="auto" w:sz="4" w:space="0"/>
            </w:tcBorders>
            <w:vAlign w:val="center"/>
          </w:tcPr>
          <w:p w14:paraId="1C6955BD">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2E84A711">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公交从业人员资格管理-新证</w:t>
            </w:r>
          </w:p>
        </w:tc>
        <w:tc>
          <w:tcPr>
            <w:tcW w:w="2111" w:type="pct"/>
            <w:tcBorders>
              <w:top w:val="nil"/>
              <w:left w:val="nil"/>
              <w:bottom w:val="single" w:color="auto" w:sz="4" w:space="0"/>
              <w:right w:val="single" w:color="auto" w:sz="4" w:space="0"/>
            </w:tcBorders>
            <w:shd w:val="clear" w:color="auto" w:fill="auto"/>
            <w:vAlign w:val="center"/>
          </w:tcPr>
          <w:p w14:paraId="3442C347">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考试成绩合格受理新增申请，在证件系统中统一受理后制证。</w:t>
            </w:r>
          </w:p>
        </w:tc>
      </w:tr>
      <w:tr w14:paraId="60F8E2D6">
        <w:tblPrEx>
          <w:tblCellMar>
            <w:top w:w="0" w:type="dxa"/>
            <w:left w:w="108" w:type="dxa"/>
            <w:bottom w:w="0" w:type="dxa"/>
            <w:right w:w="108" w:type="dxa"/>
          </w:tblCellMar>
        </w:tblPrEx>
        <w:trPr>
          <w:trHeight w:val="56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5EC28D10">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43</w:t>
            </w:r>
          </w:p>
        </w:tc>
        <w:tc>
          <w:tcPr>
            <w:tcW w:w="963" w:type="pct"/>
            <w:vMerge w:val="continue"/>
            <w:tcBorders>
              <w:top w:val="nil"/>
              <w:left w:val="single" w:color="auto" w:sz="4" w:space="0"/>
              <w:bottom w:val="single" w:color="000000" w:sz="4" w:space="0"/>
              <w:right w:val="single" w:color="auto" w:sz="4" w:space="0"/>
            </w:tcBorders>
            <w:vAlign w:val="center"/>
          </w:tcPr>
          <w:p w14:paraId="67A925E6">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27C21957">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公交从业人员资格管理-换证</w:t>
            </w:r>
          </w:p>
        </w:tc>
        <w:tc>
          <w:tcPr>
            <w:tcW w:w="2111" w:type="pct"/>
            <w:tcBorders>
              <w:top w:val="nil"/>
              <w:left w:val="nil"/>
              <w:bottom w:val="single" w:color="auto" w:sz="4" w:space="0"/>
              <w:right w:val="single" w:color="auto" w:sz="4" w:space="0"/>
            </w:tcBorders>
            <w:shd w:val="clear" w:color="auto" w:fill="auto"/>
            <w:vAlign w:val="center"/>
          </w:tcPr>
          <w:p w14:paraId="69541DFC">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校验继续教育信息，评估换证资格，在证件系统中统一受理后制证。</w:t>
            </w:r>
          </w:p>
        </w:tc>
      </w:tr>
      <w:tr w14:paraId="09FD6945">
        <w:tblPrEx>
          <w:tblCellMar>
            <w:top w:w="0" w:type="dxa"/>
            <w:left w:w="108" w:type="dxa"/>
            <w:bottom w:w="0" w:type="dxa"/>
            <w:right w:w="108" w:type="dxa"/>
          </w:tblCellMar>
        </w:tblPrEx>
        <w:trPr>
          <w:trHeight w:val="56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7570C0CF">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44</w:t>
            </w:r>
          </w:p>
        </w:tc>
        <w:tc>
          <w:tcPr>
            <w:tcW w:w="963" w:type="pct"/>
            <w:vMerge w:val="continue"/>
            <w:tcBorders>
              <w:top w:val="nil"/>
              <w:left w:val="single" w:color="auto" w:sz="4" w:space="0"/>
              <w:bottom w:val="single" w:color="000000" w:sz="4" w:space="0"/>
              <w:right w:val="single" w:color="auto" w:sz="4" w:space="0"/>
            </w:tcBorders>
            <w:vAlign w:val="center"/>
          </w:tcPr>
          <w:p w14:paraId="07766533">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2BC0B964">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公交从业人员资格管理-补证</w:t>
            </w:r>
          </w:p>
        </w:tc>
        <w:tc>
          <w:tcPr>
            <w:tcW w:w="2111" w:type="pct"/>
            <w:tcBorders>
              <w:top w:val="nil"/>
              <w:left w:val="nil"/>
              <w:bottom w:val="single" w:color="auto" w:sz="4" w:space="0"/>
              <w:right w:val="single" w:color="auto" w:sz="4" w:space="0"/>
            </w:tcBorders>
            <w:shd w:val="clear" w:color="auto" w:fill="auto"/>
            <w:vAlign w:val="center"/>
          </w:tcPr>
          <w:p w14:paraId="5E55B440">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证件系统受理后，评估补证资格，在证件系统中统一受理后制证。</w:t>
            </w:r>
          </w:p>
        </w:tc>
      </w:tr>
      <w:tr w14:paraId="36CEF7A4">
        <w:tblPrEx>
          <w:tblCellMar>
            <w:top w:w="0" w:type="dxa"/>
            <w:left w:w="108" w:type="dxa"/>
            <w:bottom w:w="0" w:type="dxa"/>
            <w:right w:w="108" w:type="dxa"/>
          </w:tblCellMar>
        </w:tblPrEx>
        <w:trPr>
          <w:trHeight w:val="112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23B927FE">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45</w:t>
            </w:r>
          </w:p>
        </w:tc>
        <w:tc>
          <w:tcPr>
            <w:tcW w:w="963" w:type="pct"/>
            <w:vMerge w:val="continue"/>
            <w:tcBorders>
              <w:top w:val="nil"/>
              <w:left w:val="single" w:color="auto" w:sz="4" w:space="0"/>
              <w:bottom w:val="single" w:color="000000" w:sz="4" w:space="0"/>
              <w:right w:val="single" w:color="auto" w:sz="4" w:space="0"/>
            </w:tcBorders>
            <w:vAlign w:val="center"/>
          </w:tcPr>
          <w:p w14:paraId="77A38C9C">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7996CA64">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公交从业人员资格管理-培训合格证制作与领取管理</w:t>
            </w:r>
          </w:p>
        </w:tc>
        <w:tc>
          <w:tcPr>
            <w:tcW w:w="2111" w:type="pct"/>
            <w:tcBorders>
              <w:top w:val="nil"/>
              <w:left w:val="nil"/>
              <w:bottom w:val="single" w:color="auto" w:sz="4" w:space="0"/>
              <w:right w:val="single" w:color="auto" w:sz="4" w:space="0"/>
            </w:tcBorders>
            <w:shd w:val="clear" w:color="auto" w:fill="auto"/>
            <w:vAlign w:val="center"/>
          </w:tcPr>
          <w:p w14:paraId="66FF7EB9">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公交从业人员培训合格证需要同步制作带有芯片的电子卡片。</w:t>
            </w:r>
            <w:r>
              <w:rPr>
                <w:rFonts w:hint="eastAsia" w:cs="宋体"/>
                <w:color w:val="000000"/>
                <w:kern w:val="0"/>
                <w:sz w:val="22"/>
                <w:szCs w:val="22"/>
              </w:rPr>
              <w:br w:type="textWrapping"/>
            </w:r>
            <w:r>
              <w:rPr>
                <w:rFonts w:hint="eastAsia" w:cs="宋体"/>
                <w:color w:val="000000"/>
                <w:kern w:val="0"/>
                <w:sz w:val="22"/>
                <w:szCs w:val="22"/>
              </w:rPr>
              <w:t>公交从业人员培训合格证一般由公交企业批量领取。</w:t>
            </w:r>
          </w:p>
        </w:tc>
      </w:tr>
      <w:tr w14:paraId="73538F87">
        <w:tblPrEx>
          <w:tblCellMar>
            <w:top w:w="0" w:type="dxa"/>
            <w:left w:w="108" w:type="dxa"/>
            <w:bottom w:w="0" w:type="dxa"/>
            <w:right w:w="108" w:type="dxa"/>
          </w:tblCellMar>
        </w:tblPrEx>
        <w:trPr>
          <w:trHeight w:val="56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6CC7FA44">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46</w:t>
            </w:r>
          </w:p>
        </w:tc>
        <w:tc>
          <w:tcPr>
            <w:tcW w:w="963" w:type="pct"/>
            <w:vMerge w:val="continue"/>
            <w:tcBorders>
              <w:top w:val="nil"/>
              <w:left w:val="single" w:color="auto" w:sz="4" w:space="0"/>
              <w:bottom w:val="single" w:color="000000" w:sz="4" w:space="0"/>
              <w:right w:val="single" w:color="auto" w:sz="4" w:space="0"/>
            </w:tcBorders>
            <w:vAlign w:val="center"/>
          </w:tcPr>
          <w:p w14:paraId="0082F549">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1F68D5B9">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从业人员锁停-严重失信名单动态数据接入</w:t>
            </w:r>
          </w:p>
        </w:tc>
        <w:tc>
          <w:tcPr>
            <w:tcW w:w="2111" w:type="pct"/>
            <w:tcBorders>
              <w:top w:val="nil"/>
              <w:left w:val="nil"/>
              <w:bottom w:val="single" w:color="auto" w:sz="4" w:space="0"/>
              <w:right w:val="single" w:color="auto" w:sz="4" w:space="0"/>
            </w:tcBorders>
            <w:shd w:val="clear" w:color="auto" w:fill="auto"/>
            <w:vAlign w:val="center"/>
          </w:tcPr>
          <w:p w14:paraId="36F130E2">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通过受控字段方式，接入失信管理系统中人员严重失信情况</w:t>
            </w:r>
          </w:p>
        </w:tc>
      </w:tr>
      <w:tr w14:paraId="6D3E1187">
        <w:tblPrEx>
          <w:tblCellMar>
            <w:top w:w="0" w:type="dxa"/>
            <w:left w:w="108" w:type="dxa"/>
            <w:bottom w:w="0" w:type="dxa"/>
            <w:right w:w="108" w:type="dxa"/>
          </w:tblCellMar>
        </w:tblPrEx>
        <w:trPr>
          <w:trHeight w:val="84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4FF2B7BB">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47</w:t>
            </w:r>
          </w:p>
        </w:tc>
        <w:tc>
          <w:tcPr>
            <w:tcW w:w="963" w:type="pct"/>
            <w:vMerge w:val="continue"/>
            <w:tcBorders>
              <w:top w:val="nil"/>
              <w:left w:val="single" w:color="auto" w:sz="4" w:space="0"/>
              <w:bottom w:val="single" w:color="000000" w:sz="4" w:space="0"/>
              <w:right w:val="single" w:color="auto" w:sz="4" w:space="0"/>
            </w:tcBorders>
            <w:vAlign w:val="center"/>
          </w:tcPr>
          <w:p w14:paraId="747E1CE4">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5515FAC0">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从业人员锁停-严重失信人员行政许可锁停限制</w:t>
            </w:r>
          </w:p>
        </w:tc>
        <w:tc>
          <w:tcPr>
            <w:tcW w:w="2111" w:type="pct"/>
            <w:tcBorders>
              <w:top w:val="nil"/>
              <w:left w:val="nil"/>
              <w:bottom w:val="single" w:color="auto" w:sz="4" w:space="0"/>
              <w:right w:val="single" w:color="auto" w:sz="4" w:space="0"/>
            </w:tcBorders>
            <w:shd w:val="clear" w:color="auto" w:fill="auto"/>
            <w:vAlign w:val="center"/>
          </w:tcPr>
          <w:p w14:paraId="23EF3EBD">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开发行政许可锁停业务模块，对于严重失信人员限制办理事项。增加失信受人员失信影响管理配置功能</w:t>
            </w:r>
          </w:p>
        </w:tc>
      </w:tr>
      <w:tr w14:paraId="2D3FEBCC">
        <w:tblPrEx>
          <w:tblCellMar>
            <w:top w:w="0" w:type="dxa"/>
            <w:left w:w="108" w:type="dxa"/>
            <w:bottom w:w="0" w:type="dxa"/>
            <w:right w:w="108" w:type="dxa"/>
          </w:tblCellMar>
        </w:tblPrEx>
        <w:trPr>
          <w:trHeight w:val="56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349462C5">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48</w:t>
            </w:r>
          </w:p>
        </w:tc>
        <w:tc>
          <w:tcPr>
            <w:tcW w:w="963" w:type="pct"/>
            <w:vMerge w:val="continue"/>
            <w:tcBorders>
              <w:top w:val="nil"/>
              <w:left w:val="single" w:color="auto" w:sz="4" w:space="0"/>
              <w:bottom w:val="single" w:color="000000" w:sz="4" w:space="0"/>
              <w:right w:val="single" w:color="auto" w:sz="4" w:space="0"/>
            </w:tcBorders>
            <w:vAlign w:val="center"/>
          </w:tcPr>
          <w:p w14:paraId="5FB188A1">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7C14FD7E">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从业人员锁停-行政许可审批期限自动延长</w:t>
            </w:r>
          </w:p>
        </w:tc>
        <w:tc>
          <w:tcPr>
            <w:tcW w:w="2111" w:type="pct"/>
            <w:tcBorders>
              <w:top w:val="nil"/>
              <w:left w:val="nil"/>
              <w:bottom w:val="single" w:color="auto" w:sz="4" w:space="0"/>
              <w:right w:val="single" w:color="auto" w:sz="4" w:space="0"/>
            </w:tcBorders>
            <w:shd w:val="clear" w:color="auto" w:fill="auto"/>
            <w:vAlign w:val="center"/>
          </w:tcPr>
          <w:p w14:paraId="74D6AA88">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对于加强审核的惩戒手段，开发行政许可中审批期限自动延长功能</w:t>
            </w:r>
          </w:p>
        </w:tc>
      </w:tr>
      <w:tr w14:paraId="7E34E1CA">
        <w:tblPrEx>
          <w:tblCellMar>
            <w:top w:w="0" w:type="dxa"/>
            <w:left w:w="108" w:type="dxa"/>
            <w:bottom w:w="0" w:type="dxa"/>
            <w:right w:w="108" w:type="dxa"/>
          </w:tblCellMar>
        </w:tblPrEx>
        <w:trPr>
          <w:trHeight w:val="84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4BAA0967">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49</w:t>
            </w:r>
          </w:p>
        </w:tc>
        <w:tc>
          <w:tcPr>
            <w:tcW w:w="963" w:type="pct"/>
            <w:vMerge w:val="continue"/>
            <w:tcBorders>
              <w:top w:val="nil"/>
              <w:left w:val="single" w:color="auto" w:sz="4" w:space="0"/>
              <w:bottom w:val="single" w:color="000000" w:sz="4" w:space="0"/>
              <w:right w:val="single" w:color="auto" w:sz="4" w:space="0"/>
            </w:tcBorders>
            <w:vAlign w:val="center"/>
          </w:tcPr>
          <w:p w14:paraId="0D56B959">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76CE2D26">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从业人员锁停-人性化失信人员办理提示、恢复引导</w:t>
            </w:r>
          </w:p>
        </w:tc>
        <w:tc>
          <w:tcPr>
            <w:tcW w:w="2111" w:type="pct"/>
            <w:tcBorders>
              <w:top w:val="nil"/>
              <w:left w:val="nil"/>
              <w:bottom w:val="single" w:color="auto" w:sz="4" w:space="0"/>
              <w:right w:val="single" w:color="auto" w:sz="4" w:space="0"/>
            </w:tcBorders>
            <w:shd w:val="clear" w:color="auto" w:fill="auto"/>
            <w:vAlign w:val="center"/>
          </w:tcPr>
          <w:p w14:paraId="34106B1F">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在申请人前往申请时，告知其受限情况，受限原因，解决方式。以不同颜色突出显示相关提示内容保证醒目可见</w:t>
            </w:r>
          </w:p>
        </w:tc>
      </w:tr>
      <w:tr w14:paraId="170D5E0A">
        <w:tblPrEx>
          <w:tblCellMar>
            <w:top w:w="0" w:type="dxa"/>
            <w:left w:w="108" w:type="dxa"/>
            <w:bottom w:w="0" w:type="dxa"/>
            <w:right w:w="108" w:type="dxa"/>
          </w:tblCellMar>
        </w:tblPrEx>
        <w:trPr>
          <w:trHeight w:val="84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427DB58F">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50</w:t>
            </w:r>
          </w:p>
        </w:tc>
        <w:tc>
          <w:tcPr>
            <w:tcW w:w="963" w:type="pct"/>
            <w:vMerge w:val="continue"/>
            <w:tcBorders>
              <w:top w:val="nil"/>
              <w:left w:val="single" w:color="auto" w:sz="4" w:space="0"/>
              <w:bottom w:val="single" w:color="000000" w:sz="4" w:space="0"/>
              <w:right w:val="single" w:color="auto" w:sz="4" w:space="0"/>
            </w:tcBorders>
            <w:vAlign w:val="center"/>
          </w:tcPr>
          <w:p w14:paraId="2C5679A6">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3F0EC522">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从业人员锁停-执法吊销人员证照动态数据接入</w:t>
            </w:r>
          </w:p>
        </w:tc>
        <w:tc>
          <w:tcPr>
            <w:tcW w:w="2111" w:type="pct"/>
            <w:tcBorders>
              <w:top w:val="nil"/>
              <w:left w:val="nil"/>
              <w:bottom w:val="single" w:color="auto" w:sz="4" w:space="0"/>
              <w:right w:val="single" w:color="auto" w:sz="4" w:space="0"/>
            </w:tcBorders>
            <w:shd w:val="clear" w:color="auto" w:fill="auto"/>
            <w:vAlign w:val="center"/>
          </w:tcPr>
          <w:p w14:paraId="770F1702">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通过受控字段方式，实时接入执法总队的综合执法信息系统中的从业人员吊证情况。以证件类别和证件号关联人员</w:t>
            </w:r>
          </w:p>
        </w:tc>
      </w:tr>
      <w:tr w14:paraId="10954AD3">
        <w:tblPrEx>
          <w:tblCellMar>
            <w:top w:w="0" w:type="dxa"/>
            <w:left w:w="108" w:type="dxa"/>
            <w:bottom w:w="0" w:type="dxa"/>
            <w:right w:w="108" w:type="dxa"/>
          </w:tblCellMar>
        </w:tblPrEx>
        <w:trPr>
          <w:trHeight w:val="84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43DED332">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51</w:t>
            </w:r>
          </w:p>
        </w:tc>
        <w:tc>
          <w:tcPr>
            <w:tcW w:w="963" w:type="pct"/>
            <w:vMerge w:val="continue"/>
            <w:tcBorders>
              <w:top w:val="nil"/>
              <w:left w:val="single" w:color="auto" w:sz="4" w:space="0"/>
              <w:bottom w:val="single" w:color="000000" w:sz="4" w:space="0"/>
              <w:right w:val="single" w:color="auto" w:sz="4" w:space="0"/>
            </w:tcBorders>
            <w:vAlign w:val="center"/>
          </w:tcPr>
          <w:p w14:paraId="2F8B9FDC">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76713C17">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从业人员锁停-执法吊销证照人员锁停限制</w:t>
            </w:r>
          </w:p>
        </w:tc>
        <w:tc>
          <w:tcPr>
            <w:tcW w:w="2111" w:type="pct"/>
            <w:tcBorders>
              <w:top w:val="nil"/>
              <w:left w:val="nil"/>
              <w:bottom w:val="single" w:color="auto" w:sz="4" w:space="0"/>
              <w:right w:val="single" w:color="auto" w:sz="4" w:space="0"/>
            </w:tcBorders>
            <w:shd w:val="clear" w:color="auto" w:fill="auto"/>
            <w:vAlign w:val="center"/>
          </w:tcPr>
          <w:p w14:paraId="190B5969">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增加正在办理过程中事项，个人证照被吊销的提示。增加网申页面中关于个人锁停的办理限制</w:t>
            </w:r>
          </w:p>
        </w:tc>
      </w:tr>
      <w:tr w14:paraId="100AE0F4">
        <w:tblPrEx>
          <w:tblCellMar>
            <w:top w:w="0" w:type="dxa"/>
            <w:left w:w="108" w:type="dxa"/>
            <w:bottom w:w="0" w:type="dxa"/>
            <w:right w:w="108" w:type="dxa"/>
          </w:tblCellMar>
        </w:tblPrEx>
        <w:trPr>
          <w:trHeight w:val="84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5D7C97B5">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52</w:t>
            </w:r>
          </w:p>
        </w:tc>
        <w:tc>
          <w:tcPr>
            <w:tcW w:w="963" w:type="pct"/>
            <w:vMerge w:val="continue"/>
            <w:tcBorders>
              <w:top w:val="nil"/>
              <w:left w:val="single" w:color="auto" w:sz="4" w:space="0"/>
              <w:bottom w:val="single" w:color="000000" w:sz="4" w:space="0"/>
              <w:right w:val="single" w:color="auto" w:sz="4" w:space="0"/>
            </w:tcBorders>
            <w:vAlign w:val="center"/>
          </w:tcPr>
          <w:p w14:paraId="75D0EA28">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77E9BDD6">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从业人员锁停-执法吊销证照人员锁停限制解除</w:t>
            </w:r>
          </w:p>
        </w:tc>
        <w:tc>
          <w:tcPr>
            <w:tcW w:w="2111" w:type="pct"/>
            <w:tcBorders>
              <w:top w:val="nil"/>
              <w:left w:val="nil"/>
              <w:bottom w:val="single" w:color="auto" w:sz="4" w:space="0"/>
              <w:right w:val="single" w:color="auto" w:sz="4" w:space="0"/>
            </w:tcBorders>
            <w:shd w:val="clear" w:color="auto" w:fill="auto"/>
            <w:vAlign w:val="center"/>
          </w:tcPr>
          <w:p w14:paraId="73DCDB57">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对于行政听证、行政复议和行政诉讼等原因会改变原处罚决定或撤案的，对已经做出吊销限制的人员解除限制</w:t>
            </w:r>
          </w:p>
        </w:tc>
      </w:tr>
      <w:tr w14:paraId="63F712D3">
        <w:tblPrEx>
          <w:tblCellMar>
            <w:top w:w="0" w:type="dxa"/>
            <w:left w:w="108" w:type="dxa"/>
            <w:bottom w:w="0" w:type="dxa"/>
            <w:right w:w="108" w:type="dxa"/>
          </w:tblCellMar>
        </w:tblPrEx>
        <w:trPr>
          <w:trHeight w:val="28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3AC3874E">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53</w:t>
            </w:r>
          </w:p>
        </w:tc>
        <w:tc>
          <w:tcPr>
            <w:tcW w:w="963" w:type="pct"/>
            <w:vMerge w:val="continue"/>
            <w:tcBorders>
              <w:top w:val="nil"/>
              <w:left w:val="single" w:color="auto" w:sz="4" w:space="0"/>
              <w:bottom w:val="single" w:color="000000" w:sz="4" w:space="0"/>
              <w:right w:val="single" w:color="auto" w:sz="4" w:space="0"/>
            </w:tcBorders>
            <w:vAlign w:val="center"/>
          </w:tcPr>
          <w:p w14:paraId="5121A2BD">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5D18866D">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从业人员返聘管理</w:t>
            </w:r>
          </w:p>
        </w:tc>
        <w:tc>
          <w:tcPr>
            <w:tcW w:w="2111" w:type="pct"/>
            <w:tcBorders>
              <w:top w:val="nil"/>
              <w:left w:val="nil"/>
              <w:bottom w:val="single" w:color="auto" w:sz="4" w:space="0"/>
              <w:right w:val="single" w:color="auto" w:sz="4" w:space="0"/>
            </w:tcBorders>
            <w:shd w:val="clear" w:color="auto" w:fill="auto"/>
            <w:vAlign w:val="center"/>
          </w:tcPr>
          <w:p w14:paraId="57377763">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从业人员返聘、返聘从业人员解聘</w:t>
            </w:r>
          </w:p>
        </w:tc>
      </w:tr>
      <w:tr w14:paraId="037723AA">
        <w:tblPrEx>
          <w:tblCellMar>
            <w:top w:w="0" w:type="dxa"/>
            <w:left w:w="108" w:type="dxa"/>
            <w:bottom w:w="0" w:type="dxa"/>
            <w:right w:w="108" w:type="dxa"/>
          </w:tblCellMar>
        </w:tblPrEx>
        <w:trPr>
          <w:trHeight w:val="84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78F7D19B">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54</w:t>
            </w:r>
          </w:p>
        </w:tc>
        <w:tc>
          <w:tcPr>
            <w:tcW w:w="963" w:type="pct"/>
            <w:vMerge w:val="restart"/>
            <w:tcBorders>
              <w:top w:val="nil"/>
              <w:left w:val="single" w:color="auto" w:sz="4" w:space="0"/>
              <w:bottom w:val="single" w:color="000000" w:sz="4" w:space="0"/>
              <w:right w:val="single" w:color="auto" w:sz="4" w:space="0"/>
            </w:tcBorders>
            <w:shd w:val="clear" w:color="auto" w:fill="auto"/>
            <w:vAlign w:val="center"/>
          </w:tcPr>
          <w:p w14:paraId="2BB9A281">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从业资格考试系统升级改造</w:t>
            </w:r>
          </w:p>
        </w:tc>
        <w:tc>
          <w:tcPr>
            <w:tcW w:w="1420" w:type="pct"/>
            <w:tcBorders>
              <w:top w:val="nil"/>
              <w:left w:val="nil"/>
              <w:bottom w:val="single" w:color="auto" w:sz="4" w:space="0"/>
              <w:right w:val="single" w:color="auto" w:sz="4" w:space="0"/>
            </w:tcBorders>
            <w:shd w:val="clear" w:color="auto" w:fill="auto"/>
            <w:vAlign w:val="center"/>
          </w:tcPr>
          <w:p w14:paraId="7ABA97F1">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考试人员核验</w:t>
            </w:r>
          </w:p>
        </w:tc>
        <w:tc>
          <w:tcPr>
            <w:tcW w:w="2111" w:type="pct"/>
            <w:tcBorders>
              <w:top w:val="nil"/>
              <w:left w:val="nil"/>
              <w:bottom w:val="single" w:color="auto" w:sz="4" w:space="0"/>
              <w:right w:val="single" w:color="auto" w:sz="4" w:space="0"/>
            </w:tcBorders>
            <w:shd w:val="clear" w:color="auto" w:fill="auto"/>
            <w:vAlign w:val="center"/>
          </w:tcPr>
          <w:p w14:paraId="660A9FE8">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在进入考场时、开考前、考试过程中调取前端人脸识别设备对人员身份进行验证，异常报警及过程数据全记录</w:t>
            </w:r>
          </w:p>
        </w:tc>
      </w:tr>
      <w:tr w14:paraId="5EC83D5D">
        <w:tblPrEx>
          <w:tblCellMar>
            <w:top w:w="0" w:type="dxa"/>
            <w:left w:w="108" w:type="dxa"/>
            <w:bottom w:w="0" w:type="dxa"/>
            <w:right w:w="108" w:type="dxa"/>
          </w:tblCellMar>
        </w:tblPrEx>
        <w:trPr>
          <w:trHeight w:val="56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2300AEB6">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55</w:t>
            </w:r>
          </w:p>
        </w:tc>
        <w:tc>
          <w:tcPr>
            <w:tcW w:w="963" w:type="pct"/>
            <w:vMerge w:val="continue"/>
            <w:tcBorders>
              <w:top w:val="nil"/>
              <w:left w:val="single" w:color="auto" w:sz="4" w:space="0"/>
              <w:bottom w:val="single" w:color="000000" w:sz="4" w:space="0"/>
              <w:right w:val="single" w:color="auto" w:sz="4" w:space="0"/>
            </w:tcBorders>
            <w:vAlign w:val="center"/>
          </w:tcPr>
          <w:p w14:paraId="509256EC">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2246694F">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考务题型升级-题库管理升级</w:t>
            </w:r>
          </w:p>
        </w:tc>
        <w:tc>
          <w:tcPr>
            <w:tcW w:w="2111" w:type="pct"/>
            <w:tcBorders>
              <w:top w:val="nil"/>
              <w:left w:val="nil"/>
              <w:bottom w:val="single" w:color="auto" w:sz="4" w:space="0"/>
              <w:right w:val="single" w:color="auto" w:sz="4" w:space="0"/>
            </w:tcBorders>
            <w:shd w:val="clear" w:color="auto" w:fill="auto"/>
            <w:vAlign w:val="center"/>
          </w:tcPr>
          <w:p w14:paraId="3CDEFA4F">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对各行业各类别人员现有的题库管理进行升级，满足案例题管理要求</w:t>
            </w:r>
          </w:p>
        </w:tc>
      </w:tr>
      <w:tr w14:paraId="725E15F8">
        <w:tblPrEx>
          <w:tblCellMar>
            <w:top w:w="0" w:type="dxa"/>
            <w:left w:w="108" w:type="dxa"/>
            <w:bottom w:w="0" w:type="dxa"/>
            <w:right w:w="108" w:type="dxa"/>
          </w:tblCellMar>
        </w:tblPrEx>
        <w:trPr>
          <w:trHeight w:val="56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3A692E4E">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56</w:t>
            </w:r>
          </w:p>
        </w:tc>
        <w:tc>
          <w:tcPr>
            <w:tcW w:w="963" w:type="pct"/>
            <w:vMerge w:val="continue"/>
            <w:tcBorders>
              <w:top w:val="nil"/>
              <w:left w:val="single" w:color="auto" w:sz="4" w:space="0"/>
              <w:bottom w:val="single" w:color="000000" w:sz="4" w:space="0"/>
              <w:right w:val="single" w:color="auto" w:sz="4" w:space="0"/>
            </w:tcBorders>
            <w:vAlign w:val="center"/>
          </w:tcPr>
          <w:p w14:paraId="7B0099D2">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57111430">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考务题型升级-试卷生成规则升级</w:t>
            </w:r>
          </w:p>
        </w:tc>
        <w:tc>
          <w:tcPr>
            <w:tcW w:w="2111" w:type="pct"/>
            <w:tcBorders>
              <w:top w:val="nil"/>
              <w:left w:val="nil"/>
              <w:bottom w:val="single" w:color="auto" w:sz="4" w:space="0"/>
              <w:right w:val="single" w:color="auto" w:sz="4" w:space="0"/>
            </w:tcBorders>
            <w:shd w:val="clear" w:color="auto" w:fill="auto"/>
            <w:vAlign w:val="center"/>
          </w:tcPr>
          <w:p w14:paraId="38A118F9">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同步升级试卷生成规则管理</w:t>
            </w:r>
          </w:p>
        </w:tc>
      </w:tr>
      <w:tr w14:paraId="15CB2192">
        <w:tblPrEx>
          <w:tblCellMar>
            <w:top w:w="0" w:type="dxa"/>
            <w:left w:w="108" w:type="dxa"/>
            <w:bottom w:w="0" w:type="dxa"/>
            <w:right w:w="108" w:type="dxa"/>
          </w:tblCellMar>
        </w:tblPrEx>
        <w:trPr>
          <w:trHeight w:val="28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3F763519">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57</w:t>
            </w:r>
          </w:p>
        </w:tc>
        <w:tc>
          <w:tcPr>
            <w:tcW w:w="963" w:type="pct"/>
            <w:vMerge w:val="continue"/>
            <w:tcBorders>
              <w:top w:val="nil"/>
              <w:left w:val="single" w:color="auto" w:sz="4" w:space="0"/>
              <w:bottom w:val="single" w:color="000000" w:sz="4" w:space="0"/>
              <w:right w:val="single" w:color="auto" w:sz="4" w:space="0"/>
            </w:tcBorders>
            <w:vAlign w:val="center"/>
          </w:tcPr>
          <w:p w14:paraId="4F02F352">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4192EEB0">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分考场管理-分考场管控</w:t>
            </w:r>
          </w:p>
        </w:tc>
        <w:tc>
          <w:tcPr>
            <w:tcW w:w="2111" w:type="pct"/>
            <w:tcBorders>
              <w:top w:val="nil"/>
              <w:left w:val="nil"/>
              <w:bottom w:val="single" w:color="auto" w:sz="4" w:space="0"/>
              <w:right w:val="single" w:color="auto" w:sz="4" w:space="0"/>
            </w:tcBorders>
            <w:shd w:val="clear" w:color="auto" w:fill="auto"/>
            <w:vAlign w:val="center"/>
          </w:tcPr>
          <w:p w14:paraId="770A9461">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对分考场基本信息和开设状态进行管理</w:t>
            </w:r>
          </w:p>
        </w:tc>
      </w:tr>
      <w:tr w14:paraId="3A9B9C73">
        <w:tblPrEx>
          <w:tblCellMar>
            <w:top w:w="0" w:type="dxa"/>
            <w:left w:w="108" w:type="dxa"/>
            <w:bottom w:w="0" w:type="dxa"/>
            <w:right w:w="108" w:type="dxa"/>
          </w:tblCellMar>
        </w:tblPrEx>
        <w:trPr>
          <w:trHeight w:val="56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22B4F6D0">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58</w:t>
            </w:r>
          </w:p>
        </w:tc>
        <w:tc>
          <w:tcPr>
            <w:tcW w:w="963" w:type="pct"/>
            <w:vMerge w:val="continue"/>
            <w:tcBorders>
              <w:top w:val="nil"/>
              <w:left w:val="single" w:color="auto" w:sz="4" w:space="0"/>
              <w:bottom w:val="single" w:color="000000" w:sz="4" w:space="0"/>
              <w:right w:val="single" w:color="auto" w:sz="4" w:space="0"/>
            </w:tcBorders>
            <w:vAlign w:val="center"/>
          </w:tcPr>
          <w:p w14:paraId="1CC0D0D9">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15736C2A">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分考场管理-分考场开考审核</w:t>
            </w:r>
          </w:p>
        </w:tc>
        <w:tc>
          <w:tcPr>
            <w:tcW w:w="2111" w:type="pct"/>
            <w:tcBorders>
              <w:top w:val="nil"/>
              <w:left w:val="nil"/>
              <w:bottom w:val="single" w:color="auto" w:sz="4" w:space="0"/>
              <w:right w:val="single" w:color="auto" w:sz="4" w:space="0"/>
            </w:tcBorders>
            <w:shd w:val="clear" w:color="auto" w:fill="auto"/>
            <w:vAlign w:val="center"/>
          </w:tcPr>
          <w:p w14:paraId="4AF5515A">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对于分考场提交的开考申请予以审核，审核通过后分考场方可进行开考</w:t>
            </w:r>
          </w:p>
        </w:tc>
      </w:tr>
      <w:tr w14:paraId="771692EF">
        <w:tblPrEx>
          <w:tblCellMar>
            <w:top w:w="0" w:type="dxa"/>
            <w:left w:w="108" w:type="dxa"/>
            <w:bottom w:w="0" w:type="dxa"/>
            <w:right w:w="108" w:type="dxa"/>
          </w:tblCellMar>
        </w:tblPrEx>
        <w:trPr>
          <w:trHeight w:val="56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052E8DF1">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59</w:t>
            </w:r>
          </w:p>
        </w:tc>
        <w:tc>
          <w:tcPr>
            <w:tcW w:w="963" w:type="pct"/>
            <w:vMerge w:val="continue"/>
            <w:tcBorders>
              <w:top w:val="nil"/>
              <w:left w:val="single" w:color="auto" w:sz="4" w:space="0"/>
              <w:bottom w:val="single" w:color="000000" w:sz="4" w:space="0"/>
              <w:right w:val="single" w:color="auto" w:sz="4" w:space="0"/>
            </w:tcBorders>
            <w:vAlign w:val="center"/>
          </w:tcPr>
          <w:p w14:paraId="57635507">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1DA271A8">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分考场管理-分考场岗前考生监管</w:t>
            </w:r>
          </w:p>
        </w:tc>
        <w:tc>
          <w:tcPr>
            <w:tcW w:w="2111" w:type="pct"/>
            <w:tcBorders>
              <w:top w:val="nil"/>
              <w:left w:val="nil"/>
              <w:bottom w:val="single" w:color="auto" w:sz="4" w:space="0"/>
              <w:right w:val="single" w:color="auto" w:sz="4" w:space="0"/>
            </w:tcBorders>
            <w:shd w:val="clear" w:color="auto" w:fill="auto"/>
            <w:vAlign w:val="center"/>
          </w:tcPr>
          <w:p w14:paraId="7BE68FEC">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对分考场开考过程中的考生身份确认、考试机登录等进行监管和预警</w:t>
            </w:r>
          </w:p>
        </w:tc>
      </w:tr>
      <w:tr w14:paraId="41CBCCD9">
        <w:tblPrEx>
          <w:tblCellMar>
            <w:top w:w="0" w:type="dxa"/>
            <w:left w:w="108" w:type="dxa"/>
            <w:bottom w:w="0" w:type="dxa"/>
            <w:right w:w="108" w:type="dxa"/>
          </w:tblCellMar>
        </w:tblPrEx>
        <w:trPr>
          <w:trHeight w:val="84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0BBC4370">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60</w:t>
            </w:r>
          </w:p>
        </w:tc>
        <w:tc>
          <w:tcPr>
            <w:tcW w:w="963" w:type="pct"/>
            <w:vMerge w:val="continue"/>
            <w:tcBorders>
              <w:top w:val="nil"/>
              <w:left w:val="single" w:color="auto" w:sz="4" w:space="0"/>
              <w:bottom w:val="single" w:color="000000" w:sz="4" w:space="0"/>
              <w:right w:val="single" w:color="auto" w:sz="4" w:space="0"/>
            </w:tcBorders>
            <w:vAlign w:val="center"/>
          </w:tcPr>
          <w:p w14:paraId="74C82AC7">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3A459CA8">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分考场管理-分考场开考考题下发</w:t>
            </w:r>
          </w:p>
        </w:tc>
        <w:tc>
          <w:tcPr>
            <w:tcW w:w="2111" w:type="pct"/>
            <w:tcBorders>
              <w:top w:val="nil"/>
              <w:left w:val="nil"/>
              <w:bottom w:val="single" w:color="auto" w:sz="4" w:space="0"/>
              <w:right w:val="single" w:color="auto" w:sz="4" w:space="0"/>
            </w:tcBorders>
            <w:shd w:val="clear" w:color="auto" w:fill="auto"/>
            <w:vAlign w:val="center"/>
          </w:tcPr>
          <w:p w14:paraId="13835C0E">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对于审核通过且开考前监管没问题的分考场，系统自动根据考场申请的考试类别，从题库里按照规则下发考题</w:t>
            </w:r>
          </w:p>
        </w:tc>
      </w:tr>
      <w:tr w14:paraId="3CB05E3F">
        <w:tblPrEx>
          <w:tblCellMar>
            <w:top w:w="0" w:type="dxa"/>
            <w:left w:w="108" w:type="dxa"/>
            <w:bottom w:w="0" w:type="dxa"/>
            <w:right w:w="108" w:type="dxa"/>
          </w:tblCellMar>
        </w:tblPrEx>
        <w:trPr>
          <w:trHeight w:val="84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274B0CE5">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61</w:t>
            </w:r>
          </w:p>
        </w:tc>
        <w:tc>
          <w:tcPr>
            <w:tcW w:w="963" w:type="pct"/>
            <w:vMerge w:val="continue"/>
            <w:tcBorders>
              <w:top w:val="nil"/>
              <w:left w:val="single" w:color="auto" w:sz="4" w:space="0"/>
              <w:bottom w:val="single" w:color="000000" w:sz="4" w:space="0"/>
              <w:right w:val="single" w:color="auto" w:sz="4" w:space="0"/>
            </w:tcBorders>
            <w:vAlign w:val="center"/>
          </w:tcPr>
          <w:p w14:paraId="34F97BDD">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185F2475">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分考场管理-分考场统计分析</w:t>
            </w:r>
          </w:p>
        </w:tc>
        <w:tc>
          <w:tcPr>
            <w:tcW w:w="2111" w:type="pct"/>
            <w:tcBorders>
              <w:top w:val="nil"/>
              <w:left w:val="nil"/>
              <w:bottom w:val="single" w:color="auto" w:sz="4" w:space="0"/>
              <w:right w:val="single" w:color="auto" w:sz="4" w:space="0"/>
            </w:tcBorders>
            <w:shd w:val="clear" w:color="auto" w:fill="auto"/>
            <w:vAlign w:val="center"/>
          </w:tcPr>
          <w:p w14:paraId="19116957">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对各个分考场组织考试情况、参加考试人员情况、考试纪律情况和考试结果情况进行分类统计</w:t>
            </w:r>
          </w:p>
        </w:tc>
      </w:tr>
      <w:tr w14:paraId="226B4D28">
        <w:tblPrEx>
          <w:tblCellMar>
            <w:top w:w="0" w:type="dxa"/>
            <w:left w:w="108" w:type="dxa"/>
            <w:bottom w:w="0" w:type="dxa"/>
            <w:right w:w="108" w:type="dxa"/>
          </w:tblCellMar>
        </w:tblPrEx>
        <w:trPr>
          <w:trHeight w:val="56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45E12EEB">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62</w:t>
            </w:r>
          </w:p>
        </w:tc>
        <w:tc>
          <w:tcPr>
            <w:tcW w:w="963" w:type="pct"/>
            <w:vMerge w:val="continue"/>
            <w:tcBorders>
              <w:top w:val="nil"/>
              <w:left w:val="single" w:color="auto" w:sz="4" w:space="0"/>
              <w:bottom w:val="single" w:color="000000" w:sz="4" w:space="0"/>
              <w:right w:val="single" w:color="auto" w:sz="4" w:space="0"/>
            </w:tcBorders>
            <w:vAlign w:val="center"/>
          </w:tcPr>
          <w:p w14:paraId="32916931">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1F6E3807">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分考场考试管理-分考场考试人员管理</w:t>
            </w:r>
          </w:p>
        </w:tc>
        <w:tc>
          <w:tcPr>
            <w:tcW w:w="2111" w:type="pct"/>
            <w:tcBorders>
              <w:top w:val="nil"/>
              <w:left w:val="nil"/>
              <w:bottom w:val="single" w:color="auto" w:sz="4" w:space="0"/>
              <w:right w:val="single" w:color="auto" w:sz="4" w:space="0"/>
            </w:tcBorders>
            <w:shd w:val="clear" w:color="auto" w:fill="auto"/>
            <w:vAlign w:val="center"/>
          </w:tcPr>
          <w:p w14:paraId="6AF180DB">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通过培训的人员在分考场申请考试</w:t>
            </w:r>
          </w:p>
        </w:tc>
      </w:tr>
      <w:tr w14:paraId="05848877">
        <w:tblPrEx>
          <w:tblCellMar>
            <w:top w:w="0" w:type="dxa"/>
            <w:left w:w="108" w:type="dxa"/>
            <w:bottom w:w="0" w:type="dxa"/>
            <w:right w:w="108" w:type="dxa"/>
          </w:tblCellMar>
        </w:tblPrEx>
        <w:trPr>
          <w:trHeight w:val="56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46761E63">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63</w:t>
            </w:r>
          </w:p>
        </w:tc>
        <w:tc>
          <w:tcPr>
            <w:tcW w:w="963" w:type="pct"/>
            <w:vMerge w:val="continue"/>
            <w:tcBorders>
              <w:top w:val="nil"/>
              <w:left w:val="single" w:color="auto" w:sz="4" w:space="0"/>
              <w:bottom w:val="single" w:color="000000" w:sz="4" w:space="0"/>
              <w:right w:val="single" w:color="auto" w:sz="4" w:space="0"/>
            </w:tcBorders>
            <w:vAlign w:val="center"/>
          </w:tcPr>
          <w:p w14:paraId="687D26CA">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4DC49417">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分考场考试管理-分考场开班管理</w:t>
            </w:r>
          </w:p>
        </w:tc>
        <w:tc>
          <w:tcPr>
            <w:tcW w:w="2111" w:type="pct"/>
            <w:tcBorders>
              <w:top w:val="nil"/>
              <w:left w:val="nil"/>
              <w:bottom w:val="single" w:color="auto" w:sz="4" w:space="0"/>
              <w:right w:val="single" w:color="auto" w:sz="4" w:space="0"/>
            </w:tcBorders>
            <w:shd w:val="clear" w:color="auto" w:fill="auto"/>
            <w:vAlign w:val="center"/>
          </w:tcPr>
          <w:p w14:paraId="08367417">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根据考试中心开办计划，对各项培训进行开班，需要根据行业和培训岗位进行区分</w:t>
            </w:r>
          </w:p>
        </w:tc>
      </w:tr>
      <w:tr w14:paraId="33898435">
        <w:tblPrEx>
          <w:tblCellMar>
            <w:top w:w="0" w:type="dxa"/>
            <w:left w:w="108" w:type="dxa"/>
            <w:bottom w:w="0" w:type="dxa"/>
            <w:right w:w="108" w:type="dxa"/>
          </w:tblCellMar>
        </w:tblPrEx>
        <w:trPr>
          <w:trHeight w:val="56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633C3492">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64</w:t>
            </w:r>
          </w:p>
        </w:tc>
        <w:tc>
          <w:tcPr>
            <w:tcW w:w="963" w:type="pct"/>
            <w:vMerge w:val="continue"/>
            <w:tcBorders>
              <w:top w:val="nil"/>
              <w:left w:val="single" w:color="auto" w:sz="4" w:space="0"/>
              <w:bottom w:val="single" w:color="000000" w:sz="4" w:space="0"/>
              <w:right w:val="single" w:color="auto" w:sz="4" w:space="0"/>
            </w:tcBorders>
            <w:vAlign w:val="center"/>
          </w:tcPr>
          <w:p w14:paraId="6FC28A56">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6FC3F412">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分考场考试管理-分考场考试管理</w:t>
            </w:r>
          </w:p>
        </w:tc>
        <w:tc>
          <w:tcPr>
            <w:tcW w:w="2111" w:type="pct"/>
            <w:tcBorders>
              <w:top w:val="nil"/>
              <w:left w:val="nil"/>
              <w:bottom w:val="single" w:color="auto" w:sz="4" w:space="0"/>
              <w:right w:val="single" w:color="auto" w:sz="4" w:space="0"/>
            </w:tcBorders>
            <w:shd w:val="clear" w:color="auto" w:fill="auto"/>
            <w:vAlign w:val="center"/>
          </w:tcPr>
          <w:p w14:paraId="29781389">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分考场考试管理、岗前考生确认、复训考生确认、应会考试成绩确认</w:t>
            </w:r>
          </w:p>
        </w:tc>
      </w:tr>
      <w:tr w14:paraId="32FDD396">
        <w:tblPrEx>
          <w:tblCellMar>
            <w:top w:w="0" w:type="dxa"/>
            <w:left w:w="108" w:type="dxa"/>
            <w:bottom w:w="0" w:type="dxa"/>
            <w:right w:w="108" w:type="dxa"/>
          </w:tblCellMar>
        </w:tblPrEx>
        <w:trPr>
          <w:trHeight w:val="56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64F2B513">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65</w:t>
            </w:r>
          </w:p>
        </w:tc>
        <w:tc>
          <w:tcPr>
            <w:tcW w:w="963" w:type="pct"/>
            <w:vMerge w:val="continue"/>
            <w:tcBorders>
              <w:top w:val="nil"/>
              <w:left w:val="single" w:color="auto" w:sz="4" w:space="0"/>
              <w:bottom w:val="single" w:color="000000" w:sz="4" w:space="0"/>
              <w:right w:val="single" w:color="auto" w:sz="4" w:space="0"/>
            </w:tcBorders>
            <w:vAlign w:val="center"/>
          </w:tcPr>
          <w:p w14:paraId="5B1D2D7E">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72384CE1">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分考场考试管理-分考场考题生成管理</w:t>
            </w:r>
          </w:p>
        </w:tc>
        <w:tc>
          <w:tcPr>
            <w:tcW w:w="2111" w:type="pct"/>
            <w:tcBorders>
              <w:top w:val="nil"/>
              <w:left w:val="nil"/>
              <w:bottom w:val="single" w:color="auto" w:sz="4" w:space="0"/>
              <w:right w:val="single" w:color="auto" w:sz="4" w:space="0"/>
            </w:tcBorders>
            <w:shd w:val="clear" w:color="auto" w:fill="auto"/>
            <w:vAlign w:val="center"/>
          </w:tcPr>
          <w:p w14:paraId="7CEC8CBA">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在考试中心下发的考题范围内，系统根据考题分数配置规则，自动为每位考员生成考题</w:t>
            </w:r>
          </w:p>
        </w:tc>
      </w:tr>
      <w:tr w14:paraId="6B899B1A">
        <w:tblPrEx>
          <w:tblCellMar>
            <w:top w:w="0" w:type="dxa"/>
            <w:left w:w="108" w:type="dxa"/>
            <w:bottom w:w="0" w:type="dxa"/>
            <w:right w:w="108" w:type="dxa"/>
          </w:tblCellMar>
        </w:tblPrEx>
        <w:trPr>
          <w:trHeight w:val="56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411CB774">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66</w:t>
            </w:r>
          </w:p>
        </w:tc>
        <w:tc>
          <w:tcPr>
            <w:tcW w:w="963" w:type="pct"/>
            <w:vMerge w:val="continue"/>
            <w:tcBorders>
              <w:top w:val="nil"/>
              <w:left w:val="single" w:color="auto" w:sz="4" w:space="0"/>
              <w:bottom w:val="single" w:color="000000" w:sz="4" w:space="0"/>
              <w:right w:val="single" w:color="auto" w:sz="4" w:space="0"/>
            </w:tcBorders>
            <w:vAlign w:val="center"/>
          </w:tcPr>
          <w:p w14:paraId="0516D152">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6728C268">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非税电子缴款线上支付-非税系统交互</w:t>
            </w:r>
          </w:p>
        </w:tc>
        <w:tc>
          <w:tcPr>
            <w:tcW w:w="2111" w:type="pct"/>
            <w:tcBorders>
              <w:top w:val="nil"/>
              <w:left w:val="nil"/>
              <w:bottom w:val="single" w:color="auto" w:sz="4" w:space="0"/>
              <w:right w:val="single" w:color="auto" w:sz="4" w:space="0"/>
            </w:tcBorders>
            <w:shd w:val="clear" w:color="auto" w:fill="auto"/>
            <w:vAlign w:val="center"/>
          </w:tcPr>
          <w:p w14:paraId="1063FE8B">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支持与市财政非税系统的数据对接和对账管理</w:t>
            </w:r>
          </w:p>
        </w:tc>
      </w:tr>
      <w:tr w14:paraId="1A28A449">
        <w:tblPrEx>
          <w:tblCellMar>
            <w:top w:w="0" w:type="dxa"/>
            <w:left w:w="108" w:type="dxa"/>
            <w:bottom w:w="0" w:type="dxa"/>
            <w:right w:w="108" w:type="dxa"/>
          </w:tblCellMar>
        </w:tblPrEx>
        <w:trPr>
          <w:trHeight w:val="84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7A5AE439">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67</w:t>
            </w:r>
          </w:p>
        </w:tc>
        <w:tc>
          <w:tcPr>
            <w:tcW w:w="963" w:type="pct"/>
            <w:vMerge w:val="continue"/>
            <w:tcBorders>
              <w:top w:val="nil"/>
              <w:left w:val="single" w:color="auto" w:sz="4" w:space="0"/>
              <w:bottom w:val="single" w:color="000000" w:sz="4" w:space="0"/>
              <w:right w:val="single" w:color="auto" w:sz="4" w:space="0"/>
            </w:tcBorders>
            <w:vAlign w:val="center"/>
          </w:tcPr>
          <w:p w14:paraId="56CF50B6">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6BEA8DD8">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非税电子缴款线上支付-单位管理器交互</w:t>
            </w:r>
          </w:p>
        </w:tc>
        <w:tc>
          <w:tcPr>
            <w:tcW w:w="2111" w:type="pct"/>
            <w:tcBorders>
              <w:top w:val="nil"/>
              <w:left w:val="nil"/>
              <w:bottom w:val="single" w:color="auto" w:sz="4" w:space="0"/>
              <w:right w:val="single" w:color="auto" w:sz="4" w:space="0"/>
            </w:tcBorders>
            <w:shd w:val="clear" w:color="auto" w:fill="auto"/>
            <w:vAlign w:val="center"/>
          </w:tcPr>
          <w:p w14:paraId="739C7E03">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对接单位管理器开具电子缴款书接口。单位业务系统通过单位开票管理器获取电子缴款书</w:t>
            </w:r>
          </w:p>
        </w:tc>
      </w:tr>
      <w:tr w14:paraId="5E78E85B">
        <w:tblPrEx>
          <w:tblCellMar>
            <w:top w:w="0" w:type="dxa"/>
            <w:left w:w="108" w:type="dxa"/>
            <w:bottom w:w="0" w:type="dxa"/>
            <w:right w:w="108" w:type="dxa"/>
          </w:tblCellMar>
        </w:tblPrEx>
        <w:trPr>
          <w:trHeight w:val="56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249EC7CC">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68</w:t>
            </w:r>
          </w:p>
        </w:tc>
        <w:tc>
          <w:tcPr>
            <w:tcW w:w="963" w:type="pct"/>
            <w:vMerge w:val="continue"/>
            <w:tcBorders>
              <w:top w:val="nil"/>
              <w:left w:val="single" w:color="auto" w:sz="4" w:space="0"/>
              <w:bottom w:val="single" w:color="000000" w:sz="4" w:space="0"/>
              <w:right w:val="single" w:color="auto" w:sz="4" w:space="0"/>
            </w:tcBorders>
            <w:vAlign w:val="center"/>
          </w:tcPr>
          <w:p w14:paraId="10E5C390">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47FDDA4C">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非税电子缴款线上支付-电子缴款书管理</w:t>
            </w:r>
          </w:p>
        </w:tc>
        <w:tc>
          <w:tcPr>
            <w:tcW w:w="2111" w:type="pct"/>
            <w:tcBorders>
              <w:top w:val="nil"/>
              <w:left w:val="nil"/>
              <w:bottom w:val="single" w:color="auto" w:sz="4" w:space="0"/>
              <w:right w:val="single" w:color="auto" w:sz="4" w:space="0"/>
            </w:tcBorders>
            <w:shd w:val="clear" w:color="auto" w:fill="auto"/>
            <w:vAlign w:val="center"/>
          </w:tcPr>
          <w:p w14:paraId="7A1B60D4">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非税电子票据、缴款码撤销、电子缴款书冲红、线上支付电子票据开具</w:t>
            </w:r>
          </w:p>
        </w:tc>
      </w:tr>
      <w:tr w14:paraId="7963F569">
        <w:tblPrEx>
          <w:tblCellMar>
            <w:top w:w="0" w:type="dxa"/>
            <w:left w:w="108" w:type="dxa"/>
            <w:bottom w:w="0" w:type="dxa"/>
            <w:right w:w="108" w:type="dxa"/>
          </w:tblCellMar>
        </w:tblPrEx>
        <w:trPr>
          <w:trHeight w:val="56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4829C8BF">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69</w:t>
            </w:r>
          </w:p>
        </w:tc>
        <w:tc>
          <w:tcPr>
            <w:tcW w:w="963" w:type="pct"/>
            <w:vMerge w:val="continue"/>
            <w:tcBorders>
              <w:top w:val="nil"/>
              <w:left w:val="single" w:color="auto" w:sz="4" w:space="0"/>
              <w:bottom w:val="single" w:color="000000" w:sz="4" w:space="0"/>
              <w:right w:val="single" w:color="auto" w:sz="4" w:space="0"/>
            </w:tcBorders>
            <w:vAlign w:val="center"/>
          </w:tcPr>
          <w:p w14:paraId="689629D2">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300E02E9">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非税电子缴款线上支付-电子缴款书样式打印</w:t>
            </w:r>
          </w:p>
        </w:tc>
        <w:tc>
          <w:tcPr>
            <w:tcW w:w="2111" w:type="pct"/>
            <w:tcBorders>
              <w:top w:val="nil"/>
              <w:left w:val="nil"/>
              <w:bottom w:val="single" w:color="auto" w:sz="4" w:space="0"/>
              <w:right w:val="single" w:color="auto" w:sz="4" w:space="0"/>
            </w:tcBorders>
            <w:shd w:val="clear" w:color="auto" w:fill="auto"/>
            <w:vAlign w:val="center"/>
          </w:tcPr>
          <w:p w14:paraId="51D89FAE">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根据非税票据电子化改造的需求，对电子缴款书的打印样式进行制作</w:t>
            </w:r>
          </w:p>
        </w:tc>
      </w:tr>
      <w:tr w14:paraId="38ED8AB0">
        <w:tblPrEx>
          <w:tblCellMar>
            <w:top w:w="0" w:type="dxa"/>
            <w:left w:w="108" w:type="dxa"/>
            <w:bottom w:w="0" w:type="dxa"/>
            <w:right w:w="108" w:type="dxa"/>
          </w:tblCellMar>
        </w:tblPrEx>
        <w:trPr>
          <w:trHeight w:val="112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73D480FA">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70</w:t>
            </w:r>
          </w:p>
        </w:tc>
        <w:tc>
          <w:tcPr>
            <w:tcW w:w="963" w:type="pct"/>
            <w:vMerge w:val="continue"/>
            <w:tcBorders>
              <w:top w:val="nil"/>
              <w:left w:val="single" w:color="auto" w:sz="4" w:space="0"/>
              <w:bottom w:val="single" w:color="000000" w:sz="4" w:space="0"/>
              <w:right w:val="single" w:color="auto" w:sz="4" w:space="0"/>
            </w:tcBorders>
            <w:vAlign w:val="center"/>
          </w:tcPr>
          <w:p w14:paraId="2B5232D5">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04785C68">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非税电子缴款线上支付-电子缴款书交付</w:t>
            </w:r>
          </w:p>
        </w:tc>
        <w:tc>
          <w:tcPr>
            <w:tcW w:w="2111" w:type="pct"/>
            <w:tcBorders>
              <w:top w:val="nil"/>
              <w:left w:val="nil"/>
              <w:bottom w:val="single" w:color="auto" w:sz="4" w:space="0"/>
              <w:right w:val="single" w:color="auto" w:sz="4" w:space="0"/>
            </w:tcBorders>
            <w:shd w:val="clear" w:color="auto" w:fill="auto"/>
            <w:vAlign w:val="center"/>
          </w:tcPr>
          <w:p w14:paraId="34291743">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根据上海市财政对罚没款票据管理的要求，结合实际业务情况，从单位管理器获取电子缴款书pdf文件，并通知缴款人，并与业务流程关联</w:t>
            </w:r>
          </w:p>
        </w:tc>
      </w:tr>
      <w:tr w14:paraId="2B2210CF">
        <w:tblPrEx>
          <w:tblCellMar>
            <w:top w:w="0" w:type="dxa"/>
            <w:left w:w="108" w:type="dxa"/>
            <w:bottom w:w="0" w:type="dxa"/>
            <w:right w:w="108" w:type="dxa"/>
          </w:tblCellMar>
        </w:tblPrEx>
        <w:trPr>
          <w:trHeight w:val="84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5DA05715">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71</w:t>
            </w:r>
          </w:p>
        </w:tc>
        <w:tc>
          <w:tcPr>
            <w:tcW w:w="963" w:type="pct"/>
            <w:vMerge w:val="continue"/>
            <w:tcBorders>
              <w:top w:val="nil"/>
              <w:left w:val="single" w:color="auto" w:sz="4" w:space="0"/>
              <w:bottom w:val="single" w:color="000000" w:sz="4" w:space="0"/>
              <w:right w:val="single" w:color="auto" w:sz="4" w:space="0"/>
            </w:tcBorders>
            <w:vAlign w:val="center"/>
          </w:tcPr>
          <w:p w14:paraId="02F29B81">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0FBE56E9">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非税电子缴款线上支付-电子缴款书查验</w:t>
            </w:r>
          </w:p>
        </w:tc>
        <w:tc>
          <w:tcPr>
            <w:tcW w:w="2111" w:type="pct"/>
            <w:tcBorders>
              <w:top w:val="nil"/>
              <w:left w:val="nil"/>
              <w:bottom w:val="single" w:color="auto" w:sz="4" w:space="0"/>
              <w:right w:val="single" w:color="auto" w:sz="4" w:space="0"/>
            </w:tcBorders>
            <w:shd w:val="clear" w:color="auto" w:fill="auto"/>
            <w:vAlign w:val="center"/>
          </w:tcPr>
          <w:p w14:paraId="1699A7C8">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对接财政网站等接口，实现电子缴款书查验服务，方便从业资格中心自主查验缴款书真伪，获取缴款书使用信息等</w:t>
            </w:r>
          </w:p>
        </w:tc>
      </w:tr>
      <w:tr w14:paraId="41F69923">
        <w:tblPrEx>
          <w:tblCellMar>
            <w:top w:w="0" w:type="dxa"/>
            <w:left w:w="108" w:type="dxa"/>
            <w:bottom w:w="0" w:type="dxa"/>
            <w:right w:w="108" w:type="dxa"/>
          </w:tblCellMar>
        </w:tblPrEx>
        <w:trPr>
          <w:trHeight w:val="140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46814706">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72</w:t>
            </w:r>
          </w:p>
        </w:tc>
        <w:tc>
          <w:tcPr>
            <w:tcW w:w="963" w:type="pct"/>
            <w:vMerge w:val="restart"/>
            <w:tcBorders>
              <w:top w:val="nil"/>
              <w:left w:val="single" w:color="auto" w:sz="4" w:space="0"/>
              <w:bottom w:val="single" w:color="000000" w:sz="4" w:space="0"/>
              <w:right w:val="single" w:color="auto" w:sz="4" w:space="0"/>
            </w:tcBorders>
            <w:shd w:val="clear" w:color="auto" w:fill="auto"/>
            <w:vAlign w:val="center"/>
          </w:tcPr>
          <w:p w14:paraId="49A401C8">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培训报名系统新增</w:t>
            </w:r>
          </w:p>
        </w:tc>
        <w:tc>
          <w:tcPr>
            <w:tcW w:w="1420" w:type="pct"/>
            <w:tcBorders>
              <w:top w:val="nil"/>
              <w:left w:val="nil"/>
              <w:bottom w:val="single" w:color="auto" w:sz="4" w:space="0"/>
              <w:right w:val="single" w:color="auto" w:sz="4" w:space="0"/>
            </w:tcBorders>
            <w:shd w:val="clear" w:color="auto" w:fill="auto"/>
            <w:vAlign w:val="center"/>
          </w:tcPr>
          <w:p w14:paraId="03340EC4">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公交人员培训报名</w:t>
            </w:r>
          </w:p>
        </w:tc>
        <w:tc>
          <w:tcPr>
            <w:tcW w:w="2111" w:type="pct"/>
            <w:tcBorders>
              <w:top w:val="nil"/>
              <w:left w:val="nil"/>
              <w:bottom w:val="single" w:color="auto" w:sz="4" w:space="0"/>
              <w:right w:val="single" w:color="auto" w:sz="4" w:space="0"/>
            </w:tcBorders>
            <w:shd w:val="clear" w:color="auto" w:fill="auto"/>
            <w:vAlign w:val="center"/>
          </w:tcPr>
          <w:p w14:paraId="2C7265E8">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对公交驾驶员、售票员、调度人员的身份证识别，录入相应字段；单个采集人员照片，并通过高拍仪采集上海市公共汽车、电车客运从业人员报名表》、身份证明及复印件等电子档案素材文件材料。</w:t>
            </w:r>
          </w:p>
        </w:tc>
      </w:tr>
      <w:tr w14:paraId="7E5A66AC">
        <w:tblPrEx>
          <w:tblCellMar>
            <w:top w:w="0" w:type="dxa"/>
            <w:left w:w="108" w:type="dxa"/>
            <w:bottom w:w="0" w:type="dxa"/>
            <w:right w:w="108" w:type="dxa"/>
          </w:tblCellMar>
        </w:tblPrEx>
        <w:trPr>
          <w:trHeight w:val="140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38800F25">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73</w:t>
            </w:r>
          </w:p>
        </w:tc>
        <w:tc>
          <w:tcPr>
            <w:tcW w:w="963" w:type="pct"/>
            <w:vMerge w:val="continue"/>
            <w:tcBorders>
              <w:top w:val="nil"/>
              <w:left w:val="single" w:color="auto" w:sz="4" w:space="0"/>
              <w:bottom w:val="single" w:color="000000" w:sz="4" w:space="0"/>
              <w:right w:val="single" w:color="auto" w:sz="4" w:space="0"/>
            </w:tcBorders>
            <w:vAlign w:val="center"/>
          </w:tcPr>
          <w:p w14:paraId="7E060A9F">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39E65170">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客运人员培训报名</w:t>
            </w:r>
          </w:p>
        </w:tc>
        <w:tc>
          <w:tcPr>
            <w:tcW w:w="2111" w:type="pct"/>
            <w:tcBorders>
              <w:top w:val="nil"/>
              <w:left w:val="nil"/>
              <w:bottom w:val="single" w:color="auto" w:sz="4" w:space="0"/>
              <w:right w:val="single" w:color="auto" w:sz="4" w:space="0"/>
            </w:tcBorders>
            <w:shd w:val="clear" w:color="auto" w:fill="auto"/>
            <w:vAlign w:val="center"/>
          </w:tcPr>
          <w:p w14:paraId="2EE6B81D">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对大客、普客人员的身份证识别，录入相应字段；单个采集人员照片，并通过高拍仪采集从业资格考试申请表、身份证明复印件、机动车驾驶证复印件 、无重大以上交通责任事故记录证明等电子档案素材文件材料。</w:t>
            </w:r>
          </w:p>
        </w:tc>
      </w:tr>
      <w:tr w14:paraId="75ECCF1A">
        <w:tblPrEx>
          <w:tblCellMar>
            <w:top w:w="0" w:type="dxa"/>
            <w:left w:w="108" w:type="dxa"/>
            <w:bottom w:w="0" w:type="dxa"/>
            <w:right w:w="108" w:type="dxa"/>
          </w:tblCellMar>
        </w:tblPrEx>
        <w:trPr>
          <w:trHeight w:val="252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0E321B07">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74</w:t>
            </w:r>
          </w:p>
        </w:tc>
        <w:tc>
          <w:tcPr>
            <w:tcW w:w="963" w:type="pct"/>
            <w:vMerge w:val="continue"/>
            <w:tcBorders>
              <w:top w:val="nil"/>
              <w:left w:val="single" w:color="auto" w:sz="4" w:space="0"/>
              <w:bottom w:val="single" w:color="000000" w:sz="4" w:space="0"/>
              <w:right w:val="single" w:color="auto" w:sz="4" w:space="0"/>
            </w:tcBorders>
            <w:vAlign w:val="center"/>
          </w:tcPr>
          <w:p w14:paraId="77C74F2C">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74D47A5A">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出租人员培训报名</w:t>
            </w:r>
          </w:p>
        </w:tc>
        <w:tc>
          <w:tcPr>
            <w:tcW w:w="2111" w:type="pct"/>
            <w:tcBorders>
              <w:top w:val="nil"/>
              <w:left w:val="nil"/>
              <w:bottom w:val="single" w:color="auto" w:sz="4" w:space="0"/>
              <w:right w:val="single" w:color="auto" w:sz="4" w:space="0"/>
            </w:tcBorders>
            <w:shd w:val="clear" w:color="auto" w:fill="auto"/>
            <w:vAlign w:val="center"/>
          </w:tcPr>
          <w:p w14:paraId="3A0D4A0A">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对驾驶员、非沪籍、网络预约出租车、非沪籍网约车（巡转网）、非沪籍网约车（租转网）的身份证识别，录入相应字段；单个采集人员照片，并通过高拍仪采集《出租汽车驾驶员从业资格证申请表》、身份证明及复印件、机动车驾驶证原件及复印件、《出租汽车驾驶员从业资格证申请表》反面、初中以上学历证明及复印件等电子档案素材文件材料。</w:t>
            </w:r>
          </w:p>
        </w:tc>
      </w:tr>
      <w:tr w14:paraId="7D8272AF">
        <w:tblPrEx>
          <w:tblCellMar>
            <w:top w:w="0" w:type="dxa"/>
            <w:left w:w="108" w:type="dxa"/>
            <w:bottom w:w="0" w:type="dxa"/>
            <w:right w:w="108" w:type="dxa"/>
          </w:tblCellMar>
        </w:tblPrEx>
        <w:trPr>
          <w:trHeight w:val="196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3BE5C63C">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75</w:t>
            </w:r>
          </w:p>
        </w:tc>
        <w:tc>
          <w:tcPr>
            <w:tcW w:w="963" w:type="pct"/>
            <w:vMerge w:val="continue"/>
            <w:tcBorders>
              <w:top w:val="nil"/>
              <w:left w:val="single" w:color="auto" w:sz="4" w:space="0"/>
              <w:bottom w:val="single" w:color="000000" w:sz="4" w:space="0"/>
              <w:right w:val="single" w:color="auto" w:sz="4" w:space="0"/>
            </w:tcBorders>
            <w:vAlign w:val="center"/>
          </w:tcPr>
          <w:p w14:paraId="17AF09EB">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00139ED1">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货运人员培训报名</w:t>
            </w:r>
          </w:p>
        </w:tc>
        <w:tc>
          <w:tcPr>
            <w:tcW w:w="2111" w:type="pct"/>
            <w:tcBorders>
              <w:top w:val="nil"/>
              <w:left w:val="nil"/>
              <w:bottom w:val="single" w:color="auto" w:sz="4" w:space="0"/>
              <w:right w:val="single" w:color="auto" w:sz="4" w:space="0"/>
            </w:tcBorders>
            <w:shd w:val="clear" w:color="auto" w:fill="auto"/>
            <w:vAlign w:val="center"/>
          </w:tcPr>
          <w:p w14:paraId="407EF5C8">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对危险品驾驶、危险品押运、危险品管理的身份证识别，录入相应字段；单个采集人员照片，并通过高拍仪采集危险品押运、危险品管理需要额外采集相应的从业资格考试申请表、身份证明复印件、学历证明复印件、从业资格培训证明等档案信息等电子档案素材文件材料。</w:t>
            </w:r>
          </w:p>
        </w:tc>
      </w:tr>
      <w:tr w14:paraId="7139B85E">
        <w:tblPrEx>
          <w:tblCellMar>
            <w:top w:w="0" w:type="dxa"/>
            <w:left w:w="108" w:type="dxa"/>
            <w:bottom w:w="0" w:type="dxa"/>
            <w:right w:w="108" w:type="dxa"/>
          </w:tblCellMar>
        </w:tblPrEx>
        <w:trPr>
          <w:trHeight w:val="196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44911EEB">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76</w:t>
            </w:r>
          </w:p>
        </w:tc>
        <w:tc>
          <w:tcPr>
            <w:tcW w:w="963" w:type="pct"/>
            <w:vMerge w:val="continue"/>
            <w:tcBorders>
              <w:top w:val="nil"/>
              <w:left w:val="single" w:color="auto" w:sz="4" w:space="0"/>
              <w:bottom w:val="single" w:color="000000" w:sz="4" w:space="0"/>
              <w:right w:val="single" w:color="auto" w:sz="4" w:space="0"/>
            </w:tcBorders>
            <w:vAlign w:val="center"/>
          </w:tcPr>
          <w:p w14:paraId="343F9B54">
            <w:pPr>
              <w:widowControl/>
              <w:spacing w:line="240" w:lineRule="auto"/>
              <w:ind w:firstLine="0" w:firstLineChars="0"/>
              <w:jc w:val="left"/>
              <w:rPr>
                <w:rFonts w:cs="宋体"/>
                <w:color w:val="000000"/>
                <w:kern w:val="0"/>
                <w:sz w:val="22"/>
                <w:szCs w:val="22"/>
              </w:rPr>
            </w:pPr>
          </w:p>
        </w:tc>
        <w:tc>
          <w:tcPr>
            <w:tcW w:w="1420" w:type="pct"/>
            <w:tcBorders>
              <w:top w:val="nil"/>
              <w:left w:val="nil"/>
              <w:bottom w:val="single" w:color="auto" w:sz="4" w:space="0"/>
              <w:right w:val="single" w:color="auto" w:sz="4" w:space="0"/>
            </w:tcBorders>
            <w:shd w:val="clear" w:color="auto" w:fill="auto"/>
            <w:vAlign w:val="center"/>
          </w:tcPr>
          <w:p w14:paraId="029B5ABF">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开班管理</w:t>
            </w:r>
          </w:p>
        </w:tc>
        <w:tc>
          <w:tcPr>
            <w:tcW w:w="2111" w:type="pct"/>
            <w:tcBorders>
              <w:top w:val="nil"/>
              <w:left w:val="nil"/>
              <w:bottom w:val="single" w:color="auto" w:sz="4" w:space="0"/>
              <w:right w:val="single" w:color="auto" w:sz="4" w:space="0"/>
            </w:tcBorders>
            <w:shd w:val="clear" w:color="auto" w:fill="auto"/>
            <w:vAlign w:val="center"/>
          </w:tcPr>
          <w:p w14:paraId="49EE393F">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对公交、客运、出租、货运人员培训开班和继续教育开班管理。各培训机构对培训开班计划进行录入或导入，对报名人员进行分类开班培训。各培训机构对继续教育开班计划进行录入或导入，继续教育开班是对之前已经考核过的在岗人员的再教育进行开班培训。</w:t>
            </w:r>
          </w:p>
        </w:tc>
      </w:tr>
      <w:tr w14:paraId="3BA1C30F">
        <w:tblPrEx>
          <w:tblCellMar>
            <w:top w:w="0" w:type="dxa"/>
            <w:left w:w="108" w:type="dxa"/>
            <w:bottom w:w="0" w:type="dxa"/>
            <w:right w:w="108" w:type="dxa"/>
          </w:tblCellMar>
        </w:tblPrEx>
        <w:trPr>
          <w:trHeight w:val="56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066F5E48">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77</w:t>
            </w:r>
          </w:p>
        </w:tc>
        <w:tc>
          <w:tcPr>
            <w:tcW w:w="963" w:type="pct"/>
            <w:tcBorders>
              <w:top w:val="nil"/>
              <w:left w:val="nil"/>
              <w:bottom w:val="single" w:color="auto" w:sz="4" w:space="0"/>
              <w:right w:val="single" w:color="auto" w:sz="4" w:space="0"/>
            </w:tcBorders>
            <w:shd w:val="clear" w:color="auto" w:fill="auto"/>
            <w:vAlign w:val="center"/>
          </w:tcPr>
          <w:p w14:paraId="63727579">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系统架构升级</w:t>
            </w:r>
          </w:p>
        </w:tc>
        <w:tc>
          <w:tcPr>
            <w:tcW w:w="1420" w:type="pct"/>
            <w:tcBorders>
              <w:top w:val="nil"/>
              <w:left w:val="nil"/>
              <w:bottom w:val="single" w:color="auto" w:sz="4" w:space="0"/>
              <w:right w:val="single" w:color="auto" w:sz="4" w:space="0"/>
            </w:tcBorders>
            <w:shd w:val="clear" w:color="auto" w:fill="auto"/>
            <w:vAlign w:val="center"/>
          </w:tcPr>
          <w:p w14:paraId="62A27E1C">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自助终端标准化功能接口</w:t>
            </w:r>
          </w:p>
        </w:tc>
        <w:tc>
          <w:tcPr>
            <w:tcW w:w="2111" w:type="pct"/>
            <w:tcBorders>
              <w:top w:val="nil"/>
              <w:left w:val="nil"/>
              <w:bottom w:val="single" w:color="auto" w:sz="4" w:space="0"/>
              <w:right w:val="single" w:color="auto" w:sz="4" w:space="0"/>
            </w:tcBorders>
            <w:shd w:val="clear" w:color="auto" w:fill="auto"/>
            <w:vAlign w:val="center"/>
          </w:tcPr>
          <w:p w14:paraId="69690979">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包括统一入口、统一加密、统一鉴权、统一异常处理、统一日志记录</w:t>
            </w:r>
          </w:p>
        </w:tc>
      </w:tr>
      <w:tr w14:paraId="2D4A2C99">
        <w:tblPrEx>
          <w:tblCellMar>
            <w:top w:w="0" w:type="dxa"/>
            <w:left w:w="108" w:type="dxa"/>
            <w:bottom w:w="0" w:type="dxa"/>
            <w:right w:w="108" w:type="dxa"/>
          </w:tblCellMar>
        </w:tblPrEx>
        <w:trPr>
          <w:trHeight w:val="840" w:hRule="atLeast"/>
        </w:trPr>
        <w:tc>
          <w:tcPr>
            <w:tcW w:w="506" w:type="pct"/>
            <w:tcBorders>
              <w:top w:val="nil"/>
              <w:left w:val="single" w:color="auto" w:sz="4" w:space="0"/>
              <w:bottom w:val="single" w:color="auto" w:sz="4" w:space="0"/>
              <w:right w:val="single" w:color="auto" w:sz="4" w:space="0"/>
            </w:tcBorders>
            <w:shd w:val="clear" w:color="auto" w:fill="auto"/>
            <w:vAlign w:val="center"/>
          </w:tcPr>
          <w:p w14:paraId="11BF1D74">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78</w:t>
            </w:r>
          </w:p>
        </w:tc>
        <w:tc>
          <w:tcPr>
            <w:tcW w:w="963" w:type="pct"/>
            <w:tcBorders>
              <w:top w:val="nil"/>
              <w:left w:val="nil"/>
              <w:bottom w:val="single" w:color="auto" w:sz="4" w:space="0"/>
              <w:right w:val="single" w:color="auto" w:sz="4" w:space="0"/>
            </w:tcBorders>
            <w:shd w:val="clear" w:color="auto" w:fill="auto"/>
            <w:vAlign w:val="center"/>
          </w:tcPr>
          <w:p w14:paraId="5F8DBA03">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密码应用</w:t>
            </w:r>
          </w:p>
        </w:tc>
        <w:tc>
          <w:tcPr>
            <w:tcW w:w="1420" w:type="pct"/>
            <w:tcBorders>
              <w:top w:val="nil"/>
              <w:left w:val="nil"/>
              <w:bottom w:val="single" w:color="auto" w:sz="4" w:space="0"/>
              <w:right w:val="single" w:color="auto" w:sz="4" w:space="0"/>
            </w:tcBorders>
            <w:shd w:val="clear" w:color="auto" w:fill="auto"/>
            <w:vAlign w:val="center"/>
          </w:tcPr>
          <w:p w14:paraId="5D4E533C">
            <w:pPr>
              <w:widowControl/>
              <w:spacing w:line="240" w:lineRule="auto"/>
              <w:ind w:firstLine="0" w:firstLineChars="0"/>
              <w:jc w:val="center"/>
              <w:rPr>
                <w:rFonts w:cs="宋体"/>
                <w:color w:val="000000"/>
                <w:kern w:val="0"/>
                <w:sz w:val="22"/>
                <w:szCs w:val="22"/>
              </w:rPr>
            </w:pPr>
            <w:r>
              <w:rPr>
                <w:rFonts w:hint="eastAsia" w:cs="宋体"/>
                <w:color w:val="000000"/>
                <w:kern w:val="0"/>
                <w:sz w:val="22"/>
                <w:szCs w:val="22"/>
              </w:rPr>
              <w:t>密码应用开发</w:t>
            </w:r>
          </w:p>
        </w:tc>
        <w:tc>
          <w:tcPr>
            <w:tcW w:w="2111" w:type="pct"/>
            <w:tcBorders>
              <w:top w:val="nil"/>
              <w:left w:val="nil"/>
              <w:bottom w:val="single" w:color="auto" w:sz="4" w:space="0"/>
              <w:right w:val="single" w:color="auto" w:sz="4" w:space="0"/>
            </w:tcBorders>
            <w:shd w:val="clear" w:color="auto" w:fill="auto"/>
            <w:vAlign w:val="center"/>
          </w:tcPr>
          <w:p w14:paraId="0984578E">
            <w:pPr>
              <w:widowControl/>
              <w:spacing w:line="240" w:lineRule="auto"/>
              <w:ind w:firstLine="0" w:firstLineChars="0"/>
              <w:jc w:val="left"/>
              <w:rPr>
                <w:rFonts w:cs="宋体"/>
                <w:color w:val="000000"/>
                <w:kern w:val="0"/>
                <w:sz w:val="22"/>
                <w:szCs w:val="22"/>
              </w:rPr>
            </w:pPr>
            <w:r>
              <w:rPr>
                <w:rFonts w:hint="eastAsia" w:cs="宋体"/>
                <w:color w:val="000000"/>
                <w:kern w:val="0"/>
                <w:sz w:val="22"/>
                <w:szCs w:val="22"/>
              </w:rPr>
              <w:t>基于云平台提供的安全认证网关、签名验签、数据库加密等密码服务以及系统的应用功能，需开发适配若干密码应用功能模块</w:t>
            </w:r>
          </w:p>
        </w:tc>
      </w:tr>
    </w:tbl>
    <w:p w14:paraId="06DB7B81">
      <w:pPr>
        <w:ind w:firstLine="0" w:firstLineChars="0"/>
      </w:pPr>
    </w:p>
    <w:p w14:paraId="423222E2">
      <w:pPr>
        <w:pStyle w:val="2"/>
      </w:pPr>
      <w:bookmarkStart w:id="20" w:name="_Toc63785502"/>
      <w:r>
        <w:rPr>
          <w:rFonts w:hint="eastAsia"/>
        </w:rPr>
        <w:t>电子政务云资源需求</w:t>
      </w:r>
      <w:bookmarkEnd w:id="20"/>
    </w:p>
    <w:p w14:paraId="47B226D7">
      <w:r>
        <w:rPr>
          <w:rFonts w:hint="eastAsia"/>
        </w:rPr>
        <w:t>本次建设根据估算拟向电子政务云申请12台服务器资源，均为虚拟机。</w:t>
      </w:r>
    </w:p>
    <w:tbl>
      <w:tblPr>
        <w:tblStyle w:val="35"/>
        <w:tblW w:w="5000" w:type="pct"/>
        <w:tblInd w:w="0" w:type="dxa"/>
        <w:tblLayout w:type="autofit"/>
        <w:tblCellMar>
          <w:top w:w="0" w:type="dxa"/>
          <w:left w:w="108" w:type="dxa"/>
          <w:bottom w:w="0" w:type="dxa"/>
          <w:right w:w="108" w:type="dxa"/>
        </w:tblCellMar>
      </w:tblPr>
      <w:tblGrid>
        <w:gridCol w:w="533"/>
        <w:gridCol w:w="1264"/>
        <w:gridCol w:w="1264"/>
        <w:gridCol w:w="1020"/>
        <w:gridCol w:w="1803"/>
        <w:gridCol w:w="952"/>
        <w:gridCol w:w="1692"/>
      </w:tblGrid>
      <w:tr w14:paraId="06275328">
        <w:tblPrEx>
          <w:tblCellMar>
            <w:top w:w="0" w:type="dxa"/>
            <w:left w:w="108" w:type="dxa"/>
            <w:bottom w:w="0" w:type="dxa"/>
            <w:right w:w="108" w:type="dxa"/>
          </w:tblCellMar>
        </w:tblPrEx>
        <w:trPr>
          <w:trHeight w:val="480" w:hRule="atLeast"/>
        </w:trPr>
        <w:tc>
          <w:tcPr>
            <w:tcW w:w="313" w:type="pct"/>
            <w:tcBorders>
              <w:top w:val="single" w:color="auto" w:sz="4" w:space="0"/>
              <w:left w:val="single" w:color="auto" w:sz="4" w:space="0"/>
              <w:bottom w:val="single" w:color="auto" w:sz="4" w:space="0"/>
              <w:right w:val="single" w:color="auto" w:sz="4" w:space="0"/>
            </w:tcBorders>
            <w:shd w:val="clear" w:color="auto" w:fill="auto"/>
            <w:vAlign w:val="center"/>
          </w:tcPr>
          <w:p w14:paraId="7EDC3F8D">
            <w:pPr>
              <w:widowControl/>
              <w:spacing w:line="240" w:lineRule="auto"/>
              <w:ind w:firstLine="0" w:firstLineChars="0"/>
              <w:jc w:val="center"/>
              <w:rPr>
                <w:rFonts w:ascii="微软雅黑" w:hAnsi="微软雅黑" w:eastAsia="微软雅黑" w:cs="宋体"/>
                <w:b/>
                <w:bCs/>
                <w:color w:val="000000"/>
                <w:kern w:val="0"/>
                <w:sz w:val="18"/>
                <w:szCs w:val="18"/>
              </w:rPr>
            </w:pPr>
            <w:r>
              <w:rPr>
                <w:rFonts w:hint="eastAsia" w:ascii="微软雅黑" w:hAnsi="微软雅黑" w:eastAsia="微软雅黑" w:cs="宋体"/>
                <w:b/>
                <w:bCs/>
                <w:color w:val="000000"/>
                <w:kern w:val="0"/>
                <w:sz w:val="18"/>
                <w:szCs w:val="18"/>
              </w:rPr>
              <w:t>序号</w:t>
            </w:r>
          </w:p>
        </w:tc>
        <w:tc>
          <w:tcPr>
            <w:tcW w:w="741" w:type="pct"/>
            <w:tcBorders>
              <w:top w:val="single" w:color="auto" w:sz="4" w:space="0"/>
              <w:left w:val="nil"/>
              <w:bottom w:val="single" w:color="auto" w:sz="4" w:space="0"/>
              <w:right w:val="single" w:color="auto" w:sz="4" w:space="0"/>
            </w:tcBorders>
            <w:shd w:val="clear" w:color="auto" w:fill="auto"/>
            <w:noWrap/>
            <w:vAlign w:val="center"/>
          </w:tcPr>
          <w:p w14:paraId="7F9567A7">
            <w:pPr>
              <w:widowControl/>
              <w:spacing w:line="240" w:lineRule="auto"/>
              <w:ind w:firstLine="0" w:firstLineChars="0"/>
              <w:jc w:val="center"/>
              <w:rPr>
                <w:rFonts w:ascii="微软雅黑" w:hAnsi="微软雅黑" w:eastAsia="微软雅黑" w:cs="宋体"/>
                <w:b/>
                <w:bCs/>
                <w:color w:val="000000"/>
                <w:kern w:val="0"/>
                <w:sz w:val="18"/>
                <w:szCs w:val="18"/>
              </w:rPr>
            </w:pPr>
            <w:r>
              <w:rPr>
                <w:rFonts w:hint="eastAsia" w:ascii="微软雅黑" w:hAnsi="微软雅黑" w:eastAsia="微软雅黑" w:cs="宋体"/>
                <w:b/>
                <w:bCs/>
                <w:color w:val="000000"/>
                <w:kern w:val="0"/>
                <w:sz w:val="18"/>
                <w:szCs w:val="18"/>
              </w:rPr>
              <w:t>资源类型</w:t>
            </w:r>
          </w:p>
        </w:tc>
        <w:tc>
          <w:tcPr>
            <w:tcW w:w="741" w:type="pct"/>
            <w:tcBorders>
              <w:top w:val="single" w:color="auto" w:sz="4" w:space="0"/>
              <w:left w:val="nil"/>
              <w:bottom w:val="single" w:color="auto" w:sz="4" w:space="0"/>
              <w:right w:val="single" w:color="auto" w:sz="4" w:space="0"/>
            </w:tcBorders>
            <w:shd w:val="clear" w:color="auto" w:fill="auto"/>
            <w:noWrap/>
            <w:vAlign w:val="center"/>
          </w:tcPr>
          <w:p w14:paraId="290C89CC">
            <w:pPr>
              <w:widowControl/>
              <w:spacing w:line="240" w:lineRule="auto"/>
              <w:ind w:firstLine="0" w:firstLineChars="0"/>
              <w:jc w:val="center"/>
              <w:rPr>
                <w:rFonts w:ascii="微软雅黑" w:hAnsi="微软雅黑" w:eastAsia="微软雅黑" w:cs="宋体"/>
                <w:b/>
                <w:bCs/>
                <w:color w:val="000000"/>
                <w:kern w:val="0"/>
                <w:sz w:val="18"/>
                <w:szCs w:val="18"/>
              </w:rPr>
            </w:pPr>
            <w:r>
              <w:rPr>
                <w:rFonts w:hint="eastAsia" w:ascii="微软雅黑" w:hAnsi="微软雅黑" w:eastAsia="微软雅黑" w:cs="宋体"/>
                <w:b/>
                <w:bCs/>
                <w:color w:val="000000"/>
                <w:kern w:val="0"/>
                <w:sz w:val="18"/>
                <w:szCs w:val="18"/>
              </w:rPr>
              <w:t>资源名称</w:t>
            </w:r>
          </w:p>
        </w:tc>
        <w:tc>
          <w:tcPr>
            <w:tcW w:w="598" w:type="pct"/>
            <w:tcBorders>
              <w:top w:val="single" w:color="auto" w:sz="4" w:space="0"/>
              <w:left w:val="nil"/>
              <w:bottom w:val="single" w:color="auto" w:sz="4" w:space="0"/>
              <w:right w:val="single" w:color="auto" w:sz="4" w:space="0"/>
            </w:tcBorders>
            <w:shd w:val="clear" w:color="auto" w:fill="auto"/>
            <w:vAlign w:val="center"/>
          </w:tcPr>
          <w:p w14:paraId="6FF6FF9E">
            <w:pPr>
              <w:widowControl/>
              <w:spacing w:line="240" w:lineRule="auto"/>
              <w:ind w:firstLine="0" w:firstLineChars="0"/>
              <w:jc w:val="center"/>
              <w:rPr>
                <w:rFonts w:ascii="微软雅黑" w:hAnsi="微软雅黑" w:eastAsia="微软雅黑" w:cs="宋体"/>
                <w:b/>
                <w:bCs/>
                <w:color w:val="000000"/>
                <w:kern w:val="0"/>
                <w:sz w:val="18"/>
                <w:szCs w:val="18"/>
              </w:rPr>
            </w:pPr>
            <w:r>
              <w:rPr>
                <w:rFonts w:hint="eastAsia" w:ascii="微软雅黑" w:hAnsi="微软雅黑" w:eastAsia="微软雅黑" w:cs="宋体"/>
                <w:b/>
                <w:bCs/>
                <w:color w:val="000000"/>
                <w:kern w:val="0"/>
                <w:sz w:val="18"/>
                <w:szCs w:val="18"/>
              </w:rPr>
              <w:t>资源核心（核）</w:t>
            </w:r>
          </w:p>
        </w:tc>
        <w:tc>
          <w:tcPr>
            <w:tcW w:w="1057" w:type="pct"/>
            <w:tcBorders>
              <w:top w:val="single" w:color="auto" w:sz="4" w:space="0"/>
              <w:left w:val="nil"/>
              <w:bottom w:val="single" w:color="auto" w:sz="4" w:space="0"/>
              <w:right w:val="single" w:color="auto" w:sz="4" w:space="0"/>
            </w:tcBorders>
            <w:shd w:val="clear" w:color="auto" w:fill="auto"/>
            <w:noWrap/>
            <w:vAlign w:val="center"/>
          </w:tcPr>
          <w:p w14:paraId="73BB5C1C">
            <w:pPr>
              <w:widowControl/>
              <w:spacing w:line="240" w:lineRule="auto"/>
              <w:ind w:firstLine="0" w:firstLineChars="0"/>
              <w:jc w:val="center"/>
              <w:rPr>
                <w:rFonts w:ascii="微软雅黑" w:hAnsi="微软雅黑" w:eastAsia="微软雅黑" w:cs="宋体"/>
                <w:b/>
                <w:bCs/>
                <w:color w:val="000000"/>
                <w:kern w:val="0"/>
                <w:sz w:val="18"/>
                <w:szCs w:val="18"/>
              </w:rPr>
            </w:pPr>
            <w:r>
              <w:rPr>
                <w:rFonts w:hint="eastAsia" w:ascii="微软雅黑" w:hAnsi="微软雅黑" w:eastAsia="微软雅黑" w:cs="宋体"/>
                <w:b/>
                <w:bCs/>
                <w:color w:val="000000"/>
                <w:kern w:val="0"/>
                <w:sz w:val="18"/>
                <w:szCs w:val="18"/>
              </w:rPr>
              <w:t>资源内存(GB)</w:t>
            </w:r>
          </w:p>
        </w:tc>
        <w:tc>
          <w:tcPr>
            <w:tcW w:w="558" w:type="pct"/>
            <w:tcBorders>
              <w:top w:val="single" w:color="auto" w:sz="4" w:space="0"/>
              <w:left w:val="nil"/>
              <w:bottom w:val="single" w:color="auto" w:sz="4" w:space="0"/>
              <w:right w:val="single" w:color="auto" w:sz="4" w:space="0"/>
            </w:tcBorders>
            <w:shd w:val="clear" w:color="auto" w:fill="auto"/>
            <w:vAlign w:val="center"/>
          </w:tcPr>
          <w:p w14:paraId="2D50EC3A">
            <w:pPr>
              <w:widowControl/>
              <w:spacing w:line="240" w:lineRule="auto"/>
              <w:ind w:firstLine="0" w:firstLineChars="0"/>
              <w:jc w:val="center"/>
              <w:rPr>
                <w:rFonts w:ascii="微软雅黑" w:hAnsi="微软雅黑" w:eastAsia="微软雅黑" w:cs="宋体"/>
                <w:b/>
                <w:bCs/>
                <w:color w:val="000000"/>
                <w:kern w:val="0"/>
                <w:sz w:val="18"/>
                <w:szCs w:val="18"/>
              </w:rPr>
            </w:pPr>
            <w:r>
              <w:rPr>
                <w:rFonts w:hint="eastAsia" w:ascii="微软雅黑" w:hAnsi="微软雅黑" w:eastAsia="微软雅黑" w:cs="宋体"/>
                <w:b/>
                <w:bCs/>
                <w:color w:val="000000"/>
                <w:kern w:val="0"/>
                <w:sz w:val="18"/>
                <w:szCs w:val="18"/>
              </w:rPr>
              <w:t>存储数量(GB)</w:t>
            </w:r>
          </w:p>
        </w:tc>
        <w:tc>
          <w:tcPr>
            <w:tcW w:w="992" w:type="pct"/>
            <w:tcBorders>
              <w:top w:val="single" w:color="auto" w:sz="4" w:space="0"/>
              <w:left w:val="nil"/>
              <w:bottom w:val="single" w:color="auto" w:sz="4" w:space="0"/>
              <w:right w:val="single" w:color="auto" w:sz="4" w:space="0"/>
            </w:tcBorders>
            <w:shd w:val="clear" w:color="auto" w:fill="auto"/>
            <w:noWrap/>
            <w:vAlign w:val="center"/>
          </w:tcPr>
          <w:p w14:paraId="5264A2FC">
            <w:pPr>
              <w:widowControl/>
              <w:spacing w:line="240" w:lineRule="auto"/>
              <w:ind w:firstLine="0" w:firstLineChars="0"/>
              <w:jc w:val="center"/>
              <w:rPr>
                <w:rFonts w:ascii="微软雅黑" w:hAnsi="微软雅黑" w:eastAsia="微软雅黑" w:cs="宋体"/>
                <w:b/>
                <w:bCs/>
                <w:color w:val="000000"/>
                <w:kern w:val="0"/>
                <w:sz w:val="18"/>
                <w:szCs w:val="18"/>
              </w:rPr>
            </w:pPr>
            <w:r>
              <w:rPr>
                <w:rFonts w:hint="eastAsia" w:ascii="微软雅黑" w:hAnsi="微软雅黑" w:eastAsia="微软雅黑" w:cs="宋体"/>
                <w:b/>
                <w:bCs/>
                <w:color w:val="000000"/>
                <w:kern w:val="0"/>
                <w:sz w:val="18"/>
                <w:szCs w:val="18"/>
              </w:rPr>
              <w:t>资源数量(台)</w:t>
            </w:r>
          </w:p>
        </w:tc>
      </w:tr>
      <w:tr w14:paraId="4E241121">
        <w:tblPrEx>
          <w:tblCellMar>
            <w:top w:w="0" w:type="dxa"/>
            <w:left w:w="108" w:type="dxa"/>
            <w:bottom w:w="0" w:type="dxa"/>
            <w:right w:w="108" w:type="dxa"/>
          </w:tblCellMar>
        </w:tblPrEx>
        <w:trPr>
          <w:trHeight w:val="560" w:hRule="atLeast"/>
        </w:trPr>
        <w:tc>
          <w:tcPr>
            <w:tcW w:w="313" w:type="pct"/>
            <w:tcBorders>
              <w:top w:val="nil"/>
              <w:left w:val="single" w:color="000000" w:sz="4" w:space="0"/>
              <w:bottom w:val="single" w:color="000000" w:sz="4" w:space="0"/>
              <w:right w:val="single" w:color="000000" w:sz="4" w:space="0"/>
            </w:tcBorders>
            <w:shd w:val="clear" w:color="auto" w:fill="auto"/>
            <w:vAlign w:val="center"/>
          </w:tcPr>
          <w:p w14:paraId="4E545928">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cs="宋体"/>
                <w:b/>
                <w:bCs/>
                <w:color w:val="000000"/>
                <w:kern w:val="0"/>
                <w:sz w:val="22"/>
                <w:szCs w:val="22"/>
              </w:rPr>
              <w:t>1</w:t>
            </w:r>
          </w:p>
        </w:tc>
        <w:tc>
          <w:tcPr>
            <w:tcW w:w="741" w:type="pct"/>
            <w:tcBorders>
              <w:top w:val="nil"/>
              <w:left w:val="nil"/>
              <w:bottom w:val="single" w:color="000000" w:sz="4" w:space="0"/>
              <w:right w:val="single" w:color="000000" w:sz="4" w:space="0"/>
            </w:tcBorders>
            <w:shd w:val="clear" w:color="auto" w:fill="auto"/>
            <w:vAlign w:val="center"/>
          </w:tcPr>
          <w:p w14:paraId="55B31229">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cs="宋体"/>
                <w:b/>
                <w:bCs/>
                <w:color w:val="000000"/>
                <w:kern w:val="0"/>
                <w:sz w:val="22"/>
                <w:szCs w:val="22"/>
              </w:rPr>
              <w:t>虚拟机</w:t>
            </w:r>
          </w:p>
        </w:tc>
        <w:tc>
          <w:tcPr>
            <w:tcW w:w="741" w:type="pct"/>
            <w:tcBorders>
              <w:top w:val="nil"/>
              <w:left w:val="nil"/>
              <w:bottom w:val="single" w:color="000000" w:sz="4" w:space="0"/>
              <w:right w:val="single" w:color="000000" w:sz="4" w:space="0"/>
            </w:tcBorders>
            <w:shd w:val="clear" w:color="auto" w:fill="auto"/>
            <w:vAlign w:val="center"/>
          </w:tcPr>
          <w:p w14:paraId="2CF5F547">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数据服务器</w:t>
            </w:r>
          </w:p>
        </w:tc>
        <w:tc>
          <w:tcPr>
            <w:tcW w:w="598" w:type="pct"/>
            <w:tcBorders>
              <w:top w:val="nil"/>
              <w:left w:val="nil"/>
              <w:bottom w:val="single" w:color="000000" w:sz="4" w:space="0"/>
              <w:right w:val="single" w:color="000000" w:sz="4" w:space="0"/>
            </w:tcBorders>
            <w:shd w:val="clear" w:color="auto" w:fill="auto"/>
            <w:vAlign w:val="center"/>
          </w:tcPr>
          <w:p w14:paraId="0F30E503">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16</w:t>
            </w:r>
          </w:p>
        </w:tc>
        <w:tc>
          <w:tcPr>
            <w:tcW w:w="1057" w:type="pct"/>
            <w:tcBorders>
              <w:top w:val="single" w:color="000000" w:sz="4" w:space="0"/>
              <w:left w:val="nil"/>
              <w:bottom w:val="single" w:color="000000" w:sz="4" w:space="0"/>
              <w:right w:val="single" w:color="000000" w:sz="4" w:space="0"/>
            </w:tcBorders>
            <w:shd w:val="clear" w:color="auto" w:fill="auto"/>
            <w:vAlign w:val="center"/>
          </w:tcPr>
          <w:p w14:paraId="0FAD4BFC">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64</w:t>
            </w:r>
          </w:p>
        </w:tc>
        <w:tc>
          <w:tcPr>
            <w:tcW w:w="558" w:type="pct"/>
            <w:tcBorders>
              <w:top w:val="single" w:color="000000" w:sz="4" w:space="0"/>
              <w:left w:val="nil"/>
              <w:bottom w:val="single" w:color="000000" w:sz="4" w:space="0"/>
              <w:right w:val="single" w:color="000000" w:sz="4" w:space="0"/>
            </w:tcBorders>
            <w:shd w:val="clear" w:color="auto" w:fill="auto"/>
            <w:vAlign w:val="center"/>
          </w:tcPr>
          <w:p w14:paraId="42232306">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5000</w:t>
            </w:r>
          </w:p>
        </w:tc>
        <w:tc>
          <w:tcPr>
            <w:tcW w:w="992" w:type="pct"/>
            <w:tcBorders>
              <w:top w:val="nil"/>
              <w:left w:val="nil"/>
              <w:bottom w:val="single" w:color="000000" w:sz="4" w:space="0"/>
              <w:right w:val="single" w:color="000000" w:sz="4" w:space="0"/>
            </w:tcBorders>
            <w:shd w:val="clear" w:color="auto" w:fill="auto"/>
            <w:vAlign w:val="center"/>
          </w:tcPr>
          <w:p w14:paraId="2E05891C">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2</w:t>
            </w:r>
          </w:p>
        </w:tc>
      </w:tr>
      <w:tr w14:paraId="783791D2">
        <w:tblPrEx>
          <w:tblCellMar>
            <w:top w:w="0" w:type="dxa"/>
            <w:left w:w="108" w:type="dxa"/>
            <w:bottom w:w="0" w:type="dxa"/>
            <w:right w:w="108" w:type="dxa"/>
          </w:tblCellMar>
        </w:tblPrEx>
        <w:trPr>
          <w:trHeight w:val="840" w:hRule="atLeast"/>
        </w:trPr>
        <w:tc>
          <w:tcPr>
            <w:tcW w:w="313" w:type="pct"/>
            <w:tcBorders>
              <w:top w:val="nil"/>
              <w:left w:val="single" w:color="000000" w:sz="4" w:space="0"/>
              <w:bottom w:val="single" w:color="auto" w:sz="4" w:space="0"/>
              <w:right w:val="single" w:color="000000" w:sz="4" w:space="0"/>
            </w:tcBorders>
            <w:shd w:val="clear" w:color="auto" w:fill="auto"/>
            <w:vAlign w:val="center"/>
          </w:tcPr>
          <w:p w14:paraId="2BC3ADCC">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cs="宋体"/>
                <w:b/>
                <w:bCs/>
                <w:color w:val="000000"/>
                <w:kern w:val="0"/>
                <w:sz w:val="22"/>
                <w:szCs w:val="22"/>
              </w:rPr>
              <w:t>2</w:t>
            </w:r>
          </w:p>
        </w:tc>
        <w:tc>
          <w:tcPr>
            <w:tcW w:w="741" w:type="pct"/>
            <w:tcBorders>
              <w:top w:val="nil"/>
              <w:left w:val="nil"/>
              <w:bottom w:val="single" w:color="auto" w:sz="4" w:space="0"/>
              <w:right w:val="single" w:color="000000" w:sz="4" w:space="0"/>
            </w:tcBorders>
            <w:shd w:val="clear" w:color="auto" w:fill="auto"/>
            <w:vAlign w:val="center"/>
          </w:tcPr>
          <w:p w14:paraId="41D7C357">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cs="宋体"/>
                <w:b/>
                <w:bCs/>
                <w:color w:val="000000"/>
                <w:kern w:val="0"/>
                <w:sz w:val="22"/>
                <w:szCs w:val="22"/>
              </w:rPr>
              <w:t>虚拟机</w:t>
            </w:r>
          </w:p>
        </w:tc>
        <w:tc>
          <w:tcPr>
            <w:tcW w:w="741" w:type="pct"/>
            <w:tcBorders>
              <w:top w:val="nil"/>
              <w:left w:val="nil"/>
              <w:bottom w:val="single" w:color="auto" w:sz="4" w:space="0"/>
              <w:right w:val="single" w:color="000000" w:sz="4" w:space="0"/>
            </w:tcBorders>
            <w:shd w:val="clear" w:color="auto" w:fill="auto"/>
            <w:vAlign w:val="center"/>
          </w:tcPr>
          <w:p w14:paraId="4EBDB250">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应用服务器</w:t>
            </w:r>
          </w:p>
        </w:tc>
        <w:tc>
          <w:tcPr>
            <w:tcW w:w="598" w:type="pct"/>
            <w:tcBorders>
              <w:top w:val="nil"/>
              <w:left w:val="nil"/>
              <w:bottom w:val="single" w:color="auto" w:sz="4" w:space="0"/>
              <w:right w:val="single" w:color="000000" w:sz="4" w:space="0"/>
            </w:tcBorders>
            <w:shd w:val="clear" w:color="auto" w:fill="auto"/>
            <w:vAlign w:val="center"/>
          </w:tcPr>
          <w:p w14:paraId="53C4EC7B">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8</w:t>
            </w:r>
          </w:p>
        </w:tc>
        <w:tc>
          <w:tcPr>
            <w:tcW w:w="1057" w:type="pct"/>
            <w:tcBorders>
              <w:top w:val="single" w:color="000000" w:sz="4" w:space="0"/>
              <w:left w:val="nil"/>
              <w:bottom w:val="single" w:color="auto" w:sz="4" w:space="0"/>
              <w:right w:val="single" w:color="000000" w:sz="4" w:space="0"/>
            </w:tcBorders>
            <w:shd w:val="clear" w:color="auto" w:fill="auto"/>
            <w:vAlign w:val="center"/>
          </w:tcPr>
          <w:p w14:paraId="044BC934">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16</w:t>
            </w:r>
          </w:p>
        </w:tc>
        <w:tc>
          <w:tcPr>
            <w:tcW w:w="558" w:type="pct"/>
            <w:tcBorders>
              <w:top w:val="single" w:color="000000" w:sz="4" w:space="0"/>
              <w:left w:val="nil"/>
              <w:bottom w:val="single" w:color="auto" w:sz="4" w:space="0"/>
              <w:right w:val="single" w:color="000000" w:sz="4" w:space="0"/>
            </w:tcBorders>
            <w:shd w:val="clear" w:color="auto" w:fill="auto"/>
            <w:vAlign w:val="center"/>
          </w:tcPr>
          <w:p w14:paraId="65FF4744">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500</w:t>
            </w:r>
          </w:p>
        </w:tc>
        <w:tc>
          <w:tcPr>
            <w:tcW w:w="992" w:type="pct"/>
            <w:tcBorders>
              <w:top w:val="nil"/>
              <w:left w:val="nil"/>
              <w:bottom w:val="single" w:color="auto" w:sz="4" w:space="0"/>
              <w:right w:val="single" w:color="000000" w:sz="4" w:space="0"/>
            </w:tcBorders>
            <w:shd w:val="clear" w:color="auto" w:fill="auto"/>
            <w:vAlign w:val="center"/>
          </w:tcPr>
          <w:p w14:paraId="1DD60D29">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2</w:t>
            </w:r>
          </w:p>
        </w:tc>
      </w:tr>
      <w:tr w14:paraId="2D362AA4">
        <w:tblPrEx>
          <w:tblCellMar>
            <w:top w:w="0" w:type="dxa"/>
            <w:left w:w="108" w:type="dxa"/>
            <w:bottom w:w="0" w:type="dxa"/>
            <w:right w:w="108" w:type="dxa"/>
          </w:tblCellMar>
        </w:tblPrEx>
        <w:trPr>
          <w:trHeight w:val="560" w:hRule="atLeast"/>
        </w:trPr>
        <w:tc>
          <w:tcPr>
            <w:tcW w:w="313" w:type="pct"/>
            <w:tcBorders>
              <w:top w:val="single" w:color="auto" w:sz="4" w:space="0"/>
              <w:left w:val="single" w:color="auto" w:sz="4" w:space="0"/>
              <w:bottom w:val="single" w:color="auto" w:sz="4" w:space="0"/>
              <w:right w:val="single" w:color="auto" w:sz="4" w:space="0"/>
            </w:tcBorders>
            <w:shd w:val="clear" w:color="auto" w:fill="auto"/>
            <w:vAlign w:val="center"/>
          </w:tcPr>
          <w:p w14:paraId="6B9A5018">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cs="宋体"/>
                <w:b/>
                <w:bCs/>
                <w:color w:val="000000"/>
                <w:kern w:val="0"/>
                <w:sz w:val="22"/>
                <w:szCs w:val="22"/>
              </w:rPr>
              <w:t>3</w:t>
            </w:r>
          </w:p>
        </w:tc>
        <w:tc>
          <w:tcPr>
            <w:tcW w:w="741" w:type="pct"/>
            <w:tcBorders>
              <w:top w:val="single" w:color="auto" w:sz="4" w:space="0"/>
              <w:left w:val="single" w:color="auto" w:sz="4" w:space="0"/>
              <w:bottom w:val="single" w:color="auto" w:sz="4" w:space="0"/>
              <w:right w:val="single" w:color="auto" w:sz="4" w:space="0"/>
            </w:tcBorders>
            <w:shd w:val="clear" w:color="auto" w:fill="auto"/>
            <w:vAlign w:val="center"/>
          </w:tcPr>
          <w:p w14:paraId="4029EF89">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cs="宋体"/>
                <w:b/>
                <w:bCs/>
                <w:color w:val="000000"/>
                <w:kern w:val="0"/>
                <w:sz w:val="22"/>
                <w:szCs w:val="22"/>
              </w:rPr>
              <w:t>虚拟机</w:t>
            </w:r>
          </w:p>
        </w:tc>
        <w:tc>
          <w:tcPr>
            <w:tcW w:w="741" w:type="pct"/>
            <w:tcBorders>
              <w:top w:val="single" w:color="auto" w:sz="4" w:space="0"/>
              <w:left w:val="single" w:color="auto" w:sz="4" w:space="0"/>
              <w:bottom w:val="single" w:color="auto" w:sz="4" w:space="0"/>
              <w:right w:val="single" w:color="auto" w:sz="4" w:space="0"/>
            </w:tcBorders>
            <w:shd w:val="clear" w:color="auto" w:fill="auto"/>
            <w:vAlign w:val="center"/>
          </w:tcPr>
          <w:p w14:paraId="7AA75FA2">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应用服务器</w:t>
            </w:r>
          </w:p>
        </w:tc>
        <w:tc>
          <w:tcPr>
            <w:tcW w:w="598" w:type="pct"/>
            <w:tcBorders>
              <w:top w:val="single" w:color="auto" w:sz="4" w:space="0"/>
              <w:left w:val="single" w:color="auto" w:sz="4" w:space="0"/>
              <w:bottom w:val="single" w:color="auto" w:sz="4" w:space="0"/>
              <w:right w:val="single" w:color="auto" w:sz="4" w:space="0"/>
            </w:tcBorders>
            <w:shd w:val="clear" w:color="auto" w:fill="auto"/>
            <w:vAlign w:val="center"/>
          </w:tcPr>
          <w:p w14:paraId="6A2B561E">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4</w:t>
            </w:r>
          </w:p>
        </w:tc>
        <w:tc>
          <w:tcPr>
            <w:tcW w:w="1057" w:type="pct"/>
            <w:tcBorders>
              <w:top w:val="single" w:color="auto" w:sz="4" w:space="0"/>
              <w:left w:val="single" w:color="auto" w:sz="4" w:space="0"/>
              <w:bottom w:val="single" w:color="auto" w:sz="4" w:space="0"/>
              <w:right w:val="single" w:color="auto" w:sz="4" w:space="0"/>
            </w:tcBorders>
            <w:shd w:val="clear" w:color="auto" w:fill="auto"/>
            <w:vAlign w:val="center"/>
          </w:tcPr>
          <w:p w14:paraId="0BD1F1C6">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16</w:t>
            </w:r>
          </w:p>
        </w:tc>
        <w:tc>
          <w:tcPr>
            <w:tcW w:w="558" w:type="pct"/>
            <w:tcBorders>
              <w:top w:val="single" w:color="auto" w:sz="4" w:space="0"/>
              <w:left w:val="single" w:color="auto" w:sz="4" w:space="0"/>
              <w:bottom w:val="single" w:color="auto" w:sz="4" w:space="0"/>
              <w:right w:val="single" w:color="auto" w:sz="4" w:space="0"/>
            </w:tcBorders>
            <w:shd w:val="clear" w:color="auto" w:fill="auto"/>
            <w:vAlign w:val="center"/>
          </w:tcPr>
          <w:p w14:paraId="3AC107C2">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500</w:t>
            </w:r>
          </w:p>
        </w:tc>
        <w:tc>
          <w:tcPr>
            <w:tcW w:w="992" w:type="pct"/>
            <w:tcBorders>
              <w:top w:val="single" w:color="auto" w:sz="4" w:space="0"/>
              <w:left w:val="single" w:color="auto" w:sz="4" w:space="0"/>
              <w:bottom w:val="single" w:color="auto" w:sz="4" w:space="0"/>
              <w:right w:val="single" w:color="auto" w:sz="4" w:space="0"/>
            </w:tcBorders>
            <w:shd w:val="clear" w:color="auto" w:fill="auto"/>
            <w:vAlign w:val="center"/>
          </w:tcPr>
          <w:p w14:paraId="5457EC4C">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2</w:t>
            </w:r>
          </w:p>
        </w:tc>
      </w:tr>
      <w:tr w14:paraId="28008A5C">
        <w:tblPrEx>
          <w:tblCellMar>
            <w:top w:w="0" w:type="dxa"/>
            <w:left w:w="108" w:type="dxa"/>
            <w:bottom w:w="0" w:type="dxa"/>
            <w:right w:w="108" w:type="dxa"/>
          </w:tblCellMar>
        </w:tblPrEx>
        <w:trPr>
          <w:trHeight w:val="560" w:hRule="atLeast"/>
        </w:trPr>
        <w:tc>
          <w:tcPr>
            <w:tcW w:w="313" w:type="pct"/>
            <w:tcBorders>
              <w:top w:val="single" w:color="auto" w:sz="4" w:space="0"/>
              <w:left w:val="single" w:color="auto" w:sz="4" w:space="0"/>
              <w:bottom w:val="single" w:color="auto" w:sz="4" w:space="0"/>
              <w:right w:val="single" w:color="auto" w:sz="4" w:space="0"/>
            </w:tcBorders>
            <w:shd w:val="clear" w:color="auto" w:fill="auto"/>
            <w:vAlign w:val="center"/>
          </w:tcPr>
          <w:p w14:paraId="3BC05E61">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cs="宋体"/>
                <w:b/>
                <w:bCs/>
                <w:color w:val="000000"/>
                <w:kern w:val="0"/>
                <w:sz w:val="22"/>
                <w:szCs w:val="22"/>
              </w:rPr>
              <w:t>4</w:t>
            </w:r>
          </w:p>
        </w:tc>
        <w:tc>
          <w:tcPr>
            <w:tcW w:w="741" w:type="pct"/>
            <w:tcBorders>
              <w:top w:val="single" w:color="auto" w:sz="4" w:space="0"/>
              <w:left w:val="single" w:color="auto" w:sz="4" w:space="0"/>
              <w:bottom w:val="single" w:color="auto" w:sz="4" w:space="0"/>
              <w:right w:val="single" w:color="auto" w:sz="4" w:space="0"/>
            </w:tcBorders>
            <w:shd w:val="clear" w:color="auto" w:fill="auto"/>
            <w:vAlign w:val="center"/>
          </w:tcPr>
          <w:p w14:paraId="0174D4FB">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cs="宋体"/>
                <w:b/>
                <w:bCs/>
                <w:color w:val="000000"/>
                <w:kern w:val="0"/>
                <w:sz w:val="22"/>
                <w:szCs w:val="22"/>
              </w:rPr>
              <w:t>虚拟机</w:t>
            </w:r>
          </w:p>
        </w:tc>
        <w:tc>
          <w:tcPr>
            <w:tcW w:w="741" w:type="pct"/>
            <w:tcBorders>
              <w:top w:val="single" w:color="auto" w:sz="4" w:space="0"/>
              <w:left w:val="single" w:color="auto" w:sz="4" w:space="0"/>
              <w:bottom w:val="single" w:color="auto" w:sz="4" w:space="0"/>
              <w:right w:val="single" w:color="auto" w:sz="4" w:space="0"/>
            </w:tcBorders>
            <w:shd w:val="clear" w:color="auto" w:fill="auto"/>
            <w:vAlign w:val="center"/>
          </w:tcPr>
          <w:p w14:paraId="141BD561">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接口服务器</w:t>
            </w:r>
          </w:p>
        </w:tc>
        <w:tc>
          <w:tcPr>
            <w:tcW w:w="598" w:type="pct"/>
            <w:tcBorders>
              <w:top w:val="single" w:color="auto" w:sz="4" w:space="0"/>
              <w:left w:val="single" w:color="auto" w:sz="4" w:space="0"/>
              <w:bottom w:val="single" w:color="auto" w:sz="4" w:space="0"/>
              <w:right w:val="single" w:color="auto" w:sz="4" w:space="0"/>
            </w:tcBorders>
            <w:shd w:val="clear" w:color="auto" w:fill="auto"/>
            <w:vAlign w:val="center"/>
          </w:tcPr>
          <w:p w14:paraId="025A4B56">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4</w:t>
            </w:r>
          </w:p>
        </w:tc>
        <w:tc>
          <w:tcPr>
            <w:tcW w:w="1057" w:type="pct"/>
            <w:tcBorders>
              <w:top w:val="single" w:color="auto" w:sz="4" w:space="0"/>
              <w:left w:val="single" w:color="auto" w:sz="4" w:space="0"/>
              <w:bottom w:val="single" w:color="auto" w:sz="4" w:space="0"/>
              <w:right w:val="single" w:color="auto" w:sz="4" w:space="0"/>
            </w:tcBorders>
            <w:shd w:val="clear" w:color="auto" w:fill="auto"/>
            <w:vAlign w:val="center"/>
          </w:tcPr>
          <w:p w14:paraId="30EA88C0">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32</w:t>
            </w:r>
          </w:p>
        </w:tc>
        <w:tc>
          <w:tcPr>
            <w:tcW w:w="558" w:type="pct"/>
            <w:tcBorders>
              <w:top w:val="single" w:color="auto" w:sz="4" w:space="0"/>
              <w:left w:val="single" w:color="auto" w:sz="4" w:space="0"/>
              <w:bottom w:val="single" w:color="auto" w:sz="4" w:space="0"/>
              <w:right w:val="single" w:color="auto" w:sz="4" w:space="0"/>
            </w:tcBorders>
            <w:shd w:val="clear" w:color="auto" w:fill="auto"/>
            <w:vAlign w:val="center"/>
          </w:tcPr>
          <w:p w14:paraId="77B0D7CA">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500</w:t>
            </w:r>
          </w:p>
        </w:tc>
        <w:tc>
          <w:tcPr>
            <w:tcW w:w="992" w:type="pct"/>
            <w:tcBorders>
              <w:top w:val="single" w:color="auto" w:sz="4" w:space="0"/>
              <w:left w:val="single" w:color="auto" w:sz="4" w:space="0"/>
              <w:bottom w:val="single" w:color="auto" w:sz="4" w:space="0"/>
              <w:right w:val="single" w:color="auto" w:sz="4" w:space="0"/>
            </w:tcBorders>
            <w:shd w:val="clear" w:color="auto" w:fill="auto"/>
            <w:vAlign w:val="center"/>
          </w:tcPr>
          <w:p w14:paraId="0F970BC5">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2</w:t>
            </w:r>
          </w:p>
        </w:tc>
      </w:tr>
      <w:tr w14:paraId="6A835F33">
        <w:tblPrEx>
          <w:tblCellMar>
            <w:top w:w="0" w:type="dxa"/>
            <w:left w:w="108" w:type="dxa"/>
            <w:bottom w:w="0" w:type="dxa"/>
            <w:right w:w="108" w:type="dxa"/>
          </w:tblCellMar>
        </w:tblPrEx>
        <w:trPr>
          <w:trHeight w:val="560" w:hRule="atLeast"/>
        </w:trPr>
        <w:tc>
          <w:tcPr>
            <w:tcW w:w="313" w:type="pct"/>
            <w:tcBorders>
              <w:top w:val="single" w:color="auto" w:sz="4" w:space="0"/>
              <w:left w:val="single" w:color="auto" w:sz="4" w:space="0"/>
              <w:bottom w:val="single" w:color="auto" w:sz="4" w:space="0"/>
              <w:right w:val="single" w:color="auto" w:sz="4" w:space="0"/>
            </w:tcBorders>
            <w:shd w:val="clear" w:color="auto" w:fill="auto"/>
            <w:vAlign w:val="center"/>
          </w:tcPr>
          <w:p w14:paraId="10C0B3CB">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cs="宋体"/>
                <w:b/>
                <w:bCs/>
                <w:color w:val="000000"/>
                <w:kern w:val="0"/>
                <w:sz w:val="22"/>
                <w:szCs w:val="22"/>
              </w:rPr>
              <w:t>5</w:t>
            </w:r>
          </w:p>
        </w:tc>
        <w:tc>
          <w:tcPr>
            <w:tcW w:w="741" w:type="pct"/>
            <w:tcBorders>
              <w:top w:val="single" w:color="auto" w:sz="4" w:space="0"/>
              <w:left w:val="single" w:color="auto" w:sz="4" w:space="0"/>
              <w:bottom w:val="single" w:color="auto" w:sz="4" w:space="0"/>
              <w:right w:val="single" w:color="auto" w:sz="4" w:space="0"/>
            </w:tcBorders>
            <w:shd w:val="clear" w:color="auto" w:fill="auto"/>
            <w:vAlign w:val="center"/>
          </w:tcPr>
          <w:p w14:paraId="6A52C215">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cs="宋体"/>
                <w:b/>
                <w:bCs/>
                <w:color w:val="000000"/>
                <w:kern w:val="0"/>
                <w:sz w:val="22"/>
                <w:szCs w:val="22"/>
              </w:rPr>
              <w:t>虚拟机</w:t>
            </w:r>
          </w:p>
        </w:tc>
        <w:tc>
          <w:tcPr>
            <w:tcW w:w="741" w:type="pct"/>
            <w:tcBorders>
              <w:top w:val="single" w:color="auto" w:sz="4" w:space="0"/>
              <w:left w:val="single" w:color="auto" w:sz="4" w:space="0"/>
              <w:bottom w:val="single" w:color="auto" w:sz="4" w:space="0"/>
              <w:right w:val="single" w:color="auto" w:sz="4" w:space="0"/>
            </w:tcBorders>
            <w:shd w:val="clear" w:color="auto" w:fill="auto"/>
            <w:vAlign w:val="center"/>
          </w:tcPr>
          <w:p w14:paraId="06CF7494">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文件服务器</w:t>
            </w:r>
          </w:p>
        </w:tc>
        <w:tc>
          <w:tcPr>
            <w:tcW w:w="598" w:type="pct"/>
            <w:tcBorders>
              <w:top w:val="single" w:color="auto" w:sz="4" w:space="0"/>
              <w:left w:val="single" w:color="auto" w:sz="4" w:space="0"/>
              <w:bottom w:val="single" w:color="auto" w:sz="4" w:space="0"/>
              <w:right w:val="single" w:color="auto" w:sz="4" w:space="0"/>
            </w:tcBorders>
            <w:shd w:val="clear" w:color="auto" w:fill="auto"/>
            <w:vAlign w:val="center"/>
          </w:tcPr>
          <w:p w14:paraId="05743061">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4</w:t>
            </w:r>
          </w:p>
        </w:tc>
        <w:tc>
          <w:tcPr>
            <w:tcW w:w="1057" w:type="pct"/>
            <w:tcBorders>
              <w:top w:val="single" w:color="auto" w:sz="4" w:space="0"/>
              <w:left w:val="single" w:color="auto" w:sz="4" w:space="0"/>
              <w:bottom w:val="single" w:color="auto" w:sz="4" w:space="0"/>
              <w:right w:val="single" w:color="auto" w:sz="4" w:space="0"/>
            </w:tcBorders>
            <w:shd w:val="clear" w:color="auto" w:fill="auto"/>
            <w:vAlign w:val="center"/>
          </w:tcPr>
          <w:p w14:paraId="523C739F">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32</w:t>
            </w:r>
          </w:p>
        </w:tc>
        <w:tc>
          <w:tcPr>
            <w:tcW w:w="558" w:type="pct"/>
            <w:tcBorders>
              <w:top w:val="single" w:color="auto" w:sz="4" w:space="0"/>
              <w:left w:val="single" w:color="auto" w:sz="4" w:space="0"/>
              <w:bottom w:val="single" w:color="auto" w:sz="4" w:space="0"/>
              <w:right w:val="single" w:color="auto" w:sz="4" w:space="0"/>
            </w:tcBorders>
            <w:shd w:val="clear" w:color="auto" w:fill="auto"/>
            <w:vAlign w:val="center"/>
          </w:tcPr>
          <w:p w14:paraId="5A211D08">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5000</w:t>
            </w:r>
          </w:p>
        </w:tc>
        <w:tc>
          <w:tcPr>
            <w:tcW w:w="992" w:type="pct"/>
            <w:tcBorders>
              <w:top w:val="single" w:color="auto" w:sz="4" w:space="0"/>
              <w:left w:val="single" w:color="auto" w:sz="4" w:space="0"/>
              <w:bottom w:val="single" w:color="auto" w:sz="4" w:space="0"/>
              <w:right w:val="single" w:color="auto" w:sz="4" w:space="0"/>
            </w:tcBorders>
            <w:shd w:val="clear" w:color="auto" w:fill="auto"/>
            <w:vAlign w:val="center"/>
          </w:tcPr>
          <w:p w14:paraId="27BABBE6">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1</w:t>
            </w:r>
          </w:p>
        </w:tc>
      </w:tr>
      <w:tr w14:paraId="67D505FC">
        <w:tblPrEx>
          <w:tblCellMar>
            <w:top w:w="0" w:type="dxa"/>
            <w:left w:w="108" w:type="dxa"/>
            <w:bottom w:w="0" w:type="dxa"/>
            <w:right w:w="108" w:type="dxa"/>
          </w:tblCellMar>
        </w:tblPrEx>
        <w:trPr>
          <w:trHeight w:val="560" w:hRule="atLeast"/>
        </w:trPr>
        <w:tc>
          <w:tcPr>
            <w:tcW w:w="313" w:type="pct"/>
            <w:tcBorders>
              <w:top w:val="single" w:color="auto" w:sz="4" w:space="0"/>
              <w:left w:val="single" w:color="auto" w:sz="4" w:space="0"/>
              <w:bottom w:val="single" w:color="auto" w:sz="4" w:space="0"/>
              <w:right w:val="single" w:color="auto" w:sz="4" w:space="0"/>
            </w:tcBorders>
            <w:shd w:val="clear" w:color="auto" w:fill="auto"/>
            <w:vAlign w:val="center"/>
          </w:tcPr>
          <w:p w14:paraId="5E14CE68">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cs="宋体"/>
                <w:b/>
                <w:bCs/>
                <w:color w:val="000000"/>
                <w:kern w:val="0"/>
                <w:sz w:val="22"/>
                <w:szCs w:val="22"/>
              </w:rPr>
              <w:t>6</w:t>
            </w:r>
          </w:p>
        </w:tc>
        <w:tc>
          <w:tcPr>
            <w:tcW w:w="741" w:type="pct"/>
            <w:tcBorders>
              <w:top w:val="single" w:color="auto" w:sz="4" w:space="0"/>
              <w:left w:val="single" w:color="auto" w:sz="4" w:space="0"/>
              <w:bottom w:val="single" w:color="auto" w:sz="4" w:space="0"/>
              <w:right w:val="single" w:color="auto" w:sz="4" w:space="0"/>
            </w:tcBorders>
            <w:shd w:val="clear" w:color="auto" w:fill="auto"/>
            <w:vAlign w:val="center"/>
          </w:tcPr>
          <w:p w14:paraId="1D25446B">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cs="宋体"/>
                <w:b/>
                <w:bCs/>
                <w:color w:val="000000"/>
                <w:kern w:val="0"/>
                <w:sz w:val="22"/>
                <w:szCs w:val="22"/>
              </w:rPr>
              <w:t>虚拟机</w:t>
            </w:r>
          </w:p>
        </w:tc>
        <w:tc>
          <w:tcPr>
            <w:tcW w:w="741" w:type="pct"/>
            <w:tcBorders>
              <w:top w:val="single" w:color="auto" w:sz="4" w:space="0"/>
              <w:left w:val="single" w:color="auto" w:sz="4" w:space="0"/>
              <w:bottom w:val="single" w:color="auto" w:sz="4" w:space="0"/>
              <w:right w:val="single" w:color="auto" w:sz="4" w:space="0"/>
            </w:tcBorders>
            <w:shd w:val="clear" w:color="auto" w:fill="auto"/>
            <w:vAlign w:val="center"/>
          </w:tcPr>
          <w:p w14:paraId="6C6DBED1">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应用服务器</w:t>
            </w:r>
          </w:p>
        </w:tc>
        <w:tc>
          <w:tcPr>
            <w:tcW w:w="598" w:type="pct"/>
            <w:tcBorders>
              <w:top w:val="single" w:color="auto" w:sz="4" w:space="0"/>
              <w:left w:val="single" w:color="auto" w:sz="4" w:space="0"/>
              <w:bottom w:val="single" w:color="auto" w:sz="4" w:space="0"/>
              <w:right w:val="single" w:color="auto" w:sz="4" w:space="0"/>
            </w:tcBorders>
            <w:shd w:val="clear" w:color="auto" w:fill="auto"/>
            <w:vAlign w:val="center"/>
          </w:tcPr>
          <w:p w14:paraId="34F4176D">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4</w:t>
            </w:r>
          </w:p>
        </w:tc>
        <w:tc>
          <w:tcPr>
            <w:tcW w:w="1057" w:type="pct"/>
            <w:tcBorders>
              <w:top w:val="single" w:color="auto" w:sz="4" w:space="0"/>
              <w:left w:val="single" w:color="auto" w:sz="4" w:space="0"/>
              <w:bottom w:val="single" w:color="auto" w:sz="4" w:space="0"/>
              <w:right w:val="single" w:color="auto" w:sz="4" w:space="0"/>
            </w:tcBorders>
            <w:shd w:val="clear" w:color="auto" w:fill="auto"/>
            <w:vAlign w:val="center"/>
          </w:tcPr>
          <w:p w14:paraId="08B2F4C2">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32</w:t>
            </w:r>
          </w:p>
        </w:tc>
        <w:tc>
          <w:tcPr>
            <w:tcW w:w="558" w:type="pct"/>
            <w:tcBorders>
              <w:top w:val="single" w:color="auto" w:sz="4" w:space="0"/>
              <w:left w:val="single" w:color="auto" w:sz="4" w:space="0"/>
              <w:bottom w:val="single" w:color="auto" w:sz="4" w:space="0"/>
              <w:right w:val="single" w:color="auto" w:sz="4" w:space="0"/>
            </w:tcBorders>
            <w:shd w:val="clear" w:color="auto" w:fill="auto"/>
            <w:vAlign w:val="center"/>
          </w:tcPr>
          <w:p w14:paraId="2E7226CE">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500</w:t>
            </w:r>
          </w:p>
        </w:tc>
        <w:tc>
          <w:tcPr>
            <w:tcW w:w="992" w:type="pct"/>
            <w:tcBorders>
              <w:top w:val="single" w:color="auto" w:sz="4" w:space="0"/>
              <w:left w:val="single" w:color="auto" w:sz="4" w:space="0"/>
              <w:bottom w:val="single" w:color="auto" w:sz="4" w:space="0"/>
              <w:right w:val="single" w:color="auto" w:sz="4" w:space="0"/>
            </w:tcBorders>
            <w:shd w:val="clear" w:color="auto" w:fill="auto"/>
            <w:vAlign w:val="center"/>
          </w:tcPr>
          <w:p w14:paraId="04CE0CD7">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2</w:t>
            </w:r>
          </w:p>
        </w:tc>
      </w:tr>
      <w:tr w14:paraId="137B5673">
        <w:tblPrEx>
          <w:tblCellMar>
            <w:top w:w="0" w:type="dxa"/>
            <w:left w:w="108" w:type="dxa"/>
            <w:bottom w:w="0" w:type="dxa"/>
            <w:right w:w="108" w:type="dxa"/>
          </w:tblCellMar>
        </w:tblPrEx>
        <w:trPr>
          <w:trHeight w:val="560" w:hRule="atLeast"/>
        </w:trPr>
        <w:tc>
          <w:tcPr>
            <w:tcW w:w="313" w:type="pct"/>
            <w:tcBorders>
              <w:top w:val="single" w:color="auto" w:sz="4" w:space="0"/>
              <w:left w:val="single" w:color="auto" w:sz="4" w:space="0"/>
              <w:bottom w:val="single" w:color="auto" w:sz="4" w:space="0"/>
              <w:right w:val="single" w:color="auto" w:sz="4" w:space="0"/>
            </w:tcBorders>
            <w:shd w:val="clear" w:color="auto" w:fill="auto"/>
            <w:vAlign w:val="center"/>
          </w:tcPr>
          <w:p w14:paraId="09AFA269">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cs="宋体"/>
                <w:b/>
                <w:bCs/>
                <w:color w:val="000000"/>
                <w:kern w:val="0"/>
                <w:sz w:val="22"/>
                <w:szCs w:val="22"/>
              </w:rPr>
              <w:t>7</w:t>
            </w:r>
          </w:p>
        </w:tc>
        <w:tc>
          <w:tcPr>
            <w:tcW w:w="741" w:type="pct"/>
            <w:tcBorders>
              <w:top w:val="single" w:color="auto" w:sz="4" w:space="0"/>
              <w:left w:val="single" w:color="auto" w:sz="4" w:space="0"/>
              <w:bottom w:val="single" w:color="auto" w:sz="4" w:space="0"/>
              <w:right w:val="single" w:color="auto" w:sz="4" w:space="0"/>
            </w:tcBorders>
            <w:shd w:val="clear" w:color="auto" w:fill="auto"/>
            <w:vAlign w:val="center"/>
          </w:tcPr>
          <w:p w14:paraId="2169B9D8">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cs="宋体"/>
                <w:b/>
                <w:bCs/>
                <w:color w:val="000000"/>
                <w:kern w:val="0"/>
                <w:sz w:val="22"/>
                <w:szCs w:val="22"/>
              </w:rPr>
              <w:t>虚拟机</w:t>
            </w:r>
          </w:p>
        </w:tc>
        <w:tc>
          <w:tcPr>
            <w:tcW w:w="741" w:type="pct"/>
            <w:tcBorders>
              <w:top w:val="single" w:color="auto" w:sz="4" w:space="0"/>
              <w:left w:val="single" w:color="auto" w:sz="4" w:space="0"/>
              <w:bottom w:val="single" w:color="auto" w:sz="4" w:space="0"/>
              <w:right w:val="single" w:color="auto" w:sz="4" w:space="0"/>
            </w:tcBorders>
            <w:shd w:val="clear" w:color="auto" w:fill="auto"/>
            <w:vAlign w:val="center"/>
          </w:tcPr>
          <w:p w14:paraId="6DA0907D">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接口服务器</w:t>
            </w:r>
          </w:p>
        </w:tc>
        <w:tc>
          <w:tcPr>
            <w:tcW w:w="598" w:type="pct"/>
            <w:tcBorders>
              <w:top w:val="single" w:color="auto" w:sz="4" w:space="0"/>
              <w:left w:val="single" w:color="auto" w:sz="4" w:space="0"/>
              <w:bottom w:val="single" w:color="auto" w:sz="4" w:space="0"/>
              <w:right w:val="single" w:color="auto" w:sz="4" w:space="0"/>
            </w:tcBorders>
            <w:shd w:val="clear" w:color="auto" w:fill="auto"/>
            <w:vAlign w:val="center"/>
          </w:tcPr>
          <w:p w14:paraId="79AC7547">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8</w:t>
            </w:r>
          </w:p>
        </w:tc>
        <w:tc>
          <w:tcPr>
            <w:tcW w:w="1057" w:type="pct"/>
            <w:tcBorders>
              <w:top w:val="single" w:color="auto" w:sz="4" w:space="0"/>
              <w:left w:val="single" w:color="auto" w:sz="4" w:space="0"/>
              <w:bottom w:val="single" w:color="auto" w:sz="4" w:space="0"/>
              <w:right w:val="single" w:color="auto" w:sz="4" w:space="0"/>
            </w:tcBorders>
            <w:shd w:val="clear" w:color="auto" w:fill="auto"/>
            <w:vAlign w:val="center"/>
          </w:tcPr>
          <w:p w14:paraId="2DAD0BB2">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32</w:t>
            </w:r>
          </w:p>
        </w:tc>
        <w:tc>
          <w:tcPr>
            <w:tcW w:w="558" w:type="pct"/>
            <w:tcBorders>
              <w:top w:val="single" w:color="auto" w:sz="4" w:space="0"/>
              <w:left w:val="single" w:color="auto" w:sz="4" w:space="0"/>
              <w:bottom w:val="single" w:color="auto" w:sz="4" w:space="0"/>
              <w:right w:val="single" w:color="auto" w:sz="4" w:space="0"/>
            </w:tcBorders>
            <w:shd w:val="clear" w:color="auto" w:fill="auto"/>
            <w:vAlign w:val="center"/>
          </w:tcPr>
          <w:p w14:paraId="74DFDF07">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500</w:t>
            </w:r>
          </w:p>
        </w:tc>
        <w:tc>
          <w:tcPr>
            <w:tcW w:w="992" w:type="pct"/>
            <w:tcBorders>
              <w:top w:val="single" w:color="auto" w:sz="4" w:space="0"/>
              <w:left w:val="single" w:color="auto" w:sz="4" w:space="0"/>
              <w:bottom w:val="single" w:color="auto" w:sz="4" w:space="0"/>
              <w:right w:val="single" w:color="auto" w:sz="4" w:space="0"/>
            </w:tcBorders>
            <w:shd w:val="clear" w:color="auto" w:fill="auto"/>
            <w:vAlign w:val="center"/>
          </w:tcPr>
          <w:p w14:paraId="5ADC434D">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b/>
                <w:bCs/>
                <w:color w:val="000000"/>
                <w:sz w:val="22"/>
                <w:szCs w:val="22"/>
              </w:rPr>
              <w:t>1</w:t>
            </w:r>
          </w:p>
        </w:tc>
      </w:tr>
    </w:tbl>
    <w:p w14:paraId="46F0DE8D">
      <w:pPr>
        <w:ind w:firstLine="480" w:firstLineChars="200"/>
      </w:pPr>
      <w:bookmarkStart w:id="21" w:name="_Hlk190074969"/>
      <w:r>
        <w:rPr>
          <w:rFonts w:hint="eastAsia"/>
        </w:rPr>
        <w:t>本项目所需PaaS服务资源如下：</w:t>
      </w:r>
    </w:p>
    <w:bookmarkEnd w:id="21"/>
    <w:tbl>
      <w:tblPr>
        <w:tblStyle w:val="35"/>
        <w:tblW w:w="5000" w:type="pct"/>
        <w:tblInd w:w="0" w:type="dxa"/>
        <w:tblLayout w:type="autofit"/>
        <w:tblCellMar>
          <w:top w:w="0" w:type="dxa"/>
          <w:left w:w="108" w:type="dxa"/>
          <w:bottom w:w="0" w:type="dxa"/>
          <w:right w:w="108" w:type="dxa"/>
        </w:tblCellMar>
      </w:tblPr>
      <w:tblGrid>
        <w:gridCol w:w="698"/>
        <w:gridCol w:w="3583"/>
        <w:gridCol w:w="2456"/>
        <w:gridCol w:w="1791"/>
      </w:tblGrid>
      <w:tr w14:paraId="76CCAC1C">
        <w:tblPrEx>
          <w:tblCellMar>
            <w:top w:w="0" w:type="dxa"/>
            <w:left w:w="108" w:type="dxa"/>
            <w:bottom w:w="0" w:type="dxa"/>
            <w:right w:w="108" w:type="dxa"/>
          </w:tblCellMar>
        </w:tblPrEx>
        <w:trPr>
          <w:trHeight w:val="570" w:hRule="atLeast"/>
        </w:trPr>
        <w:tc>
          <w:tcPr>
            <w:tcW w:w="409" w:type="pct"/>
            <w:tcBorders>
              <w:top w:val="single" w:color="auto" w:sz="4" w:space="0"/>
              <w:left w:val="single" w:color="auto" w:sz="4" w:space="0"/>
              <w:bottom w:val="single" w:color="auto" w:sz="4" w:space="0"/>
              <w:right w:val="single" w:color="auto" w:sz="4" w:space="0"/>
            </w:tcBorders>
            <w:shd w:val="clear" w:color="auto" w:fill="auto"/>
            <w:vAlign w:val="center"/>
          </w:tcPr>
          <w:p w14:paraId="34E7B770">
            <w:pPr>
              <w:widowControl/>
              <w:spacing w:line="240" w:lineRule="auto"/>
              <w:ind w:firstLine="0" w:firstLineChars="0"/>
              <w:jc w:val="center"/>
              <w:rPr>
                <w:rFonts w:ascii="微软雅黑" w:hAnsi="微软雅黑" w:eastAsia="微软雅黑" w:cs="宋体"/>
                <w:b/>
                <w:bCs/>
                <w:color w:val="000000"/>
                <w:kern w:val="0"/>
                <w:sz w:val="18"/>
                <w:szCs w:val="18"/>
              </w:rPr>
            </w:pPr>
            <w:r>
              <w:rPr>
                <w:rFonts w:hint="eastAsia" w:ascii="微软雅黑" w:hAnsi="微软雅黑" w:eastAsia="微软雅黑" w:cs="宋体"/>
                <w:b/>
                <w:bCs/>
                <w:color w:val="000000"/>
                <w:kern w:val="0"/>
                <w:sz w:val="18"/>
                <w:szCs w:val="18"/>
              </w:rPr>
              <w:t>序号</w:t>
            </w:r>
          </w:p>
        </w:tc>
        <w:tc>
          <w:tcPr>
            <w:tcW w:w="2101" w:type="pct"/>
            <w:tcBorders>
              <w:top w:val="single" w:color="auto" w:sz="4" w:space="0"/>
              <w:left w:val="nil"/>
              <w:bottom w:val="single" w:color="auto" w:sz="4" w:space="0"/>
              <w:right w:val="single" w:color="auto" w:sz="4" w:space="0"/>
            </w:tcBorders>
            <w:shd w:val="clear" w:color="auto" w:fill="auto"/>
            <w:noWrap/>
            <w:vAlign w:val="center"/>
          </w:tcPr>
          <w:p w14:paraId="380E4C91">
            <w:pPr>
              <w:widowControl/>
              <w:spacing w:line="240" w:lineRule="auto"/>
              <w:ind w:firstLine="0" w:firstLineChars="0"/>
              <w:jc w:val="center"/>
              <w:rPr>
                <w:rFonts w:ascii="微软雅黑" w:hAnsi="微软雅黑" w:eastAsia="微软雅黑" w:cs="宋体"/>
                <w:b/>
                <w:bCs/>
                <w:color w:val="000000"/>
                <w:kern w:val="0"/>
                <w:sz w:val="18"/>
                <w:szCs w:val="18"/>
              </w:rPr>
            </w:pPr>
            <w:r>
              <w:rPr>
                <w:rFonts w:hint="eastAsia" w:ascii="微软雅黑" w:hAnsi="微软雅黑" w:eastAsia="微软雅黑" w:cs="宋体"/>
                <w:b/>
                <w:bCs/>
                <w:color w:val="000000"/>
                <w:kern w:val="0"/>
                <w:sz w:val="18"/>
                <w:szCs w:val="18"/>
              </w:rPr>
              <w:t>资源名称</w:t>
            </w:r>
          </w:p>
        </w:tc>
        <w:tc>
          <w:tcPr>
            <w:tcW w:w="1440" w:type="pct"/>
            <w:tcBorders>
              <w:top w:val="single" w:color="auto" w:sz="4" w:space="0"/>
              <w:left w:val="nil"/>
              <w:bottom w:val="single" w:color="auto" w:sz="4" w:space="0"/>
              <w:right w:val="single" w:color="auto" w:sz="4" w:space="0"/>
            </w:tcBorders>
            <w:shd w:val="clear" w:color="auto" w:fill="auto"/>
            <w:noWrap/>
            <w:vAlign w:val="center"/>
          </w:tcPr>
          <w:p w14:paraId="6191187F">
            <w:pPr>
              <w:widowControl/>
              <w:spacing w:line="240" w:lineRule="auto"/>
              <w:ind w:firstLine="0" w:firstLineChars="0"/>
              <w:jc w:val="center"/>
              <w:rPr>
                <w:rFonts w:ascii="微软雅黑" w:hAnsi="微软雅黑" w:eastAsia="微软雅黑" w:cs="宋体"/>
                <w:b/>
                <w:bCs/>
                <w:color w:val="000000"/>
                <w:kern w:val="0"/>
                <w:sz w:val="18"/>
                <w:szCs w:val="18"/>
              </w:rPr>
            </w:pPr>
            <w:r>
              <w:rPr>
                <w:rFonts w:hint="eastAsia" w:ascii="微软雅黑" w:hAnsi="微软雅黑" w:eastAsia="微软雅黑" w:cs="宋体"/>
                <w:b/>
                <w:bCs/>
                <w:color w:val="000000"/>
                <w:kern w:val="0"/>
                <w:sz w:val="18"/>
                <w:szCs w:val="18"/>
              </w:rPr>
              <w:t>数量</w:t>
            </w:r>
          </w:p>
        </w:tc>
        <w:tc>
          <w:tcPr>
            <w:tcW w:w="1051" w:type="pct"/>
            <w:tcBorders>
              <w:top w:val="single" w:color="auto" w:sz="4" w:space="0"/>
              <w:left w:val="nil"/>
              <w:bottom w:val="single" w:color="auto" w:sz="4" w:space="0"/>
              <w:right w:val="single" w:color="auto" w:sz="4" w:space="0"/>
            </w:tcBorders>
            <w:shd w:val="clear" w:color="auto" w:fill="auto"/>
            <w:vAlign w:val="center"/>
          </w:tcPr>
          <w:p w14:paraId="01770138">
            <w:pPr>
              <w:widowControl/>
              <w:spacing w:line="240" w:lineRule="auto"/>
              <w:ind w:firstLine="0" w:firstLineChars="0"/>
              <w:jc w:val="center"/>
              <w:rPr>
                <w:rFonts w:ascii="微软雅黑" w:hAnsi="微软雅黑" w:eastAsia="微软雅黑" w:cs="宋体"/>
                <w:b/>
                <w:bCs/>
                <w:color w:val="000000"/>
                <w:kern w:val="0"/>
                <w:sz w:val="18"/>
                <w:szCs w:val="18"/>
              </w:rPr>
            </w:pPr>
            <w:r>
              <w:rPr>
                <w:rFonts w:hint="eastAsia" w:ascii="微软雅黑" w:hAnsi="微软雅黑" w:eastAsia="微软雅黑" w:cs="宋体"/>
                <w:b/>
                <w:bCs/>
                <w:color w:val="000000"/>
                <w:kern w:val="0"/>
                <w:sz w:val="18"/>
                <w:szCs w:val="18"/>
              </w:rPr>
              <w:t>单位</w:t>
            </w:r>
          </w:p>
        </w:tc>
      </w:tr>
      <w:tr w14:paraId="444C3A31">
        <w:tblPrEx>
          <w:tblCellMar>
            <w:top w:w="0" w:type="dxa"/>
            <w:left w:w="108" w:type="dxa"/>
            <w:bottom w:w="0" w:type="dxa"/>
            <w:right w:w="108" w:type="dxa"/>
          </w:tblCellMar>
        </w:tblPrEx>
        <w:trPr>
          <w:trHeight w:val="280" w:hRule="atLeast"/>
        </w:trPr>
        <w:tc>
          <w:tcPr>
            <w:tcW w:w="409" w:type="pct"/>
            <w:tcBorders>
              <w:top w:val="nil"/>
              <w:left w:val="single" w:color="000000" w:sz="4" w:space="0"/>
              <w:bottom w:val="single" w:color="000000" w:sz="4" w:space="0"/>
              <w:right w:val="single" w:color="000000" w:sz="4" w:space="0"/>
            </w:tcBorders>
            <w:shd w:val="clear" w:color="auto" w:fill="auto"/>
            <w:vAlign w:val="center"/>
          </w:tcPr>
          <w:p w14:paraId="28657644">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cs="宋体"/>
                <w:b/>
                <w:bCs/>
                <w:color w:val="000000"/>
                <w:kern w:val="0"/>
                <w:sz w:val="22"/>
                <w:szCs w:val="22"/>
              </w:rPr>
              <w:t>1</w:t>
            </w:r>
          </w:p>
        </w:tc>
        <w:tc>
          <w:tcPr>
            <w:tcW w:w="2101" w:type="pct"/>
            <w:tcBorders>
              <w:top w:val="single" w:color="000000" w:sz="4" w:space="0"/>
              <w:left w:val="nil"/>
              <w:bottom w:val="single" w:color="000000" w:sz="4" w:space="0"/>
              <w:right w:val="single" w:color="000000" w:sz="4" w:space="0"/>
            </w:tcBorders>
            <w:shd w:val="clear" w:color="auto" w:fill="auto"/>
            <w:vAlign w:val="center"/>
          </w:tcPr>
          <w:p w14:paraId="087AD39E">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cs="宋体"/>
                <w:b/>
                <w:bCs/>
                <w:color w:val="000000"/>
                <w:kern w:val="0"/>
                <w:sz w:val="22"/>
                <w:szCs w:val="22"/>
              </w:rPr>
              <w:t>中间件-东方通、普元、金蝶</w:t>
            </w:r>
          </w:p>
        </w:tc>
        <w:tc>
          <w:tcPr>
            <w:tcW w:w="1440" w:type="pct"/>
            <w:tcBorders>
              <w:top w:val="single" w:color="000000" w:sz="4" w:space="0"/>
              <w:left w:val="nil"/>
              <w:bottom w:val="single" w:color="000000" w:sz="4" w:space="0"/>
              <w:right w:val="single" w:color="000000" w:sz="4" w:space="0"/>
            </w:tcBorders>
            <w:shd w:val="clear" w:color="auto" w:fill="auto"/>
            <w:vAlign w:val="center"/>
          </w:tcPr>
          <w:p w14:paraId="08EEF24F">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cs="宋体"/>
                <w:b/>
                <w:bCs/>
                <w:color w:val="000000"/>
                <w:kern w:val="0"/>
                <w:sz w:val="22"/>
                <w:szCs w:val="22"/>
              </w:rPr>
              <w:t>6</w:t>
            </w:r>
          </w:p>
        </w:tc>
        <w:tc>
          <w:tcPr>
            <w:tcW w:w="1051" w:type="pct"/>
            <w:tcBorders>
              <w:top w:val="single" w:color="000000" w:sz="4" w:space="0"/>
              <w:left w:val="nil"/>
              <w:bottom w:val="single" w:color="000000" w:sz="4" w:space="0"/>
              <w:right w:val="single" w:color="000000" w:sz="4" w:space="0"/>
            </w:tcBorders>
            <w:shd w:val="clear" w:color="auto" w:fill="auto"/>
            <w:vAlign w:val="center"/>
          </w:tcPr>
          <w:p w14:paraId="7AF37F40">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cs="宋体"/>
                <w:b/>
                <w:bCs/>
                <w:color w:val="000000"/>
                <w:kern w:val="0"/>
                <w:sz w:val="22"/>
                <w:szCs w:val="22"/>
              </w:rPr>
              <w:t>套*年</w:t>
            </w:r>
          </w:p>
        </w:tc>
      </w:tr>
      <w:tr w14:paraId="79057417">
        <w:tblPrEx>
          <w:tblCellMar>
            <w:top w:w="0" w:type="dxa"/>
            <w:left w:w="108" w:type="dxa"/>
            <w:bottom w:w="0" w:type="dxa"/>
            <w:right w:w="108" w:type="dxa"/>
          </w:tblCellMar>
        </w:tblPrEx>
        <w:trPr>
          <w:trHeight w:val="280" w:hRule="atLeast"/>
        </w:trPr>
        <w:tc>
          <w:tcPr>
            <w:tcW w:w="409" w:type="pct"/>
            <w:tcBorders>
              <w:top w:val="nil"/>
              <w:left w:val="single" w:color="000000" w:sz="4" w:space="0"/>
              <w:bottom w:val="single" w:color="000000" w:sz="4" w:space="0"/>
              <w:right w:val="single" w:color="000000" w:sz="4" w:space="0"/>
            </w:tcBorders>
            <w:shd w:val="clear" w:color="auto" w:fill="auto"/>
            <w:vAlign w:val="center"/>
          </w:tcPr>
          <w:p w14:paraId="4CA70D4A">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cs="宋体"/>
                <w:b/>
                <w:bCs/>
                <w:color w:val="000000"/>
                <w:kern w:val="0"/>
                <w:sz w:val="22"/>
                <w:szCs w:val="22"/>
              </w:rPr>
              <w:t>2</w:t>
            </w:r>
          </w:p>
        </w:tc>
        <w:tc>
          <w:tcPr>
            <w:tcW w:w="2101" w:type="pct"/>
            <w:tcBorders>
              <w:top w:val="single" w:color="000000" w:sz="4" w:space="0"/>
              <w:left w:val="nil"/>
              <w:bottom w:val="single" w:color="000000" w:sz="4" w:space="0"/>
              <w:right w:val="single" w:color="000000" w:sz="4" w:space="0"/>
            </w:tcBorders>
            <w:shd w:val="clear" w:color="auto" w:fill="auto"/>
            <w:vAlign w:val="center"/>
          </w:tcPr>
          <w:p w14:paraId="57B52260">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cs="宋体"/>
                <w:b/>
                <w:bCs/>
                <w:color w:val="000000"/>
                <w:kern w:val="0"/>
                <w:sz w:val="22"/>
                <w:szCs w:val="22"/>
              </w:rPr>
              <w:t>操作系统服务-统信UOS、麒麟</w:t>
            </w:r>
          </w:p>
        </w:tc>
        <w:tc>
          <w:tcPr>
            <w:tcW w:w="1440" w:type="pct"/>
            <w:tcBorders>
              <w:top w:val="single" w:color="000000" w:sz="4" w:space="0"/>
              <w:left w:val="nil"/>
              <w:bottom w:val="single" w:color="000000" w:sz="4" w:space="0"/>
              <w:right w:val="single" w:color="000000" w:sz="4" w:space="0"/>
            </w:tcBorders>
            <w:shd w:val="clear" w:color="auto" w:fill="auto"/>
            <w:vAlign w:val="center"/>
          </w:tcPr>
          <w:p w14:paraId="7D85A09C">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cs="宋体"/>
                <w:b/>
                <w:bCs/>
                <w:color w:val="000000"/>
                <w:kern w:val="0"/>
                <w:sz w:val="22"/>
                <w:szCs w:val="22"/>
              </w:rPr>
              <w:t>12</w:t>
            </w:r>
          </w:p>
        </w:tc>
        <w:tc>
          <w:tcPr>
            <w:tcW w:w="1051" w:type="pct"/>
            <w:tcBorders>
              <w:top w:val="single" w:color="000000" w:sz="4" w:space="0"/>
              <w:left w:val="nil"/>
              <w:bottom w:val="single" w:color="000000" w:sz="4" w:space="0"/>
              <w:right w:val="single" w:color="000000" w:sz="4" w:space="0"/>
            </w:tcBorders>
            <w:shd w:val="clear" w:color="auto" w:fill="auto"/>
            <w:vAlign w:val="center"/>
          </w:tcPr>
          <w:p w14:paraId="2A6DFCF6">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cs="宋体"/>
                <w:b/>
                <w:bCs/>
                <w:color w:val="000000"/>
                <w:kern w:val="0"/>
                <w:sz w:val="22"/>
                <w:szCs w:val="22"/>
              </w:rPr>
              <w:t>套*年</w:t>
            </w:r>
          </w:p>
        </w:tc>
      </w:tr>
      <w:tr w14:paraId="2D910BBA">
        <w:tblPrEx>
          <w:tblCellMar>
            <w:top w:w="0" w:type="dxa"/>
            <w:left w:w="108" w:type="dxa"/>
            <w:bottom w:w="0" w:type="dxa"/>
            <w:right w:w="108" w:type="dxa"/>
          </w:tblCellMar>
        </w:tblPrEx>
        <w:trPr>
          <w:trHeight w:val="280" w:hRule="atLeast"/>
        </w:trPr>
        <w:tc>
          <w:tcPr>
            <w:tcW w:w="409" w:type="pct"/>
            <w:tcBorders>
              <w:top w:val="nil"/>
              <w:left w:val="single" w:color="000000" w:sz="4" w:space="0"/>
              <w:bottom w:val="single" w:color="000000" w:sz="4" w:space="0"/>
              <w:right w:val="single" w:color="000000" w:sz="4" w:space="0"/>
            </w:tcBorders>
            <w:shd w:val="clear" w:color="auto" w:fill="auto"/>
            <w:vAlign w:val="center"/>
          </w:tcPr>
          <w:p w14:paraId="199A138B">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cs="宋体"/>
                <w:b/>
                <w:bCs/>
                <w:color w:val="000000"/>
                <w:kern w:val="0"/>
                <w:sz w:val="22"/>
                <w:szCs w:val="22"/>
              </w:rPr>
              <w:t>3</w:t>
            </w:r>
          </w:p>
        </w:tc>
        <w:tc>
          <w:tcPr>
            <w:tcW w:w="2101" w:type="pct"/>
            <w:tcBorders>
              <w:top w:val="single" w:color="000000" w:sz="4" w:space="0"/>
              <w:left w:val="nil"/>
              <w:bottom w:val="single" w:color="000000" w:sz="4" w:space="0"/>
              <w:right w:val="single" w:color="000000" w:sz="4" w:space="0"/>
            </w:tcBorders>
            <w:shd w:val="clear" w:color="auto" w:fill="auto"/>
            <w:vAlign w:val="center"/>
          </w:tcPr>
          <w:p w14:paraId="6FE94985">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cs="宋体"/>
                <w:b/>
                <w:bCs/>
                <w:color w:val="000000"/>
                <w:kern w:val="0"/>
                <w:sz w:val="22"/>
                <w:szCs w:val="22"/>
              </w:rPr>
              <w:t>数据库服务-达梦、人大金仓</w:t>
            </w:r>
          </w:p>
        </w:tc>
        <w:tc>
          <w:tcPr>
            <w:tcW w:w="1440" w:type="pct"/>
            <w:tcBorders>
              <w:top w:val="single" w:color="000000" w:sz="4" w:space="0"/>
              <w:left w:val="nil"/>
              <w:bottom w:val="single" w:color="000000" w:sz="4" w:space="0"/>
              <w:right w:val="single" w:color="000000" w:sz="4" w:space="0"/>
            </w:tcBorders>
            <w:shd w:val="clear" w:color="auto" w:fill="auto"/>
            <w:vAlign w:val="center"/>
          </w:tcPr>
          <w:p w14:paraId="79C6E754">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cs="宋体"/>
                <w:b/>
                <w:bCs/>
                <w:color w:val="000000"/>
                <w:kern w:val="0"/>
                <w:sz w:val="22"/>
                <w:szCs w:val="22"/>
              </w:rPr>
              <w:t>2</w:t>
            </w:r>
          </w:p>
        </w:tc>
        <w:tc>
          <w:tcPr>
            <w:tcW w:w="1051" w:type="pct"/>
            <w:tcBorders>
              <w:top w:val="single" w:color="000000" w:sz="4" w:space="0"/>
              <w:left w:val="nil"/>
              <w:bottom w:val="single" w:color="000000" w:sz="4" w:space="0"/>
              <w:right w:val="single" w:color="000000" w:sz="4" w:space="0"/>
            </w:tcBorders>
            <w:shd w:val="clear" w:color="auto" w:fill="auto"/>
            <w:vAlign w:val="center"/>
          </w:tcPr>
          <w:p w14:paraId="24646D4C">
            <w:pPr>
              <w:widowControl/>
              <w:spacing w:line="240" w:lineRule="auto"/>
              <w:ind w:firstLine="0" w:firstLineChars="0"/>
              <w:jc w:val="center"/>
              <w:rPr>
                <w:rFonts w:ascii="等线" w:hAnsi="等线" w:eastAsia="等线" w:cs="宋体"/>
                <w:b/>
                <w:bCs/>
                <w:color w:val="000000"/>
                <w:kern w:val="0"/>
                <w:sz w:val="22"/>
                <w:szCs w:val="22"/>
              </w:rPr>
            </w:pPr>
            <w:r>
              <w:rPr>
                <w:rFonts w:hint="eastAsia" w:ascii="等线" w:hAnsi="等线" w:eastAsia="等线" w:cs="宋体"/>
                <w:b/>
                <w:bCs/>
                <w:color w:val="000000"/>
                <w:kern w:val="0"/>
                <w:sz w:val="22"/>
                <w:szCs w:val="22"/>
              </w:rPr>
              <w:t>套*年</w:t>
            </w:r>
          </w:p>
        </w:tc>
      </w:tr>
    </w:tbl>
    <w:p w14:paraId="0181CA40">
      <w:pPr>
        <w:ind w:firstLine="0" w:firstLineChars="0"/>
      </w:pPr>
    </w:p>
    <w:p w14:paraId="3700ACB6">
      <w:pPr>
        <w:pStyle w:val="2"/>
      </w:pPr>
      <w:bookmarkStart w:id="22" w:name="_Toc63785503"/>
      <w:r>
        <w:rPr>
          <w:rFonts w:hint="eastAsia"/>
        </w:rPr>
        <w:t>其他工作要求</w:t>
      </w:r>
      <w:bookmarkEnd w:id="22"/>
    </w:p>
    <w:p w14:paraId="0835C8A2">
      <w:pPr>
        <w:pStyle w:val="3"/>
      </w:pPr>
      <w:bookmarkStart w:id="23" w:name="_Toc63785505"/>
      <w:r>
        <w:rPr>
          <w:rFonts w:hint="eastAsia"/>
        </w:rPr>
        <w:t>售后服务要求</w:t>
      </w:r>
      <w:bookmarkEnd w:id="23"/>
    </w:p>
    <w:p w14:paraId="46503276">
      <w:pPr>
        <w:pStyle w:val="106"/>
        <w:snapToGrid w:val="0"/>
        <w:spacing w:line="360" w:lineRule="auto"/>
        <w:ind w:firstLine="480"/>
        <w:rPr>
          <w:rFonts w:ascii="宋体" w:hAnsi="宋体"/>
          <w:sz w:val="24"/>
          <w:szCs w:val="24"/>
        </w:rPr>
      </w:pPr>
      <w:r>
        <w:rPr>
          <w:rFonts w:hint="eastAsia" w:ascii="宋体" w:hAnsi="宋体"/>
          <w:sz w:val="24"/>
          <w:szCs w:val="24"/>
        </w:rPr>
        <w:t>本项目从系统验收通过之日起1年内提供</w:t>
      </w:r>
      <w:r>
        <w:rPr>
          <w:rFonts w:ascii="宋体" w:hAnsi="宋体"/>
          <w:sz w:val="24"/>
          <w:szCs w:val="24"/>
        </w:rPr>
        <w:t>7*24小时免费技术支持</w:t>
      </w:r>
      <w:r>
        <w:rPr>
          <w:rFonts w:hint="eastAsia" w:ascii="宋体" w:hAnsi="宋体"/>
          <w:sz w:val="24"/>
          <w:szCs w:val="24"/>
        </w:rPr>
        <w:t>和售后服务，1年后进入有偿维护期。</w:t>
      </w:r>
    </w:p>
    <w:p w14:paraId="4E91275F">
      <w:pPr>
        <w:pStyle w:val="106"/>
        <w:snapToGrid w:val="0"/>
        <w:spacing w:line="360" w:lineRule="auto"/>
        <w:ind w:firstLine="480"/>
        <w:rPr>
          <w:rFonts w:ascii="宋体" w:hAnsi="宋体"/>
          <w:sz w:val="24"/>
          <w:szCs w:val="24"/>
        </w:rPr>
      </w:pPr>
      <w:r>
        <w:rPr>
          <w:rFonts w:hint="eastAsia" w:ascii="宋体" w:hAnsi="宋体"/>
          <w:sz w:val="24"/>
          <w:szCs w:val="24"/>
        </w:rPr>
        <w:t>在质量保证期内，供应商将按照售后服务的承诺提供保修和运行维护服务，如果厂商对信息系统中软、硬件设备等产品中的部分保修期超过上述期限的，则按照厂商的规定进行免费保修。</w:t>
      </w:r>
    </w:p>
    <w:p w14:paraId="0EC7436F">
      <w:pPr>
        <w:pStyle w:val="106"/>
        <w:snapToGrid w:val="0"/>
        <w:spacing w:line="360" w:lineRule="auto"/>
        <w:ind w:firstLine="480"/>
        <w:rPr>
          <w:rFonts w:ascii="宋体" w:hAnsi="宋体"/>
          <w:sz w:val="24"/>
          <w:szCs w:val="24"/>
        </w:rPr>
      </w:pPr>
      <w:r>
        <w:rPr>
          <w:rFonts w:hint="eastAsia" w:ascii="宋体" w:hAnsi="宋体"/>
          <w:sz w:val="24"/>
          <w:szCs w:val="24"/>
        </w:rPr>
        <w:t>在质量保证期内，供应商负责信息系统的运行维护工作，确保信息系统安全、稳定、可靠地运行。本项目涉及的运行维护工作范围为：应用软件功能维护（修正错误、完善功能、业务开通）、日常维护（包括但不限于：现场值班工作需求、应用监控需求、客户端维护需求、电话支持需求、现场技术支持需求）、应用系统优化（包括但不限于：业务需求变更需求、新系统设计与实施需求）、数据库维护、业务培训和业务咨询及协作配合等。</w:t>
      </w:r>
    </w:p>
    <w:p w14:paraId="2CAF3F7B">
      <w:pPr>
        <w:pStyle w:val="3"/>
      </w:pPr>
      <w:bookmarkStart w:id="24" w:name="_Toc63785506"/>
      <w:r>
        <w:rPr>
          <w:rFonts w:hint="eastAsia"/>
        </w:rPr>
        <w:t>应急响应要求</w:t>
      </w:r>
      <w:bookmarkEnd w:id="24"/>
    </w:p>
    <w:p w14:paraId="27DFC4DC">
      <w:pPr>
        <w:pStyle w:val="106"/>
        <w:snapToGrid w:val="0"/>
        <w:spacing w:line="360" w:lineRule="auto"/>
        <w:ind w:firstLine="480"/>
        <w:rPr>
          <w:rFonts w:ascii="宋体" w:hAnsi="宋体"/>
          <w:sz w:val="24"/>
          <w:szCs w:val="24"/>
        </w:rPr>
      </w:pPr>
      <w:r>
        <w:rPr>
          <w:rFonts w:hint="eastAsia" w:ascii="宋体" w:hAnsi="宋体"/>
          <w:sz w:val="24"/>
          <w:szCs w:val="24"/>
        </w:rPr>
        <w:t>供应商对系统故障应能够实时响应，若系统发生故障，接到通知后</w:t>
      </w:r>
      <w:r>
        <w:rPr>
          <w:rFonts w:ascii="宋体" w:hAnsi="宋体"/>
          <w:sz w:val="24"/>
          <w:szCs w:val="24"/>
        </w:rPr>
        <w:t>30分钟之内响应，专业工程师2小时内到达现场</w:t>
      </w:r>
      <w:r>
        <w:rPr>
          <w:rFonts w:hint="eastAsia" w:ascii="宋体" w:hAnsi="宋体"/>
          <w:sz w:val="24"/>
          <w:szCs w:val="24"/>
        </w:rPr>
        <w:t>。特殊故障与客户沟通协商后，按照协商的方式制定解决方案并进行处理。</w:t>
      </w:r>
    </w:p>
    <w:p w14:paraId="00547792">
      <w:pPr>
        <w:pStyle w:val="106"/>
        <w:snapToGrid w:val="0"/>
        <w:spacing w:line="360" w:lineRule="auto"/>
        <w:ind w:firstLine="480"/>
        <w:rPr>
          <w:rFonts w:ascii="宋体" w:hAnsi="宋体"/>
          <w:sz w:val="24"/>
          <w:szCs w:val="24"/>
        </w:rPr>
      </w:pPr>
      <w:r>
        <w:rPr>
          <w:rFonts w:hint="eastAsia" w:ascii="宋体" w:hAnsi="宋体"/>
          <w:sz w:val="24"/>
          <w:szCs w:val="24"/>
        </w:rPr>
        <w:t>具体故障级别及对应的应急响应要求如下：</w:t>
      </w:r>
    </w:p>
    <w:p w14:paraId="133F70BB">
      <w:pPr>
        <w:pStyle w:val="106"/>
        <w:snapToGrid w:val="0"/>
        <w:spacing w:line="360" w:lineRule="auto"/>
        <w:ind w:firstLine="480"/>
        <w:rPr>
          <w:rFonts w:ascii="宋体" w:hAnsi="宋体"/>
          <w:sz w:val="24"/>
          <w:szCs w:val="24"/>
        </w:rPr>
      </w:pPr>
      <w:r>
        <w:rPr>
          <w:rFonts w:hint="eastAsia" w:ascii="宋体" w:hAnsi="宋体"/>
          <w:sz w:val="24"/>
          <w:szCs w:val="24"/>
        </w:rPr>
        <w:t>一级故障：在</w:t>
      </w:r>
      <w:r>
        <w:rPr>
          <w:rFonts w:ascii="宋体" w:hAnsi="宋体"/>
          <w:sz w:val="24"/>
          <w:szCs w:val="24"/>
        </w:rPr>
        <w:t>1小时内确诊，总故障解决时间不超过4小时。</w:t>
      </w:r>
    </w:p>
    <w:p w14:paraId="5871AAA2">
      <w:pPr>
        <w:pStyle w:val="106"/>
        <w:snapToGrid w:val="0"/>
        <w:spacing w:line="360" w:lineRule="auto"/>
        <w:ind w:firstLine="480"/>
        <w:rPr>
          <w:rFonts w:ascii="宋体" w:hAnsi="宋体"/>
          <w:sz w:val="24"/>
          <w:szCs w:val="24"/>
        </w:rPr>
      </w:pPr>
      <w:r>
        <w:rPr>
          <w:rFonts w:hint="eastAsia" w:ascii="宋体" w:hAnsi="宋体"/>
          <w:sz w:val="24"/>
          <w:szCs w:val="24"/>
        </w:rPr>
        <w:t>二级故障：在</w:t>
      </w:r>
      <w:r>
        <w:rPr>
          <w:rFonts w:ascii="宋体" w:hAnsi="宋体"/>
          <w:sz w:val="24"/>
          <w:szCs w:val="24"/>
        </w:rPr>
        <w:t>2小时内确诊，并在4小时内由专家到达现场确诊并解决，总故障解决时间不超过8小时；</w:t>
      </w:r>
    </w:p>
    <w:p w14:paraId="5CE35AA4">
      <w:pPr>
        <w:pStyle w:val="106"/>
        <w:snapToGrid w:val="0"/>
        <w:spacing w:line="360" w:lineRule="auto"/>
        <w:ind w:firstLine="480"/>
        <w:rPr>
          <w:rFonts w:ascii="宋体" w:hAnsi="宋体"/>
          <w:sz w:val="24"/>
          <w:szCs w:val="24"/>
        </w:rPr>
      </w:pPr>
      <w:r>
        <w:rPr>
          <w:rFonts w:hint="eastAsia" w:ascii="宋体" w:hAnsi="宋体"/>
          <w:sz w:val="24"/>
          <w:szCs w:val="24"/>
        </w:rPr>
        <w:t>三、四级故障：在</w:t>
      </w:r>
      <w:r>
        <w:rPr>
          <w:rFonts w:ascii="宋体" w:hAnsi="宋体"/>
          <w:sz w:val="24"/>
          <w:szCs w:val="24"/>
        </w:rPr>
        <w:t>4小时内确诊故障，总故障解决时间不超过16小时。</w:t>
      </w:r>
    </w:p>
    <w:p w14:paraId="76583B6E">
      <w:pPr>
        <w:pStyle w:val="3"/>
      </w:pPr>
      <w:bookmarkStart w:id="25" w:name="_Toc63785507"/>
      <w:r>
        <w:rPr>
          <w:rFonts w:hint="eastAsia"/>
        </w:rPr>
        <w:t>培训要求</w:t>
      </w:r>
      <w:bookmarkEnd w:id="25"/>
    </w:p>
    <w:p w14:paraId="6EC8B699">
      <w:r>
        <w:rPr>
          <w:rFonts w:hint="eastAsia"/>
        </w:rPr>
        <w:t>对系统使用单位提供业务操作培训，应提供详细培训方案。</w:t>
      </w:r>
    </w:p>
    <w:p w14:paraId="563F7B06">
      <w:r>
        <w:rPr>
          <w:rFonts w:hint="eastAsia"/>
        </w:rPr>
        <w:t>(1)在12个月的质量保证期内，提供2次与项目相关的必要培训。</w:t>
      </w:r>
    </w:p>
    <w:p w14:paraId="54C51677">
      <w:r>
        <w:rPr>
          <w:rFonts w:hint="eastAsia"/>
        </w:rPr>
        <w:t>(2)供应商需要开展分层次的人员培训工作，每次培训后应对参加培训人员进行测试，评估培训成果。培训应具有培训教材、培训环境和高水平的培训讲师。</w:t>
      </w:r>
    </w:p>
    <w:p w14:paraId="57177272">
      <w:r>
        <w:rPr>
          <w:rFonts w:hint="eastAsia"/>
        </w:rPr>
        <w:t>(3)供应商应提供一般用户的基础操作培训和部门信息管理员的日常应用维护的培训，确保用户对象能够掌握对应的操作技能。</w:t>
      </w:r>
    </w:p>
    <w:p w14:paraId="139FCF76">
      <w:pPr>
        <w:pStyle w:val="3"/>
      </w:pPr>
      <w:bookmarkStart w:id="26" w:name="_Toc63785508"/>
      <w:r>
        <w:rPr>
          <w:rFonts w:hint="eastAsia"/>
        </w:rPr>
        <w:t>验收要求</w:t>
      </w:r>
      <w:bookmarkEnd w:id="26"/>
    </w:p>
    <w:p w14:paraId="47B44A49">
      <w:r>
        <w:rPr>
          <w:rFonts w:hint="eastAsia"/>
        </w:rPr>
        <w:t>本项目按下述方式开展验收。</w:t>
      </w:r>
    </w:p>
    <w:p w14:paraId="7FC63592">
      <w:r>
        <w:rPr>
          <w:rFonts w:hint="eastAsia"/>
        </w:rPr>
        <w:t>（</w:t>
      </w:r>
      <w:r>
        <w:t>1）验收前，供应商须完成软件开发、软硬件安装和信息系统的调试等，并对本项目进行功能和运行检测，确保所有信息系统功能模块能够正常运行且已达到本项目约定的各类标准要求。供应商应以书面形式向招标方递交验收通知书。招标方应当在接到通知后的5个工作日内确定验收的具体日期，由双方按照本项目的约定完成本项目的验收。招标方有权委托第三方检测机构进行验收，对此供应商应当配合。</w:t>
      </w:r>
    </w:p>
    <w:p w14:paraId="636E6FCC">
      <w:r>
        <w:rPr>
          <w:rFonts w:hint="eastAsia"/>
        </w:rPr>
        <w:t>（</w:t>
      </w:r>
      <w:r>
        <w:t>3）验收时，供应商须提供软件文档包括《用户需求说明书》、《系统概要设计说明书》、《系统详细设计说明书》、《三方功能需求确认单》、《测试报告》、《用户使用手册》、《系统部署文档》等）及可安装的程序运行文件。所交付的文档与文件应当是可供自然人阅读的书面和电子文档。软件文档及可安装的程序运行文件验收通过后，视为验收通过。如有缺陷，招标方应向供应商出具书面报告，陈述需要改进的缺陷。供应商应立即严格依照招标方的书面报告中的要求改进缺陷，并再次进行验收。</w:t>
      </w:r>
    </w:p>
    <w:p w14:paraId="28739917">
      <w:r>
        <w:rPr>
          <w:rFonts w:hint="eastAsia"/>
        </w:rPr>
        <w:t>（</w:t>
      </w:r>
      <w:r>
        <w:t>4）自验收通过之日起，招标方享有供应商免费提供的30天的信息系统试运行现场驻场服务期。该期间内，供应商应当按照招标方的要求提供现场技术支持服务，解决信息系统试运行期间可能出现的各类问题，或进一步提高与完善信息系统运行水平。</w:t>
      </w:r>
    </w:p>
    <w:p w14:paraId="1C766667">
      <w:r>
        <w:rPr>
          <w:rFonts w:hint="eastAsia"/>
        </w:rPr>
        <w:t>（</w:t>
      </w:r>
      <w:r>
        <w:t>5）验收通过且信息系统试运行期已经达到本项目约定的时间，经供应商确认信息系统具备正常运行条件，且信息系统通过运行测试，供应商应以书面形式通知招标方信息系统已准备就绪等待验收。招标方在收到验收通知后的20个工作日内发起组织专家验收会。</w:t>
      </w:r>
    </w:p>
    <w:p w14:paraId="2699FA8E">
      <w:r>
        <w:rPr>
          <w:rFonts w:hint="eastAsia"/>
        </w:rPr>
        <w:t>（</w:t>
      </w:r>
      <w:r>
        <w:t>6）如果属于供应商原因致使本项目未能通过验收，供应商应当排除缺陷，直至本项目完全符合验收标准，由上述情形而产生的相关费用应由供应商自行承担。</w:t>
      </w:r>
    </w:p>
    <w:p w14:paraId="41A1278E">
      <w:r>
        <w:rPr>
          <w:rFonts w:hint="eastAsia"/>
        </w:rPr>
        <w:t>（</w:t>
      </w:r>
      <w:r>
        <w:t>7）如果由于招标方原因导致本项目在验收通过前出现故障或问题，供应商应及时配合排除该方面的故障或问题。</w:t>
      </w:r>
    </w:p>
    <w:p w14:paraId="717857A2">
      <w:r>
        <w:rPr>
          <w:rFonts w:hint="eastAsia"/>
        </w:rPr>
        <w:t>（</w:t>
      </w:r>
      <w:r>
        <w:t>8）如本项目连续3次验收未通过，招标方有权解除项目，并有权依照本项目约定的违约条款追究供应商的违约责任。</w:t>
      </w:r>
    </w:p>
    <w:p w14:paraId="3E926BCC">
      <w:pPr>
        <w:pStyle w:val="3"/>
      </w:pPr>
      <w:bookmarkStart w:id="27" w:name="_Toc63785509"/>
      <w:r>
        <w:rPr>
          <w:rFonts w:hint="eastAsia"/>
        </w:rPr>
        <w:t>进度要求</w:t>
      </w:r>
      <w:bookmarkEnd w:id="27"/>
    </w:p>
    <w:p w14:paraId="290FD775">
      <w:r>
        <w:rPr>
          <w:rFonts w:hint="eastAsia"/>
        </w:rPr>
        <w:t>投标人应根据建设内容，分阶段制定合理的时间进度，并且应根据招标方要求进行调整和细化。</w:t>
      </w:r>
    </w:p>
    <w:p w14:paraId="3D24B31F">
      <w:r>
        <w:rPr>
          <w:rFonts w:hint="eastAsia"/>
        </w:rPr>
        <w:t>总建设周期为</w:t>
      </w:r>
      <w:r>
        <w:t>10个月，分为4个阶段。</w:t>
      </w:r>
    </w:p>
    <w:p w14:paraId="5FFC64C4">
      <w:bookmarkStart w:id="28" w:name="_Hlk190075031"/>
      <w:r>
        <w:rPr>
          <w:rFonts w:hint="eastAsia"/>
        </w:rPr>
        <w:t>第一阶段，</w:t>
      </w:r>
      <w:r>
        <w:t>完成系统架构、基础资源、功能等详细设计</w:t>
      </w:r>
      <w:r>
        <w:rPr>
          <w:rFonts w:hint="eastAsia"/>
        </w:rPr>
        <w:t>，1个月</w:t>
      </w:r>
      <w:r>
        <w:t>。</w:t>
      </w:r>
    </w:p>
    <w:p w14:paraId="4C0AAC85">
      <w:r>
        <w:rPr>
          <w:rFonts w:hint="eastAsia"/>
        </w:rPr>
        <w:t>第二阶段</w:t>
      </w:r>
      <w:r>
        <w:t>，完成各功能模块的开发</w:t>
      </w:r>
      <w:r>
        <w:rPr>
          <w:rFonts w:hint="eastAsia"/>
        </w:rPr>
        <w:t>6个月，</w:t>
      </w:r>
      <w:r>
        <w:t>。</w:t>
      </w:r>
    </w:p>
    <w:p w14:paraId="329B5EE0">
      <w:r>
        <w:rPr>
          <w:rFonts w:hint="eastAsia"/>
        </w:rPr>
        <w:t>第三阶段</w:t>
      </w:r>
      <w:r>
        <w:t>，进行项目功能试运行，完成系统完善和功能迭代</w:t>
      </w:r>
      <w:r>
        <w:rPr>
          <w:rFonts w:hint="eastAsia"/>
        </w:rPr>
        <w:t>，2个月</w:t>
      </w:r>
      <w:r>
        <w:t>。</w:t>
      </w:r>
    </w:p>
    <w:p w14:paraId="65FA547E">
      <w:r>
        <w:rPr>
          <w:rFonts w:hint="eastAsia"/>
        </w:rPr>
        <w:t>第三阶段</w:t>
      </w:r>
      <w:r>
        <w:t>，开展项目测评，完成项目验收</w:t>
      </w:r>
      <w:r>
        <w:rPr>
          <w:rFonts w:hint="eastAsia"/>
        </w:rPr>
        <w:t>，1个月</w:t>
      </w:r>
      <w:r>
        <w:t>。</w:t>
      </w:r>
    </w:p>
    <w:bookmarkEnd w:id="28"/>
    <w:p w14:paraId="7D36A5CB">
      <w:pPr>
        <w:pStyle w:val="3"/>
      </w:pPr>
      <w:bookmarkStart w:id="29" w:name="_Toc63785510"/>
      <w:r>
        <w:rPr>
          <w:rFonts w:hint="eastAsia"/>
        </w:rPr>
        <w:t>项目团队及驻场人员要求</w:t>
      </w:r>
      <w:bookmarkEnd w:id="29"/>
    </w:p>
    <w:p w14:paraId="7D287828">
      <w:r>
        <w:t>1）投标人具有稳定的在职技术保障力量，能够提供及时的技术支援或服务，应针对本项目提供不少于</w:t>
      </w:r>
      <w:r>
        <w:rPr>
          <w:rFonts w:hint="eastAsia"/>
        </w:rPr>
        <w:t>7</w:t>
      </w:r>
      <w:r>
        <w:t>人的项目服务团队</w:t>
      </w:r>
      <w:r>
        <w:rPr>
          <w:rFonts w:hint="eastAsia"/>
        </w:rPr>
        <w:t>，</w:t>
      </w:r>
      <w:r>
        <w:t>服务团队</w:t>
      </w:r>
      <w:r>
        <w:rPr>
          <w:rFonts w:hint="eastAsia"/>
        </w:rPr>
        <w:t>至少3人驻场，</w:t>
      </w:r>
      <w:r>
        <w:t>包括项目经理、技术负责人、产品经理、</w:t>
      </w:r>
      <w:r>
        <w:rPr>
          <w:rFonts w:hint="eastAsia"/>
        </w:rPr>
        <w:t>软件工程师</w:t>
      </w:r>
      <w:r>
        <w:t>等，投标单位的相关服务人员需具备相应的服务能力，需提供相关证明（最</w:t>
      </w:r>
      <w:r>
        <w:rPr>
          <w:rFonts w:hint="eastAsia"/>
        </w:rPr>
        <w:t>近三个月中任意一个月在职社保证明</w:t>
      </w:r>
      <w:r>
        <w:t>）。</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16"/>
        <w:gridCol w:w="2313"/>
        <w:gridCol w:w="1180"/>
        <w:gridCol w:w="1963"/>
        <w:gridCol w:w="1656"/>
      </w:tblGrid>
      <w:tr w14:paraId="6F525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0" w:type="auto"/>
            <w:shd w:val="clear" w:color="auto" w:fill="auto"/>
            <w:noWrap/>
            <w:vAlign w:val="center"/>
          </w:tcPr>
          <w:p w14:paraId="2F5EF858">
            <w:pPr>
              <w:widowControl/>
              <w:spacing w:line="240" w:lineRule="auto"/>
              <w:ind w:firstLine="0" w:firstLineChars="0"/>
              <w:jc w:val="center"/>
              <w:rPr>
                <w:b/>
              </w:rPr>
            </w:pPr>
            <w:r>
              <w:rPr>
                <w:rFonts w:hint="eastAsia"/>
                <w:b/>
              </w:rPr>
              <w:t>角色</w:t>
            </w:r>
          </w:p>
        </w:tc>
        <w:tc>
          <w:tcPr>
            <w:tcW w:w="0" w:type="auto"/>
            <w:shd w:val="clear" w:color="auto" w:fill="auto"/>
            <w:noWrap/>
            <w:vAlign w:val="center"/>
          </w:tcPr>
          <w:p w14:paraId="132FA60D">
            <w:pPr>
              <w:widowControl/>
              <w:spacing w:line="240" w:lineRule="auto"/>
              <w:ind w:firstLine="0" w:firstLineChars="0"/>
              <w:jc w:val="center"/>
              <w:rPr>
                <w:b/>
              </w:rPr>
            </w:pPr>
            <w:r>
              <w:rPr>
                <w:rFonts w:hint="eastAsia"/>
                <w:b/>
              </w:rPr>
              <w:t>主要职责</w:t>
            </w:r>
          </w:p>
        </w:tc>
        <w:tc>
          <w:tcPr>
            <w:tcW w:w="0" w:type="auto"/>
            <w:shd w:val="clear" w:color="auto" w:fill="auto"/>
            <w:noWrap/>
            <w:vAlign w:val="center"/>
          </w:tcPr>
          <w:p w14:paraId="54F2314A">
            <w:pPr>
              <w:widowControl/>
              <w:spacing w:line="240" w:lineRule="auto"/>
              <w:ind w:firstLine="0" w:firstLineChars="0"/>
              <w:jc w:val="center"/>
              <w:rPr>
                <w:b/>
              </w:rPr>
            </w:pPr>
            <w:r>
              <w:rPr>
                <w:rFonts w:hint="eastAsia"/>
                <w:b/>
              </w:rPr>
              <w:t>人员数量</w:t>
            </w:r>
          </w:p>
        </w:tc>
        <w:tc>
          <w:tcPr>
            <w:tcW w:w="0" w:type="auto"/>
            <w:vAlign w:val="center"/>
          </w:tcPr>
          <w:p w14:paraId="5FE88EDF">
            <w:pPr>
              <w:widowControl/>
              <w:spacing w:line="240" w:lineRule="auto"/>
              <w:ind w:firstLine="0" w:firstLineChars="0"/>
              <w:jc w:val="center"/>
              <w:rPr>
                <w:b/>
              </w:rPr>
            </w:pPr>
            <w:r>
              <w:rPr>
                <w:rFonts w:hint="eastAsia"/>
                <w:b/>
              </w:rPr>
              <w:t>人员要求</w:t>
            </w:r>
          </w:p>
        </w:tc>
        <w:tc>
          <w:tcPr>
            <w:tcW w:w="0" w:type="auto"/>
            <w:shd w:val="clear" w:color="auto" w:fill="auto"/>
            <w:noWrap/>
            <w:vAlign w:val="center"/>
          </w:tcPr>
          <w:p w14:paraId="64D3B94B">
            <w:pPr>
              <w:widowControl/>
              <w:spacing w:line="240" w:lineRule="auto"/>
              <w:ind w:firstLine="0" w:firstLineChars="0"/>
              <w:jc w:val="center"/>
              <w:rPr>
                <w:b/>
              </w:rPr>
            </w:pPr>
            <w:r>
              <w:rPr>
                <w:rFonts w:hint="eastAsia"/>
                <w:b/>
              </w:rPr>
              <w:t>驻场要求</w:t>
            </w:r>
          </w:p>
        </w:tc>
      </w:tr>
      <w:tr w14:paraId="6D30DC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0" w:type="auto"/>
            <w:shd w:val="clear" w:color="auto" w:fill="auto"/>
            <w:noWrap/>
            <w:vAlign w:val="center"/>
          </w:tcPr>
          <w:p w14:paraId="7DBEF622">
            <w:pPr>
              <w:widowControl/>
              <w:spacing w:line="240" w:lineRule="auto"/>
              <w:ind w:firstLine="0" w:firstLineChars="0"/>
              <w:jc w:val="center"/>
            </w:pPr>
            <w:r>
              <w:rPr>
                <w:rFonts w:hint="eastAsia"/>
              </w:rPr>
              <w:t>项目经理</w:t>
            </w:r>
          </w:p>
        </w:tc>
        <w:tc>
          <w:tcPr>
            <w:tcW w:w="0" w:type="auto"/>
            <w:shd w:val="clear" w:color="auto" w:fill="auto"/>
            <w:vAlign w:val="center"/>
          </w:tcPr>
          <w:p w14:paraId="22967F47">
            <w:pPr>
              <w:widowControl/>
              <w:spacing w:line="240" w:lineRule="auto"/>
              <w:ind w:firstLine="0" w:firstLineChars="0"/>
              <w:jc w:val="center"/>
            </w:pPr>
            <w:r>
              <w:rPr>
                <w:rFonts w:hint="eastAsia"/>
              </w:rPr>
              <w:t>负责项目质量和进度控制</w:t>
            </w:r>
          </w:p>
        </w:tc>
        <w:tc>
          <w:tcPr>
            <w:tcW w:w="0" w:type="auto"/>
            <w:shd w:val="clear" w:color="auto" w:fill="auto"/>
            <w:noWrap/>
            <w:vAlign w:val="center"/>
          </w:tcPr>
          <w:p w14:paraId="5B3FF9B4">
            <w:pPr>
              <w:widowControl/>
              <w:spacing w:line="240" w:lineRule="auto"/>
              <w:ind w:firstLine="0" w:firstLineChars="0"/>
              <w:jc w:val="center"/>
            </w:pPr>
            <w:r>
              <w:t>1</w:t>
            </w:r>
            <w:r>
              <w:rPr>
                <w:rFonts w:hint="eastAsia"/>
              </w:rPr>
              <w:t>人</w:t>
            </w:r>
          </w:p>
        </w:tc>
        <w:tc>
          <w:tcPr>
            <w:tcW w:w="0" w:type="auto"/>
            <w:vAlign w:val="center"/>
          </w:tcPr>
          <w:p w14:paraId="673AFD99">
            <w:pPr>
              <w:widowControl/>
              <w:spacing w:line="240" w:lineRule="auto"/>
              <w:ind w:firstLine="0" w:firstLineChars="0"/>
              <w:jc w:val="center"/>
            </w:pPr>
            <w:r>
              <w:rPr>
                <w:rFonts w:hint="eastAsia"/>
              </w:rPr>
              <w:t>本科以上学历，</w:t>
            </w:r>
            <w:r>
              <w:t>5年以上软件开发/实施/服务经验</w:t>
            </w:r>
            <w:r>
              <w:rPr>
                <w:rFonts w:hint="eastAsia"/>
              </w:rPr>
              <w:t>，具备信息系统项目管理师资质证书</w:t>
            </w:r>
          </w:p>
        </w:tc>
        <w:tc>
          <w:tcPr>
            <w:tcW w:w="0" w:type="auto"/>
            <w:shd w:val="clear" w:color="auto" w:fill="auto"/>
            <w:noWrap/>
            <w:vAlign w:val="center"/>
          </w:tcPr>
          <w:p w14:paraId="5744F2F3">
            <w:pPr>
              <w:widowControl/>
              <w:spacing w:line="240" w:lineRule="auto"/>
              <w:ind w:firstLine="0" w:firstLineChars="0"/>
              <w:jc w:val="center"/>
            </w:pPr>
            <w:r>
              <w:rPr>
                <w:rFonts w:hint="eastAsia"/>
              </w:rPr>
              <w:t>驻场</w:t>
            </w:r>
          </w:p>
        </w:tc>
      </w:tr>
      <w:tr w14:paraId="107527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0" w:type="auto"/>
            <w:shd w:val="clear" w:color="auto" w:fill="auto"/>
            <w:noWrap/>
            <w:vAlign w:val="center"/>
          </w:tcPr>
          <w:p w14:paraId="02BB8760">
            <w:pPr>
              <w:widowControl/>
              <w:spacing w:line="240" w:lineRule="auto"/>
              <w:ind w:firstLine="0" w:firstLineChars="0"/>
              <w:jc w:val="center"/>
            </w:pPr>
            <w:r>
              <w:rPr>
                <w:rFonts w:hint="eastAsia"/>
              </w:rPr>
              <w:t>技术负责人</w:t>
            </w:r>
          </w:p>
        </w:tc>
        <w:tc>
          <w:tcPr>
            <w:tcW w:w="0" w:type="auto"/>
            <w:shd w:val="clear" w:color="auto" w:fill="auto"/>
            <w:vAlign w:val="center"/>
          </w:tcPr>
          <w:p w14:paraId="59D62F10">
            <w:pPr>
              <w:widowControl/>
              <w:spacing w:line="240" w:lineRule="auto"/>
              <w:ind w:firstLine="0" w:firstLineChars="0"/>
              <w:jc w:val="center"/>
            </w:pPr>
            <w:r>
              <w:rPr>
                <w:rFonts w:hint="eastAsia"/>
              </w:rPr>
              <w:t>负责项目整体技术设计及审核</w:t>
            </w:r>
          </w:p>
        </w:tc>
        <w:tc>
          <w:tcPr>
            <w:tcW w:w="0" w:type="auto"/>
            <w:shd w:val="clear" w:color="auto" w:fill="auto"/>
            <w:noWrap/>
            <w:vAlign w:val="center"/>
          </w:tcPr>
          <w:p w14:paraId="603E045E">
            <w:pPr>
              <w:widowControl/>
              <w:spacing w:line="240" w:lineRule="auto"/>
              <w:ind w:firstLine="0" w:firstLineChars="0"/>
              <w:jc w:val="center"/>
            </w:pPr>
            <w:r>
              <w:rPr>
                <w:rFonts w:hint="eastAsia"/>
              </w:rPr>
              <w:t>1人</w:t>
            </w:r>
          </w:p>
        </w:tc>
        <w:tc>
          <w:tcPr>
            <w:tcW w:w="0" w:type="auto"/>
            <w:vAlign w:val="center"/>
          </w:tcPr>
          <w:p w14:paraId="02190B4A">
            <w:pPr>
              <w:widowControl/>
              <w:spacing w:line="240" w:lineRule="auto"/>
              <w:ind w:firstLine="0" w:firstLineChars="0"/>
              <w:jc w:val="center"/>
            </w:pPr>
            <w:r>
              <w:rPr>
                <w:rFonts w:hint="eastAsia"/>
              </w:rPr>
              <w:t>本科以上学历，</w:t>
            </w:r>
            <w:r>
              <w:t>5年以上软件开发/实施/服务经验</w:t>
            </w:r>
          </w:p>
        </w:tc>
        <w:tc>
          <w:tcPr>
            <w:tcW w:w="0" w:type="auto"/>
            <w:shd w:val="clear" w:color="auto" w:fill="auto"/>
            <w:noWrap/>
            <w:vAlign w:val="center"/>
          </w:tcPr>
          <w:p w14:paraId="51EBC2C8">
            <w:pPr>
              <w:widowControl/>
              <w:spacing w:line="240" w:lineRule="auto"/>
              <w:ind w:firstLine="0" w:firstLineChars="0"/>
              <w:jc w:val="center"/>
            </w:pPr>
            <w:r>
              <w:rPr>
                <w:rFonts w:hint="eastAsia"/>
              </w:rPr>
              <w:t>不驻场</w:t>
            </w:r>
          </w:p>
        </w:tc>
      </w:tr>
      <w:tr w14:paraId="77A35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5" w:hRule="atLeast"/>
          <w:jc w:val="center"/>
        </w:trPr>
        <w:tc>
          <w:tcPr>
            <w:tcW w:w="0" w:type="auto"/>
            <w:shd w:val="clear" w:color="auto" w:fill="auto"/>
            <w:noWrap/>
            <w:vAlign w:val="center"/>
          </w:tcPr>
          <w:p w14:paraId="6012E9CA">
            <w:pPr>
              <w:widowControl/>
              <w:spacing w:line="240" w:lineRule="auto"/>
              <w:ind w:firstLine="0" w:firstLineChars="0"/>
              <w:jc w:val="center"/>
            </w:pPr>
            <w:r>
              <w:rPr>
                <w:rFonts w:hint="eastAsia"/>
              </w:rPr>
              <w:t>产品经理</w:t>
            </w:r>
          </w:p>
        </w:tc>
        <w:tc>
          <w:tcPr>
            <w:tcW w:w="0" w:type="auto"/>
            <w:shd w:val="clear" w:color="auto" w:fill="auto"/>
            <w:vAlign w:val="center"/>
          </w:tcPr>
          <w:p w14:paraId="681E2BBE">
            <w:pPr>
              <w:widowControl/>
              <w:spacing w:line="240" w:lineRule="auto"/>
              <w:ind w:firstLine="0" w:firstLineChars="0"/>
              <w:jc w:val="center"/>
            </w:pPr>
            <w:r>
              <w:rPr>
                <w:rFonts w:hint="eastAsia"/>
              </w:rPr>
              <w:t>负责项目需求评估与产品设计</w:t>
            </w:r>
          </w:p>
        </w:tc>
        <w:tc>
          <w:tcPr>
            <w:tcW w:w="0" w:type="auto"/>
            <w:shd w:val="clear" w:color="auto" w:fill="auto"/>
            <w:noWrap/>
            <w:vAlign w:val="center"/>
          </w:tcPr>
          <w:p w14:paraId="4D68147C">
            <w:pPr>
              <w:widowControl/>
              <w:spacing w:line="240" w:lineRule="auto"/>
              <w:ind w:firstLine="0" w:firstLineChars="0"/>
              <w:jc w:val="center"/>
            </w:pPr>
            <w:r>
              <w:rPr>
                <w:rFonts w:hint="eastAsia"/>
              </w:rPr>
              <w:t>1人</w:t>
            </w:r>
          </w:p>
        </w:tc>
        <w:tc>
          <w:tcPr>
            <w:tcW w:w="0" w:type="auto"/>
            <w:vAlign w:val="center"/>
          </w:tcPr>
          <w:p w14:paraId="46D17A17">
            <w:pPr>
              <w:widowControl/>
              <w:spacing w:line="240" w:lineRule="auto"/>
              <w:ind w:firstLine="0" w:firstLineChars="0"/>
              <w:jc w:val="center"/>
            </w:pPr>
            <w:r>
              <w:rPr>
                <w:rFonts w:hint="eastAsia"/>
              </w:rPr>
              <w:t>本科以上学历，</w:t>
            </w:r>
            <w:r>
              <w:t>5年以上软件开发/实施/服务经验</w:t>
            </w:r>
          </w:p>
        </w:tc>
        <w:tc>
          <w:tcPr>
            <w:tcW w:w="0" w:type="auto"/>
            <w:shd w:val="clear" w:color="auto" w:fill="auto"/>
            <w:noWrap/>
            <w:vAlign w:val="center"/>
          </w:tcPr>
          <w:p w14:paraId="0B1FB112">
            <w:pPr>
              <w:widowControl/>
              <w:spacing w:line="240" w:lineRule="auto"/>
              <w:ind w:firstLine="0" w:firstLineChars="0"/>
              <w:jc w:val="center"/>
            </w:pPr>
            <w:r>
              <w:rPr>
                <w:rFonts w:hint="eastAsia"/>
              </w:rPr>
              <w:t>不驻场</w:t>
            </w:r>
          </w:p>
        </w:tc>
      </w:tr>
      <w:tr w14:paraId="730FA6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0" w:type="auto"/>
            <w:shd w:val="clear" w:color="auto" w:fill="auto"/>
            <w:noWrap/>
            <w:vAlign w:val="center"/>
          </w:tcPr>
          <w:p w14:paraId="10F1D0F5">
            <w:pPr>
              <w:widowControl/>
              <w:spacing w:line="240" w:lineRule="auto"/>
              <w:ind w:firstLine="0" w:firstLineChars="0"/>
              <w:jc w:val="center"/>
            </w:pPr>
            <w:r>
              <w:rPr>
                <w:rFonts w:hint="eastAsia"/>
              </w:rPr>
              <w:t>软件工程师</w:t>
            </w:r>
          </w:p>
        </w:tc>
        <w:tc>
          <w:tcPr>
            <w:tcW w:w="0" w:type="auto"/>
            <w:shd w:val="clear" w:color="auto" w:fill="auto"/>
            <w:noWrap/>
            <w:vAlign w:val="center"/>
          </w:tcPr>
          <w:p w14:paraId="193C53F6">
            <w:pPr>
              <w:widowControl/>
              <w:spacing w:line="240" w:lineRule="auto"/>
              <w:ind w:firstLine="0" w:firstLineChars="0"/>
              <w:jc w:val="center"/>
            </w:pPr>
            <w:r>
              <w:rPr>
                <w:rFonts w:hint="eastAsia"/>
              </w:rPr>
              <w:t>负责项目具体开发</w:t>
            </w:r>
          </w:p>
        </w:tc>
        <w:tc>
          <w:tcPr>
            <w:tcW w:w="0" w:type="auto"/>
            <w:shd w:val="clear" w:color="auto" w:fill="auto"/>
            <w:noWrap/>
            <w:vAlign w:val="center"/>
          </w:tcPr>
          <w:p w14:paraId="7551144A">
            <w:pPr>
              <w:widowControl/>
              <w:spacing w:line="240" w:lineRule="auto"/>
              <w:ind w:firstLine="0" w:firstLineChars="0"/>
              <w:jc w:val="center"/>
            </w:pPr>
            <w:r>
              <w:rPr>
                <w:rFonts w:hint="eastAsia"/>
              </w:rPr>
              <w:t>4人</w:t>
            </w:r>
          </w:p>
        </w:tc>
        <w:tc>
          <w:tcPr>
            <w:tcW w:w="0" w:type="auto"/>
            <w:vAlign w:val="center"/>
          </w:tcPr>
          <w:p w14:paraId="512887E9">
            <w:pPr>
              <w:widowControl/>
              <w:spacing w:line="240" w:lineRule="auto"/>
              <w:ind w:firstLine="0" w:firstLineChars="0"/>
              <w:jc w:val="center"/>
            </w:pPr>
            <w:r>
              <w:rPr>
                <w:rFonts w:hint="eastAsia"/>
              </w:rPr>
              <w:t>本科以上学历，</w:t>
            </w:r>
            <w:r>
              <w:t>2年以上软件开发/实施/服务经验</w:t>
            </w:r>
          </w:p>
        </w:tc>
        <w:tc>
          <w:tcPr>
            <w:tcW w:w="0" w:type="auto"/>
            <w:shd w:val="clear" w:color="auto" w:fill="auto"/>
            <w:noWrap/>
            <w:vAlign w:val="center"/>
          </w:tcPr>
          <w:p w14:paraId="7B47AC9D">
            <w:pPr>
              <w:widowControl/>
              <w:spacing w:line="240" w:lineRule="auto"/>
              <w:ind w:firstLine="0" w:firstLineChars="0"/>
              <w:jc w:val="center"/>
            </w:pPr>
            <w:r>
              <w:rPr>
                <w:rFonts w:hint="eastAsia"/>
              </w:rPr>
              <w:t>至少2人驻场</w:t>
            </w:r>
          </w:p>
        </w:tc>
      </w:tr>
    </w:tbl>
    <w:p w14:paraId="75CC37FA"/>
    <w:p w14:paraId="0B166126">
      <w:r>
        <w:t>2）投标人应针对本项目提供不少于</w:t>
      </w:r>
      <w:r>
        <w:rPr>
          <w:rFonts w:hint="eastAsia"/>
        </w:rPr>
        <w:t>4</w:t>
      </w:r>
      <w:r>
        <w:t>人的质保期间支撑团队（其中</w:t>
      </w:r>
      <w:r>
        <w:rPr>
          <w:rFonts w:hint="eastAsia"/>
          <w:lang w:val="en-US" w:eastAsia="zh-CN"/>
        </w:rPr>
        <w:t>项目</w:t>
      </w:r>
      <w:r>
        <w:t>经理1人，技术工程师不少于</w:t>
      </w:r>
      <w:r>
        <w:rPr>
          <w:rFonts w:hint="eastAsia"/>
        </w:rPr>
        <w:t>3</w:t>
      </w:r>
      <w:r>
        <w:t>人）</w:t>
      </w:r>
      <w:r>
        <w:rPr>
          <w:rFonts w:hint="eastAsia"/>
        </w:rPr>
        <w:t>，至少</w:t>
      </w:r>
      <w:r>
        <w:rPr>
          <w:rFonts w:hint="eastAsia"/>
          <w:lang w:val="en-US" w:eastAsia="zh-CN"/>
        </w:rPr>
        <w:t>2</w:t>
      </w:r>
      <w:r>
        <w:rPr>
          <w:rFonts w:hint="eastAsia"/>
        </w:rPr>
        <w:t>人驻场</w:t>
      </w:r>
      <w:r>
        <w:t>；投标人的相关服务人员需具备相应的服务能力，需提供相关证明（最</w:t>
      </w:r>
      <w:r>
        <w:rPr>
          <w:rFonts w:hint="eastAsia"/>
        </w:rPr>
        <w:t>近三个月中任意一个月在职社保证明</w:t>
      </w:r>
      <w:r>
        <w:t>）。</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16"/>
        <w:gridCol w:w="2324"/>
        <w:gridCol w:w="1180"/>
        <w:gridCol w:w="1952"/>
        <w:gridCol w:w="1656"/>
      </w:tblGrid>
      <w:tr w14:paraId="59C80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0" w:type="auto"/>
            <w:shd w:val="clear" w:color="auto" w:fill="auto"/>
            <w:noWrap/>
            <w:vAlign w:val="center"/>
          </w:tcPr>
          <w:p w14:paraId="194D30BB">
            <w:pPr>
              <w:widowControl/>
              <w:spacing w:line="240" w:lineRule="auto"/>
              <w:ind w:firstLine="0" w:firstLineChars="0"/>
              <w:jc w:val="center"/>
              <w:rPr>
                <w:b/>
              </w:rPr>
            </w:pPr>
            <w:r>
              <w:rPr>
                <w:rFonts w:hint="eastAsia"/>
                <w:b/>
              </w:rPr>
              <w:t>角色</w:t>
            </w:r>
          </w:p>
        </w:tc>
        <w:tc>
          <w:tcPr>
            <w:tcW w:w="0" w:type="auto"/>
            <w:shd w:val="clear" w:color="auto" w:fill="auto"/>
            <w:noWrap/>
            <w:vAlign w:val="center"/>
          </w:tcPr>
          <w:p w14:paraId="37F44CB2">
            <w:pPr>
              <w:widowControl/>
              <w:spacing w:line="240" w:lineRule="auto"/>
              <w:ind w:firstLine="0" w:firstLineChars="0"/>
              <w:jc w:val="center"/>
              <w:rPr>
                <w:b/>
              </w:rPr>
            </w:pPr>
            <w:r>
              <w:rPr>
                <w:rFonts w:hint="eastAsia"/>
                <w:b/>
              </w:rPr>
              <w:t>主要职责</w:t>
            </w:r>
          </w:p>
        </w:tc>
        <w:tc>
          <w:tcPr>
            <w:tcW w:w="0" w:type="auto"/>
            <w:shd w:val="clear" w:color="auto" w:fill="auto"/>
            <w:noWrap/>
            <w:vAlign w:val="center"/>
          </w:tcPr>
          <w:p w14:paraId="5433DAA7">
            <w:pPr>
              <w:widowControl/>
              <w:spacing w:line="240" w:lineRule="auto"/>
              <w:ind w:firstLine="0" w:firstLineChars="0"/>
              <w:jc w:val="center"/>
              <w:rPr>
                <w:b/>
              </w:rPr>
            </w:pPr>
            <w:r>
              <w:rPr>
                <w:rFonts w:hint="eastAsia"/>
                <w:b/>
              </w:rPr>
              <w:t>人员数量</w:t>
            </w:r>
          </w:p>
        </w:tc>
        <w:tc>
          <w:tcPr>
            <w:tcW w:w="0" w:type="auto"/>
            <w:vAlign w:val="center"/>
          </w:tcPr>
          <w:p w14:paraId="7738B8A4">
            <w:pPr>
              <w:widowControl/>
              <w:spacing w:line="240" w:lineRule="auto"/>
              <w:ind w:firstLine="0" w:firstLineChars="0"/>
              <w:jc w:val="center"/>
              <w:rPr>
                <w:b/>
              </w:rPr>
            </w:pPr>
            <w:r>
              <w:rPr>
                <w:rFonts w:hint="eastAsia"/>
                <w:b/>
              </w:rPr>
              <w:t>人员要求</w:t>
            </w:r>
          </w:p>
        </w:tc>
        <w:tc>
          <w:tcPr>
            <w:tcW w:w="0" w:type="auto"/>
            <w:shd w:val="clear" w:color="auto" w:fill="auto"/>
            <w:noWrap/>
            <w:vAlign w:val="center"/>
          </w:tcPr>
          <w:p w14:paraId="3C0E5A65">
            <w:pPr>
              <w:widowControl/>
              <w:spacing w:line="240" w:lineRule="auto"/>
              <w:ind w:firstLine="0" w:firstLineChars="0"/>
              <w:jc w:val="center"/>
              <w:rPr>
                <w:b/>
              </w:rPr>
            </w:pPr>
            <w:r>
              <w:rPr>
                <w:rFonts w:hint="eastAsia"/>
                <w:b/>
              </w:rPr>
              <w:t>驻场要求</w:t>
            </w:r>
          </w:p>
        </w:tc>
      </w:tr>
      <w:tr w14:paraId="6B5007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0" w:type="auto"/>
            <w:shd w:val="clear" w:color="auto" w:fill="auto"/>
            <w:noWrap/>
            <w:vAlign w:val="center"/>
          </w:tcPr>
          <w:p w14:paraId="23973ABF">
            <w:pPr>
              <w:widowControl/>
              <w:spacing w:line="240" w:lineRule="auto"/>
              <w:ind w:firstLine="0" w:firstLineChars="0"/>
              <w:jc w:val="center"/>
            </w:pPr>
            <w:r>
              <w:rPr>
                <w:rFonts w:hint="eastAsia"/>
              </w:rPr>
              <w:t>项目经理</w:t>
            </w:r>
          </w:p>
        </w:tc>
        <w:tc>
          <w:tcPr>
            <w:tcW w:w="0" w:type="auto"/>
            <w:shd w:val="clear" w:color="auto" w:fill="auto"/>
            <w:vAlign w:val="center"/>
          </w:tcPr>
          <w:p w14:paraId="02B37CE2">
            <w:pPr>
              <w:widowControl/>
              <w:spacing w:line="240" w:lineRule="auto"/>
              <w:ind w:firstLine="0" w:firstLineChars="0"/>
              <w:jc w:val="center"/>
            </w:pPr>
            <w:r>
              <w:rPr>
                <w:rFonts w:hint="eastAsia"/>
              </w:rPr>
              <w:t>负责项目质量和进度控制</w:t>
            </w:r>
          </w:p>
        </w:tc>
        <w:tc>
          <w:tcPr>
            <w:tcW w:w="0" w:type="auto"/>
            <w:shd w:val="clear" w:color="auto" w:fill="auto"/>
            <w:noWrap/>
            <w:vAlign w:val="center"/>
          </w:tcPr>
          <w:p w14:paraId="02E19FF3">
            <w:pPr>
              <w:widowControl/>
              <w:spacing w:line="240" w:lineRule="auto"/>
              <w:ind w:firstLine="0" w:firstLineChars="0"/>
              <w:jc w:val="center"/>
            </w:pPr>
            <w:r>
              <w:t>1</w:t>
            </w:r>
            <w:r>
              <w:rPr>
                <w:rFonts w:hint="eastAsia"/>
              </w:rPr>
              <w:t>人</w:t>
            </w:r>
            <w:bookmarkStart w:id="33" w:name="_GoBack"/>
            <w:bookmarkEnd w:id="33"/>
          </w:p>
        </w:tc>
        <w:tc>
          <w:tcPr>
            <w:tcW w:w="0" w:type="auto"/>
            <w:vAlign w:val="center"/>
          </w:tcPr>
          <w:p w14:paraId="671E6674">
            <w:pPr>
              <w:widowControl/>
              <w:spacing w:line="240" w:lineRule="auto"/>
              <w:ind w:firstLine="0" w:firstLineChars="0"/>
              <w:jc w:val="center"/>
            </w:pPr>
            <w:r>
              <w:rPr>
                <w:rFonts w:hint="eastAsia"/>
              </w:rPr>
              <w:t>本科以上学历，具备信息系统项目管理师资质证书</w:t>
            </w:r>
          </w:p>
        </w:tc>
        <w:tc>
          <w:tcPr>
            <w:tcW w:w="0" w:type="auto"/>
            <w:shd w:val="clear" w:color="auto" w:fill="auto"/>
            <w:noWrap/>
            <w:vAlign w:val="center"/>
          </w:tcPr>
          <w:p w14:paraId="1DDD2737">
            <w:pPr>
              <w:widowControl/>
              <w:spacing w:line="240" w:lineRule="auto"/>
              <w:ind w:firstLine="0" w:firstLineChars="0"/>
              <w:jc w:val="center"/>
            </w:pPr>
            <w:r>
              <w:rPr>
                <w:rFonts w:hint="eastAsia"/>
                <w:color w:val="000000"/>
              </w:rPr>
              <w:t>驻场</w:t>
            </w:r>
          </w:p>
        </w:tc>
      </w:tr>
      <w:tr w14:paraId="2B7A1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0" w:type="auto"/>
            <w:shd w:val="clear" w:color="auto" w:fill="auto"/>
            <w:noWrap/>
            <w:vAlign w:val="center"/>
          </w:tcPr>
          <w:p w14:paraId="12506640">
            <w:pPr>
              <w:widowControl/>
              <w:spacing w:line="240" w:lineRule="auto"/>
              <w:ind w:firstLine="0" w:firstLineChars="0"/>
              <w:jc w:val="center"/>
            </w:pPr>
            <w:r>
              <w:rPr>
                <w:rFonts w:hint="eastAsia"/>
              </w:rPr>
              <w:t>技术工程师</w:t>
            </w:r>
          </w:p>
        </w:tc>
        <w:tc>
          <w:tcPr>
            <w:tcW w:w="0" w:type="auto"/>
            <w:shd w:val="clear" w:color="auto" w:fill="auto"/>
            <w:noWrap/>
            <w:vAlign w:val="center"/>
          </w:tcPr>
          <w:p w14:paraId="4D186AB1">
            <w:pPr>
              <w:widowControl/>
              <w:spacing w:line="240" w:lineRule="auto"/>
              <w:ind w:firstLine="0" w:firstLineChars="0"/>
              <w:jc w:val="center"/>
            </w:pPr>
            <w:r>
              <w:rPr>
                <w:rFonts w:hint="eastAsia"/>
              </w:rPr>
              <w:t>负责项目运行维护</w:t>
            </w:r>
          </w:p>
        </w:tc>
        <w:tc>
          <w:tcPr>
            <w:tcW w:w="0" w:type="auto"/>
            <w:shd w:val="clear" w:color="auto" w:fill="auto"/>
            <w:noWrap/>
            <w:vAlign w:val="center"/>
          </w:tcPr>
          <w:p w14:paraId="307CD313">
            <w:pPr>
              <w:widowControl/>
              <w:spacing w:line="240" w:lineRule="auto"/>
              <w:ind w:firstLine="0" w:firstLineChars="0"/>
              <w:jc w:val="center"/>
            </w:pPr>
            <w:r>
              <w:rPr>
                <w:rFonts w:hint="eastAsia"/>
                <w:lang w:val="en-US" w:eastAsia="zh-CN"/>
              </w:rPr>
              <w:t>3</w:t>
            </w:r>
            <w:r>
              <w:rPr>
                <w:rFonts w:hint="eastAsia"/>
              </w:rPr>
              <w:t>人</w:t>
            </w:r>
          </w:p>
        </w:tc>
        <w:tc>
          <w:tcPr>
            <w:tcW w:w="0" w:type="auto"/>
            <w:vAlign w:val="center"/>
          </w:tcPr>
          <w:p w14:paraId="22D6B309">
            <w:pPr>
              <w:widowControl/>
              <w:spacing w:line="240" w:lineRule="auto"/>
              <w:ind w:firstLine="0" w:firstLineChars="0"/>
              <w:jc w:val="center"/>
            </w:pPr>
            <w:r>
              <w:rPr>
                <w:rFonts w:hint="eastAsia"/>
              </w:rPr>
              <w:t>本科以上学历</w:t>
            </w:r>
          </w:p>
        </w:tc>
        <w:tc>
          <w:tcPr>
            <w:tcW w:w="0" w:type="auto"/>
            <w:shd w:val="clear" w:color="auto" w:fill="auto"/>
            <w:noWrap/>
            <w:vAlign w:val="center"/>
          </w:tcPr>
          <w:p w14:paraId="3FD365B8">
            <w:pPr>
              <w:widowControl/>
              <w:spacing w:line="240" w:lineRule="auto"/>
              <w:ind w:firstLine="0" w:firstLineChars="0"/>
              <w:jc w:val="center"/>
            </w:pPr>
            <w:r>
              <w:rPr>
                <w:rFonts w:hint="eastAsia"/>
              </w:rPr>
              <w:t>至少</w:t>
            </w:r>
            <w:r>
              <w:rPr>
                <w:rFonts w:hint="eastAsia"/>
                <w:lang w:val="en-US" w:eastAsia="zh-CN"/>
              </w:rPr>
              <w:t>1</w:t>
            </w:r>
            <w:r>
              <w:rPr>
                <w:rFonts w:hint="eastAsia"/>
              </w:rPr>
              <w:t>人驻场</w:t>
            </w:r>
          </w:p>
        </w:tc>
      </w:tr>
    </w:tbl>
    <w:p w14:paraId="07AD0CA4">
      <w:pPr>
        <w:pStyle w:val="3"/>
      </w:pPr>
      <w:bookmarkStart w:id="30" w:name="_Toc63785511"/>
      <w:r>
        <w:t>等级保护要求</w:t>
      </w:r>
      <w:bookmarkEnd w:id="30"/>
    </w:p>
    <w:p w14:paraId="66211E5C">
      <w:r>
        <w:rPr>
          <w:rFonts w:hint="eastAsia"/>
        </w:rPr>
        <w:t>本项目等级保护要求：参照等保二级要求建设。</w:t>
      </w:r>
    </w:p>
    <w:p w14:paraId="433BC7F8">
      <w:pPr>
        <w:pStyle w:val="3"/>
      </w:pPr>
      <w:r>
        <w:rPr>
          <w:rFonts w:hint="eastAsia"/>
        </w:rPr>
        <w:t>商业密码应用需求</w:t>
      </w:r>
    </w:p>
    <w:p w14:paraId="6C1A1077">
      <w:r>
        <w:rPr>
          <w:rFonts w:hint="eastAsia"/>
        </w:rPr>
        <w:t>依据</w:t>
      </w:r>
      <w:r>
        <w:t>GB/T39786—2021《信息安全技术信息系统密码应用基本要求》，结合本系统风险控制需求分析结果，本系统的主要密码应用需求包括。</w:t>
      </w:r>
    </w:p>
    <w:tbl>
      <w:tblPr>
        <w:tblStyle w:val="35"/>
        <w:tblW w:w="5000" w:type="pct"/>
        <w:jc w:val="center"/>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1482"/>
        <w:gridCol w:w="1900"/>
        <w:gridCol w:w="3225"/>
        <w:gridCol w:w="1921"/>
      </w:tblGrid>
      <w:tr w14:paraId="27C37836">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tblHeader/>
          <w:jc w:val="center"/>
        </w:trPr>
        <w:tc>
          <w:tcPr>
            <w:tcW w:w="869" w:type="pct"/>
            <w:shd w:val="clear" w:color="auto" w:fill="D9D9D9"/>
            <w:vAlign w:val="center"/>
          </w:tcPr>
          <w:p w14:paraId="6D8CCBDC">
            <w:pPr>
              <w:widowControl/>
              <w:ind w:firstLine="0" w:firstLineChars="0"/>
              <w:jc w:val="center"/>
              <w:rPr>
                <w:b/>
                <w:bCs/>
                <w:kern w:val="0"/>
                <w:sz w:val="18"/>
                <w:szCs w:val="18"/>
              </w:rPr>
            </w:pPr>
            <w:r>
              <w:rPr>
                <w:b/>
                <w:bCs/>
                <w:kern w:val="0"/>
                <w:sz w:val="18"/>
                <w:szCs w:val="18"/>
              </w:rPr>
              <w:t>指标要求</w:t>
            </w:r>
          </w:p>
        </w:tc>
        <w:tc>
          <w:tcPr>
            <w:tcW w:w="1114" w:type="pct"/>
            <w:shd w:val="clear" w:color="auto" w:fill="D9D9D9"/>
            <w:vAlign w:val="center"/>
          </w:tcPr>
          <w:p w14:paraId="5EBC8AB2">
            <w:pPr>
              <w:widowControl/>
              <w:ind w:firstLine="0" w:firstLineChars="0"/>
              <w:jc w:val="center"/>
              <w:rPr>
                <w:b/>
                <w:bCs/>
                <w:kern w:val="0"/>
                <w:sz w:val="18"/>
                <w:szCs w:val="18"/>
              </w:rPr>
            </w:pPr>
            <w:r>
              <w:rPr>
                <w:b/>
                <w:bCs/>
                <w:kern w:val="0"/>
                <w:sz w:val="18"/>
                <w:szCs w:val="18"/>
              </w:rPr>
              <w:t>密码技术应用点</w:t>
            </w:r>
          </w:p>
        </w:tc>
        <w:tc>
          <w:tcPr>
            <w:tcW w:w="1891" w:type="pct"/>
            <w:shd w:val="clear" w:color="auto" w:fill="D9D9D9"/>
            <w:vAlign w:val="center"/>
          </w:tcPr>
          <w:p w14:paraId="2CD9CEF0">
            <w:pPr>
              <w:widowControl/>
              <w:ind w:firstLine="0" w:firstLineChars="0"/>
              <w:jc w:val="center"/>
              <w:rPr>
                <w:b/>
                <w:bCs/>
                <w:kern w:val="0"/>
                <w:sz w:val="18"/>
                <w:szCs w:val="18"/>
              </w:rPr>
            </w:pPr>
            <w:r>
              <w:rPr>
                <w:rFonts w:hint="eastAsia"/>
                <w:b/>
                <w:bCs/>
                <w:kern w:val="0"/>
                <w:sz w:val="18"/>
                <w:szCs w:val="18"/>
              </w:rPr>
              <w:t>密码应用需求</w:t>
            </w:r>
          </w:p>
        </w:tc>
        <w:tc>
          <w:tcPr>
            <w:tcW w:w="1126" w:type="pct"/>
            <w:shd w:val="clear" w:color="auto" w:fill="D9D9D9"/>
            <w:vAlign w:val="center"/>
          </w:tcPr>
          <w:p w14:paraId="0B83CC95">
            <w:pPr>
              <w:widowControl/>
              <w:ind w:firstLine="0" w:firstLineChars="0"/>
              <w:jc w:val="center"/>
              <w:rPr>
                <w:b/>
                <w:bCs/>
                <w:kern w:val="0"/>
                <w:sz w:val="18"/>
                <w:szCs w:val="18"/>
              </w:rPr>
            </w:pPr>
            <w:r>
              <w:rPr>
                <w:b/>
                <w:bCs/>
                <w:kern w:val="0"/>
                <w:sz w:val="18"/>
                <w:szCs w:val="18"/>
              </w:rPr>
              <w:t>说明</w:t>
            </w:r>
          </w:p>
        </w:tc>
      </w:tr>
      <w:tr w14:paraId="2DB0C37D">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pct"/>
            <w:vMerge w:val="restart"/>
            <w:vAlign w:val="center"/>
          </w:tcPr>
          <w:p w14:paraId="283866FF">
            <w:pPr>
              <w:widowControl/>
              <w:ind w:firstLine="0" w:firstLineChars="0"/>
              <w:jc w:val="center"/>
              <w:rPr>
                <w:kern w:val="0"/>
                <w:sz w:val="18"/>
                <w:szCs w:val="18"/>
              </w:rPr>
            </w:pPr>
            <w:r>
              <w:rPr>
                <w:kern w:val="0"/>
                <w:sz w:val="18"/>
                <w:szCs w:val="18"/>
              </w:rPr>
              <w:t>物理和环境安全</w:t>
            </w:r>
          </w:p>
        </w:tc>
        <w:tc>
          <w:tcPr>
            <w:tcW w:w="1114" w:type="pct"/>
            <w:vAlign w:val="center"/>
          </w:tcPr>
          <w:p w14:paraId="3DABFC0C">
            <w:pPr>
              <w:pStyle w:val="115"/>
              <w:ind w:firstLine="0" w:firstLineChars="0"/>
              <w:rPr>
                <w:rFonts w:hAnsi="宋体"/>
                <w:sz w:val="18"/>
                <w:szCs w:val="18"/>
              </w:rPr>
            </w:pPr>
            <w:r>
              <w:rPr>
                <w:rFonts w:hint="eastAsia" w:hAnsi="宋体"/>
                <w:sz w:val="18"/>
                <w:szCs w:val="18"/>
              </w:rPr>
              <w:t>身份鉴别</w:t>
            </w:r>
          </w:p>
        </w:tc>
        <w:tc>
          <w:tcPr>
            <w:tcW w:w="1891" w:type="pct"/>
            <w:vMerge w:val="restart"/>
            <w:vAlign w:val="center"/>
          </w:tcPr>
          <w:p w14:paraId="2A8F535A">
            <w:pPr>
              <w:widowControl/>
              <w:ind w:firstLine="0" w:firstLineChars="0"/>
              <w:jc w:val="center"/>
              <w:rPr>
                <w:kern w:val="0"/>
                <w:sz w:val="18"/>
                <w:szCs w:val="18"/>
              </w:rPr>
            </w:pPr>
            <w:r>
              <w:rPr>
                <w:rFonts w:hint="eastAsia"/>
                <w:kern w:val="0"/>
                <w:sz w:val="18"/>
                <w:szCs w:val="18"/>
              </w:rPr>
              <w:t>系统的物理和环境安全由云平台提供安全保障，不适用。</w:t>
            </w:r>
          </w:p>
        </w:tc>
        <w:tc>
          <w:tcPr>
            <w:tcW w:w="1126" w:type="pct"/>
            <w:vMerge w:val="restart"/>
            <w:vAlign w:val="center"/>
          </w:tcPr>
          <w:p w14:paraId="46A2C89E">
            <w:pPr>
              <w:widowControl/>
              <w:ind w:firstLine="0" w:firstLineChars="0"/>
              <w:jc w:val="center"/>
              <w:rPr>
                <w:kern w:val="0"/>
                <w:sz w:val="18"/>
                <w:szCs w:val="18"/>
              </w:rPr>
            </w:pPr>
            <w:r>
              <w:rPr>
                <w:rFonts w:hint="eastAsia"/>
                <w:kern w:val="0"/>
                <w:sz w:val="18"/>
                <w:szCs w:val="18"/>
              </w:rPr>
              <w:t>云平台通过密评，已被完全评估</w:t>
            </w:r>
          </w:p>
        </w:tc>
      </w:tr>
      <w:tr w14:paraId="04F8F242">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pct"/>
            <w:vMerge w:val="continue"/>
            <w:vAlign w:val="center"/>
          </w:tcPr>
          <w:p w14:paraId="60026C57">
            <w:pPr>
              <w:widowControl/>
              <w:ind w:firstLine="0" w:firstLineChars="0"/>
              <w:jc w:val="left"/>
              <w:rPr>
                <w:kern w:val="0"/>
                <w:sz w:val="18"/>
                <w:szCs w:val="18"/>
              </w:rPr>
            </w:pPr>
          </w:p>
        </w:tc>
        <w:tc>
          <w:tcPr>
            <w:tcW w:w="1114" w:type="pct"/>
            <w:vAlign w:val="center"/>
          </w:tcPr>
          <w:p w14:paraId="15A6AF77">
            <w:pPr>
              <w:pStyle w:val="115"/>
              <w:ind w:firstLine="0" w:firstLineChars="0"/>
              <w:rPr>
                <w:rFonts w:hAnsi="宋体"/>
                <w:sz w:val="18"/>
                <w:szCs w:val="18"/>
              </w:rPr>
            </w:pPr>
            <w:r>
              <w:rPr>
                <w:rFonts w:hint="eastAsia" w:hAnsi="宋体"/>
                <w:sz w:val="18"/>
                <w:szCs w:val="18"/>
              </w:rPr>
              <w:t>电子门禁记录数据完整性</w:t>
            </w:r>
          </w:p>
        </w:tc>
        <w:tc>
          <w:tcPr>
            <w:tcW w:w="1891" w:type="pct"/>
            <w:vMerge w:val="continue"/>
            <w:vAlign w:val="center"/>
          </w:tcPr>
          <w:p w14:paraId="50163FD5">
            <w:pPr>
              <w:ind w:firstLine="0" w:firstLineChars="0"/>
              <w:jc w:val="center"/>
              <w:rPr>
                <w:kern w:val="0"/>
                <w:sz w:val="18"/>
                <w:szCs w:val="18"/>
              </w:rPr>
            </w:pPr>
          </w:p>
        </w:tc>
        <w:tc>
          <w:tcPr>
            <w:tcW w:w="1126" w:type="pct"/>
            <w:vMerge w:val="continue"/>
            <w:vAlign w:val="center"/>
          </w:tcPr>
          <w:p w14:paraId="41179967">
            <w:pPr>
              <w:widowControl/>
              <w:ind w:firstLine="0" w:firstLineChars="0"/>
              <w:jc w:val="center"/>
              <w:rPr>
                <w:kern w:val="0"/>
                <w:sz w:val="18"/>
                <w:szCs w:val="18"/>
              </w:rPr>
            </w:pPr>
          </w:p>
        </w:tc>
      </w:tr>
      <w:tr w14:paraId="3447808B">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pct"/>
            <w:vMerge w:val="continue"/>
            <w:vAlign w:val="center"/>
          </w:tcPr>
          <w:p w14:paraId="62E42563">
            <w:pPr>
              <w:widowControl/>
              <w:ind w:firstLine="0" w:firstLineChars="0"/>
              <w:jc w:val="left"/>
              <w:rPr>
                <w:kern w:val="0"/>
                <w:sz w:val="18"/>
                <w:szCs w:val="18"/>
              </w:rPr>
            </w:pPr>
          </w:p>
        </w:tc>
        <w:tc>
          <w:tcPr>
            <w:tcW w:w="1114" w:type="pct"/>
            <w:vAlign w:val="center"/>
          </w:tcPr>
          <w:p w14:paraId="73ECD944">
            <w:pPr>
              <w:pStyle w:val="115"/>
              <w:ind w:firstLine="0" w:firstLineChars="0"/>
              <w:rPr>
                <w:rFonts w:hAnsi="宋体"/>
                <w:sz w:val="18"/>
                <w:szCs w:val="18"/>
              </w:rPr>
            </w:pPr>
            <w:r>
              <w:rPr>
                <w:rFonts w:hint="eastAsia" w:hAnsi="宋体"/>
                <w:sz w:val="18"/>
                <w:szCs w:val="18"/>
              </w:rPr>
              <w:t>视频监控记录数据完整性</w:t>
            </w:r>
          </w:p>
        </w:tc>
        <w:tc>
          <w:tcPr>
            <w:tcW w:w="1891" w:type="pct"/>
            <w:vMerge w:val="continue"/>
            <w:vAlign w:val="center"/>
          </w:tcPr>
          <w:p w14:paraId="6340D0B8">
            <w:pPr>
              <w:widowControl/>
              <w:ind w:firstLine="0" w:firstLineChars="0"/>
              <w:jc w:val="center"/>
              <w:rPr>
                <w:kern w:val="0"/>
                <w:sz w:val="18"/>
                <w:szCs w:val="18"/>
              </w:rPr>
            </w:pPr>
          </w:p>
        </w:tc>
        <w:tc>
          <w:tcPr>
            <w:tcW w:w="1126" w:type="pct"/>
            <w:vMerge w:val="continue"/>
            <w:vAlign w:val="center"/>
          </w:tcPr>
          <w:p w14:paraId="25130C01">
            <w:pPr>
              <w:widowControl/>
              <w:ind w:firstLine="0" w:firstLineChars="0"/>
              <w:jc w:val="center"/>
              <w:rPr>
                <w:kern w:val="0"/>
                <w:sz w:val="18"/>
                <w:szCs w:val="18"/>
              </w:rPr>
            </w:pPr>
          </w:p>
        </w:tc>
      </w:tr>
      <w:tr w14:paraId="454DB3D6">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pct"/>
            <w:vMerge w:val="continue"/>
            <w:vAlign w:val="center"/>
          </w:tcPr>
          <w:p w14:paraId="41FAC72C">
            <w:pPr>
              <w:widowControl/>
              <w:ind w:firstLine="0" w:firstLineChars="0"/>
              <w:jc w:val="left"/>
              <w:rPr>
                <w:kern w:val="0"/>
                <w:sz w:val="18"/>
                <w:szCs w:val="18"/>
              </w:rPr>
            </w:pPr>
          </w:p>
        </w:tc>
        <w:tc>
          <w:tcPr>
            <w:tcW w:w="1114" w:type="pct"/>
            <w:vAlign w:val="center"/>
          </w:tcPr>
          <w:p w14:paraId="7F296904">
            <w:pPr>
              <w:pStyle w:val="115"/>
              <w:ind w:firstLine="0" w:firstLineChars="0"/>
              <w:rPr>
                <w:rFonts w:hAnsi="宋体"/>
                <w:sz w:val="18"/>
                <w:szCs w:val="18"/>
              </w:rPr>
            </w:pPr>
            <w:r>
              <w:rPr>
                <w:rFonts w:hint="eastAsia" w:hAnsi="宋体"/>
                <w:sz w:val="18"/>
                <w:szCs w:val="18"/>
              </w:rPr>
              <w:t>密码服务</w:t>
            </w:r>
          </w:p>
        </w:tc>
        <w:tc>
          <w:tcPr>
            <w:tcW w:w="1891" w:type="pct"/>
            <w:vMerge w:val="continue"/>
            <w:vAlign w:val="center"/>
          </w:tcPr>
          <w:p w14:paraId="5F39CA27">
            <w:pPr>
              <w:widowControl/>
              <w:ind w:firstLine="0" w:firstLineChars="0"/>
              <w:jc w:val="center"/>
              <w:rPr>
                <w:kern w:val="0"/>
                <w:sz w:val="18"/>
                <w:szCs w:val="18"/>
              </w:rPr>
            </w:pPr>
          </w:p>
        </w:tc>
        <w:tc>
          <w:tcPr>
            <w:tcW w:w="1126" w:type="pct"/>
            <w:vMerge w:val="continue"/>
            <w:vAlign w:val="center"/>
          </w:tcPr>
          <w:p w14:paraId="612F41F9">
            <w:pPr>
              <w:widowControl/>
              <w:ind w:firstLine="0" w:firstLineChars="0"/>
              <w:jc w:val="center"/>
              <w:rPr>
                <w:kern w:val="0"/>
                <w:sz w:val="18"/>
                <w:szCs w:val="18"/>
              </w:rPr>
            </w:pPr>
          </w:p>
        </w:tc>
      </w:tr>
      <w:tr w14:paraId="3040A105">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pct"/>
            <w:vMerge w:val="continue"/>
            <w:vAlign w:val="center"/>
          </w:tcPr>
          <w:p w14:paraId="6BD84A62">
            <w:pPr>
              <w:widowControl/>
              <w:ind w:firstLine="0" w:firstLineChars="0"/>
              <w:jc w:val="left"/>
              <w:rPr>
                <w:kern w:val="0"/>
                <w:sz w:val="18"/>
                <w:szCs w:val="18"/>
              </w:rPr>
            </w:pPr>
          </w:p>
        </w:tc>
        <w:tc>
          <w:tcPr>
            <w:tcW w:w="1114" w:type="pct"/>
            <w:vAlign w:val="center"/>
          </w:tcPr>
          <w:p w14:paraId="3449100B">
            <w:pPr>
              <w:pStyle w:val="115"/>
              <w:ind w:firstLine="0" w:firstLineChars="0"/>
              <w:rPr>
                <w:rFonts w:hAnsi="宋体"/>
                <w:sz w:val="18"/>
                <w:szCs w:val="18"/>
              </w:rPr>
            </w:pPr>
            <w:r>
              <w:rPr>
                <w:rFonts w:hint="eastAsia" w:hAnsi="宋体"/>
                <w:sz w:val="18"/>
                <w:szCs w:val="18"/>
              </w:rPr>
              <w:t>密码产品</w:t>
            </w:r>
          </w:p>
        </w:tc>
        <w:tc>
          <w:tcPr>
            <w:tcW w:w="1891" w:type="pct"/>
            <w:vMerge w:val="continue"/>
            <w:vAlign w:val="center"/>
          </w:tcPr>
          <w:p w14:paraId="019B41D5">
            <w:pPr>
              <w:widowControl/>
              <w:ind w:firstLine="0" w:firstLineChars="0"/>
              <w:jc w:val="center"/>
              <w:rPr>
                <w:kern w:val="0"/>
                <w:sz w:val="18"/>
                <w:szCs w:val="18"/>
              </w:rPr>
            </w:pPr>
          </w:p>
        </w:tc>
        <w:tc>
          <w:tcPr>
            <w:tcW w:w="1126" w:type="pct"/>
            <w:vMerge w:val="continue"/>
            <w:vAlign w:val="center"/>
          </w:tcPr>
          <w:p w14:paraId="7F3C9801">
            <w:pPr>
              <w:widowControl/>
              <w:ind w:firstLine="0" w:firstLineChars="0"/>
              <w:jc w:val="center"/>
              <w:rPr>
                <w:kern w:val="0"/>
                <w:sz w:val="18"/>
                <w:szCs w:val="18"/>
              </w:rPr>
            </w:pPr>
          </w:p>
        </w:tc>
      </w:tr>
      <w:tr w14:paraId="5C6F3B0D">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pct"/>
            <w:vMerge w:val="restart"/>
            <w:vAlign w:val="center"/>
          </w:tcPr>
          <w:p w14:paraId="7BC4F387">
            <w:pPr>
              <w:widowControl/>
              <w:ind w:firstLine="0" w:firstLineChars="0"/>
              <w:jc w:val="center"/>
              <w:rPr>
                <w:kern w:val="0"/>
                <w:sz w:val="18"/>
                <w:szCs w:val="18"/>
              </w:rPr>
            </w:pPr>
            <w:r>
              <w:rPr>
                <w:kern w:val="0"/>
                <w:sz w:val="18"/>
                <w:szCs w:val="18"/>
              </w:rPr>
              <w:t>网络和通信安全</w:t>
            </w:r>
          </w:p>
        </w:tc>
        <w:tc>
          <w:tcPr>
            <w:tcW w:w="1114" w:type="pct"/>
            <w:vMerge w:val="restart"/>
            <w:vAlign w:val="center"/>
          </w:tcPr>
          <w:p w14:paraId="2B94387C">
            <w:pPr>
              <w:pStyle w:val="115"/>
              <w:ind w:firstLine="0" w:firstLineChars="0"/>
              <w:rPr>
                <w:rFonts w:hAnsi="宋体"/>
                <w:sz w:val="18"/>
                <w:szCs w:val="18"/>
              </w:rPr>
            </w:pPr>
            <w:r>
              <w:rPr>
                <w:rFonts w:hint="eastAsia" w:hAnsi="宋体"/>
                <w:sz w:val="18"/>
                <w:szCs w:val="18"/>
              </w:rPr>
              <w:t>身份鉴别</w:t>
            </w:r>
          </w:p>
        </w:tc>
        <w:tc>
          <w:tcPr>
            <w:tcW w:w="1891" w:type="pct"/>
            <w:vAlign w:val="center"/>
          </w:tcPr>
          <w:p w14:paraId="1B99D3A7">
            <w:pPr>
              <w:widowControl/>
              <w:ind w:firstLine="0" w:firstLineChars="0"/>
              <w:jc w:val="center"/>
              <w:rPr>
                <w:kern w:val="0"/>
                <w:sz w:val="18"/>
                <w:szCs w:val="18"/>
              </w:rPr>
            </w:pPr>
            <w:r>
              <w:rPr>
                <w:rFonts w:hint="eastAsia"/>
                <w:kern w:val="0"/>
                <w:sz w:val="18"/>
                <w:szCs w:val="18"/>
              </w:rPr>
              <w:t>确保PC终端和服务端通信实体身份的真实性，防止与假冒实体进行通信</w:t>
            </w:r>
          </w:p>
        </w:tc>
        <w:tc>
          <w:tcPr>
            <w:tcW w:w="1126" w:type="pct"/>
            <w:vAlign w:val="center"/>
          </w:tcPr>
          <w:p w14:paraId="1F26277D">
            <w:pPr>
              <w:widowControl/>
              <w:ind w:firstLine="0" w:firstLineChars="0"/>
              <w:jc w:val="center"/>
              <w:rPr>
                <w:kern w:val="0"/>
                <w:sz w:val="18"/>
                <w:szCs w:val="18"/>
              </w:rPr>
            </w:pPr>
          </w:p>
        </w:tc>
      </w:tr>
      <w:tr w14:paraId="1BD4E2A8">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pct"/>
            <w:vMerge w:val="continue"/>
            <w:vAlign w:val="center"/>
          </w:tcPr>
          <w:p w14:paraId="300EE194">
            <w:pPr>
              <w:widowControl/>
              <w:ind w:firstLine="0" w:firstLineChars="0"/>
              <w:jc w:val="center"/>
              <w:rPr>
                <w:kern w:val="0"/>
                <w:sz w:val="18"/>
                <w:szCs w:val="18"/>
              </w:rPr>
            </w:pPr>
          </w:p>
        </w:tc>
        <w:tc>
          <w:tcPr>
            <w:tcW w:w="1114" w:type="pct"/>
            <w:vMerge w:val="continue"/>
            <w:vAlign w:val="center"/>
          </w:tcPr>
          <w:p w14:paraId="5690EE1C">
            <w:pPr>
              <w:pStyle w:val="115"/>
              <w:ind w:firstLine="0" w:firstLineChars="0"/>
              <w:rPr>
                <w:rFonts w:hAnsi="宋体"/>
                <w:sz w:val="18"/>
                <w:szCs w:val="18"/>
              </w:rPr>
            </w:pPr>
          </w:p>
        </w:tc>
        <w:tc>
          <w:tcPr>
            <w:tcW w:w="1891" w:type="pct"/>
            <w:vAlign w:val="center"/>
          </w:tcPr>
          <w:p w14:paraId="3A6D442B">
            <w:pPr>
              <w:widowControl/>
              <w:ind w:firstLine="0" w:firstLineChars="0"/>
              <w:jc w:val="center"/>
              <w:rPr>
                <w:kern w:val="0"/>
                <w:sz w:val="18"/>
                <w:szCs w:val="18"/>
              </w:rPr>
            </w:pPr>
            <w:r>
              <w:rPr>
                <w:rFonts w:hint="eastAsia"/>
                <w:kern w:val="0"/>
                <w:sz w:val="18"/>
                <w:szCs w:val="18"/>
              </w:rPr>
              <w:t>管理端的身份鉴别由云平台提供安全保障。</w:t>
            </w:r>
          </w:p>
        </w:tc>
        <w:tc>
          <w:tcPr>
            <w:tcW w:w="1126" w:type="pct"/>
            <w:vAlign w:val="center"/>
          </w:tcPr>
          <w:p w14:paraId="69A12103">
            <w:pPr>
              <w:widowControl/>
              <w:ind w:firstLine="0" w:firstLineChars="0"/>
              <w:jc w:val="center"/>
              <w:rPr>
                <w:kern w:val="0"/>
                <w:sz w:val="18"/>
                <w:szCs w:val="18"/>
              </w:rPr>
            </w:pPr>
          </w:p>
        </w:tc>
      </w:tr>
      <w:tr w14:paraId="6326D18C">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pct"/>
            <w:vMerge w:val="continue"/>
            <w:vAlign w:val="center"/>
          </w:tcPr>
          <w:p w14:paraId="04DCB5A1">
            <w:pPr>
              <w:widowControl/>
              <w:ind w:firstLine="0" w:firstLineChars="0"/>
              <w:jc w:val="left"/>
              <w:rPr>
                <w:kern w:val="0"/>
                <w:sz w:val="18"/>
                <w:szCs w:val="18"/>
              </w:rPr>
            </w:pPr>
          </w:p>
        </w:tc>
        <w:tc>
          <w:tcPr>
            <w:tcW w:w="1114" w:type="pct"/>
            <w:vMerge w:val="restart"/>
            <w:vAlign w:val="center"/>
          </w:tcPr>
          <w:p w14:paraId="07AE51D4">
            <w:pPr>
              <w:pStyle w:val="115"/>
              <w:ind w:firstLine="0" w:firstLineChars="0"/>
              <w:rPr>
                <w:rFonts w:hAnsi="宋体"/>
                <w:sz w:val="18"/>
                <w:szCs w:val="18"/>
              </w:rPr>
            </w:pPr>
            <w:r>
              <w:rPr>
                <w:rFonts w:hint="eastAsia" w:hAnsi="宋体"/>
                <w:sz w:val="18"/>
                <w:szCs w:val="18"/>
              </w:rPr>
              <w:t>通信数据完整性</w:t>
            </w:r>
          </w:p>
        </w:tc>
        <w:tc>
          <w:tcPr>
            <w:tcW w:w="1891" w:type="pct"/>
            <w:vAlign w:val="center"/>
          </w:tcPr>
          <w:p w14:paraId="0BF3CF4D">
            <w:pPr>
              <w:widowControl/>
              <w:ind w:firstLine="0" w:firstLineChars="0"/>
              <w:jc w:val="center"/>
              <w:rPr>
                <w:kern w:val="0"/>
                <w:sz w:val="18"/>
                <w:szCs w:val="18"/>
              </w:rPr>
            </w:pPr>
            <w:r>
              <w:rPr>
                <w:rFonts w:hint="eastAsia"/>
                <w:kern w:val="0"/>
                <w:sz w:val="18"/>
                <w:szCs w:val="18"/>
              </w:rPr>
              <w:t>保护终端和服务端通信过程中业务数据的完整性，防止数据被非授权篡改</w:t>
            </w:r>
          </w:p>
        </w:tc>
        <w:tc>
          <w:tcPr>
            <w:tcW w:w="1126" w:type="pct"/>
            <w:vAlign w:val="center"/>
          </w:tcPr>
          <w:p w14:paraId="270825DE">
            <w:pPr>
              <w:widowControl/>
              <w:ind w:firstLine="0" w:firstLineChars="0"/>
              <w:jc w:val="center"/>
              <w:rPr>
                <w:kern w:val="0"/>
                <w:sz w:val="18"/>
                <w:szCs w:val="18"/>
              </w:rPr>
            </w:pPr>
          </w:p>
        </w:tc>
      </w:tr>
      <w:tr w14:paraId="2C56C35A">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pct"/>
            <w:vMerge w:val="continue"/>
            <w:vAlign w:val="center"/>
          </w:tcPr>
          <w:p w14:paraId="33425D83">
            <w:pPr>
              <w:widowControl/>
              <w:ind w:firstLine="0" w:firstLineChars="0"/>
              <w:jc w:val="left"/>
              <w:rPr>
                <w:kern w:val="0"/>
                <w:sz w:val="18"/>
                <w:szCs w:val="18"/>
              </w:rPr>
            </w:pPr>
          </w:p>
        </w:tc>
        <w:tc>
          <w:tcPr>
            <w:tcW w:w="1114" w:type="pct"/>
            <w:vMerge w:val="continue"/>
            <w:vAlign w:val="center"/>
          </w:tcPr>
          <w:p w14:paraId="62AD40FB">
            <w:pPr>
              <w:pStyle w:val="115"/>
              <w:ind w:firstLine="0" w:firstLineChars="0"/>
              <w:rPr>
                <w:rFonts w:hAnsi="宋体"/>
                <w:sz w:val="18"/>
                <w:szCs w:val="18"/>
              </w:rPr>
            </w:pPr>
          </w:p>
        </w:tc>
        <w:tc>
          <w:tcPr>
            <w:tcW w:w="1891" w:type="pct"/>
            <w:vAlign w:val="center"/>
          </w:tcPr>
          <w:p w14:paraId="585B5858">
            <w:pPr>
              <w:widowControl/>
              <w:ind w:firstLine="0" w:firstLineChars="0"/>
              <w:jc w:val="center"/>
              <w:rPr>
                <w:kern w:val="0"/>
                <w:sz w:val="18"/>
                <w:szCs w:val="18"/>
              </w:rPr>
            </w:pPr>
            <w:r>
              <w:rPr>
                <w:rFonts w:hint="eastAsia"/>
                <w:kern w:val="0"/>
                <w:sz w:val="18"/>
                <w:szCs w:val="18"/>
              </w:rPr>
              <w:t>管理端进行远程运维管理时的运维通信数据完整性由云平台提供安全保障</w:t>
            </w:r>
          </w:p>
        </w:tc>
        <w:tc>
          <w:tcPr>
            <w:tcW w:w="1126" w:type="pct"/>
            <w:vAlign w:val="center"/>
          </w:tcPr>
          <w:p w14:paraId="3DA23D5E">
            <w:pPr>
              <w:widowControl/>
              <w:ind w:firstLine="0" w:firstLineChars="0"/>
              <w:jc w:val="center"/>
              <w:rPr>
                <w:kern w:val="0"/>
                <w:sz w:val="18"/>
                <w:szCs w:val="18"/>
              </w:rPr>
            </w:pPr>
          </w:p>
        </w:tc>
      </w:tr>
      <w:tr w14:paraId="10501E35">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pct"/>
            <w:vMerge w:val="continue"/>
            <w:vAlign w:val="center"/>
          </w:tcPr>
          <w:p w14:paraId="43039CAC">
            <w:pPr>
              <w:widowControl/>
              <w:ind w:firstLine="0" w:firstLineChars="0"/>
              <w:jc w:val="left"/>
              <w:rPr>
                <w:kern w:val="0"/>
                <w:sz w:val="18"/>
                <w:szCs w:val="18"/>
              </w:rPr>
            </w:pPr>
          </w:p>
        </w:tc>
        <w:tc>
          <w:tcPr>
            <w:tcW w:w="1114" w:type="pct"/>
            <w:vMerge w:val="restart"/>
            <w:vAlign w:val="center"/>
          </w:tcPr>
          <w:p w14:paraId="03065603">
            <w:pPr>
              <w:pStyle w:val="115"/>
              <w:ind w:firstLine="0" w:firstLineChars="0"/>
              <w:rPr>
                <w:rFonts w:hAnsi="宋体"/>
                <w:sz w:val="18"/>
                <w:szCs w:val="18"/>
              </w:rPr>
            </w:pPr>
            <w:r>
              <w:rPr>
                <w:rFonts w:hint="eastAsia" w:hAnsi="宋体"/>
                <w:sz w:val="18"/>
                <w:szCs w:val="18"/>
              </w:rPr>
              <w:t>通信过程中重要数据的机密性</w:t>
            </w:r>
          </w:p>
        </w:tc>
        <w:tc>
          <w:tcPr>
            <w:tcW w:w="1891" w:type="pct"/>
            <w:vAlign w:val="center"/>
          </w:tcPr>
          <w:p w14:paraId="3182A3F8">
            <w:pPr>
              <w:widowControl/>
              <w:ind w:firstLine="0" w:firstLineChars="0"/>
              <w:jc w:val="center"/>
              <w:rPr>
                <w:kern w:val="0"/>
                <w:sz w:val="18"/>
                <w:szCs w:val="18"/>
              </w:rPr>
            </w:pPr>
            <w:r>
              <w:rPr>
                <w:rFonts w:hint="eastAsia"/>
                <w:kern w:val="0"/>
                <w:sz w:val="18"/>
                <w:szCs w:val="18"/>
              </w:rPr>
              <w:t>保护PC终端和服务端通信过程中业务数据的机密性，防止重要数据泄露。</w:t>
            </w:r>
          </w:p>
        </w:tc>
        <w:tc>
          <w:tcPr>
            <w:tcW w:w="1126" w:type="pct"/>
            <w:vAlign w:val="center"/>
          </w:tcPr>
          <w:p w14:paraId="1DD0624F">
            <w:pPr>
              <w:widowControl/>
              <w:ind w:firstLine="0" w:firstLineChars="0"/>
              <w:jc w:val="center"/>
              <w:rPr>
                <w:kern w:val="0"/>
                <w:sz w:val="18"/>
                <w:szCs w:val="18"/>
              </w:rPr>
            </w:pPr>
          </w:p>
        </w:tc>
      </w:tr>
      <w:tr w14:paraId="318A850A">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pct"/>
            <w:vMerge w:val="continue"/>
            <w:vAlign w:val="center"/>
          </w:tcPr>
          <w:p w14:paraId="4B3AB11F">
            <w:pPr>
              <w:widowControl/>
              <w:ind w:firstLine="0" w:firstLineChars="0"/>
              <w:jc w:val="left"/>
              <w:rPr>
                <w:kern w:val="0"/>
                <w:sz w:val="18"/>
                <w:szCs w:val="18"/>
              </w:rPr>
            </w:pPr>
          </w:p>
        </w:tc>
        <w:tc>
          <w:tcPr>
            <w:tcW w:w="1114" w:type="pct"/>
            <w:vMerge w:val="continue"/>
            <w:vAlign w:val="center"/>
          </w:tcPr>
          <w:p w14:paraId="0AB4B172">
            <w:pPr>
              <w:pStyle w:val="115"/>
              <w:ind w:firstLine="0" w:firstLineChars="0"/>
              <w:rPr>
                <w:rFonts w:hAnsi="宋体"/>
                <w:sz w:val="18"/>
                <w:szCs w:val="18"/>
              </w:rPr>
            </w:pPr>
          </w:p>
        </w:tc>
        <w:tc>
          <w:tcPr>
            <w:tcW w:w="1891" w:type="pct"/>
            <w:vAlign w:val="center"/>
          </w:tcPr>
          <w:p w14:paraId="1921163D">
            <w:pPr>
              <w:widowControl/>
              <w:ind w:firstLine="0" w:firstLineChars="0"/>
              <w:jc w:val="center"/>
              <w:rPr>
                <w:kern w:val="0"/>
                <w:sz w:val="18"/>
                <w:szCs w:val="18"/>
              </w:rPr>
            </w:pPr>
            <w:r>
              <w:rPr>
                <w:rFonts w:hint="eastAsia"/>
                <w:kern w:val="0"/>
                <w:sz w:val="18"/>
                <w:szCs w:val="18"/>
              </w:rPr>
              <w:t>管理端进行远程运维管理时的运维通信数据机密性由云平台提供安全保障</w:t>
            </w:r>
          </w:p>
        </w:tc>
        <w:tc>
          <w:tcPr>
            <w:tcW w:w="1126" w:type="pct"/>
            <w:vAlign w:val="center"/>
          </w:tcPr>
          <w:p w14:paraId="48F951C7">
            <w:pPr>
              <w:widowControl/>
              <w:ind w:firstLine="0" w:firstLineChars="0"/>
              <w:jc w:val="center"/>
              <w:rPr>
                <w:kern w:val="0"/>
                <w:sz w:val="18"/>
                <w:szCs w:val="18"/>
              </w:rPr>
            </w:pPr>
          </w:p>
        </w:tc>
      </w:tr>
      <w:tr w14:paraId="63A968E5">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pct"/>
            <w:vMerge w:val="continue"/>
            <w:vAlign w:val="center"/>
          </w:tcPr>
          <w:p w14:paraId="05E66559">
            <w:pPr>
              <w:widowControl/>
              <w:ind w:firstLine="0" w:firstLineChars="0"/>
              <w:jc w:val="left"/>
              <w:rPr>
                <w:kern w:val="0"/>
                <w:sz w:val="18"/>
                <w:szCs w:val="18"/>
              </w:rPr>
            </w:pPr>
          </w:p>
        </w:tc>
        <w:tc>
          <w:tcPr>
            <w:tcW w:w="1114" w:type="pct"/>
            <w:vAlign w:val="center"/>
          </w:tcPr>
          <w:p w14:paraId="75B575DE">
            <w:pPr>
              <w:pStyle w:val="115"/>
              <w:ind w:firstLine="0" w:firstLineChars="0"/>
              <w:rPr>
                <w:rFonts w:hAnsi="宋体"/>
                <w:sz w:val="18"/>
                <w:szCs w:val="18"/>
              </w:rPr>
            </w:pPr>
            <w:r>
              <w:rPr>
                <w:rFonts w:hint="eastAsia" w:hAnsi="宋体"/>
                <w:sz w:val="18"/>
                <w:szCs w:val="18"/>
              </w:rPr>
              <w:t>网络边界访问控制信息的完整性</w:t>
            </w:r>
          </w:p>
        </w:tc>
        <w:tc>
          <w:tcPr>
            <w:tcW w:w="1891" w:type="pct"/>
            <w:vAlign w:val="center"/>
          </w:tcPr>
          <w:p w14:paraId="7C917DB6">
            <w:pPr>
              <w:widowControl/>
              <w:ind w:firstLine="0" w:firstLineChars="0"/>
              <w:jc w:val="center"/>
              <w:rPr>
                <w:kern w:val="0"/>
                <w:sz w:val="18"/>
                <w:szCs w:val="18"/>
              </w:rPr>
            </w:pPr>
            <w:r>
              <w:rPr>
                <w:rFonts w:hint="eastAsia"/>
                <w:kern w:val="0"/>
                <w:sz w:val="18"/>
                <w:szCs w:val="18"/>
              </w:rPr>
              <w:t>系统网络拓扑中不同区域网络边界需确保访问控制信息的完整性</w:t>
            </w:r>
          </w:p>
        </w:tc>
        <w:tc>
          <w:tcPr>
            <w:tcW w:w="1126" w:type="pct"/>
            <w:vAlign w:val="center"/>
          </w:tcPr>
          <w:p w14:paraId="0FAAC09D">
            <w:pPr>
              <w:widowControl/>
              <w:ind w:firstLine="0" w:firstLineChars="0"/>
              <w:jc w:val="center"/>
              <w:rPr>
                <w:kern w:val="0"/>
                <w:sz w:val="18"/>
                <w:szCs w:val="18"/>
              </w:rPr>
            </w:pPr>
          </w:p>
        </w:tc>
      </w:tr>
      <w:tr w14:paraId="02496D30">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pct"/>
            <w:vMerge w:val="continue"/>
            <w:vAlign w:val="center"/>
          </w:tcPr>
          <w:p w14:paraId="3364B80A">
            <w:pPr>
              <w:widowControl/>
              <w:ind w:firstLine="0" w:firstLineChars="0"/>
              <w:jc w:val="left"/>
              <w:rPr>
                <w:kern w:val="0"/>
                <w:sz w:val="18"/>
                <w:szCs w:val="18"/>
              </w:rPr>
            </w:pPr>
          </w:p>
        </w:tc>
        <w:tc>
          <w:tcPr>
            <w:tcW w:w="1114" w:type="pct"/>
            <w:vAlign w:val="center"/>
          </w:tcPr>
          <w:p w14:paraId="7A0A6549">
            <w:pPr>
              <w:pStyle w:val="115"/>
              <w:ind w:firstLine="0" w:firstLineChars="0"/>
              <w:rPr>
                <w:rFonts w:hAnsi="宋体"/>
                <w:sz w:val="18"/>
                <w:szCs w:val="18"/>
              </w:rPr>
            </w:pPr>
            <w:r>
              <w:rPr>
                <w:rFonts w:hint="eastAsia" w:hAnsi="宋体"/>
                <w:sz w:val="18"/>
                <w:szCs w:val="18"/>
              </w:rPr>
              <w:t>安全接入认证</w:t>
            </w:r>
          </w:p>
        </w:tc>
        <w:tc>
          <w:tcPr>
            <w:tcW w:w="1891" w:type="pct"/>
            <w:vAlign w:val="center"/>
          </w:tcPr>
          <w:p w14:paraId="0C2D3EE2">
            <w:pPr>
              <w:widowControl/>
              <w:ind w:firstLine="0" w:firstLineChars="0"/>
              <w:jc w:val="center"/>
              <w:rPr>
                <w:kern w:val="0"/>
                <w:sz w:val="18"/>
                <w:szCs w:val="18"/>
              </w:rPr>
            </w:pPr>
            <w:r>
              <w:rPr>
                <w:rFonts w:hint="eastAsia"/>
                <w:kern w:val="0"/>
                <w:sz w:val="18"/>
                <w:szCs w:val="18"/>
              </w:rPr>
              <w:t>不适用</w:t>
            </w:r>
          </w:p>
        </w:tc>
        <w:tc>
          <w:tcPr>
            <w:tcW w:w="1126" w:type="pct"/>
            <w:vAlign w:val="center"/>
          </w:tcPr>
          <w:p w14:paraId="4E18956B">
            <w:pPr>
              <w:widowControl/>
              <w:ind w:firstLine="0" w:firstLineChars="0"/>
              <w:jc w:val="center"/>
              <w:rPr>
                <w:kern w:val="0"/>
                <w:sz w:val="18"/>
                <w:szCs w:val="18"/>
              </w:rPr>
            </w:pPr>
            <w:r>
              <w:rPr>
                <w:rFonts w:hint="eastAsia"/>
                <w:kern w:val="0"/>
                <w:sz w:val="18"/>
                <w:szCs w:val="18"/>
              </w:rPr>
              <w:t>无外部接入设备</w:t>
            </w:r>
          </w:p>
        </w:tc>
      </w:tr>
      <w:tr w14:paraId="2238FE82">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pct"/>
            <w:vMerge w:val="continue"/>
            <w:vAlign w:val="center"/>
          </w:tcPr>
          <w:p w14:paraId="741A2A36">
            <w:pPr>
              <w:widowControl/>
              <w:ind w:firstLine="0" w:firstLineChars="0"/>
              <w:jc w:val="left"/>
              <w:rPr>
                <w:kern w:val="0"/>
                <w:sz w:val="18"/>
                <w:szCs w:val="18"/>
              </w:rPr>
            </w:pPr>
          </w:p>
        </w:tc>
        <w:tc>
          <w:tcPr>
            <w:tcW w:w="1114" w:type="pct"/>
            <w:vAlign w:val="center"/>
          </w:tcPr>
          <w:p w14:paraId="65DA1981">
            <w:pPr>
              <w:pStyle w:val="115"/>
              <w:ind w:firstLine="0" w:firstLineChars="0"/>
              <w:rPr>
                <w:rFonts w:hAnsi="宋体"/>
                <w:sz w:val="18"/>
                <w:szCs w:val="18"/>
              </w:rPr>
            </w:pPr>
            <w:r>
              <w:rPr>
                <w:rFonts w:hint="eastAsia" w:hAnsi="宋体"/>
                <w:sz w:val="18"/>
                <w:szCs w:val="18"/>
              </w:rPr>
              <w:t>密码服务</w:t>
            </w:r>
          </w:p>
        </w:tc>
        <w:tc>
          <w:tcPr>
            <w:tcW w:w="1891" w:type="pct"/>
            <w:vAlign w:val="center"/>
          </w:tcPr>
          <w:p w14:paraId="3A803B12">
            <w:pPr>
              <w:widowControl/>
              <w:ind w:firstLine="0" w:firstLineChars="0"/>
              <w:jc w:val="center"/>
              <w:rPr>
                <w:kern w:val="0"/>
                <w:sz w:val="18"/>
                <w:szCs w:val="18"/>
              </w:rPr>
            </w:pPr>
            <w:r>
              <w:rPr>
                <w:rFonts w:hint="eastAsia"/>
                <w:kern w:val="0"/>
                <w:sz w:val="18"/>
                <w:szCs w:val="18"/>
              </w:rPr>
              <w:t>采用的数字证书由具备资质的电子认证服务机构签发</w:t>
            </w:r>
          </w:p>
        </w:tc>
        <w:tc>
          <w:tcPr>
            <w:tcW w:w="1126" w:type="pct"/>
            <w:vAlign w:val="center"/>
          </w:tcPr>
          <w:p w14:paraId="19FE8A32">
            <w:pPr>
              <w:widowControl/>
              <w:ind w:firstLine="0" w:firstLineChars="0"/>
              <w:jc w:val="center"/>
              <w:rPr>
                <w:kern w:val="0"/>
                <w:sz w:val="18"/>
                <w:szCs w:val="18"/>
              </w:rPr>
            </w:pPr>
          </w:p>
        </w:tc>
      </w:tr>
      <w:tr w14:paraId="4E0AB35B">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pct"/>
            <w:vMerge w:val="continue"/>
            <w:vAlign w:val="center"/>
          </w:tcPr>
          <w:p w14:paraId="2AEFFF01">
            <w:pPr>
              <w:widowControl/>
              <w:ind w:firstLine="0" w:firstLineChars="0"/>
              <w:jc w:val="left"/>
              <w:rPr>
                <w:kern w:val="0"/>
                <w:sz w:val="18"/>
                <w:szCs w:val="18"/>
              </w:rPr>
            </w:pPr>
          </w:p>
        </w:tc>
        <w:tc>
          <w:tcPr>
            <w:tcW w:w="1114" w:type="pct"/>
            <w:vAlign w:val="center"/>
          </w:tcPr>
          <w:p w14:paraId="5F476AEF">
            <w:pPr>
              <w:pStyle w:val="115"/>
              <w:ind w:firstLine="0" w:firstLineChars="0"/>
              <w:rPr>
                <w:rFonts w:hAnsi="宋体"/>
                <w:sz w:val="18"/>
                <w:szCs w:val="18"/>
              </w:rPr>
            </w:pPr>
            <w:r>
              <w:rPr>
                <w:rFonts w:hint="eastAsia" w:hAnsi="宋体"/>
                <w:sz w:val="18"/>
                <w:szCs w:val="18"/>
              </w:rPr>
              <w:t>密码产品</w:t>
            </w:r>
          </w:p>
        </w:tc>
        <w:tc>
          <w:tcPr>
            <w:tcW w:w="1891" w:type="pct"/>
            <w:vAlign w:val="center"/>
          </w:tcPr>
          <w:p w14:paraId="00BD9B1B">
            <w:pPr>
              <w:widowControl/>
              <w:ind w:firstLine="0" w:firstLineChars="0"/>
              <w:jc w:val="center"/>
              <w:rPr>
                <w:kern w:val="0"/>
                <w:sz w:val="18"/>
                <w:szCs w:val="18"/>
              </w:rPr>
            </w:pPr>
            <w:r>
              <w:rPr>
                <w:rFonts w:hint="eastAsia"/>
                <w:kern w:val="0"/>
                <w:sz w:val="18"/>
                <w:szCs w:val="18"/>
              </w:rPr>
              <w:t>服务端相关的密码服务由云平台提供</w:t>
            </w:r>
          </w:p>
        </w:tc>
        <w:tc>
          <w:tcPr>
            <w:tcW w:w="1126" w:type="pct"/>
            <w:vAlign w:val="center"/>
          </w:tcPr>
          <w:p w14:paraId="44B15532">
            <w:pPr>
              <w:widowControl/>
              <w:ind w:firstLine="0" w:firstLineChars="0"/>
              <w:jc w:val="center"/>
              <w:rPr>
                <w:kern w:val="0"/>
                <w:sz w:val="18"/>
                <w:szCs w:val="18"/>
              </w:rPr>
            </w:pPr>
          </w:p>
        </w:tc>
      </w:tr>
      <w:tr w14:paraId="5166ADB0">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pct"/>
            <w:vMerge w:val="restart"/>
            <w:vAlign w:val="center"/>
          </w:tcPr>
          <w:p w14:paraId="2E20F826">
            <w:pPr>
              <w:widowControl/>
              <w:ind w:firstLine="0" w:firstLineChars="0"/>
              <w:jc w:val="center"/>
              <w:rPr>
                <w:kern w:val="0"/>
                <w:sz w:val="18"/>
                <w:szCs w:val="18"/>
              </w:rPr>
            </w:pPr>
            <w:r>
              <w:rPr>
                <w:kern w:val="0"/>
                <w:sz w:val="18"/>
                <w:szCs w:val="18"/>
              </w:rPr>
              <w:t>设备和计算安全</w:t>
            </w:r>
          </w:p>
        </w:tc>
        <w:tc>
          <w:tcPr>
            <w:tcW w:w="1114" w:type="pct"/>
            <w:vAlign w:val="center"/>
          </w:tcPr>
          <w:p w14:paraId="528037D0">
            <w:pPr>
              <w:pStyle w:val="115"/>
              <w:ind w:firstLine="0" w:firstLineChars="0"/>
              <w:rPr>
                <w:rFonts w:hAnsi="宋体"/>
                <w:sz w:val="18"/>
                <w:szCs w:val="18"/>
              </w:rPr>
            </w:pPr>
            <w:r>
              <w:rPr>
                <w:rFonts w:hint="eastAsia" w:hAnsi="宋体"/>
                <w:sz w:val="18"/>
                <w:szCs w:val="18"/>
              </w:rPr>
              <w:t>身份鉴别</w:t>
            </w:r>
          </w:p>
        </w:tc>
        <w:tc>
          <w:tcPr>
            <w:tcW w:w="1891" w:type="pct"/>
            <w:vAlign w:val="center"/>
          </w:tcPr>
          <w:p w14:paraId="7BF1BB81">
            <w:pPr>
              <w:widowControl/>
              <w:ind w:firstLine="0" w:firstLineChars="0"/>
              <w:jc w:val="center"/>
              <w:rPr>
                <w:kern w:val="0"/>
                <w:sz w:val="18"/>
                <w:szCs w:val="18"/>
              </w:rPr>
            </w:pPr>
            <w:r>
              <w:rPr>
                <w:rFonts w:hint="eastAsia"/>
                <w:kern w:val="0"/>
                <w:sz w:val="18"/>
                <w:szCs w:val="18"/>
              </w:rPr>
              <w:t>对远程登录设备的用户身份真实性进行鉴别，防止假冒用户登录</w:t>
            </w:r>
          </w:p>
        </w:tc>
        <w:tc>
          <w:tcPr>
            <w:tcW w:w="1126" w:type="pct"/>
            <w:vAlign w:val="center"/>
          </w:tcPr>
          <w:p w14:paraId="60B2B1E5">
            <w:pPr>
              <w:widowControl/>
              <w:ind w:firstLine="0" w:firstLineChars="0"/>
              <w:jc w:val="center"/>
              <w:rPr>
                <w:kern w:val="0"/>
                <w:sz w:val="18"/>
                <w:szCs w:val="18"/>
              </w:rPr>
            </w:pPr>
          </w:p>
        </w:tc>
      </w:tr>
      <w:tr w14:paraId="1BC38F5B">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pct"/>
            <w:vMerge w:val="continue"/>
            <w:vAlign w:val="center"/>
          </w:tcPr>
          <w:p w14:paraId="5198A868">
            <w:pPr>
              <w:widowControl/>
              <w:ind w:firstLine="0" w:firstLineChars="0"/>
              <w:jc w:val="left"/>
              <w:rPr>
                <w:kern w:val="0"/>
                <w:sz w:val="18"/>
                <w:szCs w:val="18"/>
              </w:rPr>
            </w:pPr>
          </w:p>
        </w:tc>
        <w:tc>
          <w:tcPr>
            <w:tcW w:w="1114" w:type="pct"/>
            <w:vAlign w:val="center"/>
          </w:tcPr>
          <w:p w14:paraId="4A93B2E1">
            <w:pPr>
              <w:pStyle w:val="115"/>
              <w:ind w:firstLine="0" w:firstLineChars="0"/>
              <w:rPr>
                <w:rFonts w:hAnsi="宋体"/>
                <w:sz w:val="18"/>
                <w:szCs w:val="18"/>
              </w:rPr>
            </w:pPr>
            <w:r>
              <w:rPr>
                <w:rFonts w:hint="eastAsia" w:hAnsi="宋体"/>
                <w:sz w:val="18"/>
                <w:szCs w:val="18"/>
              </w:rPr>
              <w:t>远程管理通道安全</w:t>
            </w:r>
          </w:p>
        </w:tc>
        <w:tc>
          <w:tcPr>
            <w:tcW w:w="1891" w:type="pct"/>
            <w:vAlign w:val="center"/>
          </w:tcPr>
          <w:p w14:paraId="7655E894">
            <w:pPr>
              <w:widowControl/>
              <w:ind w:firstLine="0" w:firstLineChars="0"/>
              <w:jc w:val="center"/>
              <w:rPr>
                <w:kern w:val="0"/>
                <w:sz w:val="18"/>
                <w:szCs w:val="18"/>
              </w:rPr>
            </w:pPr>
            <w:r>
              <w:rPr>
                <w:rFonts w:hint="eastAsia"/>
                <w:kern w:val="0"/>
                <w:sz w:val="18"/>
                <w:szCs w:val="18"/>
              </w:rPr>
              <w:t>远程管理时保护管理员身份鉴别信息等重要数据被非法窃取或非法篡改</w:t>
            </w:r>
          </w:p>
        </w:tc>
        <w:tc>
          <w:tcPr>
            <w:tcW w:w="1126" w:type="pct"/>
            <w:vAlign w:val="center"/>
          </w:tcPr>
          <w:p w14:paraId="5A8BC838">
            <w:pPr>
              <w:widowControl/>
              <w:ind w:firstLine="0" w:firstLineChars="0"/>
              <w:jc w:val="center"/>
              <w:rPr>
                <w:kern w:val="0"/>
                <w:sz w:val="18"/>
                <w:szCs w:val="18"/>
              </w:rPr>
            </w:pPr>
          </w:p>
        </w:tc>
      </w:tr>
      <w:tr w14:paraId="444B39D4">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pct"/>
            <w:vMerge w:val="continue"/>
            <w:vAlign w:val="center"/>
          </w:tcPr>
          <w:p w14:paraId="0A516FB0">
            <w:pPr>
              <w:widowControl/>
              <w:ind w:firstLine="0" w:firstLineChars="0"/>
              <w:jc w:val="left"/>
              <w:rPr>
                <w:kern w:val="0"/>
                <w:sz w:val="18"/>
                <w:szCs w:val="18"/>
              </w:rPr>
            </w:pPr>
          </w:p>
        </w:tc>
        <w:tc>
          <w:tcPr>
            <w:tcW w:w="1114" w:type="pct"/>
            <w:vAlign w:val="center"/>
          </w:tcPr>
          <w:p w14:paraId="2D4D5B56">
            <w:pPr>
              <w:pStyle w:val="115"/>
              <w:ind w:firstLine="0" w:firstLineChars="0"/>
              <w:rPr>
                <w:rFonts w:hAnsi="宋体"/>
                <w:sz w:val="18"/>
                <w:szCs w:val="18"/>
              </w:rPr>
            </w:pPr>
            <w:r>
              <w:rPr>
                <w:rFonts w:hint="eastAsia" w:hAnsi="宋体"/>
                <w:sz w:val="18"/>
                <w:szCs w:val="18"/>
              </w:rPr>
              <w:t>系统资源访问控制信息完整性</w:t>
            </w:r>
          </w:p>
        </w:tc>
        <w:tc>
          <w:tcPr>
            <w:tcW w:w="1891" w:type="pct"/>
            <w:vAlign w:val="center"/>
          </w:tcPr>
          <w:p w14:paraId="77D02484">
            <w:pPr>
              <w:widowControl/>
              <w:ind w:firstLine="0" w:firstLineChars="0"/>
              <w:jc w:val="center"/>
              <w:rPr>
                <w:kern w:val="0"/>
                <w:sz w:val="18"/>
                <w:szCs w:val="18"/>
              </w:rPr>
            </w:pPr>
            <w:r>
              <w:rPr>
                <w:rFonts w:hint="eastAsia"/>
                <w:kern w:val="0"/>
                <w:sz w:val="18"/>
                <w:szCs w:val="18"/>
              </w:rPr>
              <w:t>保护系统资源访问控制信息免受非法篡改</w:t>
            </w:r>
          </w:p>
        </w:tc>
        <w:tc>
          <w:tcPr>
            <w:tcW w:w="1126" w:type="pct"/>
            <w:vAlign w:val="center"/>
          </w:tcPr>
          <w:p w14:paraId="69891D58">
            <w:pPr>
              <w:widowControl/>
              <w:ind w:firstLine="0" w:firstLineChars="0"/>
              <w:jc w:val="center"/>
              <w:rPr>
                <w:kern w:val="0"/>
                <w:sz w:val="18"/>
                <w:szCs w:val="18"/>
              </w:rPr>
            </w:pPr>
          </w:p>
        </w:tc>
      </w:tr>
      <w:tr w14:paraId="451CAC47">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pct"/>
            <w:vMerge w:val="continue"/>
            <w:vAlign w:val="center"/>
          </w:tcPr>
          <w:p w14:paraId="03A21F9A">
            <w:pPr>
              <w:widowControl/>
              <w:ind w:firstLine="0" w:firstLineChars="0"/>
              <w:jc w:val="left"/>
              <w:rPr>
                <w:kern w:val="0"/>
                <w:sz w:val="18"/>
                <w:szCs w:val="18"/>
              </w:rPr>
            </w:pPr>
          </w:p>
        </w:tc>
        <w:tc>
          <w:tcPr>
            <w:tcW w:w="1114" w:type="pct"/>
            <w:vAlign w:val="center"/>
          </w:tcPr>
          <w:p w14:paraId="1CA6772F">
            <w:pPr>
              <w:pStyle w:val="115"/>
              <w:ind w:firstLine="0" w:firstLineChars="0"/>
              <w:rPr>
                <w:rFonts w:hAnsi="宋体"/>
                <w:sz w:val="18"/>
                <w:szCs w:val="18"/>
              </w:rPr>
            </w:pPr>
            <w:r>
              <w:rPr>
                <w:rFonts w:hint="eastAsia" w:hAnsi="宋体"/>
                <w:sz w:val="18"/>
                <w:szCs w:val="18"/>
              </w:rPr>
              <w:t>重要信息资源安全标记的完整性</w:t>
            </w:r>
          </w:p>
        </w:tc>
        <w:tc>
          <w:tcPr>
            <w:tcW w:w="1891" w:type="pct"/>
            <w:vAlign w:val="center"/>
          </w:tcPr>
          <w:p w14:paraId="2F20DA88">
            <w:pPr>
              <w:widowControl/>
              <w:ind w:firstLine="0" w:firstLineChars="0"/>
              <w:jc w:val="center"/>
              <w:rPr>
                <w:kern w:val="0"/>
                <w:sz w:val="18"/>
                <w:szCs w:val="18"/>
              </w:rPr>
            </w:pPr>
            <w:r>
              <w:rPr>
                <w:rFonts w:hint="eastAsia"/>
                <w:kern w:val="0"/>
                <w:sz w:val="18"/>
                <w:szCs w:val="18"/>
              </w:rPr>
              <w:t>不适用</w:t>
            </w:r>
          </w:p>
        </w:tc>
        <w:tc>
          <w:tcPr>
            <w:tcW w:w="1126" w:type="pct"/>
            <w:vAlign w:val="center"/>
          </w:tcPr>
          <w:p w14:paraId="0C1562FF">
            <w:pPr>
              <w:widowControl/>
              <w:ind w:firstLine="0" w:firstLineChars="0"/>
              <w:jc w:val="center"/>
              <w:rPr>
                <w:kern w:val="0"/>
                <w:sz w:val="18"/>
                <w:szCs w:val="18"/>
              </w:rPr>
            </w:pPr>
            <w:r>
              <w:rPr>
                <w:rFonts w:hint="eastAsia"/>
                <w:kern w:val="0"/>
                <w:sz w:val="18"/>
                <w:szCs w:val="18"/>
              </w:rPr>
              <w:t>无重要信息资源安全标记</w:t>
            </w:r>
          </w:p>
        </w:tc>
      </w:tr>
      <w:tr w14:paraId="7C55FF09">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pct"/>
            <w:vMerge w:val="continue"/>
            <w:vAlign w:val="center"/>
          </w:tcPr>
          <w:p w14:paraId="36019245">
            <w:pPr>
              <w:widowControl/>
              <w:ind w:firstLine="0" w:firstLineChars="0"/>
              <w:jc w:val="left"/>
              <w:rPr>
                <w:kern w:val="0"/>
                <w:sz w:val="18"/>
                <w:szCs w:val="18"/>
              </w:rPr>
            </w:pPr>
          </w:p>
        </w:tc>
        <w:tc>
          <w:tcPr>
            <w:tcW w:w="1114" w:type="pct"/>
            <w:vAlign w:val="center"/>
          </w:tcPr>
          <w:p w14:paraId="02203B7E">
            <w:pPr>
              <w:pStyle w:val="115"/>
              <w:ind w:firstLine="0" w:firstLineChars="0"/>
              <w:rPr>
                <w:rFonts w:hAnsi="宋体"/>
                <w:sz w:val="18"/>
                <w:szCs w:val="18"/>
              </w:rPr>
            </w:pPr>
            <w:r>
              <w:rPr>
                <w:rFonts w:hint="eastAsia" w:hAnsi="宋体"/>
                <w:sz w:val="18"/>
                <w:szCs w:val="18"/>
              </w:rPr>
              <w:t>日志记录完整性</w:t>
            </w:r>
          </w:p>
        </w:tc>
        <w:tc>
          <w:tcPr>
            <w:tcW w:w="1891" w:type="pct"/>
            <w:vAlign w:val="center"/>
          </w:tcPr>
          <w:p w14:paraId="1EF63A8D">
            <w:pPr>
              <w:widowControl/>
              <w:ind w:firstLine="0" w:firstLineChars="0"/>
              <w:jc w:val="center"/>
              <w:rPr>
                <w:kern w:val="0"/>
                <w:sz w:val="18"/>
                <w:szCs w:val="18"/>
              </w:rPr>
            </w:pPr>
            <w:r>
              <w:rPr>
                <w:rFonts w:hint="eastAsia"/>
                <w:kern w:val="0"/>
                <w:sz w:val="18"/>
                <w:szCs w:val="18"/>
              </w:rPr>
              <w:t>保护重要日志记录信息免受非法篡改</w:t>
            </w:r>
          </w:p>
        </w:tc>
        <w:tc>
          <w:tcPr>
            <w:tcW w:w="1126" w:type="pct"/>
            <w:vAlign w:val="center"/>
          </w:tcPr>
          <w:p w14:paraId="3DFC5143">
            <w:pPr>
              <w:widowControl/>
              <w:ind w:firstLine="0" w:firstLineChars="0"/>
              <w:jc w:val="center"/>
              <w:rPr>
                <w:kern w:val="0"/>
                <w:sz w:val="18"/>
                <w:szCs w:val="18"/>
              </w:rPr>
            </w:pPr>
          </w:p>
        </w:tc>
      </w:tr>
      <w:tr w14:paraId="0EDBBBEF">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pct"/>
            <w:vMerge w:val="continue"/>
            <w:vAlign w:val="center"/>
          </w:tcPr>
          <w:p w14:paraId="0A53F81D">
            <w:pPr>
              <w:widowControl/>
              <w:ind w:firstLine="0" w:firstLineChars="0"/>
              <w:jc w:val="left"/>
              <w:rPr>
                <w:kern w:val="0"/>
                <w:sz w:val="18"/>
                <w:szCs w:val="18"/>
              </w:rPr>
            </w:pPr>
          </w:p>
        </w:tc>
        <w:tc>
          <w:tcPr>
            <w:tcW w:w="1114" w:type="pct"/>
            <w:vAlign w:val="center"/>
          </w:tcPr>
          <w:p w14:paraId="35B295DC">
            <w:pPr>
              <w:pStyle w:val="115"/>
              <w:ind w:firstLine="0" w:firstLineChars="0"/>
              <w:rPr>
                <w:rFonts w:hAnsi="宋体"/>
                <w:sz w:val="18"/>
                <w:szCs w:val="18"/>
              </w:rPr>
            </w:pPr>
            <w:r>
              <w:rPr>
                <w:rFonts w:hint="eastAsia" w:hAnsi="宋体"/>
                <w:sz w:val="18"/>
                <w:szCs w:val="18"/>
              </w:rPr>
              <w:t>重要可执行程序完整性、重要可执行程序来源真实性</w:t>
            </w:r>
          </w:p>
        </w:tc>
        <w:tc>
          <w:tcPr>
            <w:tcW w:w="1891" w:type="pct"/>
            <w:vAlign w:val="center"/>
          </w:tcPr>
          <w:p w14:paraId="1CFE64B9">
            <w:pPr>
              <w:widowControl/>
              <w:ind w:firstLine="0" w:firstLineChars="0"/>
              <w:jc w:val="center"/>
              <w:rPr>
                <w:kern w:val="0"/>
                <w:sz w:val="18"/>
                <w:szCs w:val="18"/>
              </w:rPr>
            </w:pPr>
            <w:r>
              <w:rPr>
                <w:rFonts w:hint="eastAsia"/>
                <w:kern w:val="0"/>
                <w:sz w:val="18"/>
                <w:szCs w:val="18"/>
              </w:rPr>
              <w:t>保护重要可执行程序免受非法篡改</w:t>
            </w:r>
          </w:p>
        </w:tc>
        <w:tc>
          <w:tcPr>
            <w:tcW w:w="1126" w:type="pct"/>
            <w:vAlign w:val="center"/>
          </w:tcPr>
          <w:p w14:paraId="390F9B18">
            <w:pPr>
              <w:widowControl/>
              <w:ind w:firstLine="0" w:firstLineChars="0"/>
              <w:jc w:val="center"/>
              <w:rPr>
                <w:kern w:val="0"/>
                <w:sz w:val="18"/>
                <w:szCs w:val="18"/>
              </w:rPr>
            </w:pPr>
          </w:p>
        </w:tc>
      </w:tr>
      <w:tr w14:paraId="599845FD">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pct"/>
            <w:vMerge w:val="continue"/>
            <w:vAlign w:val="center"/>
          </w:tcPr>
          <w:p w14:paraId="2804513A">
            <w:pPr>
              <w:widowControl/>
              <w:ind w:firstLine="0" w:firstLineChars="0"/>
              <w:jc w:val="left"/>
              <w:rPr>
                <w:kern w:val="0"/>
                <w:sz w:val="18"/>
                <w:szCs w:val="18"/>
              </w:rPr>
            </w:pPr>
          </w:p>
        </w:tc>
        <w:tc>
          <w:tcPr>
            <w:tcW w:w="1114" w:type="pct"/>
            <w:vAlign w:val="center"/>
          </w:tcPr>
          <w:p w14:paraId="388112EF">
            <w:pPr>
              <w:pStyle w:val="115"/>
              <w:ind w:firstLine="0" w:firstLineChars="0"/>
              <w:rPr>
                <w:rFonts w:hAnsi="宋体"/>
                <w:sz w:val="18"/>
                <w:szCs w:val="18"/>
              </w:rPr>
            </w:pPr>
            <w:r>
              <w:rPr>
                <w:rFonts w:hint="eastAsia" w:hAnsi="宋体"/>
                <w:sz w:val="18"/>
                <w:szCs w:val="18"/>
              </w:rPr>
              <w:t>密码服务</w:t>
            </w:r>
          </w:p>
        </w:tc>
        <w:tc>
          <w:tcPr>
            <w:tcW w:w="1891" w:type="pct"/>
            <w:vAlign w:val="center"/>
          </w:tcPr>
          <w:p w14:paraId="3BECA614">
            <w:pPr>
              <w:widowControl/>
              <w:ind w:firstLine="0" w:firstLineChars="0"/>
              <w:jc w:val="center"/>
              <w:rPr>
                <w:kern w:val="0"/>
                <w:sz w:val="18"/>
                <w:szCs w:val="18"/>
              </w:rPr>
            </w:pPr>
            <w:r>
              <w:rPr>
                <w:rFonts w:hint="eastAsia"/>
                <w:kern w:val="0"/>
                <w:sz w:val="18"/>
                <w:szCs w:val="18"/>
              </w:rPr>
              <w:t>采用的数字证书由具备资质的电子认证服务机构签发</w:t>
            </w:r>
          </w:p>
        </w:tc>
        <w:tc>
          <w:tcPr>
            <w:tcW w:w="1126" w:type="pct"/>
            <w:vAlign w:val="center"/>
          </w:tcPr>
          <w:p w14:paraId="1579BF8F">
            <w:pPr>
              <w:widowControl/>
              <w:ind w:firstLine="0" w:firstLineChars="0"/>
              <w:jc w:val="center"/>
              <w:rPr>
                <w:kern w:val="0"/>
                <w:sz w:val="18"/>
                <w:szCs w:val="18"/>
              </w:rPr>
            </w:pPr>
          </w:p>
        </w:tc>
      </w:tr>
      <w:tr w14:paraId="78CF8A9A">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pct"/>
            <w:vMerge w:val="continue"/>
            <w:vAlign w:val="center"/>
          </w:tcPr>
          <w:p w14:paraId="33CF4CF8">
            <w:pPr>
              <w:widowControl/>
              <w:ind w:firstLine="0" w:firstLineChars="0"/>
              <w:jc w:val="left"/>
              <w:rPr>
                <w:kern w:val="0"/>
                <w:sz w:val="18"/>
                <w:szCs w:val="18"/>
              </w:rPr>
            </w:pPr>
          </w:p>
        </w:tc>
        <w:tc>
          <w:tcPr>
            <w:tcW w:w="1114" w:type="pct"/>
            <w:vAlign w:val="center"/>
          </w:tcPr>
          <w:p w14:paraId="1EF32647">
            <w:pPr>
              <w:pStyle w:val="115"/>
              <w:ind w:firstLine="0" w:firstLineChars="0"/>
              <w:rPr>
                <w:rFonts w:hAnsi="宋体"/>
                <w:sz w:val="18"/>
                <w:szCs w:val="18"/>
              </w:rPr>
            </w:pPr>
            <w:r>
              <w:rPr>
                <w:rFonts w:hint="eastAsia" w:hAnsi="宋体"/>
                <w:sz w:val="18"/>
                <w:szCs w:val="18"/>
              </w:rPr>
              <w:t>密码产品</w:t>
            </w:r>
          </w:p>
        </w:tc>
        <w:tc>
          <w:tcPr>
            <w:tcW w:w="1891" w:type="pct"/>
            <w:vAlign w:val="center"/>
          </w:tcPr>
          <w:p w14:paraId="2993598E">
            <w:pPr>
              <w:widowControl/>
              <w:ind w:firstLine="0" w:firstLineChars="0"/>
              <w:jc w:val="center"/>
              <w:rPr>
                <w:kern w:val="0"/>
                <w:sz w:val="18"/>
                <w:szCs w:val="18"/>
              </w:rPr>
            </w:pPr>
            <w:r>
              <w:rPr>
                <w:rFonts w:hint="eastAsia"/>
                <w:kern w:val="0"/>
                <w:sz w:val="18"/>
                <w:szCs w:val="18"/>
              </w:rPr>
              <w:t>服务端相关的密码服务由云平台提供安全保障</w:t>
            </w:r>
          </w:p>
        </w:tc>
        <w:tc>
          <w:tcPr>
            <w:tcW w:w="1126" w:type="pct"/>
            <w:vAlign w:val="center"/>
          </w:tcPr>
          <w:p w14:paraId="336966D9">
            <w:pPr>
              <w:widowControl/>
              <w:ind w:firstLine="0" w:firstLineChars="0"/>
              <w:jc w:val="center"/>
              <w:rPr>
                <w:kern w:val="0"/>
                <w:sz w:val="18"/>
                <w:szCs w:val="18"/>
              </w:rPr>
            </w:pPr>
          </w:p>
        </w:tc>
      </w:tr>
      <w:tr w14:paraId="0C17890E">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pct"/>
            <w:vMerge w:val="restart"/>
            <w:vAlign w:val="center"/>
          </w:tcPr>
          <w:p w14:paraId="5126FB4A">
            <w:pPr>
              <w:widowControl/>
              <w:ind w:firstLine="0" w:firstLineChars="0"/>
              <w:jc w:val="center"/>
              <w:rPr>
                <w:kern w:val="0"/>
                <w:sz w:val="18"/>
                <w:szCs w:val="18"/>
              </w:rPr>
            </w:pPr>
            <w:r>
              <w:rPr>
                <w:kern w:val="0"/>
                <w:sz w:val="18"/>
                <w:szCs w:val="18"/>
              </w:rPr>
              <w:t>应用和数据安全</w:t>
            </w:r>
          </w:p>
        </w:tc>
        <w:tc>
          <w:tcPr>
            <w:tcW w:w="1114" w:type="pct"/>
            <w:vAlign w:val="center"/>
          </w:tcPr>
          <w:p w14:paraId="4E27C2D4">
            <w:pPr>
              <w:pStyle w:val="115"/>
              <w:ind w:firstLine="0" w:firstLineChars="0"/>
              <w:rPr>
                <w:rFonts w:hAnsi="宋体"/>
                <w:sz w:val="18"/>
                <w:szCs w:val="18"/>
              </w:rPr>
            </w:pPr>
            <w:r>
              <w:rPr>
                <w:rFonts w:hint="eastAsia" w:hAnsi="宋体"/>
                <w:sz w:val="18"/>
                <w:szCs w:val="18"/>
              </w:rPr>
              <w:t>身份鉴别</w:t>
            </w:r>
          </w:p>
        </w:tc>
        <w:tc>
          <w:tcPr>
            <w:tcW w:w="1891" w:type="pct"/>
            <w:vAlign w:val="center"/>
          </w:tcPr>
          <w:p w14:paraId="6328BD6C">
            <w:pPr>
              <w:widowControl/>
              <w:ind w:firstLine="0" w:firstLineChars="0"/>
              <w:jc w:val="center"/>
              <w:rPr>
                <w:kern w:val="0"/>
                <w:sz w:val="18"/>
                <w:szCs w:val="18"/>
              </w:rPr>
            </w:pPr>
            <w:r>
              <w:rPr>
                <w:rFonts w:hint="eastAsia"/>
                <w:kern w:val="0"/>
                <w:sz w:val="18"/>
                <w:szCs w:val="18"/>
              </w:rPr>
              <w:t>保护执行关键操作或访问重要数据的用户身份真实性，防止假冒用户访问</w:t>
            </w:r>
          </w:p>
        </w:tc>
        <w:tc>
          <w:tcPr>
            <w:tcW w:w="1126" w:type="pct"/>
            <w:vAlign w:val="center"/>
          </w:tcPr>
          <w:p w14:paraId="01238B80">
            <w:pPr>
              <w:widowControl/>
              <w:ind w:firstLine="0" w:firstLineChars="0"/>
              <w:jc w:val="center"/>
              <w:rPr>
                <w:kern w:val="0"/>
                <w:sz w:val="18"/>
                <w:szCs w:val="18"/>
              </w:rPr>
            </w:pPr>
          </w:p>
        </w:tc>
      </w:tr>
      <w:tr w14:paraId="4AA0C0A3">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pct"/>
            <w:vMerge w:val="continue"/>
            <w:vAlign w:val="center"/>
          </w:tcPr>
          <w:p w14:paraId="42635D7B">
            <w:pPr>
              <w:widowControl/>
              <w:ind w:firstLine="0" w:firstLineChars="0"/>
              <w:jc w:val="left"/>
              <w:rPr>
                <w:kern w:val="0"/>
                <w:sz w:val="18"/>
                <w:szCs w:val="18"/>
              </w:rPr>
            </w:pPr>
          </w:p>
        </w:tc>
        <w:tc>
          <w:tcPr>
            <w:tcW w:w="1114" w:type="pct"/>
            <w:vAlign w:val="center"/>
          </w:tcPr>
          <w:p w14:paraId="7EC45BA1">
            <w:pPr>
              <w:pStyle w:val="115"/>
              <w:ind w:firstLine="0" w:firstLineChars="0"/>
              <w:rPr>
                <w:rFonts w:hAnsi="宋体"/>
                <w:sz w:val="18"/>
                <w:szCs w:val="18"/>
              </w:rPr>
            </w:pPr>
            <w:r>
              <w:rPr>
                <w:rFonts w:hint="eastAsia" w:hAnsi="宋体"/>
                <w:sz w:val="18"/>
                <w:szCs w:val="18"/>
              </w:rPr>
              <w:t>访问控制信息完整性</w:t>
            </w:r>
          </w:p>
        </w:tc>
        <w:tc>
          <w:tcPr>
            <w:tcW w:w="1891" w:type="pct"/>
            <w:vAlign w:val="center"/>
          </w:tcPr>
          <w:p w14:paraId="1E059204">
            <w:pPr>
              <w:widowControl/>
              <w:ind w:firstLine="0" w:firstLineChars="0"/>
              <w:jc w:val="center"/>
              <w:rPr>
                <w:kern w:val="0"/>
                <w:sz w:val="18"/>
                <w:szCs w:val="18"/>
              </w:rPr>
            </w:pPr>
            <w:r>
              <w:rPr>
                <w:rFonts w:hint="eastAsia"/>
                <w:kern w:val="0"/>
                <w:sz w:val="18"/>
                <w:szCs w:val="18"/>
              </w:rPr>
              <w:t>保护应用系统的访问控制信息免受非法篡改</w:t>
            </w:r>
          </w:p>
        </w:tc>
        <w:tc>
          <w:tcPr>
            <w:tcW w:w="1126" w:type="pct"/>
            <w:vAlign w:val="center"/>
          </w:tcPr>
          <w:p w14:paraId="728A6F49">
            <w:pPr>
              <w:widowControl/>
              <w:ind w:firstLine="0" w:firstLineChars="0"/>
              <w:jc w:val="center"/>
              <w:rPr>
                <w:kern w:val="0"/>
                <w:sz w:val="18"/>
                <w:szCs w:val="18"/>
              </w:rPr>
            </w:pPr>
          </w:p>
        </w:tc>
      </w:tr>
      <w:tr w14:paraId="200BCAFF">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pct"/>
            <w:vMerge w:val="continue"/>
            <w:vAlign w:val="center"/>
          </w:tcPr>
          <w:p w14:paraId="73A2A2B6">
            <w:pPr>
              <w:widowControl/>
              <w:ind w:firstLine="0" w:firstLineChars="0"/>
              <w:jc w:val="left"/>
              <w:rPr>
                <w:kern w:val="0"/>
                <w:sz w:val="18"/>
                <w:szCs w:val="18"/>
              </w:rPr>
            </w:pPr>
          </w:p>
        </w:tc>
        <w:tc>
          <w:tcPr>
            <w:tcW w:w="1114" w:type="pct"/>
            <w:vAlign w:val="center"/>
          </w:tcPr>
          <w:p w14:paraId="699A01E5">
            <w:pPr>
              <w:pStyle w:val="115"/>
              <w:ind w:firstLine="0" w:firstLineChars="0"/>
              <w:rPr>
                <w:rFonts w:hAnsi="宋体"/>
                <w:sz w:val="18"/>
                <w:szCs w:val="18"/>
              </w:rPr>
            </w:pPr>
            <w:r>
              <w:rPr>
                <w:rFonts w:hint="eastAsia" w:hAnsi="宋体"/>
                <w:sz w:val="18"/>
                <w:szCs w:val="18"/>
              </w:rPr>
              <w:t>重要信息资源安全标记完整性</w:t>
            </w:r>
          </w:p>
        </w:tc>
        <w:tc>
          <w:tcPr>
            <w:tcW w:w="1891" w:type="pct"/>
            <w:vAlign w:val="center"/>
          </w:tcPr>
          <w:p w14:paraId="5F94353C">
            <w:pPr>
              <w:widowControl/>
              <w:ind w:firstLine="0" w:firstLineChars="0"/>
              <w:jc w:val="center"/>
              <w:rPr>
                <w:kern w:val="0"/>
                <w:sz w:val="18"/>
                <w:szCs w:val="18"/>
              </w:rPr>
            </w:pPr>
            <w:r>
              <w:rPr>
                <w:rFonts w:hint="eastAsia"/>
                <w:kern w:val="0"/>
                <w:sz w:val="18"/>
                <w:szCs w:val="18"/>
              </w:rPr>
              <w:t>不适用</w:t>
            </w:r>
          </w:p>
        </w:tc>
        <w:tc>
          <w:tcPr>
            <w:tcW w:w="1126" w:type="pct"/>
            <w:vAlign w:val="center"/>
          </w:tcPr>
          <w:p w14:paraId="27F54F2C">
            <w:pPr>
              <w:widowControl/>
              <w:ind w:firstLine="0" w:firstLineChars="0"/>
              <w:jc w:val="center"/>
              <w:rPr>
                <w:kern w:val="0"/>
                <w:sz w:val="18"/>
                <w:szCs w:val="18"/>
              </w:rPr>
            </w:pPr>
            <w:r>
              <w:rPr>
                <w:rFonts w:hint="eastAsia"/>
                <w:kern w:val="0"/>
                <w:sz w:val="18"/>
                <w:szCs w:val="18"/>
              </w:rPr>
              <w:t>无重要信息资源安全标记</w:t>
            </w:r>
          </w:p>
        </w:tc>
      </w:tr>
      <w:tr w14:paraId="4EDC8208">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pct"/>
            <w:vMerge w:val="continue"/>
            <w:vAlign w:val="center"/>
          </w:tcPr>
          <w:p w14:paraId="2738D053">
            <w:pPr>
              <w:widowControl/>
              <w:ind w:firstLine="0" w:firstLineChars="0"/>
              <w:jc w:val="left"/>
              <w:rPr>
                <w:kern w:val="0"/>
                <w:sz w:val="18"/>
                <w:szCs w:val="18"/>
              </w:rPr>
            </w:pPr>
          </w:p>
        </w:tc>
        <w:tc>
          <w:tcPr>
            <w:tcW w:w="1114" w:type="pct"/>
            <w:vAlign w:val="center"/>
          </w:tcPr>
          <w:p w14:paraId="638C2F82">
            <w:pPr>
              <w:pStyle w:val="115"/>
              <w:ind w:firstLine="0" w:firstLineChars="0"/>
              <w:rPr>
                <w:rFonts w:hAnsi="宋体"/>
                <w:sz w:val="18"/>
                <w:szCs w:val="18"/>
              </w:rPr>
            </w:pPr>
            <w:r>
              <w:rPr>
                <w:rFonts w:hint="eastAsia" w:hAnsi="宋体"/>
                <w:sz w:val="18"/>
                <w:szCs w:val="18"/>
              </w:rPr>
              <w:t>重要数据传输机密性</w:t>
            </w:r>
          </w:p>
        </w:tc>
        <w:tc>
          <w:tcPr>
            <w:tcW w:w="1891" w:type="pct"/>
            <w:vAlign w:val="center"/>
          </w:tcPr>
          <w:p w14:paraId="237D5136">
            <w:pPr>
              <w:widowControl/>
              <w:ind w:firstLine="0" w:firstLineChars="0"/>
              <w:jc w:val="center"/>
              <w:rPr>
                <w:kern w:val="0"/>
                <w:sz w:val="18"/>
                <w:szCs w:val="18"/>
              </w:rPr>
            </w:pPr>
            <w:r>
              <w:rPr>
                <w:rFonts w:hint="eastAsia"/>
                <w:kern w:val="0"/>
                <w:sz w:val="18"/>
                <w:szCs w:val="18"/>
              </w:rPr>
              <w:t>保护用户鉴别信息等重要数据传输的机密性</w:t>
            </w:r>
          </w:p>
        </w:tc>
        <w:tc>
          <w:tcPr>
            <w:tcW w:w="1126" w:type="pct"/>
            <w:vAlign w:val="center"/>
          </w:tcPr>
          <w:p w14:paraId="18570EBA">
            <w:pPr>
              <w:widowControl/>
              <w:ind w:firstLine="0" w:firstLineChars="0"/>
              <w:jc w:val="center"/>
              <w:rPr>
                <w:kern w:val="0"/>
                <w:sz w:val="18"/>
                <w:szCs w:val="18"/>
              </w:rPr>
            </w:pPr>
          </w:p>
        </w:tc>
      </w:tr>
      <w:tr w14:paraId="5EA33C29">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pct"/>
            <w:vMerge w:val="continue"/>
            <w:vAlign w:val="center"/>
          </w:tcPr>
          <w:p w14:paraId="6D5E1B44">
            <w:pPr>
              <w:widowControl/>
              <w:ind w:firstLine="0" w:firstLineChars="0"/>
              <w:jc w:val="left"/>
              <w:rPr>
                <w:kern w:val="0"/>
                <w:sz w:val="18"/>
                <w:szCs w:val="18"/>
              </w:rPr>
            </w:pPr>
          </w:p>
        </w:tc>
        <w:tc>
          <w:tcPr>
            <w:tcW w:w="1114" w:type="pct"/>
            <w:vAlign w:val="center"/>
          </w:tcPr>
          <w:p w14:paraId="6B06F2A1">
            <w:pPr>
              <w:pStyle w:val="115"/>
              <w:ind w:firstLine="0" w:firstLineChars="0"/>
              <w:rPr>
                <w:rFonts w:hAnsi="宋体"/>
                <w:sz w:val="18"/>
                <w:szCs w:val="18"/>
              </w:rPr>
            </w:pPr>
            <w:r>
              <w:rPr>
                <w:rFonts w:hint="eastAsia" w:hAnsi="宋体"/>
                <w:sz w:val="18"/>
                <w:szCs w:val="18"/>
              </w:rPr>
              <w:t>重要数据存储机密性</w:t>
            </w:r>
          </w:p>
        </w:tc>
        <w:tc>
          <w:tcPr>
            <w:tcW w:w="1891" w:type="pct"/>
            <w:vAlign w:val="center"/>
          </w:tcPr>
          <w:p w14:paraId="48877D54">
            <w:pPr>
              <w:widowControl/>
              <w:ind w:firstLine="0" w:firstLineChars="0"/>
              <w:jc w:val="center"/>
              <w:rPr>
                <w:kern w:val="0"/>
                <w:sz w:val="18"/>
                <w:szCs w:val="18"/>
              </w:rPr>
            </w:pPr>
            <w:r>
              <w:rPr>
                <w:rFonts w:hint="eastAsia"/>
                <w:kern w:val="0"/>
                <w:sz w:val="18"/>
                <w:szCs w:val="18"/>
              </w:rPr>
              <w:t>保护用户鉴别信息等重要数据存储的机密性</w:t>
            </w:r>
          </w:p>
        </w:tc>
        <w:tc>
          <w:tcPr>
            <w:tcW w:w="1126" w:type="pct"/>
            <w:vAlign w:val="center"/>
          </w:tcPr>
          <w:p w14:paraId="1BFAC1AF">
            <w:pPr>
              <w:widowControl/>
              <w:ind w:firstLine="0" w:firstLineChars="0"/>
              <w:jc w:val="center"/>
              <w:rPr>
                <w:kern w:val="0"/>
                <w:sz w:val="18"/>
                <w:szCs w:val="18"/>
              </w:rPr>
            </w:pPr>
          </w:p>
        </w:tc>
      </w:tr>
      <w:tr w14:paraId="3CA3CA9E">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pct"/>
            <w:vMerge w:val="continue"/>
            <w:vAlign w:val="center"/>
          </w:tcPr>
          <w:p w14:paraId="773E9FA8">
            <w:pPr>
              <w:widowControl/>
              <w:ind w:firstLine="0" w:firstLineChars="0"/>
              <w:jc w:val="left"/>
              <w:rPr>
                <w:kern w:val="0"/>
                <w:sz w:val="18"/>
                <w:szCs w:val="18"/>
              </w:rPr>
            </w:pPr>
          </w:p>
        </w:tc>
        <w:tc>
          <w:tcPr>
            <w:tcW w:w="1114" w:type="pct"/>
            <w:vAlign w:val="center"/>
          </w:tcPr>
          <w:p w14:paraId="3969FECC">
            <w:pPr>
              <w:pStyle w:val="115"/>
              <w:ind w:firstLine="0" w:firstLineChars="0"/>
              <w:rPr>
                <w:rFonts w:hAnsi="宋体"/>
                <w:sz w:val="18"/>
                <w:szCs w:val="18"/>
              </w:rPr>
            </w:pPr>
            <w:r>
              <w:rPr>
                <w:rFonts w:hint="eastAsia" w:hAnsi="宋体"/>
                <w:sz w:val="18"/>
                <w:szCs w:val="18"/>
              </w:rPr>
              <w:t>重要数据传输完整性</w:t>
            </w:r>
          </w:p>
        </w:tc>
        <w:tc>
          <w:tcPr>
            <w:tcW w:w="1891" w:type="pct"/>
            <w:vAlign w:val="center"/>
          </w:tcPr>
          <w:p w14:paraId="73DDB274">
            <w:pPr>
              <w:widowControl/>
              <w:ind w:firstLine="0" w:firstLineChars="0"/>
              <w:jc w:val="center"/>
              <w:rPr>
                <w:kern w:val="0"/>
                <w:sz w:val="18"/>
                <w:szCs w:val="18"/>
              </w:rPr>
            </w:pPr>
            <w:r>
              <w:rPr>
                <w:rFonts w:hint="eastAsia"/>
                <w:kern w:val="0"/>
                <w:sz w:val="18"/>
                <w:szCs w:val="18"/>
              </w:rPr>
              <w:t>保护用户鉴别信息等重要数据传输的完整性</w:t>
            </w:r>
          </w:p>
        </w:tc>
        <w:tc>
          <w:tcPr>
            <w:tcW w:w="1126" w:type="pct"/>
            <w:vAlign w:val="center"/>
          </w:tcPr>
          <w:p w14:paraId="6EFF5F1E">
            <w:pPr>
              <w:widowControl/>
              <w:ind w:firstLine="0" w:firstLineChars="0"/>
              <w:jc w:val="center"/>
              <w:rPr>
                <w:kern w:val="0"/>
                <w:sz w:val="18"/>
                <w:szCs w:val="18"/>
              </w:rPr>
            </w:pPr>
          </w:p>
        </w:tc>
      </w:tr>
      <w:tr w14:paraId="09BCC204">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pct"/>
            <w:vMerge w:val="continue"/>
            <w:vAlign w:val="center"/>
          </w:tcPr>
          <w:p w14:paraId="54E71D28">
            <w:pPr>
              <w:widowControl/>
              <w:ind w:firstLine="0" w:firstLineChars="0"/>
              <w:jc w:val="left"/>
              <w:rPr>
                <w:kern w:val="0"/>
                <w:sz w:val="18"/>
                <w:szCs w:val="18"/>
              </w:rPr>
            </w:pPr>
          </w:p>
        </w:tc>
        <w:tc>
          <w:tcPr>
            <w:tcW w:w="1114" w:type="pct"/>
            <w:vAlign w:val="center"/>
          </w:tcPr>
          <w:p w14:paraId="55C62A54">
            <w:pPr>
              <w:pStyle w:val="115"/>
              <w:ind w:firstLine="0" w:firstLineChars="0"/>
              <w:rPr>
                <w:rFonts w:hAnsi="宋体"/>
                <w:sz w:val="18"/>
                <w:szCs w:val="18"/>
              </w:rPr>
            </w:pPr>
            <w:r>
              <w:rPr>
                <w:rFonts w:hint="eastAsia" w:hAnsi="宋体"/>
                <w:sz w:val="18"/>
                <w:szCs w:val="18"/>
              </w:rPr>
              <w:t>重要数据存储完整性</w:t>
            </w:r>
          </w:p>
        </w:tc>
        <w:tc>
          <w:tcPr>
            <w:tcW w:w="1891" w:type="pct"/>
            <w:vAlign w:val="center"/>
          </w:tcPr>
          <w:p w14:paraId="09B45907">
            <w:pPr>
              <w:widowControl/>
              <w:ind w:firstLine="0" w:firstLineChars="0"/>
              <w:jc w:val="center"/>
              <w:rPr>
                <w:kern w:val="0"/>
                <w:sz w:val="18"/>
                <w:szCs w:val="18"/>
              </w:rPr>
            </w:pPr>
            <w:r>
              <w:rPr>
                <w:rFonts w:hint="eastAsia"/>
                <w:kern w:val="0"/>
                <w:sz w:val="18"/>
                <w:szCs w:val="18"/>
              </w:rPr>
              <w:t>保护用户鉴别信息等重要数据存储的完整性</w:t>
            </w:r>
          </w:p>
        </w:tc>
        <w:tc>
          <w:tcPr>
            <w:tcW w:w="1126" w:type="pct"/>
            <w:vAlign w:val="center"/>
          </w:tcPr>
          <w:p w14:paraId="4A7EE4B2">
            <w:pPr>
              <w:widowControl/>
              <w:ind w:firstLine="0" w:firstLineChars="0"/>
              <w:jc w:val="center"/>
              <w:rPr>
                <w:kern w:val="0"/>
                <w:sz w:val="18"/>
                <w:szCs w:val="18"/>
              </w:rPr>
            </w:pPr>
          </w:p>
        </w:tc>
      </w:tr>
      <w:tr w14:paraId="103F87D3">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pct"/>
            <w:vMerge w:val="continue"/>
            <w:vAlign w:val="center"/>
          </w:tcPr>
          <w:p w14:paraId="54086451">
            <w:pPr>
              <w:widowControl/>
              <w:ind w:firstLine="0" w:firstLineChars="0"/>
              <w:jc w:val="left"/>
              <w:rPr>
                <w:kern w:val="0"/>
                <w:sz w:val="18"/>
                <w:szCs w:val="18"/>
              </w:rPr>
            </w:pPr>
          </w:p>
        </w:tc>
        <w:tc>
          <w:tcPr>
            <w:tcW w:w="1114" w:type="pct"/>
            <w:vAlign w:val="center"/>
          </w:tcPr>
          <w:p w14:paraId="4B2E7655">
            <w:pPr>
              <w:pStyle w:val="115"/>
              <w:ind w:firstLine="0" w:firstLineChars="0"/>
              <w:rPr>
                <w:rFonts w:hAnsi="宋体"/>
                <w:sz w:val="18"/>
                <w:szCs w:val="18"/>
              </w:rPr>
            </w:pPr>
            <w:r>
              <w:rPr>
                <w:rFonts w:hint="eastAsia" w:hAnsi="宋体"/>
                <w:sz w:val="18"/>
                <w:szCs w:val="18"/>
              </w:rPr>
              <w:t>不可否认性</w:t>
            </w:r>
          </w:p>
        </w:tc>
        <w:tc>
          <w:tcPr>
            <w:tcW w:w="1891" w:type="pct"/>
            <w:vAlign w:val="center"/>
          </w:tcPr>
          <w:p w14:paraId="50C9095F">
            <w:pPr>
              <w:widowControl/>
              <w:ind w:firstLine="0" w:firstLineChars="0"/>
              <w:jc w:val="center"/>
              <w:rPr>
                <w:kern w:val="0"/>
                <w:sz w:val="18"/>
                <w:szCs w:val="18"/>
              </w:rPr>
            </w:pPr>
            <w:r>
              <w:rPr>
                <w:rFonts w:hint="eastAsia"/>
                <w:kern w:val="0"/>
                <w:sz w:val="18"/>
                <w:szCs w:val="18"/>
              </w:rPr>
              <w:t>保证用户执行关键操作的不可否认性</w:t>
            </w:r>
          </w:p>
        </w:tc>
        <w:tc>
          <w:tcPr>
            <w:tcW w:w="1126" w:type="pct"/>
            <w:vAlign w:val="center"/>
          </w:tcPr>
          <w:p w14:paraId="61A297D5">
            <w:pPr>
              <w:widowControl/>
              <w:ind w:firstLine="0" w:firstLineChars="0"/>
              <w:jc w:val="center"/>
              <w:rPr>
                <w:kern w:val="0"/>
                <w:sz w:val="18"/>
                <w:szCs w:val="18"/>
              </w:rPr>
            </w:pPr>
            <w:r>
              <w:rPr>
                <w:rFonts w:hint="eastAsia"/>
                <w:kern w:val="0"/>
                <w:sz w:val="18"/>
                <w:szCs w:val="18"/>
              </w:rPr>
              <w:t>不适用</w:t>
            </w:r>
          </w:p>
        </w:tc>
      </w:tr>
      <w:tr w14:paraId="368F0ACB">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pct"/>
            <w:vMerge w:val="continue"/>
            <w:vAlign w:val="center"/>
          </w:tcPr>
          <w:p w14:paraId="4F868F89">
            <w:pPr>
              <w:widowControl/>
              <w:ind w:firstLine="0" w:firstLineChars="0"/>
              <w:jc w:val="left"/>
              <w:rPr>
                <w:kern w:val="0"/>
                <w:sz w:val="18"/>
                <w:szCs w:val="18"/>
              </w:rPr>
            </w:pPr>
          </w:p>
        </w:tc>
        <w:tc>
          <w:tcPr>
            <w:tcW w:w="1114" w:type="pct"/>
            <w:vAlign w:val="center"/>
          </w:tcPr>
          <w:p w14:paraId="22265B00">
            <w:pPr>
              <w:pStyle w:val="115"/>
              <w:ind w:firstLine="0" w:firstLineChars="0"/>
              <w:rPr>
                <w:rFonts w:hAnsi="宋体"/>
                <w:sz w:val="18"/>
                <w:szCs w:val="18"/>
              </w:rPr>
            </w:pPr>
            <w:r>
              <w:rPr>
                <w:rFonts w:hint="eastAsia" w:hAnsi="宋体"/>
                <w:sz w:val="18"/>
                <w:szCs w:val="18"/>
              </w:rPr>
              <w:t>密码服务</w:t>
            </w:r>
          </w:p>
        </w:tc>
        <w:tc>
          <w:tcPr>
            <w:tcW w:w="1891" w:type="pct"/>
            <w:vAlign w:val="center"/>
          </w:tcPr>
          <w:p w14:paraId="4DF83760">
            <w:pPr>
              <w:widowControl/>
              <w:ind w:firstLine="0" w:firstLineChars="0"/>
              <w:jc w:val="center"/>
              <w:rPr>
                <w:kern w:val="0"/>
                <w:sz w:val="18"/>
                <w:szCs w:val="18"/>
              </w:rPr>
            </w:pPr>
            <w:r>
              <w:rPr>
                <w:rFonts w:hint="eastAsia"/>
                <w:kern w:val="0"/>
                <w:sz w:val="18"/>
                <w:szCs w:val="18"/>
              </w:rPr>
              <w:t>采用的数字证书由具备资质的电子认证服务机构签发</w:t>
            </w:r>
          </w:p>
        </w:tc>
        <w:tc>
          <w:tcPr>
            <w:tcW w:w="1126" w:type="pct"/>
            <w:vAlign w:val="center"/>
          </w:tcPr>
          <w:p w14:paraId="1C29E3FB">
            <w:pPr>
              <w:widowControl/>
              <w:ind w:firstLine="0" w:firstLineChars="0"/>
              <w:jc w:val="center"/>
              <w:rPr>
                <w:kern w:val="0"/>
                <w:sz w:val="18"/>
                <w:szCs w:val="18"/>
              </w:rPr>
            </w:pPr>
          </w:p>
        </w:tc>
      </w:tr>
      <w:tr w14:paraId="1E92354C">
        <w:tblPrEx>
          <w:tblBorders>
            <w:top w:val="single" w:color="auto" w:sz="8" w:space="0"/>
            <w:left w:val="single" w:color="auto" w:sz="8" w:space="0"/>
            <w:bottom w:val="single" w:color="000000"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9" w:type="pct"/>
            <w:vMerge w:val="continue"/>
            <w:vAlign w:val="center"/>
          </w:tcPr>
          <w:p w14:paraId="5647AC3A">
            <w:pPr>
              <w:widowControl/>
              <w:ind w:firstLine="0" w:firstLineChars="0"/>
              <w:jc w:val="left"/>
              <w:rPr>
                <w:kern w:val="0"/>
                <w:sz w:val="18"/>
                <w:szCs w:val="18"/>
              </w:rPr>
            </w:pPr>
          </w:p>
        </w:tc>
        <w:tc>
          <w:tcPr>
            <w:tcW w:w="1114" w:type="pct"/>
            <w:vAlign w:val="center"/>
          </w:tcPr>
          <w:p w14:paraId="49525465">
            <w:pPr>
              <w:pStyle w:val="115"/>
              <w:ind w:firstLine="0" w:firstLineChars="0"/>
              <w:rPr>
                <w:rFonts w:hAnsi="宋体"/>
                <w:sz w:val="18"/>
                <w:szCs w:val="18"/>
              </w:rPr>
            </w:pPr>
            <w:r>
              <w:rPr>
                <w:rFonts w:hint="eastAsia" w:hAnsi="宋体"/>
                <w:sz w:val="18"/>
                <w:szCs w:val="18"/>
              </w:rPr>
              <w:t>密码产品</w:t>
            </w:r>
          </w:p>
        </w:tc>
        <w:tc>
          <w:tcPr>
            <w:tcW w:w="1891" w:type="pct"/>
            <w:vAlign w:val="center"/>
          </w:tcPr>
          <w:p w14:paraId="365DB2F0">
            <w:pPr>
              <w:widowControl/>
              <w:ind w:firstLine="0" w:firstLineChars="0"/>
              <w:jc w:val="center"/>
              <w:rPr>
                <w:kern w:val="0"/>
                <w:sz w:val="18"/>
                <w:szCs w:val="18"/>
              </w:rPr>
            </w:pPr>
            <w:r>
              <w:rPr>
                <w:rFonts w:hint="eastAsia"/>
                <w:kern w:val="0"/>
                <w:sz w:val="18"/>
                <w:szCs w:val="18"/>
              </w:rPr>
              <w:t>服务端相关的密码服务由云平台提供安全保障</w:t>
            </w:r>
          </w:p>
        </w:tc>
        <w:tc>
          <w:tcPr>
            <w:tcW w:w="1126" w:type="pct"/>
            <w:vAlign w:val="center"/>
          </w:tcPr>
          <w:p w14:paraId="1FD77C97">
            <w:pPr>
              <w:widowControl/>
              <w:ind w:firstLine="0" w:firstLineChars="0"/>
              <w:jc w:val="center"/>
              <w:rPr>
                <w:kern w:val="0"/>
                <w:sz w:val="18"/>
                <w:szCs w:val="18"/>
              </w:rPr>
            </w:pPr>
          </w:p>
        </w:tc>
      </w:tr>
    </w:tbl>
    <w:p w14:paraId="560C229C"/>
    <w:p w14:paraId="2A87F4BF">
      <w:pPr>
        <w:pStyle w:val="3"/>
      </w:pPr>
      <w:bookmarkStart w:id="31" w:name="_Toc63785512"/>
      <w:r>
        <w:rPr>
          <w:rFonts w:hint="eastAsia"/>
        </w:rPr>
        <w:t>技术文件要求</w:t>
      </w:r>
    </w:p>
    <w:p w14:paraId="2124CA97">
      <w:r>
        <w:rPr>
          <w:rFonts w:hint="eastAsia"/>
        </w:rPr>
        <w:t>投标人提供的书面技术资料应能确保系统正常运行所需的管理、运营及维护有关的全套文件。技术文件应该全面、完整、详细。投标人提供的技术文件至少应包括：</w:t>
      </w:r>
    </w:p>
    <w:p w14:paraId="22EE040C">
      <w:r>
        <w:rPr>
          <w:rFonts w:hint="eastAsia"/>
        </w:rPr>
        <w:t>－</w:t>
      </w:r>
      <w:r>
        <w:t xml:space="preserve"> 系统说明文件； </w:t>
      </w:r>
    </w:p>
    <w:p w14:paraId="26E0EC02">
      <w:r>
        <w:rPr>
          <w:rFonts w:hint="eastAsia"/>
        </w:rPr>
        <w:t>－</w:t>
      </w:r>
      <w:r>
        <w:t xml:space="preserve"> 技术手册(安装、测试、操作、维护、故障排除等)； </w:t>
      </w:r>
    </w:p>
    <w:p w14:paraId="0E9BBDF3">
      <w:r>
        <w:rPr>
          <w:rFonts w:hint="eastAsia"/>
        </w:rPr>
        <w:t>－</w:t>
      </w:r>
      <w:r>
        <w:t xml:space="preserve"> 项目文档，应该包括：</w:t>
      </w:r>
    </w:p>
    <w:p w14:paraId="63CC4C57">
      <w:pPr>
        <w:ind w:left="360"/>
      </w:pPr>
      <w:r>
        <w:t>(1)软件需求说明书</w:t>
      </w:r>
    </w:p>
    <w:p w14:paraId="5B068906">
      <w:pPr>
        <w:ind w:left="360"/>
      </w:pPr>
      <w:r>
        <w:t>(2)</w:t>
      </w:r>
      <w:r>
        <w:tab/>
      </w:r>
      <w:r>
        <w:t>系统总体设计说明书</w:t>
      </w:r>
    </w:p>
    <w:p w14:paraId="149BDDD6">
      <w:pPr>
        <w:ind w:left="360"/>
      </w:pPr>
      <w:r>
        <w:t>(3)</w:t>
      </w:r>
      <w:r>
        <w:tab/>
      </w:r>
      <w:r>
        <w:t>应用软件功能清单</w:t>
      </w:r>
    </w:p>
    <w:p w14:paraId="5963CCA9">
      <w:r>
        <w:rPr>
          <w:rFonts w:hint="eastAsia"/>
        </w:rPr>
        <w:t>提供全套技术文件纸介质</w:t>
      </w:r>
      <w:r>
        <w:t>3套以及电子文件1套。</w:t>
      </w:r>
    </w:p>
    <w:p w14:paraId="140656FC"/>
    <w:p w14:paraId="3D7A0B0E">
      <w:pPr>
        <w:pStyle w:val="2"/>
      </w:pPr>
      <w:r>
        <w:rPr>
          <w:rFonts w:hint="eastAsia"/>
        </w:rPr>
        <w:t>供应商管理要求</w:t>
      </w:r>
      <w:bookmarkEnd w:id="31"/>
    </w:p>
    <w:p w14:paraId="72E39FEA">
      <w:pPr>
        <w:pStyle w:val="80"/>
        <w:ind w:firstLine="480"/>
        <w:rPr>
          <w:sz w:val="24"/>
          <w:szCs w:val="24"/>
        </w:rPr>
      </w:pPr>
      <w:r>
        <w:rPr>
          <w:rFonts w:hint="eastAsia"/>
          <w:sz w:val="24"/>
          <w:szCs w:val="24"/>
        </w:rPr>
        <w:t>1、在项目实施期间，中标人应严格执行国家、地方、行业有关本项目业务管理和安全作业的法律、法规和制度并按规定承担相应的费用。中标人因违反规定等原因造成的一切损失和责任由中标人自行承担。</w:t>
      </w:r>
    </w:p>
    <w:p w14:paraId="44120B1F">
      <w:pPr>
        <w:pStyle w:val="80"/>
        <w:ind w:firstLine="480"/>
        <w:rPr>
          <w:sz w:val="24"/>
          <w:szCs w:val="24"/>
        </w:rPr>
      </w:pPr>
      <w:r>
        <w:rPr>
          <w:rFonts w:hint="eastAsia"/>
          <w:sz w:val="24"/>
          <w:szCs w:val="24"/>
        </w:rPr>
        <w:t>2、中标人在投标书中承诺并经招标人认定的项目负责人及专业技术人员必须是本单位职工（在本单位缴纳社会保障金）和该项目实施现场的实际操作者，应具有类似本项目的实施经验，并应在软件应用调研、安装、试运行等期间常驻项目现场。未经采购人同意，中标人不得调换或撤离上述人员。如采购人认为有必要，可要求中标人对上述人员中的部分人员作出更好的调整。</w:t>
      </w:r>
    </w:p>
    <w:p w14:paraId="4701B886">
      <w:pPr>
        <w:pStyle w:val="80"/>
        <w:ind w:firstLine="480"/>
        <w:rPr>
          <w:sz w:val="24"/>
          <w:szCs w:val="24"/>
        </w:rPr>
      </w:pPr>
      <w:r>
        <w:rPr>
          <w:rFonts w:hint="eastAsia"/>
          <w:sz w:val="24"/>
          <w:szCs w:val="24"/>
        </w:rPr>
        <w:t>3、中标人在项目实施期间，应按项目实际进度与环节落实所对应项目整体及各环节管理工作，按照规范做好项目实施期间相关管理与实施记录。</w:t>
      </w:r>
    </w:p>
    <w:p w14:paraId="4BFB6103">
      <w:pPr>
        <w:pStyle w:val="80"/>
        <w:ind w:firstLine="480"/>
        <w:rPr>
          <w:sz w:val="24"/>
          <w:szCs w:val="24"/>
        </w:rPr>
      </w:pPr>
      <w:r>
        <w:rPr>
          <w:rFonts w:hint="eastAsia"/>
          <w:sz w:val="24"/>
          <w:szCs w:val="24"/>
        </w:rPr>
        <w:t>4、参与本项目的工作人员应严格遵循采购人的安全制度，保障采购人资料和设备的安全。中标方如需进入采购人机房工作，只能在采购人规定的工作区域内对项目涉及的设备进行操作，严禁触动与项目无关的任何设备（包括任何操作行为），如需跨区操作必须得到采购人项目联系人确认。</w:t>
      </w:r>
    </w:p>
    <w:p w14:paraId="5D8F6315">
      <w:pPr>
        <w:pStyle w:val="80"/>
        <w:ind w:firstLine="480"/>
        <w:rPr>
          <w:sz w:val="24"/>
          <w:szCs w:val="24"/>
        </w:rPr>
      </w:pPr>
      <w:r>
        <w:rPr>
          <w:rFonts w:hint="eastAsia"/>
          <w:sz w:val="24"/>
          <w:szCs w:val="24"/>
        </w:rPr>
        <w:t>5、中标人在项目实施期间必须遵守采购人的规章制度并提供实施人员名单。</w:t>
      </w:r>
    </w:p>
    <w:p w14:paraId="68DFB627">
      <w:pPr>
        <w:pStyle w:val="80"/>
        <w:ind w:firstLine="480"/>
        <w:rPr>
          <w:sz w:val="24"/>
          <w:szCs w:val="24"/>
        </w:rPr>
      </w:pPr>
      <w:r>
        <w:rPr>
          <w:rFonts w:hint="eastAsia"/>
          <w:sz w:val="24"/>
          <w:szCs w:val="24"/>
        </w:rPr>
        <w:t>6、各投标人在投标文件中要结合本项目的特点和采购人上述的具体要求制定相应的管理措施，并在报价中列支相应的费用清单，投标人报价中未列支上述费用清单的，上述费用视为已包含在投标人的投标总报价中。</w:t>
      </w:r>
    </w:p>
    <w:p w14:paraId="79C98612">
      <w:pPr>
        <w:pStyle w:val="80"/>
        <w:ind w:firstLine="480"/>
      </w:pPr>
      <w:r>
        <w:rPr>
          <w:rFonts w:hint="eastAsia"/>
          <w:sz w:val="24"/>
          <w:szCs w:val="24"/>
        </w:rPr>
        <w:t>7、本项目软件开发及调试将纳入采购人的管理范围，中标人在此过程中须服从上述单位的管理协调。</w:t>
      </w:r>
    </w:p>
    <w:p w14:paraId="6DA8641C">
      <w:pPr>
        <w:pStyle w:val="80"/>
        <w:ind w:firstLine="420"/>
      </w:pPr>
    </w:p>
    <w:p w14:paraId="63BBA123">
      <w:pPr>
        <w:pStyle w:val="2"/>
      </w:pPr>
      <w:bookmarkStart w:id="32" w:name="_Toc68798863"/>
      <w:r>
        <w:rPr>
          <w:rFonts w:hint="eastAsia"/>
        </w:rPr>
        <w:t>附录</w:t>
      </w:r>
      <w:bookmarkEnd w:id="32"/>
    </w:p>
    <w:p w14:paraId="02D583F8">
      <w:pPr>
        <w:ind w:firstLine="482"/>
        <w:rPr>
          <w:b/>
        </w:rPr>
      </w:pPr>
      <w:r>
        <w:rPr>
          <w:rFonts w:hint="eastAsia"/>
          <w:b/>
        </w:rPr>
        <w:t>若项目建设过程中需符合相关技术标准或规范文件的要求，请将相关文件作为附件列出。</w:t>
      </w:r>
    </w:p>
    <w:p w14:paraId="3600A25C">
      <w:pPr>
        <w:ind w:firstLine="482"/>
      </w:pPr>
      <w:r>
        <w:rPr>
          <w:rFonts w:hint="eastAsia"/>
          <w:b/>
        </w:rPr>
        <w:t>参考如下：</w:t>
      </w:r>
    </w:p>
    <w:p w14:paraId="05549610">
      <w:pPr>
        <w:ind w:firstLine="0" w:firstLineChars="0"/>
      </w:pPr>
      <w:r>
        <w:rPr>
          <w:rFonts w:hint="eastAsia"/>
        </w:rPr>
        <w:t>1、</w:t>
      </w:r>
      <w:r>
        <w:t>《政务网络安全监测平台总体技术要求》</w:t>
      </w:r>
    </w:p>
    <w:p w14:paraId="53BFA829">
      <w:pPr>
        <w:ind w:firstLine="0" w:firstLineChars="0"/>
      </w:pPr>
      <w:r>
        <w:object>
          <v:shape id="_x0000_i1025" o:spt="75" type="#_x0000_t75" style="height:55.5pt;width:75.75pt;" o:ole="t" filled="f" o:preferrelative="t" stroked="f" coordsize="21600,21600">
            <v:path/>
            <v:fill on="f" focussize="0,0"/>
            <v:stroke on="f" joinstyle="miter"/>
            <v:imagedata r:id="rId15" o:title=""/>
            <o:lock v:ext="edit" aspectratio="t"/>
            <w10:wrap type="none"/>
            <w10:anchorlock/>
          </v:shape>
          <o:OLEObject Type="Embed" ProgID="Package" ShapeID="_x0000_i1025" DrawAspect="Icon" ObjectID="_1468075725" r:id="rId14">
            <o:LockedField>false</o:LockedField>
          </o:OLEObject>
        </w:object>
      </w:r>
    </w:p>
    <w:p w14:paraId="1A95EC05">
      <w:pPr>
        <w:ind w:firstLine="0" w:firstLineChars="0"/>
      </w:pPr>
    </w:p>
    <w:p w14:paraId="35719584">
      <w:pPr>
        <w:ind w:firstLine="0" w:firstLineChars="0"/>
        <w:jc w:val="left"/>
      </w:pPr>
      <w:r>
        <w:rPr>
          <w:rFonts w:hint="eastAsia"/>
        </w:rPr>
        <w:t>2、《上海市电子政务外网建设和运行管理指南（试行）》</w:t>
      </w:r>
    </w:p>
    <w:p w14:paraId="51FF36B9">
      <w:pPr>
        <w:ind w:firstLine="0" w:firstLineChars="0"/>
        <w:jc w:val="left"/>
      </w:pPr>
      <w:r>
        <w:object>
          <v:shape id="_x0000_i1026" o:spt="75" type="#_x0000_t75" style="height:55.5pt;width:75.75pt;" o:ole="t" filled="f" o:preferrelative="t" stroked="f" coordsize="21600,21600">
            <v:path/>
            <v:fill on="f" focussize="0,0"/>
            <v:stroke on="f" joinstyle="miter"/>
            <v:imagedata r:id="rId17" o:title=""/>
            <o:lock v:ext="edit" aspectratio="t"/>
            <w10:wrap type="none"/>
            <w10:anchorlock/>
          </v:shape>
          <o:OLEObject Type="Embed" ProgID="Package" ShapeID="_x0000_i1026" DrawAspect="Icon" ObjectID="_1468075726" r:id="rId16">
            <o:LockedField>false</o:LockedField>
          </o:OLEObject>
        </w:object>
      </w:r>
    </w:p>
    <w:p w14:paraId="4C2A4213">
      <w:pPr>
        <w:ind w:firstLine="0" w:firstLineChars="0"/>
        <w:jc w:val="left"/>
        <w:rPr>
          <w:b/>
          <w:bCs/>
        </w:rPr>
      </w:pPr>
      <w:r>
        <w:rPr>
          <w:rFonts w:hint="eastAsia"/>
        </w:rPr>
        <w:t>3、其他标准</w:t>
      </w:r>
    </w:p>
    <w:sectPr>
      <w:footerReference r:id="rId11" w:type="first"/>
      <w:pgSz w:w="11906" w:h="16838"/>
      <w:pgMar w:top="1134" w:right="1797" w:bottom="1135" w:left="1797" w:header="340" w:footer="7" w:gutter="0"/>
      <w:pgNumType w:start="1"/>
      <w:cols w:space="720" w:num="1"/>
      <w:titlePg/>
      <w:docGrid w:type="linesAndChars"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Cambria">
    <w:altName w:val="Noto Sans Syriac Eastern"/>
    <w:panose1 w:val="02040503050406030204"/>
    <w:charset w:val="00"/>
    <w:family w:val="roman"/>
    <w:pitch w:val="default"/>
    <w:sig w:usb0="00000000" w:usb1="00000000" w:usb2="02000000" w:usb3="00000000" w:csb0="2000019F" w:csb1="00000000"/>
  </w:font>
  <w:font w:name="Noto Sans Syriac Eastern">
    <w:panose1 w:val="02040503050306020203"/>
    <w:charset w:val="86"/>
    <w:family w:val="auto"/>
    <w:pitch w:val="default"/>
    <w:sig w:usb0="00000000" w:usb1="00000000" w:usb2="00000080" w:usb3="00000000" w:csb0="203E0161" w:csb1="D7FF0000"/>
  </w:font>
  <w:font w:name="等线">
    <w:altName w:val="Noto Sans CJK SC"/>
    <w:panose1 w:val="02010600030101010101"/>
    <w:charset w:val="86"/>
    <w:family w:val="auto"/>
    <w:pitch w:val="default"/>
    <w:sig w:usb0="00000000" w:usb1="00000000" w:usb2="00000016" w:usb3="00000000" w:csb0="0004000F" w:csb1="00000000"/>
  </w:font>
  <w:font w:name="Noto Sans CJK SC">
    <w:panose1 w:val="020B0500000000000000"/>
    <w:charset w:val="86"/>
    <w:family w:val="auto"/>
    <w:pitch w:val="default"/>
    <w:sig w:usb0="30000003" w:usb1="2BDF3C10" w:usb2="00000016" w:usb3="00000000" w:csb0="602E0107" w:csb1="00000000"/>
  </w:font>
  <w:font w:name="仿宋">
    <w:altName w:val="仿宋_GB2312"/>
    <w:panose1 w:val="02010609060101010101"/>
    <w:charset w:val="86"/>
    <w:family w:val="modern"/>
    <w:pitch w:val="default"/>
    <w:sig w:usb0="00000000" w:usb1="00000000"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Calibri Light">
    <w:altName w:val="DejaVu Sans"/>
    <w:panose1 w:val="020F0302020204030204"/>
    <w:charset w:val="00"/>
    <w:family w:val="swiss"/>
    <w:pitch w:val="default"/>
    <w:sig w:usb0="00000000" w:usb1="00000000" w:usb2="00000009" w:usb3="00000000" w:csb0="200001FF" w:csb1="00000000"/>
  </w:font>
  <w:font w:name="Arial Unicode MS">
    <w:altName w:val="DejaVu Sans"/>
    <w:panose1 w:val="020B0604020202020204"/>
    <w:charset w:val="86"/>
    <w:family w:val="swiss"/>
    <w:pitch w:val="default"/>
    <w:sig w:usb0="00000000" w:usb1="00000000" w:usb2="0000003F" w:usb3="00000000" w:csb0="603F01FF" w:csb1="FFFF0000"/>
  </w:font>
  <w:font w:name="等线 Light">
    <w:altName w:val="汉仪中圆B5"/>
    <w:panose1 w:val="02010600030101010101"/>
    <w:charset w:val="86"/>
    <w:family w:val="auto"/>
    <w:pitch w:val="default"/>
    <w:sig w:usb0="00000000" w:usb1="00000000" w:usb2="00000016" w:usb3="00000000" w:csb0="0004000F" w:csb1="00000000"/>
  </w:font>
  <w:font w:name="汉仪中圆B5">
    <w:panose1 w:val="02010600000101010101"/>
    <w:charset w:val="88"/>
    <w:family w:val="auto"/>
    <w:pitch w:val="default"/>
    <w:sig w:usb0="00000001" w:usb1="080E0800" w:usb2="00000002" w:usb3="00000000" w:csb0="00100000" w:csb1="00000000"/>
  </w:font>
  <w:font w:name="time">
    <w:altName w:val="思源宋体"/>
    <w:panose1 w:val="00000000000000000000"/>
    <w:charset w:val="00"/>
    <w:family w:val="roman"/>
    <w:pitch w:val="default"/>
    <w:sig w:usb0="00000000" w:usb1="00000000" w:usb2="00000000" w:usb3="00000000" w:csb0="00040001" w:csb1="00000000"/>
  </w:font>
  <w:font w:name="思源宋体">
    <w:panose1 w:val="02020400000000000000"/>
    <w:charset w:val="86"/>
    <w:family w:val="auto"/>
    <w:pitch w:val="default"/>
    <w:sig w:usb0="30000083" w:usb1="2BDF3C10" w:usb2="00000016" w:usb3="00000000" w:csb0="602E0107" w:csb1="00000000"/>
  </w:font>
  <w:font w:name="Microsoft YaHei UI">
    <w:altName w:val="文泉驿微米黑"/>
    <w:panose1 w:val="020B0503020204020204"/>
    <w:charset w:val="86"/>
    <w:family w:val="swiss"/>
    <w:pitch w:val="default"/>
    <w:sig w:usb0="00000000" w:usb1="00000000" w:usb2="00000016" w:usb3="00000000" w:csb0="0004001F" w:csb1="00000000"/>
  </w:font>
  <w:font w:name="文泉驿微米黑">
    <w:panose1 w:val="020B0606030804020204"/>
    <w:charset w:val="86"/>
    <w:family w:val="auto"/>
    <w:pitch w:val="default"/>
    <w:sig w:usb0="E10002EF" w:usb1="6BDFFCFB" w:usb2="00800036" w:usb3="00000000" w:csb0="603E019F" w:csb1="DFD70000"/>
  </w:font>
  <w:font w:name="Microsoft Sans Serif">
    <w:altName w:val="Liberation Sans"/>
    <w:panose1 w:val="020B0604020202020204"/>
    <w:charset w:val="00"/>
    <w:family w:val="swiss"/>
    <w:pitch w:val="default"/>
    <w:sig w:usb0="00000000" w:usb1="00000000" w:usb2="00000029" w:usb3="00000000" w:csb0="200101FF" w:csb1="20280000"/>
  </w:font>
  <w:font w:name="Liberation Sans">
    <w:panose1 w:val="020B0604020202020204"/>
    <w:charset w:val="00"/>
    <w:family w:val="auto"/>
    <w:pitch w:val="default"/>
    <w:sig w:usb0="A00002AF" w:usb1="500078FB" w:usb2="00000000" w:usb3="00000000" w:csb0="6000009F" w:csb1="DFD70000"/>
  </w:font>
  <w:font w:name="楷体_GB2312">
    <w:panose1 w:val="02010609030101010101"/>
    <w:charset w:val="86"/>
    <w:family w:val="modern"/>
    <w:pitch w:val="default"/>
    <w:sig w:usb0="00000001" w:usb1="080E0000" w:usb2="00000000" w:usb3="00000000" w:csb0="00040000" w:csb1="00000000"/>
  </w:font>
  <w:font w:name="微软雅黑">
    <w:altName w:val="方正黑体_GBK"/>
    <w:panose1 w:val="020B0503020204020204"/>
    <w:charset w:val="86"/>
    <w:family w:val="swiss"/>
    <w:pitch w:val="default"/>
    <w:sig w:usb0="00000000" w:usb1="0000000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926414">
    <w:pPr>
      <w:ind w:firstLine="0" w:firstLineChars="0"/>
      <w:jc w:val="center"/>
    </w:pPr>
    <w:r>
      <w:fldChar w:fldCharType="begin"/>
    </w:r>
    <w:r>
      <w:instrText xml:space="preserve">PAGE   \* MERGEFORMAT</w:instrText>
    </w:r>
    <w:r>
      <w:fldChar w:fldCharType="separate"/>
    </w:r>
    <w:r>
      <w:rPr>
        <w:lang w:val="zh-CN"/>
      </w:rPr>
      <w:t>5</w:t>
    </w:r>
    <w:r>
      <w:rPr>
        <w:lang w:val="zh-CN"/>
      </w:rPr>
      <w:fldChar w:fldCharType="end"/>
    </w:r>
  </w:p>
  <w:p w14:paraId="076DB58D"/>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B1DF0F"/>
  <w:p w14:paraId="2B974F34"/>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7172B8">
    <w:pPr>
      <w:ind w:firstLine="0" w:firstLineChars="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D3242E">
    <w:pPr>
      <w:ind w:firstLine="0" w:firstLineChars="0"/>
      <w:jc w:val="center"/>
      <w:rPr>
        <w:lang w:val="zh-CN"/>
      </w:rPr>
    </w:pPr>
    <w:r>
      <w:rPr>
        <w:lang w:val="zh-CN"/>
      </w:rPr>
      <w:fldChar w:fldCharType="begin"/>
    </w:r>
    <w:r>
      <w:rPr>
        <w:lang w:val="zh-CN"/>
      </w:rPr>
      <w:instrText xml:space="preserve">PAGE   \* MERGEFORMAT</w:instrText>
    </w:r>
    <w:r>
      <w:rPr>
        <w:lang w:val="zh-CN"/>
      </w:rPr>
      <w:fldChar w:fldCharType="separate"/>
    </w:r>
    <w:r>
      <w:rPr>
        <w:lang w:val="zh-CN"/>
      </w:rPr>
      <w:t>1</w:t>
    </w:r>
    <w:r>
      <w:rPr>
        <w:lang w:val="zh-CN"/>
      </w:rPr>
      <w:fldChar w:fldCharType="end"/>
    </w:r>
  </w:p>
  <w:p w14:paraId="20D640FF"/>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B8BAB5">
    <w:pPr>
      <w:pStyle w:val="25"/>
      <w:pBdr>
        <w:bottom w:val="none" w:color="auto" w:sz="0" w:space="0"/>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54818D"/>
  <w:p w14:paraId="2D5B9650"/>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2717DB">
    <w:pPr>
      <w:pStyle w:val="25"/>
      <w:pBdr>
        <w:bottom w:val="none" w:color="auto" w:sz="0" w:space="0"/>
      </w:pBdr>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D0B678"/>
    <w:multiLevelType w:val="singleLevel"/>
    <w:tmpl w:val="91D0B678"/>
    <w:lvl w:ilvl="0" w:tentative="0">
      <w:start w:val="1"/>
      <w:numFmt w:val="decimal"/>
      <w:lvlText w:val="%1."/>
      <w:lvlJc w:val="left"/>
      <w:pPr>
        <w:ind w:left="425" w:hanging="425"/>
      </w:pPr>
      <w:rPr>
        <w:rFonts w:hint="default"/>
      </w:rPr>
    </w:lvl>
  </w:abstractNum>
  <w:abstractNum w:abstractNumId="1">
    <w:nsid w:val="308B7185"/>
    <w:multiLevelType w:val="multilevel"/>
    <w:tmpl w:val="308B7185"/>
    <w:lvl w:ilvl="0" w:tentative="0">
      <w:start w:val="1"/>
      <w:numFmt w:val="decimal"/>
      <w:lvlText w:val="%1."/>
      <w:lvlJc w:val="left"/>
      <w:pPr>
        <w:ind w:left="440" w:hanging="440"/>
      </w:p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2">
    <w:nsid w:val="6350366A"/>
    <w:multiLevelType w:val="multilevel"/>
    <w:tmpl w:val="6350366A"/>
    <w:lvl w:ilvl="0" w:tentative="0">
      <w:start w:val="1"/>
      <w:numFmt w:val="none"/>
      <w:pStyle w:val="112"/>
      <w:lvlText w:val="%1●　"/>
      <w:lvlJc w:val="left"/>
      <w:pPr>
        <w:tabs>
          <w:tab w:val="left" w:pos="760"/>
        </w:tabs>
        <w:ind w:left="717" w:hanging="317"/>
      </w:pPr>
      <w:rPr>
        <w:rFonts w:hint="eastAsia" w:ascii="宋体" w:hAnsi="Times New Roman" w:eastAsia="宋体"/>
        <w:b w:val="0"/>
        <w:i w:val="0"/>
        <w:position w:val="4"/>
        <w:sz w:val="13"/>
      </w:rPr>
    </w:lvl>
    <w:lvl w:ilvl="1" w:tentative="0">
      <w:start w:val="1"/>
      <w:numFmt w:val="lowerLetter"/>
      <w:lvlText w:val="%2)"/>
      <w:lvlJc w:val="left"/>
      <w:pPr>
        <w:tabs>
          <w:tab w:val="left" w:pos="780"/>
        </w:tabs>
        <w:ind w:left="780" w:hanging="360"/>
      </w:pPr>
      <w:rPr>
        <w:rFonts w:hint="eastAsia"/>
      </w:rPr>
    </w:lvl>
    <w:lvl w:ilvl="2" w:tentative="0">
      <w:start w:val="1"/>
      <w:numFmt w:val="decimal"/>
      <w:lvlText w:val="%3)"/>
      <w:lvlJc w:val="left"/>
      <w:pPr>
        <w:tabs>
          <w:tab w:val="left" w:pos="1200"/>
        </w:tabs>
        <w:ind w:left="1200" w:hanging="360"/>
      </w:pPr>
      <w:rPr>
        <w:rFonts w:hint="eastAsia"/>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6A2F4AB3"/>
    <w:multiLevelType w:val="multilevel"/>
    <w:tmpl w:val="6A2F4AB3"/>
    <w:lvl w:ilvl="0" w:tentative="0">
      <w:start w:val="1"/>
      <w:numFmt w:val="chineseCountingThousand"/>
      <w:pStyle w:val="2"/>
      <w:suff w:val="nothing"/>
      <w:lvlText w:val="%1、"/>
      <w:lvlJc w:val="left"/>
      <w:pPr>
        <w:ind w:left="2835" w:hanging="425"/>
      </w:pPr>
      <w:rPr>
        <w:rFonts w:hint="eastAsia"/>
        <w:sz w:val="32"/>
        <w:szCs w:val="32"/>
      </w:rPr>
    </w:lvl>
    <w:lvl w:ilvl="1" w:tentative="0">
      <w:start w:val="1"/>
      <w:numFmt w:val="decimal"/>
      <w:pStyle w:val="3"/>
      <w:isLgl/>
      <w:suff w:val="nothing"/>
      <w:lvlText w:val="%1.%2、"/>
      <w:lvlJc w:val="left"/>
      <w:pPr>
        <w:ind w:left="1135" w:hanging="567"/>
      </w:pPr>
    </w:lvl>
    <w:lvl w:ilvl="2" w:tentative="0">
      <w:start w:val="1"/>
      <w:numFmt w:val="decimal"/>
      <w:pStyle w:val="4"/>
      <w:isLgl/>
      <w:suff w:val="nothing"/>
      <w:lvlText w:val="%1.%2.%3、"/>
      <w:lvlJc w:val="left"/>
      <w:pPr>
        <w:ind w:left="1069" w:hanging="1069"/>
      </w:pPr>
      <w:rPr>
        <w:rFonts w:hint="default" w:ascii="宋体" w:hAnsi="宋体" w:eastAsia="宋体" w:cs="Arial"/>
      </w:rPr>
    </w:lvl>
    <w:lvl w:ilvl="3" w:tentative="0">
      <w:start w:val="1"/>
      <w:numFmt w:val="decimal"/>
      <w:pStyle w:val="5"/>
      <w:isLgl/>
      <w:suff w:val="nothing"/>
      <w:lvlText w:val="%1.%2.%3.%4、"/>
      <w:lvlJc w:val="left"/>
      <w:pPr>
        <w:ind w:left="3403" w:hanging="851"/>
      </w:pPr>
    </w:lvl>
    <w:lvl w:ilvl="4" w:tentative="0">
      <w:start w:val="1"/>
      <w:numFmt w:val="decimal"/>
      <w:pStyle w:val="6"/>
      <w:isLgl/>
      <w:suff w:val="nothing"/>
      <w:lvlText w:val="%1.%2.%3.%4.%5、"/>
      <w:lvlJc w:val="left"/>
      <w:pPr>
        <w:ind w:left="3544" w:hanging="992"/>
      </w:pPr>
      <w:rPr>
        <w:rFonts w:hint="eastAsia"/>
      </w:rPr>
    </w:lvl>
    <w:lvl w:ilvl="5" w:tentative="0">
      <w:start w:val="1"/>
      <w:numFmt w:val="decimal"/>
      <w:pStyle w:val="7"/>
      <w:isLgl/>
      <w:suff w:val="nothing"/>
      <w:lvlText w:val="%1.%2.%3.%4.%5.%6、"/>
      <w:lvlJc w:val="left"/>
      <w:pPr>
        <w:ind w:left="1134" w:hanging="1134"/>
      </w:pPr>
      <w:rPr>
        <w:rFonts w:hint="eastAsia"/>
      </w:rPr>
    </w:lvl>
    <w:lvl w:ilvl="6" w:tentative="0">
      <w:start w:val="1"/>
      <w:numFmt w:val="decimal"/>
      <w:isLgl/>
      <w:lvlText w:val="%1.%2.%3.%4.%5.%6.%7"/>
      <w:lvlJc w:val="left"/>
      <w:pPr>
        <w:tabs>
          <w:tab w:val="left" w:pos="1800"/>
        </w:tabs>
        <w:ind w:left="1276" w:hanging="1276"/>
      </w:pPr>
      <w:rPr>
        <w:rFonts w:hint="eastAsia"/>
      </w:rPr>
    </w:lvl>
    <w:lvl w:ilvl="7" w:tentative="0">
      <w:start w:val="1"/>
      <w:numFmt w:val="decimal"/>
      <w:isLgl/>
      <w:lvlText w:val="%1.%2.%3.%4.%5.%6.%7.%8"/>
      <w:lvlJc w:val="left"/>
      <w:pPr>
        <w:tabs>
          <w:tab w:val="left" w:pos="1800"/>
        </w:tabs>
        <w:ind w:left="1418" w:hanging="1418"/>
      </w:pPr>
      <w:rPr>
        <w:rFonts w:hint="eastAsia"/>
      </w:rPr>
    </w:lvl>
    <w:lvl w:ilvl="8" w:tentative="0">
      <w:start w:val="1"/>
      <w:numFmt w:val="decimal"/>
      <w:isLgl/>
      <w:lvlText w:val="%1.%2.%3.%4.%5.%6.%7.%8.%9"/>
      <w:lvlJc w:val="left"/>
      <w:pPr>
        <w:tabs>
          <w:tab w:val="left" w:pos="2160"/>
        </w:tabs>
        <w:ind w:left="1559" w:hanging="1559"/>
      </w:pPr>
      <w:rPr>
        <w:rFonts w:hint="eastAsia"/>
      </w:rPr>
    </w:lvl>
  </w:abstractNum>
  <w:num w:numId="1">
    <w:abstractNumId w:val="3"/>
  </w:num>
  <w:num w:numId="2">
    <w:abstractNumId w:val="2"/>
  </w:num>
  <w:num w:numId="3">
    <w:abstractNumId w:val="0"/>
  </w:num>
  <w:num w:numId="4">
    <w:abstractNumId w:val="1"/>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20"/>
  <w:drawingGridVerticalSpacing w:val="163"/>
  <w:displayHorizontalDrawingGridEvery w:val="2"/>
  <w:displayVerticalDrawingGridEvery w:val="2"/>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RhZmI4MDVmMTQ2MjVkZjFlZGQ5NmFkYTRlMjc0MmEifQ=="/>
  </w:docVars>
  <w:rsids>
    <w:rsidRoot w:val="006910C0"/>
    <w:rsid w:val="0000005A"/>
    <w:rsid w:val="0000073C"/>
    <w:rsid w:val="00000AED"/>
    <w:rsid w:val="00002C3F"/>
    <w:rsid w:val="00003516"/>
    <w:rsid w:val="0000380E"/>
    <w:rsid w:val="00005AFD"/>
    <w:rsid w:val="00006563"/>
    <w:rsid w:val="000074F1"/>
    <w:rsid w:val="00007A41"/>
    <w:rsid w:val="00007DA7"/>
    <w:rsid w:val="0001266D"/>
    <w:rsid w:val="00012EF0"/>
    <w:rsid w:val="000156DE"/>
    <w:rsid w:val="000165AD"/>
    <w:rsid w:val="000179E9"/>
    <w:rsid w:val="00020C18"/>
    <w:rsid w:val="00021EE6"/>
    <w:rsid w:val="0002280E"/>
    <w:rsid w:val="00022C74"/>
    <w:rsid w:val="00025122"/>
    <w:rsid w:val="000252D5"/>
    <w:rsid w:val="00026997"/>
    <w:rsid w:val="00027A64"/>
    <w:rsid w:val="00032D27"/>
    <w:rsid w:val="00033A46"/>
    <w:rsid w:val="00035325"/>
    <w:rsid w:val="00035D5B"/>
    <w:rsid w:val="000378D0"/>
    <w:rsid w:val="00037F2C"/>
    <w:rsid w:val="00040DE7"/>
    <w:rsid w:val="00042C2A"/>
    <w:rsid w:val="000430EC"/>
    <w:rsid w:val="000447CB"/>
    <w:rsid w:val="00047915"/>
    <w:rsid w:val="00047D06"/>
    <w:rsid w:val="00050FBD"/>
    <w:rsid w:val="0005107A"/>
    <w:rsid w:val="0005192C"/>
    <w:rsid w:val="00052929"/>
    <w:rsid w:val="0005299F"/>
    <w:rsid w:val="000541D7"/>
    <w:rsid w:val="000545C0"/>
    <w:rsid w:val="0005586D"/>
    <w:rsid w:val="00056C0E"/>
    <w:rsid w:val="000574A8"/>
    <w:rsid w:val="000574F8"/>
    <w:rsid w:val="00057A49"/>
    <w:rsid w:val="0006231F"/>
    <w:rsid w:val="00062A05"/>
    <w:rsid w:val="00062EE6"/>
    <w:rsid w:val="0006344E"/>
    <w:rsid w:val="000649E6"/>
    <w:rsid w:val="0006794B"/>
    <w:rsid w:val="00067DCA"/>
    <w:rsid w:val="00070063"/>
    <w:rsid w:val="0007087A"/>
    <w:rsid w:val="000710EC"/>
    <w:rsid w:val="00072237"/>
    <w:rsid w:val="00072ABE"/>
    <w:rsid w:val="00080B39"/>
    <w:rsid w:val="00083950"/>
    <w:rsid w:val="0008452F"/>
    <w:rsid w:val="00084E8E"/>
    <w:rsid w:val="00085A68"/>
    <w:rsid w:val="00090625"/>
    <w:rsid w:val="00090948"/>
    <w:rsid w:val="00091CD1"/>
    <w:rsid w:val="0009460E"/>
    <w:rsid w:val="000951D4"/>
    <w:rsid w:val="000A2146"/>
    <w:rsid w:val="000A2930"/>
    <w:rsid w:val="000A3276"/>
    <w:rsid w:val="000A3C35"/>
    <w:rsid w:val="000A3E30"/>
    <w:rsid w:val="000A5876"/>
    <w:rsid w:val="000A6069"/>
    <w:rsid w:val="000A61D0"/>
    <w:rsid w:val="000A6C67"/>
    <w:rsid w:val="000A6DB8"/>
    <w:rsid w:val="000A7596"/>
    <w:rsid w:val="000B11A8"/>
    <w:rsid w:val="000B1959"/>
    <w:rsid w:val="000B2E1C"/>
    <w:rsid w:val="000B4459"/>
    <w:rsid w:val="000B4B46"/>
    <w:rsid w:val="000B5363"/>
    <w:rsid w:val="000B53BA"/>
    <w:rsid w:val="000B642F"/>
    <w:rsid w:val="000B6C99"/>
    <w:rsid w:val="000C3F3C"/>
    <w:rsid w:val="000C5A75"/>
    <w:rsid w:val="000C75F7"/>
    <w:rsid w:val="000D0AB2"/>
    <w:rsid w:val="000D225C"/>
    <w:rsid w:val="000D36F2"/>
    <w:rsid w:val="000D4B26"/>
    <w:rsid w:val="000D74DB"/>
    <w:rsid w:val="000E24D6"/>
    <w:rsid w:val="000E2E58"/>
    <w:rsid w:val="000E6072"/>
    <w:rsid w:val="000E6D61"/>
    <w:rsid w:val="000E7A23"/>
    <w:rsid w:val="000F1C29"/>
    <w:rsid w:val="000F1E9E"/>
    <w:rsid w:val="000F2B10"/>
    <w:rsid w:val="000F3F72"/>
    <w:rsid w:val="00100DB0"/>
    <w:rsid w:val="00103383"/>
    <w:rsid w:val="001055B2"/>
    <w:rsid w:val="001068F0"/>
    <w:rsid w:val="00106AB8"/>
    <w:rsid w:val="00106C9E"/>
    <w:rsid w:val="00106E16"/>
    <w:rsid w:val="0010768B"/>
    <w:rsid w:val="00111249"/>
    <w:rsid w:val="00111701"/>
    <w:rsid w:val="00112A29"/>
    <w:rsid w:val="001167F6"/>
    <w:rsid w:val="00116C86"/>
    <w:rsid w:val="00121ACF"/>
    <w:rsid w:val="00121D8F"/>
    <w:rsid w:val="00122037"/>
    <w:rsid w:val="0012210C"/>
    <w:rsid w:val="00122A7F"/>
    <w:rsid w:val="00123F98"/>
    <w:rsid w:val="001242A5"/>
    <w:rsid w:val="00124531"/>
    <w:rsid w:val="00126EDF"/>
    <w:rsid w:val="00127BBE"/>
    <w:rsid w:val="00131D52"/>
    <w:rsid w:val="001329C1"/>
    <w:rsid w:val="00132C16"/>
    <w:rsid w:val="00134AB0"/>
    <w:rsid w:val="00136320"/>
    <w:rsid w:val="00136FFA"/>
    <w:rsid w:val="00137AC6"/>
    <w:rsid w:val="00145512"/>
    <w:rsid w:val="001465BD"/>
    <w:rsid w:val="00147B45"/>
    <w:rsid w:val="00147F40"/>
    <w:rsid w:val="00150803"/>
    <w:rsid w:val="0015133E"/>
    <w:rsid w:val="00151D83"/>
    <w:rsid w:val="001546C9"/>
    <w:rsid w:val="00154FAE"/>
    <w:rsid w:val="001552B2"/>
    <w:rsid w:val="00155E77"/>
    <w:rsid w:val="00156A70"/>
    <w:rsid w:val="00156FF2"/>
    <w:rsid w:val="00160A61"/>
    <w:rsid w:val="00160FC0"/>
    <w:rsid w:val="0016429B"/>
    <w:rsid w:val="00164525"/>
    <w:rsid w:val="00164C50"/>
    <w:rsid w:val="00165CB2"/>
    <w:rsid w:val="00166203"/>
    <w:rsid w:val="00166767"/>
    <w:rsid w:val="00167C0F"/>
    <w:rsid w:val="001707CB"/>
    <w:rsid w:val="00171477"/>
    <w:rsid w:val="00172A1A"/>
    <w:rsid w:val="00173251"/>
    <w:rsid w:val="00176BED"/>
    <w:rsid w:val="0017759D"/>
    <w:rsid w:val="001804A5"/>
    <w:rsid w:val="00181C94"/>
    <w:rsid w:val="00182C84"/>
    <w:rsid w:val="00187031"/>
    <w:rsid w:val="001914B8"/>
    <w:rsid w:val="00191EA4"/>
    <w:rsid w:val="00192B6C"/>
    <w:rsid w:val="00192C30"/>
    <w:rsid w:val="0019381E"/>
    <w:rsid w:val="00194CF5"/>
    <w:rsid w:val="0019503C"/>
    <w:rsid w:val="00195D94"/>
    <w:rsid w:val="00196F7B"/>
    <w:rsid w:val="001971CB"/>
    <w:rsid w:val="0019795C"/>
    <w:rsid w:val="001A053A"/>
    <w:rsid w:val="001A22A2"/>
    <w:rsid w:val="001A2971"/>
    <w:rsid w:val="001A3D52"/>
    <w:rsid w:val="001A460A"/>
    <w:rsid w:val="001A4A4C"/>
    <w:rsid w:val="001B0230"/>
    <w:rsid w:val="001B13AB"/>
    <w:rsid w:val="001B3907"/>
    <w:rsid w:val="001B3B49"/>
    <w:rsid w:val="001B4907"/>
    <w:rsid w:val="001B4DC5"/>
    <w:rsid w:val="001B5505"/>
    <w:rsid w:val="001C2180"/>
    <w:rsid w:val="001C29CC"/>
    <w:rsid w:val="001C3217"/>
    <w:rsid w:val="001C3B98"/>
    <w:rsid w:val="001C6028"/>
    <w:rsid w:val="001C6365"/>
    <w:rsid w:val="001C7F57"/>
    <w:rsid w:val="001D0E79"/>
    <w:rsid w:val="001D6049"/>
    <w:rsid w:val="001D7339"/>
    <w:rsid w:val="001E2750"/>
    <w:rsid w:val="001E4343"/>
    <w:rsid w:val="001E52BB"/>
    <w:rsid w:val="001E660A"/>
    <w:rsid w:val="001F05D6"/>
    <w:rsid w:val="001F2D34"/>
    <w:rsid w:val="001F5B0A"/>
    <w:rsid w:val="001F640F"/>
    <w:rsid w:val="001F6794"/>
    <w:rsid w:val="001F6F65"/>
    <w:rsid w:val="002002DF"/>
    <w:rsid w:val="00203A6F"/>
    <w:rsid w:val="00205646"/>
    <w:rsid w:val="002063F7"/>
    <w:rsid w:val="00206A6B"/>
    <w:rsid w:val="002129E5"/>
    <w:rsid w:val="00212AA4"/>
    <w:rsid w:val="00212E13"/>
    <w:rsid w:val="00214C50"/>
    <w:rsid w:val="002163C8"/>
    <w:rsid w:val="002179FE"/>
    <w:rsid w:val="00220CC0"/>
    <w:rsid w:val="00221A36"/>
    <w:rsid w:val="00223296"/>
    <w:rsid w:val="0022329B"/>
    <w:rsid w:val="002240F7"/>
    <w:rsid w:val="0022486F"/>
    <w:rsid w:val="00225314"/>
    <w:rsid w:val="00225DF4"/>
    <w:rsid w:val="00226C70"/>
    <w:rsid w:val="00230C8A"/>
    <w:rsid w:val="00231F98"/>
    <w:rsid w:val="002324F8"/>
    <w:rsid w:val="002348B0"/>
    <w:rsid w:val="00235CDC"/>
    <w:rsid w:val="00237E76"/>
    <w:rsid w:val="00240BBE"/>
    <w:rsid w:val="00241525"/>
    <w:rsid w:val="00241D87"/>
    <w:rsid w:val="00243C55"/>
    <w:rsid w:val="00243D5E"/>
    <w:rsid w:val="002451EC"/>
    <w:rsid w:val="00245ED4"/>
    <w:rsid w:val="00246B41"/>
    <w:rsid w:val="0025002B"/>
    <w:rsid w:val="002500DE"/>
    <w:rsid w:val="00252457"/>
    <w:rsid w:val="00252581"/>
    <w:rsid w:val="002535B5"/>
    <w:rsid w:val="002538CB"/>
    <w:rsid w:val="002542BD"/>
    <w:rsid w:val="0025668F"/>
    <w:rsid w:val="0025774E"/>
    <w:rsid w:val="00257D64"/>
    <w:rsid w:val="00260DD0"/>
    <w:rsid w:val="0026340A"/>
    <w:rsid w:val="0026461B"/>
    <w:rsid w:val="002654EA"/>
    <w:rsid w:val="002704EA"/>
    <w:rsid w:val="0027061A"/>
    <w:rsid w:val="002719CC"/>
    <w:rsid w:val="00272C74"/>
    <w:rsid w:val="002730C5"/>
    <w:rsid w:val="0027337C"/>
    <w:rsid w:val="002735E9"/>
    <w:rsid w:val="0027602B"/>
    <w:rsid w:val="00277F5E"/>
    <w:rsid w:val="00280084"/>
    <w:rsid w:val="00280490"/>
    <w:rsid w:val="002860B8"/>
    <w:rsid w:val="0029206E"/>
    <w:rsid w:val="00293382"/>
    <w:rsid w:val="00294DF5"/>
    <w:rsid w:val="00294F51"/>
    <w:rsid w:val="002A0D7F"/>
    <w:rsid w:val="002A2342"/>
    <w:rsid w:val="002A279E"/>
    <w:rsid w:val="002A4FA3"/>
    <w:rsid w:val="002A630C"/>
    <w:rsid w:val="002B3606"/>
    <w:rsid w:val="002B3D80"/>
    <w:rsid w:val="002B4402"/>
    <w:rsid w:val="002B4946"/>
    <w:rsid w:val="002B4C41"/>
    <w:rsid w:val="002B588D"/>
    <w:rsid w:val="002C1839"/>
    <w:rsid w:val="002C214A"/>
    <w:rsid w:val="002C28E8"/>
    <w:rsid w:val="002C3027"/>
    <w:rsid w:val="002C62D9"/>
    <w:rsid w:val="002C674D"/>
    <w:rsid w:val="002C74BE"/>
    <w:rsid w:val="002C7648"/>
    <w:rsid w:val="002C7DC4"/>
    <w:rsid w:val="002D0821"/>
    <w:rsid w:val="002D1929"/>
    <w:rsid w:val="002D1B73"/>
    <w:rsid w:val="002D3CB0"/>
    <w:rsid w:val="002D4800"/>
    <w:rsid w:val="002D5B21"/>
    <w:rsid w:val="002D6F6D"/>
    <w:rsid w:val="002E1FE6"/>
    <w:rsid w:val="002E2EA7"/>
    <w:rsid w:val="002E36D2"/>
    <w:rsid w:val="002E748B"/>
    <w:rsid w:val="002F2002"/>
    <w:rsid w:val="002F335D"/>
    <w:rsid w:val="002F4E32"/>
    <w:rsid w:val="002F503F"/>
    <w:rsid w:val="002F51DD"/>
    <w:rsid w:val="002F5D08"/>
    <w:rsid w:val="002F6431"/>
    <w:rsid w:val="002F6895"/>
    <w:rsid w:val="002F6D13"/>
    <w:rsid w:val="00300D50"/>
    <w:rsid w:val="003038D3"/>
    <w:rsid w:val="003049C7"/>
    <w:rsid w:val="00305F0E"/>
    <w:rsid w:val="0030667A"/>
    <w:rsid w:val="003106DE"/>
    <w:rsid w:val="00311530"/>
    <w:rsid w:val="00312D31"/>
    <w:rsid w:val="00315216"/>
    <w:rsid w:val="0031691C"/>
    <w:rsid w:val="00317AEF"/>
    <w:rsid w:val="00317F49"/>
    <w:rsid w:val="0032089B"/>
    <w:rsid w:val="00323450"/>
    <w:rsid w:val="00323D93"/>
    <w:rsid w:val="0032489B"/>
    <w:rsid w:val="0032525B"/>
    <w:rsid w:val="00326A7A"/>
    <w:rsid w:val="00326FEE"/>
    <w:rsid w:val="003315D7"/>
    <w:rsid w:val="00334DE6"/>
    <w:rsid w:val="0033536D"/>
    <w:rsid w:val="003353FF"/>
    <w:rsid w:val="003366D2"/>
    <w:rsid w:val="00337C79"/>
    <w:rsid w:val="00337FEF"/>
    <w:rsid w:val="0034084C"/>
    <w:rsid w:val="00340D5E"/>
    <w:rsid w:val="003420B5"/>
    <w:rsid w:val="00343646"/>
    <w:rsid w:val="00344CCB"/>
    <w:rsid w:val="00345897"/>
    <w:rsid w:val="00351BFC"/>
    <w:rsid w:val="0035575E"/>
    <w:rsid w:val="003565B4"/>
    <w:rsid w:val="00362E75"/>
    <w:rsid w:val="003631AA"/>
    <w:rsid w:val="003632D5"/>
    <w:rsid w:val="00363575"/>
    <w:rsid w:val="00364AAC"/>
    <w:rsid w:val="00364EF9"/>
    <w:rsid w:val="00367579"/>
    <w:rsid w:val="0036795B"/>
    <w:rsid w:val="00367A5E"/>
    <w:rsid w:val="00370A29"/>
    <w:rsid w:val="003722F9"/>
    <w:rsid w:val="00372349"/>
    <w:rsid w:val="00372CBC"/>
    <w:rsid w:val="00373A61"/>
    <w:rsid w:val="00374BDE"/>
    <w:rsid w:val="00376B39"/>
    <w:rsid w:val="003772C0"/>
    <w:rsid w:val="00377BAC"/>
    <w:rsid w:val="00380142"/>
    <w:rsid w:val="00380558"/>
    <w:rsid w:val="00381D3C"/>
    <w:rsid w:val="0038223E"/>
    <w:rsid w:val="00382D92"/>
    <w:rsid w:val="00385AEF"/>
    <w:rsid w:val="003860EA"/>
    <w:rsid w:val="0038781A"/>
    <w:rsid w:val="0039080B"/>
    <w:rsid w:val="0039326E"/>
    <w:rsid w:val="00394E22"/>
    <w:rsid w:val="003967A4"/>
    <w:rsid w:val="00397FA3"/>
    <w:rsid w:val="003A1596"/>
    <w:rsid w:val="003A317E"/>
    <w:rsid w:val="003A345B"/>
    <w:rsid w:val="003A49EE"/>
    <w:rsid w:val="003A674D"/>
    <w:rsid w:val="003A7123"/>
    <w:rsid w:val="003B102E"/>
    <w:rsid w:val="003B2167"/>
    <w:rsid w:val="003B5F5D"/>
    <w:rsid w:val="003B62C8"/>
    <w:rsid w:val="003C0C62"/>
    <w:rsid w:val="003C12DC"/>
    <w:rsid w:val="003C2CDA"/>
    <w:rsid w:val="003D000A"/>
    <w:rsid w:val="003D31E9"/>
    <w:rsid w:val="003D544E"/>
    <w:rsid w:val="003D5980"/>
    <w:rsid w:val="003E0842"/>
    <w:rsid w:val="003E13B0"/>
    <w:rsid w:val="003E2580"/>
    <w:rsid w:val="003E3DEE"/>
    <w:rsid w:val="003E3EBB"/>
    <w:rsid w:val="003E4A4C"/>
    <w:rsid w:val="003E4CBA"/>
    <w:rsid w:val="003E4D2F"/>
    <w:rsid w:val="003E4EDC"/>
    <w:rsid w:val="003E599D"/>
    <w:rsid w:val="003E5C81"/>
    <w:rsid w:val="003E6965"/>
    <w:rsid w:val="003F00E8"/>
    <w:rsid w:val="003F1936"/>
    <w:rsid w:val="003F1BDD"/>
    <w:rsid w:val="003F3BA3"/>
    <w:rsid w:val="003F3BD5"/>
    <w:rsid w:val="003F400E"/>
    <w:rsid w:val="003F6F35"/>
    <w:rsid w:val="003F7768"/>
    <w:rsid w:val="00400E8C"/>
    <w:rsid w:val="0040110D"/>
    <w:rsid w:val="004017DC"/>
    <w:rsid w:val="00401B53"/>
    <w:rsid w:val="00402668"/>
    <w:rsid w:val="00404FEC"/>
    <w:rsid w:val="0040534D"/>
    <w:rsid w:val="00405FAD"/>
    <w:rsid w:val="004117AB"/>
    <w:rsid w:val="00412B2F"/>
    <w:rsid w:val="00415281"/>
    <w:rsid w:val="00415716"/>
    <w:rsid w:val="0041604D"/>
    <w:rsid w:val="00417842"/>
    <w:rsid w:val="00417A6E"/>
    <w:rsid w:val="0042285D"/>
    <w:rsid w:val="004266FC"/>
    <w:rsid w:val="00427D2B"/>
    <w:rsid w:val="00430B13"/>
    <w:rsid w:val="00430CE5"/>
    <w:rsid w:val="0043153C"/>
    <w:rsid w:val="00431D0F"/>
    <w:rsid w:val="004328B3"/>
    <w:rsid w:val="0043481C"/>
    <w:rsid w:val="00436693"/>
    <w:rsid w:val="00444307"/>
    <w:rsid w:val="0044436F"/>
    <w:rsid w:val="004443EB"/>
    <w:rsid w:val="00444432"/>
    <w:rsid w:val="00444673"/>
    <w:rsid w:val="0044621E"/>
    <w:rsid w:val="00447BF1"/>
    <w:rsid w:val="004502EA"/>
    <w:rsid w:val="00450BA4"/>
    <w:rsid w:val="004511FC"/>
    <w:rsid w:val="00456784"/>
    <w:rsid w:val="00456DCA"/>
    <w:rsid w:val="00461140"/>
    <w:rsid w:val="004611DB"/>
    <w:rsid w:val="004658B0"/>
    <w:rsid w:val="0046614B"/>
    <w:rsid w:val="00467B63"/>
    <w:rsid w:val="00467FD7"/>
    <w:rsid w:val="00470073"/>
    <w:rsid w:val="004730F8"/>
    <w:rsid w:val="00474353"/>
    <w:rsid w:val="00474555"/>
    <w:rsid w:val="004750F4"/>
    <w:rsid w:val="00476CB1"/>
    <w:rsid w:val="00480334"/>
    <w:rsid w:val="00480A48"/>
    <w:rsid w:val="00482501"/>
    <w:rsid w:val="00482E7D"/>
    <w:rsid w:val="00484395"/>
    <w:rsid w:val="004865FB"/>
    <w:rsid w:val="004866F4"/>
    <w:rsid w:val="00486C03"/>
    <w:rsid w:val="00491AB3"/>
    <w:rsid w:val="004955B1"/>
    <w:rsid w:val="00495DDC"/>
    <w:rsid w:val="00497A33"/>
    <w:rsid w:val="004A1112"/>
    <w:rsid w:val="004A1DA0"/>
    <w:rsid w:val="004A1F20"/>
    <w:rsid w:val="004A2393"/>
    <w:rsid w:val="004A3569"/>
    <w:rsid w:val="004A452A"/>
    <w:rsid w:val="004A5F2C"/>
    <w:rsid w:val="004A6E4F"/>
    <w:rsid w:val="004A720D"/>
    <w:rsid w:val="004B00D0"/>
    <w:rsid w:val="004B6084"/>
    <w:rsid w:val="004B7AE0"/>
    <w:rsid w:val="004C0BC4"/>
    <w:rsid w:val="004C260D"/>
    <w:rsid w:val="004C2D47"/>
    <w:rsid w:val="004C4357"/>
    <w:rsid w:val="004C4477"/>
    <w:rsid w:val="004C5730"/>
    <w:rsid w:val="004C6397"/>
    <w:rsid w:val="004C668F"/>
    <w:rsid w:val="004C682B"/>
    <w:rsid w:val="004D0169"/>
    <w:rsid w:val="004D1414"/>
    <w:rsid w:val="004D142C"/>
    <w:rsid w:val="004D29F7"/>
    <w:rsid w:val="004D36D8"/>
    <w:rsid w:val="004D4C5C"/>
    <w:rsid w:val="004D5AB0"/>
    <w:rsid w:val="004D5EAE"/>
    <w:rsid w:val="004D7A0E"/>
    <w:rsid w:val="004E06E7"/>
    <w:rsid w:val="004E0AE3"/>
    <w:rsid w:val="004E20D3"/>
    <w:rsid w:val="004E2C82"/>
    <w:rsid w:val="004E4FAE"/>
    <w:rsid w:val="004E62C7"/>
    <w:rsid w:val="004E68FF"/>
    <w:rsid w:val="004E7A1B"/>
    <w:rsid w:val="004F0B7F"/>
    <w:rsid w:val="004F1193"/>
    <w:rsid w:val="004F11DC"/>
    <w:rsid w:val="004F2124"/>
    <w:rsid w:val="004F271B"/>
    <w:rsid w:val="004F3A52"/>
    <w:rsid w:val="004F449F"/>
    <w:rsid w:val="004F4E7E"/>
    <w:rsid w:val="004F6323"/>
    <w:rsid w:val="004F63AB"/>
    <w:rsid w:val="004F6B76"/>
    <w:rsid w:val="004F6C7C"/>
    <w:rsid w:val="004F7F1A"/>
    <w:rsid w:val="004F7FBB"/>
    <w:rsid w:val="005042B3"/>
    <w:rsid w:val="005045AB"/>
    <w:rsid w:val="00506C38"/>
    <w:rsid w:val="00507D43"/>
    <w:rsid w:val="005103F2"/>
    <w:rsid w:val="00510E2C"/>
    <w:rsid w:val="00511FDC"/>
    <w:rsid w:val="005124C6"/>
    <w:rsid w:val="00513EBC"/>
    <w:rsid w:val="0051407D"/>
    <w:rsid w:val="00514CE1"/>
    <w:rsid w:val="00517155"/>
    <w:rsid w:val="00517DB3"/>
    <w:rsid w:val="005200DC"/>
    <w:rsid w:val="005200F2"/>
    <w:rsid w:val="0052369D"/>
    <w:rsid w:val="005271DB"/>
    <w:rsid w:val="00530D2F"/>
    <w:rsid w:val="0053487C"/>
    <w:rsid w:val="005356E1"/>
    <w:rsid w:val="00536A8B"/>
    <w:rsid w:val="00540418"/>
    <w:rsid w:val="00540F5B"/>
    <w:rsid w:val="00541A96"/>
    <w:rsid w:val="00541C6A"/>
    <w:rsid w:val="00542C54"/>
    <w:rsid w:val="005434E2"/>
    <w:rsid w:val="00546A43"/>
    <w:rsid w:val="00546C70"/>
    <w:rsid w:val="00547258"/>
    <w:rsid w:val="00550CF0"/>
    <w:rsid w:val="00552F51"/>
    <w:rsid w:val="005559FE"/>
    <w:rsid w:val="005560D6"/>
    <w:rsid w:val="00556D07"/>
    <w:rsid w:val="005611F2"/>
    <w:rsid w:val="00561734"/>
    <w:rsid w:val="00561952"/>
    <w:rsid w:val="00564846"/>
    <w:rsid w:val="00564B9A"/>
    <w:rsid w:val="00565694"/>
    <w:rsid w:val="00566DD6"/>
    <w:rsid w:val="005714EF"/>
    <w:rsid w:val="00571CEC"/>
    <w:rsid w:val="00572FCE"/>
    <w:rsid w:val="005750DB"/>
    <w:rsid w:val="005759FC"/>
    <w:rsid w:val="00575B85"/>
    <w:rsid w:val="00576DB9"/>
    <w:rsid w:val="0057738F"/>
    <w:rsid w:val="005805E4"/>
    <w:rsid w:val="00581CEB"/>
    <w:rsid w:val="0058202F"/>
    <w:rsid w:val="00584221"/>
    <w:rsid w:val="00584EB6"/>
    <w:rsid w:val="00586B68"/>
    <w:rsid w:val="0058774E"/>
    <w:rsid w:val="005878CF"/>
    <w:rsid w:val="00590CA0"/>
    <w:rsid w:val="00595B01"/>
    <w:rsid w:val="00596D98"/>
    <w:rsid w:val="005979A5"/>
    <w:rsid w:val="005A0021"/>
    <w:rsid w:val="005A017B"/>
    <w:rsid w:val="005A2AEC"/>
    <w:rsid w:val="005A412D"/>
    <w:rsid w:val="005A5212"/>
    <w:rsid w:val="005B002D"/>
    <w:rsid w:val="005B0FFF"/>
    <w:rsid w:val="005B19AF"/>
    <w:rsid w:val="005B258C"/>
    <w:rsid w:val="005B3BC8"/>
    <w:rsid w:val="005B61DD"/>
    <w:rsid w:val="005B6735"/>
    <w:rsid w:val="005B7831"/>
    <w:rsid w:val="005C0CD6"/>
    <w:rsid w:val="005C12D9"/>
    <w:rsid w:val="005C2146"/>
    <w:rsid w:val="005C309D"/>
    <w:rsid w:val="005C544B"/>
    <w:rsid w:val="005C5916"/>
    <w:rsid w:val="005C5AEE"/>
    <w:rsid w:val="005C774A"/>
    <w:rsid w:val="005D13CD"/>
    <w:rsid w:val="005D3734"/>
    <w:rsid w:val="005D4F16"/>
    <w:rsid w:val="005D565E"/>
    <w:rsid w:val="005D5A53"/>
    <w:rsid w:val="005D5DA0"/>
    <w:rsid w:val="005D7FBD"/>
    <w:rsid w:val="005E00A8"/>
    <w:rsid w:val="005E19B4"/>
    <w:rsid w:val="005E1D6B"/>
    <w:rsid w:val="005E227A"/>
    <w:rsid w:val="005E2CF8"/>
    <w:rsid w:val="005E3126"/>
    <w:rsid w:val="005E7075"/>
    <w:rsid w:val="005E75A7"/>
    <w:rsid w:val="005E78E4"/>
    <w:rsid w:val="005F38E2"/>
    <w:rsid w:val="005F3EE6"/>
    <w:rsid w:val="005F6736"/>
    <w:rsid w:val="00602C10"/>
    <w:rsid w:val="00602EBD"/>
    <w:rsid w:val="00603FD7"/>
    <w:rsid w:val="00604CF2"/>
    <w:rsid w:val="00606DFF"/>
    <w:rsid w:val="00606FB7"/>
    <w:rsid w:val="00610533"/>
    <w:rsid w:val="006110F6"/>
    <w:rsid w:val="00611DD5"/>
    <w:rsid w:val="00611FA1"/>
    <w:rsid w:val="00612522"/>
    <w:rsid w:val="00612DA6"/>
    <w:rsid w:val="0061365B"/>
    <w:rsid w:val="006138B6"/>
    <w:rsid w:val="00614BC6"/>
    <w:rsid w:val="00614E33"/>
    <w:rsid w:val="006158B8"/>
    <w:rsid w:val="0061706D"/>
    <w:rsid w:val="006173DA"/>
    <w:rsid w:val="00617EF9"/>
    <w:rsid w:val="00620295"/>
    <w:rsid w:val="00622F8E"/>
    <w:rsid w:val="00626158"/>
    <w:rsid w:val="00626AC8"/>
    <w:rsid w:val="00627912"/>
    <w:rsid w:val="0063195F"/>
    <w:rsid w:val="0063263B"/>
    <w:rsid w:val="00636C0A"/>
    <w:rsid w:val="006375B3"/>
    <w:rsid w:val="00637EC6"/>
    <w:rsid w:val="00640FFC"/>
    <w:rsid w:val="00641DA7"/>
    <w:rsid w:val="0064240C"/>
    <w:rsid w:val="00642FF5"/>
    <w:rsid w:val="006430FB"/>
    <w:rsid w:val="00643992"/>
    <w:rsid w:val="00644DBC"/>
    <w:rsid w:val="00646FE6"/>
    <w:rsid w:val="006474CD"/>
    <w:rsid w:val="00647744"/>
    <w:rsid w:val="006479A0"/>
    <w:rsid w:val="006500D9"/>
    <w:rsid w:val="00653B54"/>
    <w:rsid w:val="006541A3"/>
    <w:rsid w:val="00654FAD"/>
    <w:rsid w:val="00655C9F"/>
    <w:rsid w:val="006567FF"/>
    <w:rsid w:val="00656867"/>
    <w:rsid w:val="0066109F"/>
    <w:rsid w:val="00664B26"/>
    <w:rsid w:val="0066596B"/>
    <w:rsid w:val="00670295"/>
    <w:rsid w:val="006704F5"/>
    <w:rsid w:val="00672894"/>
    <w:rsid w:val="00674B47"/>
    <w:rsid w:val="0067609E"/>
    <w:rsid w:val="00677749"/>
    <w:rsid w:val="00680E07"/>
    <w:rsid w:val="00682B9D"/>
    <w:rsid w:val="00683806"/>
    <w:rsid w:val="00686AF9"/>
    <w:rsid w:val="006910C0"/>
    <w:rsid w:val="00691954"/>
    <w:rsid w:val="0069320E"/>
    <w:rsid w:val="00693A8F"/>
    <w:rsid w:val="00693D13"/>
    <w:rsid w:val="00694F58"/>
    <w:rsid w:val="006955BC"/>
    <w:rsid w:val="006959E2"/>
    <w:rsid w:val="00696920"/>
    <w:rsid w:val="00697EB9"/>
    <w:rsid w:val="006A20D4"/>
    <w:rsid w:val="006A268D"/>
    <w:rsid w:val="006A350F"/>
    <w:rsid w:val="006A3957"/>
    <w:rsid w:val="006A39A4"/>
    <w:rsid w:val="006A41D6"/>
    <w:rsid w:val="006A669D"/>
    <w:rsid w:val="006A6E41"/>
    <w:rsid w:val="006B012F"/>
    <w:rsid w:val="006B27CF"/>
    <w:rsid w:val="006B41BD"/>
    <w:rsid w:val="006B5678"/>
    <w:rsid w:val="006B62B2"/>
    <w:rsid w:val="006C1C57"/>
    <w:rsid w:val="006C5760"/>
    <w:rsid w:val="006C6D6F"/>
    <w:rsid w:val="006D0D78"/>
    <w:rsid w:val="006D1128"/>
    <w:rsid w:val="006D2848"/>
    <w:rsid w:val="006D30E0"/>
    <w:rsid w:val="006D5521"/>
    <w:rsid w:val="006D5FE9"/>
    <w:rsid w:val="006D6CBB"/>
    <w:rsid w:val="006D76A9"/>
    <w:rsid w:val="006D77F4"/>
    <w:rsid w:val="006E0898"/>
    <w:rsid w:val="006E41CD"/>
    <w:rsid w:val="006E6CAB"/>
    <w:rsid w:val="006F3BEC"/>
    <w:rsid w:val="00703C00"/>
    <w:rsid w:val="007057CC"/>
    <w:rsid w:val="007066F2"/>
    <w:rsid w:val="00706AE5"/>
    <w:rsid w:val="0070740A"/>
    <w:rsid w:val="00711F93"/>
    <w:rsid w:val="00712940"/>
    <w:rsid w:val="0071428C"/>
    <w:rsid w:val="00715A16"/>
    <w:rsid w:val="007164B0"/>
    <w:rsid w:val="007166FF"/>
    <w:rsid w:val="00725104"/>
    <w:rsid w:val="007260CC"/>
    <w:rsid w:val="00726543"/>
    <w:rsid w:val="0073353E"/>
    <w:rsid w:val="00736633"/>
    <w:rsid w:val="00736883"/>
    <w:rsid w:val="00741EE7"/>
    <w:rsid w:val="00743A79"/>
    <w:rsid w:val="007444D4"/>
    <w:rsid w:val="0074594D"/>
    <w:rsid w:val="007459F3"/>
    <w:rsid w:val="00746E35"/>
    <w:rsid w:val="007470E2"/>
    <w:rsid w:val="0075232F"/>
    <w:rsid w:val="00753132"/>
    <w:rsid w:val="007547D3"/>
    <w:rsid w:val="007550B3"/>
    <w:rsid w:val="00760451"/>
    <w:rsid w:val="0077182A"/>
    <w:rsid w:val="00771913"/>
    <w:rsid w:val="00772718"/>
    <w:rsid w:val="00774541"/>
    <w:rsid w:val="00775BCF"/>
    <w:rsid w:val="007818AA"/>
    <w:rsid w:val="00783140"/>
    <w:rsid w:val="007838B6"/>
    <w:rsid w:val="00783E77"/>
    <w:rsid w:val="007906F1"/>
    <w:rsid w:val="0079243D"/>
    <w:rsid w:val="00794A9B"/>
    <w:rsid w:val="0079583B"/>
    <w:rsid w:val="00796602"/>
    <w:rsid w:val="00797185"/>
    <w:rsid w:val="007976B7"/>
    <w:rsid w:val="00797A7E"/>
    <w:rsid w:val="00797D6F"/>
    <w:rsid w:val="00797F47"/>
    <w:rsid w:val="007A202F"/>
    <w:rsid w:val="007B014B"/>
    <w:rsid w:val="007B0D88"/>
    <w:rsid w:val="007B306F"/>
    <w:rsid w:val="007B4714"/>
    <w:rsid w:val="007B4E82"/>
    <w:rsid w:val="007C1996"/>
    <w:rsid w:val="007C3773"/>
    <w:rsid w:val="007C3F1F"/>
    <w:rsid w:val="007D2D0D"/>
    <w:rsid w:val="007D3325"/>
    <w:rsid w:val="007D3818"/>
    <w:rsid w:val="007D38C8"/>
    <w:rsid w:val="007D6DC5"/>
    <w:rsid w:val="007D7425"/>
    <w:rsid w:val="007E320E"/>
    <w:rsid w:val="007E3280"/>
    <w:rsid w:val="007E4A02"/>
    <w:rsid w:val="007E595C"/>
    <w:rsid w:val="007E59A5"/>
    <w:rsid w:val="007F3B8C"/>
    <w:rsid w:val="007F41D0"/>
    <w:rsid w:val="007F4B8B"/>
    <w:rsid w:val="007F5957"/>
    <w:rsid w:val="007F70B6"/>
    <w:rsid w:val="007F74CA"/>
    <w:rsid w:val="00800F1E"/>
    <w:rsid w:val="0080151E"/>
    <w:rsid w:val="0080195A"/>
    <w:rsid w:val="0080239C"/>
    <w:rsid w:val="00802841"/>
    <w:rsid w:val="008037D5"/>
    <w:rsid w:val="00805447"/>
    <w:rsid w:val="008054FA"/>
    <w:rsid w:val="0080717A"/>
    <w:rsid w:val="00807DFA"/>
    <w:rsid w:val="0081009F"/>
    <w:rsid w:val="00810152"/>
    <w:rsid w:val="008115AB"/>
    <w:rsid w:val="00812D2C"/>
    <w:rsid w:val="008159F4"/>
    <w:rsid w:val="008163E8"/>
    <w:rsid w:val="008167C1"/>
    <w:rsid w:val="008167C6"/>
    <w:rsid w:val="00816B8F"/>
    <w:rsid w:val="00820331"/>
    <w:rsid w:val="00820BF5"/>
    <w:rsid w:val="008212B1"/>
    <w:rsid w:val="0082155A"/>
    <w:rsid w:val="0082209F"/>
    <w:rsid w:val="008223C2"/>
    <w:rsid w:val="008250A2"/>
    <w:rsid w:val="00825D64"/>
    <w:rsid w:val="0082650B"/>
    <w:rsid w:val="008301CE"/>
    <w:rsid w:val="008312E3"/>
    <w:rsid w:val="00831D5B"/>
    <w:rsid w:val="00832DD6"/>
    <w:rsid w:val="00832F0C"/>
    <w:rsid w:val="008336F2"/>
    <w:rsid w:val="008345D9"/>
    <w:rsid w:val="008347CB"/>
    <w:rsid w:val="00835647"/>
    <w:rsid w:val="00837A2E"/>
    <w:rsid w:val="00841558"/>
    <w:rsid w:val="00842A68"/>
    <w:rsid w:val="008435BA"/>
    <w:rsid w:val="0084558B"/>
    <w:rsid w:val="0084654A"/>
    <w:rsid w:val="008474EF"/>
    <w:rsid w:val="00847654"/>
    <w:rsid w:val="00851064"/>
    <w:rsid w:val="00855543"/>
    <w:rsid w:val="008566B3"/>
    <w:rsid w:val="008576B7"/>
    <w:rsid w:val="00857F7B"/>
    <w:rsid w:val="00863DA1"/>
    <w:rsid w:val="008654A6"/>
    <w:rsid w:val="00865D86"/>
    <w:rsid w:val="00870495"/>
    <w:rsid w:val="00870EA1"/>
    <w:rsid w:val="008710C5"/>
    <w:rsid w:val="00874438"/>
    <w:rsid w:val="00874E75"/>
    <w:rsid w:val="008767F3"/>
    <w:rsid w:val="00876CEF"/>
    <w:rsid w:val="00877342"/>
    <w:rsid w:val="008803C3"/>
    <w:rsid w:val="00881450"/>
    <w:rsid w:val="008817C7"/>
    <w:rsid w:val="00881875"/>
    <w:rsid w:val="0088488C"/>
    <w:rsid w:val="008848A3"/>
    <w:rsid w:val="00884AF1"/>
    <w:rsid w:val="00885F7A"/>
    <w:rsid w:val="00890712"/>
    <w:rsid w:val="00890D81"/>
    <w:rsid w:val="00892955"/>
    <w:rsid w:val="00893628"/>
    <w:rsid w:val="008941EB"/>
    <w:rsid w:val="0089545A"/>
    <w:rsid w:val="008955AF"/>
    <w:rsid w:val="00895A02"/>
    <w:rsid w:val="008A01EE"/>
    <w:rsid w:val="008A0DAC"/>
    <w:rsid w:val="008A3B78"/>
    <w:rsid w:val="008A4166"/>
    <w:rsid w:val="008A7DBF"/>
    <w:rsid w:val="008B136C"/>
    <w:rsid w:val="008B55EF"/>
    <w:rsid w:val="008B6910"/>
    <w:rsid w:val="008C09A8"/>
    <w:rsid w:val="008C0B5C"/>
    <w:rsid w:val="008C1343"/>
    <w:rsid w:val="008C3912"/>
    <w:rsid w:val="008C5598"/>
    <w:rsid w:val="008C69EA"/>
    <w:rsid w:val="008C6F8B"/>
    <w:rsid w:val="008C7AB7"/>
    <w:rsid w:val="008C7FB4"/>
    <w:rsid w:val="008D1506"/>
    <w:rsid w:val="008D2C8C"/>
    <w:rsid w:val="008D3040"/>
    <w:rsid w:val="008D3ECD"/>
    <w:rsid w:val="008D56EF"/>
    <w:rsid w:val="008D5C03"/>
    <w:rsid w:val="008D732E"/>
    <w:rsid w:val="008D7580"/>
    <w:rsid w:val="008D7C35"/>
    <w:rsid w:val="008E4388"/>
    <w:rsid w:val="008E5698"/>
    <w:rsid w:val="008E5733"/>
    <w:rsid w:val="008E77D2"/>
    <w:rsid w:val="008E78FD"/>
    <w:rsid w:val="008F199D"/>
    <w:rsid w:val="008F38A0"/>
    <w:rsid w:val="008F39C9"/>
    <w:rsid w:val="008F5EB5"/>
    <w:rsid w:val="008F678C"/>
    <w:rsid w:val="008F75A7"/>
    <w:rsid w:val="008F7E5A"/>
    <w:rsid w:val="00900A7F"/>
    <w:rsid w:val="009036EE"/>
    <w:rsid w:val="00905815"/>
    <w:rsid w:val="00905D1D"/>
    <w:rsid w:val="0091016D"/>
    <w:rsid w:val="00910C98"/>
    <w:rsid w:val="00911910"/>
    <w:rsid w:val="00912A58"/>
    <w:rsid w:val="00913908"/>
    <w:rsid w:val="00913D26"/>
    <w:rsid w:val="00913EEB"/>
    <w:rsid w:val="0091438B"/>
    <w:rsid w:val="009147E3"/>
    <w:rsid w:val="00920FD2"/>
    <w:rsid w:val="00923A43"/>
    <w:rsid w:val="0092439C"/>
    <w:rsid w:val="0092498E"/>
    <w:rsid w:val="00925B85"/>
    <w:rsid w:val="00925B91"/>
    <w:rsid w:val="00934461"/>
    <w:rsid w:val="00934F7E"/>
    <w:rsid w:val="00936A1C"/>
    <w:rsid w:val="00941FDA"/>
    <w:rsid w:val="00943E35"/>
    <w:rsid w:val="00945091"/>
    <w:rsid w:val="00945278"/>
    <w:rsid w:val="0094658D"/>
    <w:rsid w:val="00947659"/>
    <w:rsid w:val="00947678"/>
    <w:rsid w:val="00947878"/>
    <w:rsid w:val="009504C2"/>
    <w:rsid w:val="0095254A"/>
    <w:rsid w:val="0095273B"/>
    <w:rsid w:val="009559E1"/>
    <w:rsid w:val="009568D5"/>
    <w:rsid w:val="00957CD3"/>
    <w:rsid w:val="0096269B"/>
    <w:rsid w:val="00963FB0"/>
    <w:rsid w:val="00964C86"/>
    <w:rsid w:val="00965E82"/>
    <w:rsid w:val="009664BB"/>
    <w:rsid w:val="009669F8"/>
    <w:rsid w:val="00966F89"/>
    <w:rsid w:val="00973B5D"/>
    <w:rsid w:val="009742B2"/>
    <w:rsid w:val="0097755E"/>
    <w:rsid w:val="00981467"/>
    <w:rsid w:val="00981C24"/>
    <w:rsid w:val="009852F6"/>
    <w:rsid w:val="00985DE5"/>
    <w:rsid w:val="00986254"/>
    <w:rsid w:val="00986C0B"/>
    <w:rsid w:val="0098729E"/>
    <w:rsid w:val="00990067"/>
    <w:rsid w:val="00992977"/>
    <w:rsid w:val="009937D4"/>
    <w:rsid w:val="00993C78"/>
    <w:rsid w:val="009948C7"/>
    <w:rsid w:val="00995850"/>
    <w:rsid w:val="00997357"/>
    <w:rsid w:val="0099796C"/>
    <w:rsid w:val="009A194E"/>
    <w:rsid w:val="009A1EA2"/>
    <w:rsid w:val="009A209E"/>
    <w:rsid w:val="009A3FD7"/>
    <w:rsid w:val="009A4DBF"/>
    <w:rsid w:val="009A6652"/>
    <w:rsid w:val="009A74FD"/>
    <w:rsid w:val="009B25D8"/>
    <w:rsid w:val="009B2D0C"/>
    <w:rsid w:val="009B42E3"/>
    <w:rsid w:val="009B4362"/>
    <w:rsid w:val="009B5859"/>
    <w:rsid w:val="009C009A"/>
    <w:rsid w:val="009C40BB"/>
    <w:rsid w:val="009C445A"/>
    <w:rsid w:val="009C6D07"/>
    <w:rsid w:val="009C7CEC"/>
    <w:rsid w:val="009D154D"/>
    <w:rsid w:val="009D18EF"/>
    <w:rsid w:val="009D3BE8"/>
    <w:rsid w:val="009D44E0"/>
    <w:rsid w:val="009D573B"/>
    <w:rsid w:val="009D59A0"/>
    <w:rsid w:val="009D716A"/>
    <w:rsid w:val="009E1AC4"/>
    <w:rsid w:val="009E20B8"/>
    <w:rsid w:val="009E29A0"/>
    <w:rsid w:val="009E41B5"/>
    <w:rsid w:val="009E55D7"/>
    <w:rsid w:val="009E627C"/>
    <w:rsid w:val="009F110B"/>
    <w:rsid w:val="009F1498"/>
    <w:rsid w:val="009F1E9F"/>
    <w:rsid w:val="009F3793"/>
    <w:rsid w:val="009F54F2"/>
    <w:rsid w:val="00A0056B"/>
    <w:rsid w:val="00A01657"/>
    <w:rsid w:val="00A01C65"/>
    <w:rsid w:val="00A0213D"/>
    <w:rsid w:val="00A04C73"/>
    <w:rsid w:val="00A0679A"/>
    <w:rsid w:val="00A0774D"/>
    <w:rsid w:val="00A07A2B"/>
    <w:rsid w:val="00A12375"/>
    <w:rsid w:val="00A125B8"/>
    <w:rsid w:val="00A13124"/>
    <w:rsid w:val="00A15370"/>
    <w:rsid w:val="00A156AB"/>
    <w:rsid w:val="00A16B8D"/>
    <w:rsid w:val="00A21293"/>
    <w:rsid w:val="00A2134B"/>
    <w:rsid w:val="00A21623"/>
    <w:rsid w:val="00A220EB"/>
    <w:rsid w:val="00A22302"/>
    <w:rsid w:val="00A25F1B"/>
    <w:rsid w:val="00A325F3"/>
    <w:rsid w:val="00A33103"/>
    <w:rsid w:val="00A33294"/>
    <w:rsid w:val="00A35DCB"/>
    <w:rsid w:val="00A3690E"/>
    <w:rsid w:val="00A37751"/>
    <w:rsid w:val="00A406B1"/>
    <w:rsid w:val="00A40ACC"/>
    <w:rsid w:val="00A4113E"/>
    <w:rsid w:val="00A42435"/>
    <w:rsid w:val="00A438BA"/>
    <w:rsid w:val="00A446FD"/>
    <w:rsid w:val="00A46F46"/>
    <w:rsid w:val="00A52CB6"/>
    <w:rsid w:val="00A52F99"/>
    <w:rsid w:val="00A538BB"/>
    <w:rsid w:val="00A54164"/>
    <w:rsid w:val="00A56737"/>
    <w:rsid w:val="00A60002"/>
    <w:rsid w:val="00A603D8"/>
    <w:rsid w:val="00A60AE2"/>
    <w:rsid w:val="00A61834"/>
    <w:rsid w:val="00A618B0"/>
    <w:rsid w:val="00A62790"/>
    <w:rsid w:val="00A6291F"/>
    <w:rsid w:val="00A63F53"/>
    <w:rsid w:val="00A7111E"/>
    <w:rsid w:val="00A755B6"/>
    <w:rsid w:val="00A75B1A"/>
    <w:rsid w:val="00A80ED4"/>
    <w:rsid w:val="00A816C4"/>
    <w:rsid w:val="00A82981"/>
    <w:rsid w:val="00A86F10"/>
    <w:rsid w:val="00A87AF2"/>
    <w:rsid w:val="00A90B23"/>
    <w:rsid w:val="00A93049"/>
    <w:rsid w:val="00A93193"/>
    <w:rsid w:val="00A93C2B"/>
    <w:rsid w:val="00A94556"/>
    <w:rsid w:val="00A974CB"/>
    <w:rsid w:val="00AA1EAC"/>
    <w:rsid w:val="00AA3A69"/>
    <w:rsid w:val="00AA45E2"/>
    <w:rsid w:val="00AA7AC1"/>
    <w:rsid w:val="00AB6327"/>
    <w:rsid w:val="00AB6B8F"/>
    <w:rsid w:val="00AC0C65"/>
    <w:rsid w:val="00AC0FB2"/>
    <w:rsid w:val="00AC3721"/>
    <w:rsid w:val="00AC41C6"/>
    <w:rsid w:val="00AC70C7"/>
    <w:rsid w:val="00AC76B7"/>
    <w:rsid w:val="00AD0223"/>
    <w:rsid w:val="00AD123A"/>
    <w:rsid w:val="00AD15FF"/>
    <w:rsid w:val="00AD1AA5"/>
    <w:rsid w:val="00AD2920"/>
    <w:rsid w:val="00AD2CD5"/>
    <w:rsid w:val="00AD2DFC"/>
    <w:rsid w:val="00AD38C4"/>
    <w:rsid w:val="00AD5A4A"/>
    <w:rsid w:val="00AD60EE"/>
    <w:rsid w:val="00AD6A2B"/>
    <w:rsid w:val="00AD73D4"/>
    <w:rsid w:val="00AE1EA2"/>
    <w:rsid w:val="00AE2874"/>
    <w:rsid w:val="00AE2BA2"/>
    <w:rsid w:val="00AE2F98"/>
    <w:rsid w:val="00AE3602"/>
    <w:rsid w:val="00AE5342"/>
    <w:rsid w:val="00AE5987"/>
    <w:rsid w:val="00AE6472"/>
    <w:rsid w:val="00AF1345"/>
    <w:rsid w:val="00AF38A8"/>
    <w:rsid w:val="00AF63EB"/>
    <w:rsid w:val="00B016D2"/>
    <w:rsid w:val="00B018EC"/>
    <w:rsid w:val="00B060C7"/>
    <w:rsid w:val="00B06597"/>
    <w:rsid w:val="00B104CC"/>
    <w:rsid w:val="00B11AB7"/>
    <w:rsid w:val="00B12213"/>
    <w:rsid w:val="00B12851"/>
    <w:rsid w:val="00B13710"/>
    <w:rsid w:val="00B15AC7"/>
    <w:rsid w:val="00B2038D"/>
    <w:rsid w:val="00B20BC4"/>
    <w:rsid w:val="00B22881"/>
    <w:rsid w:val="00B23EFC"/>
    <w:rsid w:val="00B24B72"/>
    <w:rsid w:val="00B25DB8"/>
    <w:rsid w:val="00B2656C"/>
    <w:rsid w:val="00B266E6"/>
    <w:rsid w:val="00B3017B"/>
    <w:rsid w:val="00B3094D"/>
    <w:rsid w:val="00B30B04"/>
    <w:rsid w:val="00B311BC"/>
    <w:rsid w:val="00B31810"/>
    <w:rsid w:val="00B31C10"/>
    <w:rsid w:val="00B3446D"/>
    <w:rsid w:val="00B34652"/>
    <w:rsid w:val="00B34F89"/>
    <w:rsid w:val="00B358C8"/>
    <w:rsid w:val="00B36185"/>
    <w:rsid w:val="00B3662F"/>
    <w:rsid w:val="00B373CD"/>
    <w:rsid w:val="00B377C8"/>
    <w:rsid w:val="00B400B8"/>
    <w:rsid w:val="00B404DE"/>
    <w:rsid w:val="00B40765"/>
    <w:rsid w:val="00B4232D"/>
    <w:rsid w:val="00B42682"/>
    <w:rsid w:val="00B43065"/>
    <w:rsid w:val="00B44784"/>
    <w:rsid w:val="00B449D0"/>
    <w:rsid w:val="00B456AB"/>
    <w:rsid w:val="00B46C2A"/>
    <w:rsid w:val="00B47E8B"/>
    <w:rsid w:val="00B51C67"/>
    <w:rsid w:val="00B53F86"/>
    <w:rsid w:val="00B53FDC"/>
    <w:rsid w:val="00B55431"/>
    <w:rsid w:val="00B55CAE"/>
    <w:rsid w:val="00B576C6"/>
    <w:rsid w:val="00B615F2"/>
    <w:rsid w:val="00B61A28"/>
    <w:rsid w:val="00B65C6D"/>
    <w:rsid w:val="00B66B06"/>
    <w:rsid w:val="00B67862"/>
    <w:rsid w:val="00B70634"/>
    <w:rsid w:val="00B70BE4"/>
    <w:rsid w:val="00B73880"/>
    <w:rsid w:val="00B73CF1"/>
    <w:rsid w:val="00B745B3"/>
    <w:rsid w:val="00B7599D"/>
    <w:rsid w:val="00B7648F"/>
    <w:rsid w:val="00B76E13"/>
    <w:rsid w:val="00B771EE"/>
    <w:rsid w:val="00B7765B"/>
    <w:rsid w:val="00B77B4B"/>
    <w:rsid w:val="00B80ABC"/>
    <w:rsid w:val="00B814C2"/>
    <w:rsid w:val="00B900FE"/>
    <w:rsid w:val="00B905A8"/>
    <w:rsid w:val="00B9064C"/>
    <w:rsid w:val="00B90D23"/>
    <w:rsid w:val="00BA0A14"/>
    <w:rsid w:val="00BA228D"/>
    <w:rsid w:val="00BA398D"/>
    <w:rsid w:val="00BA39D3"/>
    <w:rsid w:val="00BA5C56"/>
    <w:rsid w:val="00BA776F"/>
    <w:rsid w:val="00BB0C0D"/>
    <w:rsid w:val="00BB0D69"/>
    <w:rsid w:val="00BB366E"/>
    <w:rsid w:val="00BB3AF0"/>
    <w:rsid w:val="00BB4F70"/>
    <w:rsid w:val="00BB67FF"/>
    <w:rsid w:val="00BC11B9"/>
    <w:rsid w:val="00BC138C"/>
    <w:rsid w:val="00BC14CF"/>
    <w:rsid w:val="00BC1659"/>
    <w:rsid w:val="00BC28D2"/>
    <w:rsid w:val="00BC2C91"/>
    <w:rsid w:val="00BC3A9C"/>
    <w:rsid w:val="00BC5288"/>
    <w:rsid w:val="00BC6A71"/>
    <w:rsid w:val="00BC6B2F"/>
    <w:rsid w:val="00BD0637"/>
    <w:rsid w:val="00BD08A8"/>
    <w:rsid w:val="00BD1BAC"/>
    <w:rsid w:val="00BD1FA8"/>
    <w:rsid w:val="00BD25A6"/>
    <w:rsid w:val="00BD4C95"/>
    <w:rsid w:val="00BD65FC"/>
    <w:rsid w:val="00BD7660"/>
    <w:rsid w:val="00BE0666"/>
    <w:rsid w:val="00BE24B9"/>
    <w:rsid w:val="00BE2AE8"/>
    <w:rsid w:val="00BE2D55"/>
    <w:rsid w:val="00BE38DD"/>
    <w:rsid w:val="00BE4AB1"/>
    <w:rsid w:val="00BE5DB4"/>
    <w:rsid w:val="00BF16C3"/>
    <w:rsid w:val="00BF3740"/>
    <w:rsid w:val="00BF38E0"/>
    <w:rsid w:val="00BF44FA"/>
    <w:rsid w:val="00BF57E1"/>
    <w:rsid w:val="00C003B4"/>
    <w:rsid w:val="00C00A5F"/>
    <w:rsid w:val="00C042E0"/>
    <w:rsid w:val="00C051D9"/>
    <w:rsid w:val="00C05F0F"/>
    <w:rsid w:val="00C06333"/>
    <w:rsid w:val="00C06F68"/>
    <w:rsid w:val="00C075BA"/>
    <w:rsid w:val="00C10A3A"/>
    <w:rsid w:val="00C11E20"/>
    <w:rsid w:val="00C1229A"/>
    <w:rsid w:val="00C15D16"/>
    <w:rsid w:val="00C20015"/>
    <w:rsid w:val="00C247DD"/>
    <w:rsid w:val="00C25B43"/>
    <w:rsid w:val="00C26A54"/>
    <w:rsid w:val="00C31C33"/>
    <w:rsid w:val="00C3261C"/>
    <w:rsid w:val="00C3318B"/>
    <w:rsid w:val="00C33C20"/>
    <w:rsid w:val="00C35362"/>
    <w:rsid w:val="00C357EA"/>
    <w:rsid w:val="00C379F8"/>
    <w:rsid w:val="00C37A1C"/>
    <w:rsid w:val="00C42323"/>
    <w:rsid w:val="00C4316E"/>
    <w:rsid w:val="00C453A9"/>
    <w:rsid w:val="00C465D5"/>
    <w:rsid w:val="00C4756A"/>
    <w:rsid w:val="00C47C39"/>
    <w:rsid w:val="00C50649"/>
    <w:rsid w:val="00C50E1F"/>
    <w:rsid w:val="00C51C09"/>
    <w:rsid w:val="00C52427"/>
    <w:rsid w:val="00C52BB6"/>
    <w:rsid w:val="00C53471"/>
    <w:rsid w:val="00C541CE"/>
    <w:rsid w:val="00C55143"/>
    <w:rsid w:val="00C5611B"/>
    <w:rsid w:val="00C5695E"/>
    <w:rsid w:val="00C57D50"/>
    <w:rsid w:val="00C61528"/>
    <w:rsid w:val="00C63457"/>
    <w:rsid w:val="00C64964"/>
    <w:rsid w:val="00C6631E"/>
    <w:rsid w:val="00C67473"/>
    <w:rsid w:val="00C67AA4"/>
    <w:rsid w:val="00C7148C"/>
    <w:rsid w:val="00C72192"/>
    <w:rsid w:val="00C732E5"/>
    <w:rsid w:val="00C73D0B"/>
    <w:rsid w:val="00C75017"/>
    <w:rsid w:val="00C75480"/>
    <w:rsid w:val="00C765B4"/>
    <w:rsid w:val="00C813EA"/>
    <w:rsid w:val="00C81496"/>
    <w:rsid w:val="00C82CE6"/>
    <w:rsid w:val="00C82E22"/>
    <w:rsid w:val="00C85144"/>
    <w:rsid w:val="00C86738"/>
    <w:rsid w:val="00C86A27"/>
    <w:rsid w:val="00C91517"/>
    <w:rsid w:val="00C929BD"/>
    <w:rsid w:val="00C931A2"/>
    <w:rsid w:val="00CA02E1"/>
    <w:rsid w:val="00CA15DA"/>
    <w:rsid w:val="00CA224E"/>
    <w:rsid w:val="00CA41C5"/>
    <w:rsid w:val="00CA42B7"/>
    <w:rsid w:val="00CA4A53"/>
    <w:rsid w:val="00CA51F5"/>
    <w:rsid w:val="00CB218A"/>
    <w:rsid w:val="00CB225A"/>
    <w:rsid w:val="00CB5A17"/>
    <w:rsid w:val="00CB5D8E"/>
    <w:rsid w:val="00CB69E6"/>
    <w:rsid w:val="00CB761B"/>
    <w:rsid w:val="00CB7E33"/>
    <w:rsid w:val="00CC13DF"/>
    <w:rsid w:val="00CC1938"/>
    <w:rsid w:val="00CC1EEE"/>
    <w:rsid w:val="00CC42CE"/>
    <w:rsid w:val="00CC562B"/>
    <w:rsid w:val="00CC6C15"/>
    <w:rsid w:val="00CC7FCF"/>
    <w:rsid w:val="00CD2749"/>
    <w:rsid w:val="00CD2A60"/>
    <w:rsid w:val="00CD306F"/>
    <w:rsid w:val="00CD3971"/>
    <w:rsid w:val="00CD3DAB"/>
    <w:rsid w:val="00CD7F4B"/>
    <w:rsid w:val="00CE0DF1"/>
    <w:rsid w:val="00CE3786"/>
    <w:rsid w:val="00CE4027"/>
    <w:rsid w:val="00CE47CC"/>
    <w:rsid w:val="00CE68F6"/>
    <w:rsid w:val="00CE7E27"/>
    <w:rsid w:val="00CF22AC"/>
    <w:rsid w:val="00CF2F0A"/>
    <w:rsid w:val="00CF79E8"/>
    <w:rsid w:val="00D015AA"/>
    <w:rsid w:val="00D021B8"/>
    <w:rsid w:val="00D03D90"/>
    <w:rsid w:val="00D04024"/>
    <w:rsid w:val="00D043EB"/>
    <w:rsid w:val="00D04E4D"/>
    <w:rsid w:val="00D04F00"/>
    <w:rsid w:val="00D06705"/>
    <w:rsid w:val="00D06A9B"/>
    <w:rsid w:val="00D0750D"/>
    <w:rsid w:val="00D07DD8"/>
    <w:rsid w:val="00D1038F"/>
    <w:rsid w:val="00D1066F"/>
    <w:rsid w:val="00D10BF7"/>
    <w:rsid w:val="00D10FEB"/>
    <w:rsid w:val="00D12B85"/>
    <w:rsid w:val="00D140A0"/>
    <w:rsid w:val="00D203D1"/>
    <w:rsid w:val="00D2057A"/>
    <w:rsid w:val="00D21D98"/>
    <w:rsid w:val="00D2317F"/>
    <w:rsid w:val="00D231A9"/>
    <w:rsid w:val="00D24391"/>
    <w:rsid w:val="00D2472B"/>
    <w:rsid w:val="00D253DD"/>
    <w:rsid w:val="00D26FFA"/>
    <w:rsid w:val="00D3215D"/>
    <w:rsid w:val="00D33352"/>
    <w:rsid w:val="00D347D9"/>
    <w:rsid w:val="00D35565"/>
    <w:rsid w:val="00D36A19"/>
    <w:rsid w:val="00D40DCF"/>
    <w:rsid w:val="00D41075"/>
    <w:rsid w:val="00D41336"/>
    <w:rsid w:val="00D41C76"/>
    <w:rsid w:val="00D41DD8"/>
    <w:rsid w:val="00D4222C"/>
    <w:rsid w:val="00D425CE"/>
    <w:rsid w:val="00D42C31"/>
    <w:rsid w:val="00D42F40"/>
    <w:rsid w:val="00D4396C"/>
    <w:rsid w:val="00D4446F"/>
    <w:rsid w:val="00D44B55"/>
    <w:rsid w:val="00D45490"/>
    <w:rsid w:val="00D457B8"/>
    <w:rsid w:val="00D457E1"/>
    <w:rsid w:val="00D47BEB"/>
    <w:rsid w:val="00D50487"/>
    <w:rsid w:val="00D50563"/>
    <w:rsid w:val="00D50F50"/>
    <w:rsid w:val="00D5235F"/>
    <w:rsid w:val="00D52F50"/>
    <w:rsid w:val="00D55A98"/>
    <w:rsid w:val="00D56B49"/>
    <w:rsid w:val="00D6053F"/>
    <w:rsid w:val="00D6073D"/>
    <w:rsid w:val="00D618D6"/>
    <w:rsid w:val="00D62426"/>
    <w:rsid w:val="00D62804"/>
    <w:rsid w:val="00D70F55"/>
    <w:rsid w:val="00D70FA5"/>
    <w:rsid w:val="00D74171"/>
    <w:rsid w:val="00D7474C"/>
    <w:rsid w:val="00D8032C"/>
    <w:rsid w:val="00D80CE2"/>
    <w:rsid w:val="00D83080"/>
    <w:rsid w:val="00D84D5F"/>
    <w:rsid w:val="00D851E2"/>
    <w:rsid w:val="00D87FFA"/>
    <w:rsid w:val="00D90A00"/>
    <w:rsid w:val="00D91419"/>
    <w:rsid w:val="00D92A09"/>
    <w:rsid w:val="00D92D2A"/>
    <w:rsid w:val="00D92EEC"/>
    <w:rsid w:val="00D93470"/>
    <w:rsid w:val="00D9395F"/>
    <w:rsid w:val="00D93D55"/>
    <w:rsid w:val="00D941FA"/>
    <w:rsid w:val="00D94B59"/>
    <w:rsid w:val="00D95315"/>
    <w:rsid w:val="00D95D20"/>
    <w:rsid w:val="00D95EAB"/>
    <w:rsid w:val="00DA0B39"/>
    <w:rsid w:val="00DA1203"/>
    <w:rsid w:val="00DA2316"/>
    <w:rsid w:val="00DA25E0"/>
    <w:rsid w:val="00DA2700"/>
    <w:rsid w:val="00DA3001"/>
    <w:rsid w:val="00DA3C5D"/>
    <w:rsid w:val="00DA3EFF"/>
    <w:rsid w:val="00DA7769"/>
    <w:rsid w:val="00DB08C6"/>
    <w:rsid w:val="00DB1BC2"/>
    <w:rsid w:val="00DB1CBB"/>
    <w:rsid w:val="00DB31ED"/>
    <w:rsid w:val="00DB4124"/>
    <w:rsid w:val="00DB4511"/>
    <w:rsid w:val="00DB4F0C"/>
    <w:rsid w:val="00DB7FD2"/>
    <w:rsid w:val="00DC0176"/>
    <w:rsid w:val="00DC043F"/>
    <w:rsid w:val="00DC093E"/>
    <w:rsid w:val="00DC0E29"/>
    <w:rsid w:val="00DC0E7A"/>
    <w:rsid w:val="00DC2A65"/>
    <w:rsid w:val="00DC2A86"/>
    <w:rsid w:val="00DC3631"/>
    <w:rsid w:val="00DC37F7"/>
    <w:rsid w:val="00DC6F54"/>
    <w:rsid w:val="00DD0C00"/>
    <w:rsid w:val="00DD0F8C"/>
    <w:rsid w:val="00DD116C"/>
    <w:rsid w:val="00DD23D5"/>
    <w:rsid w:val="00DD2AF1"/>
    <w:rsid w:val="00DD46DA"/>
    <w:rsid w:val="00DD6072"/>
    <w:rsid w:val="00DD62BE"/>
    <w:rsid w:val="00DD77D9"/>
    <w:rsid w:val="00DD7CA4"/>
    <w:rsid w:val="00DE167C"/>
    <w:rsid w:val="00DE3B70"/>
    <w:rsid w:val="00DE5813"/>
    <w:rsid w:val="00DF0B63"/>
    <w:rsid w:val="00DF10B1"/>
    <w:rsid w:val="00DF1FDA"/>
    <w:rsid w:val="00DF3DD0"/>
    <w:rsid w:val="00DF4D50"/>
    <w:rsid w:val="00DF538C"/>
    <w:rsid w:val="00E021C2"/>
    <w:rsid w:val="00E024A3"/>
    <w:rsid w:val="00E0423D"/>
    <w:rsid w:val="00E057B5"/>
    <w:rsid w:val="00E0581E"/>
    <w:rsid w:val="00E079C5"/>
    <w:rsid w:val="00E07CBD"/>
    <w:rsid w:val="00E07F56"/>
    <w:rsid w:val="00E10A16"/>
    <w:rsid w:val="00E1112F"/>
    <w:rsid w:val="00E1318F"/>
    <w:rsid w:val="00E13B3B"/>
    <w:rsid w:val="00E13E29"/>
    <w:rsid w:val="00E14213"/>
    <w:rsid w:val="00E16857"/>
    <w:rsid w:val="00E16C3A"/>
    <w:rsid w:val="00E20651"/>
    <w:rsid w:val="00E2107C"/>
    <w:rsid w:val="00E21E70"/>
    <w:rsid w:val="00E224DE"/>
    <w:rsid w:val="00E23DCE"/>
    <w:rsid w:val="00E26363"/>
    <w:rsid w:val="00E272A4"/>
    <w:rsid w:val="00E305F9"/>
    <w:rsid w:val="00E306AC"/>
    <w:rsid w:val="00E30819"/>
    <w:rsid w:val="00E33749"/>
    <w:rsid w:val="00E34446"/>
    <w:rsid w:val="00E353BC"/>
    <w:rsid w:val="00E3633B"/>
    <w:rsid w:val="00E36870"/>
    <w:rsid w:val="00E374E1"/>
    <w:rsid w:val="00E417AB"/>
    <w:rsid w:val="00E43D48"/>
    <w:rsid w:val="00E4542D"/>
    <w:rsid w:val="00E45BE0"/>
    <w:rsid w:val="00E46CAD"/>
    <w:rsid w:val="00E47521"/>
    <w:rsid w:val="00E4760C"/>
    <w:rsid w:val="00E507A6"/>
    <w:rsid w:val="00E5375C"/>
    <w:rsid w:val="00E561AD"/>
    <w:rsid w:val="00E56FC4"/>
    <w:rsid w:val="00E57FAF"/>
    <w:rsid w:val="00E60BA9"/>
    <w:rsid w:val="00E63510"/>
    <w:rsid w:val="00E635EA"/>
    <w:rsid w:val="00E648A3"/>
    <w:rsid w:val="00E655E5"/>
    <w:rsid w:val="00E65F4E"/>
    <w:rsid w:val="00E662E0"/>
    <w:rsid w:val="00E67D5D"/>
    <w:rsid w:val="00E71C7A"/>
    <w:rsid w:val="00E73119"/>
    <w:rsid w:val="00E73E1E"/>
    <w:rsid w:val="00E76021"/>
    <w:rsid w:val="00E767FF"/>
    <w:rsid w:val="00E76E91"/>
    <w:rsid w:val="00E770B8"/>
    <w:rsid w:val="00E77898"/>
    <w:rsid w:val="00E8167B"/>
    <w:rsid w:val="00E84C91"/>
    <w:rsid w:val="00E84E60"/>
    <w:rsid w:val="00E8556E"/>
    <w:rsid w:val="00E86B2D"/>
    <w:rsid w:val="00E86F4D"/>
    <w:rsid w:val="00E87D08"/>
    <w:rsid w:val="00E90D0E"/>
    <w:rsid w:val="00E91B2D"/>
    <w:rsid w:val="00E92FCA"/>
    <w:rsid w:val="00E95CAA"/>
    <w:rsid w:val="00E95DA1"/>
    <w:rsid w:val="00EA0A39"/>
    <w:rsid w:val="00EA0EB2"/>
    <w:rsid w:val="00EA236F"/>
    <w:rsid w:val="00EA3023"/>
    <w:rsid w:val="00EA3E49"/>
    <w:rsid w:val="00EA3FC8"/>
    <w:rsid w:val="00EA5B8C"/>
    <w:rsid w:val="00EB0DC9"/>
    <w:rsid w:val="00EB1383"/>
    <w:rsid w:val="00EB252D"/>
    <w:rsid w:val="00EB29FA"/>
    <w:rsid w:val="00EB2CCE"/>
    <w:rsid w:val="00EB385F"/>
    <w:rsid w:val="00EB3E49"/>
    <w:rsid w:val="00EB5FC3"/>
    <w:rsid w:val="00EB6841"/>
    <w:rsid w:val="00EB6DA9"/>
    <w:rsid w:val="00EC1561"/>
    <w:rsid w:val="00EC462E"/>
    <w:rsid w:val="00EC6CD8"/>
    <w:rsid w:val="00EC786F"/>
    <w:rsid w:val="00ED1866"/>
    <w:rsid w:val="00ED3134"/>
    <w:rsid w:val="00ED38E2"/>
    <w:rsid w:val="00ED5C44"/>
    <w:rsid w:val="00ED635B"/>
    <w:rsid w:val="00EE6963"/>
    <w:rsid w:val="00EE742D"/>
    <w:rsid w:val="00EF0A22"/>
    <w:rsid w:val="00EF1267"/>
    <w:rsid w:val="00EF180C"/>
    <w:rsid w:val="00EF3B6B"/>
    <w:rsid w:val="00EF4B43"/>
    <w:rsid w:val="00EF6750"/>
    <w:rsid w:val="00EF770B"/>
    <w:rsid w:val="00F02836"/>
    <w:rsid w:val="00F02FB5"/>
    <w:rsid w:val="00F0534E"/>
    <w:rsid w:val="00F05C30"/>
    <w:rsid w:val="00F10F1B"/>
    <w:rsid w:val="00F14179"/>
    <w:rsid w:val="00F15786"/>
    <w:rsid w:val="00F167C5"/>
    <w:rsid w:val="00F20B5A"/>
    <w:rsid w:val="00F21F0B"/>
    <w:rsid w:val="00F2351E"/>
    <w:rsid w:val="00F236AB"/>
    <w:rsid w:val="00F24EA4"/>
    <w:rsid w:val="00F27087"/>
    <w:rsid w:val="00F2773C"/>
    <w:rsid w:val="00F300B3"/>
    <w:rsid w:val="00F30DB9"/>
    <w:rsid w:val="00F30FB8"/>
    <w:rsid w:val="00F31D68"/>
    <w:rsid w:val="00F33152"/>
    <w:rsid w:val="00F338F2"/>
    <w:rsid w:val="00F3401E"/>
    <w:rsid w:val="00F349D3"/>
    <w:rsid w:val="00F3533E"/>
    <w:rsid w:val="00F35B84"/>
    <w:rsid w:val="00F402B5"/>
    <w:rsid w:val="00F4072F"/>
    <w:rsid w:val="00F42839"/>
    <w:rsid w:val="00F44CC0"/>
    <w:rsid w:val="00F450BA"/>
    <w:rsid w:val="00F4684B"/>
    <w:rsid w:val="00F46BE9"/>
    <w:rsid w:val="00F47C3B"/>
    <w:rsid w:val="00F506CA"/>
    <w:rsid w:val="00F53A7A"/>
    <w:rsid w:val="00F54FCD"/>
    <w:rsid w:val="00F57526"/>
    <w:rsid w:val="00F5785C"/>
    <w:rsid w:val="00F65E3C"/>
    <w:rsid w:val="00F67076"/>
    <w:rsid w:val="00F677FA"/>
    <w:rsid w:val="00F7115A"/>
    <w:rsid w:val="00F717AA"/>
    <w:rsid w:val="00F72714"/>
    <w:rsid w:val="00F744C3"/>
    <w:rsid w:val="00F75EE2"/>
    <w:rsid w:val="00F75F69"/>
    <w:rsid w:val="00F76014"/>
    <w:rsid w:val="00F802D3"/>
    <w:rsid w:val="00F80F94"/>
    <w:rsid w:val="00F81BA2"/>
    <w:rsid w:val="00F823A4"/>
    <w:rsid w:val="00F8412F"/>
    <w:rsid w:val="00F84791"/>
    <w:rsid w:val="00F85995"/>
    <w:rsid w:val="00F85FC5"/>
    <w:rsid w:val="00F86C22"/>
    <w:rsid w:val="00F90CB3"/>
    <w:rsid w:val="00F912A2"/>
    <w:rsid w:val="00F913A3"/>
    <w:rsid w:val="00F925C3"/>
    <w:rsid w:val="00F92604"/>
    <w:rsid w:val="00F92C7B"/>
    <w:rsid w:val="00FA0109"/>
    <w:rsid w:val="00FA458B"/>
    <w:rsid w:val="00FA5EC5"/>
    <w:rsid w:val="00FA7016"/>
    <w:rsid w:val="00FA7174"/>
    <w:rsid w:val="00FA793D"/>
    <w:rsid w:val="00FB020E"/>
    <w:rsid w:val="00FB0F17"/>
    <w:rsid w:val="00FB3C32"/>
    <w:rsid w:val="00FB4B9D"/>
    <w:rsid w:val="00FB50ED"/>
    <w:rsid w:val="00FB6E18"/>
    <w:rsid w:val="00FC144B"/>
    <w:rsid w:val="00FC2169"/>
    <w:rsid w:val="00FC28E2"/>
    <w:rsid w:val="00FC3BF6"/>
    <w:rsid w:val="00FC3D22"/>
    <w:rsid w:val="00FC6FE1"/>
    <w:rsid w:val="00FD0C3D"/>
    <w:rsid w:val="00FD2CA9"/>
    <w:rsid w:val="00FD2F6B"/>
    <w:rsid w:val="00FD5DE0"/>
    <w:rsid w:val="00FE064A"/>
    <w:rsid w:val="00FE0B55"/>
    <w:rsid w:val="00FE1E98"/>
    <w:rsid w:val="00FE1F81"/>
    <w:rsid w:val="00FE2452"/>
    <w:rsid w:val="00FE5469"/>
    <w:rsid w:val="00FE66C2"/>
    <w:rsid w:val="00FE684A"/>
    <w:rsid w:val="00FE6F23"/>
    <w:rsid w:val="00FF0F8C"/>
    <w:rsid w:val="00FF2CC6"/>
    <w:rsid w:val="00FF408B"/>
    <w:rsid w:val="00FF43E1"/>
    <w:rsid w:val="03430854"/>
    <w:rsid w:val="039F5FA6"/>
    <w:rsid w:val="04A57DAB"/>
    <w:rsid w:val="09305ADA"/>
    <w:rsid w:val="0E8013B7"/>
    <w:rsid w:val="10D604C6"/>
    <w:rsid w:val="11B515E0"/>
    <w:rsid w:val="13A53267"/>
    <w:rsid w:val="13F970D2"/>
    <w:rsid w:val="14AA4136"/>
    <w:rsid w:val="163A420B"/>
    <w:rsid w:val="19413B26"/>
    <w:rsid w:val="1C6D3688"/>
    <w:rsid w:val="1CC63D0A"/>
    <w:rsid w:val="1DC2081A"/>
    <w:rsid w:val="1DD94266"/>
    <w:rsid w:val="1F9D0947"/>
    <w:rsid w:val="1FFB29C6"/>
    <w:rsid w:val="22AF3620"/>
    <w:rsid w:val="22B1477A"/>
    <w:rsid w:val="22E70AD4"/>
    <w:rsid w:val="24F1508D"/>
    <w:rsid w:val="266F634F"/>
    <w:rsid w:val="291059EA"/>
    <w:rsid w:val="2A217253"/>
    <w:rsid w:val="2BBF12EC"/>
    <w:rsid w:val="2BC649D9"/>
    <w:rsid w:val="33BFBBDC"/>
    <w:rsid w:val="3515160D"/>
    <w:rsid w:val="3C7D00D8"/>
    <w:rsid w:val="3CA06C0C"/>
    <w:rsid w:val="3EA25851"/>
    <w:rsid w:val="3F6C3757"/>
    <w:rsid w:val="3FEF547D"/>
    <w:rsid w:val="405D6A10"/>
    <w:rsid w:val="41DA6594"/>
    <w:rsid w:val="444C1A75"/>
    <w:rsid w:val="44A3526F"/>
    <w:rsid w:val="44B032F4"/>
    <w:rsid w:val="457D25F7"/>
    <w:rsid w:val="45CC23A5"/>
    <w:rsid w:val="468341CD"/>
    <w:rsid w:val="472C2589"/>
    <w:rsid w:val="4A760AEB"/>
    <w:rsid w:val="4F3162CA"/>
    <w:rsid w:val="50D95873"/>
    <w:rsid w:val="526102AF"/>
    <w:rsid w:val="528444DA"/>
    <w:rsid w:val="537745D5"/>
    <w:rsid w:val="53FF39DD"/>
    <w:rsid w:val="552306F6"/>
    <w:rsid w:val="56E352D5"/>
    <w:rsid w:val="57E435FE"/>
    <w:rsid w:val="582D0655"/>
    <w:rsid w:val="5951205C"/>
    <w:rsid w:val="59D079E8"/>
    <w:rsid w:val="59D40847"/>
    <w:rsid w:val="5AE37F25"/>
    <w:rsid w:val="5CB23D47"/>
    <w:rsid w:val="5FAF09C4"/>
    <w:rsid w:val="608C4642"/>
    <w:rsid w:val="62795572"/>
    <w:rsid w:val="62E8157A"/>
    <w:rsid w:val="64DD6417"/>
    <w:rsid w:val="66004745"/>
    <w:rsid w:val="6A567F20"/>
    <w:rsid w:val="6CD97953"/>
    <w:rsid w:val="6ED30FD7"/>
    <w:rsid w:val="727D78FD"/>
    <w:rsid w:val="73CC655F"/>
    <w:rsid w:val="75957445"/>
    <w:rsid w:val="75D01AE1"/>
    <w:rsid w:val="77524363"/>
    <w:rsid w:val="77B917B5"/>
    <w:rsid w:val="77DFB7FC"/>
    <w:rsid w:val="78703975"/>
    <w:rsid w:val="7BE420FD"/>
    <w:rsid w:val="7D0D296B"/>
    <w:rsid w:val="7D4E0B54"/>
    <w:rsid w:val="7D503E78"/>
    <w:rsid w:val="7E0160D4"/>
    <w:rsid w:val="DF7F20FC"/>
    <w:rsid w:val="EB5F5C9C"/>
    <w:rsid w:val="F7BE5E5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0" w:semiHidden="0" w:name="heading 5"/>
    <w:lsdException w:qFormat="1" w:unhideWhenUsed="0" w:uiPriority="0"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iPriority="99" w:semiHidden="0" w:name="Normal Indent"/>
    <w:lsdException w:uiPriority="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0" w:name="index heading"/>
    <w:lsdException w:qFormat="1" w:unhideWhenUsed="0" w:uiPriority="35"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99" w:semiHidden="0" w:name="Hyperlink"/>
    <w:lsdException w:qFormat="1"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ind w:firstLine="480" w:firstLineChars="200"/>
      <w:jc w:val="both"/>
    </w:pPr>
    <w:rPr>
      <w:rFonts w:ascii="宋体" w:hAnsi="宋体" w:eastAsia="宋体" w:cs="Times New Roman"/>
      <w:kern w:val="2"/>
      <w:sz w:val="24"/>
      <w:szCs w:val="24"/>
      <w:lang w:val="en-US" w:eastAsia="zh-CN" w:bidi="ar-SA"/>
    </w:rPr>
  </w:style>
  <w:style w:type="paragraph" w:styleId="2">
    <w:name w:val="heading 1"/>
    <w:basedOn w:val="1"/>
    <w:next w:val="1"/>
    <w:link w:val="75"/>
    <w:qFormat/>
    <w:uiPriority w:val="0"/>
    <w:pPr>
      <w:keepNext/>
      <w:keepLines/>
      <w:numPr>
        <w:ilvl w:val="0"/>
        <w:numId w:val="1"/>
      </w:numPr>
      <w:spacing w:before="120" w:after="120"/>
      <w:ind w:left="-2" w:leftChars="-1" w:firstLine="1" w:firstLineChars="0"/>
      <w:outlineLvl w:val="0"/>
    </w:pPr>
    <w:rPr>
      <w:rFonts w:eastAsia="黑体"/>
      <w:b/>
      <w:bCs/>
      <w:kern w:val="44"/>
      <w:sz w:val="32"/>
      <w:szCs w:val="28"/>
    </w:rPr>
  </w:style>
  <w:style w:type="paragraph" w:styleId="3">
    <w:name w:val="heading 2"/>
    <w:basedOn w:val="1"/>
    <w:next w:val="1"/>
    <w:link w:val="88"/>
    <w:qFormat/>
    <w:uiPriority w:val="9"/>
    <w:pPr>
      <w:keepNext/>
      <w:keepLines/>
      <w:numPr>
        <w:ilvl w:val="1"/>
        <w:numId w:val="1"/>
      </w:numPr>
      <w:spacing w:before="120" w:after="120"/>
      <w:ind w:left="0" w:firstLine="0" w:firstLineChars="0"/>
      <w:outlineLvl w:val="1"/>
    </w:pPr>
    <w:rPr>
      <w:b/>
      <w:bCs/>
      <w:sz w:val="30"/>
      <w:szCs w:val="32"/>
    </w:rPr>
  </w:style>
  <w:style w:type="paragraph" w:styleId="4">
    <w:name w:val="heading 3"/>
    <w:basedOn w:val="1"/>
    <w:next w:val="1"/>
    <w:link w:val="81"/>
    <w:qFormat/>
    <w:uiPriority w:val="9"/>
    <w:pPr>
      <w:keepNext/>
      <w:keepLines/>
      <w:numPr>
        <w:ilvl w:val="2"/>
        <w:numId w:val="1"/>
      </w:numPr>
      <w:spacing w:before="120" w:after="120"/>
      <w:ind w:firstLine="0" w:firstLineChars="0"/>
      <w:outlineLvl w:val="2"/>
    </w:pPr>
    <w:rPr>
      <w:b/>
      <w:bCs/>
      <w:sz w:val="28"/>
      <w:szCs w:val="28"/>
    </w:rPr>
  </w:style>
  <w:style w:type="paragraph" w:styleId="5">
    <w:name w:val="heading 4"/>
    <w:basedOn w:val="1"/>
    <w:next w:val="1"/>
    <w:link w:val="58"/>
    <w:qFormat/>
    <w:uiPriority w:val="9"/>
    <w:pPr>
      <w:keepNext/>
      <w:keepLines/>
      <w:numPr>
        <w:ilvl w:val="3"/>
        <w:numId w:val="1"/>
      </w:numPr>
      <w:spacing w:before="120" w:after="120"/>
      <w:ind w:left="851" w:firstLine="0" w:firstLineChars="0"/>
      <w:outlineLvl w:val="3"/>
    </w:pPr>
    <w:rPr>
      <w:b/>
      <w:bCs/>
      <w:sz w:val="30"/>
      <w:szCs w:val="30"/>
    </w:rPr>
  </w:style>
  <w:style w:type="paragraph" w:styleId="6">
    <w:name w:val="heading 5"/>
    <w:basedOn w:val="1"/>
    <w:next w:val="1"/>
    <w:link w:val="86"/>
    <w:qFormat/>
    <w:uiPriority w:val="0"/>
    <w:pPr>
      <w:keepNext/>
      <w:keepLines/>
      <w:numPr>
        <w:ilvl w:val="4"/>
        <w:numId w:val="1"/>
      </w:numPr>
      <w:spacing w:before="120" w:after="120"/>
      <w:ind w:left="0" w:firstLine="0" w:firstLineChars="0"/>
      <w:outlineLvl w:val="4"/>
    </w:pPr>
    <w:rPr>
      <w:b/>
      <w:bCs/>
      <w:szCs w:val="28"/>
    </w:rPr>
  </w:style>
  <w:style w:type="paragraph" w:styleId="7">
    <w:name w:val="heading 6"/>
    <w:basedOn w:val="1"/>
    <w:next w:val="1"/>
    <w:link w:val="99"/>
    <w:qFormat/>
    <w:uiPriority w:val="0"/>
    <w:pPr>
      <w:keepNext/>
      <w:keepLines/>
      <w:numPr>
        <w:ilvl w:val="5"/>
        <w:numId w:val="1"/>
      </w:numPr>
      <w:spacing w:before="120" w:after="120"/>
      <w:ind w:firstLine="0" w:firstLineChars="0"/>
      <w:outlineLvl w:val="5"/>
    </w:pPr>
    <w:rPr>
      <w:rFonts w:ascii="Cambria" w:hAnsi="Cambria"/>
      <w:b/>
      <w:bCs/>
    </w:rPr>
  </w:style>
  <w:style w:type="paragraph" w:styleId="8">
    <w:name w:val="heading 7"/>
    <w:basedOn w:val="1"/>
    <w:next w:val="1"/>
    <w:link w:val="72"/>
    <w:qFormat/>
    <w:uiPriority w:val="9"/>
    <w:pPr>
      <w:keepNext/>
      <w:keepLines/>
      <w:spacing w:before="240" w:after="64" w:line="319" w:lineRule="auto"/>
      <w:ind w:firstLine="0" w:firstLineChars="0"/>
      <w:outlineLvl w:val="6"/>
    </w:pPr>
    <w:rPr>
      <w:rFonts w:ascii="Times New Roman" w:hAnsi="Times New Roman"/>
      <w:b/>
      <w:bCs/>
      <w:sz w:val="21"/>
    </w:rPr>
  </w:style>
  <w:style w:type="paragraph" w:styleId="9">
    <w:name w:val="heading 8"/>
    <w:basedOn w:val="1"/>
    <w:next w:val="1"/>
    <w:link w:val="98"/>
    <w:qFormat/>
    <w:uiPriority w:val="9"/>
    <w:pPr>
      <w:keepNext/>
      <w:keepLines/>
      <w:spacing w:before="240" w:after="64" w:line="319" w:lineRule="auto"/>
      <w:ind w:firstLine="0" w:firstLineChars="0"/>
      <w:outlineLvl w:val="7"/>
    </w:pPr>
    <w:rPr>
      <w:rFonts w:ascii="Cambria" w:hAnsi="Cambria"/>
      <w:sz w:val="21"/>
    </w:rPr>
  </w:style>
  <w:style w:type="paragraph" w:styleId="10">
    <w:name w:val="heading 9"/>
    <w:basedOn w:val="1"/>
    <w:next w:val="1"/>
    <w:link w:val="48"/>
    <w:qFormat/>
    <w:uiPriority w:val="9"/>
    <w:pPr>
      <w:keepNext/>
      <w:keepLines/>
      <w:spacing w:before="240" w:after="64" w:line="319" w:lineRule="auto"/>
      <w:ind w:firstLine="0" w:firstLineChars="0"/>
      <w:outlineLvl w:val="8"/>
    </w:pPr>
    <w:rPr>
      <w:rFonts w:ascii="Cambria" w:hAnsi="Cambria"/>
      <w:sz w:val="21"/>
      <w:szCs w:val="21"/>
    </w:rPr>
  </w:style>
  <w:style w:type="character" w:default="1" w:styleId="37">
    <w:name w:val="Default Paragraph Font"/>
    <w:semiHidden/>
    <w:unhideWhenUsed/>
    <w:qFormat/>
    <w:uiPriority w:val="1"/>
  </w:style>
  <w:style w:type="table" w:default="1" w:styleId="35">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unhideWhenUsed/>
    <w:qFormat/>
    <w:uiPriority w:val="39"/>
    <w:pPr>
      <w:ind w:left="2520" w:leftChars="1200"/>
    </w:pPr>
    <w:rPr>
      <w:rFonts w:ascii="等线" w:hAnsi="等线" w:eastAsia="等线"/>
      <w:szCs w:val="22"/>
    </w:rPr>
  </w:style>
  <w:style w:type="paragraph" w:styleId="12">
    <w:name w:val="Normal Indent"/>
    <w:basedOn w:val="1"/>
    <w:unhideWhenUsed/>
    <w:qFormat/>
    <w:uiPriority w:val="99"/>
    <w:pPr>
      <w:spacing w:line="240" w:lineRule="auto"/>
      <w:ind w:firstLine="420"/>
    </w:pPr>
    <w:rPr>
      <w:rFonts w:ascii="Calibri" w:hAnsi="Calibri"/>
      <w:sz w:val="21"/>
    </w:rPr>
  </w:style>
  <w:style w:type="paragraph" w:styleId="13">
    <w:name w:val="caption"/>
    <w:basedOn w:val="1"/>
    <w:next w:val="1"/>
    <w:link w:val="54"/>
    <w:qFormat/>
    <w:uiPriority w:val="35"/>
    <w:pPr>
      <w:spacing w:afterLines="50"/>
      <w:ind w:firstLine="200"/>
    </w:pPr>
    <w:rPr>
      <w:rFonts w:ascii="Arial" w:hAnsi="Arial" w:eastAsia="黑体"/>
      <w:sz w:val="20"/>
      <w:szCs w:val="20"/>
    </w:rPr>
  </w:style>
  <w:style w:type="paragraph" w:styleId="14">
    <w:name w:val="Document Map"/>
    <w:basedOn w:val="1"/>
    <w:link w:val="91"/>
    <w:qFormat/>
    <w:uiPriority w:val="0"/>
    <w:rPr>
      <w:rFonts w:hAnsi="Times New Roman"/>
      <w:sz w:val="18"/>
      <w:szCs w:val="18"/>
    </w:rPr>
  </w:style>
  <w:style w:type="paragraph" w:styleId="15">
    <w:name w:val="annotation text"/>
    <w:basedOn w:val="1"/>
    <w:link w:val="45"/>
    <w:qFormat/>
    <w:uiPriority w:val="0"/>
    <w:pPr>
      <w:jc w:val="left"/>
    </w:pPr>
    <w:rPr>
      <w:rFonts w:ascii="Times New Roman" w:hAnsi="Times New Roman" w:eastAsia="仿宋"/>
      <w:sz w:val="28"/>
    </w:rPr>
  </w:style>
  <w:style w:type="paragraph" w:styleId="16">
    <w:name w:val="Body Text"/>
    <w:basedOn w:val="1"/>
    <w:link w:val="59"/>
    <w:unhideWhenUsed/>
    <w:qFormat/>
    <w:uiPriority w:val="0"/>
    <w:pPr>
      <w:spacing w:after="120" w:line="240" w:lineRule="auto"/>
      <w:ind w:firstLine="0" w:firstLineChars="0"/>
    </w:pPr>
    <w:rPr>
      <w:rFonts w:ascii="Times New Roman" w:hAnsi="Times New Roman"/>
      <w:sz w:val="21"/>
    </w:rPr>
  </w:style>
  <w:style w:type="paragraph" w:styleId="17">
    <w:name w:val="Body Text Indent"/>
    <w:basedOn w:val="1"/>
    <w:link w:val="85"/>
    <w:qFormat/>
    <w:uiPriority w:val="0"/>
    <w:pPr>
      <w:spacing w:after="120"/>
      <w:ind w:firstLine="200"/>
    </w:pPr>
    <w:rPr>
      <w:rFonts w:ascii="Times New Roman" w:hAnsi="Times New Roman"/>
      <w:sz w:val="21"/>
      <w:szCs w:val="20"/>
    </w:rPr>
  </w:style>
  <w:style w:type="paragraph" w:styleId="18">
    <w:name w:val="toc 5"/>
    <w:basedOn w:val="1"/>
    <w:next w:val="1"/>
    <w:unhideWhenUsed/>
    <w:qFormat/>
    <w:uiPriority w:val="39"/>
    <w:pPr>
      <w:ind w:left="1680" w:leftChars="800"/>
    </w:pPr>
    <w:rPr>
      <w:rFonts w:ascii="等线" w:hAnsi="等线" w:eastAsia="等线"/>
      <w:szCs w:val="22"/>
    </w:rPr>
  </w:style>
  <w:style w:type="paragraph" w:styleId="19">
    <w:name w:val="toc 3"/>
    <w:basedOn w:val="1"/>
    <w:next w:val="1"/>
    <w:qFormat/>
    <w:uiPriority w:val="39"/>
    <w:pPr>
      <w:tabs>
        <w:tab w:val="right" w:leader="dot" w:pos="8302"/>
      </w:tabs>
      <w:ind w:left="840" w:leftChars="400"/>
    </w:pPr>
  </w:style>
  <w:style w:type="paragraph" w:styleId="20">
    <w:name w:val="Plain Text"/>
    <w:basedOn w:val="1"/>
    <w:link w:val="66"/>
    <w:qFormat/>
    <w:uiPriority w:val="0"/>
    <w:pPr>
      <w:spacing w:line="240" w:lineRule="auto"/>
      <w:ind w:firstLine="0" w:firstLineChars="0"/>
    </w:pPr>
    <w:rPr>
      <w:rFonts w:hAnsi="Courier New"/>
      <w:sz w:val="21"/>
      <w:szCs w:val="20"/>
    </w:rPr>
  </w:style>
  <w:style w:type="paragraph" w:styleId="21">
    <w:name w:val="toc 8"/>
    <w:basedOn w:val="1"/>
    <w:next w:val="1"/>
    <w:unhideWhenUsed/>
    <w:qFormat/>
    <w:uiPriority w:val="39"/>
    <w:pPr>
      <w:ind w:left="2940" w:leftChars="1400"/>
    </w:pPr>
    <w:rPr>
      <w:rFonts w:ascii="等线" w:hAnsi="等线" w:eastAsia="等线"/>
      <w:szCs w:val="22"/>
    </w:rPr>
  </w:style>
  <w:style w:type="paragraph" w:styleId="22">
    <w:name w:val="Date"/>
    <w:basedOn w:val="1"/>
    <w:next w:val="1"/>
    <w:link w:val="47"/>
    <w:qFormat/>
    <w:uiPriority w:val="0"/>
    <w:pPr>
      <w:ind w:left="100" w:leftChars="2500"/>
    </w:pPr>
    <w:rPr>
      <w:rFonts w:ascii="Times New Roman" w:hAnsi="Times New Roman"/>
      <w:sz w:val="21"/>
    </w:rPr>
  </w:style>
  <w:style w:type="paragraph" w:styleId="23">
    <w:name w:val="Balloon Text"/>
    <w:basedOn w:val="1"/>
    <w:link w:val="96"/>
    <w:qFormat/>
    <w:uiPriority w:val="0"/>
    <w:rPr>
      <w:rFonts w:ascii="Times New Roman" w:hAnsi="Times New Roman"/>
      <w:sz w:val="18"/>
      <w:szCs w:val="18"/>
    </w:rPr>
  </w:style>
  <w:style w:type="paragraph" w:styleId="24">
    <w:name w:val="footer"/>
    <w:basedOn w:val="1"/>
    <w:link w:val="89"/>
    <w:qFormat/>
    <w:uiPriority w:val="99"/>
    <w:pPr>
      <w:tabs>
        <w:tab w:val="center" w:pos="4153"/>
        <w:tab w:val="right" w:pos="8306"/>
      </w:tabs>
      <w:snapToGrid w:val="0"/>
      <w:jc w:val="center"/>
    </w:pPr>
    <w:rPr>
      <w:rFonts w:ascii="Times New Roman" w:hAnsi="Times New Roman"/>
      <w:sz w:val="18"/>
      <w:szCs w:val="18"/>
    </w:rPr>
  </w:style>
  <w:style w:type="paragraph" w:styleId="25">
    <w:name w:val="header"/>
    <w:basedOn w:val="1"/>
    <w:link w:val="97"/>
    <w:qFormat/>
    <w:uiPriority w:val="99"/>
    <w:pPr>
      <w:pBdr>
        <w:bottom w:val="single" w:color="auto" w:sz="4" w:space="0"/>
      </w:pBdr>
      <w:tabs>
        <w:tab w:val="center" w:pos="4153"/>
        <w:tab w:val="right" w:pos="8306"/>
      </w:tabs>
      <w:snapToGrid w:val="0"/>
      <w:jc w:val="center"/>
    </w:pPr>
    <w:rPr>
      <w:rFonts w:ascii="Times New Roman" w:hAnsi="Times New Roman"/>
      <w:sz w:val="18"/>
      <w:szCs w:val="18"/>
    </w:rPr>
  </w:style>
  <w:style w:type="paragraph" w:styleId="26">
    <w:name w:val="toc 1"/>
    <w:basedOn w:val="1"/>
    <w:next w:val="1"/>
    <w:qFormat/>
    <w:uiPriority w:val="39"/>
  </w:style>
  <w:style w:type="paragraph" w:styleId="27">
    <w:name w:val="toc 4"/>
    <w:basedOn w:val="1"/>
    <w:next w:val="1"/>
    <w:unhideWhenUsed/>
    <w:qFormat/>
    <w:uiPriority w:val="39"/>
    <w:pPr>
      <w:ind w:left="1260" w:leftChars="600"/>
    </w:pPr>
    <w:rPr>
      <w:rFonts w:ascii="等线" w:hAnsi="等线" w:eastAsia="等线"/>
      <w:szCs w:val="22"/>
    </w:rPr>
  </w:style>
  <w:style w:type="paragraph" w:styleId="28">
    <w:name w:val="Subtitle"/>
    <w:basedOn w:val="1"/>
    <w:next w:val="1"/>
    <w:link w:val="87"/>
    <w:qFormat/>
    <w:uiPriority w:val="0"/>
    <w:pPr>
      <w:spacing w:before="240" w:after="60" w:line="312" w:lineRule="auto"/>
      <w:jc w:val="center"/>
      <w:outlineLvl w:val="1"/>
    </w:pPr>
    <w:rPr>
      <w:rFonts w:ascii="Calibri Light" w:hAnsi="Calibri Light"/>
      <w:b/>
      <w:bCs/>
      <w:kern w:val="28"/>
      <w:sz w:val="32"/>
      <w:szCs w:val="32"/>
    </w:rPr>
  </w:style>
  <w:style w:type="paragraph" w:styleId="29">
    <w:name w:val="toc 6"/>
    <w:basedOn w:val="1"/>
    <w:next w:val="1"/>
    <w:unhideWhenUsed/>
    <w:qFormat/>
    <w:uiPriority w:val="39"/>
    <w:pPr>
      <w:ind w:left="2100" w:leftChars="1000"/>
    </w:pPr>
    <w:rPr>
      <w:rFonts w:ascii="等线" w:hAnsi="等线" w:eastAsia="等线"/>
      <w:szCs w:val="22"/>
    </w:rPr>
  </w:style>
  <w:style w:type="paragraph" w:styleId="30">
    <w:name w:val="toc 2"/>
    <w:basedOn w:val="1"/>
    <w:next w:val="1"/>
    <w:qFormat/>
    <w:uiPriority w:val="39"/>
    <w:pPr>
      <w:tabs>
        <w:tab w:val="right" w:leader="dot" w:pos="8302"/>
      </w:tabs>
      <w:ind w:left="420" w:leftChars="200"/>
    </w:pPr>
  </w:style>
  <w:style w:type="paragraph" w:styleId="31">
    <w:name w:val="toc 9"/>
    <w:basedOn w:val="1"/>
    <w:next w:val="1"/>
    <w:unhideWhenUsed/>
    <w:qFormat/>
    <w:uiPriority w:val="39"/>
    <w:pPr>
      <w:ind w:left="3360" w:leftChars="1600"/>
    </w:pPr>
    <w:rPr>
      <w:rFonts w:ascii="等线" w:hAnsi="等线" w:eastAsia="等线"/>
      <w:szCs w:val="22"/>
    </w:rPr>
  </w:style>
  <w:style w:type="paragraph" w:styleId="32">
    <w:name w:val="Normal (Web)"/>
    <w:basedOn w:val="1"/>
    <w:qFormat/>
    <w:uiPriority w:val="99"/>
    <w:pPr>
      <w:widowControl/>
      <w:spacing w:before="100" w:after="100"/>
      <w:jc w:val="left"/>
    </w:pPr>
    <w:rPr>
      <w:rFonts w:hint="eastAsia" w:ascii="Arial Unicode MS" w:hAnsi="Arial Unicode MS" w:eastAsia="Arial Unicode MS"/>
      <w:kern w:val="0"/>
    </w:rPr>
  </w:style>
  <w:style w:type="paragraph" w:styleId="33">
    <w:name w:val="Title"/>
    <w:basedOn w:val="1"/>
    <w:next w:val="1"/>
    <w:link w:val="95"/>
    <w:qFormat/>
    <w:uiPriority w:val="0"/>
    <w:pPr>
      <w:spacing w:before="240" w:after="60" w:line="960" w:lineRule="auto"/>
      <w:jc w:val="center"/>
    </w:pPr>
    <w:rPr>
      <w:rFonts w:ascii="Cambria" w:hAnsi="Cambria" w:eastAsia="黑体"/>
      <w:b/>
      <w:bCs/>
      <w:sz w:val="52"/>
      <w:szCs w:val="32"/>
    </w:rPr>
  </w:style>
  <w:style w:type="paragraph" w:styleId="34">
    <w:name w:val="annotation subject"/>
    <w:basedOn w:val="15"/>
    <w:next w:val="15"/>
    <w:link w:val="83"/>
    <w:qFormat/>
    <w:uiPriority w:val="0"/>
    <w:rPr>
      <w:b/>
      <w:bCs/>
      <w:sz w:val="21"/>
    </w:rPr>
  </w:style>
  <w:style w:type="table" w:styleId="36">
    <w:name w:val="Table Grid"/>
    <w:basedOn w:val="35"/>
    <w:qFormat/>
    <w:uiPriority w:val="59"/>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8">
    <w:name w:val="page number"/>
    <w:basedOn w:val="37"/>
    <w:qFormat/>
    <w:uiPriority w:val="0"/>
  </w:style>
  <w:style w:type="character" w:styleId="39">
    <w:name w:val="FollowedHyperlink"/>
    <w:unhideWhenUsed/>
    <w:qFormat/>
    <w:uiPriority w:val="99"/>
    <w:rPr>
      <w:color w:val="954F72"/>
      <w:u w:val="single"/>
    </w:rPr>
  </w:style>
  <w:style w:type="character" w:styleId="40">
    <w:name w:val="Hyperlink"/>
    <w:qFormat/>
    <w:uiPriority w:val="99"/>
    <w:rPr>
      <w:color w:val="0000FF"/>
      <w:u w:val="single"/>
    </w:rPr>
  </w:style>
  <w:style w:type="character" w:styleId="41">
    <w:name w:val="annotation reference"/>
    <w:qFormat/>
    <w:uiPriority w:val="99"/>
    <w:rPr>
      <w:sz w:val="21"/>
      <w:szCs w:val="21"/>
    </w:rPr>
  </w:style>
  <w:style w:type="character" w:customStyle="1" w:styleId="42">
    <w:name w:val="标题 3 字符1"/>
    <w:qFormat/>
    <w:uiPriority w:val="0"/>
    <w:rPr>
      <w:rFonts w:ascii="宋体" w:hAnsi="宋体"/>
      <w:b/>
      <w:bCs/>
      <w:kern w:val="2"/>
      <w:sz w:val="28"/>
      <w:szCs w:val="28"/>
    </w:rPr>
  </w:style>
  <w:style w:type="character" w:customStyle="1" w:styleId="43">
    <w:name w:val="首行缩进正文 Char"/>
    <w:link w:val="44"/>
    <w:qFormat/>
    <w:uiPriority w:val="0"/>
    <w:rPr>
      <w:kern w:val="2"/>
      <w:sz w:val="24"/>
    </w:rPr>
  </w:style>
  <w:style w:type="paragraph" w:customStyle="1" w:styleId="44">
    <w:name w:val="首行缩进正文"/>
    <w:basedOn w:val="1"/>
    <w:link w:val="43"/>
    <w:qFormat/>
    <w:uiPriority w:val="0"/>
    <w:pPr>
      <w:widowControl/>
      <w:adjustRightInd w:val="0"/>
      <w:snapToGrid w:val="0"/>
      <w:spacing w:afterLines="50" w:line="276" w:lineRule="auto"/>
      <w:ind w:firstLine="420" w:firstLineChars="0"/>
      <w:jc w:val="left"/>
    </w:pPr>
    <w:rPr>
      <w:rFonts w:ascii="Times New Roman" w:hAnsi="Times New Roman"/>
      <w:szCs w:val="20"/>
    </w:rPr>
  </w:style>
  <w:style w:type="character" w:customStyle="1" w:styleId="45">
    <w:name w:val="批注文字 Char"/>
    <w:link w:val="15"/>
    <w:qFormat/>
    <w:uiPriority w:val="99"/>
    <w:rPr>
      <w:rFonts w:eastAsia="仿宋"/>
      <w:kern w:val="2"/>
      <w:sz w:val="28"/>
      <w:szCs w:val="24"/>
    </w:rPr>
  </w:style>
  <w:style w:type="character" w:customStyle="1" w:styleId="46">
    <w:name w:val="日期 字符"/>
    <w:semiHidden/>
    <w:qFormat/>
    <w:uiPriority w:val="99"/>
    <w:rPr>
      <w:rFonts w:ascii="宋体" w:hAnsi="宋体"/>
      <w:kern w:val="2"/>
      <w:sz w:val="24"/>
      <w:szCs w:val="24"/>
    </w:rPr>
  </w:style>
  <w:style w:type="character" w:customStyle="1" w:styleId="47">
    <w:name w:val="日期 Char"/>
    <w:link w:val="22"/>
    <w:qFormat/>
    <w:uiPriority w:val="0"/>
    <w:rPr>
      <w:kern w:val="2"/>
      <w:sz w:val="21"/>
      <w:szCs w:val="24"/>
    </w:rPr>
  </w:style>
  <w:style w:type="character" w:customStyle="1" w:styleId="48">
    <w:name w:val="标题 9 Char"/>
    <w:link w:val="10"/>
    <w:qFormat/>
    <w:uiPriority w:val="9"/>
    <w:rPr>
      <w:rFonts w:ascii="Cambria" w:hAnsi="Cambria"/>
      <w:kern w:val="2"/>
      <w:sz w:val="21"/>
      <w:szCs w:val="21"/>
    </w:rPr>
  </w:style>
  <w:style w:type="character" w:customStyle="1" w:styleId="49">
    <w:name w:val="未处理的提及1"/>
    <w:unhideWhenUsed/>
    <w:qFormat/>
    <w:uiPriority w:val="99"/>
    <w:rPr>
      <w:color w:val="605E5C"/>
      <w:shd w:val="clear" w:color="auto" w:fill="E1DFDD"/>
    </w:rPr>
  </w:style>
  <w:style w:type="character" w:customStyle="1" w:styleId="50">
    <w:name w:val="标题 1 字符"/>
    <w:qFormat/>
    <w:uiPriority w:val="9"/>
    <w:rPr>
      <w:rFonts w:ascii="宋体" w:hAnsi="宋体"/>
      <w:b/>
      <w:bCs/>
      <w:kern w:val="44"/>
      <w:sz w:val="44"/>
      <w:szCs w:val="44"/>
    </w:rPr>
  </w:style>
  <w:style w:type="character" w:customStyle="1" w:styleId="51">
    <w:name w:val="标题 3 字符"/>
    <w:semiHidden/>
    <w:qFormat/>
    <w:uiPriority w:val="9"/>
    <w:rPr>
      <w:rFonts w:ascii="宋体" w:hAnsi="宋体"/>
      <w:b/>
      <w:bCs/>
      <w:kern w:val="2"/>
      <w:sz w:val="32"/>
      <w:szCs w:val="32"/>
    </w:rPr>
  </w:style>
  <w:style w:type="character" w:customStyle="1" w:styleId="52">
    <w:name w:val="页脚 字符"/>
    <w:qFormat/>
    <w:uiPriority w:val="99"/>
  </w:style>
  <w:style w:type="character" w:customStyle="1" w:styleId="53">
    <w:name w:val="标题 5 字符"/>
    <w:semiHidden/>
    <w:qFormat/>
    <w:uiPriority w:val="9"/>
    <w:rPr>
      <w:rFonts w:ascii="宋体" w:hAnsi="宋体"/>
      <w:b/>
      <w:bCs/>
      <w:kern w:val="2"/>
      <w:sz w:val="28"/>
      <w:szCs w:val="28"/>
    </w:rPr>
  </w:style>
  <w:style w:type="character" w:customStyle="1" w:styleId="54">
    <w:name w:val="题注 Char"/>
    <w:link w:val="13"/>
    <w:qFormat/>
    <w:locked/>
    <w:uiPriority w:val="35"/>
    <w:rPr>
      <w:rFonts w:ascii="Arial" w:hAnsi="Arial" w:eastAsia="黑体"/>
      <w:kern w:val="2"/>
    </w:rPr>
  </w:style>
  <w:style w:type="character" w:customStyle="1" w:styleId="55">
    <w:name w:val="标题 2 字符"/>
    <w:semiHidden/>
    <w:qFormat/>
    <w:uiPriority w:val="9"/>
    <w:rPr>
      <w:rFonts w:ascii="等线 Light" w:hAnsi="等线 Light" w:eastAsia="等线 Light" w:cs="Times New Roman"/>
      <w:b/>
      <w:bCs/>
      <w:kern w:val="2"/>
      <w:sz w:val="32"/>
      <w:szCs w:val="32"/>
    </w:rPr>
  </w:style>
  <w:style w:type="character" w:customStyle="1" w:styleId="56">
    <w:name w:val="纯文本 字符"/>
    <w:qFormat/>
    <w:uiPriority w:val="0"/>
    <w:rPr>
      <w:rFonts w:ascii="宋体" w:hAnsi="Courier New" w:cs="Courier New"/>
      <w:kern w:val="2"/>
      <w:sz w:val="21"/>
      <w:szCs w:val="21"/>
    </w:rPr>
  </w:style>
  <w:style w:type="character" w:customStyle="1" w:styleId="57">
    <w:name w:val="列表段落 字符"/>
    <w:qFormat/>
    <w:uiPriority w:val="34"/>
    <w:rPr>
      <w:kern w:val="2"/>
      <w:sz w:val="21"/>
      <w:szCs w:val="22"/>
    </w:rPr>
  </w:style>
  <w:style w:type="character" w:customStyle="1" w:styleId="58">
    <w:name w:val="标题 4 Char"/>
    <w:link w:val="5"/>
    <w:qFormat/>
    <w:uiPriority w:val="0"/>
    <w:rPr>
      <w:rFonts w:ascii="宋体" w:hAnsi="宋体"/>
      <w:b/>
      <w:bCs/>
      <w:kern w:val="2"/>
      <w:sz w:val="30"/>
      <w:szCs w:val="30"/>
    </w:rPr>
  </w:style>
  <w:style w:type="character" w:customStyle="1" w:styleId="59">
    <w:name w:val="正文文本 Char"/>
    <w:link w:val="16"/>
    <w:qFormat/>
    <w:uiPriority w:val="0"/>
    <w:rPr>
      <w:kern w:val="2"/>
      <w:sz w:val="21"/>
      <w:szCs w:val="24"/>
    </w:rPr>
  </w:style>
  <w:style w:type="character" w:customStyle="1" w:styleId="60">
    <w:name w:val="列出段落 Char"/>
    <w:link w:val="61"/>
    <w:qFormat/>
    <w:uiPriority w:val="34"/>
    <w:rPr>
      <w:kern w:val="2"/>
      <w:sz w:val="21"/>
      <w:szCs w:val="24"/>
    </w:rPr>
  </w:style>
  <w:style w:type="paragraph" w:styleId="61">
    <w:name w:val="List Paragraph"/>
    <w:basedOn w:val="1"/>
    <w:link w:val="60"/>
    <w:qFormat/>
    <w:uiPriority w:val="34"/>
    <w:pPr>
      <w:ind w:firstLine="420"/>
    </w:pPr>
    <w:rPr>
      <w:rFonts w:ascii="Times New Roman" w:hAnsi="Times New Roman"/>
      <w:sz w:val="21"/>
    </w:rPr>
  </w:style>
  <w:style w:type="character" w:customStyle="1" w:styleId="62">
    <w:name w:val="font21"/>
    <w:qFormat/>
    <w:uiPriority w:val="0"/>
    <w:rPr>
      <w:rFonts w:ascii="Calibri" w:hAnsi="Calibri" w:cs="Calibri"/>
      <w:color w:val="000000"/>
      <w:sz w:val="21"/>
      <w:szCs w:val="21"/>
      <w:u w:val="none"/>
    </w:rPr>
  </w:style>
  <w:style w:type="character" w:customStyle="1" w:styleId="63">
    <w:name w:val="*正文 Char"/>
    <w:link w:val="64"/>
    <w:qFormat/>
    <w:uiPriority w:val="0"/>
    <w:rPr>
      <w:rFonts w:ascii="time" w:hAnsi="time"/>
      <w:sz w:val="24"/>
      <w:szCs w:val="24"/>
      <w:lang w:bidi="en-US"/>
    </w:rPr>
  </w:style>
  <w:style w:type="paragraph" w:customStyle="1" w:styleId="64">
    <w:name w:val="*正文"/>
    <w:basedOn w:val="1"/>
    <w:link w:val="63"/>
    <w:qFormat/>
    <w:uiPriority w:val="0"/>
    <w:pPr>
      <w:widowControl/>
      <w:ind w:firstLine="200"/>
      <w:contextualSpacing/>
    </w:pPr>
    <w:rPr>
      <w:rFonts w:ascii="time" w:hAnsi="time"/>
      <w:kern w:val="0"/>
      <w:lang w:bidi="en-US"/>
    </w:rPr>
  </w:style>
  <w:style w:type="character" w:customStyle="1" w:styleId="65">
    <w:name w:val="正文文本缩进 字符"/>
    <w:semiHidden/>
    <w:qFormat/>
    <w:uiPriority w:val="99"/>
    <w:rPr>
      <w:rFonts w:ascii="宋体" w:hAnsi="宋体"/>
      <w:kern w:val="2"/>
      <w:sz w:val="24"/>
      <w:szCs w:val="24"/>
    </w:rPr>
  </w:style>
  <w:style w:type="character" w:customStyle="1" w:styleId="66">
    <w:name w:val="纯文本 Char"/>
    <w:link w:val="20"/>
    <w:qFormat/>
    <w:locked/>
    <w:uiPriority w:val="0"/>
    <w:rPr>
      <w:rFonts w:ascii="宋体" w:hAnsi="Courier New"/>
      <w:kern w:val="2"/>
      <w:sz w:val="21"/>
    </w:rPr>
  </w:style>
  <w:style w:type="character" w:customStyle="1" w:styleId="67">
    <w:name w:val="my正文 Char"/>
    <w:link w:val="68"/>
    <w:qFormat/>
    <w:uiPriority w:val="0"/>
    <w:rPr>
      <w:kern w:val="2"/>
      <w:sz w:val="21"/>
      <w:szCs w:val="24"/>
    </w:rPr>
  </w:style>
  <w:style w:type="paragraph" w:customStyle="1" w:styleId="68">
    <w:name w:val="my正文"/>
    <w:basedOn w:val="1"/>
    <w:link w:val="67"/>
    <w:qFormat/>
    <w:uiPriority w:val="0"/>
    <w:pPr>
      <w:spacing w:line="240" w:lineRule="auto"/>
      <w:ind w:firstLine="0" w:firstLineChars="0"/>
    </w:pPr>
    <w:rPr>
      <w:rFonts w:ascii="Times New Roman" w:hAnsi="Times New Roman"/>
      <w:sz w:val="21"/>
    </w:rPr>
  </w:style>
  <w:style w:type="character" w:customStyle="1" w:styleId="69">
    <w:name w:val="正文2 字符"/>
    <w:link w:val="70"/>
    <w:qFormat/>
    <w:uiPriority w:val="0"/>
    <w:rPr>
      <w:kern w:val="2"/>
      <w:sz w:val="21"/>
      <w:szCs w:val="24"/>
    </w:rPr>
  </w:style>
  <w:style w:type="paragraph" w:customStyle="1" w:styleId="70">
    <w:name w:val="正文2"/>
    <w:basedOn w:val="1"/>
    <w:link w:val="69"/>
    <w:qFormat/>
    <w:uiPriority w:val="0"/>
    <w:pPr>
      <w:ind w:firstLine="420"/>
    </w:pPr>
    <w:rPr>
      <w:rFonts w:ascii="Times New Roman" w:hAnsi="Times New Roman"/>
      <w:sz w:val="21"/>
    </w:rPr>
  </w:style>
  <w:style w:type="character" w:customStyle="1" w:styleId="71">
    <w:name w:val="font41"/>
    <w:qFormat/>
    <w:uiPriority w:val="0"/>
    <w:rPr>
      <w:rFonts w:hint="eastAsia" w:ascii="宋体" w:hAnsi="宋体" w:eastAsia="宋体" w:cs="宋体"/>
      <w:color w:val="000000"/>
      <w:sz w:val="21"/>
      <w:szCs w:val="21"/>
      <w:u w:val="none"/>
    </w:rPr>
  </w:style>
  <w:style w:type="character" w:customStyle="1" w:styleId="72">
    <w:name w:val="标题 7 Char"/>
    <w:link w:val="8"/>
    <w:qFormat/>
    <w:uiPriority w:val="9"/>
    <w:rPr>
      <w:b/>
      <w:bCs/>
      <w:kern w:val="2"/>
      <w:sz w:val="21"/>
      <w:szCs w:val="24"/>
    </w:rPr>
  </w:style>
  <w:style w:type="character" w:customStyle="1" w:styleId="73">
    <w:name w:val="批注框文本 字符"/>
    <w:semiHidden/>
    <w:qFormat/>
    <w:uiPriority w:val="99"/>
    <w:rPr>
      <w:rFonts w:ascii="宋体" w:hAnsi="宋体"/>
      <w:kern w:val="2"/>
      <w:sz w:val="18"/>
      <w:szCs w:val="18"/>
    </w:rPr>
  </w:style>
  <w:style w:type="character" w:customStyle="1" w:styleId="74">
    <w:name w:val="副标题 Char1"/>
    <w:qFormat/>
    <w:uiPriority w:val="0"/>
    <w:rPr>
      <w:rFonts w:ascii="Calibri Light" w:hAnsi="Calibri Light" w:cs="Times New Roman"/>
      <w:b/>
      <w:bCs/>
      <w:kern w:val="28"/>
      <w:sz w:val="32"/>
      <w:szCs w:val="32"/>
    </w:rPr>
  </w:style>
  <w:style w:type="character" w:customStyle="1" w:styleId="75">
    <w:name w:val="标题 1 Char1"/>
    <w:link w:val="2"/>
    <w:qFormat/>
    <w:uiPriority w:val="0"/>
    <w:rPr>
      <w:rFonts w:ascii="宋体" w:hAnsi="宋体" w:eastAsia="黑体"/>
      <w:b/>
      <w:bCs/>
      <w:kern w:val="44"/>
      <w:sz w:val="32"/>
      <w:szCs w:val="28"/>
    </w:rPr>
  </w:style>
  <w:style w:type="character" w:customStyle="1" w:styleId="76">
    <w:name w:val="批注文字 字符"/>
    <w:qFormat/>
    <w:uiPriority w:val="99"/>
    <w:rPr>
      <w:rFonts w:ascii="宋体" w:hAnsi="宋体"/>
      <w:kern w:val="2"/>
      <w:sz w:val="24"/>
      <w:szCs w:val="24"/>
    </w:rPr>
  </w:style>
  <w:style w:type="character" w:customStyle="1" w:styleId="77">
    <w:name w:val="文档结构图 字符"/>
    <w:semiHidden/>
    <w:qFormat/>
    <w:uiPriority w:val="99"/>
    <w:rPr>
      <w:rFonts w:ascii="Microsoft YaHei UI" w:hAnsi="宋体" w:eastAsia="Microsoft YaHei UI"/>
      <w:kern w:val="2"/>
      <w:sz w:val="18"/>
      <w:szCs w:val="18"/>
    </w:rPr>
  </w:style>
  <w:style w:type="character" w:customStyle="1" w:styleId="78">
    <w:name w:val="标题 6 字符"/>
    <w:semiHidden/>
    <w:qFormat/>
    <w:uiPriority w:val="9"/>
    <w:rPr>
      <w:rFonts w:ascii="等线 Light" w:hAnsi="等线 Light" w:eastAsia="等线 Light" w:cs="Times New Roman"/>
      <w:b/>
      <w:bCs/>
      <w:kern w:val="2"/>
      <w:sz w:val="24"/>
      <w:szCs w:val="24"/>
    </w:rPr>
  </w:style>
  <w:style w:type="character" w:customStyle="1" w:styleId="79">
    <w:name w:val="正文正文2 Char"/>
    <w:link w:val="80"/>
    <w:qFormat/>
    <w:uiPriority w:val="0"/>
    <w:rPr>
      <w:rFonts w:ascii="宋体" w:hAnsi="宋体"/>
      <w:kern w:val="2"/>
      <w:sz w:val="21"/>
      <w:szCs w:val="21"/>
    </w:rPr>
  </w:style>
  <w:style w:type="paragraph" w:customStyle="1" w:styleId="80">
    <w:name w:val="正文正文2"/>
    <w:basedOn w:val="1"/>
    <w:link w:val="79"/>
    <w:qFormat/>
    <w:uiPriority w:val="0"/>
    <w:pPr>
      <w:ind w:firstLine="460"/>
    </w:pPr>
    <w:rPr>
      <w:sz w:val="21"/>
      <w:szCs w:val="21"/>
    </w:rPr>
  </w:style>
  <w:style w:type="character" w:customStyle="1" w:styleId="81">
    <w:name w:val="标题 3 Char"/>
    <w:link w:val="4"/>
    <w:qFormat/>
    <w:uiPriority w:val="0"/>
    <w:rPr>
      <w:rFonts w:ascii="宋体" w:hAnsi="宋体"/>
      <w:b/>
      <w:bCs/>
      <w:kern w:val="2"/>
      <w:sz w:val="28"/>
      <w:szCs w:val="28"/>
    </w:rPr>
  </w:style>
  <w:style w:type="character" w:customStyle="1" w:styleId="82">
    <w:name w:val="标题 4 字符"/>
    <w:semiHidden/>
    <w:qFormat/>
    <w:uiPriority w:val="9"/>
    <w:rPr>
      <w:rFonts w:ascii="等线 Light" w:hAnsi="等线 Light" w:eastAsia="等线 Light" w:cs="Times New Roman"/>
      <w:b/>
      <w:bCs/>
      <w:kern w:val="2"/>
      <w:sz w:val="28"/>
      <w:szCs w:val="28"/>
    </w:rPr>
  </w:style>
  <w:style w:type="character" w:customStyle="1" w:styleId="83">
    <w:name w:val="批注主题 Char"/>
    <w:link w:val="34"/>
    <w:qFormat/>
    <w:uiPriority w:val="0"/>
    <w:rPr>
      <w:rFonts w:eastAsia="仿宋"/>
      <w:b/>
      <w:bCs/>
      <w:kern w:val="2"/>
      <w:sz w:val="21"/>
      <w:szCs w:val="24"/>
    </w:rPr>
  </w:style>
  <w:style w:type="character" w:customStyle="1" w:styleId="84">
    <w:name w:val="页眉 字符"/>
    <w:semiHidden/>
    <w:qFormat/>
    <w:uiPriority w:val="99"/>
    <w:rPr>
      <w:rFonts w:ascii="宋体" w:hAnsi="宋体"/>
      <w:kern w:val="2"/>
      <w:sz w:val="18"/>
      <w:szCs w:val="18"/>
    </w:rPr>
  </w:style>
  <w:style w:type="character" w:customStyle="1" w:styleId="85">
    <w:name w:val="正文文本缩进 Char"/>
    <w:link w:val="17"/>
    <w:qFormat/>
    <w:uiPriority w:val="0"/>
    <w:rPr>
      <w:kern w:val="2"/>
      <w:sz w:val="21"/>
    </w:rPr>
  </w:style>
  <w:style w:type="character" w:customStyle="1" w:styleId="86">
    <w:name w:val="标题 5 Char"/>
    <w:link w:val="6"/>
    <w:qFormat/>
    <w:uiPriority w:val="0"/>
    <w:rPr>
      <w:rFonts w:ascii="宋体" w:hAnsi="宋体"/>
      <w:b/>
      <w:bCs/>
      <w:kern w:val="2"/>
      <w:sz w:val="24"/>
      <w:szCs w:val="28"/>
    </w:rPr>
  </w:style>
  <w:style w:type="character" w:customStyle="1" w:styleId="87">
    <w:name w:val="副标题 Char"/>
    <w:link w:val="28"/>
    <w:qFormat/>
    <w:uiPriority w:val="0"/>
    <w:rPr>
      <w:rFonts w:ascii="Calibri Light" w:hAnsi="Calibri Light"/>
      <w:b/>
      <w:bCs/>
      <w:kern w:val="28"/>
      <w:sz w:val="32"/>
      <w:szCs w:val="32"/>
    </w:rPr>
  </w:style>
  <w:style w:type="character" w:customStyle="1" w:styleId="88">
    <w:name w:val="标题 2 Char"/>
    <w:link w:val="3"/>
    <w:qFormat/>
    <w:uiPriority w:val="9"/>
    <w:rPr>
      <w:rFonts w:ascii="宋体" w:hAnsi="宋体"/>
      <w:b/>
      <w:bCs/>
      <w:kern w:val="2"/>
      <w:sz w:val="30"/>
      <w:szCs w:val="32"/>
    </w:rPr>
  </w:style>
  <w:style w:type="character" w:customStyle="1" w:styleId="89">
    <w:name w:val="页脚 Char"/>
    <w:link w:val="24"/>
    <w:qFormat/>
    <w:uiPriority w:val="99"/>
    <w:rPr>
      <w:kern w:val="2"/>
      <w:sz w:val="18"/>
      <w:szCs w:val="18"/>
    </w:rPr>
  </w:style>
  <w:style w:type="character" w:customStyle="1" w:styleId="90">
    <w:name w:val="批注主题 字符"/>
    <w:semiHidden/>
    <w:qFormat/>
    <w:uiPriority w:val="99"/>
    <w:rPr>
      <w:rFonts w:ascii="宋体" w:hAnsi="宋体"/>
      <w:b/>
      <w:bCs/>
      <w:kern w:val="2"/>
      <w:sz w:val="24"/>
      <w:szCs w:val="24"/>
    </w:rPr>
  </w:style>
  <w:style w:type="character" w:customStyle="1" w:styleId="91">
    <w:name w:val="文档结构图 Char"/>
    <w:link w:val="14"/>
    <w:qFormat/>
    <w:uiPriority w:val="0"/>
    <w:rPr>
      <w:rFonts w:ascii="宋体"/>
      <w:kern w:val="2"/>
      <w:sz w:val="18"/>
      <w:szCs w:val="18"/>
    </w:rPr>
  </w:style>
  <w:style w:type="character" w:customStyle="1" w:styleId="92">
    <w:name w:val="font31"/>
    <w:qFormat/>
    <w:uiPriority w:val="0"/>
    <w:rPr>
      <w:rFonts w:hint="eastAsia" w:ascii="宋体" w:hAnsi="宋体" w:eastAsia="宋体" w:cs="宋体"/>
      <w:color w:val="000000"/>
      <w:sz w:val="21"/>
      <w:szCs w:val="21"/>
      <w:u w:val="none"/>
    </w:rPr>
  </w:style>
  <w:style w:type="character" w:customStyle="1" w:styleId="93">
    <w:name w:val="标准正文 Char"/>
    <w:link w:val="94"/>
    <w:qFormat/>
    <w:uiPriority w:val="0"/>
    <w:rPr>
      <w:rFonts w:ascii="Arial" w:hAnsi="Arial"/>
      <w:kern w:val="2"/>
      <w:sz w:val="24"/>
    </w:rPr>
  </w:style>
  <w:style w:type="paragraph" w:customStyle="1" w:styleId="94">
    <w:name w:val="标准正文"/>
    <w:basedOn w:val="17"/>
    <w:link w:val="93"/>
    <w:qFormat/>
    <w:uiPriority w:val="0"/>
    <w:pPr>
      <w:spacing w:before="60" w:after="60"/>
      <w:ind w:firstLine="482" w:firstLineChars="0"/>
    </w:pPr>
    <w:rPr>
      <w:rFonts w:ascii="Arial" w:hAnsi="Arial"/>
      <w:sz w:val="24"/>
    </w:rPr>
  </w:style>
  <w:style w:type="character" w:customStyle="1" w:styleId="95">
    <w:name w:val="标题 Char"/>
    <w:link w:val="33"/>
    <w:qFormat/>
    <w:uiPriority w:val="0"/>
    <w:rPr>
      <w:rFonts w:ascii="Cambria" w:hAnsi="Cambria" w:eastAsia="黑体"/>
      <w:b/>
      <w:bCs/>
      <w:kern w:val="2"/>
      <w:sz w:val="52"/>
      <w:szCs w:val="32"/>
    </w:rPr>
  </w:style>
  <w:style w:type="character" w:customStyle="1" w:styleId="96">
    <w:name w:val="批注框文本 Char"/>
    <w:link w:val="23"/>
    <w:qFormat/>
    <w:uiPriority w:val="0"/>
    <w:rPr>
      <w:kern w:val="2"/>
      <w:sz w:val="18"/>
      <w:szCs w:val="18"/>
    </w:rPr>
  </w:style>
  <w:style w:type="character" w:customStyle="1" w:styleId="97">
    <w:name w:val="页眉 Char"/>
    <w:link w:val="25"/>
    <w:qFormat/>
    <w:uiPriority w:val="99"/>
    <w:rPr>
      <w:kern w:val="2"/>
      <w:sz w:val="18"/>
      <w:szCs w:val="18"/>
    </w:rPr>
  </w:style>
  <w:style w:type="character" w:customStyle="1" w:styleId="98">
    <w:name w:val="标题 8 Char"/>
    <w:link w:val="9"/>
    <w:qFormat/>
    <w:uiPriority w:val="9"/>
    <w:rPr>
      <w:rFonts w:ascii="Cambria" w:hAnsi="Cambria"/>
      <w:kern w:val="2"/>
      <w:sz w:val="21"/>
      <w:szCs w:val="24"/>
    </w:rPr>
  </w:style>
  <w:style w:type="character" w:customStyle="1" w:styleId="99">
    <w:name w:val="标题 6 Char"/>
    <w:link w:val="7"/>
    <w:qFormat/>
    <w:uiPriority w:val="0"/>
    <w:rPr>
      <w:rFonts w:ascii="Cambria" w:hAnsi="Cambria"/>
      <w:b/>
      <w:bCs/>
      <w:kern w:val="2"/>
      <w:sz w:val="24"/>
      <w:szCs w:val="24"/>
    </w:rPr>
  </w:style>
  <w:style w:type="character" w:customStyle="1" w:styleId="100">
    <w:name w:val="标题 字符"/>
    <w:qFormat/>
    <w:uiPriority w:val="10"/>
    <w:rPr>
      <w:rFonts w:ascii="等线 Light" w:hAnsi="等线 Light" w:eastAsia="等线 Light" w:cs="Times New Roman"/>
      <w:b/>
      <w:bCs/>
      <w:kern w:val="2"/>
      <w:sz w:val="32"/>
      <w:szCs w:val="32"/>
    </w:rPr>
  </w:style>
  <w:style w:type="character" w:customStyle="1" w:styleId="101">
    <w:name w:val="副标题 字符"/>
    <w:qFormat/>
    <w:uiPriority w:val="11"/>
    <w:rPr>
      <w:rFonts w:ascii="等线" w:hAnsi="等线" w:eastAsia="等线" w:cs="Times New Roman"/>
      <w:b/>
      <w:bCs/>
      <w:kern w:val="28"/>
      <w:sz w:val="32"/>
      <w:szCs w:val="32"/>
    </w:rPr>
  </w:style>
  <w:style w:type="paragraph" w:customStyle="1" w:styleId="102">
    <w:name w:val="xl72"/>
    <w:basedOn w:val="1"/>
    <w:qFormat/>
    <w:uiPriority w:val="0"/>
    <w:pPr>
      <w:widowControl/>
      <w:spacing w:before="100" w:beforeAutospacing="1" w:after="100" w:afterAutospacing="1" w:line="240" w:lineRule="auto"/>
      <w:ind w:firstLine="0" w:firstLineChars="0"/>
      <w:jc w:val="center"/>
    </w:pPr>
    <w:rPr>
      <w:rFonts w:cs="宋体"/>
      <w:kern w:val="0"/>
    </w:rPr>
  </w:style>
  <w:style w:type="paragraph" w:customStyle="1" w:styleId="103">
    <w:name w:val="正文（深信服）"/>
    <w:qFormat/>
    <w:uiPriority w:val="0"/>
    <w:pPr>
      <w:spacing w:line="360" w:lineRule="auto"/>
      <w:ind w:firstLine="420"/>
    </w:pPr>
    <w:rPr>
      <w:rFonts w:ascii="Arial" w:hAnsi="Arial" w:eastAsia="宋体" w:cs="Times New Roman"/>
      <w:sz w:val="24"/>
      <w:szCs w:val="21"/>
      <w:shd w:val="clear" w:color="auto" w:fill="FFFFFF"/>
      <w:lang w:val="en-US" w:eastAsia="zh-CN" w:bidi="ar-SA"/>
    </w:rPr>
  </w:style>
  <w:style w:type="paragraph" w:customStyle="1" w:styleId="104">
    <w:name w:val="xl70"/>
    <w:basedOn w:val="1"/>
    <w:qFormat/>
    <w:uiPriority w:val="0"/>
    <w:pPr>
      <w:widowControl/>
      <w:pBdr>
        <w:bottom w:val="single" w:color="auto" w:sz="4" w:space="0"/>
        <w:right w:val="single" w:color="auto" w:sz="4" w:space="0"/>
      </w:pBdr>
      <w:spacing w:before="100" w:beforeAutospacing="1" w:after="100" w:afterAutospacing="1" w:line="240" w:lineRule="auto"/>
      <w:ind w:firstLine="0" w:firstLineChars="0"/>
      <w:jc w:val="right"/>
      <w:textAlignment w:val="center"/>
    </w:pPr>
    <w:rPr>
      <w:rFonts w:ascii="Microsoft Sans Serif" w:hAnsi="Microsoft Sans Serif" w:cs="Microsoft Sans Serif"/>
      <w:kern w:val="0"/>
      <w:sz w:val="18"/>
      <w:szCs w:val="18"/>
    </w:rPr>
  </w:style>
  <w:style w:type="paragraph" w:customStyle="1" w:styleId="105">
    <w:name w:val="_Style 2"/>
    <w:basedOn w:val="2"/>
    <w:next w:val="1"/>
    <w:qFormat/>
    <w:uiPriority w:val="39"/>
    <w:pPr>
      <w:widowControl/>
      <w:numPr>
        <w:numId w:val="0"/>
      </w:numPr>
      <w:spacing w:before="480" w:after="0" w:line="276" w:lineRule="auto"/>
      <w:jc w:val="left"/>
      <w:outlineLvl w:val="9"/>
    </w:pPr>
    <w:rPr>
      <w:rFonts w:ascii="Cambria" w:hAnsi="Cambria" w:eastAsia="宋体"/>
      <w:color w:val="365F91"/>
      <w:kern w:val="0"/>
      <w:sz w:val="28"/>
    </w:rPr>
  </w:style>
  <w:style w:type="paragraph" w:customStyle="1" w:styleId="106">
    <w:name w:val="正文缩进1"/>
    <w:basedOn w:val="1"/>
    <w:qFormat/>
    <w:uiPriority w:val="0"/>
    <w:pPr>
      <w:spacing w:line="240" w:lineRule="auto"/>
      <w:ind w:firstLine="420"/>
    </w:pPr>
    <w:rPr>
      <w:rFonts w:ascii="Times New Roman" w:hAnsi="Times New Roman"/>
      <w:sz w:val="21"/>
      <w:szCs w:val="20"/>
    </w:rPr>
  </w:style>
  <w:style w:type="paragraph" w:customStyle="1" w:styleId="107">
    <w:name w:val="xl68"/>
    <w:basedOn w:val="1"/>
    <w:qFormat/>
    <w:uiPriority w:val="0"/>
    <w:pPr>
      <w:widowControl/>
      <w:pBdr>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Microsoft Sans Serif" w:hAnsi="Microsoft Sans Serif" w:cs="Microsoft Sans Serif"/>
      <w:kern w:val="0"/>
      <w:sz w:val="18"/>
      <w:szCs w:val="18"/>
    </w:rPr>
  </w:style>
  <w:style w:type="paragraph" w:customStyle="1" w:styleId="108">
    <w:name w:val="前言、引言标题"/>
    <w:next w:val="1"/>
    <w:qFormat/>
    <w:uiPriority w:val="99"/>
    <w:pPr>
      <w:shd w:val="clear" w:color="FFFFFF" w:fill="FFFFFF"/>
      <w:tabs>
        <w:tab w:val="left" w:pos="425"/>
      </w:tabs>
      <w:spacing w:before="640" w:after="560"/>
      <w:jc w:val="center"/>
      <w:outlineLvl w:val="0"/>
    </w:pPr>
    <w:rPr>
      <w:rFonts w:ascii="黑体" w:hAnsi="Times New Roman" w:eastAsia="黑体" w:cs="Times New Roman"/>
      <w:sz w:val="32"/>
      <w:lang w:val="en-US" w:eastAsia="zh-CN" w:bidi="ar-SA"/>
    </w:rPr>
  </w:style>
  <w:style w:type="paragraph" w:customStyle="1" w:styleId="109">
    <w:name w:val="Indent Normal"/>
    <w:basedOn w:val="1"/>
    <w:qFormat/>
    <w:uiPriority w:val="0"/>
    <w:pPr>
      <w:ind w:firstLine="150" w:firstLineChars="150"/>
    </w:pPr>
  </w:style>
  <w:style w:type="paragraph" w:customStyle="1" w:styleId="110">
    <w:name w:val="msonormal"/>
    <w:basedOn w:val="1"/>
    <w:qFormat/>
    <w:uiPriority w:val="0"/>
    <w:pPr>
      <w:widowControl/>
      <w:spacing w:before="100" w:beforeAutospacing="1" w:after="100" w:afterAutospacing="1" w:line="240" w:lineRule="auto"/>
      <w:ind w:firstLine="0" w:firstLineChars="0"/>
      <w:jc w:val="left"/>
    </w:pPr>
    <w:rPr>
      <w:rFonts w:cs="宋体"/>
      <w:kern w:val="0"/>
    </w:rPr>
  </w:style>
  <w:style w:type="paragraph" w:customStyle="1" w:styleId="111">
    <w:name w:val="正文 缩进2字符"/>
    <w:basedOn w:val="1"/>
    <w:qFormat/>
    <w:uiPriority w:val="0"/>
    <w:pPr>
      <w:spacing w:afterLines="50" w:line="240" w:lineRule="auto"/>
      <w:ind w:firstLine="0" w:firstLineChars="0"/>
    </w:pPr>
    <w:rPr>
      <w:rFonts w:ascii="Times New Roman" w:hAnsi="Times New Roman" w:cs="宋体"/>
      <w:sz w:val="21"/>
      <w:szCs w:val="20"/>
    </w:rPr>
  </w:style>
  <w:style w:type="paragraph" w:customStyle="1" w:styleId="112">
    <w:name w:val="列项●（二级）"/>
    <w:qFormat/>
    <w:uiPriority w:val="0"/>
    <w:pPr>
      <w:numPr>
        <w:ilvl w:val="0"/>
        <w:numId w:val="2"/>
      </w:numPr>
      <w:tabs>
        <w:tab w:val="left" w:pos="840"/>
      </w:tabs>
      <w:ind w:left="600" w:leftChars="400" w:hanging="200" w:hangingChars="200"/>
      <w:jc w:val="both"/>
    </w:pPr>
    <w:rPr>
      <w:rFonts w:ascii="宋体" w:hAnsi="Times New Roman" w:eastAsia="宋体" w:cs="Times New Roman"/>
      <w:sz w:val="21"/>
      <w:lang w:val="en-US" w:eastAsia="zh-CN" w:bidi="ar-SA"/>
    </w:rPr>
  </w:style>
  <w:style w:type="paragraph" w:customStyle="1" w:styleId="113">
    <w:name w:val="助手文本"/>
    <w:basedOn w:val="1"/>
    <w:qFormat/>
    <w:uiPriority w:val="0"/>
    <w:pPr>
      <w:autoSpaceDE w:val="0"/>
      <w:autoSpaceDN w:val="0"/>
      <w:adjustRightInd w:val="0"/>
      <w:spacing w:beforeLines="50" w:afterLines="50"/>
      <w:ind w:left="14" w:firstLine="434"/>
      <w:textAlignment w:val="baseline"/>
    </w:pPr>
    <w:rPr>
      <w:rFonts w:ascii="楷体_GB2312" w:eastAsia="楷体_GB2312"/>
      <w:kern w:val="0"/>
      <w:szCs w:val="20"/>
      <w:u w:val="single"/>
    </w:rPr>
  </w:style>
  <w:style w:type="paragraph" w:customStyle="1" w:styleId="114">
    <w:name w:val="xl67"/>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Microsoft Sans Serif" w:hAnsi="Microsoft Sans Serif" w:cs="Microsoft Sans Serif"/>
      <w:b/>
      <w:bCs/>
      <w:kern w:val="0"/>
      <w:sz w:val="18"/>
      <w:szCs w:val="18"/>
    </w:rPr>
  </w:style>
  <w:style w:type="paragraph" w:customStyle="1" w:styleId="115">
    <w:name w:val="段"/>
    <w:link w:val="134"/>
    <w:qFormat/>
    <w:uiPriority w:val="0"/>
    <w:pPr>
      <w:autoSpaceDE w:val="0"/>
      <w:autoSpaceDN w:val="0"/>
      <w:ind w:firstLine="200" w:firstLineChars="200"/>
      <w:jc w:val="both"/>
    </w:pPr>
    <w:rPr>
      <w:rFonts w:ascii="宋体" w:hAnsi="Times New Roman" w:eastAsia="宋体" w:cs="Calibri"/>
      <w:sz w:val="21"/>
      <w:lang w:val="en-US" w:eastAsia="zh-CN" w:bidi="ar-SA"/>
    </w:rPr>
  </w:style>
  <w:style w:type="paragraph" w:customStyle="1" w:styleId="116">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cs="宋体"/>
      <w:kern w:val="0"/>
    </w:rPr>
  </w:style>
  <w:style w:type="paragraph" w:customStyle="1" w:styleId="117">
    <w:name w:val="Char Char Char Char Char Char1 Char"/>
    <w:basedOn w:val="1"/>
    <w:qFormat/>
    <w:uiPriority w:val="0"/>
    <w:pPr>
      <w:widowControl/>
      <w:spacing w:after="160" w:line="240" w:lineRule="exact"/>
      <w:jc w:val="left"/>
    </w:pPr>
  </w:style>
  <w:style w:type="paragraph" w:customStyle="1" w:styleId="118">
    <w:name w:val="PM_Body"/>
    <w:basedOn w:val="1"/>
    <w:qFormat/>
    <w:locked/>
    <w:uiPriority w:val="0"/>
    <w:rPr>
      <w:szCs w:val="21"/>
    </w:rPr>
  </w:style>
  <w:style w:type="paragraph" w:customStyle="1" w:styleId="119">
    <w:name w:val="Char Char1"/>
    <w:basedOn w:val="1"/>
    <w:qFormat/>
    <w:uiPriority w:val="0"/>
    <w:pPr>
      <w:widowControl/>
      <w:spacing w:before="120" w:after="120"/>
    </w:pPr>
    <w:rPr>
      <w:rFonts w:ascii="Times New Roman" w:hAnsi="Times New Roman" w:cs="宋体"/>
    </w:rPr>
  </w:style>
  <w:style w:type="paragraph" w:customStyle="1" w:styleId="120">
    <w:name w:val="xl71"/>
    <w:basedOn w:val="1"/>
    <w:qFormat/>
    <w:uiPriority w:val="0"/>
    <w:pPr>
      <w:widowControl/>
      <w:spacing w:before="100" w:beforeAutospacing="1" w:after="100" w:afterAutospacing="1" w:line="240" w:lineRule="auto"/>
      <w:ind w:firstLine="0" w:firstLineChars="0"/>
      <w:jc w:val="right"/>
      <w:textAlignment w:val="center"/>
    </w:pPr>
    <w:rPr>
      <w:rFonts w:ascii="Microsoft Sans Serif" w:hAnsi="Microsoft Sans Serif" w:cs="Microsoft Sans Serif"/>
      <w:kern w:val="0"/>
      <w:sz w:val="18"/>
      <w:szCs w:val="18"/>
    </w:rPr>
  </w:style>
  <w:style w:type="paragraph" w:customStyle="1" w:styleId="121">
    <w:name w:val="修订1"/>
    <w:unhideWhenUsed/>
    <w:qFormat/>
    <w:uiPriority w:val="99"/>
    <w:rPr>
      <w:rFonts w:ascii="宋体" w:hAnsi="宋体" w:eastAsia="宋体" w:cs="Times New Roman"/>
      <w:kern w:val="2"/>
      <w:sz w:val="24"/>
      <w:szCs w:val="24"/>
      <w:lang w:val="en-US" w:eastAsia="zh-CN" w:bidi="ar-SA"/>
    </w:rPr>
  </w:style>
  <w:style w:type="paragraph" w:customStyle="1" w:styleId="122">
    <w:name w:val="列出段落2"/>
    <w:basedOn w:val="1"/>
    <w:qFormat/>
    <w:uiPriority w:val="0"/>
    <w:pPr>
      <w:spacing w:line="240" w:lineRule="auto"/>
      <w:ind w:firstLine="420"/>
    </w:pPr>
    <w:rPr>
      <w:rFonts w:ascii="等线" w:hAnsi="等线" w:eastAsia="等线" w:cs="等线"/>
      <w:sz w:val="21"/>
      <w:szCs w:val="21"/>
    </w:rPr>
  </w:style>
  <w:style w:type="paragraph" w:customStyle="1" w:styleId="123">
    <w:name w:val="xl69"/>
    <w:basedOn w:val="1"/>
    <w:qFormat/>
    <w:uiPriority w:val="0"/>
    <w:pPr>
      <w:widowControl/>
      <w:pBdr>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Microsoft Sans Serif" w:hAnsi="Microsoft Sans Serif" w:cs="Microsoft Sans Serif"/>
      <w:kern w:val="0"/>
      <w:sz w:val="18"/>
      <w:szCs w:val="18"/>
    </w:rPr>
  </w:style>
  <w:style w:type="paragraph" w:customStyle="1" w:styleId="124">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Microsoft Sans Serif" w:hAnsi="Microsoft Sans Serif" w:cs="Microsoft Sans Serif"/>
      <w:b/>
      <w:bCs/>
      <w:kern w:val="0"/>
      <w:sz w:val="18"/>
      <w:szCs w:val="18"/>
    </w:rPr>
  </w:style>
  <w:style w:type="paragraph" w:customStyle="1" w:styleId="125">
    <w:name w:val="文档正文文本（中安网脉）"/>
    <w:basedOn w:val="1"/>
    <w:qFormat/>
    <w:uiPriority w:val="0"/>
    <w:pPr>
      <w:ind w:firstLine="200"/>
    </w:pPr>
    <w:rPr>
      <w:rFonts w:ascii="Times New Roman" w:hAnsi="Times New Roman" w:eastAsia="仿宋_GB2312"/>
      <w:color w:val="000000"/>
      <w:szCs w:val="28"/>
    </w:rPr>
  </w:style>
  <w:style w:type="paragraph" w:customStyle="1" w:styleId="126">
    <w:name w:val="xl65"/>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Microsoft Sans Serif" w:hAnsi="Microsoft Sans Serif" w:cs="Microsoft Sans Serif"/>
      <w:kern w:val="0"/>
      <w:sz w:val="18"/>
      <w:szCs w:val="18"/>
    </w:rPr>
  </w:style>
  <w:style w:type="paragraph" w:customStyle="1" w:styleId="127">
    <w:name w:val="正文样式"/>
    <w:unhideWhenUsed/>
    <w:qFormat/>
    <w:uiPriority w:val="0"/>
    <w:pPr>
      <w:widowControl w:val="0"/>
      <w:adjustRightInd w:val="0"/>
      <w:snapToGrid w:val="0"/>
      <w:spacing w:line="360" w:lineRule="auto"/>
      <w:ind w:firstLine="200" w:firstLineChars="200"/>
      <w:jc w:val="both"/>
    </w:pPr>
    <w:rPr>
      <w:rFonts w:ascii="Times New Roman" w:hAnsi="Times New Roman" w:eastAsia="宋体" w:cs="Times New Roman"/>
      <w:bCs/>
      <w:snapToGrid w:val="0"/>
      <w:sz w:val="24"/>
      <w:szCs w:val="44"/>
      <w:lang w:val="en-US" w:eastAsia="zh-CN" w:bidi="ar-SA"/>
    </w:rPr>
  </w:style>
  <w:style w:type="paragraph" w:customStyle="1" w:styleId="128">
    <w:name w:val="样式 行距: 1.5 倍行距 首行缩进:  2 字符"/>
    <w:basedOn w:val="1"/>
    <w:qFormat/>
    <w:uiPriority w:val="0"/>
    <w:pPr>
      <w:ind w:firstLine="560"/>
      <w:jc w:val="left"/>
    </w:pPr>
    <w:rPr>
      <w:rFonts w:ascii="仿宋" w:hAnsi="仿宋" w:eastAsia="仿宋" w:cs="宋体"/>
      <w:sz w:val="28"/>
      <w:szCs w:val="20"/>
    </w:rPr>
  </w:style>
  <w:style w:type="paragraph" w:customStyle="1" w:styleId="129">
    <w:name w:val="TOC 标题1"/>
    <w:basedOn w:val="2"/>
    <w:next w:val="1"/>
    <w:qFormat/>
    <w:uiPriority w:val="39"/>
    <w:pPr>
      <w:widowControl/>
      <w:numPr>
        <w:numId w:val="0"/>
      </w:numPr>
      <w:spacing w:before="480" w:after="0" w:line="276" w:lineRule="auto"/>
      <w:jc w:val="left"/>
      <w:outlineLvl w:val="9"/>
    </w:pPr>
    <w:rPr>
      <w:rFonts w:ascii="Cambria" w:hAnsi="Cambria" w:eastAsia="宋体"/>
      <w:color w:val="365F91"/>
      <w:kern w:val="0"/>
      <w:sz w:val="28"/>
    </w:rPr>
  </w:style>
  <w:style w:type="table" w:customStyle="1" w:styleId="130">
    <w:name w:val="!我的表格1"/>
    <w:basedOn w:val="35"/>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31">
    <w:name w:val="网格型1"/>
    <w:basedOn w:val="35"/>
    <w:unhideWhenUsed/>
    <w:qFormat/>
    <w:uiPriority w:val="59"/>
    <w:rPr>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32">
    <w:name w:val="标题 1 Char"/>
    <w:qFormat/>
    <w:uiPriority w:val="0"/>
    <w:rPr>
      <w:rFonts w:ascii="宋体" w:hAnsi="宋体" w:eastAsia="黑体"/>
      <w:b/>
      <w:bCs/>
      <w:kern w:val="44"/>
      <w:sz w:val="32"/>
      <w:szCs w:val="28"/>
    </w:rPr>
  </w:style>
  <w:style w:type="character" w:customStyle="1" w:styleId="133">
    <w:name w:val="纯文本 Char2"/>
    <w:qFormat/>
    <w:uiPriority w:val="0"/>
    <w:rPr>
      <w:rFonts w:ascii="宋体" w:hAnsi="宋体" w:eastAsia="宋体" w:cs="Times New Roman"/>
      <w:color w:val="000000"/>
      <w:kern w:val="0"/>
      <w:sz w:val="24"/>
      <w:szCs w:val="24"/>
    </w:rPr>
  </w:style>
  <w:style w:type="character" w:customStyle="1" w:styleId="134">
    <w:name w:val="段 Char"/>
    <w:basedOn w:val="37"/>
    <w:link w:val="115"/>
    <w:qFormat/>
    <w:uiPriority w:val="0"/>
    <w:rPr>
      <w:rFonts w:ascii="宋体" w:cs="Calibri"/>
      <w:sz w:val="21"/>
    </w:rPr>
  </w:style>
  <w:style w:type="paragraph" w:customStyle="1" w:styleId="135">
    <w:name w:val="可研正文"/>
    <w:basedOn w:val="1"/>
    <w:link w:val="136"/>
    <w:qFormat/>
    <w:uiPriority w:val="0"/>
    <w:pPr>
      <w:ind w:firstLine="200"/>
    </w:pPr>
    <w:rPr>
      <w:rFonts w:ascii="仿宋" w:hAnsi="仿宋" w:eastAsia="仿宋" w:cstheme="minorBidi"/>
      <w:sz w:val="28"/>
      <w:szCs w:val="28"/>
    </w:rPr>
  </w:style>
  <w:style w:type="character" w:customStyle="1" w:styleId="136">
    <w:name w:val="可研正文 Char"/>
    <w:link w:val="135"/>
    <w:qFormat/>
    <w:uiPriority w:val="0"/>
    <w:rPr>
      <w:rFonts w:ascii="仿宋" w:hAnsi="仿宋" w:eastAsia="仿宋" w:cstheme="minorBidi"/>
      <w:kern w:val="2"/>
      <w:sz w:val="28"/>
      <w:szCs w:val="28"/>
    </w:rPr>
  </w:style>
  <w:style w:type="paragraph" w:customStyle="1" w:styleId="137">
    <w:name w:val="Revision"/>
    <w:hidden/>
    <w:unhideWhenUsed/>
    <w:qFormat/>
    <w:uiPriority w:val="99"/>
    <w:rPr>
      <w:rFonts w:ascii="宋体" w:hAnsi="宋体" w:eastAsia="宋体" w:cs="Times New Roman"/>
      <w:kern w:val="2"/>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numbering" Target="numbering.xml"/><Relationship Id="rId17" Type="http://schemas.openxmlformats.org/officeDocument/2006/relationships/image" Target="media/image3.emf"/><Relationship Id="rId16" Type="http://schemas.openxmlformats.org/officeDocument/2006/relationships/oleObject" Target="embeddings/oleObject2.bin"/><Relationship Id="rId15" Type="http://schemas.openxmlformats.org/officeDocument/2006/relationships/image" Target="media/image2.emf"/><Relationship Id="rId14" Type="http://schemas.openxmlformats.org/officeDocument/2006/relationships/oleObject" Target="embeddings/oleObject1.bin"/><Relationship Id="rId13" Type="http://schemas.openxmlformats.org/officeDocument/2006/relationships/image" Target="media/image1.jpeg"/><Relationship Id="rId12" Type="http://schemas.openxmlformats.org/officeDocument/2006/relationships/theme" Target="theme/theme1.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SelectedStyle="\APASixthEditionOfficeOnline.xsl" Version="6" StyleName="APA"/>
</file>

<file path=customXml/itemProps1.xml><?xml version="1.0" encoding="utf-8"?>
<ds:datastoreItem xmlns:ds="http://schemas.openxmlformats.org/officeDocument/2006/customXml" ds:itemID="{0F64CBE8-DF11-425C-949E-222E94FB54D2}">
  <ds:schemaRefs/>
</ds:datastoreItem>
</file>

<file path=docProps/app.xml><?xml version="1.0" encoding="utf-8"?>
<Properties xmlns="http://schemas.openxmlformats.org/officeDocument/2006/extended-properties" xmlns:vt="http://schemas.openxmlformats.org/officeDocument/2006/docPropsVTypes">
  <Template>Normal.dotm</Template>
  <Company>MS</Company>
  <Pages>22</Pages>
  <Words>1209</Words>
  <Characters>1262</Characters>
  <Lines>137</Lines>
  <Paragraphs>38</Paragraphs>
  <TotalTime>8</TotalTime>
  <ScaleCrop>false</ScaleCrop>
  <LinksUpToDate>false</LinksUpToDate>
  <CharactersWithSpaces>1272</CharactersWithSpaces>
  <Application>WPS Office_12.8.2.18605_F1E327BC-269C-435d-A152-05C5408002CA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2025-02-13T06:05:00Z</dcterms:created>
  <dc:creator>gtig_tzb</dc:creator>
  <cp:lastModifiedBy>user</cp:lastModifiedBy>
  <cp:lastPrinted>2020-08-08T12:08:00Z</cp:lastPrinted>
  <dcterms:modified xsi:type="dcterms:W3CDTF">2025-03-18T15:03:16Z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2052-12.8.2.18605</vt:lpwstr>
  </property>
  <property fmtid="{D5CDD505-2E9C-101B-9397-08002B2CF9AE}" pid="3" name="KSOTemplateDocerSaveRecord">
    <vt:lpwstr>eyJoZGlkIjoiNWQzZWZmZjdiZDE5MzRkOTU2MTlhZDQyMzQzZDQxMDMiLCJ1c2VySWQiOiI0MDY2MDc0ODkifQ==</vt:lpwstr>
  </property>
  <property fmtid="{D5CDD505-2E9C-101B-9397-08002B2CF9AE}" pid="4" name="ICV">
    <vt:lpwstr>2E4F604C94744DF88A3D964F505E30D7_13</vt:lpwstr>
  </property>
</Properties>
</file>