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56"/>
          <w:szCs w:val="44"/>
        </w:rPr>
      </w:pPr>
      <w:r>
        <w:rPr>
          <w:rFonts w:hint="eastAsia" w:ascii="宋体" w:hAnsi="宋体"/>
          <w:b/>
          <w:sz w:val="56"/>
          <w:szCs w:val="44"/>
        </w:rPr>
        <w:t>新发突发传染病医防综合能力建设与提升</w:t>
      </w:r>
      <w:r>
        <w:rPr>
          <w:rFonts w:hint="eastAsia" w:ascii="宋体" w:hAnsi="宋体"/>
          <w:b/>
          <w:sz w:val="56"/>
          <w:szCs w:val="44"/>
          <w:lang w:val="en-US" w:eastAsia="zh-CN"/>
        </w:rPr>
        <w:t>子系统</w:t>
      </w:r>
      <w:r>
        <w:rPr>
          <w:rFonts w:hint="eastAsia" w:ascii="宋体" w:hAnsi="宋体"/>
          <w:b/>
          <w:sz w:val="56"/>
          <w:szCs w:val="44"/>
        </w:rPr>
        <w:t>建设项目</w:t>
      </w:r>
    </w:p>
    <w:p>
      <w:pPr>
        <w:spacing w:line="360" w:lineRule="auto"/>
        <w:jc w:val="center"/>
        <w:rPr>
          <w:rFonts w:ascii="宋体" w:hAnsi="宋体"/>
          <w:b/>
          <w:sz w:val="28"/>
          <w:szCs w:val="21"/>
        </w:rPr>
      </w:pPr>
    </w:p>
    <w:p>
      <w:pPr>
        <w:spacing w:line="360" w:lineRule="auto"/>
        <w:jc w:val="center"/>
        <w:rPr>
          <w:rFonts w:ascii="宋体" w:hAnsi="宋体"/>
          <w:b/>
          <w:sz w:val="28"/>
          <w:szCs w:val="21"/>
        </w:rPr>
      </w:pPr>
    </w:p>
    <w:p>
      <w:pPr>
        <w:spacing w:line="360" w:lineRule="auto"/>
        <w:jc w:val="center"/>
        <w:rPr>
          <w:rFonts w:hint="eastAsia" w:ascii="宋体" w:hAnsi="宋体"/>
          <w:b/>
          <w:sz w:val="48"/>
          <w:szCs w:val="36"/>
        </w:rPr>
      </w:pPr>
      <w:r>
        <w:rPr>
          <w:rFonts w:hint="eastAsia" w:ascii="宋体" w:hAnsi="宋体"/>
          <w:b/>
          <w:sz w:val="48"/>
          <w:szCs w:val="36"/>
        </w:rPr>
        <w:t xml:space="preserve">采                  </w:t>
      </w:r>
    </w:p>
    <w:p>
      <w:pPr>
        <w:spacing w:line="360" w:lineRule="auto"/>
        <w:jc w:val="center"/>
        <w:rPr>
          <w:rFonts w:ascii="宋体" w:hAnsi="宋体"/>
          <w:b/>
          <w:sz w:val="48"/>
          <w:szCs w:val="36"/>
        </w:rPr>
      </w:pPr>
      <w:r>
        <w:rPr>
          <w:rFonts w:hint="eastAsia" w:ascii="宋体" w:hAnsi="宋体"/>
          <w:b/>
          <w:sz w:val="48"/>
          <w:szCs w:val="36"/>
        </w:rPr>
        <w:t>购</w:t>
      </w:r>
    </w:p>
    <w:p>
      <w:pPr>
        <w:spacing w:line="360" w:lineRule="auto"/>
        <w:jc w:val="center"/>
        <w:rPr>
          <w:rFonts w:ascii="宋体" w:hAnsi="宋体"/>
          <w:b/>
          <w:sz w:val="48"/>
          <w:szCs w:val="36"/>
        </w:rPr>
      </w:pPr>
      <w:r>
        <w:rPr>
          <w:rFonts w:hint="eastAsia" w:ascii="宋体" w:hAnsi="宋体"/>
          <w:b/>
          <w:sz w:val="48"/>
          <w:szCs w:val="36"/>
        </w:rPr>
        <w:t>需</w:t>
      </w:r>
    </w:p>
    <w:p>
      <w:pPr>
        <w:spacing w:line="360" w:lineRule="auto"/>
        <w:jc w:val="center"/>
        <w:rPr>
          <w:rFonts w:ascii="宋体" w:hAnsi="宋体"/>
          <w:b/>
          <w:sz w:val="48"/>
          <w:szCs w:val="36"/>
        </w:rPr>
      </w:pPr>
      <w:r>
        <w:rPr>
          <w:rFonts w:hint="eastAsia" w:ascii="宋体" w:hAnsi="宋体"/>
          <w:b/>
          <w:sz w:val="48"/>
          <w:szCs w:val="36"/>
        </w:rPr>
        <w:t>求</w:t>
      </w:r>
    </w:p>
    <w:p>
      <w:pPr>
        <w:spacing w:line="360" w:lineRule="auto"/>
        <w:jc w:val="center"/>
        <w:rPr>
          <w:rFonts w:ascii="宋体" w:hAnsi="宋体"/>
          <w:b/>
          <w:sz w:val="48"/>
          <w:szCs w:val="36"/>
        </w:rPr>
      </w:pPr>
      <w:r>
        <w:rPr>
          <w:rFonts w:hint="eastAsia" w:ascii="宋体" w:hAnsi="宋体"/>
          <w:b/>
          <w:sz w:val="48"/>
          <w:szCs w:val="36"/>
        </w:rPr>
        <w:t>书</w:t>
      </w: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jc w:val="center"/>
        <w:rPr>
          <w:rFonts w:hint="eastAsia" w:ascii="宋体" w:hAnsi="宋体"/>
          <w:b/>
          <w:sz w:val="40"/>
          <w:szCs w:val="40"/>
          <w:lang w:val="en-US" w:eastAsia="zh-CN"/>
        </w:rPr>
      </w:pPr>
      <w:r>
        <w:rPr>
          <w:rFonts w:hint="eastAsia" w:ascii="宋体" w:hAnsi="宋体"/>
          <w:b/>
          <w:sz w:val="40"/>
          <w:szCs w:val="40"/>
          <w:lang w:val="en-US" w:eastAsia="zh-CN"/>
        </w:rPr>
        <w:t>上海市公共卫生临床中心</w:t>
      </w:r>
    </w:p>
    <w:p>
      <w:pPr>
        <w:spacing w:line="360" w:lineRule="auto"/>
        <w:jc w:val="center"/>
        <w:rPr>
          <w:rFonts w:hint="default" w:ascii="宋体" w:hAnsi="宋体"/>
          <w:b/>
          <w:sz w:val="40"/>
          <w:szCs w:val="40"/>
          <w:lang w:val="en-US" w:eastAsia="zh-CN"/>
        </w:rPr>
      </w:pPr>
      <w:r>
        <w:rPr>
          <w:rFonts w:hint="eastAsia" w:ascii="宋体" w:hAnsi="宋体"/>
          <w:b/>
          <w:sz w:val="40"/>
          <w:szCs w:val="40"/>
          <w:lang w:val="en-US" w:eastAsia="zh-CN"/>
        </w:rPr>
        <w:t>2024年10月</w:t>
      </w:r>
    </w:p>
    <w:p>
      <w:pPr>
        <w:spacing w:line="240" w:lineRule="auto"/>
        <w:rPr>
          <w:rFonts w:hint="eastAsia" w:ascii="宋体" w:hAnsi="宋体" w:eastAsia="宋体"/>
          <w:szCs w:val="21"/>
          <w:lang w:val="en-US" w:eastAsia="zh-CN"/>
        </w:rPr>
      </w:pPr>
      <w:r>
        <w:rPr>
          <w:rFonts w:ascii="宋体" w:hAnsi="宋体"/>
          <w:szCs w:val="21"/>
        </w:rPr>
        <w:br w:type="page"/>
      </w:r>
    </w:p>
    <w:p>
      <w:pPr>
        <w:spacing w:line="240" w:lineRule="auto"/>
        <w:rPr>
          <w:rFonts w:ascii="宋体" w:hAnsi="宋体"/>
          <w:szCs w:val="21"/>
        </w:rPr>
      </w:pPr>
    </w:p>
    <w:p>
      <w:pPr>
        <w:pStyle w:val="11"/>
        <w:spacing w:line="360" w:lineRule="auto"/>
        <w:jc w:val="center"/>
        <w:rPr>
          <w:rFonts w:ascii="宋体" w:hAnsi="宋体"/>
          <w:sz w:val="21"/>
          <w:szCs w:val="21"/>
        </w:rPr>
      </w:pPr>
      <w:r>
        <w:rPr>
          <w:rFonts w:hint="eastAsia" w:ascii="宋体" w:hAnsi="宋体"/>
          <w:sz w:val="21"/>
          <w:szCs w:val="21"/>
        </w:rPr>
        <w:t>目 录</w:t>
      </w:r>
    </w:p>
    <w:p>
      <w:pPr>
        <w:pStyle w:val="11"/>
        <w:tabs>
          <w:tab w:val="right" w:leader="dot" w:pos="8306"/>
        </w:tabs>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rPr>
          <w:rFonts w:ascii="宋体" w:hAnsi="宋体"/>
          <w:szCs w:val="21"/>
        </w:rPr>
        <w:fldChar w:fldCharType="begin"/>
      </w:r>
      <w:r>
        <w:rPr>
          <w:rFonts w:ascii="宋体" w:hAnsi="宋体"/>
          <w:szCs w:val="21"/>
        </w:rPr>
        <w:instrText xml:space="preserve"> HYPERLINK \l _Toc19942 </w:instrText>
      </w:r>
      <w:r>
        <w:rPr>
          <w:rFonts w:ascii="宋体" w:hAnsi="宋体"/>
          <w:szCs w:val="21"/>
        </w:rPr>
        <w:fldChar w:fldCharType="separate"/>
      </w:r>
      <w:r>
        <w:rPr>
          <w:rFonts w:hint="eastAsia"/>
        </w:rPr>
        <w:t>一、</w:t>
      </w:r>
      <w:r>
        <w:rPr>
          <w:rFonts w:hint="eastAsia"/>
          <w:lang w:val="en-US" w:eastAsia="zh-CN"/>
        </w:rPr>
        <w:t>项目建设概述</w:t>
      </w:r>
      <w:r>
        <w:tab/>
      </w:r>
      <w:r>
        <w:fldChar w:fldCharType="begin"/>
      </w:r>
      <w:r>
        <w:instrText xml:space="preserve"> PAGEREF _Toc19942 \h </w:instrText>
      </w:r>
      <w:r>
        <w:fldChar w:fldCharType="separate"/>
      </w:r>
      <w:r>
        <w:t>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_Toc31478 </w:instrText>
      </w:r>
      <w:r>
        <w:rPr>
          <w:rFonts w:ascii="宋体" w:hAnsi="宋体"/>
          <w:szCs w:val="21"/>
        </w:rPr>
        <w:fldChar w:fldCharType="separate"/>
      </w:r>
      <w:r>
        <w:t>1</w:t>
      </w:r>
      <w:r>
        <w:rPr>
          <w:rFonts w:hint="eastAsia"/>
        </w:rPr>
        <w:t>、</w:t>
      </w:r>
      <w:r>
        <w:t>项目</w:t>
      </w:r>
      <w:r>
        <w:rPr>
          <w:rFonts w:hint="eastAsia"/>
          <w:lang w:val="en-US" w:eastAsia="zh-CN"/>
        </w:rPr>
        <w:t>概况</w:t>
      </w:r>
      <w:r>
        <w:tab/>
      </w:r>
      <w:r>
        <w:fldChar w:fldCharType="begin"/>
      </w:r>
      <w:r>
        <w:instrText xml:space="preserve"> PAGEREF _Toc31478 \h </w:instrText>
      </w:r>
      <w:r>
        <w:fldChar w:fldCharType="separate"/>
      </w:r>
      <w:r>
        <w:t>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_Toc10800 </w:instrText>
      </w:r>
      <w:r>
        <w:rPr>
          <w:rFonts w:ascii="宋体" w:hAnsi="宋体"/>
          <w:szCs w:val="21"/>
        </w:rPr>
        <w:fldChar w:fldCharType="separate"/>
      </w:r>
      <w:r>
        <w:rPr>
          <w:rFonts w:hint="eastAsia"/>
          <w:lang w:val="en-US" w:eastAsia="zh-CN"/>
        </w:rPr>
        <w:t>2</w:t>
      </w:r>
      <w:r>
        <w:rPr>
          <w:rFonts w:hint="eastAsia"/>
        </w:rPr>
        <w:t>、</w:t>
      </w:r>
      <w:r>
        <w:t>项目</w:t>
      </w:r>
      <w:r>
        <w:rPr>
          <w:rFonts w:hint="eastAsia"/>
          <w:lang w:val="en-US" w:eastAsia="zh-CN"/>
        </w:rPr>
        <w:t>建设目标及内容</w:t>
      </w:r>
      <w:r>
        <w:tab/>
      </w:r>
      <w:r>
        <w:fldChar w:fldCharType="begin"/>
      </w:r>
      <w:r>
        <w:instrText xml:space="preserve"> PAGEREF _Toc10800 \h </w:instrText>
      </w:r>
      <w:r>
        <w:fldChar w:fldCharType="separate"/>
      </w:r>
      <w:r>
        <w:t>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_Toc15217 </w:instrText>
      </w:r>
      <w:r>
        <w:rPr>
          <w:rFonts w:ascii="宋体" w:hAnsi="宋体"/>
          <w:szCs w:val="21"/>
        </w:rPr>
        <w:fldChar w:fldCharType="separate"/>
      </w:r>
      <w:r>
        <w:rPr>
          <w:rFonts w:hint="eastAsia"/>
          <w:lang w:val="en-US" w:eastAsia="zh-CN"/>
        </w:rPr>
        <w:t>3、主题内容和适用范围</w:t>
      </w:r>
      <w:r>
        <w:tab/>
      </w:r>
      <w:r>
        <w:fldChar w:fldCharType="begin"/>
      </w:r>
      <w:r>
        <w:instrText xml:space="preserve"> PAGEREF _Toc15217 \h </w:instrText>
      </w:r>
      <w:r>
        <w:fldChar w:fldCharType="separate"/>
      </w:r>
      <w:r>
        <w:t>4</w:t>
      </w:r>
      <w:r>
        <w:fldChar w:fldCharType="end"/>
      </w:r>
      <w:r>
        <w:rPr>
          <w:rFonts w:ascii="宋体" w:hAnsi="宋体"/>
          <w:szCs w:val="21"/>
        </w:rPr>
        <w:fldChar w:fldCharType="end"/>
      </w:r>
    </w:p>
    <w:p>
      <w:pPr>
        <w:pStyle w:val="11"/>
        <w:tabs>
          <w:tab w:val="right" w:leader="dot" w:pos="8306"/>
        </w:tabs>
      </w:pPr>
      <w:r>
        <w:rPr>
          <w:rFonts w:ascii="宋体" w:hAnsi="宋体"/>
          <w:szCs w:val="21"/>
        </w:rPr>
        <w:fldChar w:fldCharType="begin"/>
      </w:r>
      <w:r>
        <w:rPr>
          <w:rFonts w:ascii="宋体" w:hAnsi="宋体"/>
          <w:szCs w:val="21"/>
        </w:rPr>
        <w:instrText xml:space="preserve"> HYPERLINK \l _Toc9296 </w:instrText>
      </w:r>
      <w:r>
        <w:rPr>
          <w:rFonts w:ascii="宋体" w:hAnsi="宋体"/>
          <w:szCs w:val="21"/>
        </w:rPr>
        <w:fldChar w:fldCharType="separate"/>
      </w:r>
      <w:r>
        <w:rPr>
          <w:rFonts w:hint="eastAsia"/>
          <w:lang w:val="en-US" w:eastAsia="zh-CN"/>
        </w:rPr>
        <w:t>二</w:t>
      </w:r>
      <w:r>
        <w:rPr>
          <w:rFonts w:hint="eastAsia"/>
        </w:rPr>
        <w:t>、</w:t>
      </w:r>
      <w:r>
        <w:rPr>
          <w:rFonts w:hint="eastAsia"/>
          <w:lang w:val="en-US" w:eastAsia="zh-CN"/>
        </w:rPr>
        <w:t>项目建设需求</w:t>
      </w:r>
      <w:r>
        <w:tab/>
      </w:r>
      <w:r>
        <w:fldChar w:fldCharType="begin"/>
      </w:r>
      <w:r>
        <w:instrText xml:space="preserve"> PAGEREF _Toc9296 \h </w:instrText>
      </w:r>
      <w:r>
        <w:fldChar w:fldCharType="separate"/>
      </w:r>
      <w:r>
        <w:t>5</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_Toc26494 </w:instrText>
      </w:r>
      <w:r>
        <w:rPr>
          <w:rFonts w:ascii="宋体" w:hAnsi="宋体"/>
          <w:szCs w:val="21"/>
        </w:rPr>
        <w:fldChar w:fldCharType="separate"/>
      </w:r>
      <w:r>
        <w:rPr>
          <w:rFonts w:hint="eastAsia"/>
          <w:lang w:val="en-US" w:eastAsia="zh-CN"/>
        </w:rPr>
        <w:t>1</w:t>
      </w:r>
      <w:r>
        <w:rPr>
          <w:rFonts w:hint="eastAsia"/>
        </w:rPr>
        <w:t>、</w:t>
      </w:r>
      <w:r>
        <w:rPr>
          <w:rFonts w:hint="eastAsia"/>
          <w:lang w:val="en-US" w:eastAsia="zh-CN"/>
        </w:rPr>
        <w:t>项目采购清单</w:t>
      </w:r>
      <w:r>
        <w:tab/>
      </w:r>
      <w:r>
        <w:fldChar w:fldCharType="begin"/>
      </w:r>
      <w:r>
        <w:instrText xml:space="preserve"> PAGEREF _Toc26494 \h </w:instrText>
      </w:r>
      <w:r>
        <w:fldChar w:fldCharType="separate"/>
      </w:r>
      <w:r>
        <w:t>5</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_Toc27008 </w:instrText>
      </w:r>
      <w:r>
        <w:rPr>
          <w:rFonts w:ascii="宋体" w:hAnsi="宋体"/>
          <w:szCs w:val="21"/>
        </w:rPr>
        <w:fldChar w:fldCharType="separate"/>
      </w:r>
      <w:r>
        <w:rPr>
          <w:rFonts w:hint="eastAsia"/>
          <w:lang w:val="en-US" w:eastAsia="zh-CN"/>
        </w:rPr>
        <w:t>2</w:t>
      </w:r>
      <w:r>
        <w:t>、</w:t>
      </w:r>
      <w:r>
        <w:rPr>
          <w:rFonts w:hint="eastAsia"/>
        </w:rPr>
        <w:t>总体要求</w:t>
      </w:r>
      <w:r>
        <w:tab/>
      </w:r>
      <w:r>
        <w:fldChar w:fldCharType="begin"/>
      </w:r>
      <w:r>
        <w:instrText xml:space="preserve"> PAGEREF _Toc27008 \h </w:instrText>
      </w:r>
      <w:r>
        <w:fldChar w:fldCharType="separate"/>
      </w:r>
      <w:r>
        <w:t>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_Toc29194 </w:instrText>
      </w:r>
      <w:r>
        <w:rPr>
          <w:rFonts w:ascii="宋体" w:hAnsi="宋体"/>
          <w:szCs w:val="21"/>
        </w:rPr>
        <w:fldChar w:fldCharType="separate"/>
      </w:r>
      <w:r>
        <w:rPr>
          <w:rFonts w:hint="eastAsia"/>
          <w:lang w:val="en-US" w:eastAsia="zh-CN"/>
        </w:rPr>
        <w:t>3</w:t>
      </w:r>
      <w:r>
        <w:rPr>
          <w:rFonts w:hint="eastAsia"/>
        </w:rPr>
        <w:t>、</w:t>
      </w:r>
      <w:r>
        <w:rPr>
          <w:rFonts w:hint="eastAsia"/>
          <w:lang w:val="en-US" w:eastAsia="zh-CN"/>
        </w:rPr>
        <w:t>应用软件技术需求</w:t>
      </w:r>
      <w:r>
        <w:tab/>
      </w:r>
      <w:r>
        <w:fldChar w:fldCharType="begin"/>
      </w:r>
      <w:r>
        <w:instrText xml:space="preserve"> PAGEREF _Toc29194 \h </w:instrText>
      </w:r>
      <w:r>
        <w:fldChar w:fldCharType="separate"/>
      </w:r>
      <w:r>
        <w:t>6</w:t>
      </w:r>
      <w:r>
        <w:fldChar w:fldCharType="end"/>
      </w:r>
      <w:r>
        <w:rPr>
          <w:rFonts w:ascii="宋体" w:hAnsi="宋体"/>
          <w:szCs w:val="21"/>
        </w:rPr>
        <w:fldChar w:fldCharType="end"/>
      </w:r>
    </w:p>
    <w:p>
      <w:pPr>
        <w:pStyle w:val="11"/>
        <w:tabs>
          <w:tab w:val="right" w:leader="dot" w:pos="8306"/>
        </w:tabs>
      </w:pPr>
      <w:r>
        <w:rPr>
          <w:rFonts w:ascii="宋体" w:hAnsi="宋体"/>
          <w:szCs w:val="21"/>
        </w:rPr>
        <w:fldChar w:fldCharType="begin"/>
      </w:r>
      <w:r>
        <w:rPr>
          <w:rFonts w:ascii="宋体" w:hAnsi="宋体"/>
          <w:szCs w:val="21"/>
        </w:rPr>
        <w:instrText xml:space="preserve"> HYPERLINK \l _Toc6444 </w:instrText>
      </w:r>
      <w:r>
        <w:rPr>
          <w:rFonts w:ascii="宋体" w:hAnsi="宋体"/>
          <w:szCs w:val="21"/>
        </w:rPr>
        <w:fldChar w:fldCharType="separate"/>
      </w:r>
      <w:r>
        <w:rPr>
          <w:rFonts w:hint="eastAsia"/>
          <w:lang w:val="en-US" w:eastAsia="zh-CN"/>
        </w:rPr>
        <w:t>三</w:t>
      </w:r>
      <w:r>
        <w:rPr>
          <w:rFonts w:hint="eastAsia"/>
        </w:rPr>
        <w:t>、项目建设及验收要求</w:t>
      </w:r>
      <w:r>
        <w:tab/>
      </w:r>
      <w:r>
        <w:fldChar w:fldCharType="begin"/>
      </w:r>
      <w:r>
        <w:instrText xml:space="preserve"> PAGEREF _Toc6444 \h </w:instrText>
      </w:r>
      <w:r>
        <w:fldChar w:fldCharType="separate"/>
      </w:r>
      <w:r>
        <w:t>21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_Toc23607 </w:instrText>
      </w:r>
      <w:r>
        <w:rPr>
          <w:rFonts w:ascii="宋体" w:hAnsi="宋体"/>
          <w:szCs w:val="21"/>
        </w:rPr>
        <w:fldChar w:fldCharType="separate"/>
      </w:r>
      <w:r>
        <w:rPr>
          <w:rFonts w:hint="eastAsia"/>
        </w:rPr>
        <w:t>1． 项目实施要求</w:t>
      </w:r>
      <w:r>
        <w:tab/>
      </w:r>
      <w:r>
        <w:fldChar w:fldCharType="begin"/>
      </w:r>
      <w:r>
        <w:instrText xml:space="preserve"> PAGEREF _Toc23607 \h </w:instrText>
      </w:r>
      <w:r>
        <w:fldChar w:fldCharType="separate"/>
      </w:r>
      <w:r>
        <w:t>21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_Toc14764 </w:instrText>
      </w:r>
      <w:r>
        <w:rPr>
          <w:rFonts w:ascii="宋体" w:hAnsi="宋体"/>
          <w:szCs w:val="21"/>
        </w:rPr>
        <w:fldChar w:fldCharType="separate"/>
      </w:r>
      <w:r>
        <w:rPr>
          <w:rFonts w:hint="eastAsia"/>
        </w:rPr>
        <w:t>2．</w:t>
      </w:r>
      <w:r>
        <w:t>安装、调试和验收</w:t>
      </w:r>
      <w:r>
        <w:tab/>
      </w:r>
      <w:r>
        <w:fldChar w:fldCharType="begin"/>
      </w:r>
      <w:r>
        <w:instrText xml:space="preserve"> PAGEREF _Toc14764 \h </w:instrText>
      </w:r>
      <w:r>
        <w:fldChar w:fldCharType="separate"/>
      </w:r>
      <w:r>
        <w:t>21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_Toc32187 </w:instrText>
      </w:r>
      <w:r>
        <w:rPr>
          <w:rFonts w:ascii="宋体" w:hAnsi="宋体"/>
          <w:szCs w:val="21"/>
        </w:rPr>
        <w:fldChar w:fldCharType="separate"/>
      </w:r>
      <w:r>
        <w:rPr>
          <w:rFonts w:hint="eastAsia"/>
        </w:rPr>
        <w:t>3．项目售后服务要求</w:t>
      </w:r>
      <w:r>
        <w:tab/>
      </w:r>
      <w:r>
        <w:fldChar w:fldCharType="begin"/>
      </w:r>
      <w:r>
        <w:instrText xml:space="preserve"> PAGEREF _Toc32187 \h </w:instrText>
      </w:r>
      <w:r>
        <w:fldChar w:fldCharType="separate"/>
      </w:r>
      <w:r>
        <w:t>22</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_Toc27574 </w:instrText>
      </w:r>
      <w:r>
        <w:rPr>
          <w:rFonts w:ascii="宋体" w:hAnsi="宋体"/>
          <w:szCs w:val="21"/>
        </w:rPr>
        <w:fldChar w:fldCharType="separate"/>
      </w:r>
      <w:r>
        <w:rPr>
          <w:rFonts w:hint="eastAsia"/>
        </w:rPr>
        <w:t>4．</w:t>
      </w:r>
      <w:r>
        <w:t>项目培训要求</w:t>
      </w:r>
      <w:r>
        <w:tab/>
      </w:r>
      <w:r>
        <w:fldChar w:fldCharType="begin"/>
      </w:r>
      <w:r>
        <w:instrText xml:space="preserve"> PAGEREF _Toc27574 \h </w:instrText>
      </w:r>
      <w:r>
        <w:fldChar w:fldCharType="separate"/>
      </w:r>
      <w:r>
        <w:t>22</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_Toc17659 </w:instrText>
      </w:r>
      <w:r>
        <w:rPr>
          <w:rFonts w:ascii="宋体" w:hAnsi="宋体"/>
          <w:szCs w:val="21"/>
        </w:rPr>
        <w:fldChar w:fldCharType="separate"/>
      </w:r>
      <w:r>
        <w:rPr>
          <w:rFonts w:hint="eastAsia"/>
        </w:rPr>
        <w:t>5．对系统的保密范围要求</w:t>
      </w:r>
      <w:r>
        <w:tab/>
      </w:r>
      <w:r>
        <w:fldChar w:fldCharType="begin"/>
      </w:r>
      <w:r>
        <w:instrText xml:space="preserve"> PAGEREF _Toc17659 \h </w:instrText>
      </w:r>
      <w:r>
        <w:fldChar w:fldCharType="separate"/>
      </w:r>
      <w:r>
        <w:t>23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_Toc6778 </w:instrText>
      </w:r>
      <w:r>
        <w:rPr>
          <w:rFonts w:ascii="宋体" w:hAnsi="宋体"/>
          <w:szCs w:val="21"/>
        </w:rPr>
        <w:fldChar w:fldCharType="separate"/>
      </w:r>
      <w:r>
        <w:rPr>
          <w:rFonts w:hint="eastAsia"/>
        </w:rPr>
        <w:t>6．对供应商能力要求</w:t>
      </w:r>
      <w:r>
        <w:tab/>
      </w:r>
      <w:r>
        <w:fldChar w:fldCharType="begin"/>
      </w:r>
      <w:r>
        <w:instrText xml:space="preserve"> PAGEREF _Toc6778 \h </w:instrText>
      </w:r>
      <w:r>
        <w:fldChar w:fldCharType="separate"/>
      </w:r>
      <w:r>
        <w:t>23</w:t>
      </w:r>
      <w:r>
        <w:fldChar w:fldCharType="end"/>
      </w:r>
      <w:r>
        <w:rPr>
          <w:rFonts w:ascii="宋体" w:hAnsi="宋体"/>
          <w:szCs w:val="21"/>
        </w:rPr>
        <w:fldChar w:fldCharType="end"/>
      </w:r>
    </w:p>
    <w:p>
      <w:pPr>
        <w:rPr>
          <w:rFonts w:hint="eastAsia"/>
          <w:sz w:val="32"/>
        </w:rPr>
      </w:pPr>
      <w:r>
        <w:rPr>
          <w:rFonts w:ascii="宋体" w:hAnsi="宋体"/>
          <w:szCs w:val="21"/>
        </w:rPr>
        <w:fldChar w:fldCharType="end"/>
      </w:r>
    </w:p>
    <w:p>
      <w:pPr>
        <w:pStyle w:val="2"/>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rPr>
          <w:rFonts w:hint="eastAsia"/>
          <w:sz w:val="32"/>
        </w:rPr>
      </w:pPr>
    </w:p>
    <w:p>
      <w:pPr>
        <w:pStyle w:val="3"/>
        <w:ind w:firstLine="0" w:firstLineChars="0"/>
        <w:rPr>
          <w:rFonts w:hint="default"/>
          <w:sz w:val="32"/>
          <w:lang w:val="en-US"/>
        </w:rPr>
      </w:pPr>
      <w:bookmarkStart w:id="0" w:name="_Toc19942"/>
      <w:r>
        <w:rPr>
          <w:rFonts w:hint="eastAsia"/>
          <w:sz w:val="32"/>
        </w:rPr>
        <w:t>一、</w:t>
      </w:r>
      <w:r>
        <w:rPr>
          <w:rFonts w:hint="eastAsia"/>
          <w:sz w:val="32"/>
          <w:lang w:val="en-US" w:eastAsia="zh-CN"/>
        </w:rPr>
        <w:t>项目建设概述</w:t>
      </w:r>
      <w:bookmarkEnd w:id="0"/>
    </w:p>
    <w:p>
      <w:pPr>
        <w:pStyle w:val="4"/>
        <w:rPr>
          <w:rFonts w:hint="eastAsia" w:eastAsiaTheme="majorEastAsia"/>
          <w:sz w:val="28"/>
          <w:lang w:val="en-US" w:eastAsia="zh-CN"/>
        </w:rPr>
      </w:pPr>
      <w:bookmarkStart w:id="1" w:name="_Toc31478"/>
      <w:r>
        <w:rPr>
          <w:sz w:val="28"/>
        </w:rPr>
        <w:t>1</w:t>
      </w:r>
      <w:r>
        <w:rPr>
          <w:rFonts w:hint="eastAsia"/>
          <w:sz w:val="28"/>
        </w:rPr>
        <w:t>、</w:t>
      </w:r>
      <w:r>
        <w:rPr>
          <w:sz w:val="28"/>
        </w:rPr>
        <w:t>项目</w:t>
      </w:r>
      <w:r>
        <w:rPr>
          <w:rFonts w:hint="eastAsia"/>
          <w:sz w:val="28"/>
          <w:lang w:val="en-US" w:eastAsia="zh-CN"/>
        </w:rPr>
        <w:t>概况</w:t>
      </w:r>
      <w:bookmarkEnd w:id="1"/>
    </w:p>
    <w:p>
      <w:pPr>
        <w:widowControl/>
        <w:spacing w:line="360" w:lineRule="auto"/>
        <w:ind w:firstLine="480" w:firstLineChars="200"/>
        <w:rPr>
          <w:rFonts w:hint="eastAsia" w:ascii="宋体" w:hAnsi="宋体" w:cs="宋体"/>
          <w:sz w:val="24"/>
        </w:rPr>
      </w:pPr>
      <w:r>
        <w:rPr>
          <w:rFonts w:hint="eastAsia" w:ascii="宋体" w:hAnsi="宋体" w:cs="宋体"/>
          <w:sz w:val="24"/>
        </w:rPr>
        <w:t>上海市卫生健康委员会在疫情收尾阶段开展医疗服务与保障能力提升项目申报工作，我院作为承担疫情重点救治任务医院，针对加强发热门诊、电子病历、实验室能力、重症救治能力、院感防护物资配置和储备、人员培训演练等方面建设。批复项目聚焦提升疫情处置能力，构建完善的医防结合重症救治模式，建成集临床优质医疗服务、临床先进诊疗技术、符合国际标准的临床医疗质量管理和突发公共卫生事件紧急应对于一体的临床医学中心，以及应对新发突发传染病的高级专科培养基地。进一步优化学术梯队和人才队伍，提高专业队伍的学术能力和素质，提升新发突发传染病诊疗技术与救治研究能力，加强公共卫生应急救治能力储备。提升快速病原体识别和诊断，快速传报，消毒隔离，重症救治等新发突发传染病综合防治能力。</w:t>
      </w:r>
    </w:p>
    <w:p>
      <w:pPr>
        <w:widowControl/>
        <w:spacing w:line="360" w:lineRule="auto"/>
        <w:ind w:firstLine="480" w:firstLineChars="200"/>
        <w:rPr>
          <w:rFonts w:hint="eastAsia" w:ascii="宋体" w:hAnsi="宋体" w:cs="宋体"/>
          <w:sz w:val="24"/>
        </w:rPr>
      </w:pPr>
      <w:r>
        <w:rPr>
          <w:rFonts w:hint="eastAsia" w:ascii="宋体" w:hAnsi="宋体" w:cs="宋体"/>
          <w:sz w:val="24"/>
        </w:rPr>
        <w:t>本次项目主要围绕信息平台建设、加强发热门诊建设和加强院感防护物资配置和储备，进行相关专项的信息化建设。随着疫情得到控制，目前已进入常态化管理，原规划内容结合目前传染病防治需要和医院管理需要进行相应调整。针对医院高质量发展和信息化全面提升的需要，以及配合新楼开办新建系统与医院原有系统的互通需要。将专项建设的侧重点聚焦于新发突发传染病应急响应，数据利用，系统互联，业务闭环互通，完善医院信息底层支撑体系。</w:t>
      </w:r>
    </w:p>
    <w:p>
      <w:pPr>
        <w:widowControl/>
        <w:spacing w:line="360" w:lineRule="auto"/>
        <w:ind w:firstLine="480" w:firstLineChars="200"/>
        <w:rPr>
          <w:rFonts w:hint="eastAsia" w:ascii="宋体" w:hAnsi="宋体" w:cs="宋体"/>
          <w:sz w:val="24"/>
        </w:rPr>
      </w:pPr>
    </w:p>
    <w:p>
      <w:pPr>
        <w:widowControl/>
        <w:spacing w:line="360" w:lineRule="auto"/>
        <w:ind w:firstLine="480" w:firstLineChars="200"/>
        <w:rPr>
          <w:rFonts w:hint="eastAsia" w:ascii="宋体" w:hAnsi="宋体" w:cs="宋体"/>
          <w:sz w:val="24"/>
        </w:rPr>
      </w:pPr>
      <w:r>
        <w:rPr>
          <w:rFonts w:hint="eastAsia" w:ascii="宋体" w:hAnsi="宋体" w:cs="宋体"/>
          <w:sz w:val="24"/>
        </w:rPr>
        <w:t>建设期限：</w:t>
      </w:r>
      <w:bookmarkStart w:id="2" w:name="_Hlk154585274"/>
      <w:r>
        <w:rPr>
          <w:rFonts w:hint="eastAsia" w:ascii="宋体" w:hAnsi="宋体" w:cs="宋体"/>
          <w:sz w:val="24"/>
        </w:rPr>
        <w:t>自合同签订之日起至2024年12月31日</w:t>
      </w:r>
      <w:bookmarkEnd w:id="2"/>
      <w:r>
        <w:rPr>
          <w:rFonts w:hint="eastAsia" w:ascii="宋体" w:hAnsi="宋体" w:cs="宋体"/>
          <w:sz w:val="24"/>
        </w:rPr>
        <w:t>前完成项目建设并通过验收。</w:t>
      </w:r>
    </w:p>
    <w:p>
      <w:pPr>
        <w:widowControl/>
        <w:spacing w:line="360" w:lineRule="auto"/>
        <w:ind w:firstLine="480" w:firstLineChars="200"/>
        <w:rPr>
          <w:rFonts w:hint="eastAsia" w:ascii="宋体" w:hAnsi="宋体" w:cs="宋体"/>
          <w:sz w:val="24"/>
        </w:rPr>
      </w:pPr>
      <w:r>
        <w:rPr>
          <w:rFonts w:hint="eastAsia" w:ascii="宋体" w:hAnsi="宋体" w:cs="宋体"/>
          <w:sz w:val="24"/>
        </w:rPr>
        <w:t>建设地点：上海</w:t>
      </w:r>
    </w:p>
    <w:p>
      <w:pPr>
        <w:widowControl/>
        <w:spacing w:line="360" w:lineRule="auto"/>
        <w:ind w:firstLine="480" w:firstLineChars="200"/>
        <w:rPr>
          <w:rFonts w:hint="eastAsia" w:ascii="宋体" w:hAnsi="宋体" w:cs="宋体"/>
          <w:sz w:val="24"/>
        </w:rPr>
      </w:pPr>
      <w:r>
        <w:rPr>
          <w:rFonts w:hint="eastAsia" w:ascii="宋体" w:hAnsi="宋体" w:cs="宋体"/>
          <w:sz w:val="24"/>
        </w:rPr>
        <w:t>预算金额：</w:t>
      </w:r>
      <w:r>
        <w:rPr>
          <w:rFonts w:hint="eastAsia" w:ascii="宋体" w:hAnsi="宋体" w:cs="宋体"/>
          <w:sz w:val="24"/>
          <w:lang w:val="en-US" w:eastAsia="zh-CN"/>
        </w:rPr>
        <w:t>48675</w:t>
      </w:r>
      <w:r>
        <w:rPr>
          <w:rFonts w:hint="eastAsia" w:ascii="宋体" w:hAnsi="宋体" w:cs="宋体"/>
          <w:sz w:val="24"/>
        </w:rPr>
        <w:t>00元。其中：</w:t>
      </w:r>
    </w:p>
    <w:p>
      <w:pPr>
        <w:widowControl/>
        <w:spacing w:line="360" w:lineRule="auto"/>
        <w:ind w:firstLine="480" w:firstLineChars="200"/>
        <w:rPr>
          <w:rFonts w:hint="eastAsia" w:ascii="宋体" w:hAnsi="宋体" w:cs="宋体"/>
          <w:sz w:val="24"/>
        </w:rPr>
      </w:pPr>
      <w:r>
        <w:rPr>
          <w:rFonts w:hint="eastAsia" w:ascii="宋体" w:hAnsi="宋体" w:cs="宋体"/>
          <w:sz w:val="24"/>
        </w:rPr>
        <w:t>采购金额-应用软件（最高限价）：</w:t>
      </w:r>
      <w:r>
        <w:rPr>
          <w:rFonts w:hint="eastAsia" w:ascii="宋体" w:hAnsi="宋体" w:cs="宋体"/>
          <w:sz w:val="24"/>
          <w:lang w:val="en-US" w:eastAsia="zh-CN"/>
        </w:rPr>
        <w:t>4512500</w:t>
      </w:r>
      <w:r>
        <w:rPr>
          <w:rFonts w:hint="eastAsia" w:ascii="宋体" w:hAnsi="宋体" w:cs="宋体"/>
          <w:sz w:val="24"/>
        </w:rPr>
        <w:t>元；</w:t>
      </w:r>
    </w:p>
    <w:p>
      <w:pPr>
        <w:widowControl/>
        <w:spacing w:line="360" w:lineRule="auto"/>
        <w:ind w:firstLine="480" w:firstLineChars="200"/>
        <w:rPr>
          <w:rFonts w:hint="eastAsia" w:ascii="宋体" w:hAnsi="宋体" w:cs="宋体"/>
          <w:sz w:val="24"/>
        </w:rPr>
      </w:pPr>
      <w:r>
        <w:rPr>
          <w:rFonts w:hint="eastAsia" w:ascii="宋体" w:hAnsi="宋体" w:cs="宋体"/>
          <w:sz w:val="24"/>
        </w:rPr>
        <w:t>采购金额-</w:t>
      </w:r>
      <w:r>
        <w:rPr>
          <w:rFonts w:hint="eastAsia" w:ascii="宋体" w:hAnsi="宋体" w:cs="宋体"/>
          <w:sz w:val="24"/>
          <w:lang w:val="en-US" w:eastAsia="zh-CN"/>
        </w:rPr>
        <w:t>咨询（或方案设计）费</w:t>
      </w:r>
      <w:r>
        <w:rPr>
          <w:rFonts w:hint="eastAsia" w:ascii="宋体" w:hAnsi="宋体" w:cs="宋体"/>
          <w:sz w:val="24"/>
        </w:rPr>
        <w:t>：</w:t>
      </w:r>
      <w:r>
        <w:rPr>
          <w:rFonts w:hint="eastAsia" w:ascii="宋体" w:hAnsi="宋体" w:cs="宋体"/>
          <w:sz w:val="24"/>
          <w:lang w:val="en-US" w:eastAsia="zh-CN"/>
        </w:rPr>
        <w:t>90</w:t>
      </w:r>
      <w:r>
        <w:rPr>
          <w:rFonts w:hint="eastAsia" w:ascii="宋体" w:hAnsi="宋体" w:cs="宋体"/>
          <w:sz w:val="24"/>
        </w:rPr>
        <w:t>000元；</w:t>
      </w:r>
    </w:p>
    <w:p>
      <w:pPr>
        <w:widowControl/>
        <w:spacing w:line="360" w:lineRule="auto"/>
        <w:ind w:firstLine="480" w:firstLineChars="200"/>
        <w:rPr>
          <w:rFonts w:hint="eastAsia" w:ascii="宋体" w:hAnsi="宋体" w:eastAsia="宋体" w:cs="宋体"/>
          <w:sz w:val="24"/>
          <w:lang w:eastAsia="zh-CN"/>
        </w:rPr>
      </w:pPr>
      <w:r>
        <w:rPr>
          <w:rFonts w:hint="eastAsia" w:ascii="宋体" w:hAnsi="宋体" w:cs="宋体"/>
          <w:sz w:val="24"/>
        </w:rPr>
        <w:t>采购金额-</w:t>
      </w:r>
      <w:r>
        <w:rPr>
          <w:rFonts w:hint="eastAsia" w:ascii="宋体" w:hAnsi="宋体" w:cs="宋体"/>
          <w:sz w:val="24"/>
          <w:lang w:val="en-US" w:eastAsia="zh-CN"/>
        </w:rPr>
        <w:t>监理费</w:t>
      </w:r>
      <w:r>
        <w:rPr>
          <w:rFonts w:hint="eastAsia" w:ascii="宋体" w:hAnsi="宋体" w:cs="宋体"/>
          <w:sz w:val="24"/>
        </w:rPr>
        <w:t>：8</w:t>
      </w:r>
      <w:r>
        <w:rPr>
          <w:rFonts w:hint="eastAsia" w:ascii="宋体" w:hAnsi="宋体" w:cs="宋体"/>
          <w:sz w:val="24"/>
          <w:lang w:val="en-US" w:eastAsia="zh-CN"/>
        </w:rPr>
        <w:t>00</w:t>
      </w:r>
      <w:r>
        <w:rPr>
          <w:rFonts w:hint="eastAsia" w:ascii="宋体" w:hAnsi="宋体" w:cs="宋体"/>
          <w:sz w:val="24"/>
        </w:rPr>
        <w:t>00元</w:t>
      </w:r>
      <w:r>
        <w:rPr>
          <w:rFonts w:hint="eastAsia" w:ascii="宋体" w:hAnsi="宋体" w:cs="宋体"/>
          <w:sz w:val="24"/>
          <w:lang w:eastAsia="zh-CN"/>
        </w:rPr>
        <w:t>；</w:t>
      </w:r>
    </w:p>
    <w:p>
      <w:pPr>
        <w:widowControl/>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采购金额-软件测评费：65000元；</w:t>
      </w:r>
    </w:p>
    <w:p>
      <w:pPr>
        <w:widowControl/>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采购金额-安全测评费：60000元；</w:t>
      </w:r>
    </w:p>
    <w:p>
      <w:pPr>
        <w:widowControl/>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采购金额-密码测评费：60000元。</w:t>
      </w:r>
    </w:p>
    <w:p>
      <w:pPr>
        <w:widowControl/>
        <w:spacing w:line="360" w:lineRule="auto"/>
        <w:ind w:firstLine="482" w:firstLineChars="200"/>
        <w:rPr>
          <w:rFonts w:hint="default" w:ascii="宋体" w:hAnsi="宋体" w:cs="宋体"/>
          <w:b/>
          <w:bCs/>
          <w:sz w:val="24"/>
          <w:lang w:val="en-US" w:eastAsia="zh-CN"/>
        </w:rPr>
      </w:pPr>
      <w:r>
        <w:rPr>
          <w:rFonts w:hint="eastAsia" w:ascii="宋体" w:hAnsi="宋体" w:cs="宋体"/>
          <w:b/>
          <w:bCs/>
          <w:sz w:val="24"/>
          <w:lang w:val="en-US" w:eastAsia="zh-CN"/>
        </w:rPr>
        <w:t>注：咨询（或方案设计）费、监理费、软件测评费、安全测评费、密码测评费由招标人单独委托，由中标人代为支付。投标人须在投标报价中单独列出上述费用明细。</w:t>
      </w:r>
    </w:p>
    <w:p>
      <w:pPr>
        <w:widowControl/>
        <w:spacing w:line="360" w:lineRule="auto"/>
        <w:ind w:firstLine="480" w:firstLineChars="200"/>
        <w:rPr>
          <w:rFonts w:hint="eastAsia" w:ascii="宋体" w:hAnsi="宋体" w:cs="宋体"/>
          <w:sz w:val="24"/>
        </w:rPr>
      </w:pPr>
      <w:r>
        <w:rPr>
          <w:rFonts w:hint="eastAsia" w:ascii="宋体" w:hAnsi="宋体" w:cs="宋体"/>
          <w:sz w:val="24"/>
        </w:rPr>
        <w:t>组织形式：集中采购</w:t>
      </w:r>
    </w:p>
    <w:p>
      <w:pPr>
        <w:widowControl/>
        <w:spacing w:line="360" w:lineRule="auto"/>
        <w:ind w:firstLine="480" w:firstLineChars="200"/>
        <w:rPr>
          <w:rFonts w:hint="eastAsia" w:ascii="宋体" w:hAnsi="宋体" w:cs="宋体"/>
          <w:sz w:val="24"/>
        </w:rPr>
      </w:pPr>
      <w:r>
        <w:rPr>
          <w:rFonts w:hint="eastAsia" w:ascii="宋体" w:hAnsi="宋体" w:cs="宋体"/>
          <w:sz w:val="24"/>
        </w:rPr>
        <w:t>采购方式：公开招标</w:t>
      </w:r>
    </w:p>
    <w:p>
      <w:pPr>
        <w:widowControl/>
        <w:spacing w:line="360" w:lineRule="auto"/>
        <w:ind w:firstLine="480" w:firstLineChars="200"/>
        <w:rPr>
          <w:rFonts w:hint="eastAsia" w:ascii="宋体" w:hAnsi="宋体" w:cs="宋体"/>
          <w:sz w:val="24"/>
        </w:rPr>
      </w:pPr>
      <w:r>
        <w:rPr>
          <w:rFonts w:hint="eastAsia" w:ascii="宋体" w:hAnsi="宋体" w:cs="宋体"/>
          <w:sz w:val="24"/>
        </w:rPr>
        <w:t>是否接受联合体投标：否</w:t>
      </w:r>
    </w:p>
    <w:p>
      <w:pPr>
        <w:widowControl/>
        <w:spacing w:line="360" w:lineRule="auto"/>
        <w:ind w:firstLine="480" w:firstLineChars="200"/>
        <w:rPr>
          <w:rFonts w:hint="eastAsia" w:ascii="宋体" w:hAnsi="宋体" w:cs="宋体"/>
          <w:sz w:val="24"/>
        </w:rPr>
      </w:pPr>
      <w:r>
        <w:rPr>
          <w:rFonts w:hint="eastAsia" w:ascii="宋体" w:hAnsi="宋体" w:cs="宋体"/>
          <w:sz w:val="24"/>
        </w:rPr>
        <w:t>是否按信创要求建设：是</w:t>
      </w:r>
    </w:p>
    <w:p>
      <w:pPr>
        <w:pStyle w:val="4"/>
        <w:rPr>
          <w:rFonts w:hint="default" w:eastAsiaTheme="majorEastAsia"/>
          <w:sz w:val="28"/>
          <w:lang w:val="en-US" w:eastAsia="zh-CN"/>
        </w:rPr>
      </w:pPr>
      <w:bookmarkStart w:id="3" w:name="_Toc10800"/>
      <w:r>
        <w:rPr>
          <w:rFonts w:hint="eastAsia"/>
          <w:sz w:val="28"/>
          <w:lang w:val="en-US" w:eastAsia="zh-CN"/>
        </w:rPr>
        <w:t>2</w:t>
      </w:r>
      <w:r>
        <w:rPr>
          <w:rFonts w:hint="eastAsia"/>
          <w:sz w:val="28"/>
        </w:rPr>
        <w:t>、</w:t>
      </w:r>
      <w:r>
        <w:rPr>
          <w:sz w:val="28"/>
        </w:rPr>
        <w:t>项目</w:t>
      </w:r>
      <w:r>
        <w:rPr>
          <w:rFonts w:hint="eastAsia"/>
          <w:sz w:val="28"/>
          <w:lang w:val="en-US" w:eastAsia="zh-CN"/>
        </w:rPr>
        <w:t>建设目标及内容</w:t>
      </w:r>
      <w:bookmarkEnd w:id="3"/>
    </w:p>
    <w:p>
      <w:pPr>
        <w:widowControl/>
        <w:spacing w:line="360" w:lineRule="auto"/>
        <w:ind w:firstLine="480" w:firstLineChars="200"/>
        <w:rPr>
          <w:rFonts w:hint="eastAsia" w:ascii="宋体" w:hAnsi="宋体" w:cs="宋体"/>
          <w:sz w:val="24"/>
        </w:rPr>
      </w:pPr>
      <w:r>
        <w:rPr>
          <w:rFonts w:hint="eastAsia" w:ascii="宋体" w:hAnsi="宋体" w:cs="宋体"/>
          <w:sz w:val="24"/>
        </w:rPr>
        <w:t>聚焦提升疫情处置能力，构建完善的医防结合重症救治模式，建成集临床优质医疗服务、临床先进诊疗技术、符合国际标准的临床医疗质量管理和突发公共卫生事件紧急应对于一体的临床医学中心，以及应对新发突发传染病的高级专科培养基地。进一步优化学术梯队和人才队伍，提高专业队伍的学术能力和素质，提升新发突发传染病诊疗技术与救治研究能力，加强公共卫生应急救治能力储备，提升快速病原体识别和诊断，快速传报，消毒隔离，重症救治等能力。</w:t>
      </w:r>
    </w:p>
    <w:p>
      <w:pPr>
        <w:widowControl/>
        <w:spacing w:line="360" w:lineRule="auto"/>
        <w:ind w:firstLine="480" w:firstLineChars="200"/>
        <w:rPr>
          <w:rFonts w:hint="eastAsia" w:ascii="宋体" w:hAnsi="宋体" w:cs="宋体"/>
          <w:sz w:val="24"/>
        </w:rPr>
      </w:pPr>
      <w:r>
        <w:rPr>
          <w:rFonts w:hint="eastAsia" w:ascii="宋体" w:hAnsi="宋体" w:cs="宋体"/>
          <w:sz w:val="24"/>
        </w:rPr>
        <w:t>根据《关于开展2022年度医疗服务与保障能力提升项目（国家临床重点专科、承担疫情重点救治任务医院建设项目）的通知》护卫医[2023] 12号文件建设内容要求，加强发热门诊、医疗机构信息化、院感防控建设，通过信息平台建设提升医疗机构信息化水平，实现电子病历数据的高度集成、电子病历数据共享、提高电子病历数据质量、系统快速响应及电子病历数据的标准化规范化；有效整合发热门诊各系统的数据, 推动发热门诊各个环节工作的有序衔接、高效运转；实现医院感染的实时监测和预警，建立医院感染病例主动发现机制和管理流程，实现与医院现有临床系统的融合。</w:t>
      </w:r>
    </w:p>
    <w:p>
      <w:pPr>
        <w:pStyle w:val="4"/>
        <w:rPr>
          <w:rFonts w:hint="eastAsia"/>
          <w:sz w:val="28"/>
          <w:lang w:val="en-US" w:eastAsia="zh-CN"/>
        </w:rPr>
      </w:pPr>
      <w:bookmarkStart w:id="4" w:name="_Toc15217"/>
      <w:r>
        <w:rPr>
          <w:rFonts w:hint="eastAsia"/>
          <w:sz w:val="28"/>
          <w:lang w:val="en-US" w:eastAsia="zh-CN"/>
        </w:rPr>
        <w:t>3、主题内容和适用范围</w:t>
      </w:r>
      <w:bookmarkEnd w:id="4"/>
    </w:p>
    <w:p>
      <w:pPr>
        <w:pStyle w:val="13"/>
        <w:shd w:val="clear" w:color="auto" w:fill="FFFFFF"/>
        <w:spacing w:before="0" w:after="0" w:line="360" w:lineRule="auto"/>
        <w:ind w:left="482"/>
        <w:rPr>
          <w:rFonts w:hint="eastAsia"/>
          <w:b/>
        </w:rPr>
      </w:pPr>
      <w:r>
        <w:rPr>
          <w:rFonts w:hint="eastAsia"/>
          <w:b/>
          <w:lang w:val="en-US" w:eastAsia="zh-CN"/>
        </w:rPr>
        <w:t>3</w:t>
      </w:r>
      <w:r>
        <w:rPr>
          <w:b/>
        </w:rPr>
        <w:t>.1</w:t>
      </w:r>
      <w:r>
        <w:rPr>
          <w:rFonts w:hint="eastAsia"/>
          <w:b/>
        </w:rPr>
        <w:t>主题内容</w:t>
      </w:r>
    </w:p>
    <w:p>
      <w:pPr>
        <w:spacing w:line="360" w:lineRule="auto"/>
        <w:ind w:firstLine="480" w:firstLineChars="200"/>
        <w:rPr>
          <w:rFonts w:hint="eastAsia" w:ascii="宋体" w:hAnsi="宋体" w:cs="宋体"/>
          <w:sz w:val="24"/>
          <w:lang w:val="zh-TW"/>
        </w:rPr>
      </w:pPr>
      <w:r>
        <w:rPr>
          <w:rFonts w:hint="eastAsia" w:ascii="宋体" w:hAnsi="宋体" w:cs="宋体"/>
          <w:sz w:val="24"/>
          <w:lang w:val="zh-TW"/>
        </w:rPr>
        <w:t>本技术参数规定了上海市公共卫生临床中心新发突发传染病医防综合能力建设与提升建设项目的功能、性能和使用要求，以及供应商须提供的产品部署、系统调试、性能检验、验收配合、人员培训、技术资料提供及售后服务等方面的要求。</w:t>
      </w:r>
    </w:p>
    <w:p>
      <w:pPr>
        <w:spacing w:line="360" w:lineRule="auto"/>
        <w:ind w:firstLine="480" w:firstLineChars="200"/>
        <w:rPr>
          <w:rFonts w:hint="eastAsia" w:ascii="宋体" w:hAnsi="宋体" w:cs="宋体"/>
          <w:sz w:val="24"/>
          <w:lang w:val="zh-TW"/>
        </w:rPr>
      </w:pPr>
      <w:r>
        <w:rPr>
          <w:rFonts w:hint="eastAsia" w:ascii="宋体" w:hAnsi="宋体" w:cs="宋体"/>
          <w:sz w:val="24"/>
          <w:lang w:val="zh-CN"/>
        </w:rPr>
        <w:t>供应商应按照竞争性磋商文件的要求，提供本项目的材料、产品等的功能介绍及报价。成交供应商应负责产品部署、调试、通过采购人的验收、人员培训、售后服务等工作内容。</w:t>
      </w:r>
    </w:p>
    <w:p>
      <w:pPr>
        <w:pStyle w:val="13"/>
        <w:shd w:val="clear" w:color="auto" w:fill="FFFFFF"/>
        <w:spacing w:before="0" w:after="0" w:line="360" w:lineRule="auto"/>
        <w:ind w:left="482"/>
        <w:rPr>
          <w:rFonts w:hint="eastAsia"/>
          <w:b/>
        </w:rPr>
      </w:pPr>
      <w:r>
        <w:rPr>
          <w:rFonts w:hint="eastAsia"/>
          <w:b/>
          <w:lang w:val="en-US" w:eastAsia="zh-CN"/>
        </w:rPr>
        <w:t>3</w:t>
      </w:r>
      <w:r>
        <w:rPr>
          <w:b/>
        </w:rPr>
        <w:t>.2</w:t>
      </w:r>
      <w:r>
        <w:rPr>
          <w:rFonts w:hint="eastAsia"/>
          <w:b/>
        </w:rPr>
        <w:t>适用范围</w:t>
      </w:r>
    </w:p>
    <w:p>
      <w:pPr>
        <w:spacing w:line="360" w:lineRule="auto"/>
        <w:ind w:firstLine="480" w:firstLineChars="200"/>
        <w:rPr>
          <w:rFonts w:hint="eastAsia" w:ascii="宋体" w:hAnsi="宋体" w:cs="宋体"/>
          <w:sz w:val="24"/>
          <w:lang w:val="zh-TW"/>
        </w:rPr>
      </w:pPr>
      <w:r>
        <w:rPr>
          <w:rFonts w:hint="eastAsia" w:ascii="宋体" w:hAnsi="宋体" w:cs="宋体"/>
          <w:sz w:val="24"/>
          <w:lang w:val="zh-TW"/>
        </w:rPr>
        <w:t>本技术参数适用于上海市公共卫生临床中心新发突发传染病医防综合能力建设与提升建设项目的采购招标。</w:t>
      </w:r>
    </w:p>
    <w:p>
      <w:pPr>
        <w:widowControl/>
        <w:spacing w:line="360" w:lineRule="auto"/>
        <w:ind w:firstLine="480" w:firstLineChars="200"/>
        <w:rPr>
          <w:rFonts w:hint="eastAsia" w:ascii="宋体" w:hAnsi="宋体" w:cs="宋体"/>
          <w:sz w:val="24"/>
        </w:rPr>
      </w:pPr>
    </w:p>
    <w:p>
      <w:pPr>
        <w:pStyle w:val="3"/>
        <w:ind w:firstLine="0" w:firstLineChars="0"/>
      </w:pPr>
      <w:bookmarkStart w:id="5" w:name="_Toc9296"/>
      <w:r>
        <w:rPr>
          <w:rFonts w:hint="eastAsia"/>
          <w:sz w:val="32"/>
          <w:lang w:val="en-US" w:eastAsia="zh-CN"/>
        </w:rPr>
        <w:t>二</w:t>
      </w:r>
      <w:r>
        <w:rPr>
          <w:rFonts w:hint="eastAsia"/>
          <w:sz w:val="32"/>
        </w:rPr>
        <w:t>、</w:t>
      </w:r>
      <w:r>
        <w:rPr>
          <w:rFonts w:hint="eastAsia"/>
          <w:sz w:val="32"/>
          <w:lang w:val="en-US" w:eastAsia="zh-CN"/>
        </w:rPr>
        <w:t>项目建设需求</w:t>
      </w:r>
      <w:bookmarkEnd w:id="5"/>
    </w:p>
    <w:p>
      <w:pPr>
        <w:pStyle w:val="4"/>
        <w:rPr>
          <w:sz w:val="28"/>
        </w:rPr>
      </w:pPr>
      <w:bookmarkStart w:id="6" w:name="_Toc26494"/>
      <w:r>
        <w:rPr>
          <w:rFonts w:hint="eastAsia"/>
          <w:sz w:val="28"/>
          <w:lang w:val="en-US" w:eastAsia="zh-CN"/>
        </w:rPr>
        <w:t>1</w:t>
      </w:r>
      <w:r>
        <w:rPr>
          <w:rFonts w:hint="eastAsia"/>
          <w:sz w:val="28"/>
        </w:rPr>
        <w:t>、</w:t>
      </w:r>
      <w:r>
        <w:rPr>
          <w:rFonts w:hint="eastAsia"/>
          <w:sz w:val="28"/>
          <w:lang w:val="en-US" w:eastAsia="zh-CN"/>
        </w:rPr>
        <w:t>项目采购清单</w:t>
      </w:r>
      <w:bookmarkEnd w:id="6"/>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3182"/>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9" w:type="pct"/>
            <w:tcBorders>
              <w:top w:val="single" w:color="auto" w:sz="4" w:space="0"/>
              <w:left w:val="single" w:color="auto" w:sz="4" w:space="0"/>
              <w:right w:val="single" w:color="auto" w:sz="4" w:space="0"/>
            </w:tcBorders>
            <w:shd w:val="clear" w:color="auto" w:fill="A6A6A6"/>
            <w:vAlign w:val="center"/>
          </w:tcPr>
          <w:p>
            <w:pPr>
              <w:jc w:val="center"/>
              <w:rPr>
                <w:rFonts w:hint="eastAsia" w:ascii="宋体" w:hAnsi="宋体"/>
                <w:b/>
                <w:sz w:val="24"/>
              </w:rPr>
            </w:pPr>
            <w:r>
              <w:rPr>
                <w:rFonts w:hint="eastAsia" w:ascii="宋体" w:hAnsi="宋体"/>
                <w:b/>
                <w:sz w:val="24"/>
              </w:rPr>
              <w:t>序号</w:t>
            </w:r>
          </w:p>
        </w:tc>
        <w:tc>
          <w:tcPr>
            <w:tcW w:w="1866" w:type="pct"/>
            <w:tcBorders>
              <w:top w:val="single" w:color="auto" w:sz="4" w:space="0"/>
              <w:left w:val="single" w:color="auto" w:sz="4" w:space="0"/>
              <w:right w:val="single" w:color="auto" w:sz="4" w:space="0"/>
            </w:tcBorders>
            <w:shd w:val="clear" w:color="auto" w:fill="A6A6A6"/>
            <w:vAlign w:val="center"/>
          </w:tcPr>
          <w:p>
            <w:pPr>
              <w:jc w:val="center"/>
              <w:rPr>
                <w:rFonts w:hint="eastAsia" w:ascii="宋体" w:hAnsi="宋体"/>
                <w:b/>
                <w:sz w:val="24"/>
              </w:rPr>
            </w:pPr>
            <w:r>
              <w:rPr>
                <w:rFonts w:hint="eastAsia" w:ascii="宋体" w:hAnsi="宋体"/>
                <w:b/>
                <w:sz w:val="24"/>
              </w:rPr>
              <w:t>系统名称</w:t>
            </w:r>
          </w:p>
        </w:tc>
        <w:tc>
          <w:tcPr>
            <w:tcW w:w="2353" w:type="pct"/>
            <w:tcBorders>
              <w:top w:val="single" w:color="auto" w:sz="4" w:space="0"/>
              <w:left w:val="single" w:color="auto" w:sz="4" w:space="0"/>
              <w:right w:val="single" w:color="auto" w:sz="4" w:space="0"/>
            </w:tcBorders>
            <w:shd w:val="clear" w:color="auto" w:fill="A6A6A6"/>
            <w:vAlign w:val="center"/>
          </w:tcPr>
          <w:p>
            <w:pPr>
              <w:jc w:val="center"/>
              <w:rPr>
                <w:rFonts w:hint="eastAsia" w:ascii="宋体" w:hAnsi="宋体"/>
                <w:b/>
                <w:sz w:val="24"/>
              </w:rPr>
            </w:pPr>
            <w:r>
              <w:rPr>
                <w:rFonts w:hint="eastAsia" w:ascii="宋体" w:hAnsi="宋体"/>
                <w:b/>
                <w:sz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9" w:type="pct"/>
            <w:tcBorders>
              <w:top w:val="single" w:color="auto" w:sz="4" w:space="0"/>
              <w:left w:val="single" w:color="auto" w:sz="4" w:space="0"/>
              <w:right w:val="single" w:color="auto" w:sz="4" w:space="0"/>
            </w:tcBorders>
            <w:shd w:val="clear" w:color="auto" w:fill="DADADA" w:themeFill="accent3" w:themeFillTint="66"/>
            <w:vAlign w:val="center"/>
          </w:tcPr>
          <w:p>
            <w:pPr>
              <w:jc w:val="center"/>
              <w:rPr>
                <w:rFonts w:hint="eastAsia" w:ascii="宋体" w:hAnsi="宋体" w:eastAsia="宋体"/>
                <w:b/>
                <w:sz w:val="24"/>
                <w:lang w:val="en-US" w:eastAsia="zh-CN"/>
              </w:rPr>
            </w:pPr>
            <w:bookmarkStart w:id="7" w:name="_Hlk176196977"/>
            <w:r>
              <w:rPr>
                <w:rFonts w:hint="eastAsia" w:ascii="宋体" w:hAnsi="宋体"/>
                <w:b/>
                <w:sz w:val="24"/>
                <w:lang w:val="en-US" w:eastAsia="zh-CN"/>
              </w:rPr>
              <w:t>一</w:t>
            </w:r>
          </w:p>
        </w:tc>
        <w:tc>
          <w:tcPr>
            <w:tcW w:w="1866" w:type="pct"/>
            <w:tcBorders>
              <w:top w:val="single" w:color="auto" w:sz="4" w:space="0"/>
              <w:left w:val="single" w:color="auto" w:sz="4" w:space="0"/>
              <w:right w:val="single" w:color="auto" w:sz="4" w:space="0"/>
            </w:tcBorders>
            <w:shd w:val="clear" w:color="auto" w:fill="DADADA" w:themeFill="accent3" w:themeFillTint="66"/>
            <w:vAlign w:val="center"/>
          </w:tcPr>
          <w:p>
            <w:pPr>
              <w:jc w:val="center"/>
              <w:rPr>
                <w:rFonts w:hint="default" w:ascii="宋体" w:hAnsi="宋体" w:eastAsia="宋体"/>
                <w:b/>
                <w:sz w:val="24"/>
                <w:lang w:val="en-US" w:eastAsia="zh-CN"/>
              </w:rPr>
            </w:pPr>
            <w:r>
              <w:rPr>
                <w:rFonts w:hint="eastAsia" w:ascii="宋体" w:hAnsi="宋体"/>
                <w:b/>
                <w:sz w:val="24"/>
                <w:lang w:val="en-US" w:eastAsia="zh-CN"/>
              </w:rPr>
              <w:t>软件开发</w:t>
            </w:r>
          </w:p>
        </w:tc>
        <w:tc>
          <w:tcPr>
            <w:tcW w:w="2353" w:type="pct"/>
            <w:tcBorders>
              <w:top w:val="single" w:color="auto" w:sz="4" w:space="0"/>
              <w:left w:val="single" w:color="auto" w:sz="4" w:space="0"/>
              <w:right w:val="single" w:color="auto" w:sz="4" w:space="0"/>
            </w:tcBorders>
            <w:shd w:val="clear" w:color="auto" w:fill="DADADA" w:themeFill="accent3" w:themeFillTint="66"/>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协作工作平台</w:t>
            </w:r>
          </w:p>
        </w:tc>
        <w:tc>
          <w:tcPr>
            <w:tcW w:w="2353" w:type="pct"/>
            <w:vMerge w:val="restart"/>
            <w:tcBorders>
              <w:top w:val="single" w:color="auto" w:sz="4" w:space="0"/>
              <w:left w:val="single" w:color="auto" w:sz="4" w:space="0"/>
              <w:right w:val="single" w:color="auto" w:sz="4" w:space="0"/>
            </w:tcBorders>
            <w:vAlign w:val="center"/>
          </w:tcPr>
          <w:p>
            <w:pPr>
              <w:pStyle w:val="2"/>
              <w:spacing w:after="0"/>
              <w:rPr>
                <w:rFonts w:hint="eastAsia" w:ascii="宋体" w:hAnsi="宋体"/>
                <w:sz w:val="24"/>
              </w:rPr>
            </w:pPr>
            <w:r>
              <w:rPr>
                <w:rFonts w:hint="eastAsia" w:ascii="宋体" w:hAnsi="宋体"/>
                <w:sz w:val="24"/>
              </w:rPr>
              <w:t>系统上线后提供一年免费运维期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2</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权限控制中心</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3</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元数据管理</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4</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主索引管理</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5</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医疗业务服务总线升级</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6</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互联互通标准化提升</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7</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临床数据同步中枢</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8</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一体化临床数据中心</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9</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全息患者视图</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10</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指挥决策驾驶舱</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11</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效能分析</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12</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协同救治数据查询系统</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13</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发热门诊精细化管理</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14</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医院感染信息系统升级</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15</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院感智能视频监控系统</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16</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设备耗材监管系统升级</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17</w:t>
            </w:r>
          </w:p>
        </w:tc>
        <w:tc>
          <w:tcPr>
            <w:tcW w:w="1866"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医废追溯系统升级</w:t>
            </w:r>
          </w:p>
        </w:tc>
        <w:tc>
          <w:tcPr>
            <w:tcW w:w="2353" w:type="pct"/>
            <w:vMerge w:val="continue"/>
            <w:tcBorders>
              <w:left w:val="single" w:color="auto" w:sz="4" w:space="0"/>
              <w:right w:val="single" w:color="auto" w:sz="4" w:space="0"/>
            </w:tcBorders>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pPr>
              <w:jc w:val="center"/>
              <w:rPr>
                <w:rFonts w:hint="eastAsia" w:ascii="宋体" w:hAnsi="宋体" w:eastAsia="宋体"/>
                <w:b/>
                <w:bCs/>
                <w:sz w:val="24"/>
                <w:lang w:val="en-US" w:eastAsia="zh-CN"/>
              </w:rPr>
            </w:pPr>
            <w:r>
              <w:rPr>
                <w:rFonts w:hint="eastAsia" w:ascii="宋体" w:hAnsi="宋体"/>
                <w:b/>
                <w:bCs/>
                <w:sz w:val="24"/>
                <w:lang w:val="en-US" w:eastAsia="zh-CN"/>
              </w:rPr>
              <w:t>二</w:t>
            </w:r>
          </w:p>
        </w:tc>
        <w:tc>
          <w:tcPr>
            <w:tcW w:w="1866" w:type="pct"/>
            <w:tcBorders>
              <w:top w:val="single" w:color="auto" w:sz="4" w:space="0"/>
              <w:left w:val="single" w:color="auto" w:sz="4" w:space="0"/>
              <w:bottom w:val="single" w:color="auto" w:sz="4" w:space="0"/>
              <w:right w:val="single" w:color="auto" w:sz="4" w:space="0"/>
            </w:tcBorders>
            <w:shd w:val="clear" w:color="auto" w:fill="DADADA" w:themeFill="accent3" w:themeFillTint="66"/>
          </w:tcPr>
          <w:p>
            <w:pPr>
              <w:jc w:val="center"/>
              <w:rPr>
                <w:rFonts w:hint="default" w:ascii="宋体" w:hAnsi="宋体" w:eastAsia="宋体"/>
                <w:b/>
                <w:bCs/>
                <w:sz w:val="24"/>
                <w:lang w:val="en-US" w:eastAsia="zh-CN"/>
              </w:rPr>
            </w:pPr>
            <w:r>
              <w:rPr>
                <w:rFonts w:hint="eastAsia" w:ascii="宋体" w:hAnsi="宋体"/>
                <w:b/>
                <w:bCs/>
                <w:sz w:val="24"/>
                <w:lang w:val="en-US" w:eastAsia="zh-CN"/>
              </w:rPr>
              <w:t>其他费用</w:t>
            </w:r>
          </w:p>
        </w:tc>
        <w:tc>
          <w:tcPr>
            <w:tcW w:w="2353" w:type="pct"/>
            <w:tcBorders>
              <w:left w:val="single" w:color="auto" w:sz="4" w:space="0"/>
              <w:right w:val="single" w:color="auto" w:sz="4" w:space="0"/>
            </w:tcBorders>
            <w:shd w:val="clear" w:color="auto" w:fill="DADADA" w:themeFill="accent3" w:themeFillTint="66"/>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sz w:val="24"/>
                <w:lang w:val="en-US" w:eastAsia="zh-CN"/>
              </w:rPr>
            </w:pPr>
            <w:r>
              <w:rPr>
                <w:rFonts w:hint="eastAsia" w:ascii="宋体" w:hAnsi="宋体"/>
                <w:sz w:val="24"/>
                <w:lang w:val="en-US" w:eastAsia="zh-CN"/>
              </w:rPr>
              <w:t>1</w:t>
            </w:r>
          </w:p>
        </w:tc>
        <w:tc>
          <w:tcPr>
            <w:tcW w:w="1866" w:type="pct"/>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default" w:ascii="宋体" w:hAnsi="宋体"/>
                <w:sz w:val="24"/>
                <w:lang w:val="en-US" w:eastAsia="zh-CN"/>
              </w:rPr>
            </w:pPr>
            <w:r>
              <w:rPr>
                <w:rFonts w:hint="eastAsia" w:ascii="宋体" w:hAnsi="宋体"/>
                <w:sz w:val="24"/>
                <w:lang w:val="en-US" w:eastAsia="zh-CN"/>
              </w:rPr>
              <w:t>咨询（或方案设计）</w:t>
            </w:r>
          </w:p>
        </w:tc>
        <w:tc>
          <w:tcPr>
            <w:tcW w:w="2353" w:type="pct"/>
            <w:vMerge w:val="restart"/>
            <w:tcBorders>
              <w:left w:val="single" w:color="auto" w:sz="4" w:space="0"/>
              <w:right w:val="single" w:color="auto" w:sz="4" w:space="0"/>
            </w:tcBorders>
            <w:shd w:val="clear" w:color="auto" w:fill="FFFFFF" w:themeFill="background1"/>
            <w:vAlign w:val="center"/>
          </w:tcPr>
          <w:p>
            <w:pPr>
              <w:pStyle w:val="2"/>
              <w:spacing w:after="0"/>
              <w:rPr>
                <w:rFonts w:hint="eastAsia" w:ascii="宋体" w:hAnsi="宋体"/>
                <w:sz w:val="24"/>
              </w:rPr>
            </w:pPr>
            <w:r>
              <w:rPr>
                <w:rFonts w:hint="eastAsia" w:ascii="宋体" w:hAnsi="宋体" w:cs="宋体"/>
                <w:b/>
                <w:bCs/>
                <w:sz w:val="24"/>
                <w:lang w:val="en-US" w:eastAsia="zh-CN"/>
              </w:rPr>
              <w:t>由招标人单独委托，由中标人代为支付。投标人须在投标报价中单独列出上述费用明细。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sz w:val="24"/>
                <w:lang w:val="en-US" w:eastAsia="zh-CN"/>
              </w:rPr>
            </w:pPr>
            <w:r>
              <w:rPr>
                <w:rFonts w:hint="eastAsia" w:ascii="宋体" w:hAnsi="宋体"/>
                <w:sz w:val="24"/>
                <w:lang w:val="en-US" w:eastAsia="zh-CN"/>
              </w:rPr>
              <w:t>2</w:t>
            </w:r>
          </w:p>
        </w:tc>
        <w:tc>
          <w:tcPr>
            <w:tcW w:w="1866" w:type="pct"/>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default" w:ascii="宋体" w:hAnsi="宋体"/>
                <w:sz w:val="24"/>
                <w:lang w:val="en-US" w:eastAsia="zh-CN"/>
              </w:rPr>
            </w:pPr>
            <w:r>
              <w:rPr>
                <w:rFonts w:hint="eastAsia" w:ascii="宋体" w:hAnsi="宋体"/>
                <w:sz w:val="24"/>
                <w:lang w:val="en-US" w:eastAsia="zh-CN"/>
              </w:rPr>
              <w:t>监理费</w:t>
            </w:r>
          </w:p>
        </w:tc>
        <w:tc>
          <w:tcPr>
            <w:tcW w:w="2353" w:type="pct"/>
            <w:vMerge w:val="continue"/>
            <w:tcBorders>
              <w:left w:val="single" w:color="auto" w:sz="4" w:space="0"/>
              <w:right w:val="single" w:color="auto" w:sz="4" w:space="0"/>
            </w:tcBorders>
            <w:shd w:val="clear" w:color="auto" w:fill="FFFFFF" w:themeFill="background1"/>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sz w:val="24"/>
                <w:lang w:val="en-US" w:eastAsia="zh-CN"/>
              </w:rPr>
            </w:pPr>
            <w:r>
              <w:rPr>
                <w:rFonts w:hint="eastAsia" w:ascii="宋体" w:hAnsi="宋体"/>
                <w:sz w:val="24"/>
                <w:lang w:val="en-US" w:eastAsia="zh-CN"/>
              </w:rPr>
              <w:t>3</w:t>
            </w:r>
          </w:p>
        </w:tc>
        <w:tc>
          <w:tcPr>
            <w:tcW w:w="1866" w:type="pct"/>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default" w:ascii="宋体" w:hAnsi="宋体"/>
                <w:sz w:val="24"/>
                <w:lang w:val="en-US" w:eastAsia="zh-CN"/>
              </w:rPr>
            </w:pPr>
            <w:r>
              <w:rPr>
                <w:rFonts w:hint="eastAsia" w:ascii="宋体" w:hAnsi="宋体"/>
                <w:sz w:val="24"/>
                <w:lang w:val="en-US" w:eastAsia="zh-CN"/>
              </w:rPr>
              <w:t>软件测评费</w:t>
            </w:r>
          </w:p>
        </w:tc>
        <w:tc>
          <w:tcPr>
            <w:tcW w:w="2353" w:type="pct"/>
            <w:vMerge w:val="continue"/>
            <w:tcBorders>
              <w:left w:val="single" w:color="auto" w:sz="4" w:space="0"/>
              <w:right w:val="single" w:color="auto" w:sz="4" w:space="0"/>
            </w:tcBorders>
            <w:shd w:val="clear" w:color="auto" w:fill="DADADA" w:themeFill="accent3" w:themeFillTint="66"/>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sz w:val="24"/>
                <w:lang w:val="en-US" w:eastAsia="zh-CN"/>
              </w:rPr>
            </w:pPr>
            <w:r>
              <w:rPr>
                <w:rFonts w:hint="eastAsia" w:ascii="宋体" w:hAnsi="宋体"/>
                <w:sz w:val="24"/>
                <w:lang w:val="en-US" w:eastAsia="zh-CN"/>
              </w:rPr>
              <w:t>4</w:t>
            </w:r>
          </w:p>
        </w:tc>
        <w:tc>
          <w:tcPr>
            <w:tcW w:w="1866" w:type="pct"/>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default" w:ascii="宋体" w:hAnsi="宋体"/>
                <w:sz w:val="24"/>
                <w:lang w:val="en-US" w:eastAsia="zh-CN"/>
              </w:rPr>
            </w:pPr>
            <w:r>
              <w:rPr>
                <w:rFonts w:hint="eastAsia" w:ascii="宋体" w:hAnsi="宋体"/>
                <w:sz w:val="24"/>
                <w:lang w:val="en-US" w:eastAsia="zh-CN"/>
              </w:rPr>
              <w:t>安全测评费</w:t>
            </w:r>
          </w:p>
        </w:tc>
        <w:tc>
          <w:tcPr>
            <w:tcW w:w="2353" w:type="pct"/>
            <w:vMerge w:val="continue"/>
            <w:tcBorders>
              <w:left w:val="single" w:color="auto" w:sz="4" w:space="0"/>
              <w:right w:val="single" w:color="auto" w:sz="4" w:space="0"/>
            </w:tcBorders>
            <w:shd w:val="clear" w:color="auto" w:fill="DADADA" w:themeFill="accent3" w:themeFillTint="66"/>
            <w:vAlign w:val="center"/>
          </w:tcPr>
          <w:p>
            <w:pPr>
              <w:pStyle w:val="2"/>
              <w:spacing w:after="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sz w:val="24"/>
                <w:lang w:val="en-US" w:eastAsia="zh-CN"/>
              </w:rPr>
            </w:pPr>
            <w:r>
              <w:rPr>
                <w:rFonts w:hint="eastAsia" w:ascii="宋体" w:hAnsi="宋体"/>
                <w:sz w:val="24"/>
                <w:lang w:val="en-US" w:eastAsia="zh-CN"/>
              </w:rPr>
              <w:t>5</w:t>
            </w:r>
          </w:p>
        </w:tc>
        <w:tc>
          <w:tcPr>
            <w:tcW w:w="1866" w:type="pct"/>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default" w:ascii="宋体" w:hAnsi="宋体"/>
                <w:sz w:val="24"/>
                <w:lang w:val="en-US" w:eastAsia="zh-CN"/>
              </w:rPr>
            </w:pPr>
            <w:r>
              <w:rPr>
                <w:rFonts w:hint="eastAsia" w:ascii="宋体" w:hAnsi="宋体"/>
                <w:sz w:val="24"/>
                <w:lang w:val="en-US" w:eastAsia="zh-CN"/>
              </w:rPr>
              <w:t>密码测评费</w:t>
            </w:r>
          </w:p>
        </w:tc>
        <w:tc>
          <w:tcPr>
            <w:tcW w:w="2353" w:type="pct"/>
            <w:vMerge w:val="continue"/>
            <w:tcBorders>
              <w:left w:val="single" w:color="auto" w:sz="4" w:space="0"/>
              <w:right w:val="single" w:color="auto" w:sz="4" w:space="0"/>
            </w:tcBorders>
            <w:shd w:val="clear" w:color="auto" w:fill="DADADA" w:themeFill="accent3" w:themeFillTint="66"/>
            <w:vAlign w:val="center"/>
          </w:tcPr>
          <w:p>
            <w:pPr>
              <w:pStyle w:val="2"/>
              <w:spacing w:after="0"/>
              <w:rPr>
                <w:rFonts w:hint="eastAsia" w:ascii="宋体" w:hAnsi="宋体"/>
                <w:sz w:val="24"/>
              </w:rPr>
            </w:pPr>
          </w:p>
        </w:tc>
      </w:tr>
      <w:bookmarkEnd w:id="7"/>
    </w:tbl>
    <w:p>
      <w:pPr>
        <w:pStyle w:val="4"/>
        <w:rPr>
          <w:sz w:val="28"/>
        </w:rPr>
      </w:pPr>
      <w:bookmarkStart w:id="8" w:name="_Toc27008"/>
      <w:r>
        <w:rPr>
          <w:rFonts w:hint="eastAsia"/>
          <w:sz w:val="28"/>
          <w:lang w:val="en-US" w:eastAsia="zh-CN"/>
        </w:rPr>
        <w:t>2</w:t>
      </w:r>
      <w:r>
        <w:rPr>
          <w:sz w:val="28"/>
        </w:rPr>
        <w:t>、</w:t>
      </w:r>
      <w:r>
        <w:rPr>
          <w:rFonts w:hint="eastAsia"/>
          <w:sz w:val="28"/>
        </w:rPr>
        <w:t>总体要求</w:t>
      </w:r>
      <w:bookmarkEnd w:id="8"/>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1）以《技术偏离表》形式明确在提交的配置方案（总价范围内）中是否达标，如果缺失相关信息，视为不达标。</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2）提供投标方案、资质证书、投标产品管理界面截图以及其他必要材料的复印件，作为技术达标的证明材料，原件备查。如果技术偏离表中的响应指标与提供的技术证明材料不一致，以技术证明材料为准。</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3）所有产品提供系统部署调试，培训服务以及信息安全整改相关服务。</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4）供应商需要协调原厂商技术人员，以满足上海市公共卫生临床中心的相关规范。</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5</w:t>
      </w:r>
      <w:r>
        <w:rPr>
          <w:rFonts w:ascii="宋体" w:hAnsi="宋体" w:cs="宋体"/>
          <w:sz w:val="24"/>
          <w:shd w:val="clear" w:color="auto" w:fill="FFFFFF"/>
          <w:lang w:val="zh-TW"/>
        </w:rPr>
        <w:t>）充分考虑系统现在的需求和将来的发展，技术上要体现实用性、成熟性和先进性。同时，产品的选择要充分考虑到系统的可扩充性和与原有设备的兼容性。</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6）系统应满足《电子病历系统应用水平分级评价标准》五级要求、《</w:t>
      </w:r>
      <w:r>
        <w:rPr>
          <w:rFonts w:ascii="宋体" w:hAnsi="宋体" w:cs="宋体"/>
          <w:sz w:val="24"/>
          <w:shd w:val="clear" w:color="auto" w:fill="FFFFFF"/>
          <w:lang w:val="zh-TW"/>
        </w:rPr>
        <w:t>互联互通标准化成熟度测评</w:t>
      </w:r>
      <w:r>
        <w:rPr>
          <w:rFonts w:hint="eastAsia" w:ascii="宋体" w:hAnsi="宋体" w:cs="宋体"/>
          <w:sz w:val="24"/>
          <w:shd w:val="clear" w:color="auto" w:fill="FFFFFF"/>
          <w:lang w:val="zh-TW"/>
        </w:rPr>
        <w:t>》五级乙等要求。</w:t>
      </w:r>
    </w:p>
    <w:p>
      <w:pPr>
        <w:pStyle w:val="4"/>
        <w:rPr>
          <w:rFonts w:hint="default"/>
          <w:sz w:val="28"/>
          <w:lang w:val="en-US"/>
        </w:rPr>
      </w:pPr>
      <w:bookmarkStart w:id="9" w:name="_Toc29194"/>
      <w:r>
        <w:rPr>
          <w:rFonts w:hint="eastAsia"/>
          <w:sz w:val="28"/>
          <w:lang w:val="en-US" w:eastAsia="zh-CN"/>
        </w:rPr>
        <w:t>3</w:t>
      </w:r>
      <w:r>
        <w:rPr>
          <w:rFonts w:hint="eastAsia"/>
          <w:sz w:val="28"/>
        </w:rPr>
        <w:t>、</w:t>
      </w:r>
      <w:r>
        <w:rPr>
          <w:rFonts w:hint="eastAsia"/>
          <w:sz w:val="28"/>
          <w:lang w:val="en-US" w:eastAsia="zh-CN"/>
        </w:rPr>
        <w:t>应用软件技术需求</w:t>
      </w:r>
      <w:bookmarkEnd w:id="9"/>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12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hint="eastAsia" w:ascii="宋体" w:hAnsi="宋体"/>
                <w:sz w:val="24"/>
              </w:rPr>
            </w:pPr>
            <w:r>
              <w:rPr>
                <w:rFonts w:hint="eastAsia" w:ascii="宋体" w:hAnsi="宋体"/>
                <w:sz w:val="24"/>
              </w:rPr>
              <w:t>建设内容</w:t>
            </w:r>
          </w:p>
        </w:tc>
        <w:tc>
          <w:tcPr>
            <w:tcW w:w="2126" w:type="dxa"/>
          </w:tcPr>
          <w:p>
            <w:pPr>
              <w:rPr>
                <w:rFonts w:hint="eastAsia" w:ascii="宋体" w:hAnsi="宋体"/>
                <w:sz w:val="24"/>
              </w:rPr>
            </w:pPr>
            <w:r>
              <w:rPr>
                <w:rFonts w:hint="eastAsia" w:ascii="宋体" w:hAnsi="宋体"/>
                <w:sz w:val="24"/>
              </w:rPr>
              <w:t>功能模块</w:t>
            </w:r>
          </w:p>
        </w:tc>
        <w:tc>
          <w:tcPr>
            <w:tcW w:w="5182" w:type="dxa"/>
          </w:tcPr>
          <w:p>
            <w:pPr>
              <w:rPr>
                <w:rFonts w:hint="eastAsia" w:ascii="宋体" w:hAnsi="宋体"/>
                <w:sz w:val="24"/>
              </w:rPr>
            </w:pPr>
            <w:r>
              <w:rPr>
                <w:rFonts w:hint="eastAsia" w:ascii="宋体" w:hAnsi="宋体"/>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tcPr>
          <w:p>
            <w:pPr>
              <w:rPr>
                <w:rFonts w:hint="eastAsia" w:ascii="宋体" w:hAnsi="宋体"/>
                <w:sz w:val="24"/>
              </w:rPr>
            </w:pPr>
            <w:bookmarkStart w:id="10" w:name="_Hlk176197047"/>
            <w:r>
              <w:rPr>
                <w:rFonts w:hint="eastAsia" w:ascii="宋体" w:hAnsi="宋体"/>
                <w:sz w:val="24"/>
              </w:rPr>
              <w:t>电子病历业务数据交互体系优化</w:t>
            </w:r>
            <w:bookmarkEnd w:id="10"/>
          </w:p>
        </w:tc>
        <w:tc>
          <w:tcPr>
            <w:tcW w:w="2126" w:type="dxa"/>
          </w:tcPr>
          <w:p>
            <w:pPr>
              <w:rPr>
                <w:rFonts w:hint="eastAsia" w:ascii="宋体" w:hAnsi="宋体"/>
                <w:sz w:val="24"/>
              </w:rPr>
            </w:pPr>
            <w:r>
              <w:rPr>
                <w:rFonts w:hint="eastAsia" w:ascii="宋体" w:hAnsi="宋体"/>
                <w:sz w:val="24"/>
              </w:rPr>
              <w:t>协作工作平台</w:t>
            </w:r>
          </w:p>
        </w:tc>
        <w:tc>
          <w:tcPr>
            <w:tcW w:w="5182" w:type="dxa"/>
          </w:tcPr>
          <w:p>
            <w:pPr>
              <w:rPr>
                <w:rFonts w:hint="eastAsia" w:ascii="宋体" w:hAnsi="宋体"/>
                <w:sz w:val="24"/>
              </w:rPr>
            </w:pPr>
            <w:r>
              <w:rPr>
                <w:rFonts w:hint="eastAsia" w:ascii="宋体" w:hAnsi="宋体"/>
                <w:sz w:val="24"/>
              </w:rPr>
              <w:t>1）将医院相关系统都整合到统一的工作平台中，用户可以通过协作工作平台，查看平时重要的通知、日程、管理、报表等信息。</w:t>
            </w:r>
          </w:p>
          <w:p>
            <w:pPr>
              <w:rPr>
                <w:rFonts w:hint="eastAsia" w:ascii="宋体" w:hAnsi="宋体"/>
                <w:sz w:val="24"/>
              </w:rPr>
            </w:pPr>
            <w:r>
              <w:rPr>
                <w:rFonts w:hint="eastAsia" w:ascii="宋体" w:hAnsi="宋体"/>
                <w:sz w:val="24"/>
              </w:rPr>
              <w:t>2）同时可以无须再次输入用户名密码，直接登陆其他业务系统。</w:t>
            </w:r>
          </w:p>
          <w:p>
            <w:pPr>
              <w:rPr>
                <w:rFonts w:hint="eastAsia" w:ascii="宋体" w:hAnsi="宋体"/>
                <w:sz w:val="24"/>
              </w:rPr>
            </w:pPr>
            <w:r>
              <w:rPr>
                <w:rFonts w:hint="eastAsia" w:ascii="宋体" w:hAnsi="宋体"/>
                <w:sz w:val="24"/>
              </w:rPr>
              <w:t>3）协作工作平台针对每个角色的不同，为领导、医生、护士等不同角色定制不同的门户模版，使用户在门户中可以查看自己角色最关心的信息。</w:t>
            </w:r>
          </w:p>
          <w:p>
            <w:pPr>
              <w:rPr>
                <w:rFonts w:hint="eastAsia" w:ascii="宋体" w:hAnsi="宋体"/>
                <w:sz w:val="24"/>
              </w:rPr>
            </w:pPr>
            <w:r>
              <w:rPr>
                <w:rFonts w:hint="eastAsia" w:ascii="宋体" w:hAnsi="宋体"/>
                <w:sz w:val="24"/>
              </w:rPr>
              <w:t>4）用户可以根据自己的需求，对门户中的模块进行自定义。</w:t>
            </w:r>
          </w:p>
          <w:p>
            <w:pPr>
              <w:rPr>
                <w:rFonts w:hint="eastAsia" w:ascii="宋体" w:hAnsi="宋体"/>
                <w:sz w:val="24"/>
              </w:rPr>
            </w:pPr>
            <w:r>
              <w:rPr>
                <w:rFonts w:hint="eastAsia" w:ascii="宋体" w:hAnsi="宋体"/>
                <w:sz w:val="24"/>
              </w:rPr>
              <w:t>5）如果一个用户拥有多个角色（不如即是领导，又是医生），他也可以在多个角色中进行切换，使其能更好的进行日常工作。</w:t>
            </w:r>
          </w:p>
          <w:p>
            <w:pPr>
              <w:rPr>
                <w:rFonts w:hint="eastAsia" w:ascii="宋体" w:hAnsi="宋体"/>
                <w:sz w:val="24"/>
              </w:rPr>
            </w:pPr>
            <w:r>
              <w:rPr>
                <w:rFonts w:hint="eastAsia" w:ascii="宋体" w:hAnsi="宋体"/>
                <w:sz w:val="24"/>
              </w:rPr>
              <w:t>6）通过自动化部署发布脚本，可以自动发布并更新应用程序。</w:t>
            </w:r>
          </w:p>
          <w:p>
            <w:pPr>
              <w:rPr>
                <w:rFonts w:hint="eastAsia" w:ascii="宋体" w:hAnsi="宋体"/>
                <w:sz w:val="24"/>
              </w:rPr>
            </w:pPr>
            <w:r>
              <w:rPr>
                <w:rFonts w:hint="eastAsia" w:ascii="宋体" w:hAnsi="宋体"/>
                <w:sz w:val="24"/>
              </w:rPr>
              <w:t>7）提供应用系统接入规范，包括认证、消息和界面集成方案。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权限控制中心</w:t>
            </w:r>
          </w:p>
        </w:tc>
        <w:tc>
          <w:tcPr>
            <w:tcW w:w="5182" w:type="dxa"/>
          </w:tcPr>
          <w:p>
            <w:pPr>
              <w:rPr>
                <w:rFonts w:hint="eastAsia" w:ascii="宋体" w:hAnsi="宋体"/>
                <w:sz w:val="24"/>
              </w:rPr>
            </w:pPr>
            <w:r>
              <w:rPr>
                <w:rFonts w:hint="eastAsia" w:ascii="宋体" w:hAnsi="宋体"/>
                <w:sz w:val="24"/>
              </w:rPr>
              <w:t>1）权限控制中心为全院各应用系统提供统一用户管理、统一认证管理和统一授权管理。</w:t>
            </w:r>
          </w:p>
          <w:p>
            <w:pPr>
              <w:rPr>
                <w:rFonts w:hint="eastAsia" w:ascii="宋体" w:hAnsi="宋体"/>
                <w:sz w:val="24"/>
              </w:rPr>
            </w:pPr>
            <w:r>
              <w:rPr>
                <w:rFonts w:hint="eastAsia" w:ascii="宋体" w:hAnsi="宋体"/>
                <w:sz w:val="24"/>
              </w:rPr>
              <w:t>2）为医院各应用系统提供统一的、高可靠性和安全的用户管理服务，它集中存放以前分散在各应用系统的用户信息和组织机构信息，并按照管理流程，实现信息在各系统之间的流转和同步，并为各系统提供人员创建、调动、注销和密码同步等功能。</w:t>
            </w:r>
          </w:p>
          <w:p>
            <w:pPr>
              <w:rPr>
                <w:rFonts w:hint="eastAsia" w:ascii="宋体" w:hAnsi="宋体"/>
                <w:sz w:val="24"/>
              </w:rPr>
            </w:pPr>
            <w:r>
              <w:rPr>
                <w:rFonts w:hint="eastAsia" w:ascii="宋体" w:hAnsi="宋体"/>
                <w:sz w:val="24"/>
              </w:rPr>
              <w:t>3）单点登录功能：统一身份与权限管理平台的实施之后，各应用系统不再独立管理用户信息和授权信息。每个用户可以在单一点只需输入一次用户名和密码，就可以按系统设置的权限范围，访问所有被授权访问的系统，而无需二次输入用户名和密码。</w:t>
            </w:r>
          </w:p>
          <w:p>
            <w:pPr>
              <w:rPr>
                <w:rFonts w:hint="eastAsia" w:ascii="宋体" w:hAnsi="宋体"/>
                <w:sz w:val="24"/>
              </w:rPr>
            </w:pPr>
            <w:r>
              <w:rPr>
                <w:rFonts w:hint="eastAsia" w:ascii="宋体" w:hAnsi="宋体"/>
                <w:sz w:val="24"/>
              </w:rPr>
              <w:t>4）统一授权管理服务按照基于角色的访问控制模型，与信息系统应用成为一种松耦合的工作模式，为各类信息系统应用集成提供基础。</w:t>
            </w:r>
          </w:p>
          <w:p>
            <w:pPr>
              <w:rPr>
                <w:rFonts w:hint="eastAsia" w:ascii="宋体" w:hAnsi="宋体"/>
                <w:sz w:val="24"/>
              </w:rPr>
            </w:pPr>
            <w:r>
              <w:rPr>
                <w:rFonts w:hint="eastAsia" w:ascii="宋体" w:hAnsi="宋体"/>
                <w:sz w:val="24"/>
              </w:rPr>
              <w:t>5）实现完善的用户信息管理功能，能实现各系统用户帐号的对应关系管理，并集中存放分散在各系统的人员信息。</w:t>
            </w:r>
          </w:p>
          <w:p>
            <w:pPr>
              <w:rPr>
                <w:rFonts w:hint="eastAsia" w:ascii="宋体" w:hAnsi="宋体"/>
                <w:sz w:val="24"/>
              </w:rPr>
            </w:pPr>
            <w:r>
              <w:rPr>
                <w:rFonts w:hint="eastAsia" w:ascii="宋体" w:hAnsi="宋体"/>
                <w:sz w:val="24"/>
              </w:rPr>
              <w:t>6）提供用户创建功能，并与各系统接口，自动创建各系统用户帐号。</w:t>
            </w:r>
          </w:p>
          <w:p>
            <w:pPr>
              <w:rPr>
                <w:rFonts w:hint="eastAsia" w:ascii="宋体" w:hAnsi="宋体"/>
                <w:sz w:val="24"/>
              </w:rPr>
            </w:pPr>
            <w:r>
              <w:rPr>
                <w:rFonts w:hint="eastAsia" w:ascii="宋体" w:hAnsi="宋体"/>
                <w:sz w:val="24"/>
              </w:rPr>
              <w:t>7）提供用户注销的功能，并与各系统接口，自动注销各系统用户帐号。</w:t>
            </w:r>
          </w:p>
          <w:p>
            <w:pPr>
              <w:rPr>
                <w:rFonts w:hint="eastAsia" w:ascii="宋体" w:hAnsi="宋体"/>
                <w:sz w:val="24"/>
              </w:rPr>
            </w:pPr>
            <w:r>
              <w:rPr>
                <w:rFonts w:hint="eastAsia" w:ascii="宋体" w:hAnsi="宋体"/>
                <w:sz w:val="24"/>
              </w:rPr>
              <w:t>8）用户信息修改，提供修改用户信息的界面和访问接口，保证修改后的用户信息在各系统中保持一致。</w:t>
            </w:r>
          </w:p>
          <w:p>
            <w:pPr>
              <w:rPr>
                <w:rFonts w:hint="eastAsia" w:ascii="宋体" w:hAnsi="宋体"/>
                <w:sz w:val="24"/>
              </w:rPr>
            </w:pPr>
            <w:r>
              <w:rPr>
                <w:rFonts w:hint="eastAsia" w:ascii="宋体" w:hAnsi="宋体"/>
                <w:sz w:val="24"/>
              </w:rPr>
              <w:t>9）用户管理系统应具备高性能和可靠性，系统应能通过增加对等的人员管理服务器来均衡负载，以提升性能和可靠性，并增强数据安全性。</w:t>
            </w:r>
          </w:p>
          <w:p>
            <w:pPr>
              <w:rPr>
                <w:rFonts w:hint="eastAsia" w:ascii="宋体" w:hAnsi="宋体"/>
                <w:sz w:val="24"/>
              </w:rPr>
            </w:pPr>
            <w:r>
              <w:rPr>
                <w:rFonts w:hint="eastAsia" w:ascii="宋体" w:hAnsi="宋体"/>
                <w:sz w:val="24"/>
              </w:rPr>
              <w:t>10）系统应能通过权限设置和委托，实现分级管理功能，以方便管理部门（如医务处、护理部和人事处等）或各临床科室管理各自的用户信息。</w:t>
            </w:r>
          </w:p>
          <w:p>
            <w:pPr>
              <w:rPr>
                <w:rFonts w:hint="eastAsia" w:ascii="宋体" w:hAnsi="宋体"/>
                <w:sz w:val="24"/>
              </w:rPr>
            </w:pPr>
            <w:r>
              <w:rPr>
                <w:rFonts w:hint="eastAsia" w:ascii="宋体" w:hAnsi="宋体"/>
                <w:sz w:val="24"/>
              </w:rPr>
              <w:t>11）系统应提供完善的日志处理功能，对所有重要操作都应记录日志，并提供灵活的查询界面和接口。日志不能随意删除和修改。</w:t>
            </w:r>
          </w:p>
          <w:p>
            <w:pPr>
              <w:rPr>
                <w:rFonts w:hint="eastAsia" w:ascii="宋体" w:hAnsi="宋体"/>
                <w:sz w:val="24"/>
              </w:rPr>
            </w:pPr>
            <w:r>
              <w:rPr>
                <w:rFonts w:hint="eastAsia" w:ascii="宋体" w:hAnsi="宋体"/>
                <w:sz w:val="24"/>
              </w:rPr>
              <w:t>12）系统应提供完善的错误、警告、性能日志和事件，管理员并能通过Windows 事件查看器和性能检测器查看，并能和系统管理和监控系统集成，以实现集中的监控和告警。</w:t>
            </w:r>
          </w:p>
          <w:p>
            <w:pPr>
              <w:rPr>
                <w:rFonts w:hint="eastAsia" w:ascii="宋体" w:hAnsi="宋体"/>
                <w:sz w:val="24"/>
              </w:rPr>
            </w:pPr>
            <w:r>
              <w:rPr>
                <w:rFonts w:hint="eastAsia" w:ascii="宋体" w:hAnsi="宋体"/>
                <w:sz w:val="24"/>
              </w:rPr>
              <w:t>13）系统应提供完善的日志处理功能，对所有重要操作都应记录日志，并提供灵活的查询界面和接口。日志不能随意删除和修改。</w:t>
            </w:r>
          </w:p>
          <w:p>
            <w:pPr>
              <w:rPr>
                <w:rFonts w:hint="eastAsia" w:ascii="宋体" w:hAnsi="宋体"/>
                <w:sz w:val="24"/>
              </w:rPr>
            </w:pPr>
            <w:r>
              <w:rPr>
                <w:rFonts w:hint="eastAsia" w:ascii="宋体" w:hAnsi="宋体"/>
                <w:sz w:val="24"/>
              </w:rPr>
              <w:t>14）对于B/S应用下的Form认证场景，系统应采用SSL加密协议，以避免密码探测，提供用户会话（Session）有效期管理。</w:t>
            </w:r>
          </w:p>
          <w:p>
            <w:pPr>
              <w:rPr>
                <w:rFonts w:hint="eastAsia" w:ascii="宋体" w:hAnsi="宋体"/>
                <w:sz w:val="24"/>
              </w:rPr>
            </w:pPr>
            <w:r>
              <w:rPr>
                <w:rFonts w:hint="eastAsia" w:ascii="宋体" w:hAnsi="宋体"/>
                <w:sz w:val="24"/>
              </w:rPr>
              <w:t>15）授权管理系统应采用基于角色的访问控制，用户所能访问的权限就由该用户所拥有的所有角色的功能集合的并集决定。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元数据管理</w:t>
            </w:r>
          </w:p>
        </w:tc>
        <w:tc>
          <w:tcPr>
            <w:tcW w:w="5182" w:type="dxa"/>
          </w:tcPr>
          <w:p>
            <w:pPr>
              <w:rPr>
                <w:rFonts w:hint="eastAsia" w:ascii="宋体" w:hAnsi="宋体"/>
                <w:sz w:val="24"/>
              </w:rPr>
            </w:pPr>
            <w:r>
              <w:rPr>
                <w:rFonts w:hint="eastAsia" w:ascii="宋体" w:hAnsi="宋体"/>
                <w:sz w:val="24"/>
              </w:rPr>
              <w:t>1）集中统一地管理全院的基础数据，通过对平台相关的各业务系统提供基础数据服务，实现基础数据的同步或匹配，以规范数据的统计口径，提高数据质量。</w:t>
            </w:r>
          </w:p>
          <w:p>
            <w:pPr>
              <w:rPr>
                <w:rFonts w:hint="eastAsia" w:ascii="宋体" w:hAnsi="宋体"/>
                <w:sz w:val="24"/>
              </w:rPr>
            </w:pPr>
            <w:r>
              <w:rPr>
                <w:rFonts w:hint="eastAsia" w:ascii="宋体" w:hAnsi="宋体"/>
                <w:sz w:val="24"/>
              </w:rPr>
              <w:t>2）全院人员和机构数据管理：建立医院统一的组织机构架构，包括临床业务科室、职能部门、后勤部门等。</w:t>
            </w:r>
          </w:p>
          <w:p>
            <w:pPr>
              <w:rPr>
                <w:rFonts w:hint="eastAsia" w:ascii="宋体" w:hAnsi="宋体"/>
                <w:sz w:val="24"/>
              </w:rPr>
            </w:pPr>
            <w:r>
              <w:rPr>
                <w:rFonts w:hint="eastAsia" w:ascii="宋体" w:hAnsi="宋体"/>
                <w:sz w:val="24"/>
              </w:rPr>
              <w:t>3）管理内容：组织机构类型，层级关系，组织机构全称，机构简称，机构英文名称，机构别名，简称首字母缩写，组织机构代码，邮编，单位地址，单位电话，单位传真，单位所在地，单位负责人等。</w:t>
            </w:r>
          </w:p>
          <w:p>
            <w:pPr>
              <w:rPr>
                <w:rFonts w:hint="eastAsia" w:ascii="宋体" w:hAnsi="宋体"/>
                <w:sz w:val="24"/>
              </w:rPr>
            </w:pPr>
            <w:r>
              <w:rPr>
                <w:rFonts w:hint="eastAsia" w:ascii="宋体" w:hAnsi="宋体"/>
                <w:sz w:val="24"/>
              </w:rPr>
              <w:t>4）支持从HIS系统同步各临床科室的服务单元及病区信息，并建立医院临床组织机构和HIS中各临床服务单元的对应管理。</w:t>
            </w:r>
          </w:p>
          <w:p>
            <w:pPr>
              <w:rPr>
                <w:rFonts w:hint="eastAsia" w:ascii="宋体" w:hAnsi="宋体"/>
                <w:sz w:val="24"/>
              </w:rPr>
            </w:pPr>
            <w:r>
              <w:rPr>
                <w:rFonts w:hint="eastAsia" w:ascii="宋体" w:hAnsi="宋体"/>
                <w:sz w:val="24"/>
              </w:rPr>
              <w:t>5）临床术语管理：支持对ICD编码等临床术语进行统一管理。</w:t>
            </w:r>
          </w:p>
          <w:p>
            <w:pPr>
              <w:rPr>
                <w:rFonts w:hint="eastAsia" w:ascii="宋体" w:hAnsi="宋体"/>
                <w:sz w:val="24"/>
              </w:rPr>
            </w:pPr>
            <w:r>
              <w:rPr>
                <w:rFonts w:hint="eastAsia" w:ascii="宋体" w:hAnsi="宋体"/>
                <w:sz w:val="24"/>
              </w:rPr>
              <w:t>6）服务单元：门诊服务单元、住院服务单元、护理服务单元。</w:t>
            </w:r>
          </w:p>
          <w:p>
            <w:pPr>
              <w:rPr>
                <w:rFonts w:hint="eastAsia" w:ascii="宋体" w:hAnsi="宋体"/>
                <w:sz w:val="24"/>
              </w:rPr>
            </w:pPr>
            <w:r>
              <w:rPr>
                <w:rFonts w:hint="eastAsia" w:ascii="宋体" w:hAnsi="宋体"/>
                <w:sz w:val="24"/>
              </w:rPr>
              <w:t>7）检验项目：检验项目、标本类型。</w:t>
            </w:r>
          </w:p>
          <w:p>
            <w:pPr>
              <w:rPr>
                <w:rFonts w:hint="eastAsia" w:ascii="宋体" w:hAnsi="宋体"/>
                <w:sz w:val="24"/>
              </w:rPr>
            </w:pPr>
            <w:r>
              <w:rPr>
                <w:rFonts w:hint="eastAsia" w:ascii="宋体" w:hAnsi="宋体"/>
                <w:sz w:val="24"/>
              </w:rPr>
              <w:t>8）检查项目：包括放射、超声、病理、内镜、心电等。</w:t>
            </w:r>
          </w:p>
          <w:p>
            <w:pPr>
              <w:rPr>
                <w:rFonts w:hint="eastAsia" w:ascii="宋体" w:hAnsi="宋体"/>
                <w:sz w:val="24"/>
              </w:rPr>
            </w:pPr>
            <w:r>
              <w:rPr>
                <w:rFonts w:hint="eastAsia" w:ascii="宋体" w:hAnsi="宋体"/>
                <w:sz w:val="24"/>
              </w:rPr>
              <w:t>9）收费项目：收费项目基本信息、手术项目基本信息、手工项目收费基本信息、费用类别基本信息。</w:t>
            </w:r>
          </w:p>
          <w:p>
            <w:pPr>
              <w:rPr>
                <w:rFonts w:hint="eastAsia" w:ascii="宋体" w:hAnsi="宋体"/>
                <w:sz w:val="24"/>
              </w:rPr>
            </w:pPr>
            <w:r>
              <w:rPr>
                <w:rFonts w:hint="eastAsia" w:ascii="宋体" w:hAnsi="宋体"/>
                <w:sz w:val="24"/>
              </w:rPr>
              <w:t>10）医嘱项目：定义医嘱项目基础数据。</w:t>
            </w:r>
          </w:p>
          <w:p>
            <w:pPr>
              <w:rPr>
                <w:rFonts w:hint="eastAsia" w:ascii="宋体" w:hAnsi="宋体"/>
                <w:sz w:val="24"/>
              </w:rPr>
            </w:pPr>
            <w:r>
              <w:rPr>
                <w:rFonts w:hint="eastAsia" w:ascii="宋体" w:hAnsi="宋体"/>
                <w:sz w:val="24"/>
              </w:rPr>
              <w:t>11）药品信息：药品基本信息维护、抗生素基本信息、药理分类信息、药品通用信息、诊断院内码、手术院内码、物资材料、材料基本信息、固定资产基本信息、医用材料基本信息[和收费代码挂钩]。</w:t>
            </w:r>
          </w:p>
          <w:p>
            <w:pPr>
              <w:rPr>
                <w:rFonts w:hint="eastAsia" w:ascii="宋体" w:hAnsi="宋体"/>
                <w:sz w:val="24"/>
              </w:rPr>
            </w:pPr>
            <w:r>
              <w:rPr>
                <w:rFonts w:hint="eastAsia" w:ascii="宋体" w:hAnsi="宋体"/>
                <w:sz w:val="24"/>
              </w:rPr>
              <w:t>12）手术院内码和手术ICD的对应关系。</w:t>
            </w:r>
          </w:p>
          <w:p>
            <w:pPr>
              <w:rPr>
                <w:rFonts w:hint="eastAsia" w:ascii="宋体" w:hAnsi="宋体"/>
                <w:sz w:val="24"/>
              </w:rPr>
            </w:pPr>
            <w:r>
              <w:rPr>
                <w:rFonts w:hint="eastAsia" w:ascii="宋体" w:hAnsi="宋体"/>
                <w:sz w:val="24"/>
              </w:rPr>
              <w:t>13）诊断院内码和诊断ICD的对应关系。</w:t>
            </w:r>
          </w:p>
          <w:p>
            <w:pPr>
              <w:rPr>
                <w:rFonts w:hint="eastAsia" w:ascii="宋体" w:hAnsi="宋体"/>
                <w:sz w:val="24"/>
              </w:rPr>
            </w:pPr>
            <w:r>
              <w:rPr>
                <w:rFonts w:hint="eastAsia" w:ascii="宋体" w:hAnsi="宋体"/>
                <w:sz w:val="24"/>
              </w:rPr>
              <w:t>14）国标：全国组织机构代码编制规则（GB/T 11714-1997）、中华人民共和国行政区划代码（GB/T 2260-2007）、县级以下行政区划代码编制规则（GB/T 10114-2003）、经济类型分类与代码（GB/T 12402-2000）、性别分类及代码（GB/T 2261-2003）、婚姻状况代码（GB/T 4766-1984）、中国各民族名称的罗马字母拼写法和代码（GB/T3304-1991）、学历代码（文化程度代码 GB 4658-2006）、学位代码（GB/T 6864-2003）、所学专业（GB/T 16835-1997）、专业技术职务代码（GB/T 8561-2001）、职业分类与代码（GB/T6565-1999）、疾病分类与代码（GB / T14396-2001）、中医病症分类与代码（GB/T15657-1995）。</w:t>
            </w:r>
          </w:p>
          <w:p>
            <w:pPr>
              <w:rPr>
                <w:rFonts w:hint="eastAsia" w:ascii="宋体" w:hAnsi="宋体"/>
                <w:sz w:val="24"/>
              </w:rPr>
            </w:pPr>
            <w:r>
              <w:rPr>
                <w:rFonts w:hint="eastAsia" w:ascii="宋体" w:hAnsi="宋体"/>
                <w:sz w:val="24"/>
              </w:rPr>
              <w:t>15）行标：卫生机构（组织）分类与代码（WS218-2002）、卫生机构类别代码表（WS218-2002）、卫生信息数据集分类与编码规则（WS/T306-2009）、《WS/T 102-1998 临床检验项目分类与代码》、《国家基本医疗保险、工伤保险和生育保险药品目录》、《医疗器械分类规则》、《全国医疗服务价格项目规范》。</w:t>
            </w:r>
          </w:p>
          <w:p>
            <w:r>
              <w:rPr>
                <w:rFonts w:hint="eastAsia" w:ascii="宋体" w:hAnsi="宋体"/>
                <w:sz w:val="24"/>
              </w:rPr>
              <w:t>16）主数据管理包括但不限于基本字典数据管理、编码维护（诊断ICD及手术ICD）、人员管理、收费项目、药品管理、审核操作、操作记录等。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主索引管理</w:t>
            </w:r>
          </w:p>
        </w:tc>
        <w:tc>
          <w:tcPr>
            <w:tcW w:w="5182" w:type="dxa"/>
          </w:tcPr>
          <w:p>
            <w:pPr>
              <w:rPr>
                <w:rFonts w:hint="eastAsia" w:ascii="宋体" w:hAnsi="宋体"/>
                <w:sz w:val="24"/>
              </w:rPr>
            </w:pPr>
            <w:r>
              <w:rPr>
                <w:rFonts w:hint="eastAsia" w:ascii="宋体" w:hAnsi="宋体"/>
                <w:sz w:val="24"/>
              </w:rPr>
              <w:t>1）患者信息主索引，用于全院范围内患者基本信息索引的创建、搜索和维护，可以协助医疗人员对病人有效地进行搜索。医疗机构通过建设主索引来匹配、合并、取消重复的数据，利用主索引可获得完整而单一的病人视图。</w:t>
            </w:r>
          </w:p>
          <w:p>
            <w:pPr>
              <w:rPr>
                <w:rFonts w:hint="eastAsia" w:ascii="宋体" w:hAnsi="宋体"/>
                <w:sz w:val="24"/>
              </w:rPr>
            </w:pPr>
            <w:r>
              <w:rPr>
                <w:rFonts w:hint="eastAsia" w:ascii="宋体" w:hAnsi="宋体"/>
                <w:sz w:val="24"/>
              </w:rPr>
              <w:t>2） 为每个病人创建一个唯一标示，并和相关系统的医疗记录的标示之间建立映射。</w:t>
            </w:r>
          </w:p>
          <w:p>
            <w:pPr>
              <w:rPr>
                <w:rFonts w:hint="eastAsia" w:ascii="宋体" w:hAnsi="宋体"/>
                <w:sz w:val="24"/>
              </w:rPr>
            </w:pPr>
            <w:r>
              <w:rPr>
                <w:rFonts w:hint="eastAsia" w:ascii="宋体" w:hAnsi="宋体"/>
                <w:sz w:val="24"/>
              </w:rPr>
              <w:t>3） 同时提供一个搜索引擎，提供给其它应用程序对患者的搜索功能；它也会存储病人属性的部分子集，以便作为病人检索的“单一最佳记录”的权威来源。</w:t>
            </w:r>
          </w:p>
          <w:p>
            <w:pPr>
              <w:rPr>
                <w:rFonts w:hint="eastAsia" w:ascii="宋体" w:hAnsi="宋体"/>
                <w:sz w:val="24"/>
              </w:rPr>
            </w:pPr>
            <w:r>
              <w:rPr>
                <w:rFonts w:hint="eastAsia" w:ascii="宋体" w:hAnsi="宋体"/>
                <w:sz w:val="24"/>
              </w:rPr>
              <w:t>4） 根据索引规则，对院内各类信息系统中的患者信息进行索引重建，使历史记录可以进行关联。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医疗业务服务总线升级</w:t>
            </w:r>
          </w:p>
        </w:tc>
        <w:tc>
          <w:tcPr>
            <w:tcW w:w="5182" w:type="dxa"/>
          </w:tcPr>
          <w:p>
            <w:pPr>
              <w:rPr>
                <w:rFonts w:hint="eastAsia" w:ascii="宋体" w:hAnsi="宋体"/>
                <w:sz w:val="24"/>
              </w:rPr>
            </w:pPr>
            <w:r>
              <w:rPr>
                <w:rFonts w:hint="eastAsia" w:ascii="宋体" w:hAnsi="宋体"/>
                <w:sz w:val="24"/>
              </w:rPr>
              <w:t>1）平台的建设，规范新建系统的接入标准，松耦合基础平台，降低‘点对点’接口带来的运维复杂度和成本，提升应用集成和可交互性、安全性，同时也提升医院应用SOA服务水平，规范医院应用系统的医疗服务标准。</w:t>
            </w:r>
          </w:p>
          <w:p>
            <w:pPr>
              <w:rPr>
                <w:rFonts w:hint="eastAsia" w:ascii="宋体" w:hAnsi="宋体"/>
                <w:sz w:val="24"/>
              </w:rPr>
            </w:pPr>
            <w:r>
              <w:rPr>
                <w:rFonts w:hint="eastAsia" w:ascii="宋体" w:hAnsi="宋体"/>
                <w:sz w:val="24"/>
              </w:rPr>
              <w:t>2）接入规范：医院信息系统服务的注册和发现，基于UDDI 3.0标准进行关键医疗活动服务注册，支持数字签名，方便注册中服务描述的重用,供应商开发者可基于该统一架构开发。</w:t>
            </w:r>
          </w:p>
          <w:p>
            <w:pPr>
              <w:rPr>
                <w:rFonts w:hint="eastAsia" w:ascii="宋体" w:hAnsi="宋体"/>
                <w:sz w:val="24"/>
              </w:rPr>
            </w:pPr>
            <w:r>
              <w:rPr>
                <w:rFonts w:hint="eastAsia" w:ascii="宋体" w:hAnsi="宋体"/>
                <w:sz w:val="24"/>
              </w:rPr>
              <w:t>3）工作流整合服务：消息路由、验证和转换（HL7）、可扩展的适配器构架连接、基于服务的业务流程、业务规则引擎、业务活动监控。</w:t>
            </w:r>
          </w:p>
          <w:p>
            <w:pPr>
              <w:rPr>
                <w:rFonts w:hint="eastAsia" w:ascii="宋体" w:hAnsi="宋体"/>
                <w:sz w:val="24"/>
              </w:rPr>
            </w:pPr>
            <w:r>
              <w:rPr>
                <w:rFonts w:hint="eastAsia" w:ascii="宋体" w:hAnsi="宋体"/>
                <w:sz w:val="24"/>
              </w:rPr>
              <w:t>4）构建ESB事件驱动模型：参考IHE进行业务规则引擎场景设置，基于路线设计器，采用DSL语言编写应用场景。</w:t>
            </w:r>
          </w:p>
          <w:p>
            <w:pPr>
              <w:rPr>
                <w:rFonts w:hint="eastAsia" w:ascii="宋体" w:hAnsi="宋体"/>
                <w:sz w:val="24"/>
              </w:rPr>
            </w:pPr>
            <w:r>
              <w:rPr>
                <w:rFonts w:hint="eastAsia" w:ascii="宋体" w:hAnsi="宋体"/>
                <w:sz w:val="24"/>
              </w:rPr>
              <w:t>5）至少包括如下类型的接口定义和使用规范：病人基本信息、检查电子申请、检验电子申请、手术电子申请、输血电子申请、费用确认、危急值确认、主数据（包括员工、科室、病区、检验项目、检查项目、收费项目、医嘱项目、药品、诊断ICD、手术ICD、耗材等）。</w:t>
            </w:r>
          </w:p>
          <w:p>
            <w:pPr>
              <w:rPr>
                <w:rFonts w:hint="eastAsia" w:ascii="宋体" w:hAnsi="宋体"/>
                <w:sz w:val="24"/>
              </w:rPr>
            </w:pPr>
            <w:r>
              <w:rPr>
                <w:rFonts w:hint="eastAsia" w:ascii="宋体" w:hAnsi="宋体"/>
                <w:sz w:val="24"/>
              </w:rPr>
              <w:t>6）提供账号维护、服务维护、订阅信息管理、配置管理、日志查询、统计分析、性能监控等功能。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互联互通标准化提升</w:t>
            </w:r>
          </w:p>
        </w:tc>
        <w:tc>
          <w:tcPr>
            <w:tcW w:w="5182" w:type="dxa"/>
          </w:tcPr>
          <w:p>
            <w:pPr>
              <w:rPr>
                <w:rFonts w:hint="eastAsia" w:ascii="宋体" w:hAnsi="宋体"/>
                <w:sz w:val="24"/>
              </w:rPr>
            </w:pPr>
            <w:r>
              <w:rPr>
                <w:rFonts w:hint="eastAsia" w:ascii="宋体" w:hAnsi="宋体"/>
                <w:sz w:val="24"/>
              </w:rPr>
              <w:t>1）数据资源标准化建设：提升数据集标准化符合性，依据《WS445-2014电子病历基本数据集》等文件标准，确保所有17个电子病历基本数据集及其下属的58个子集的数据元属性（如数据类型、表示格式、数据元值及代码等）符合国家标准。</w:t>
            </w:r>
          </w:p>
          <w:p>
            <w:pPr>
              <w:rPr>
                <w:rFonts w:hint="eastAsia" w:ascii="宋体" w:hAnsi="宋体"/>
                <w:sz w:val="24"/>
              </w:rPr>
            </w:pPr>
            <w:r>
              <w:rPr>
                <w:rFonts w:hint="eastAsia" w:ascii="宋体" w:hAnsi="宋体"/>
                <w:sz w:val="24"/>
              </w:rPr>
              <w:t>2）共享文档标准化：完善共享文档，根据《WS/T 500-2016 电子病历共享文档规范》等文件标准，确保53个共享文档的结构和内容符合国家标准。</w:t>
            </w:r>
          </w:p>
          <w:p>
            <w:pPr>
              <w:rPr>
                <w:rFonts w:hint="eastAsia" w:ascii="宋体" w:hAnsi="宋体"/>
                <w:sz w:val="24"/>
              </w:rPr>
            </w:pPr>
            <w:r>
              <w:rPr>
                <w:rFonts w:hint="eastAsia" w:ascii="宋体" w:hAnsi="宋体"/>
                <w:sz w:val="24"/>
              </w:rPr>
              <w:t>3）交互服务标准化：增加交互服务数量，从四级乙等的13个交互服务增加到五级乙等的69个，依据WS/T 447-2014及医院信息平台交互规范，测试交互服务的解析、处理和响应的标准符合性，显著增强与院内各系统的交互能力。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Merge w:val="restart"/>
          </w:tcPr>
          <w:p>
            <w:pPr>
              <w:rPr>
                <w:rFonts w:hint="eastAsia" w:ascii="宋体" w:hAnsi="宋体"/>
                <w:sz w:val="24"/>
              </w:rPr>
            </w:pPr>
            <w:bookmarkStart w:id="11" w:name="_Hlk176197061"/>
            <w:r>
              <w:rPr>
                <w:rFonts w:hint="eastAsia" w:ascii="宋体" w:hAnsi="宋体"/>
                <w:sz w:val="24"/>
              </w:rPr>
              <w:t>电子病历临床业务数据中心</w:t>
            </w:r>
            <w:bookmarkEnd w:id="11"/>
          </w:p>
        </w:tc>
        <w:tc>
          <w:tcPr>
            <w:tcW w:w="2126" w:type="dxa"/>
          </w:tcPr>
          <w:p>
            <w:pPr>
              <w:rPr>
                <w:rFonts w:hint="eastAsia" w:ascii="宋体" w:hAnsi="宋体"/>
                <w:sz w:val="24"/>
              </w:rPr>
            </w:pPr>
            <w:r>
              <w:rPr>
                <w:rFonts w:hint="eastAsia" w:ascii="宋体" w:hAnsi="宋体"/>
                <w:sz w:val="24"/>
              </w:rPr>
              <w:t>临床数据同步中枢</w:t>
            </w:r>
          </w:p>
        </w:tc>
        <w:tc>
          <w:tcPr>
            <w:tcW w:w="5182" w:type="dxa"/>
          </w:tcPr>
          <w:p>
            <w:pPr>
              <w:rPr>
                <w:rFonts w:hint="eastAsia" w:ascii="宋体" w:hAnsi="宋体"/>
                <w:sz w:val="24"/>
              </w:rPr>
            </w:pPr>
            <w:r>
              <w:rPr>
                <w:rFonts w:hint="eastAsia" w:ascii="宋体" w:hAnsi="宋体"/>
                <w:sz w:val="24"/>
              </w:rPr>
              <w:t>1）临床数据同步中枢中的数据是在对原有分散的数据库数据抽取、清理的基础上经过系统加工、汇总和整理得到的，必须消除源数据中的不一致性，以保证临床数据同步中枢内的信息是关于整个企业的一致的全局信息。</w:t>
            </w:r>
          </w:p>
          <w:p>
            <w:pPr>
              <w:rPr>
                <w:rFonts w:hint="eastAsia" w:ascii="宋体" w:hAnsi="宋体"/>
                <w:sz w:val="24"/>
              </w:rPr>
            </w:pPr>
            <w:r>
              <w:rPr>
                <w:rFonts w:hint="eastAsia" w:ascii="宋体" w:hAnsi="宋体"/>
                <w:sz w:val="24"/>
              </w:rPr>
              <w:t>2）临床数据同步中枢提供所有类型数据支持的战略集合。提供数据库对应的表记录，多维度展示表数据信息，包括表结构信息、数据预览、数据开发血缘、ETL血缘等数据信息。</w:t>
            </w:r>
          </w:p>
          <w:p>
            <w:pPr>
              <w:rPr>
                <w:rFonts w:hint="eastAsia" w:ascii="宋体" w:hAnsi="宋体"/>
                <w:sz w:val="24"/>
              </w:rPr>
            </w:pPr>
            <w:r>
              <w:rPr>
                <w:rFonts w:hint="eastAsia" w:ascii="宋体" w:hAnsi="宋体"/>
                <w:sz w:val="24"/>
              </w:rPr>
              <w:t>3）提供所有表的表字段、分区字段、元数据、对应文件目录路径、所占磁盘空间等数据信息。</w:t>
            </w:r>
          </w:p>
          <w:p>
            <w:pPr>
              <w:rPr>
                <w:rFonts w:hint="eastAsia" w:ascii="宋体" w:hAnsi="宋体"/>
                <w:sz w:val="24"/>
              </w:rPr>
            </w:pPr>
            <w:r>
              <w:rPr>
                <w:rFonts w:hint="eastAsia" w:ascii="宋体" w:hAnsi="宋体"/>
                <w:sz w:val="24"/>
              </w:rPr>
              <w:t>4）支持通过数据ETL血缘关系展示数据流转关系及进行问题追溯，通过定位具体的数据表，直观准确地展示其表字段的来源、字段具体流转情况。</w:t>
            </w:r>
          </w:p>
          <w:p>
            <w:pPr>
              <w:rPr>
                <w:rFonts w:hint="eastAsia" w:ascii="宋体" w:hAnsi="宋体"/>
                <w:sz w:val="24"/>
              </w:rPr>
            </w:pPr>
            <w:r>
              <w:rPr>
                <w:rFonts w:hint="eastAsia" w:ascii="宋体" w:hAnsi="宋体"/>
                <w:sz w:val="24"/>
              </w:rPr>
              <w:t>5）可以反追溯数仓里存在问题的指标，定位问题指标对应的原始业务表。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一体化临床数据中心</w:t>
            </w:r>
          </w:p>
        </w:tc>
        <w:tc>
          <w:tcPr>
            <w:tcW w:w="5182" w:type="dxa"/>
          </w:tcPr>
          <w:p>
            <w:pPr>
              <w:rPr>
                <w:rFonts w:hint="eastAsia" w:ascii="宋体" w:hAnsi="宋体"/>
                <w:sz w:val="24"/>
              </w:rPr>
            </w:pPr>
            <w:r>
              <w:rPr>
                <w:rFonts w:hint="eastAsia" w:ascii="宋体" w:hAnsi="宋体"/>
                <w:sz w:val="24"/>
              </w:rPr>
              <w:t>1）支持实现医院IT架构的松耦合，所有业务应用系统采集的数据物理集中到数据中心平台上，降低单一系统的升级、故障和替换对其它系统和医院整体业务的影响，从根本上优化医院的IT技术架构。</w:t>
            </w:r>
          </w:p>
          <w:p>
            <w:pPr>
              <w:rPr>
                <w:rFonts w:hint="eastAsia" w:ascii="宋体" w:hAnsi="宋体"/>
                <w:sz w:val="24"/>
              </w:rPr>
            </w:pPr>
            <w:r>
              <w:rPr>
                <w:rFonts w:hint="eastAsia" w:ascii="宋体" w:hAnsi="宋体"/>
                <w:sz w:val="24"/>
              </w:rPr>
              <w:t>2）通过一体化临床数据中心建设，逐步形成医院的数据标准与规范，包括数据共享接口规范、临床数据集规范、科研数据集规范、管理运营数据集规范、数据获取规范、数据对外发布规范等等，使得未来引进和建设新的IT系统变得有章可依。</w:t>
            </w:r>
          </w:p>
          <w:p>
            <w:pPr>
              <w:rPr>
                <w:rFonts w:hint="eastAsia" w:ascii="宋体" w:hAnsi="宋体"/>
                <w:sz w:val="24"/>
              </w:rPr>
            </w:pPr>
            <w:r>
              <w:rPr>
                <w:rFonts w:hint="eastAsia" w:ascii="宋体" w:hAnsi="宋体"/>
                <w:sz w:val="24"/>
              </w:rPr>
              <w:t>3）一体化临床数据中心应具有高度的可扩展性，采用面向服务架构设计，为未来各种业务系统的接入提供了极具弹性的扩展平台：对数据资产提供持续性保护，数据利用不受业务系统的更换影响。支持医院在系统供应商的选择和使用时，掌握完全的主动，不影响数据中心的数据汇聚。</w:t>
            </w:r>
          </w:p>
          <w:p>
            <w:pPr>
              <w:rPr>
                <w:rFonts w:hint="eastAsia" w:ascii="宋体" w:hAnsi="宋体"/>
                <w:sz w:val="24"/>
              </w:rPr>
            </w:pPr>
            <w:r>
              <w:rPr>
                <w:rFonts w:hint="eastAsia" w:ascii="宋体" w:hAnsi="宋体"/>
                <w:sz w:val="24"/>
              </w:rPr>
              <w:t>4）要求一体化临床数据中心对于采集的数据加以解析处理，形成最小的、可复用的数据元素，以提高数据利用的效率。</w:t>
            </w:r>
          </w:p>
          <w:p>
            <w:pPr>
              <w:rPr>
                <w:rFonts w:hint="eastAsia" w:ascii="宋体" w:hAnsi="宋体"/>
                <w:sz w:val="24"/>
              </w:rPr>
            </w:pPr>
            <w:r>
              <w:rPr>
                <w:rFonts w:hint="eastAsia" w:ascii="宋体" w:hAnsi="宋体"/>
                <w:sz w:val="24"/>
              </w:rPr>
              <w:t>5）具有可自定义视图的功能：在需要时可随时为用户展示关键信息。能够快速创建和修改个性化视图，通过用户自助式服务，满足全院临床、管理和科研用户的需求。</w:t>
            </w:r>
          </w:p>
          <w:p>
            <w:pPr>
              <w:rPr>
                <w:rFonts w:hint="eastAsia" w:ascii="宋体" w:hAnsi="宋体"/>
                <w:sz w:val="24"/>
              </w:rPr>
            </w:pPr>
            <w:r>
              <w:rPr>
                <w:rFonts w:hint="eastAsia" w:ascii="宋体" w:hAnsi="宋体"/>
                <w:sz w:val="24"/>
              </w:rPr>
              <w:t>6）本项目中需要整合的数据源应该包括：预约、HIS入出转、挂号、HIS费用信息、医保信息、费用流水、出院结算、门诊处方、药物医嘱、医嘱执行、住院排药、放射、超声、病理、检查报告、检验结果、检验报告、微生物培养、输血管理、药敏、手术排班、医护排班、麻醉单、手术记录、术后记录、结构化病历文书、出院小结、病案首页、ICU评分、护理文书、体温单、不良事件、申请单、院感等。</w:t>
            </w:r>
          </w:p>
          <w:p>
            <w:pPr>
              <w:rPr>
                <w:rFonts w:hint="eastAsia" w:ascii="宋体" w:hAnsi="宋体"/>
                <w:sz w:val="24"/>
              </w:rPr>
            </w:pPr>
            <w:r>
              <w:rPr>
                <w:rFonts w:hint="eastAsia" w:ascii="宋体" w:hAnsi="宋体"/>
                <w:sz w:val="24"/>
              </w:rPr>
              <w:t>7）结合国家卫健委的相关标准，以及医院数据源的实际质量，设计CDR数据仓库，包括数据对象、对象之间的关联关系、采用的数据标准、和业务数据的映射关系等。</w:t>
            </w:r>
          </w:p>
          <w:p>
            <w:pPr>
              <w:rPr>
                <w:rFonts w:hint="eastAsia" w:ascii="宋体" w:hAnsi="宋体"/>
                <w:sz w:val="24"/>
              </w:rPr>
            </w:pPr>
            <w:r>
              <w:rPr>
                <w:rFonts w:hint="eastAsia" w:ascii="宋体" w:hAnsi="宋体"/>
                <w:sz w:val="24"/>
              </w:rPr>
              <w:t>8）通过配置验证规则，自动化验证CDR中数据的准确性，比如对比记录条数、对比汇总金额等方法，确保CDR中的数据准确及时地反映业务系统中的数据。</w:t>
            </w:r>
          </w:p>
          <w:p>
            <w:pPr>
              <w:rPr>
                <w:rFonts w:hint="eastAsia" w:ascii="宋体" w:hAnsi="宋体"/>
                <w:sz w:val="24"/>
              </w:rPr>
            </w:pPr>
            <w:r>
              <w:rPr>
                <w:rFonts w:hint="eastAsia" w:ascii="宋体" w:hAnsi="宋体"/>
                <w:sz w:val="24"/>
              </w:rPr>
              <w:t>9）加载各数据源所对应的业务系统中保存的历史数据，使CDR覆盖医院现有的各类数据资产。</w:t>
            </w:r>
          </w:p>
          <w:p>
            <w:pPr>
              <w:rPr>
                <w:rFonts w:hint="eastAsia" w:ascii="宋体" w:hAnsi="宋体"/>
                <w:sz w:val="24"/>
              </w:rPr>
            </w:pPr>
            <w:r>
              <w:rPr>
                <w:rFonts w:hint="eastAsia" w:ascii="宋体" w:hAnsi="宋体"/>
                <w:sz w:val="24"/>
              </w:rPr>
              <w:t>10）集成多平台兼容的安全管理体系，能够对多种平台凭证进行扫描和自动托管，满足双机热备和异地灾备的平滑切换。支持主流云服务框架并能够通过公网云市场进行灵活配置。支持对安全账户的赋权、重置、SSH密钥管理、中间件密码管理。安全管理体系需满足信息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全息患者视图</w:t>
            </w:r>
          </w:p>
        </w:tc>
        <w:tc>
          <w:tcPr>
            <w:tcW w:w="5182" w:type="dxa"/>
          </w:tcPr>
          <w:p>
            <w:pPr>
              <w:rPr>
                <w:rFonts w:hint="eastAsia" w:ascii="宋体" w:hAnsi="宋体"/>
                <w:sz w:val="24"/>
              </w:rPr>
            </w:pPr>
            <w:r>
              <w:rPr>
                <w:rFonts w:hint="eastAsia" w:ascii="宋体" w:hAnsi="宋体"/>
                <w:sz w:val="24"/>
              </w:rPr>
              <w:t>1）依靠患者ID就能实现全院范围内全部门急诊就诊记录、住院病史、影像检查、检验结果、心电图及扫描文档等信息的连通共享。用户只需访问单一来源，即可调取所要的全部信息。</w:t>
            </w:r>
          </w:p>
          <w:p>
            <w:pPr>
              <w:rPr>
                <w:rFonts w:hint="eastAsia" w:ascii="宋体" w:hAnsi="宋体"/>
                <w:sz w:val="24"/>
              </w:rPr>
            </w:pPr>
            <w:r>
              <w:rPr>
                <w:rFonts w:hint="eastAsia" w:ascii="宋体" w:hAnsi="宋体"/>
                <w:sz w:val="24"/>
              </w:rPr>
              <w:t>2）临床基础视图的数据项可根据需求进行定义，可包含以下几大类信息：病人基本信息、检验结果、医学影像（含放射、超声、内镜、病理等）、影像报告、药物医嘱、药物治疗过敏史、诊断和手术、病理报告、既往史、病程记录、护理记录、门诊处方信息、医疗费用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指挥决策驾驶舱</w:t>
            </w:r>
          </w:p>
        </w:tc>
        <w:tc>
          <w:tcPr>
            <w:tcW w:w="5182" w:type="dxa"/>
          </w:tcPr>
          <w:p>
            <w:pPr>
              <w:rPr>
                <w:rFonts w:hint="eastAsia" w:ascii="宋体" w:hAnsi="宋体"/>
                <w:sz w:val="24"/>
              </w:rPr>
            </w:pPr>
            <w:r>
              <w:rPr>
                <w:rFonts w:hint="eastAsia" w:ascii="宋体" w:hAnsi="宋体"/>
                <w:sz w:val="24"/>
              </w:rPr>
              <w:t>1）充分整合现有数据：通过数据平台整合医院现有的各类信息数据，将数据物理集中到统一的数据仓库环境；</w:t>
            </w:r>
          </w:p>
          <w:p>
            <w:pPr>
              <w:rPr>
                <w:rFonts w:hint="eastAsia" w:ascii="宋体" w:hAnsi="宋体"/>
                <w:sz w:val="24"/>
              </w:rPr>
            </w:pPr>
            <w:r>
              <w:rPr>
                <w:rFonts w:hint="eastAsia" w:ascii="宋体" w:hAnsi="宋体"/>
                <w:sz w:val="24"/>
              </w:rPr>
              <w:t>2）数据仓库标准化：为医院建立规范、完整、高效、可持续发展的数据仓库核心模型、ODS和多维分析模型，标准数据集符合国家卫健委和地方的相关标准；</w:t>
            </w:r>
          </w:p>
          <w:p>
            <w:pPr>
              <w:rPr>
                <w:rFonts w:hint="eastAsia" w:ascii="宋体" w:hAnsi="宋体"/>
                <w:sz w:val="24"/>
              </w:rPr>
            </w:pPr>
            <w:r>
              <w:rPr>
                <w:rFonts w:hint="eastAsia" w:ascii="宋体" w:hAnsi="宋体"/>
                <w:sz w:val="24"/>
              </w:rPr>
              <w:t>3）展现形式丰富细致：为医院提供自主分析、数据查询、报表分析、多维分析、数据挖掘等多种信息分拆手段；</w:t>
            </w:r>
          </w:p>
          <w:p>
            <w:pPr>
              <w:rPr>
                <w:rFonts w:hint="eastAsia" w:ascii="宋体" w:hAnsi="宋体"/>
                <w:sz w:val="24"/>
              </w:rPr>
            </w:pPr>
            <w:r>
              <w:rPr>
                <w:rFonts w:hint="eastAsia" w:ascii="宋体" w:hAnsi="宋体"/>
                <w:sz w:val="24"/>
              </w:rPr>
              <w:t>4）展现数据全面准确：从财务状况、人员绩效、医疗质量、医院未来发展趋势和能力等全方位、多角度提供领导决策分析；</w:t>
            </w:r>
          </w:p>
          <w:p>
            <w:pPr>
              <w:rPr>
                <w:rFonts w:hint="eastAsia" w:ascii="宋体" w:hAnsi="宋体"/>
                <w:sz w:val="24"/>
              </w:rPr>
            </w:pPr>
            <w:r>
              <w:rPr>
                <w:rFonts w:hint="eastAsia" w:ascii="宋体" w:hAnsi="宋体"/>
                <w:sz w:val="24"/>
              </w:rPr>
              <w:t>5）统一的门户：提供完整的数据门户，用户通过数据门户的定制化功能，可将各类数据使用、数据分析和业务应用功能整合在统一的环境中。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效能分析</w:t>
            </w:r>
          </w:p>
        </w:tc>
        <w:tc>
          <w:tcPr>
            <w:tcW w:w="5182" w:type="dxa"/>
          </w:tcPr>
          <w:p>
            <w:pPr>
              <w:rPr>
                <w:rFonts w:hint="eastAsia" w:ascii="宋体" w:hAnsi="宋体"/>
                <w:sz w:val="24"/>
              </w:rPr>
            </w:pPr>
            <w:r>
              <w:rPr>
                <w:rFonts w:hint="eastAsia" w:ascii="宋体" w:hAnsi="宋体"/>
                <w:sz w:val="24"/>
              </w:rPr>
              <w:t>1）从宏观到微观的运营数据、信息、资源的全面统计，自动产生报表，实现科学决策。它覆盖医院运营各个部分、各个方面的信息，包括业务量、收入及各级明细、各类统计信息、药品信息、医疗工作质量及效益等。</w:t>
            </w:r>
          </w:p>
          <w:p>
            <w:pPr>
              <w:rPr>
                <w:rFonts w:hint="eastAsia" w:ascii="宋体" w:hAnsi="宋体"/>
                <w:sz w:val="24"/>
              </w:rPr>
            </w:pPr>
            <w:r>
              <w:rPr>
                <w:rFonts w:hint="eastAsia" w:ascii="宋体" w:hAnsi="宋体"/>
                <w:sz w:val="24"/>
              </w:rPr>
              <w:t>2）查询统计方法灵活、简便，采用数据和图象结合显示，使得信息更直观、一目了然。门诊收入、住院收入、全院收入既可以按科室查询也可以按医师开单量查询，支持多个维度。</w:t>
            </w:r>
          </w:p>
          <w:p>
            <w:pPr>
              <w:rPr>
                <w:rFonts w:hint="eastAsia" w:ascii="宋体" w:hAnsi="宋体"/>
                <w:sz w:val="24"/>
              </w:rPr>
            </w:pPr>
            <w:r>
              <w:rPr>
                <w:rFonts w:hint="eastAsia" w:ascii="宋体" w:hAnsi="宋体"/>
                <w:sz w:val="24"/>
              </w:rPr>
              <w:t>3）主要统计展示和分析内容包括医疗服务统计（门急诊日/月/季/半年/年报表、住院日/月/季/半年/年报表、病人分类报表、院内上报数据、医政上级数据、门诊工作情况分析、病区工作情况分析、出院病人分病种统计、手术麻醉情况等）、综合查询与分析（财务管理分析、科室核算分配、医疗/护理质量分析等）。</w:t>
            </w:r>
          </w:p>
          <w:p>
            <w:pPr>
              <w:rPr>
                <w:rFonts w:hint="eastAsia" w:ascii="宋体" w:hAnsi="宋体"/>
                <w:sz w:val="24"/>
              </w:rPr>
            </w:pPr>
            <w:r>
              <w:rPr>
                <w:rFonts w:hint="eastAsia" w:ascii="宋体" w:hAnsi="宋体"/>
                <w:sz w:val="24"/>
              </w:rPr>
              <w:t>4）实现针对科室视角的统计展示和分析内容包括医疗服务统计（门急诊日/月/季/半年/年报表、住院日/月/季/半年/年报表、病人分类报表、门诊工作情况分析、病区工作情况分析、出院病人分病种统计等）、综合查询与分析（财务管理分析、医疗/护理质量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协同救治数据查询系统</w:t>
            </w:r>
          </w:p>
        </w:tc>
        <w:tc>
          <w:tcPr>
            <w:tcW w:w="5182" w:type="dxa"/>
          </w:tcPr>
          <w:p>
            <w:pPr>
              <w:rPr>
                <w:rFonts w:hint="eastAsia" w:ascii="宋体" w:hAnsi="宋体"/>
                <w:sz w:val="24"/>
              </w:rPr>
            </w:pPr>
            <w:r>
              <w:rPr>
                <w:rFonts w:hint="eastAsia" w:ascii="宋体" w:hAnsi="宋体"/>
                <w:sz w:val="24"/>
              </w:rPr>
              <w:t>1）支持业务需求分析：对当前业务需求进行深入分析，了解业务的发展趋势和变化，为后续的训练和管理提供基础。</w:t>
            </w:r>
          </w:p>
          <w:p>
            <w:pPr>
              <w:rPr>
                <w:rFonts w:hint="eastAsia" w:ascii="宋体" w:hAnsi="宋体"/>
                <w:sz w:val="24"/>
              </w:rPr>
            </w:pPr>
            <w:r>
              <w:rPr>
                <w:rFonts w:hint="eastAsia" w:ascii="宋体" w:hAnsi="宋体"/>
                <w:sz w:val="24"/>
              </w:rPr>
              <w:t>2）支持数据预处理：对原始数据进行清洗、去重、转换等操作，确保数据的质量和可用性。</w:t>
            </w:r>
          </w:p>
          <w:p>
            <w:pPr>
              <w:rPr>
                <w:rFonts w:hint="eastAsia" w:ascii="宋体" w:hAnsi="宋体"/>
                <w:sz w:val="24"/>
              </w:rPr>
            </w:pPr>
            <w:r>
              <w:rPr>
                <w:rFonts w:hint="eastAsia" w:ascii="宋体" w:hAnsi="宋体"/>
                <w:sz w:val="24"/>
              </w:rPr>
              <w:t>3）支持业务扩展配置：根据业务发展的需要，对系统进行扩展配置，包括增加新的数据源、调整数据处理流程等。</w:t>
            </w:r>
          </w:p>
          <w:p>
            <w:pPr>
              <w:rPr>
                <w:rFonts w:hint="eastAsia" w:ascii="宋体" w:hAnsi="宋体"/>
                <w:sz w:val="24"/>
              </w:rPr>
            </w:pPr>
            <w:r>
              <w:rPr>
                <w:rFonts w:hint="eastAsia" w:ascii="宋体" w:hAnsi="宋体"/>
                <w:sz w:val="24"/>
              </w:rPr>
              <w:t>4）支持模型训练与优化：利用训练数据集对模型进行训练和优化，提高模型的准确性和性能。</w:t>
            </w:r>
          </w:p>
          <w:p>
            <w:pPr>
              <w:rPr>
                <w:rFonts w:hint="eastAsia" w:ascii="宋体" w:hAnsi="宋体"/>
                <w:sz w:val="24"/>
              </w:rPr>
            </w:pPr>
            <w:r>
              <w:rPr>
                <w:rFonts w:hint="eastAsia" w:ascii="宋体" w:hAnsi="宋体"/>
                <w:sz w:val="24"/>
              </w:rPr>
              <w:t>5）支持持续学习与更新：系统应具备持续学习和更新的能力，能够根据业务的变化和数据的更新进行自适应调整和优化。</w:t>
            </w:r>
          </w:p>
          <w:p>
            <w:pPr>
              <w:rPr>
                <w:rFonts w:hint="eastAsia" w:ascii="宋体" w:hAnsi="宋体"/>
                <w:sz w:val="24"/>
              </w:rPr>
            </w:pPr>
            <w:r>
              <w:rPr>
                <w:rFonts w:hint="eastAsia" w:ascii="宋体" w:hAnsi="宋体"/>
                <w:sz w:val="24"/>
              </w:rPr>
              <w:t>6）支持数据模型设计：基于需求分析的结果，设计合适的数据模型。数据模型应能够反映业务逻辑和数据关系，并为后续的数据开发提供指导。</w:t>
            </w:r>
          </w:p>
          <w:p>
            <w:pPr>
              <w:rPr>
                <w:rFonts w:hint="eastAsia" w:ascii="宋体" w:hAnsi="宋体"/>
                <w:sz w:val="24"/>
              </w:rPr>
            </w:pPr>
            <w:r>
              <w:rPr>
                <w:rFonts w:hint="eastAsia" w:ascii="宋体" w:hAnsi="宋体"/>
                <w:sz w:val="24"/>
              </w:rPr>
              <w:t>7）支持ETL过程：ETL提取、转换、加载）支持</w:t>
            </w:r>
            <w:r>
              <w:rPr>
                <w:rFonts w:hint="eastAsia" w:ascii="宋体" w:hAnsi="宋体"/>
                <w:sz w:val="24"/>
              </w:rPr>
              <w:tab/>
            </w:r>
            <w:r>
              <w:rPr>
                <w:rFonts w:hint="eastAsia" w:ascii="宋体" w:hAnsi="宋体"/>
                <w:sz w:val="24"/>
              </w:rPr>
              <w:t>是数据指标开发的关键过程。这一过程包括从原始数据源提取数据、进行必要的清洗、转换和整合，以适应数据模型的要求，并加载到目标数据仓库或数据湖中。</w:t>
            </w:r>
          </w:p>
          <w:p>
            <w:pPr>
              <w:rPr>
                <w:rFonts w:hint="eastAsia" w:ascii="宋体" w:hAnsi="宋体"/>
                <w:sz w:val="24"/>
              </w:rPr>
            </w:pPr>
            <w:r>
              <w:rPr>
                <w:rFonts w:hint="eastAsia" w:ascii="宋体" w:hAnsi="宋体"/>
                <w:sz w:val="24"/>
              </w:rPr>
              <w:t>8）支持数据开发：根据设计的数据模型和ETL过程，进行实际的数据开发工作。这可能涉及编写SQL脚本、使用编程语言进行数据处理、应用机器学习算法等。</w:t>
            </w:r>
          </w:p>
          <w:p>
            <w:pPr>
              <w:rPr>
                <w:rFonts w:hint="eastAsia" w:ascii="宋体" w:hAnsi="宋体"/>
                <w:sz w:val="24"/>
              </w:rPr>
            </w:pPr>
            <w:r>
              <w:rPr>
                <w:rFonts w:hint="eastAsia" w:ascii="宋体" w:hAnsi="宋体"/>
                <w:sz w:val="24"/>
              </w:rPr>
              <w:t>9）支持质量保证与验证：在数据开发过程中，确保数据质量是非常重要的。这涉及对数据进行验证、清洗和校验，确保数据的准确性和完整性。</w:t>
            </w:r>
          </w:p>
          <w:p>
            <w:pPr>
              <w:rPr>
                <w:rFonts w:hint="eastAsia" w:ascii="宋体" w:hAnsi="宋体"/>
                <w:sz w:val="24"/>
              </w:rPr>
            </w:pPr>
            <w:r>
              <w:rPr>
                <w:rFonts w:hint="eastAsia" w:ascii="宋体" w:hAnsi="宋体"/>
                <w:sz w:val="24"/>
              </w:rPr>
              <w:t>10）支持数据整合与集成：将开发出的数据指标整合到智能洞察系统的数据源中，以便进行后续的数据分析和洞察。</w:t>
            </w:r>
          </w:p>
          <w:p>
            <w:pPr>
              <w:rPr>
                <w:rFonts w:hint="eastAsia" w:ascii="宋体" w:hAnsi="宋体"/>
                <w:sz w:val="24"/>
              </w:rPr>
            </w:pPr>
            <w:r>
              <w:rPr>
                <w:rFonts w:hint="eastAsia" w:ascii="宋体" w:hAnsi="宋体"/>
                <w:sz w:val="24"/>
              </w:rPr>
              <w:t>11）支持持续优化与更新：随着业务需求的变化和数据的更新，数据指标开发是一个持续优化的过程。需要定期评估和调整数据模型，以保持数据的时效性和准确性。</w:t>
            </w:r>
          </w:p>
          <w:p>
            <w:pPr>
              <w:rPr>
                <w:rFonts w:hint="eastAsia" w:ascii="宋体" w:hAnsi="宋体"/>
                <w:sz w:val="24"/>
              </w:rPr>
            </w:pPr>
            <w:r>
              <w:rPr>
                <w:rFonts w:hint="eastAsia" w:ascii="宋体" w:hAnsi="宋体"/>
                <w:sz w:val="24"/>
              </w:rPr>
              <w:t>12）支持安全性与隐私保护：在数据指标开发过程中，应采取适当的措施来保护数据的隐私和安全。例如，使用加密技术、访问控制和安全审计等措施来防止数据泄露和未经授权的访问。</w:t>
            </w:r>
          </w:p>
          <w:p>
            <w:pPr>
              <w:rPr>
                <w:rFonts w:hint="eastAsia" w:ascii="宋体" w:hAnsi="宋体"/>
                <w:sz w:val="24"/>
              </w:rPr>
            </w:pPr>
            <w:r>
              <w:rPr>
                <w:rFonts w:hint="eastAsia" w:ascii="宋体" w:hAnsi="宋体"/>
                <w:sz w:val="24"/>
              </w:rPr>
              <w:t>13）支持意图识别：系统能够识别和理解用户的自然语言输入，准确地理解用户的意图和需求。通过自然语言解析技术，将自然语言转化为结构化的查询请求，确保数据问答的准确性和高效性。</w:t>
            </w:r>
          </w:p>
          <w:p>
            <w:pPr>
              <w:rPr>
                <w:rFonts w:hint="eastAsia" w:ascii="宋体" w:hAnsi="宋体"/>
                <w:sz w:val="24"/>
              </w:rPr>
            </w:pPr>
            <w:r>
              <w:rPr>
                <w:rFonts w:hint="eastAsia" w:ascii="宋体" w:hAnsi="宋体"/>
                <w:sz w:val="24"/>
              </w:rPr>
              <w:t>14）支持多轮对话能力：系统具备多轮对话的能力，可以根据用户的提问和反馈进行连续的交流和问答。通过多轮对话，系统可以深入了解用户的需求，提供更加精准和个性化的数据服务。</w:t>
            </w:r>
          </w:p>
          <w:p>
            <w:pPr>
              <w:rPr>
                <w:rFonts w:hint="eastAsia" w:ascii="宋体" w:hAnsi="宋体"/>
                <w:sz w:val="24"/>
              </w:rPr>
            </w:pPr>
            <w:r>
              <w:rPr>
                <w:rFonts w:hint="eastAsia" w:ascii="宋体" w:hAnsi="宋体"/>
                <w:sz w:val="24"/>
              </w:rPr>
              <w:t>15）支持智能化图表展现：系统能够根据用户的需求，将数据分析结果以直观的图表形式展现出来。通过智能可视化技术，系统可以生成各种类型的图表，如柱状图、折线图、饼图等，帮助用户更好地理解数据和分析结果。</w:t>
            </w:r>
          </w:p>
          <w:p>
            <w:pPr>
              <w:rPr>
                <w:rFonts w:hint="eastAsia" w:ascii="宋体" w:hAnsi="宋体"/>
                <w:sz w:val="24"/>
              </w:rPr>
            </w:pPr>
            <w:r>
              <w:rPr>
                <w:rFonts w:hint="eastAsia" w:ascii="宋体" w:hAnsi="宋体"/>
                <w:sz w:val="24"/>
              </w:rPr>
              <w:t>16）支持降低使用门槛：自然语言对话式数据分析方式降低了数据分析的门槛，使得非专业用户也能轻松地获取数据、理解和分析数据。用户无需具备专业的技术背景或数据分析技能，通过简单的对话即可获取所需的数据和分析结果。</w:t>
            </w:r>
          </w:p>
          <w:p>
            <w:pPr>
              <w:rPr>
                <w:rFonts w:hint="eastAsia" w:ascii="宋体" w:hAnsi="宋体"/>
                <w:sz w:val="24"/>
              </w:rPr>
            </w:pPr>
            <w:r>
              <w:rPr>
                <w:rFonts w:hint="eastAsia" w:ascii="宋体" w:hAnsi="宋体"/>
                <w:sz w:val="24"/>
              </w:rPr>
              <w:t>14）支持智能分析与建议：系统不仅提供数据查询和可视化功能，还能对数据进行分析和解读。通过智能分析技术，系统可以发现数据之间的关联和规律，为用户提供有价值的洞察和建议。这有助于用户更好地理解业务和做出决策。</w:t>
            </w:r>
          </w:p>
          <w:p>
            <w:pPr>
              <w:rPr>
                <w:rFonts w:hint="eastAsia" w:ascii="宋体" w:hAnsi="宋体"/>
                <w:sz w:val="24"/>
              </w:rPr>
            </w:pPr>
            <w:r>
              <w:rPr>
                <w:rFonts w:hint="eastAsia" w:ascii="宋体" w:hAnsi="宋体"/>
                <w:sz w:val="24"/>
              </w:rPr>
              <w:t>17）支持持续学习和优化：系统具备持续学习和优化的能力。通过不断的学习和训练，系统能够逐渐提高意图识别的准确率和数据问答的智能化水平，提升用户体验和分析效果。</w:t>
            </w:r>
          </w:p>
          <w:p>
            <w:pPr>
              <w:rPr>
                <w:rFonts w:hint="eastAsia" w:ascii="宋体" w:hAnsi="宋体"/>
                <w:sz w:val="24"/>
              </w:rPr>
            </w:pPr>
            <w:r>
              <w:rPr>
                <w:rFonts w:hint="eastAsia" w:ascii="宋体" w:hAnsi="宋体"/>
                <w:sz w:val="24"/>
              </w:rPr>
              <w:t>18）支持自然语言理解：系统能够识别和理解用户的自然语言输入，将其转化为结构化的查询请求。这需要使用自然语言处理技术，如分词、词性标注、句法分析等，以解析用户的查询意图和关键信息。</w:t>
            </w:r>
          </w:p>
          <w:p>
            <w:pPr>
              <w:rPr>
                <w:rFonts w:hint="eastAsia" w:ascii="宋体" w:hAnsi="宋体"/>
                <w:sz w:val="24"/>
              </w:rPr>
            </w:pPr>
            <w:r>
              <w:rPr>
                <w:rFonts w:hint="eastAsia" w:ascii="宋体" w:hAnsi="宋体"/>
                <w:sz w:val="24"/>
              </w:rPr>
              <w:t>19）支持数据治理与质量：为了确保查询结果的准确性和可靠性，系统需要对数据进行治理和质量保证。这包括数据清洗、数据转换、数据验证等步骤，以确保数据的准确性和一致性。</w:t>
            </w:r>
          </w:p>
          <w:p>
            <w:pPr>
              <w:rPr>
                <w:rFonts w:hint="eastAsia" w:ascii="宋体" w:hAnsi="宋体"/>
                <w:sz w:val="24"/>
              </w:rPr>
            </w:pPr>
            <w:r>
              <w:rPr>
                <w:rFonts w:hint="eastAsia" w:ascii="宋体" w:hAnsi="宋体"/>
                <w:sz w:val="24"/>
              </w:rPr>
              <w:t>20）支持术语一致性：为了使用户的查询术语与数据库中的术语尽可能保持一致，系统需要具备同义词管理和配置功能。通过同义词配置，系统能够将用户查询中的自然语言术语转换为相应的数据库术语，提高查询的准确性和效率。</w:t>
            </w:r>
          </w:p>
          <w:p>
            <w:pPr>
              <w:rPr>
                <w:rFonts w:hint="eastAsia" w:ascii="宋体" w:hAnsi="宋体"/>
                <w:sz w:val="24"/>
              </w:rPr>
            </w:pPr>
            <w:r>
              <w:rPr>
                <w:rFonts w:hint="eastAsia" w:ascii="宋体" w:hAnsi="宋体"/>
                <w:sz w:val="24"/>
              </w:rPr>
              <w:t>21）支持快速检索与分析：系统需要具备高效的检索和分析算法，能够在海量数据中快速生成查询结果。这需要使用索引、查询优化等技术来提高查询速度和效率。</w:t>
            </w:r>
          </w:p>
          <w:p>
            <w:pPr>
              <w:rPr>
                <w:rFonts w:hint="eastAsia" w:ascii="宋体" w:hAnsi="宋体"/>
                <w:sz w:val="24"/>
              </w:rPr>
            </w:pPr>
            <w:r>
              <w:rPr>
                <w:rFonts w:hint="eastAsia" w:ascii="宋体" w:hAnsi="宋体"/>
                <w:sz w:val="24"/>
              </w:rPr>
              <w:t>22）支持结果可视化与展示：系统能够将查询结果以直观的方式展示给用户，如表格、图表、报告等。通过可视化技术，用户可以更好地理解数据和分析结果，提高决策的准确性和效率。</w:t>
            </w:r>
          </w:p>
          <w:p>
            <w:pPr>
              <w:rPr>
                <w:rFonts w:hint="eastAsia" w:ascii="宋体" w:hAnsi="宋体"/>
                <w:sz w:val="24"/>
              </w:rPr>
            </w:pPr>
            <w:r>
              <w:rPr>
                <w:rFonts w:hint="eastAsia" w:ascii="宋体" w:hAnsi="宋体"/>
                <w:sz w:val="24"/>
              </w:rPr>
              <w:t>23）支持反馈与持续学习：系统具备反馈和学习机制，能够根据用户的查询意图和反馈不断优化和改进自身的理解能力。通过持续学习和模型更新，系统可以逐渐提高智能查询的准确性和效率。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hint="eastAsia" w:ascii="宋体" w:hAnsi="宋体"/>
                <w:sz w:val="24"/>
              </w:rPr>
            </w:pPr>
            <w:bookmarkStart w:id="12" w:name="_Hlk176197071"/>
            <w:r>
              <w:rPr>
                <w:rFonts w:hint="eastAsia" w:ascii="宋体" w:hAnsi="宋体"/>
                <w:sz w:val="24"/>
              </w:rPr>
              <w:t>发热门诊精细化管理</w:t>
            </w:r>
            <w:bookmarkEnd w:id="12"/>
          </w:p>
        </w:tc>
        <w:tc>
          <w:tcPr>
            <w:tcW w:w="2126" w:type="dxa"/>
          </w:tcPr>
          <w:p>
            <w:pPr>
              <w:rPr>
                <w:rFonts w:hint="eastAsia" w:ascii="宋体" w:hAnsi="宋体"/>
                <w:sz w:val="24"/>
              </w:rPr>
            </w:pPr>
            <w:r>
              <w:rPr>
                <w:rFonts w:hint="eastAsia" w:ascii="宋体" w:hAnsi="宋体"/>
                <w:sz w:val="24"/>
              </w:rPr>
              <w:t>发热门诊精细化管理</w:t>
            </w:r>
          </w:p>
        </w:tc>
        <w:tc>
          <w:tcPr>
            <w:tcW w:w="5182" w:type="dxa"/>
          </w:tcPr>
          <w:p>
            <w:pPr>
              <w:rPr>
                <w:rFonts w:hint="eastAsia" w:ascii="宋体" w:hAnsi="宋体"/>
                <w:sz w:val="24"/>
              </w:rPr>
            </w:pPr>
            <w:r>
              <w:rPr>
                <w:rFonts w:hint="eastAsia" w:ascii="宋体" w:hAnsi="宋体"/>
                <w:sz w:val="24"/>
              </w:rPr>
              <w:t>1）发热门诊精细化管理是医院发展的重要环节。应对就诊高峰、提升挂号预约机制、合理分配资源、合理利用专家资源。目的都是为了满足门诊就医需求，缓解就医难，提高患者就医的诊疗水平。</w:t>
            </w:r>
          </w:p>
          <w:p>
            <w:pPr>
              <w:rPr>
                <w:rFonts w:hint="eastAsia" w:ascii="宋体" w:hAnsi="宋体"/>
                <w:sz w:val="24"/>
              </w:rPr>
            </w:pPr>
            <w:r>
              <w:rPr>
                <w:rFonts w:hint="eastAsia" w:ascii="宋体" w:hAnsi="宋体"/>
                <w:sz w:val="24"/>
              </w:rPr>
              <w:t>2） 发热门诊精细化监测大屏首页：</w:t>
            </w:r>
          </w:p>
          <w:p>
            <w:pPr>
              <w:rPr>
                <w:rFonts w:hint="eastAsia" w:ascii="宋体" w:hAnsi="宋体"/>
                <w:sz w:val="24"/>
              </w:rPr>
            </w:pPr>
            <w:r>
              <w:rPr>
                <w:rFonts w:hint="eastAsia" w:ascii="宋体" w:hAnsi="宋体"/>
                <w:sz w:val="24"/>
              </w:rPr>
              <w:t>数据分析对象包括：医生出诊监测、年度发热门诊指标监测、发热门诊就诊患者监测、预约来源监测、发热门诊接诊监测、患者性别构成监测、医保类型构成监测、患者年龄构成监测、发热门诊收费监测</w:t>
            </w:r>
          </w:p>
          <w:p>
            <w:pPr>
              <w:rPr>
                <w:rFonts w:hint="eastAsia" w:ascii="宋体" w:hAnsi="宋体"/>
                <w:sz w:val="24"/>
              </w:rPr>
            </w:pPr>
            <w:r>
              <w:rPr>
                <w:rFonts w:hint="eastAsia" w:ascii="宋体" w:hAnsi="宋体"/>
                <w:sz w:val="24"/>
              </w:rPr>
              <w:t>3）各诊间医生出诊情况监测</w:t>
            </w:r>
          </w:p>
          <w:p>
            <w:pPr>
              <w:rPr>
                <w:rFonts w:hint="eastAsia" w:ascii="宋体" w:hAnsi="宋体"/>
                <w:sz w:val="24"/>
              </w:rPr>
            </w:pPr>
            <w:r>
              <w:rPr>
                <w:rFonts w:hint="eastAsia" w:ascii="宋体" w:hAnsi="宋体"/>
                <w:sz w:val="24"/>
              </w:rPr>
              <w:t>主要用于分析各诊间医生的工作情况，包括出诊时间、结束时间、挂号人次、预约人次、候诊人次、接诊人次、平均诊疗时间、次均收费情况、药占比情况。</w:t>
            </w:r>
          </w:p>
          <w:p>
            <w:pPr>
              <w:rPr>
                <w:rFonts w:hint="eastAsia" w:ascii="宋体" w:hAnsi="宋体"/>
                <w:sz w:val="24"/>
              </w:rPr>
            </w:pPr>
            <w:r>
              <w:rPr>
                <w:rFonts w:hint="eastAsia" w:ascii="宋体" w:hAnsi="宋体"/>
                <w:sz w:val="24"/>
              </w:rPr>
              <w:t>4）挂号收费窗口工作量监测</w:t>
            </w:r>
          </w:p>
          <w:p>
            <w:pPr>
              <w:rPr>
                <w:rFonts w:hint="eastAsia" w:ascii="宋体" w:hAnsi="宋体"/>
                <w:sz w:val="24"/>
              </w:rPr>
            </w:pPr>
            <w:r>
              <w:rPr>
                <w:rFonts w:hint="eastAsia" w:ascii="宋体" w:hAnsi="宋体"/>
                <w:sz w:val="24"/>
              </w:rPr>
              <w:t>主要用于分析挂号收费窗口工作情况，包括工作人员的开始时间、结束时间、挂号人次、退号人次、收费人次、退费人次等数据。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tcPr>
          <w:p>
            <w:pPr>
              <w:rPr>
                <w:rFonts w:hint="eastAsia" w:ascii="宋体" w:hAnsi="宋体"/>
                <w:sz w:val="24"/>
              </w:rPr>
            </w:pPr>
            <w:bookmarkStart w:id="13" w:name="_Hlk176197080"/>
            <w:r>
              <w:rPr>
                <w:rFonts w:hint="eastAsia" w:ascii="宋体" w:hAnsi="宋体"/>
                <w:sz w:val="24"/>
              </w:rPr>
              <w:t>加强院感防护物资配置和储备</w:t>
            </w:r>
            <w:bookmarkEnd w:id="13"/>
          </w:p>
        </w:tc>
        <w:tc>
          <w:tcPr>
            <w:tcW w:w="2126" w:type="dxa"/>
          </w:tcPr>
          <w:p>
            <w:pPr>
              <w:rPr>
                <w:rFonts w:hint="eastAsia" w:ascii="宋体" w:hAnsi="宋体"/>
                <w:sz w:val="24"/>
              </w:rPr>
            </w:pPr>
            <w:r>
              <w:rPr>
                <w:rFonts w:hint="eastAsia" w:ascii="宋体" w:hAnsi="宋体"/>
                <w:sz w:val="24"/>
              </w:rPr>
              <w:t>医院感染信息系统升级</w:t>
            </w:r>
          </w:p>
        </w:tc>
        <w:tc>
          <w:tcPr>
            <w:tcW w:w="5182" w:type="dxa"/>
          </w:tcPr>
          <w:p>
            <w:pPr>
              <w:rPr>
                <w:rFonts w:hint="eastAsia" w:ascii="宋体" w:hAnsi="宋体"/>
                <w:sz w:val="24"/>
              </w:rPr>
            </w:pPr>
            <w:r>
              <w:rPr>
                <w:rFonts w:hint="eastAsia" w:ascii="宋体" w:hAnsi="宋体"/>
                <w:sz w:val="24"/>
              </w:rPr>
              <w:t>1）感染病例实时监测</w:t>
            </w:r>
          </w:p>
          <w:p>
            <w:pPr>
              <w:rPr>
                <w:rFonts w:hint="eastAsia" w:ascii="宋体" w:hAnsi="宋体"/>
                <w:sz w:val="24"/>
              </w:rPr>
            </w:pPr>
            <w:r>
              <w:rPr>
                <w:rFonts w:hint="eastAsia" w:ascii="宋体" w:hAnsi="宋体"/>
                <w:sz w:val="24"/>
              </w:rPr>
              <w:t>病例实时监测：须根据录入的住院病人资料、入院诊断、医嘱信息、抗生素药品、导管相关、检查报告、检验结果、体温信息、手术信息等，监测符合基本病例判定标准的住院病人，判断预警病人感染情况。</w:t>
            </w:r>
          </w:p>
          <w:p>
            <w:pPr>
              <w:rPr>
                <w:rFonts w:hint="eastAsia" w:ascii="宋体" w:hAnsi="宋体"/>
                <w:sz w:val="24"/>
              </w:rPr>
            </w:pPr>
            <w:r>
              <w:rPr>
                <w:rFonts w:hint="eastAsia" w:ascii="宋体" w:hAnsi="宋体"/>
                <w:sz w:val="24"/>
              </w:rPr>
              <w:t>监测的匹配率可以根据系统参数进行调整。</w:t>
            </w:r>
          </w:p>
          <w:p>
            <w:pPr>
              <w:rPr>
                <w:rFonts w:hint="eastAsia" w:ascii="宋体" w:hAnsi="宋体"/>
                <w:sz w:val="24"/>
              </w:rPr>
            </w:pPr>
            <w:r>
              <w:rPr>
                <w:rFonts w:hint="eastAsia" w:ascii="宋体" w:hAnsi="宋体"/>
                <w:sz w:val="24"/>
              </w:rPr>
              <w:t>感染诊断确诊患者及暴发的相关数据可以导出成指定格式的文件。</w:t>
            </w:r>
          </w:p>
          <w:p>
            <w:pPr>
              <w:rPr>
                <w:rFonts w:hint="eastAsia" w:ascii="宋体" w:hAnsi="宋体"/>
                <w:sz w:val="24"/>
              </w:rPr>
            </w:pPr>
            <w:r>
              <w:rPr>
                <w:rFonts w:hint="eastAsia" w:ascii="宋体" w:hAnsi="宋体"/>
                <w:sz w:val="24"/>
              </w:rPr>
              <w:t>需实现病区还是医院感染办公室均可以看到相同的监测信息，实现医院感染病例的监测和上报管理。</w:t>
            </w:r>
          </w:p>
          <w:p>
            <w:pPr>
              <w:rPr>
                <w:rFonts w:hint="eastAsia" w:ascii="宋体" w:hAnsi="宋体"/>
                <w:sz w:val="24"/>
              </w:rPr>
            </w:pPr>
            <w:r>
              <w:rPr>
                <w:rFonts w:hint="eastAsia" w:ascii="宋体" w:hAnsi="宋体"/>
                <w:sz w:val="24"/>
              </w:rPr>
              <w:t>2）医院感染暴发监测</w:t>
            </w:r>
          </w:p>
          <w:p>
            <w:pPr>
              <w:rPr>
                <w:rFonts w:hint="eastAsia" w:ascii="宋体" w:hAnsi="宋体"/>
                <w:sz w:val="24"/>
              </w:rPr>
            </w:pPr>
            <w:r>
              <w:rPr>
                <w:rFonts w:hint="eastAsia" w:ascii="宋体" w:hAnsi="宋体"/>
                <w:sz w:val="24"/>
              </w:rPr>
              <w:t>用于监测医院感染暴发，需满足根据系统参数设置，比如在7天内，同一病区、发生达到3例以上相同的感染或相邻病床的病人同时多例体温异常，系统将自动给予暴发预警提示。同样暴发监测也建立了病区与医院感染办公室的流程机制。</w:t>
            </w:r>
          </w:p>
          <w:p>
            <w:pPr>
              <w:rPr>
                <w:rFonts w:hint="eastAsia" w:ascii="宋体" w:hAnsi="宋体"/>
                <w:sz w:val="24"/>
              </w:rPr>
            </w:pPr>
            <w:r>
              <w:rPr>
                <w:rFonts w:hint="eastAsia" w:ascii="宋体" w:hAnsi="宋体"/>
                <w:sz w:val="24"/>
              </w:rPr>
              <w:t>3）ICU病例监测</w:t>
            </w:r>
          </w:p>
          <w:p>
            <w:pPr>
              <w:rPr>
                <w:rFonts w:hint="eastAsia" w:ascii="宋体" w:hAnsi="宋体"/>
                <w:sz w:val="24"/>
              </w:rPr>
            </w:pPr>
            <w:r>
              <w:rPr>
                <w:rFonts w:hint="eastAsia" w:ascii="宋体" w:hAnsi="宋体"/>
                <w:sz w:val="24"/>
              </w:rPr>
              <w:t>应针对重症监护病房（ICU）的病人进行目标性的监测。可按日调查ICU床位上的病人发生感染情况，需实现对ICU床位上的病人填写病情评估分值。</w:t>
            </w:r>
          </w:p>
          <w:p>
            <w:pPr>
              <w:rPr>
                <w:rFonts w:hint="eastAsia" w:ascii="宋体" w:hAnsi="宋体"/>
                <w:sz w:val="24"/>
              </w:rPr>
            </w:pPr>
            <w:r>
              <w:rPr>
                <w:rFonts w:hint="eastAsia" w:ascii="宋体" w:hAnsi="宋体"/>
                <w:sz w:val="24"/>
              </w:rPr>
              <w:t>4）导管相关监测</w:t>
            </w:r>
          </w:p>
          <w:p>
            <w:pPr>
              <w:rPr>
                <w:rFonts w:hint="eastAsia" w:ascii="宋体" w:hAnsi="宋体"/>
                <w:sz w:val="24"/>
              </w:rPr>
            </w:pPr>
            <w:r>
              <w:rPr>
                <w:rFonts w:hint="eastAsia" w:ascii="宋体" w:hAnsi="宋体"/>
                <w:sz w:val="24"/>
              </w:rPr>
              <w:t>用于监测在院病人导管留置情况，对于留置导管超过一定天数的在院病人进行评估，填写相应的评估表，可监测每个病人是否发生导管相关感染的情况。</w:t>
            </w:r>
          </w:p>
          <w:p>
            <w:pPr>
              <w:rPr>
                <w:rFonts w:hint="eastAsia" w:ascii="宋体" w:hAnsi="宋体"/>
                <w:sz w:val="24"/>
              </w:rPr>
            </w:pPr>
            <w:r>
              <w:rPr>
                <w:rFonts w:hint="eastAsia" w:ascii="宋体" w:hAnsi="宋体"/>
                <w:sz w:val="24"/>
              </w:rPr>
              <w:t>5）手术目标监测</w:t>
            </w:r>
          </w:p>
          <w:p>
            <w:pPr>
              <w:rPr>
                <w:rFonts w:hint="eastAsia" w:ascii="宋体" w:hAnsi="宋体"/>
                <w:sz w:val="24"/>
              </w:rPr>
            </w:pPr>
            <w:r>
              <w:rPr>
                <w:rFonts w:hint="eastAsia" w:ascii="宋体" w:hAnsi="宋体"/>
                <w:sz w:val="24"/>
              </w:rPr>
              <w:t>用于监测全院所有的外科手术，建立手术调查表，并完成对手术相关的植入性材料、腔镜以及围手术期抗菌药物的使用监测，并计算各种感染率。</w:t>
            </w:r>
          </w:p>
          <w:p>
            <w:pPr>
              <w:rPr>
                <w:rFonts w:hint="eastAsia" w:ascii="宋体" w:hAnsi="宋体"/>
                <w:sz w:val="24"/>
              </w:rPr>
            </w:pPr>
            <w:r>
              <w:rPr>
                <w:rFonts w:hint="eastAsia" w:ascii="宋体" w:hAnsi="宋体"/>
                <w:sz w:val="24"/>
              </w:rPr>
              <w:t>6）感染病例直报</w:t>
            </w:r>
          </w:p>
          <w:p>
            <w:pPr>
              <w:rPr>
                <w:rFonts w:hint="eastAsia" w:ascii="宋体" w:hAnsi="宋体"/>
                <w:sz w:val="24"/>
              </w:rPr>
            </w:pPr>
            <w:r>
              <w:rPr>
                <w:rFonts w:hint="eastAsia" w:ascii="宋体" w:hAnsi="宋体"/>
                <w:sz w:val="24"/>
              </w:rPr>
              <w:t>可以根据医院感染模型自动定位感染疑似病人，将其推送至医生工作站，医生可以进行感染病例直报，医院感染管理科进行病例确认，同时也可以进行漏报病例管理。</w:t>
            </w:r>
          </w:p>
          <w:p>
            <w:pPr>
              <w:rPr>
                <w:rFonts w:hint="eastAsia" w:ascii="宋体" w:hAnsi="宋体"/>
                <w:sz w:val="24"/>
              </w:rPr>
            </w:pPr>
            <w:r>
              <w:rPr>
                <w:rFonts w:hint="eastAsia" w:ascii="宋体" w:hAnsi="宋体"/>
                <w:sz w:val="24"/>
              </w:rPr>
              <w:t>7）抗菌药物监测</w:t>
            </w:r>
          </w:p>
          <w:p>
            <w:pPr>
              <w:rPr>
                <w:rFonts w:hint="eastAsia" w:ascii="宋体" w:hAnsi="宋体"/>
                <w:sz w:val="24"/>
              </w:rPr>
            </w:pPr>
            <w:r>
              <w:rPr>
                <w:rFonts w:hint="eastAsia" w:ascii="宋体" w:hAnsi="宋体"/>
                <w:sz w:val="24"/>
              </w:rPr>
              <w:t>可以自动采集住院科室每天的抗菌药物使用情况，根据卫生部的要求自动分析出各种指标，自动出具各种报表。可以单独统计出院感的病原菌耐药情况，自动从LIS系统中统计出全院所有的病原菌耐药情况。根据感染标本的送检情况与抗生素使用情况计算出送检率。</w:t>
            </w:r>
          </w:p>
          <w:p>
            <w:pPr>
              <w:rPr>
                <w:rFonts w:hint="eastAsia" w:ascii="宋体" w:hAnsi="宋体"/>
                <w:sz w:val="24"/>
              </w:rPr>
            </w:pPr>
            <w:r>
              <w:rPr>
                <w:rFonts w:hint="eastAsia" w:ascii="宋体" w:hAnsi="宋体"/>
                <w:sz w:val="24"/>
              </w:rPr>
              <w:t>8）消毒剂消耗管理</w:t>
            </w:r>
          </w:p>
          <w:p>
            <w:pPr>
              <w:rPr>
                <w:rFonts w:hint="eastAsia" w:ascii="宋体" w:hAnsi="宋体"/>
                <w:sz w:val="24"/>
              </w:rPr>
            </w:pPr>
            <w:r>
              <w:rPr>
                <w:rFonts w:hint="eastAsia" w:ascii="宋体" w:hAnsi="宋体"/>
                <w:sz w:val="24"/>
              </w:rPr>
              <w:t>可以对消毒剂（含手消毒）采购进行信息备案，信息包括购进产品的企业名称、产品名称、必备证件、型号规格、产品数量、生产批号、灭菌批号、产品有效期等。通过相关部门获取消毒剂在院内的下发、使用、销毁情况，并通过系统的下发量和核对实际消耗量、剩余量的差异，监控到是否有复用或过期使用情况出现。可以计算各个科室的消毒剂每日每床使用量。</w:t>
            </w:r>
          </w:p>
          <w:p>
            <w:pPr>
              <w:rPr>
                <w:rFonts w:hint="eastAsia" w:ascii="宋体" w:hAnsi="宋体"/>
                <w:sz w:val="24"/>
              </w:rPr>
            </w:pPr>
            <w:r>
              <w:rPr>
                <w:rFonts w:hint="eastAsia" w:ascii="宋体" w:hAnsi="宋体"/>
                <w:sz w:val="24"/>
              </w:rPr>
              <w:t>9） 职业暴露管理</w:t>
            </w:r>
          </w:p>
          <w:p>
            <w:pPr>
              <w:rPr>
                <w:rFonts w:hint="eastAsia" w:ascii="宋体" w:hAnsi="宋体"/>
                <w:sz w:val="24"/>
              </w:rPr>
            </w:pPr>
            <w:r>
              <w:rPr>
                <w:rFonts w:hint="eastAsia" w:ascii="宋体" w:hAnsi="宋体"/>
                <w:sz w:val="24"/>
              </w:rPr>
              <w:t>对于医务人员职业暴露情况的监测，可以及时给予相应处理的提示，并进行各种统计分析。</w:t>
            </w:r>
          </w:p>
          <w:p>
            <w:pPr>
              <w:rPr>
                <w:rFonts w:hint="eastAsia" w:ascii="宋体" w:hAnsi="宋体"/>
                <w:sz w:val="24"/>
              </w:rPr>
            </w:pPr>
            <w:r>
              <w:rPr>
                <w:rFonts w:hint="eastAsia" w:ascii="宋体" w:hAnsi="宋体"/>
                <w:sz w:val="24"/>
              </w:rPr>
              <w:t>10） 现患率调查</w:t>
            </w:r>
          </w:p>
          <w:p>
            <w:pPr>
              <w:rPr>
                <w:rFonts w:hint="eastAsia" w:ascii="宋体" w:hAnsi="宋体"/>
                <w:sz w:val="24"/>
              </w:rPr>
            </w:pPr>
            <w:r>
              <w:rPr>
                <w:rFonts w:hint="eastAsia" w:ascii="宋体" w:hAnsi="宋体"/>
                <w:sz w:val="24"/>
              </w:rPr>
              <w:t>用于对所有在院病人进行感染情况普查，并对各个科室普查的结果进行维护及查看；重点用于统计各个科室调查时的感染情况、抗菌药物使用情况、细菌培养等情况；可设定不同阶段自动化的现患率调查。</w:t>
            </w:r>
          </w:p>
          <w:p>
            <w:pPr>
              <w:rPr>
                <w:rFonts w:hint="eastAsia" w:ascii="宋体" w:hAnsi="宋体"/>
                <w:sz w:val="24"/>
              </w:rPr>
            </w:pPr>
            <w:r>
              <w:rPr>
                <w:rFonts w:hint="eastAsia" w:ascii="宋体" w:hAnsi="宋体"/>
                <w:sz w:val="24"/>
              </w:rPr>
              <w:t>11）血培养调查</w:t>
            </w:r>
          </w:p>
          <w:p>
            <w:pPr>
              <w:rPr>
                <w:rFonts w:hint="eastAsia" w:ascii="宋体" w:hAnsi="宋体"/>
                <w:sz w:val="24"/>
              </w:rPr>
            </w:pPr>
            <w:r>
              <w:rPr>
                <w:rFonts w:hint="eastAsia" w:ascii="宋体" w:hAnsi="宋体"/>
                <w:sz w:val="24"/>
              </w:rPr>
              <w:t>可对调查期内体温≥38.5℃的所有患者填写调查表，包括当日住院病人总数，患者基本信息、主治医生、最高体温及日期、最近一次白细胞是否＞1.8万/mm3、是否术后发热且疑似感染、是否院内肺炎或VAP、是否留置深静脉导管超过5天及留置日期、是否发生其他感染、感染部位、调查前3天静脉使用抗菌药物的名称、本次发热是否送检血培养等。</w:t>
            </w:r>
          </w:p>
          <w:p>
            <w:pPr>
              <w:rPr>
                <w:rFonts w:hint="eastAsia" w:ascii="宋体" w:hAnsi="宋体"/>
                <w:sz w:val="24"/>
              </w:rPr>
            </w:pPr>
            <w:r>
              <w:rPr>
                <w:rFonts w:hint="eastAsia" w:ascii="宋体" w:hAnsi="宋体"/>
                <w:sz w:val="24"/>
              </w:rPr>
              <w:t>12） 环境卫生监测</w:t>
            </w:r>
          </w:p>
          <w:p>
            <w:pPr>
              <w:rPr>
                <w:rFonts w:hint="eastAsia" w:ascii="宋体" w:hAnsi="宋体"/>
                <w:sz w:val="24"/>
              </w:rPr>
            </w:pPr>
            <w:r>
              <w:rPr>
                <w:rFonts w:hint="eastAsia" w:ascii="宋体" w:hAnsi="宋体"/>
                <w:sz w:val="24"/>
              </w:rPr>
              <w:t>由院感科或临床科室填写环境卫生学标本检验申请单，申请单生成对应条码，检验科进行标本分析检查，不合格的科室进行标本复查，医院感染科分析检查。</w:t>
            </w:r>
          </w:p>
          <w:p>
            <w:pPr>
              <w:rPr>
                <w:rFonts w:hint="eastAsia" w:ascii="宋体" w:hAnsi="宋体"/>
                <w:sz w:val="24"/>
              </w:rPr>
            </w:pPr>
            <w:r>
              <w:rPr>
                <w:rFonts w:hint="eastAsia" w:ascii="宋体" w:hAnsi="宋体"/>
                <w:sz w:val="24"/>
              </w:rPr>
              <w:t>环境卫生检查报告：用于监测各科室的环境卫生检查，查看各科室发送的电子申请单以及微生物报告结果信息。</w:t>
            </w:r>
          </w:p>
          <w:p>
            <w:pPr>
              <w:rPr>
                <w:rFonts w:hint="eastAsia" w:ascii="宋体" w:hAnsi="宋体"/>
                <w:sz w:val="24"/>
              </w:rPr>
            </w:pPr>
            <w:r>
              <w:rPr>
                <w:rFonts w:hint="eastAsia" w:ascii="宋体" w:hAnsi="宋体"/>
                <w:sz w:val="24"/>
              </w:rPr>
              <w:t>13） 统计报表</w:t>
            </w:r>
          </w:p>
          <w:p>
            <w:pPr>
              <w:rPr>
                <w:rFonts w:hint="eastAsia" w:ascii="宋体" w:hAnsi="宋体"/>
                <w:sz w:val="24"/>
              </w:rPr>
            </w:pPr>
            <w:r>
              <w:rPr>
                <w:rFonts w:hint="eastAsia" w:ascii="宋体" w:hAnsi="宋体"/>
                <w:sz w:val="24"/>
              </w:rPr>
              <w:t>提供全面可定制的统计分析报表和图表，可以生成各类动态设计报表，以及多种各期统计（对比）表；并且提供了导出成多种格式文件的功能，可方便地实现与上级管理单位对接。</w:t>
            </w:r>
          </w:p>
          <w:p>
            <w:pPr>
              <w:rPr>
                <w:rFonts w:hint="eastAsia" w:ascii="宋体" w:hAnsi="宋体"/>
                <w:sz w:val="24"/>
              </w:rPr>
            </w:pPr>
            <w:r>
              <w:rPr>
                <w:rFonts w:hint="eastAsia" w:ascii="宋体" w:hAnsi="宋体"/>
                <w:sz w:val="24"/>
              </w:rPr>
              <w:t>提供的报表包括：感染监测报表、感染率/检出率/漏报率一览表、感染暴发汇总表、感染暴发明细表、ICU监测汇总表、导管感染监测汇总表、细菌与药物监测报表、多重耐药监测表、环境卫生监测报表、消毒剂相关报表、职业暴露相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院感智能视频监控系统</w:t>
            </w:r>
          </w:p>
        </w:tc>
        <w:tc>
          <w:tcPr>
            <w:tcW w:w="5182" w:type="dxa"/>
          </w:tcPr>
          <w:p>
            <w:pPr>
              <w:rPr>
                <w:rFonts w:hint="eastAsia" w:ascii="宋体" w:hAnsi="宋体"/>
                <w:sz w:val="24"/>
              </w:rPr>
            </w:pPr>
            <w:r>
              <w:rPr>
                <w:rFonts w:hint="eastAsia" w:ascii="宋体" w:hAnsi="宋体"/>
                <w:sz w:val="24"/>
              </w:rPr>
              <w:t>1）支持视频监督管控，实时监督手卫生与无菌操作的合规性。</w:t>
            </w:r>
          </w:p>
          <w:p>
            <w:pPr>
              <w:rPr>
                <w:rFonts w:hint="eastAsia" w:ascii="宋体" w:hAnsi="宋体"/>
                <w:sz w:val="24"/>
              </w:rPr>
            </w:pPr>
            <w:r>
              <w:rPr>
                <w:rFonts w:hint="eastAsia" w:ascii="宋体" w:hAnsi="宋体"/>
                <w:sz w:val="24"/>
              </w:rPr>
              <w:t>2）环境与设备监控系统，利用医院IoT监控关键医疗环境指标及消毒设备效能。</w:t>
            </w:r>
          </w:p>
          <w:p>
            <w:pPr>
              <w:rPr>
                <w:rFonts w:hint="eastAsia" w:ascii="宋体" w:hAnsi="宋体"/>
                <w:sz w:val="24"/>
              </w:rPr>
            </w:pPr>
            <w:r>
              <w:rPr>
                <w:rFonts w:hint="eastAsia" w:ascii="宋体" w:hAnsi="宋体"/>
                <w:sz w:val="24"/>
              </w:rPr>
              <w:t>3）支持大数据分析，整合院内信息系统（HIS）、实验室信息系统（LIS）等数据源，分析感染趋势、高风险区域与时段，实现院感风险的早期预警与精准干预。</w:t>
            </w:r>
          </w:p>
          <w:p>
            <w:pPr>
              <w:rPr>
                <w:rFonts w:hint="eastAsia" w:ascii="宋体" w:hAnsi="宋体"/>
                <w:sz w:val="24"/>
              </w:rPr>
            </w:pPr>
            <w:r>
              <w:rPr>
                <w:rFonts w:hint="eastAsia" w:ascii="宋体" w:hAnsi="宋体"/>
                <w:sz w:val="24"/>
              </w:rPr>
              <w:t>4）交互式信息展示系统，为管理层提供直观的数据分析与报告。整体建设成为一个高效、精准的院感管理体系，推动医院管理向更科学、智能的方向发展。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设备耗材监管系统升级</w:t>
            </w:r>
          </w:p>
        </w:tc>
        <w:tc>
          <w:tcPr>
            <w:tcW w:w="5182" w:type="dxa"/>
          </w:tcPr>
          <w:p>
            <w:pPr>
              <w:rPr>
                <w:rFonts w:hint="eastAsia" w:ascii="宋体" w:hAnsi="宋体"/>
                <w:sz w:val="24"/>
              </w:rPr>
            </w:pPr>
            <w:r>
              <w:rPr>
                <w:rFonts w:hint="eastAsia" w:ascii="宋体" w:hAnsi="宋体"/>
                <w:sz w:val="24"/>
              </w:rPr>
              <w:t>1）设备耗材数据分析和接入</w:t>
            </w:r>
          </w:p>
          <w:p>
            <w:pPr>
              <w:rPr>
                <w:rFonts w:hint="eastAsia" w:ascii="宋体" w:hAnsi="宋体"/>
                <w:sz w:val="24"/>
              </w:rPr>
            </w:pPr>
            <w:r>
              <w:rPr>
                <w:rFonts w:hint="eastAsia" w:ascii="宋体" w:hAnsi="宋体"/>
                <w:sz w:val="24"/>
              </w:rPr>
              <w:t>采用智能化的数据采集工具、数据交换平台等，将分散在不同业务系统、异构数据源中的设备耗材数据，经抽取、清洗、转换及元素化后集中存入CDR中，同时也为各医疗业务系统提供统一的资源库服务。整合好的医疗信息视图一方面可以支持针对全院医疗信息的分析利用工作，同时还可以信息服务的方式提供给医院未来将要建设的各类整合系统使用。</w:t>
            </w:r>
          </w:p>
          <w:p>
            <w:pPr>
              <w:rPr>
                <w:rFonts w:hint="eastAsia" w:ascii="宋体" w:hAnsi="宋体"/>
                <w:sz w:val="24"/>
              </w:rPr>
            </w:pPr>
            <w:r>
              <w:rPr>
                <w:rFonts w:hint="eastAsia" w:ascii="宋体" w:hAnsi="宋体"/>
                <w:sz w:val="24"/>
              </w:rPr>
              <w:t>2）指标查询</w:t>
            </w:r>
          </w:p>
          <w:p>
            <w:pPr>
              <w:rPr>
                <w:rFonts w:hint="eastAsia" w:ascii="宋体" w:hAnsi="宋体"/>
                <w:sz w:val="24"/>
              </w:rPr>
            </w:pPr>
            <w:r>
              <w:rPr>
                <w:rFonts w:hint="eastAsia" w:ascii="宋体" w:hAnsi="宋体"/>
                <w:sz w:val="24"/>
              </w:rPr>
              <w:t>支持按照指标编码、指标名称、指标显示名称、指标类型、指标状态进行指标检索查询，并展示指标明细信息列表。</w:t>
            </w:r>
          </w:p>
          <w:p>
            <w:pPr>
              <w:rPr>
                <w:rFonts w:hint="eastAsia" w:ascii="宋体" w:hAnsi="宋体"/>
                <w:sz w:val="24"/>
              </w:rPr>
            </w:pPr>
            <w:r>
              <w:rPr>
                <w:rFonts w:hint="eastAsia" w:ascii="宋体" w:hAnsi="宋体"/>
                <w:sz w:val="24"/>
              </w:rPr>
              <w:t>3）新增/维护指标</w:t>
            </w:r>
          </w:p>
          <w:p>
            <w:pPr>
              <w:rPr>
                <w:rFonts w:hint="eastAsia" w:ascii="宋体" w:hAnsi="宋体"/>
                <w:sz w:val="24"/>
              </w:rPr>
            </w:pPr>
            <w:r>
              <w:rPr>
                <w:rFonts w:hint="eastAsia" w:ascii="宋体" w:hAnsi="宋体"/>
                <w:sz w:val="24"/>
              </w:rPr>
              <w:t>支持新增/维护指标信息，包括指标编码、指标名称、指标显示名称、Icon图标、计算列、计算分子、计算分母、类型、数据库连接Key、数据源、日期维度、默认筛选条件、默认值、单位、精度、状态、特殊取值、采集方式（系统采集、人工填报、综合计算）、来源文献、指标导向、同比环比显示设置、指标性质、联合指标、开始日期替换结束日期、备注等明细信息。</w:t>
            </w:r>
          </w:p>
          <w:p>
            <w:pPr>
              <w:rPr>
                <w:rFonts w:hint="eastAsia" w:ascii="宋体" w:hAnsi="宋体"/>
                <w:sz w:val="24"/>
              </w:rPr>
            </w:pPr>
            <w:r>
              <w:rPr>
                <w:rFonts w:hint="eastAsia" w:ascii="宋体" w:hAnsi="宋体"/>
                <w:sz w:val="24"/>
              </w:rPr>
              <w:t>4）删除指标</w:t>
            </w:r>
          </w:p>
          <w:p>
            <w:pPr>
              <w:rPr>
                <w:rFonts w:hint="eastAsia" w:ascii="宋体" w:hAnsi="宋体"/>
                <w:sz w:val="24"/>
              </w:rPr>
            </w:pPr>
            <w:r>
              <w:rPr>
                <w:rFonts w:hint="eastAsia" w:ascii="宋体" w:hAnsi="宋体"/>
                <w:sz w:val="24"/>
              </w:rPr>
              <w:t>支持删除指定指标。</w:t>
            </w:r>
          </w:p>
          <w:p>
            <w:pPr>
              <w:rPr>
                <w:rFonts w:hint="eastAsia" w:ascii="宋体" w:hAnsi="宋体"/>
                <w:sz w:val="24"/>
              </w:rPr>
            </w:pPr>
            <w:r>
              <w:rPr>
                <w:rFonts w:hint="eastAsia" w:ascii="宋体" w:hAnsi="宋体"/>
                <w:sz w:val="24"/>
              </w:rPr>
              <w:t>5）分析维度查询</w:t>
            </w:r>
          </w:p>
          <w:p>
            <w:pPr>
              <w:rPr>
                <w:rFonts w:hint="eastAsia" w:ascii="宋体" w:hAnsi="宋体"/>
                <w:sz w:val="24"/>
              </w:rPr>
            </w:pPr>
            <w:r>
              <w:rPr>
                <w:rFonts w:hint="eastAsia" w:ascii="宋体" w:hAnsi="宋体"/>
                <w:sz w:val="24"/>
              </w:rPr>
              <w:t>支持按照维度编码、维度名称、维度类型、备注、维度状态进行维度检索查询，并展示维度明细信息列表。</w:t>
            </w:r>
          </w:p>
          <w:p>
            <w:pPr>
              <w:rPr>
                <w:rFonts w:hint="eastAsia" w:ascii="宋体" w:hAnsi="宋体"/>
                <w:sz w:val="24"/>
              </w:rPr>
            </w:pPr>
            <w:r>
              <w:rPr>
                <w:rFonts w:hint="eastAsia" w:ascii="宋体" w:hAnsi="宋体"/>
                <w:sz w:val="24"/>
              </w:rPr>
              <w:t>6）新增/维护维度</w:t>
            </w:r>
          </w:p>
          <w:p>
            <w:pPr>
              <w:rPr>
                <w:rFonts w:hint="eastAsia" w:ascii="宋体" w:hAnsi="宋体"/>
                <w:sz w:val="24"/>
              </w:rPr>
            </w:pPr>
            <w:r>
              <w:rPr>
                <w:rFonts w:hint="eastAsia" w:ascii="宋体" w:hAnsi="宋体"/>
                <w:sz w:val="24"/>
              </w:rPr>
              <w:t>支持新增/维护维度信息，包括图表编码、图表名称、分析维度、默认计算列、计算分子、计算分母、类型、数据库连接Key、数据源、日期维度、默认筛选条件、精度、排序、周期限制、日期维度自动切换、状态、备注等明细信息。</w:t>
            </w:r>
          </w:p>
          <w:p>
            <w:pPr>
              <w:rPr>
                <w:rFonts w:hint="eastAsia" w:ascii="宋体" w:hAnsi="宋体"/>
                <w:sz w:val="24"/>
              </w:rPr>
            </w:pPr>
            <w:r>
              <w:rPr>
                <w:rFonts w:hint="eastAsia" w:ascii="宋体" w:hAnsi="宋体"/>
                <w:sz w:val="24"/>
              </w:rPr>
              <w:t>7）删除维度</w:t>
            </w:r>
          </w:p>
          <w:p>
            <w:pPr>
              <w:rPr>
                <w:rFonts w:hint="eastAsia" w:ascii="宋体" w:hAnsi="宋体"/>
                <w:sz w:val="24"/>
              </w:rPr>
            </w:pPr>
            <w:r>
              <w:rPr>
                <w:rFonts w:hint="eastAsia" w:ascii="宋体" w:hAnsi="宋体"/>
                <w:sz w:val="24"/>
              </w:rPr>
              <w:t>支持删除指定分析维度。</w:t>
            </w:r>
          </w:p>
          <w:p>
            <w:pPr>
              <w:rPr>
                <w:rFonts w:hint="eastAsia" w:ascii="宋体" w:hAnsi="宋体"/>
                <w:sz w:val="24"/>
              </w:rPr>
            </w:pPr>
            <w:r>
              <w:rPr>
                <w:rFonts w:hint="eastAsia" w:ascii="宋体" w:hAnsi="宋体"/>
                <w:sz w:val="24"/>
              </w:rPr>
              <w:t>8）耗材运营监测</w:t>
            </w:r>
          </w:p>
          <w:p>
            <w:pPr>
              <w:rPr>
                <w:rFonts w:hint="eastAsia" w:ascii="宋体" w:hAnsi="宋体"/>
                <w:sz w:val="24"/>
              </w:rPr>
            </w:pPr>
            <w:r>
              <w:rPr>
                <w:rFonts w:hint="eastAsia" w:ascii="宋体" w:hAnsi="宋体"/>
                <w:sz w:val="24"/>
              </w:rPr>
              <w:t>系统支持按照多种条件，对门急诊数据进行灵活的查询、检索，实现对不同时间段、不同院区、不同科室等多维度数据的统计分析。可以对指标的本期数据、上期数据、同期数据、环比增长率、同比增长率进行展示，并支持统计报表的导出功能。主要包含以下指标:高值耗材领用数量、高值耗材使用金额、非标材料使用数量、非标材料使用金额、中标材料使用数量、中标材料使用金额</w:t>
            </w:r>
          </w:p>
          <w:p>
            <w:pPr>
              <w:rPr>
                <w:rFonts w:hint="eastAsia" w:ascii="宋体" w:hAnsi="宋体"/>
                <w:sz w:val="24"/>
              </w:rPr>
            </w:pPr>
            <w:r>
              <w:rPr>
                <w:rFonts w:hint="eastAsia" w:ascii="宋体" w:hAnsi="宋体"/>
                <w:sz w:val="24"/>
              </w:rPr>
              <w:t>同时，采用环形图、柱状图、矩阵树图等更直观的方式对高值耗材领用数量、高级监督材料使用金额前10位的科室进行展示。可实现从全院-科室、医疗组层级下钻分析，整体监控耗材运营情况。</w:t>
            </w:r>
          </w:p>
          <w:p>
            <w:pPr>
              <w:rPr>
                <w:rFonts w:hint="eastAsia" w:ascii="宋体" w:hAnsi="宋体"/>
                <w:sz w:val="24"/>
              </w:rPr>
            </w:pPr>
            <w:r>
              <w:rPr>
                <w:rFonts w:hint="eastAsia" w:ascii="宋体" w:hAnsi="宋体"/>
                <w:sz w:val="24"/>
              </w:rPr>
              <w:t>2、设备运营监测</w:t>
            </w:r>
          </w:p>
          <w:p>
            <w:pPr>
              <w:rPr>
                <w:rFonts w:hint="eastAsia" w:ascii="宋体" w:hAnsi="宋体"/>
                <w:sz w:val="24"/>
              </w:rPr>
            </w:pPr>
            <w:r>
              <w:rPr>
                <w:rFonts w:hint="eastAsia" w:ascii="宋体" w:hAnsi="宋体"/>
                <w:sz w:val="24"/>
              </w:rPr>
              <w:t>系统支持按照多种条件，对门急诊数据进行灵活的查询、检索，实现对不同时间段、不同院区、不同科室等多维度数据的统计分析。可以对指标的本期数据、上期数据、同期数据、环比增长率、同比增长率进行展示，并支持统计报表的导出功能。主要包含以下指标:大型设备设备数、大型设备报告数、大型设备厂商数、大型设备检查患者数、大型设备检查数</w:t>
            </w:r>
          </w:p>
          <w:p>
            <w:pPr>
              <w:rPr>
                <w:rFonts w:hint="eastAsia" w:ascii="宋体" w:hAnsi="宋体"/>
                <w:sz w:val="24"/>
              </w:rPr>
            </w:pPr>
            <w:r>
              <w:rPr>
                <w:rFonts w:hint="eastAsia" w:ascii="宋体" w:hAnsi="宋体"/>
                <w:sz w:val="24"/>
              </w:rPr>
              <w:t>同时，采用环形图、柱状图、趋势图等更直观的方式对大型设备设备数、大型设备报告数、大型设备厂商数、大型设备检查患者数、大型设备检查数。前10位的设备类进行展示。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hint="eastAsia" w:ascii="宋体" w:hAnsi="宋体"/>
                <w:sz w:val="24"/>
              </w:rPr>
            </w:pPr>
          </w:p>
        </w:tc>
        <w:tc>
          <w:tcPr>
            <w:tcW w:w="2126" w:type="dxa"/>
          </w:tcPr>
          <w:p>
            <w:pPr>
              <w:rPr>
                <w:rFonts w:hint="eastAsia" w:ascii="宋体" w:hAnsi="宋体"/>
                <w:sz w:val="24"/>
              </w:rPr>
            </w:pPr>
            <w:r>
              <w:rPr>
                <w:rFonts w:hint="eastAsia" w:ascii="宋体" w:hAnsi="宋体"/>
                <w:sz w:val="24"/>
              </w:rPr>
              <w:t>医废追溯系统升级</w:t>
            </w:r>
          </w:p>
        </w:tc>
        <w:tc>
          <w:tcPr>
            <w:tcW w:w="5182" w:type="dxa"/>
          </w:tcPr>
          <w:p>
            <w:pPr>
              <w:rPr>
                <w:rFonts w:hint="eastAsia" w:ascii="宋体" w:hAnsi="宋体"/>
                <w:sz w:val="24"/>
              </w:rPr>
            </w:pPr>
            <w:r>
              <w:rPr>
                <w:rFonts w:hint="eastAsia" w:ascii="宋体" w:hAnsi="宋体"/>
                <w:sz w:val="24"/>
              </w:rPr>
              <w:t>1）支持实现医疗废物从生成源头到最终处置的全链条透明化，实现数据的即时采集、动态更新与全程记录。</w:t>
            </w:r>
          </w:p>
          <w:p>
            <w:pPr>
              <w:rPr>
                <w:rFonts w:hint="eastAsia" w:ascii="宋体" w:hAnsi="宋体"/>
                <w:sz w:val="24"/>
              </w:rPr>
            </w:pPr>
            <w:r>
              <w:rPr>
                <w:rFonts w:hint="eastAsia" w:ascii="宋体" w:hAnsi="宋体"/>
                <w:sz w:val="24"/>
              </w:rPr>
              <w:t>2）支持从废弃物产生、分类、收集到最终无害化处理的全链条可追溯性，有效避免了医废泄露或不当处理可能引起的二次污染与病毒传播风险。</w:t>
            </w:r>
          </w:p>
          <w:p>
            <w:pPr>
              <w:rPr>
                <w:rFonts w:hint="eastAsia" w:ascii="宋体" w:hAnsi="宋体"/>
                <w:sz w:val="24"/>
              </w:rPr>
            </w:pPr>
            <w:r>
              <w:rPr>
                <w:rFonts w:hint="eastAsia" w:ascii="宋体" w:hAnsi="宋体"/>
                <w:sz w:val="24"/>
              </w:rPr>
              <w:t>3）支持智能化监控与预警功能，医废追溯系统能够即时发现处理流程中的偏差，促进合规操作，同时为新发突发传染病期间的特殊医废管理提供决策辅助，保障环境安全与公共卫生。</w:t>
            </w:r>
          </w:p>
          <w:p>
            <w:pPr>
              <w:rPr>
                <w:rFonts w:hint="eastAsia" w:ascii="宋体" w:hAnsi="宋体"/>
                <w:sz w:val="24"/>
              </w:rPr>
            </w:pPr>
            <w:r>
              <w:rPr>
                <w:rFonts w:hint="eastAsia" w:ascii="宋体" w:hAnsi="宋体"/>
                <w:sz w:val="24"/>
              </w:rPr>
              <w:t>4）支持利用先进的物联网技术（如RFID、二维码扫描）和移动终端设备，实现医废数据的即时录入、云端同步与长期安全存储。</w:t>
            </w:r>
          </w:p>
          <w:p>
            <w:pPr>
              <w:rPr>
                <w:rFonts w:hint="eastAsia" w:ascii="宋体" w:hAnsi="宋体"/>
                <w:sz w:val="24"/>
              </w:rPr>
            </w:pPr>
            <w:r>
              <w:rPr>
                <w:rFonts w:hint="eastAsia" w:ascii="宋体" w:hAnsi="宋体"/>
                <w:sz w:val="24"/>
              </w:rPr>
              <w:t>5）系统应兼容多平台操作，确保数据交互的无缝连接，提升数据处理速度和准确性。</w:t>
            </w:r>
          </w:p>
          <w:p>
            <w:pPr>
              <w:rPr>
                <w:rFonts w:hint="eastAsia" w:ascii="宋体" w:hAnsi="宋体"/>
                <w:sz w:val="24"/>
              </w:rPr>
            </w:pPr>
            <w:r>
              <w:rPr>
                <w:rFonts w:hint="eastAsia" w:ascii="宋体" w:hAnsi="宋体"/>
                <w:sz w:val="24"/>
              </w:rPr>
              <w:t>6）集成智能分析算法，对医废处理过程中可能出现的异常情况（如超量存储、错分类、未及时转运等）设置预警阈值，一旦发生异常立即触发报警机制，并自动派发任务至相关人员，确保问题得到即时响应和有效解决。</w:t>
            </w:r>
          </w:p>
          <w:p>
            <w:pPr>
              <w:rPr>
                <w:rFonts w:hint="eastAsia" w:ascii="宋体" w:hAnsi="宋体"/>
                <w:sz w:val="24"/>
              </w:rPr>
            </w:pPr>
            <w:r>
              <w:rPr>
                <w:rFonts w:hint="eastAsia" w:ascii="宋体" w:hAnsi="宋体"/>
                <w:sz w:val="24"/>
              </w:rPr>
              <w:t>7）强化系统对医疗废物分类与隔离的指导功能，通过数字化手段降低交叉感染风险，确保人员安全和公共卫生。</w:t>
            </w:r>
          </w:p>
          <w:p>
            <w:pPr>
              <w:rPr>
                <w:rFonts w:hint="eastAsia" w:ascii="宋体" w:hAnsi="宋体"/>
                <w:sz w:val="24"/>
              </w:rPr>
            </w:pPr>
            <w:r>
              <w:rPr>
                <w:rFonts w:hint="eastAsia" w:ascii="宋体" w:hAnsi="宋体"/>
                <w:sz w:val="24"/>
              </w:rPr>
              <w:t>8）支持根据所生成数据对医废处理数据进行全面挖掘与分析，定期生成可视化报告。</w:t>
            </w:r>
          </w:p>
        </w:tc>
      </w:tr>
    </w:tbl>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投标人需提供采用国际通用的规范化的软件开发、软件工程实施和项目管理方法，提供完善的质量保证体系，对项目实施的全过程进行监控和管理，对项目进度和工程实施进度进行控制；同时必须有详细易懂的系统的安装、运行、验收测试的技术档，所有的技术文档必须是中文版或有中文对照说明，并且本项目所有文档应该按照所使用的质量管理体系要求编写。</w:t>
      </w:r>
    </w:p>
    <w:p>
      <w:pPr>
        <w:spacing w:line="360" w:lineRule="auto"/>
        <w:ind w:firstLine="480" w:firstLineChars="200"/>
        <w:rPr>
          <w:rFonts w:hint="eastAsia" w:ascii="宋体" w:hAnsi="宋体" w:cs="宋体"/>
          <w:sz w:val="24"/>
          <w:shd w:val="clear" w:color="auto" w:fill="FFFFFF"/>
          <w:lang w:val="zh-TW"/>
        </w:rPr>
      </w:pPr>
    </w:p>
    <w:p>
      <w:pPr>
        <w:pStyle w:val="3"/>
        <w:ind w:firstLine="0" w:firstLineChars="0"/>
        <w:rPr>
          <w:rFonts w:hint="eastAsia"/>
          <w:sz w:val="32"/>
        </w:rPr>
      </w:pPr>
      <w:bookmarkStart w:id="14" w:name="_Toc521397894"/>
      <w:bookmarkStart w:id="15" w:name="_Toc6444"/>
      <w:r>
        <w:rPr>
          <w:rFonts w:hint="eastAsia"/>
          <w:sz w:val="32"/>
          <w:lang w:val="en-US" w:eastAsia="zh-CN"/>
        </w:rPr>
        <w:t>三</w:t>
      </w:r>
      <w:r>
        <w:rPr>
          <w:rFonts w:hint="eastAsia"/>
          <w:sz w:val="32"/>
        </w:rPr>
        <w:t>、项目建设及验收要求</w:t>
      </w:r>
      <w:bookmarkEnd w:id="14"/>
      <w:bookmarkEnd w:id="15"/>
    </w:p>
    <w:p>
      <w:pPr>
        <w:pStyle w:val="4"/>
        <w:rPr>
          <w:sz w:val="28"/>
        </w:rPr>
      </w:pPr>
      <w:bookmarkStart w:id="16" w:name="_Toc23607"/>
      <w:r>
        <w:rPr>
          <w:rFonts w:hint="eastAsia"/>
          <w:sz w:val="28"/>
        </w:rPr>
        <w:t>1． 项目实施要求</w:t>
      </w:r>
      <w:bookmarkEnd w:id="16"/>
    </w:p>
    <w:p>
      <w:pPr>
        <w:pStyle w:val="6"/>
        <w:widowControl w:val="0"/>
        <w:numPr>
          <w:ilvl w:val="0"/>
          <w:numId w:val="1"/>
        </w:numPr>
        <w:adjustRightInd/>
        <w:spacing w:line="360" w:lineRule="auto"/>
        <w:ind w:left="0" w:firstLine="480" w:firstLineChars="200"/>
        <w:jc w:val="both"/>
        <w:rPr>
          <w:rFonts w:hint="eastAsia" w:ascii="宋体" w:hAnsi="宋体"/>
          <w:b w:val="0"/>
          <w:szCs w:val="24"/>
        </w:rPr>
      </w:pPr>
      <w:r>
        <w:rPr>
          <w:rFonts w:hint="eastAsia" w:ascii="宋体" w:hAnsi="宋体"/>
          <w:b w:val="0"/>
          <w:szCs w:val="24"/>
        </w:rPr>
        <w:t>供应商针对本项目</w:t>
      </w:r>
      <w:r>
        <w:rPr>
          <w:rFonts w:ascii="宋体" w:hAnsi="宋体"/>
          <w:b w:val="0"/>
          <w:szCs w:val="24"/>
        </w:rPr>
        <w:t>的人员配置</w:t>
      </w:r>
      <w:r>
        <w:rPr>
          <w:rFonts w:hint="eastAsia" w:ascii="宋体" w:hAnsi="宋体"/>
          <w:b w:val="0"/>
          <w:szCs w:val="24"/>
        </w:rPr>
        <w:t>，包括实施团队至少有计算机专业的全职人员。配备项目经理一名，具有信息系统项目管理师证书，具有1</w:t>
      </w:r>
      <w:r>
        <w:rPr>
          <w:rFonts w:ascii="宋体" w:hAnsi="宋体"/>
          <w:b w:val="0"/>
          <w:szCs w:val="24"/>
        </w:rPr>
        <w:t>0</w:t>
      </w:r>
      <w:r>
        <w:rPr>
          <w:rFonts w:hint="eastAsia" w:ascii="宋体" w:hAnsi="宋体"/>
          <w:b w:val="0"/>
          <w:szCs w:val="24"/>
        </w:rPr>
        <w:t>年及以上类似项目经验并担任过项目经理的优先考虑。</w:t>
      </w:r>
    </w:p>
    <w:p>
      <w:pPr>
        <w:pStyle w:val="6"/>
        <w:widowControl w:val="0"/>
        <w:numPr>
          <w:ilvl w:val="0"/>
          <w:numId w:val="1"/>
        </w:numPr>
        <w:adjustRightInd/>
        <w:spacing w:line="360" w:lineRule="auto"/>
        <w:ind w:left="0" w:firstLine="480" w:firstLineChars="200"/>
        <w:jc w:val="both"/>
        <w:rPr>
          <w:rFonts w:hint="eastAsia" w:ascii="宋体" w:hAnsi="宋体"/>
          <w:b w:val="0"/>
          <w:szCs w:val="24"/>
        </w:rPr>
      </w:pPr>
      <w:r>
        <w:rPr>
          <w:rFonts w:hint="eastAsia" w:ascii="宋体" w:hAnsi="宋体"/>
          <w:b w:val="0"/>
          <w:szCs w:val="24"/>
        </w:rPr>
        <w:t>项目组人员不少于</w:t>
      </w:r>
      <w:r>
        <w:rPr>
          <w:rFonts w:hint="eastAsia" w:ascii="宋体" w:hAnsi="宋体"/>
          <w:b w:val="0"/>
          <w:szCs w:val="24"/>
          <w:lang w:val="en-US" w:eastAsia="zh-CN"/>
        </w:rPr>
        <w:t>80</w:t>
      </w:r>
      <w:r>
        <w:rPr>
          <w:rFonts w:hint="eastAsia" w:ascii="宋体" w:hAnsi="宋体"/>
          <w:b w:val="0"/>
          <w:szCs w:val="24"/>
        </w:rPr>
        <w:t>人</w:t>
      </w:r>
      <w:r>
        <w:rPr>
          <w:rFonts w:hint="eastAsia" w:ascii="宋体" w:hAnsi="宋体"/>
          <w:b w:val="0"/>
          <w:szCs w:val="24"/>
          <w:lang w:eastAsia="zh-CN"/>
        </w:rPr>
        <w:t>（含项目经理和技术负责人）</w:t>
      </w:r>
      <w:r>
        <w:rPr>
          <w:rFonts w:hint="eastAsia" w:ascii="宋体" w:hAnsi="宋体"/>
          <w:b w:val="0"/>
          <w:szCs w:val="24"/>
        </w:rPr>
        <w:t>，</w:t>
      </w:r>
      <w:r>
        <w:rPr>
          <w:rFonts w:hint="eastAsia" w:ascii="宋体" w:hAnsi="宋体"/>
          <w:b w:val="0"/>
          <w:szCs w:val="24"/>
          <w:lang w:eastAsia="zh-CN"/>
        </w:rPr>
        <w:t>提供项目组人员名单，</w:t>
      </w:r>
      <w:r>
        <w:rPr>
          <w:rFonts w:hint="eastAsia" w:ascii="宋体" w:hAnsi="宋体"/>
          <w:b w:val="0"/>
          <w:szCs w:val="24"/>
        </w:rPr>
        <w:t>技术负责人1名，具有10年以上医疗行业信息化工作经验，参与过医院互联互通标准化成熟度五级乙等及以上测评标准化改造项目。项目组人员具有计算机技术与软件专业技术资格（水平）考试中级或以上证书的优先考虑。</w:t>
      </w:r>
    </w:p>
    <w:p>
      <w:pPr>
        <w:pStyle w:val="6"/>
        <w:widowControl w:val="0"/>
        <w:numPr>
          <w:ilvl w:val="0"/>
          <w:numId w:val="1"/>
        </w:numPr>
        <w:adjustRightInd/>
        <w:spacing w:line="360" w:lineRule="auto"/>
        <w:ind w:left="0" w:firstLine="480" w:firstLineChars="200"/>
        <w:jc w:val="both"/>
        <w:rPr>
          <w:rFonts w:hint="eastAsia" w:ascii="宋体" w:hAnsi="宋体"/>
          <w:b w:val="0"/>
          <w:szCs w:val="24"/>
        </w:rPr>
      </w:pPr>
      <w:r>
        <w:rPr>
          <w:rFonts w:ascii="宋体" w:hAnsi="宋体"/>
          <w:b w:val="0"/>
          <w:szCs w:val="24"/>
        </w:rPr>
        <w:t>为了保障实施工作的质量，成交供应商应在项目实施前与</w:t>
      </w:r>
      <w:r>
        <w:rPr>
          <w:rFonts w:hint="eastAsia" w:ascii="宋体" w:hAnsi="宋体"/>
          <w:b w:val="0"/>
          <w:szCs w:val="24"/>
        </w:rPr>
        <w:t>采购人</w:t>
      </w:r>
      <w:r>
        <w:rPr>
          <w:rFonts w:ascii="宋体" w:hAnsi="宋体"/>
          <w:b w:val="0"/>
          <w:szCs w:val="24"/>
        </w:rPr>
        <w:t>沟通，确定专门的技术人员名单列表。</w:t>
      </w:r>
      <w:r>
        <w:rPr>
          <w:rFonts w:hint="eastAsia" w:ascii="宋体" w:hAnsi="宋体"/>
          <w:b w:val="0"/>
          <w:szCs w:val="24"/>
        </w:rPr>
        <w:t>采购人</w:t>
      </w:r>
      <w:r>
        <w:rPr>
          <w:rFonts w:ascii="宋体" w:hAnsi="宋体"/>
          <w:b w:val="0"/>
          <w:szCs w:val="24"/>
        </w:rPr>
        <w:t>提出报修请求并需要现场服务时，供应</w:t>
      </w:r>
      <w:r>
        <w:rPr>
          <w:rFonts w:ascii="宋体" w:hAnsi="宋体" w:eastAsia="宋体"/>
          <w:b w:val="0"/>
          <w:szCs w:val="24"/>
        </w:rPr>
        <w:t>商技术人员（名单列表内）应在</w:t>
      </w:r>
      <w:r>
        <w:rPr>
          <w:rFonts w:hint="eastAsia" w:ascii="宋体" w:hAnsi="宋体" w:eastAsia="宋体"/>
          <w:b w:val="0"/>
          <w:szCs w:val="24"/>
          <w:lang w:val="en-US" w:eastAsia="zh-CN"/>
        </w:rPr>
        <w:t>2</w:t>
      </w:r>
      <w:r>
        <w:rPr>
          <w:rFonts w:ascii="宋体" w:hAnsi="宋体" w:eastAsia="宋体"/>
          <w:b w:val="0"/>
          <w:szCs w:val="24"/>
        </w:rPr>
        <w:t xml:space="preserve"> 小时内赶到现场。如果该技术人员不在名单</w:t>
      </w:r>
      <w:r>
        <w:rPr>
          <w:rFonts w:ascii="宋体" w:hAnsi="宋体"/>
          <w:b w:val="0"/>
          <w:szCs w:val="24"/>
        </w:rPr>
        <w:t>列表内，须事先获得</w:t>
      </w:r>
      <w:r>
        <w:rPr>
          <w:rFonts w:hint="eastAsia" w:ascii="宋体" w:hAnsi="宋体"/>
          <w:b w:val="0"/>
          <w:szCs w:val="24"/>
        </w:rPr>
        <w:t>采购人</w:t>
      </w:r>
      <w:r>
        <w:rPr>
          <w:rFonts w:ascii="宋体" w:hAnsi="宋体"/>
          <w:b w:val="0"/>
          <w:szCs w:val="24"/>
        </w:rPr>
        <w:t>认可。</w:t>
      </w:r>
    </w:p>
    <w:p>
      <w:pPr>
        <w:pStyle w:val="6"/>
        <w:widowControl w:val="0"/>
        <w:numPr>
          <w:ilvl w:val="0"/>
          <w:numId w:val="1"/>
        </w:numPr>
        <w:adjustRightInd/>
        <w:spacing w:line="360" w:lineRule="auto"/>
        <w:ind w:left="0" w:firstLine="480" w:firstLineChars="200"/>
        <w:jc w:val="both"/>
        <w:rPr>
          <w:rFonts w:hint="eastAsia" w:ascii="宋体" w:hAnsi="宋体"/>
          <w:b w:val="0"/>
          <w:szCs w:val="24"/>
        </w:rPr>
      </w:pPr>
      <w:r>
        <w:rPr>
          <w:rFonts w:hint="eastAsia" w:ascii="宋体" w:hAnsi="宋体"/>
          <w:b w:val="0"/>
          <w:szCs w:val="24"/>
        </w:rPr>
        <w:t>供应商具有优质的售后服务团队。</w:t>
      </w:r>
    </w:p>
    <w:p>
      <w:pPr>
        <w:pStyle w:val="4"/>
        <w:rPr>
          <w:sz w:val="28"/>
        </w:rPr>
      </w:pPr>
      <w:bookmarkStart w:id="17" w:name="_Toc14764"/>
      <w:r>
        <w:rPr>
          <w:rFonts w:hint="eastAsia"/>
          <w:sz w:val="28"/>
        </w:rPr>
        <w:t>2．</w:t>
      </w:r>
      <w:r>
        <w:rPr>
          <w:sz w:val="28"/>
        </w:rPr>
        <w:t>安装、调试和验收</w:t>
      </w:r>
      <w:bookmarkEnd w:id="17"/>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 xml:space="preserve">中标人需在合同生效后1个星期内指派项目实施人员到达用户现场开展工作，并必须在6个月内完成系统的上线。 </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由中标人负责包含设备购置费、运输费、安装费、调试费、系统集成、培训、售后服务费、保险、利润、税金及合同包含的所有风险、责任，从项目中标起到项目验收合格以及维保期内所发生的费用。</w:t>
      </w:r>
    </w:p>
    <w:p>
      <w:pPr>
        <w:spacing w:line="360" w:lineRule="auto"/>
        <w:ind w:firstLine="480" w:firstLineChars="200"/>
        <w:rPr>
          <w:rFonts w:hint="eastAsia" w:ascii="宋体" w:hAnsi="宋体" w:cs="宋体"/>
          <w:sz w:val="24"/>
          <w:shd w:val="clear" w:color="auto" w:fill="FFFFFF"/>
          <w:lang w:val="zh-TW"/>
        </w:rPr>
      </w:pPr>
      <w:r>
        <w:rPr>
          <w:rFonts w:hint="eastAsia" w:ascii="宋体" w:hAnsi="宋体" w:cs="宋体"/>
          <w:sz w:val="24"/>
          <w:shd w:val="clear" w:color="auto" w:fill="FFFFFF"/>
          <w:lang w:val="zh-TW"/>
        </w:rPr>
        <w:t>项目验收：</w:t>
      </w:r>
    </w:p>
    <w:p>
      <w:pPr>
        <w:numPr>
          <w:ilvl w:val="0"/>
          <w:numId w:val="2"/>
        </w:numPr>
        <w:spacing w:before="78" w:beforeLines="25" w:after="78" w:afterLines="25" w:line="360" w:lineRule="auto"/>
        <w:rPr>
          <w:rFonts w:hint="eastAsia" w:ascii="宋体" w:hAnsi="宋体"/>
          <w:sz w:val="24"/>
          <w:szCs w:val="32"/>
        </w:rPr>
      </w:pPr>
      <w:r>
        <w:rPr>
          <w:rFonts w:hint="eastAsia" w:ascii="宋体" w:hAnsi="宋体"/>
          <w:sz w:val="24"/>
          <w:szCs w:val="32"/>
        </w:rPr>
        <w:t>完成整体系统上线，平稳运行1个月后，进行整体系统的验收。</w:t>
      </w:r>
    </w:p>
    <w:p>
      <w:pPr>
        <w:numPr>
          <w:ilvl w:val="0"/>
          <w:numId w:val="2"/>
        </w:numPr>
        <w:spacing w:before="78" w:beforeLines="25" w:after="78" w:afterLines="25" w:line="360" w:lineRule="auto"/>
        <w:rPr>
          <w:rFonts w:hint="eastAsia" w:ascii="宋体" w:hAnsi="宋体"/>
          <w:sz w:val="24"/>
          <w:szCs w:val="32"/>
        </w:rPr>
      </w:pPr>
      <w:r>
        <w:rPr>
          <w:rFonts w:hint="eastAsia" w:ascii="宋体" w:hAnsi="宋体"/>
          <w:sz w:val="24"/>
          <w:szCs w:val="32"/>
        </w:rPr>
        <w:t>技术文档要求：项目验收后投标方须提供详细的软件相关技术文文件（含数据结构、数据流程图、系统字典说明等）、使用说明书、维护手册等文件数据。</w:t>
      </w:r>
    </w:p>
    <w:p>
      <w:pPr>
        <w:spacing w:before="60" w:after="60"/>
        <w:ind w:firstLine="480"/>
        <w:rPr>
          <w:rFonts w:hint="eastAsia" w:ascii="宋体" w:hAnsi="宋体" w:cs="Calibri"/>
          <w:sz w:val="24"/>
          <w:szCs w:val="32"/>
        </w:rPr>
      </w:pPr>
      <w:r>
        <w:rPr>
          <w:rFonts w:hint="eastAsia" w:ascii="宋体" w:hAnsi="宋体"/>
          <w:sz w:val="24"/>
          <w:szCs w:val="32"/>
        </w:rPr>
        <w:t>文档（必须是中文）包括但不限于以下内容</w:t>
      </w:r>
      <w:r>
        <w:rPr>
          <w:rFonts w:hint="eastAsia" w:ascii="宋体" w:hAnsi="宋体" w:cs="Calibri"/>
          <w:sz w:val="24"/>
          <w:szCs w:val="32"/>
        </w:rPr>
        <w:t>：</w:t>
      </w:r>
    </w:p>
    <w:p>
      <w:pPr>
        <w:numPr>
          <w:ilvl w:val="0"/>
          <w:numId w:val="3"/>
        </w:numPr>
        <w:spacing w:before="78" w:beforeLines="25" w:after="78" w:afterLines="25" w:line="360" w:lineRule="auto"/>
        <w:rPr>
          <w:rFonts w:hint="eastAsia" w:ascii="宋体" w:hAnsi="宋体"/>
          <w:sz w:val="24"/>
          <w:szCs w:val="32"/>
        </w:rPr>
      </w:pPr>
      <w:r>
        <w:rPr>
          <w:rFonts w:hint="eastAsia" w:ascii="宋体" w:hAnsi="宋体"/>
          <w:sz w:val="24"/>
          <w:szCs w:val="32"/>
        </w:rPr>
        <w:t>安装、测试报告：包括《安装报告》、《测试报告》等；</w:t>
      </w:r>
    </w:p>
    <w:p>
      <w:pPr>
        <w:numPr>
          <w:ilvl w:val="0"/>
          <w:numId w:val="3"/>
        </w:numPr>
        <w:spacing w:before="78" w:beforeLines="25" w:after="78" w:afterLines="25" w:line="360" w:lineRule="auto"/>
        <w:rPr>
          <w:rFonts w:hint="eastAsia" w:ascii="宋体" w:hAnsi="宋体"/>
          <w:sz w:val="24"/>
          <w:szCs w:val="32"/>
        </w:rPr>
      </w:pPr>
      <w:r>
        <w:rPr>
          <w:rFonts w:hint="eastAsia" w:ascii="宋体" w:hAnsi="宋体"/>
          <w:sz w:val="24"/>
          <w:szCs w:val="32"/>
        </w:rPr>
        <w:t>使用手册：包括《用户手册》、《培训手册》等；</w:t>
      </w:r>
    </w:p>
    <w:p>
      <w:pPr>
        <w:numPr>
          <w:ilvl w:val="0"/>
          <w:numId w:val="3"/>
        </w:numPr>
        <w:spacing w:before="78" w:beforeLines="25" w:after="78" w:afterLines="25" w:line="360" w:lineRule="auto"/>
        <w:rPr>
          <w:rFonts w:hint="eastAsia" w:ascii="宋体" w:hAnsi="宋体"/>
          <w:sz w:val="24"/>
          <w:szCs w:val="32"/>
        </w:rPr>
      </w:pPr>
      <w:r>
        <w:rPr>
          <w:rFonts w:hint="eastAsia" w:ascii="宋体" w:hAnsi="宋体"/>
          <w:sz w:val="24"/>
          <w:szCs w:val="32"/>
        </w:rPr>
        <w:t>系统、设备维护手册；</w:t>
      </w:r>
    </w:p>
    <w:p>
      <w:pPr>
        <w:numPr>
          <w:ilvl w:val="0"/>
          <w:numId w:val="3"/>
        </w:numPr>
        <w:spacing w:before="78" w:beforeLines="25" w:after="78" w:afterLines="25" w:line="360" w:lineRule="auto"/>
        <w:rPr>
          <w:rFonts w:hint="eastAsia" w:ascii="宋体" w:hAnsi="宋体"/>
          <w:sz w:val="24"/>
          <w:szCs w:val="32"/>
        </w:rPr>
      </w:pPr>
      <w:r>
        <w:rPr>
          <w:rFonts w:hint="eastAsia" w:ascii="宋体" w:hAnsi="宋体"/>
          <w:sz w:val="24"/>
          <w:szCs w:val="32"/>
        </w:rPr>
        <w:t>验收报告。</w:t>
      </w:r>
    </w:p>
    <w:p>
      <w:pPr>
        <w:pStyle w:val="4"/>
        <w:rPr>
          <w:sz w:val="28"/>
        </w:rPr>
      </w:pPr>
      <w:bookmarkStart w:id="18" w:name="_Toc32187"/>
      <w:r>
        <w:rPr>
          <w:rFonts w:hint="eastAsia"/>
          <w:sz w:val="28"/>
        </w:rPr>
        <w:t>3．项目售后服务要求</w:t>
      </w:r>
      <w:bookmarkEnd w:id="18"/>
    </w:p>
    <w:p>
      <w:pPr>
        <w:spacing w:before="60" w:after="60" w:line="360" w:lineRule="auto"/>
        <w:ind w:firstLine="482"/>
        <w:rPr>
          <w:rFonts w:hint="eastAsia" w:ascii="宋体" w:hAnsi="宋体"/>
          <w:sz w:val="24"/>
          <w:szCs w:val="32"/>
        </w:rPr>
      </w:pPr>
      <w:r>
        <w:rPr>
          <w:rFonts w:hint="eastAsia" w:ascii="宋体" w:hAnsi="宋体"/>
          <w:sz w:val="24"/>
          <w:szCs w:val="32"/>
        </w:rPr>
        <w:t>系统在验收合格后，投标人必须提供软件一年的免费功能增强性维护及免费技术维护服务（其中包括系统维护、跟踪检测等），并保证所投的系统正常运行。</w:t>
      </w:r>
    </w:p>
    <w:p>
      <w:pPr>
        <w:spacing w:before="60" w:after="60" w:line="360" w:lineRule="auto"/>
        <w:ind w:firstLine="482"/>
        <w:rPr>
          <w:rFonts w:hint="eastAsia" w:ascii="宋体" w:hAnsi="宋体"/>
          <w:sz w:val="24"/>
          <w:szCs w:val="32"/>
        </w:rPr>
      </w:pPr>
      <w:r>
        <w:rPr>
          <w:rFonts w:hint="eastAsia" w:ascii="宋体" w:hAnsi="宋体"/>
          <w:sz w:val="24"/>
          <w:szCs w:val="32"/>
        </w:rPr>
        <w:t>由于医院管理信息系统的特殊性（必须满足医院7*24小时不间断工作）因此，在接到系统故障通知后，投标人必须在30分钟内响应。对于影响系统正常运行的严重故障（包括由系统软硬件等原因引起的），投标人工程师及其他相关技术人员必须在接到故障通知后4小时内赶到现场，查找原因，提供解决方案，并工作至故障完全修复，正常服务为止。一般要求保证系统在24小时之内修复，并需要提供确保承诺实现的措施。投标人需提供7*24小时的维护和故障解决服务。</w:t>
      </w:r>
    </w:p>
    <w:p>
      <w:pPr>
        <w:spacing w:before="60" w:after="60" w:line="360" w:lineRule="auto"/>
        <w:ind w:firstLine="482"/>
        <w:rPr>
          <w:rFonts w:hint="eastAsia" w:ascii="宋体" w:hAnsi="宋体"/>
          <w:sz w:val="24"/>
          <w:szCs w:val="32"/>
        </w:rPr>
      </w:pPr>
      <w:r>
        <w:rPr>
          <w:rFonts w:hint="eastAsia" w:ascii="宋体" w:hAnsi="宋体"/>
          <w:sz w:val="24"/>
          <w:szCs w:val="32"/>
        </w:rPr>
        <w:t>系统免费质保期内，投标方工程师负责服务跟踪，至少每月对系统巡检一次，保证系统在最优化的状态下稳定运行。</w:t>
      </w:r>
    </w:p>
    <w:p>
      <w:pPr>
        <w:spacing w:before="60" w:after="60" w:line="360" w:lineRule="auto"/>
        <w:ind w:firstLine="482"/>
        <w:rPr>
          <w:rFonts w:hint="eastAsia" w:ascii="宋体" w:hAnsi="宋体"/>
          <w:b/>
        </w:rPr>
      </w:pPr>
      <w:r>
        <w:rPr>
          <w:rFonts w:hint="eastAsia" w:ascii="宋体" w:hAnsi="宋体"/>
          <w:sz w:val="24"/>
          <w:szCs w:val="32"/>
        </w:rPr>
        <w:t>在质保期结束前，须由投标人工程师和院方代表进行一次全面检查，任何缺陷必须由投标人负责修改，在修改之后，投标人应将缺陷原因、修改内容、完成修改及恢复正常的时间和日期等报告给院方。报告一式两份。</w:t>
      </w:r>
    </w:p>
    <w:p>
      <w:pPr>
        <w:pStyle w:val="4"/>
        <w:rPr>
          <w:sz w:val="28"/>
        </w:rPr>
      </w:pPr>
      <w:bookmarkStart w:id="19" w:name="_Toc27574"/>
      <w:r>
        <w:rPr>
          <w:rFonts w:hint="eastAsia"/>
          <w:sz w:val="28"/>
        </w:rPr>
        <w:t>4．</w:t>
      </w:r>
      <w:r>
        <w:rPr>
          <w:sz w:val="28"/>
        </w:rPr>
        <w:t>项目培训要求</w:t>
      </w:r>
      <w:bookmarkEnd w:id="19"/>
    </w:p>
    <w:p>
      <w:pPr>
        <w:spacing w:before="60" w:after="60" w:line="360" w:lineRule="auto"/>
        <w:ind w:firstLine="482"/>
        <w:rPr>
          <w:rFonts w:hint="eastAsia" w:ascii="宋体" w:hAnsi="宋体"/>
          <w:sz w:val="24"/>
          <w:szCs w:val="32"/>
        </w:rPr>
      </w:pPr>
      <w:r>
        <w:rPr>
          <w:rFonts w:hint="eastAsia" w:ascii="宋体" w:hAnsi="宋体"/>
          <w:sz w:val="24"/>
          <w:szCs w:val="32"/>
        </w:rPr>
        <w:t>为保证医院信息化系统正常、安全地运行，技术支持力量和优良的服务是系统正常、安全运行的保障。投标方应据此制定系统详细的技术支持与服务方案。</w:t>
      </w:r>
    </w:p>
    <w:p>
      <w:pPr>
        <w:spacing w:before="60" w:after="60" w:line="360" w:lineRule="auto"/>
        <w:ind w:firstLine="482"/>
        <w:rPr>
          <w:rFonts w:hint="eastAsia" w:ascii="宋体" w:hAnsi="宋体"/>
          <w:sz w:val="24"/>
          <w:szCs w:val="32"/>
        </w:rPr>
      </w:pPr>
      <w:r>
        <w:rPr>
          <w:rFonts w:hint="eastAsia" w:ascii="宋体" w:hAnsi="宋体"/>
          <w:sz w:val="24"/>
          <w:szCs w:val="32"/>
        </w:rPr>
        <w:t>投标人必须在对整个项目过程进行科学、有效的项目管理，以确保项目质量和进度，避免扰乱院方正常工作秩序和流程，并节省院方各类资源，充分发挥系统效益。</w:t>
      </w:r>
    </w:p>
    <w:p>
      <w:pPr>
        <w:spacing w:before="60" w:after="60" w:line="360" w:lineRule="auto"/>
        <w:ind w:firstLine="482"/>
        <w:rPr>
          <w:rFonts w:hint="eastAsia" w:ascii="宋体" w:hAnsi="宋体"/>
          <w:sz w:val="24"/>
          <w:szCs w:val="32"/>
        </w:rPr>
      </w:pPr>
      <w:r>
        <w:rPr>
          <w:rFonts w:hint="eastAsia" w:ascii="宋体" w:hAnsi="宋体"/>
          <w:sz w:val="24"/>
          <w:szCs w:val="32"/>
        </w:rPr>
        <w:t>在整个项目期间，中标人在各类故障的排除工作中，记录故障情况，分析故障原因，制定科学、合理、有效可行的解决方案，形成文档。</w:t>
      </w:r>
    </w:p>
    <w:p>
      <w:pPr>
        <w:spacing w:before="60" w:after="60" w:line="360" w:lineRule="auto"/>
        <w:ind w:firstLine="482"/>
        <w:rPr>
          <w:rFonts w:hint="eastAsia" w:ascii="宋体" w:hAnsi="宋体"/>
        </w:rPr>
      </w:pPr>
      <w:r>
        <w:rPr>
          <w:rFonts w:hint="eastAsia" w:ascii="宋体" w:hAnsi="宋体"/>
          <w:sz w:val="24"/>
          <w:szCs w:val="32"/>
        </w:rPr>
        <w:t>培训工作是整个系统得以正常运行的关键，除了对普通业务人员的专项培训以外，应对系统维护人员进行系统维护人员进行系统维护的培训。</w:t>
      </w:r>
    </w:p>
    <w:p>
      <w:pPr>
        <w:pStyle w:val="4"/>
        <w:rPr>
          <w:sz w:val="28"/>
        </w:rPr>
      </w:pPr>
      <w:bookmarkStart w:id="20" w:name="_Toc17659"/>
      <w:r>
        <w:rPr>
          <w:rFonts w:hint="eastAsia"/>
          <w:sz w:val="28"/>
        </w:rPr>
        <w:t>5．对系统的保密范围要求</w:t>
      </w:r>
      <w:bookmarkEnd w:id="20"/>
    </w:p>
    <w:p>
      <w:pPr>
        <w:spacing w:line="360" w:lineRule="auto"/>
        <w:ind w:firstLine="480" w:firstLineChars="200"/>
        <w:rPr>
          <w:rFonts w:hint="eastAsia" w:ascii="宋体" w:hAnsi="宋体"/>
          <w:sz w:val="24"/>
        </w:rPr>
      </w:pPr>
      <w:r>
        <w:rPr>
          <w:rFonts w:hint="eastAsia" w:ascii="宋体" w:hAnsi="宋体"/>
          <w:sz w:val="24"/>
        </w:rPr>
        <w:t>供应商承诺在实施和维护过程中，任何涉及医院的信息，包括但不限于医院数据、医院特有的功能需求等，未得到医院同意的情况下不得对任何第三方展示、举例乃至销售，否则供应商将承担由此产生的一切后果。</w:t>
      </w:r>
    </w:p>
    <w:p>
      <w:pPr>
        <w:pStyle w:val="4"/>
        <w:rPr>
          <w:sz w:val="28"/>
        </w:rPr>
      </w:pPr>
      <w:r>
        <w:rPr>
          <w:sz w:val="28"/>
        </w:rPr>
        <w:t xml:space="preserve">6.  </w:t>
      </w:r>
      <w:r>
        <w:rPr>
          <w:rFonts w:hint="eastAsia"/>
          <w:sz w:val="28"/>
        </w:rPr>
        <w:t>视频演示要求</w:t>
      </w:r>
    </w:p>
    <w:p>
      <w:pPr>
        <w:spacing w:line="360" w:lineRule="auto"/>
        <w:ind w:firstLine="480" w:firstLineChars="200"/>
        <w:rPr>
          <w:rFonts w:ascii="宋体" w:hAnsi="宋体"/>
          <w:sz w:val="24"/>
        </w:rPr>
      </w:pPr>
      <w:r>
        <w:rPr>
          <w:rFonts w:hint="eastAsia" w:ascii="宋体" w:hAnsi="宋体"/>
          <w:sz w:val="24"/>
        </w:rPr>
        <w:t>供应商需对如下</w:t>
      </w:r>
      <w:r>
        <w:rPr>
          <w:rFonts w:hint="eastAsia" w:ascii="宋体" w:hAnsi="宋体"/>
          <w:sz w:val="24"/>
          <w:lang w:val="en-US" w:eastAsia="zh-CN"/>
        </w:rPr>
        <w:t>6项</w:t>
      </w:r>
      <w:r>
        <w:rPr>
          <w:rFonts w:hint="eastAsia" w:ascii="宋体" w:hAnsi="宋体"/>
          <w:sz w:val="24"/>
        </w:rPr>
        <w:t>内容提供视频演示：</w:t>
      </w:r>
    </w:p>
    <w:p>
      <w:pPr>
        <w:numPr>
          <w:ilvl w:val="0"/>
          <w:numId w:val="4"/>
        </w:numPr>
        <w:spacing w:line="360" w:lineRule="auto"/>
        <w:ind w:firstLine="480" w:firstLineChars="200"/>
        <w:rPr>
          <w:rFonts w:hint="eastAsia" w:ascii="宋体" w:hAnsi="宋体"/>
          <w:sz w:val="24"/>
        </w:rPr>
      </w:pPr>
      <w:r>
        <w:rPr>
          <w:rFonts w:hint="eastAsia" w:ascii="宋体" w:hAnsi="宋体"/>
          <w:sz w:val="24"/>
        </w:rPr>
        <w:t>数据中心支持共享文档的元素映射管理，能够展现数据中心与业务系统的数据关系并支持配置操作；通过患者的信息查询，生成完整的诊疗事件共享文档和服务实例并根据患者就诊时间轴进行展示。</w:t>
      </w:r>
    </w:p>
    <w:p>
      <w:pPr>
        <w:numPr>
          <w:ilvl w:val="0"/>
          <w:numId w:val="4"/>
        </w:numPr>
        <w:spacing w:line="360" w:lineRule="auto"/>
        <w:ind w:left="0" w:leftChars="0" w:firstLine="480" w:firstLineChars="200"/>
        <w:rPr>
          <w:rFonts w:hint="eastAsia" w:ascii="宋体" w:hAnsi="宋体"/>
          <w:sz w:val="24"/>
        </w:rPr>
      </w:pPr>
      <w:r>
        <w:rPr>
          <w:rFonts w:hint="eastAsia" w:ascii="宋体" w:hAnsi="宋体"/>
          <w:sz w:val="24"/>
        </w:rPr>
        <w:t>全息患者视图支持患者在院内不同科室就诊的分布统计；患者视图针对单次就诊，对检验检查异常的就诊记录进行自动标识，患者视图支持检验数据项的自选组合分析</w:t>
      </w:r>
      <w:r>
        <w:rPr>
          <w:rFonts w:hint="eastAsia" w:ascii="宋体" w:hAnsi="宋体"/>
          <w:sz w:val="24"/>
          <w:lang w:eastAsia="zh-CN"/>
        </w:rPr>
        <w:t>。</w:t>
      </w:r>
    </w:p>
    <w:p>
      <w:pPr>
        <w:numPr>
          <w:ilvl w:val="0"/>
          <w:numId w:val="4"/>
        </w:numPr>
        <w:spacing w:line="360" w:lineRule="auto"/>
        <w:ind w:left="0" w:leftChars="0" w:firstLine="480" w:firstLineChars="200"/>
        <w:rPr>
          <w:rFonts w:ascii="宋体" w:hAnsi="宋体"/>
          <w:sz w:val="24"/>
        </w:rPr>
      </w:pPr>
      <w:r>
        <w:rPr>
          <w:rFonts w:hint="eastAsia" w:ascii="宋体" w:hAnsi="宋体"/>
          <w:sz w:val="24"/>
        </w:rPr>
        <w:t>支持数据表在线可视化设计，设计内容包含：可在已有数据库上新增数据表也可新建数据库、可设计数据表名称、释义、列名、列数据类型、列说明、数据主键、是否为空、默认值等。</w:t>
      </w:r>
    </w:p>
    <w:p>
      <w:pPr>
        <w:numPr>
          <w:ilvl w:val="0"/>
          <w:numId w:val="4"/>
        </w:numPr>
        <w:spacing w:line="360" w:lineRule="auto"/>
        <w:ind w:left="0" w:leftChars="0" w:firstLine="480" w:firstLineChars="200"/>
        <w:rPr>
          <w:rFonts w:ascii="宋体" w:hAnsi="宋体"/>
          <w:sz w:val="24"/>
        </w:rPr>
      </w:pPr>
      <w:r>
        <w:rPr>
          <w:rFonts w:hint="eastAsia" w:ascii="宋体" w:hAnsi="宋体"/>
          <w:sz w:val="24"/>
        </w:rPr>
        <w:t>临床数据同步中枢支持可视化拖拽异构多源数据集并能够在线编辑数据关联关系，关联关系至少包含左连接、右连接、内连接的关联方法，并对数据集的数据同步作业设置作业步骤队列，通过配置实现数据集多步骤的数据转储。</w:t>
      </w:r>
    </w:p>
    <w:p>
      <w:pPr>
        <w:numPr>
          <w:ilvl w:val="0"/>
          <w:numId w:val="4"/>
        </w:numPr>
        <w:spacing w:line="360" w:lineRule="auto"/>
        <w:ind w:left="0" w:leftChars="0" w:firstLine="480" w:firstLineChars="200"/>
        <w:rPr>
          <w:rFonts w:ascii="宋体" w:hAnsi="宋体"/>
          <w:sz w:val="24"/>
        </w:rPr>
      </w:pPr>
      <w:r>
        <w:rPr>
          <w:rFonts w:hint="eastAsia" w:ascii="宋体" w:hAnsi="宋体"/>
          <w:sz w:val="24"/>
        </w:rPr>
        <w:t>支持非编程方式对元数据的推送服务进行动态配置；通过数据变化监测模块进行元数据变化的捕获，展示元数据全生命周期的血缘信息</w:t>
      </w:r>
      <w:r>
        <w:rPr>
          <w:rFonts w:hint="eastAsia" w:ascii="宋体" w:hAnsi="宋体"/>
          <w:sz w:val="24"/>
          <w:lang w:eastAsia="zh-CN"/>
        </w:rPr>
        <w:t>。</w:t>
      </w:r>
    </w:p>
    <w:p>
      <w:pPr>
        <w:numPr>
          <w:ilvl w:val="0"/>
          <w:numId w:val="4"/>
        </w:numPr>
        <w:spacing w:line="360" w:lineRule="auto"/>
        <w:ind w:left="0" w:leftChars="0" w:firstLine="480" w:firstLineChars="200"/>
        <w:rPr>
          <w:rFonts w:ascii="宋体" w:hAnsi="宋体"/>
          <w:sz w:val="24"/>
        </w:rPr>
      </w:pPr>
      <w:r>
        <w:rPr>
          <w:rFonts w:hint="eastAsia" w:ascii="宋体" w:hAnsi="宋体"/>
          <w:sz w:val="24"/>
        </w:rPr>
        <w:t>指挥决策驾驶舱支持维护可视化项目菜单列表，对基础信息、编码、类型、启动情况进行维护；提供丰富的页面组件，包含：图表、信息、列表、小组件、图片、图标、表单、布局等；支持对页面组件进行自由拖拽、自由组合、组件动画设置、组件数据请求方式设置、组件触发事件绑定设置。</w:t>
      </w:r>
    </w:p>
    <w:p>
      <w:pPr>
        <w:spacing w:line="360" w:lineRule="auto"/>
        <w:ind w:firstLine="480" w:firstLineChars="200"/>
        <w:rPr>
          <w:rFonts w:ascii="宋体" w:hAnsi="宋体"/>
          <w:sz w:val="24"/>
        </w:rPr>
      </w:pPr>
      <w:r>
        <w:rPr>
          <w:rFonts w:hint="eastAsia" w:ascii="宋体" w:hAnsi="宋体"/>
          <w:sz w:val="24"/>
        </w:rPr>
        <w:t>视频演示应采用现场播放录屏视频的方式进行演示，不得以界面截图或幻灯片代替。录屏视频应为mp4格式，分辨率1080P以上，音视频流畅、字幕清晰，可在Windows32位及64位操作系统下用WindowsMediaPlayer播放器进行播放，总播放时间不超过5分钟。演示视频材料一式两份，存储于U盘。</w:t>
      </w:r>
    </w:p>
    <w:p>
      <w:pPr>
        <w:spacing w:line="360" w:lineRule="auto"/>
        <w:ind w:firstLine="480" w:firstLineChars="200"/>
        <w:rPr>
          <w:rFonts w:ascii="宋体" w:hAnsi="宋体"/>
          <w:sz w:val="24"/>
        </w:rPr>
      </w:pPr>
      <w:r>
        <w:rPr>
          <w:rFonts w:hint="eastAsia" w:ascii="宋体" w:hAnsi="宋体"/>
          <w:sz w:val="24"/>
        </w:rPr>
        <w:t>演示视频材料递交：演示视频材料应以</w:t>
      </w:r>
      <w:r>
        <w:rPr>
          <w:rFonts w:ascii="宋体" w:hAnsi="宋体"/>
          <w:sz w:val="24"/>
        </w:rPr>
        <w:t>U</w:t>
      </w:r>
      <w:r>
        <w:rPr>
          <w:rFonts w:hint="eastAsia" w:ascii="宋体" w:hAnsi="宋体"/>
          <w:sz w:val="24"/>
        </w:rPr>
        <w:t>盘形式递交。演示视频材料应在投标截止时间前递交，以送达签收时间作为视频递交时间，不接受邮寄或快递方式递交，运送风险由投标人自行承担。视频材料请密封提交，并在密封的外包装上注明项目名称及投标人名称，并骑缝加盖投标人公章。未进行密封将被拒绝接受。</w:t>
      </w:r>
    </w:p>
    <w:p>
      <w:pPr>
        <w:pStyle w:val="4"/>
        <w:rPr>
          <w:sz w:val="28"/>
        </w:rPr>
      </w:pPr>
      <w:bookmarkStart w:id="21" w:name="_Toc6778"/>
      <w:r>
        <w:rPr>
          <w:rFonts w:hint="eastAsia"/>
          <w:sz w:val="28"/>
          <w:lang w:val="en-US" w:eastAsia="zh-CN"/>
        </w:rPr>
        <w:t>7</w:t>
      </w:r>
      <w:r>
        <w:rPr>
          <w:rFonts w:hint="eastAsia"/>
          <w:sz w:val="28"/>
        </w:rPr>
        <w:t>．对供应商能力要求</w:t>
      </w:r>
      <w:bookmarkEnd w:id="21"/>
    </w:p>
    <w:p>
      <w:pPr>
        <w:spacing w:line="360" w:lineRule="auto"/>
        <w:ind w:firstLine="480" w:firstLineChars="200"/>
        <w:rPr>
          <w:rFonts w:hint="eastAsia" w:ascii="宋体" w:hAnsi="宋体"/>
          <w:sz w:val="24"/>
        </w:rPr>
      </w:pPr>
      <w:r>
        <w:rPr>
          <w:rFonts w:hint="eastAsia" w:ascii="宋体" w:hAnsi="宋体"/>
          <w:sz w:val="24"/>
        </w:rPr>
        <w:t>投标人具备ISO9001质量管理体系认证证书、ISO27001信息安全管理体系认证、ISO20000信息技术服务管理体系认证的优先考虑。</w:t>
      </w:r>
    </w:p>
    <w:p>
      <w:pPr>
        <w:spacing w:line="360" w:lineRule="auto"/>
        <w:ind w:firstLine="480" w:firstLineChars="200"/>
        <w:rPr>
          <w:rFonts w:hint="eastAsia" w:ascii="宋体" w:hAnsi="宋体"/>
          <w:sz w:val="24"/>
        </w:rPr>
      </w:pPr>
      <w:r>
        <w:rPr>
          <w:rFonts w:hint="eastAsia" w:ascii="宋体" w:hAnsi="宋体"/>
          <w:sz w:val="24"/>
        </w:rPr>
        <w:t>投标人具有集成平台软件著作权证书、患者主索引软件著作权证书、主数据管理软件著作权证书、数据中心软</w:t>
      </w:r>
      <w:bookmarkStart w:id="22" w:name="_GoBack"/>
      <w:bookmarkEnd w:id="22"/>
      <w:r>
        <w:rPr>
          <w:rFonts w:hint="eastAsia" w:ascii="宋体" w:hAnsi="宋体"/>
          <w:sz w:val="24"/>
        </w:rPr>
        <w:t>件著作权证书、患者360软件著作权证书、综合运营精细化管理软件著作权证书的优先考虑。</w:t>
      </w:r>
    </w:p>
    <w:p>
      <w:pPr>
        <w:spacing w:line="360" w:lineRule="auto"/>
        <w:ind w:firstLine="480" w:firstLineChars="200"/>
        <w:rPr>
          <w:rFonts w:hint="eastAsia" w:ascii="宋体" w:hAnsi="宋体"/>
          <w:sz w:val="24"/>
          <w:lang w:eastAsia="zh-CN"/>
        </w:rPr>
      </w:pPr>
      <w:r>
        <w:rPr>
          <w:rFonts w:hint="eastAsia" w:ascii="宋体" w:hAnsi="宋体"/>
          <w:sz w:val="24"/>
        </w:rPr>
        <w:t>投标人具备高等级互联互通标准适配经验，提供互联互通五级产品标准符合性测试报告</w:t>
      </w:r>
      <w:r>
        <w:rPr>
          <w:rFonts w:hint="eastAsia" w:ascii="宋体" w:hAnsi="宋体"/>
          <w:sz w:val="24"/>
          <w:lang w:eastAsia="zh-CN"/>
        </w:rPr>
        <w:t>。</w:t>
      </w:r>
    </w:p>
    <w:p>
      <w:pPr>
        <w:spacing w:line="360" w:lineRule="auto"/>
        <w:ind w:firstLine="480" w:firstLineChars="200"/>
        <w:rPr>
          <w:rFonts w:hint="eastAsia" w:ascii="宋体" w:hAnsi="宋体"/>
          <w:sz w:val="24"/>
          <w:lang w:eastAsia="zh-CN"/>
        </w:rPr>
      </w:pPr>
      <w:r>
        <w:rPr>
          <w:rFonts w:hint="eastAsia" w:ascii="宋体" w:hAnsi="宋体"/>
          <w:sz w:val="24"/>
          <w:lang w:eastAsia="zh-CN"/>
        </w:rPr>
        <w:t>投标人有协助医院通过电子病历系统应用水平五级及以上评审案例的优先考虑，提供服务合同原件扫描件或用户盖章的服务证明材料，以及包含服务医疗机构名称的国家卫生健康委发布的电子病历系统功能应用水平分级评价高级别医疗机构结果公示文件。</w:t>
      </w:r>
    </w:p>
    <w:p>
      <w:pPr>
        <w:spacing w:line="360" w:lineRule="auto"/>
        <w:ind w:firstLine="480" w:firstLineChars="200"/>
        <w:rPr>
          <w:rFonts w:hint="eastAsia" w:ascii="宋体" w:hAnsi="宋体"/>
          <w:sz w:val="24"/>
          <w:lang w:eastAsia="zh-CN"/>
        </w:rPr>
      </w:pPr>
      <w:r>
        <w:rPr>
          <w:rFonts w:hint="eastAsia" w:ascii="宋体" w:hAnsi="宋体"/>
          <w:sz w:val="24"/>
          <w:lang w:eastAsia="zh-CN"/>
        </w:rPr>
        <w:t>投标人有协助医院通过互联互通标准化成熟度四级（含四甲、四乙）及以上评审案例的优先考虑，提供合同原件扫描件或用户盖章的服务证明材料，并提供国家卫生健康委发布的互联互通标准化成熟度测评结果公示文件。</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6B09B"/>
    <w:multiLevelType w:val="singleLevel"/>
    <w:tmpl w:val="F6D6B09B"/>
    <w:lvl w:ilvl="0" w:tentative="0">
      <w:start w:val="1"/>
      <w:numFmt w:val="decimal"/>
      <w:suff w:val="nothing"/>
      <w:lvlText w:val="（%1）"/>
      <w:lvlJc w:val="left"/>
    </w:lvl>
  </w:abstractNum>
  <w:abstractNum w:abstractNumId="1">
    <w:nsid w:val="03A3320A"/>
    <w:multiLevelType w:val="multilevel"/>
    <w:tmpl w:val="03A3320A"/>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2">
    <w:nsid w:val="0C177019"/>
    <w:multiLevelType w:val="multilevel"/>
    <w:tmpl w:val="0C177019"/>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5D5EDC"/>
    <w:multiLevelType w:val="multilevel"/>
    <w:tmpl w:val="275D5ED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3"/>
  </w:num>
  <w:num w:numId="3">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YTNiNjcyMzVjZGRmOTRjYTFhOTEyOWE4Nzg4ZjYifQ=="/>
  </w:docVars>
  <w:rsids>
    <w:rsidRoot w:val="00131B44"/>
    <w:rsid w:val="00023484"/>
    <w:rsid w:val="00034778"/>
    <w:rsid w:val="00081DC4"/>
    <w:rsid w:val="00086B86"/>
    <w:rsid w:val="00092F55"/>
    <w:rsid w:val="00093AFA"/>
    <w:rsid w:val="000A3C36"/>
    <w:rsid w:val="000C37D9"/>
    <w:rsid w:val="00104BC9"/>
    <w:rsid w:val="00105E40"/>
    <w:rsid w:val="00131B44"/>
    <w:rsid w:val="00134E90"/>
    <w:rsid w:val="001677C6"/>
    <w:rsid w:val="00180415"/>
    <w:rsid w:val="001A157C"/>
    <w:rsid w:val="001C7E5E"/>
    <w:rsid w:val="0026331C"/>
    <w:rsid w:val="00281161"/>
    <w:rsid w:val="002A301B"/>
    <w:rsid w:val="002A41AA"/>
    <w:rsid w:val="002E3ACF"/>
    <w:rsid w:val="002F09A6"/>
    <w:rsid w:val="002F5AC6"/>
    <w:rsid w:val="0030524F"/>
    <w:rsid w:val="00316DAB"/>
    <w:rsid w:val="003468AD"/>
    <w:rsid w:val="003879D7"/>
    <w:rsid w:val="0040681A"/>
    <w:rsid w:val="00413754"/>
    <w:rsid w:val="00421E7E"/>
    <w:rsid w:val="00431DA2"/>
    <w:rsid w:val="00440FAA"/>
    <w:rsid w:val="004531E5"/>
    <w:rsid w:val="00466BB1"/>
    <w:rsid w:val="00467D42"/>
    <w:rsid w:val="004A6C8A"/>
    <w:rsid w:val="004A7867"/>
    <w:rsid w:val="004D01FD"/>
    <w:rsid w:val="004E791A"/>
    <w:rsid w:val="00521B18"/>
    <w:rsid w:val="0052515A"/>
    <w:rsid w:val="005256B9"/>
    <w:rsid w:val="00536158"/>
    <w:rsid w:val="00545DDC"/>
    <w:rsid w:val="005851B0"/>
    <w:rsid w:val="00591800"/>
    <w:rsid w:val="005974C6"/>
    <w:rsid w:val="005A2FCA"/>
    <w:rsid w:val="005C2582"/>
    <w:rsid w:val="005C3369"/>
    <w:rsid w:val="00610942"/>
    <w:rsid w:val="00633B35"/>
    <w:rsid w:val="00673C6B"/>
    <w:rsid w:val="00673FC7"/>
    <w:rsid w:val="006765B0"/>
    <w:rsid w:val="00681077"/>
    <w:rsid w:val="006863E6"/>
    <w:rsid w:val="0068647B"/>
    <w:rsid w:val="006C4F80"/>
    <w:rsid w:val="006D55DD"/>
    <w:rsid w:val="00712027"/>
    <w:rsid w:val="007277AB"/>
    <w:rsid w:val="00746259"/>
    <w:rsid w:val="007D0465"/>
    <w:rsid w:val="007F5825"/>
    <w:rsid w:val="00840612"/>
    <w:rsid w:val="00866126"/>
    <w:rsid w:val="0087013B"/>
    <w:rsid w:val="008707E9"/>
    <w:rsid w:val="00891ED1"/>
    <w:rsid w:val="00897591"/>
    <w:rsid w:val="00897D1A"/>
    <w:rsid w:val="008A5FB0"/>
    <w:rsid w:val="008E0983"/>
    <w:rsid w:val="008F21C0"/>
    <w:rsid w:val="00900931"/>
    <w:rsid w:val="0094491C"/>
    <w:rsid w:val="009709DF"/>
    <w:rsid w:val="00980AD1"/>
    <w:rsid w:val="00982ED7"/>
    <w:rsid w:val="009B172B"/>
    <w:rsid w:val="009B571A"/>
    <w:rsid w:val="009F1584"/>
    <w:rsid w:val="00A07712"/>
    <w:rsid w:val="00A11057"/>
    <w:rsid w:val="00A1305B"/>
    <w:rsid w:val="00A26F9E"/>
    <w:rsid w:val="00A31A5A"/>
    <w:rsid w:val="00A5043B"/>
    <w:rsid w:val="00A6077A"/>
    <w:rsid w:val="00A86244"/>
    <w:rsid w:val="00A909D8"/>
    <w:rsid w:val="00AA2926"/>
    <w:rsid w:val="00AA792F"/>
    <w:rsid w:val="00AF4AFB"/>
    <w:rsid w:val="00AF64A0"/>
    <w:rsid w:val="00B22EFA"/>
    <w:rsid w:val="00B239EF"/>
    <w:rsid w:val="00B26691"/>
    <w:rsid w:val="00B66560"/>
    <w:rsid w:val="00B71D60"/>
    <w:rsid w:val="00BA5EB1"/>
    <w:rsid w:val="00BD5177"/>
    <w:rsid w:val="00BE036E"/>
    <w:rsid w:val="00BE46B7"/>
    <w:rsid w:val="00BF0B7F"/>
    <w:rsid w:val="00BF2118"/>
    <w:rsid w:val="00C00F4A"/>
    <w:rsid w:val="00C0262B"/>
    <w:rsid w:val="00C1377A"/>
    <w:rsid w:val="00C15953"/>
    <w:rsid w:val="00C327D1"/>
    <w:rsid w:val="00C360F1"/>
    <w:rsid w:val="00C47304"/>
    <w:rsid w:val="00C5497B"/>
    <w:rsid w:val="00C615C6"/>
    <w:rsid w:val="00C95E34"/>
    <w:rsid w:val="00CF5D13"/>
    <w:rsid w:val="00D6716F"/>
    <w:rsid w:val="00D92915"/>
    <w:rsid w:val="00D948F9"/>
    <w:rsid w:val="00DA49C0"/>
    <w:rsid w:val="00DB008A"/>
    <w:rsid w:val="00DB1F64"/>
    <w:rsid w:val="00DC2E9E"/>
    <w:rsid w:val="00DD2D05"/>
    <w:rsid w:val="00E02210"/>
    <w:rsid w:val="00E12DFC"/>
    <w:rsid w:val="00E5064C"/>
    <w:rsid w:val="00E53467"/>
    <w:rsid w:val="00E72223"/>
    <w:rsid w:val="00E94E54"/>
    <w:rsid w:val="00E95A15"/>
    <w:rsid w:val="00ED1BA9"/>
    <w:rsid w:val="00EF3D28"/>
    <w:rsid w:val="00F05EF7"/>
    <w:rsid w:val="00F37AB6"/>
    <w:rsid w:val="00F454CC"/>
    <w:rsid w:val="00F4562C"/>
    <w:rsid w:val="00F46363"/>
    <w:rsid w:val="00F62B3E"/>
    <w:rsid w:val="00F670FD"/>
    <w:rsid w:val="00FA4693"/>
    <w:rsid w:val="5BFCC669"/>
    <w:rsid w:val="5E395540"/>
    <w:rsid w:val="68FF119E"/>
    <w:rsid w:val="7DCFC528"/>
    <w:rsid w:val="7E7FF207"/>
    <w:rsid w:val="7FFB1531"/>
    <w:rsid w:val="AF7E0BE7"/>
    <w:rsid w:val="B8B5B99A"/>
    <w:rsid w:val="DFBD7170"/>
    <w:rsid w:val="E5FF4148"/>
    <w:rsid w:val="EFF7D9D8"/>
    <w:rsid w:val="F7F4E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spacing w:line="360" w:lineRule="auto"/>
      <w:ind w:firstLine="482" w:firstLineChars="200"/>
      <w:outlineLvl w:val="0"/>
    </w:pPr>
    <w:rPr>
      <w:rFonts w:ascii="宋体" w:hAnsi="宋体" w:cs="宋体"/>
      <w:b/>
      <w:bCs/>
      <w:sz w:val="2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0"/>
    <w:pPr>
      <w:spacing w:after="120"/>
    </w:pPr>
  </w:style>
  <w:style w:type="paragraph" w:styleId="5">
    <w:name w:val="annotation text"/>
    <w:basedOn w:val="1"/>
    <w:link w:val="24"/>
    <w:unhideWhenUsed/>
    <w:qFormat/>
    <w:uiPriority w:val="99"/>
    <w:pPr>
      <w:jc w:val="left"/>
    </w:pPr>
  </w:style>
  <w:style w:type="paragraph" w:styleId="6">
    <w:name w:val="Body Text 3"/>
    <w:basedOn w:val="1"/>
    <w:link w:val="20"/>
    <w:qFormat/>
    <w:uiPriority w:val="0"/>
    <w:pPr>
      <w:widowControl/>
      <w:adjustRightInd w:val="0"/>
      <w:jc w:val="left"/>
    </w:pPr>
    <w:rPr>
      <w:b/>
      <w:bCs/>
      <w:kern w:val="0"/>
      <w:sz w:val="24"/>
      <w:szCs w:val="21"/>
    </w:rPr>
  </w:style>
  <w:style w:type="paragraph" w:styleId="7">
    <w:name w:val="toc 3"/>
    <w:basedOn w:val="1"/>
    <w:next w:val="1"/>
    <w:unhideWhenUsed/>
    <w:qFormat/>
    <w:uiPriority w:val="39"/>
    <w:pPr>
      <w:ind w:left="420"/>
    </w:pPr>
    <w:rPr>
      <w:rFonts w:ascii="Calibri" w:hAnsi="Calibri"/>
      <w:i/>
      <w:iCs/>
      <w:sz w:val="20"/>
      <w:szCs w:val="20"/>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pPr>
    <w:rPr>
      <w:rFonts w:ascii="Calibri" w:hAnsi="Calibri"/>
      <w:b/>
      <w:bCs/>
      <w:caps/>
      <w:sz w:val="20"/>
      <w:szCs w:val="20"/>
    </w:rPr>
  </w:style>
  <w:style w:type="paragraph" w:styleId="12">
    <w:name w:val="toc 2"/>
    <w:basedOn w:val="1"/>
    <w:next w:val="1"/>
    <w:unhideWhenUsed/>
    <w:qFormat/>
    <w:uiPriority w:val="39"/>
    <w:pPr>
      <w:ind w:left="210"/>
    </w:pPr>
    <w:rPr>
      <w:rFonts w:ascii="Calibri" w:hAnsi="Calibri"/>
      <w:smallCaps/>
      <w:sz w:val="20"/>
      <w:szCs w:val="20"/>
    </w:rPr>
  </w:style>
  <w:style w:type="paragraph" w:styleId="13">
    <w:name w:val="Normal (Web)"/>
    <w:basedOn w:val="1"/>
    <w:link w:val="21"/>
    <w:qFormat/>
    <w:uiPriority w:val="99"/>
    <w:pPr>
      <w:widowControl/>
      <w:spacing w:before="100" w:after="100"/>
      <w:jc w:val="left"/>
    </w:pPr>
    <w:rPr>
      <w:rFonts w:ascii="宋体" w:hAnsi="宋体"/>
      <w:kern w:val="0"/>
      <w:sz w:val="24"/>
      <w:szCs w:val="20"/>
    </w:rPr>
  </w:style>
  <w:style w:type="paragraph" w:styleId="14">
    <w:name w:val="annotation subject"/>
    <w:basedOn w:val="5"/>
    <w:next w:val="5"/>
    <w:link w:val="25"/>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正文文本 字符"/>
    <w:basedOn w:val="17"/>
    <w:link w:val="2"/>
    <w:qFormat/>
    <w:uiPriority w:val="0"/>
    <w:rPr>
      <w:rFonts w:ascii="Times New Roman" w:hAnsi="Times New Roman" w:eastAsia="宋体" w:cs="Times New Roman"/>
      <w:szCs w:val="24"/>
    </w:rPr>
  </w:style>
  <w:style w:type="character" w:customStyle="1" w:styleId="20">
    <w:name w:val="正文文本 3 字符"/>
    <w:basedOn w:val="17"/>
    <w:link w:val="6"/>
    <w:qFormat/>
    <w:uiPriority w:val="0"/>
    <w:rPr>
      <w:rFonts w:ascii="Times New Roman" w:hAnsi="Times New Roman" w:eastAsia="宋体" w:cs="Times New Roman"/>
      <w:b/>
      <w:bCs/>
      <w:kern w:val="0"/>
      <w:sz w:val="24"/>
      <w:szCs w:val="21"/>
    </w:rPr>
  </w:style>
  <w:style w:type="character" w:customStyle="1" w:styleId="21">
    <w:name w:val="普通(网站) 字符"/>
    <w:link w:val="13"/>
    <w:qFormat/>
    <w:uiPriority w:val="99"/>
    <w:rPr>
      <w:rFonts w:ascii="宋体" w:hAnsi="宋体" w:eastAsia="宋体" w:cs="Times New Roman"/>
      <w:kern w:val="0"/>
      <w:sz w:val="24"/>
      <w:szCs w:val="20"/>
    </w:rPr>
  </w:style>
  <w:style w:type="character" w:customStyle="1" w:styleId="22">
    <w:name w:val="页眉 字符"/>
    <w:basedOn w:val="17"/>
    <w:link w:val="10"/>
    <w:qFormat/>
    <w:uiPriority w:val="99"/>
    <w:rPr>
      <w:rFonts w:ascii="Times New Roman" w:hAnsi="Times New Roman" w:eastAsia="宋体" w:cs="Times New Roman"/>
      <w:sz w:val="18"/>
      <w:szCs w:val="18"/>
    </w:rPr>
  </w:style>
  <w:style w:type="character" w:customStyle="1" w:styleId="23">
    <w:name w:val="页脚 字符"/>
    <w:basedOn w:val="17"/>
    <w:link w:val="9"/>
    <w:qFormat/>
    <w:uiPriority w:val="99"/>
    <w:rPr>
      <w:rFonts w:ascii="Times New Roman" w:hAnsi="Times New Roman" w:eastAsia="宋体" w:cs="Times New Roman"/>
      <w:sz w:val="18"/>
      <w:szCs w:val="18"/>
    </w:rPr>
  </w:style>
  <w:style w:type="character" w:customStyle="1" w:styleId="24">
    <w:name w:val="批注文字 字符"/>
    <w:basedOn w:val="17"/>
    <w:link w:val="5"/>
    <w:qFormat/>
    <w:uiPriority w:val="99"/>
    <w:rPr>
      <w:rFonts w:ascii="Times New Roman" w:hAnsi="Times New Roman" w:eastAsia="宋体" w:cs="Times New Roman"/>
      <w:szCs w:val="24"/>
    </w:rPr>
  </w:style>
  <w:style w:type="character" w:customStyle="1" w:styleId="25">
    <w:name w:val="批注主题 字符"/>
    <w:basedOn w:val="24"/>
    <w:link w:val="14"/>
    <w:semiHidden/>
    <w:qFormat/>
    <w:uiPriority w:val="99"/>
    <w:rPr>
      <w:rFonts w:ascii="Times New Roman" w:hAnsi="Times New Roman" w:eastAsia="宋体" w:cs="Times New Roman"/>
      <w:b/>
      <w:bCs/>
      <w:szCs w:val="24"/>
    </w:rPr>
  </w:style>
  <w:style w:type="character" w:customStyle="1" w:styleId="26">
    <w:name w:val="标题 1 字符"/>
    <w:basedOn w:val="17"/>
    <w:link w:val="3"/>
    <w:qFormat/>
    <w:uiPriority w:val="9"/>
    <w:rPr>
      <w:rFonts w:ascii="宋体" w:hAnsi="宋体" w:eastAsia="宋体" w:cs="宋体"/>
      <w:b/>
      <w:bCs/>
      <w:sz w:val="24"/>
      <w:szCs w:val="24"/>
    </w:rPr>
  </w:style>
  <w:style w:type="paragraph" w:customStyle="1" w:styleId="27">
    <w:name w:val="表格正文"/>
    <w:basedOn w:val="1"/>
    <w:link w:val="28"/>
    <w:qFormat/>
    <w:uiPriority w:val="0"/>
    <w:pPr>
      <w:spacing w:line="360" w:lineRule="auto"/>
      <w:jc w:val="left"/>
    </w:pPr>
    <w:rPr>
      <w:rFonts w:asciiTheme="minorEastAsia" w:hAnsiTheme="minorEastAsia" w:eastAsiaTheme="minorEastAsia"/>
      <w:sz w:val="24"/>
    </w:rPr>
  </w:style>
  <w:style w:type="character" w:customStyle="1" w:styleId="28">
    <w:name w:val="表格正文 字符"/>
    <w:basedOn w:val="17"/>
    <w:link w:val="27"/>
    <w:qFormat/>
    <w:uiPriority w:val="0"/>
    <w:rPr>
      <w:rFonts w:cs="Times New Roman" w:asciiTheme="minorEastAsia" w:hAnsiTheme="minorEastAsia"/>
      <w:sz w:val="24"/>
      <w:szCs w:val="24"/>
    </w:rPr>
  </w:style>
  <w:style w:type="character" w:customStyle="1" w:styleId="29">
    <w:name w:val="标题 2 字符"/>
    <w:basedOn w:val="17"/>
    <w:link w:val="4"/>
    <w:qFormat/>
    <w:uiPriority w:val="9"/>
    <w:rPr>
      <w:rFonts w:asciiTheme="majorHAnsi" w:hAnsiTheme="majorHAnsi" w:eastAsiaTheme="majorEastAsia" w:cstheme="majorBidi"/>
      <w:b/>
      <w:bCs/>
      <w:sz w:val="32"/>
      <w:szCs w:val="32"/>
    </w:rPr>
  </w:style>
  <w:style w:type="character" w:customStyle="1" w:styleId="30">
    <w:name w:val="批注框文本 字符"/>
    <w:basedOn w:val="17"/>
    <w:link w:val="8"/>
    <w:semiHidden/>
    <w:qFormat/>
    <w:uiPriority w:val="99"/>
    <w:rPr>
      <w:rFonts w:ascii="Times New Roman" w:hAnsi="Times New Roman" w:eastAsia="宋体" w:cs="Times New Roman"/>
      <w:kern w:val="2"/>
      <w:sz w:val="18"/>
      <w:szCs w:val="18"/>
    </w:r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paragraph" w:styleId="32">
    <w:name w:val="List Paragraph"/>
    <w:basedOn w:val="1"/>
    <w:qFormat/>
    <w:uiPriority w:val="99"/>
    <w:pPr>
      <w:ind w:firstLine="420" w:firstLineChars="200"/>
    </w:pPr>
  </w:style>
  <w:style w:type="paragraph" w:customStyle="1" w:styleId="33">
    <w:name w:val="可研正文"/>
    <w:basedOn w:val="1"/>
    <w:qFormat/>
    <w:uiPriority w:val="0"/>
    <w:pPr>
      <w:spacing w:line="360" w:lineRule="auto"/>
      <w:ind w:firstLine="200" w:firstLineChars="200"/>
    </w:pPr>
    <w:rPr>
      <w:rFonts w:ascii="仿宋" w:hAnsi="仿宋" w:eastAsia="仿宋"/>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14499</Words>
  <Characters>14950</Characters>
  <Lines>108</Lines>
  <Paragraphs>30</Paragraphs>
  <TotalTime>32</TotalTime>
  <ScaleCrop>false</ScaleCrop>
  <LinksUpToDate>false</LinksUpToDate>
  <CharactersWithSpaces>14983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2024-09-04T18:39:00Z</dcterms:created>
  <dc:creator>钱 星磊</dc:creator>
  <cp:lastModifiedBy>user</cp:lastModifiedBy>
  <dcterms:modified xsi:type="dcterms:W3CDTF">2024-10-12T11:11:38Z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FED9C04B746C4CA4B0AB053F7B5B752A_13</vt:lpwstr>
  </property>
</Properties>
</file>