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wdp" ContentType="image/vnd.ms-photo"/>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before="196" w:line="560" w:lineRule="exact"/>
        <w:ind w:left="361"/>
        <w:jc w:val="center"/>
        <w:rPr>
          <w:rFonts w:ascii="方正小标宋简体" w:hAnsi="宋体" w:eastAsia="方正小标宋简体"/>
          <w:color w:val="auto"/>
          <w:sz w:val="44"/>
          <w:szCs w:val="44"/>
        </w:rPr>
      </w:pPr>
    </w:p>
    <w:p>
      <w:pPr>
        <w:spacing w:before="196" w:line="560" w:lineRule="exact"/>
        <w:ind w:left="361"/>
        <w:jc w:val="center"/>
        <w:rPr>
          <w:rFonts w:ascii="方正小标宋简体" w:hAnsi="宋体" w:eastAsia="方正小标宋简体"/>
          <w:color w:val="auto"/>
          <w:sz w:val="44"/>
          <w:szCs w:val="44"/>
        </w:rPr>
      </w:pPr>
    </w:p>
    <w:p>
      <w:pPr>
        <w:spacing w:before="196" w:line="560" w:lineRule="exact"/>
        <w:ind w:left="361"/>
        <w:jc w:val="center"/>
        <w:rPr>
          <w:rFonts w:ascii="方正小标宋简体" w:hAnsi="宋体" w:eastAsia="方正小标宋简体"/>
          <w:color w:val="auto"/>
          <w:sz w:val="44"/>
          <w:szCs w:val="44"/>
        </w:rPr>
      </w:pPr>
    </w:p>
    <w:p>
      <w:pPr>
        <w:spacing w:before="196" w:line="560" w:lineRule="exact"/>
        <w:ind w:left="361"/>
        <w:jc w:val="center"/>
        <w:rPr>
          <w:rFonts w:ascii="方正小标宋简体" w:hAnsi="宋体" w:eastAsia="方正小标宋简体"/>
          <w:color w:val="auto"/>
          <w:sz w:val="44"/>
          <w:szCs w:val="44"/>
        </w:rPr>
      </w:pPr>
      <w:r>
        <w:rPr>
          <w:rFonts w:hint="eastAsia" w:ascii="方正小标宋简体" w:hAnsi="宋体" w:eastAsia="方正小标宋简体"/>
          <w:color w:val="auto"/>
          <w:sz w:val="44"/>
          <w:szCs w:val="44"/>
        </w:rPr>
        <w:t>上海市龙华烈士陵园</w:t>
      </w:r>
    </w:p>
    <w:p>
      <w:pPr>
        <w:spacing w:before="196" w:line="560" w:lineRule="exact"/>
        <w:ind w:left="361"/>
        <w:jc w:val="center"/>
        <w:rPr>
          <w:rFonts w:ascii="方正小标宋简体" w:hAnsi="宋体" w:eastAsia="方正小标宋简体"/>
          <w:color w:val="auto"/>
          <w:sz w:val="44"/>
          <w:szCs w:val="44"/>
        </w:rPr>
      </w:pPr>
      <w:r>
        <w:rPr>
          <w:rFonts w:hint="eastAsia" w:ascii="方正小标宋简体" w:hAnsi="宋体" w:eastAsia="方正小标宋简体"/>
          <w:color w:val="auto"/>
          <w:sz w:val="44"/>
          <w:szCs w:val="44"/>
        </w:rPr>
        <w:t>2</w:t>
      </w:r>
      <w:r>
        <w:rPr>
          <w:rFonts w:ascii="方正小标宋简体" w:hAnsi="宋体" w:eastAsia="方正小标宋简体"/>
          <w:color w:val="auto"/>
          <w:sz w:val="44"/>
          <w:szCs w:val="44"/>
        </w:rPr>
        <w:t>02</w:t>
      </w:r>
      <w:r>
        <w:rPr>
          <w:rFonts w:hint="eastAsia" w:ascii="方正小标宋简体" w:hAnsi="宋体" w:eastAsia="方正小标宋简体"/>
          <w:color w:val="auto"/>
          <w:sz w:val="44"/>
          <w:szCs w:val="44"/>
          <w:lang w:val="en-US" w:eastAsia="zh-CN"/>
        </w:rPr>
        <w:t>5</w:t>
      </w:r>
      <w:r>
        <w:rPr>
          <w:rFonts w:hint="eastAsia" w:ascii="方正小标宋简体" w:hAnsi="宋体" w:eastAsia="方正小标宋简体"/>
          <w:color w:val="auto"/>
          <w:sz w:val="44"/>
          <w:szCs w:val="44"/>
        </w:rPr>
        <w:t>年景观提升项目</w:t>
      </w:r>
    </w:p>
    <w:p>
      <w:pPr>
        <w:widowControl/>
        <w:jc w:val="left"/>
        <w:rPr>
          <w:rFonts w:ascii="方正小标宋简体" w:hAnsi="宋体" w:eastAsia="方正小标宋简体"/>
          <w:color w:val="auto"/>
          <w:sz w:val="44"/>
          <w:szCs w:val="44"/>
        </w:rPr>
      </w:pPr>
      <w:r>
        <w:rPr>
          <w:rFonts w:ascii="方正小标宋简体" w:hAnsi="宋体" w:eastAsia="方正小标宋简体"/>
          <w:color w:val="auto"/>
          <w:sz w:val="44"/>
          <w:szCs w:val="44"/>
        </w:rPr>
        <w:br w:type="page"/>
      </w:r>
    </w:p>
    <w:p>
      <w:pPr>
        <w:spacing w:line="560" w:lineRule="exact"/>
        <w:rPr>
          <w:rFonts w:ascii="黑体" w:hAnsi="黑体" w:eastAsia="黑体"/>
          <w:color w:val="auto"/>
          <w:sz w:val="32"/>
          <w:szCs w:val="32"/>
        </w:rPr>
        <w:sectPr>
          <w:headerReference r:id="rId3" w:type="default"/>
          <w:footerReference r:id="rId5" w:type="default"/>
          <w:headerReference r:id="rId4" w:type="even"/>
          <w:pgSz w:w="11906" w:h="16838"/>
          <w:pgMar w:top="2098" w:right="1531" w:bottom="1985" w:left="1531" w:header="851" w:footer="992" w:gutter="0"/>
          <w:cols w:space="425" w:num="1"/>
          <w:docGrid w:type="linesAndChars" w:linePitch="312" w:charSpace="0"/>
        </w:sectPr>
      </w:pPr>
    </w:p>
    <w:p>
      <w:pPr>
        <w:pStyle w:val="14"/>
        <w:numPr>
          <w:ilvl w:val="0"/>
          <w:numId w:val="1"/>
        </w:numPr>
        <w:spacing w:line="560" w:lineRule="exact"/>
        <w:ind w:firstLineChars="0"/>
        <w:rPr>
          <w:rFonts w:ascii="黑体" w:hAnsi="黑体" w:eastAsia="黑体"/>
          <w:color w:val="auto"/>
          <w:sz w:val="32"/>
          <w:szCs w:val="32"/>
        </w:rPr>
      </w:pPr>
      <w:r>
        <w:rPr>
          <w:rFonts w:hint="eastAsia" w:ascii="黑体" w:hAnsi="黑体" w:eastAsia="黑体"/>
          <w:color w:val="auto"/>
          <w:sz w:val="32"/>
          <w:szCs w:val="32"/>
        </w:rPr>
        <w:t>项目概况</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1</w:t>
      </w:r>
      <w:r>
        <w:rPr>
          <w:rFonts w:ascii="仿宋_GB2312" w:hAnsi="仿宋" w:eastAsia="仿宋_GB2312"/>
          <w:color w:val="auto"/>
          <w:sz w:val="32"/>
          <w:szCs w:val="32"/>
        </w:rPr>
        <w:t>.1</w:t>
      </w:r>
      <w:r>
        <w:rPr>
          <w:rFonts w:hint="eastAsia" w:ascii="仿宋_GB2312" w:hAnsi="仿宋" w:eastAsia="仿宋_GB2312"/>
          <w:color w:val="auto"/>
          <w:sz w:val="32"/>
          <w:szCs w:val="32"/>
        </w:rPr>
        <w:t>项目名称：上海市龙华烈士陵园景观提升项目</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1</w:t>
      </w:r>
      <w:r>
        <w:rPr>
          <w:rFonts w:ascii="仿宋_GB2312" w:hAnsi="仿宋" w:eastAsia="仿宋_GB2312"/>
          <w:color w:val="auto"/>
          <w:sz w:val="32"/>
          <w:szCs w:val="32"/>
        </w:rPr>
        <w:t>.2</w:t>
      </w:r>
      <w:r>
        <w:rPr>
          <w:rFonts w:hint="eastAsia" w:ascii="仿宋_GB2312" w:hAnsi="仿宋" w:eastAsia="仿宋_GB2312"/>
          <w:color w:val="auto"/>
          <w:sz w:val="32"/>
          <w:szCs w:val="32"/>
        </w:rPr>
        <w:t>招标人：上海市龙华烈士陵园（龙华烈士纪念馆、上海市烈士纪念设施保护中心）</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1</w:t>
      </w:r>
      <w:r>
        <w:rPr>
          <w:rFonts w:ascii="仿宋_GB2312" w:hAnsi="仿宋" w:eastAsia="仿宋_GB2312"/>
          <w:color w:val="auto"/>
          <w:sz w:val="32"/>
          <w:szCs w:val="32"/>
        </w:rPr>
        <w:t>.3</w:t>
      </w:r>
      <w:r>
        <w:rPr>
          <w:rFonts w:hint="eastAsia" w:ascii="仿宋_GB2312" w:hAnsi="仿宋" w:eastAsia="仿宋_GB2312"/>
          <w:color w:val="auto"/>
          <w:sz w:val="32"/>
          <w:szCs w:val="32"/>
        </w:rPr>
        <w:t>本</w:t>
      </w:r>
      <w:r>
        <w:rPr>
          <w:rFonts w:hint="eastAsia" w:ascii="仿宋_GB2312" w:hAnsi="仿宋" w:eastAsia="仿宋_GB2312"/>
          <w:color w:val="auto"/>
          <w:sz w:val="32"/>
          <w:szCs w:val="32"/>
          <w:lang w:eastAsia="zh-CN"/>
        </w:rPr>
        <w:t>采购需求</w:t>
      </w:r>
      <w:r>
        <w:rPr>
          <w:rFonts w:hint="eastAsia" w:ascii="仿宋_GB2312" w:hAnsi="仿宋" w:eastAsia="仿宋_GB2312"/>
          <w:color w:val="auto"/>
          <w:sz w:val="32"/>
          <w:szCs w:val="32"/>
        </w:rPr>
        <w:t>是本项目招标过程中的规定文件，是各投标单位编制投标文件的依据，是招标人与中标单位签订服务承包合同的依据，也是本项目文件的主要组成部分。</w:t>
      </w:r>
    </w:p>
    <w:p>
      <w:pPr>
        <w:spacing w:line="560" w:lineRule="exact"/>
        <w:rPr>
          <w:rFonts w:ascii="黑体" w:hAnsi="黑体" w:eastAsia="黑体"/>
          <w:color w:val="auto"/>
          <w:sz w:val="32"/>
          <w:szCs w:val="32"/>
        </w:rPr>
      </w:pPr>
      <w:r>
        <w:rPr>
          <w:rFonts w:hint="eastAsia" w:ascii="黑体" w:hAnsi="黑体" w:eastAsia="黑体"/>
          <w:color w:val="auto"/>
          <w:sz w:val="32"/>
          <w:szCs w:val="32"/>
        </w:rPr>
        <w:t>二、发包地块情况</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上海市龙华烈士陵园位于上海市徐汇区龙华西路180号，原为国民党淞沪警备司令部旧址和龙华革命烈士就义地，是全国重点文物保护单位和重点烈士纪念建筑物保护单位，4A红色旅游景区，四星级公园，全国爱国主义教育基地，全国中小学生研学实践教育基地，国家一级博物馆。绿化按照一级绿地的管理要求进行管理，保障陵园庄重肃穆的绿化效果，提升英烈祭扫的环境氛围。</w:t>
      </w:r>
    </w:p>
    <w:p>
      <w:pPr>
        <w:pStyle w:val="14"/>
        <w:numPr>
          <w:ilvl w:val="0"/>
          <w:numId w:val="2"/>
        </w:numPr>
        <w:spacing w:line="560" w:lineRule="exact"/>
        <w:ind w:firstLineChars="0"/>
        <w:rPr>
          <w:rFonts w:ascii="黑体" w:hAnsi="黑体" w:eastAsia="黑体"/>
          <w:color w:val="auto"/>
          <w:sz w:val="32"/>
          <w:szCs w:val="32"/>
        </w:rPr>
      </w:pPr>
      <w:r>
        <w:rPr>
          <w:rFonts w:hint="eastAsia" w:ascii="黑体" w:hAnsi="黑体" w:eastAsia="黑体"/>
          <w:color w:val="auto"/>
          <w:sz w:val="32"/>
          <w:szCs w:val="32"/>
        </w:rPr>
        <w:t>现场条件</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3</w:t>
      </w:r>
      <w:r>
        <w:rPr>
          <w:rFonts w:ascii="仿宋_GB2312" w:hAnsi="仿宋" w:eastAsia="仿宋_GB2312"/>
          <w:color w:val="auto"/>
          <w:sz w:val="32"/>
          <w:szCs w:val="32"/>
        </w:rPr>
        <w:t>.1</w:t>
      </w:r>
      <w:r>
        <w:rPr>
          <w:rFonts w:hint="eastAsia" w:ascii="仿宋_GB2312" w:hAnsi="仿宋" w:eastAsia="仿宋_GB2312"/>
          <w:color w:val="auto"/>
          <w:sz w:val="32"/>
          <w:szCs w:val="32"/>
        </w:rPr>
        <w:t>甲方提供水、电，不提供工具用房、办公场所、生活用房、施工机械等设施，中标公司自行安排。</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3</w:t>
      </w:r>
      <w:r>
        <w:rPr>
          <w:rFonts w:ascii="仿宋_GB2312" w:hAnsi="仿宋" w:eastAsia="仿宋_GB2312"/>
          <w:color w:val="auto"/>
          <w:sz w:val="32"/>
          <w:szCs w:val="32"/>
        </w:rPr>
        <w:t>.2</w:t>
      </w:r>
      <w:r>
        <w:rPr>
          <w:rFonts w:hint="eastAsia" w:ascii="仿宋_GB2312" w:hAnsi="仿宋" w:eastAsia="仿宋_GB2312"/>
          <w:color w:val="auto"/>
          <w:sz w:val="32"/>
          <w:szCs w:val="32"/>
        </w:rPr>
        <w:t>中标公司应重视施工、养护工人在现场操作时的安全问题，进行上岗安全知识教育，采取必要的安全保障措施。有相应的防疫物资和应对措施，满足甲方常态化防疫工作的开展。</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3</w:t>
      </w:r>
      <w:r>
        <w:rPr>
          <w:rFonts w:ascii="仿宋_GB2312" w:hAnsi="仿宋" w:eastAsia="仿宋_GB2312"/>
          <w:color w:val="auto"/>
          <w:sz w:val="32"/>
          <w:szCs w:val="32"/>
        </w:rPr>
        <w:t>.3</w:t>
      </w:r>
      <w:r>
        <w:rPr>
          <w:rFonts w:hint="eastAsia" w:ascii="仿宋_GB2312" w:hAnsi="仿宋" w:eastAsia="仿宋_GB2312"/>
          <w:color w:val="auto"/>
          <w:sz w:val="32"/>
          <w:szCs w:val="32"/>
        </w:rPr>
        <w:t>施工、养护工作中应配置统一工作服，注意文明用语，做到工完场清，妥善安排好工具的摆放和绿化垃圾的处置。高空作业、动火作业需手续办理后方可开工，安全保障物资应合规使用。高温天气注意避开高温时期进行室外作业，极端天气注意安全防范工作。</w:t>
      </w:r>
    </w:p>
    <w:p>
      <w:pPr>
        <w:pStyle w:val="14"/>
        <w:numPr>
          <w:ilvl w:val="0"/>
          <w:numId w:val="3"/>
        </w:numPr>
        <w:spacing w:line="560" w:lineRule="exact"/>
        <w:ind w:firstLineChars="0"/>
        <w:rPr>
          <w:rFonts w:ascii="黑体" w:hAnsi="黑体" w:eastAsia="黑体"/>
          <w:color w:val="auto"/>
          <w:sz w:val="32"/>
          <w:szCs w:val="32"/>
        </w:rPr>
      </w:pPr>
      <w:r>
        <w:rPr>
          <w:rFonts w:hint="eastAsia" w:ascii="黑体" w:hAnsi="黑体" w:eastAsia="黑体"/>
          <w:color w:val="auto"/>
          <w:sz w:val="32"/>
          <w:szCs w:val="32"/>
        </w:rPr>
        <w:t>承包内容和范围</w:t>
      </w:r>
    </w:p>
    <w:p>
      <w:pPr>
        <w:ind w:firstLine="640" w:firstLineChars="200"/>
        <w:rPr>
          <w:rFonts w:ascii="仿宋_GB2312" w:hAnsi="仿宋" w:eastAsia="仿宋_GB2312"/>
          <w:color w:val="auto"/>
          <w:sz w:val="32"/>
          <w:szCs w:val="32"/>
        </w:rPr>
      </w:pPr>
      <w:r>
        <w:rPr>
          <w:rFonts w:ascii="仿宋_GB2312" w:hAnsi="仿宋" w:eastAsia="仿宋_GB2312"/>
          <w:color w:val="auto"/>
          <w:sz w:val="32"/>
          <w:szCs w:val="32"/>
        </w:rPr>
        <w:t>4.1</w:t>
      </w:r>
      <w:r>
        <w:rPr>
          <w:rFonts w:hint="eastAsia" w:ascii="仿宋_GB2312" w:hAnsi="仿宋" w:eastAsia="仿宋_GB2312"/>
          <w:color w:val="auto"/>
          <w:sz w:val="32"/>
          <w:szCs w:val="32"/>
        </w:rPr>
        <w:t>景观提升项目内容为上海市龙华烈士陵园清明与9.30两次景观专项、202</w:t>
      </w:r>
      <w:r>
        <w:rPr>
          <w:rFonts w:hint="eastAsia" w:ascii="仿宋_GB2312" w:hAnsi="仿宋" w:eastAsia="仿宋_GB2312"/>
          <w:color w:val="auto"/>
          <w:sz w:val="32"/>
          <w:szCs w:val="32"/>
          <w:lang w:val="en-US" w:eastAsia="zh-CN"/>
        </w:rPr>
        <w:t>5</w:t>
      </w:r>
      <w:r>
        <w:rPr>
          <w:rFonts w:hint="eastAsia" w:ascii="仿宋_GB2312" w:hAnsi="仿宋" w:eastAsia="仿宋_GB2312"/>
          <w:color w:val="auto"/>
          <w:sz w:val="32"/>
          <w:szCs w:val="32"/>
        </w:rPr>
        <w:t>年度园区景观提升布置的设计、施工服务及绿化材料</w:t>
      </w:r>
      <w:r>
        <w:rPr>
          <w:rFonts w:hint="eastAsia" w:ascii="仿宋_GB2312" w:hAnsi="仿宋" w:eastAsia="仿宋_GB2312"/>
          <w:color w:val="auto"/>
          <w:sz w:val="32"/>
          <w:szCs w:val="32"/>
          <w:lang w:val="en-US" w:eastAsia="zh-CN"/>
        </w:rPr>
        <w:t>采购</w:t>
      </w:r>
      <w:r>
        <w:rPr>
          <w:rFonts w:hint="eastAsia" w:ascii="仿宋_GB2312" w:hAnsi="仿宋" w:eastAsia="仿宋_GB2312"/>
          <w:color w:val="auto"/>
          <w:sz w:val="32"/>
          <w:szCs w:val="32"/>
        </w:rPr>
        <w:t>（其中包括</w:t>
      </w:r>
      <w:r>
        <w:rPr>
          <w:rFonts w:hint="eastAsia" w:ascii="仿宋_GB2312" w:hAnsi="仿宋" w:eastAsia="仿宋_GB2312"/>
          <w:color w:val="auto"/>
          <w:sz w:val="32"/>
          <w:szCs w:val="32"/>
          <w:lang w:val="en-US" w:eastAsia="zh-CN"/>
        </w:rPr>
        <w:t>悠悠桃花道</w:t>
      </w:r>
      <w:r>
        <w:rPr>
          <w:rFonts w:hint="eastAsia" w:ascii="仿宋_GB2312" w:hAnsi="仿宋" w:eastAsia="仿宋_GB2312"/>
          <w:color w:val="auto"/>
          <w:sz w:val="32"/>
          <w:szCs w:val="32"/>
        </w:rPr>
        <w:t>景观提升、</w:t>
      </w:r>
      <w:r>
        <w:rPr>
          <w:rFonts w:hint="eastAsia" w:ascii="仿宋_GB2312" w:hAnsi="仿宋" w:eastAsia="仿宋_GB2312"/>
          <w:color w:val="auto"/>
          <w:sz w:val="32"/>
          <w:szCs w:val="32"/>
          <w:lang w:val="en-US" w:eastAsia="zh-CN"/>
        </w:rPr>
        <w:t>樱花林下</w:t>
      </w:r>
      <w:r>
        <w:rPr>
          <w:rFonts w:hint="eastAsia" w:ascii="仿宋_GB2312" w:hAnsi="仿宋" w:eastAsia="仿宋_GB2312"/>
          <w:color w:val="auto"/>
          <w:sz w:val="32"/>
          <w:szCs w:val="32"/>
        </w:rPr>
        <w:t>景观提升、园区部分点位</w:t>
      </w:r>
      <w:r>
        <w:rPr>
          <w:rFonts w:hint="eastAsia" w:ascii="仿宋_GB2312" w:hAnsi="仿宋" w:eastAsia="仿宋_GB2312"/>
          <w:color w:val="auto"/>
          <w:sz w:val="32"/>
          <w:szCs w:val="32"/>
          <w:lang w:val="en-US" w:eastAsia="zh-CN"/>
        </w:rPr>
        <w:t>红色氛围营造等</w:t>
      </w:r>
      <w:r>
        <w:rPr>
          <w:rFonts w:hint="eastAsia" w:ascii="仿宋_GB2312" w:hAnsi="仿宋" w:eastAsia="仿宋_GB2312"/>
          <w:color w:val="auto"/>
          <w:sz w:val="32"/>
          <w:szCs w:val="32"/>
        </w:rPr>
        <w:t>内容）</w:t>
      </w:r>
      <w:r>
        <w:rPr>
          <w:rFonts w:hint="eastAsia" w:ascii="仿宋_GB2312" w:hAnsi="仿宋" w:eastAsia="仿宋_GB2312"/>
          <w:color w:val="auto"/>
          <w:sz w:val="32"/>
          <w:szCs w:val="32"/>
          <w:lang w:eastAsia="zh-CN"/>
        </w:rPr>
        <w:t>、除南大门立体雕塑外其他景观提升的养护</w:t>
      </w:r>
      <w:r>
        <w:rPr>
          <w:rFonts w:hint="eastAsia" w:ascii="仿宋_GB2312" w:hAnsi="仿宋" w:eastAsia="仿宋_GB2312"/>
          <w:color w:val="auto"/>
          <w:sz w:val="32"/>
          <w:szCs w:val="32"/>
        </w:rPr>
        <w:t>，园内4棵古树名木的复壮工作；重大节点景观保障工作；景观提升项目对应的档案资料管理工作；重大节点园内景观绿化保障工作、部分绿化涉及标识的优化等。</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4</w:t>
      </w:r>
      <w:r>
        <w:rPr>
          <w:rFonts w:ascii="仿宋_GB2312" w:hAnsi="仿宋" w:eastAsia="仿宋_GB2312"/>
          <w:color w:val="auto"/>
          <w:sz w:val="32"/>
          <w:szCs w:val="32"/>
        </w:rPr>
        <w:t>.</w:t>
      </w:r>
      <w:r>
        <w:rPr>
          <w:rFonts w:hint="eastAsia" w:ascii="仿宋_GB2312" w:hAnsi="仿宋" w:eastAsia="仿宋_GB2312"/>
          <w:color w:val="auto"/>
          <w:sz w:val="32"/>
          <w:szCs w:val="32"/>
        </w:rPr>
        <w:t>2施工期间，若发生非业主方或自然因素，或因承包方管理不善造成绿地内各类苗木的死亡（包括人为践踏造成的）和建筑、道路地坪等设施损坏，均由中标公司负责补缺和修缮。</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4</w:t>
      </w:r>
      <w:r>
        <w:rPr>
          <w:rFonts w:ascii="仿宋_GB2312" w:hAnsi="仿宋" w:eastAsia="仿宋_GB2312"/>
          <w:color w:val="auto"/>
          <w:sz w:val="32"/>
          <w:szCs w:val="32"/>
        </w:rPr>
        <w:t>.</w:t>
      </w:r>
      <w:r>
        <w:rPr>
          <w:rFonts w:hint="eastAsia" w:ascii="仿宋_GB2312" w:hAnsi="仿宋" w:eastAsia="仿宋_GB2312"/>
          <w:color w:val="auto"/>
          <w:sz w:val="32"/>
          <w:szCs w:val="32"/>
        </w:rPr>
        <w:t>3景观提升作业区域内苗木淘汰以及少量苗木抽稀而产生的挖掘、移植等费用包含在报价中。因疏植而发生的多余苗木，其产权归甲方所有。</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4</w:t>
      </w:r>
      <w:r>
        <w:rPr>
          <w:rFonts w:ascii="仿宋_GB2312" w:hAnsi="仿宋" w:eastAsia="仿宋_GB2312"/>
          <w:color w:val="auto"/>
          <w:sz w:val="32"/>
          <w:szCs w:val="32"/>
        </w:rPr>
        <w:t>.</w:t>
      </w:r>
      <w:r>
        <w:rPr>
          <w:rFonts w:hint="eastAsia" w:ascii="仿宋_GB2312" w:hAnsi="仿宋" w:eastAsia="仿宋_GB2312"/>
          <w:color w:val="auto"/>
          <w:sz w:val="32"/>
          <w:szCs w:val="32"/>
        </w:rPr>
        <w:t xml:space="preserve">4包括防台防汛及按要求进行的演习活动等；包括要符合不断提高的服务（质量）要求；包括对发生的游客等安全问题的应对、应急措施。但是应要求进行的对外发生的防台防汛、抢险等的费用不包括。 </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4</w:t>
      </w:r>
      <w:r>
        <w:rPr>
          <w:rFonts w:ascii="仿宋_GB2312" w:hAnsi="仿宋" w:eastAsia="仿宋_GB2312"/>
          <w:color w:val="auto"/>
          <w:sz w:val="32"/>
          <w:szCs w:val="32"/>
        </w:rPr>
        <w:t>.</w:t>
      </w:r>
      <w:r>
        <w:rPr>
          <w:rFonts w:hint="eastAsia" w:ascii="仿宋_GB2312" w:hAnsi="仿宋" w:eastAsia="仿宋_GB2312"/>
          <w:color w:val="auto"/>
          <w:sz w:val="32"/>
          <w:szCs w:val="32"/>
        </w:rPr>
        <w:t>5特殊情况下，如节假日、配合检查、市区局举办的各类“创建”活动等，甲方要求中标公司服从调配，中标公司须无条件听从。</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4</w:t>
      </w:r>
      <w:r>
        <w:rPr>
          <w:rFonts w:ascii="仿宋_GB2312" w:hAnsi="仿宋" w:eastAsia="仿宋_GB2312"/>
          <w:color w:val="auto"/>
          <w:sz w:val="32"/>
          <w:szCs w:val="32"/>
        </w:rPr>
        <w:t>.</w:t>
      </w:r>
      <w:r>
        <w:rPr>
          <w:rFonts w:hint="eastAsia" w:ascii="仿宋_GB2312" w:hAnsi="仿宋" w:eastAsia="仿宋_GB2312"/>
          <w:color w:val="auto"/>
          <w:sz w:val="32"/>
          <w:szCs w:val="32"/>
        </w:rPr>
        <w:t>6本项目有农药、肥料和覆盖物等施用工作。本项目每年用于绿地的肥料介质、植保等材料价格应当包含在投标总价中。须将材料样品报甲方审核通过后实施，以保障材料的质量。</w:t>
      </w:r>
    </w:p>
    <w:p>
      <w:pPr>
        <w:spacing w:line="560" w:lineRule="exact"/>
        <w:rPr>
          <w:rFonts w:ascii="黑体" w:hAnsi="黑体" w:eastAsia="黑体"/>
          <w:color w:val="auto"/>
          <w:sz w:val="32"/>
          <w:szCs w:val="32"/>
        </w:rPr>
      </w:pPr>
      <w:r>
        <w:rPr>
          <w:rFonts w:hint="eastAsia" w:ascii="黑体" w:hAnsi="黑体" w:eastAsia="黑体"/>
          <w:color w:val="auto"/>
          <w:sz w:val="32"/>
          <w:szCs w:val="32"/>
        </w:rPr>
        <w:t>五、承包期限和方式</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5</w:t>
      </w:r>
      <w:r>
        <w:rPr>
          <w:rFonts w:ascii="仿宋_GB2312" w:hAnsi="仿宋" w:eastAsia="仿宋_GB2312"/>
          <w:color w:val="auto"/>
          <w:sz w:val="32"/>
          <w:szCs w:val="32"/>
        </w:rPr>
        <w:t>.1</w:t>
      </w:r>
      <w:r>
        <w:rPr>
          <w:rFonts w:hint="eastAsia" w:ascii="仿宋_GB2312" w:hAnsi="仿宋" w:eastAsia="仿宋_GB2312"/>
          <w:color w:val="auto"/>
          <w:sz w:val="32"/>
          <w:szCs w:val="32"/>
        </w:rPr>
        <w:t>景观提升项目时长为自合同签订生效之日起至2</w:t>
      </w:r>
      <w:r>
        <w:rPr>
          <w:rFonts w:ascii="仿宋_GB2312" w:hAnsi="仿宋" w:eastAsia="仿宋_GB2312"/>
          <w:color w:val="auto"/>
          <w:sz w:val="32"/>
          <w:szCs w:val="32"/>
        </w:rPr>
        <w:t>02</w:t>
      </w:r>
      <w:r>
        <w:rPr>
          <w:rFonts w:hint="eastAsia" w:ascii="仿宋_GB2312" w:hAnsi="仿宋" w:eastAsia="仿宋_GB2312"/>
          <w:color w:val="auto"/>
          <w:sz w:val="32"/>
          <w:szCs w:val="32"/>
          <w:lang w:val="en-US" w:eastAsia="zh-CN"/>
        </w:rPr>
        <w:t>5</w:t>
      </w:r>
      <w:r>
        <w:rPr>
          <w:rFonts w:hint="eastAsia" w:ascii="仿宋_GB2312" w:hAnsi="仿宋" w:eastAsia="仿宋_GB2312"/>
          <w:color w:val="auto"/>
          <w:sz w:val="32"/>
          <w:szCs w:val="32"/>
        </w:rPr>
        <w:t>年1</w:t>
      </w:r>
      <w:r>
        <w:rPr>
          <w:rFonts w:ascii="仿宋_GB2312" w:hAnsi="仿宋" w:eastAsia="仿宋_GB2312"/>
          <w:color w:val="auto"/>
          <w:sz w:val="32"/>
          <w:szCs w:val="32"/>
        </w:rPr>
        <w:t>1</w:t>
      </w:r>
      <w:r>
        <w:rPr>
          <w:rFonts w:hint="eastAsia" w:ascii="仿宋_GB2312" w:hAnsi="仿宋" w:eastAsia="仿宋_GB2312"/>
          <w:color w:val="auto"/>
          <w:sz w:val="32"/>
          <w:szCs w:val="32"/>
        </w:rPr>
        <w:t>月3</w:t>
      </w:r>
      <w:r>
        <w:rPr>
          <w:rFonts w:ascii="仿宋_GB2312" w:hAnsi="仿宋" w:eastAsia="仿宋_GB2312"/>
          <w:color w:val="auto"/>
          <w:sz w:val="32"/>
          <w:szCs w:val="32"/>
        </w:rPr>
        <w:t>0</w:t>
      </w:r>
      <w:r>
        <w:rPr>
          <w:rFonts w:hint="eastAsia" w:ascii="仿宋_GB2312" w:hAnsi="仿宋" w:eastAsia="仿宋_GB2312"/>
          <w:color w:val="auto"/>
          <w:sz w:val="32"/>
          <w:szCs w:val="32"/>
        </w:rPr>
        <w:t>日。</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5</w:t>
      </w:r>
      <w:r>
        <w:rPr>
          <w:rFonts w:ascii="仿宋_GB2312" w:hAnsi="仿宋" w:eastAsia="仿宋_GB2312"/>
          <w:color w:val="auto"/>
          <w:sz w:val="32"/>
          <w:szCs w:val="32"/>
        </w:rPr>
        <w:t>.2</w:t>
      </w:r>
      <w:r>
        <w:rPr>
          <w:rFonts w:hint="eastAsia" w:ascii="仿宋_GB2312" w:hAnsi="仿宋" w:eastAsia="仿宋_GB2312"/>
          <w:color w:val="auto"/>
          <w:sz w:val="32"/>
          <w:szCs w:val="32"/>
        </w:rPr>
        <w:t>承包方式：采用包工包料方式。</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5</w:t>
      </w:r>
      <w:r>
        <w:rPr>
          <w:rFonts w:ascii="仿宋_GB2312" w:hAnsi="仿宋" w:eastAsia="仿宋_GB2312"/>
          <w:color w:val="auto"/>
          <w:sz w:val="32"/>
          <w:szCs w:val="32"/>
        </w:rPr>
        <w:t>.3</w:t>
      </w:r>
      <w:r>
        <w:rPr>
          <w:rFonts w:hint="eastAsia" w:ascii="仿宋_GB2312" w:hAnsi="仿宋" w:eastAsia="仿宋_GB2312"/>
          <w:color w:val="auto"/>
          <w:sz w:val="32"/>
          <w:szCs w:val="32"/>
        </w:rPr>
        <w:t>人员要求：</w:t>
      </w:r>
    </w:p>
    <w:p>
      <w:pPr>
        <w:ind w:firstLine="640" w:firstLineChars="200"/>
        <w:rPr>
          <w:rFonts w:hint="default" w:ascii="仿宋_GB2312" w:hAnsi="仿宋" w:eastAsia="仿宋_GB2312"/>
          <w:color w:val="auto"/>
          <w:sz w:val="32"/>
          <w:szCs w:val="32"/>
          <w:lang w:val="en-US" w:eastAsia="zh-CN"/>
        </w:rPr>
      </w:pPr>
      <w:bookmarkStart w:id="0" w:name="_Hlk160110834"/>
      <w:r>
        <w:rPr>
          <w:rFonts w:hint="eastAsia" w:ascii="仿宋_GB2312" w:eastAsia="仿宋_GB2312" w:hAnsiTheme="minorEastAsia" w:cstheme="minorEastAsia"/>
          <w:color w:val="auto"/>
          <w:sz w:val="32"/>
          <w:szCs w:val="32"/>
        </w:rPr>
        <w:t>本项目配备</w:t>
      </w:r>
      <w:r>
        <w:rPr>
          <w:rFonts w:hint="eastAsia" w:ascii="仿宋_GB2312" w:eastAsia="仿宋_GB2312" w:hAnsiTheme="minorEastAsia" w:cstheme="minorEastAsia"/>
          <w:color w:val="auto"/>
          <w:sz w:val="32"/>
          <w:szCs w:val="32"/>
          <w:lang w:val="en-US" w:eastAsia="zh-CN"/>
        </w:rPr>
        <w:t>管理</w:t>
      </w:r>
      <w:r>
        <w:rPr>
          <w:rFonts w:hint="eastAsia" w:ascii="仿宋_GB2312" w:eastAsia="仿宋_GB2312" w:hAnsiTheme="minorEastAsia" w:cstheme="minorEastAsia"/>
          <w:color w:val="auto"/>
          <w:sz w:val="32"/>
          <w:szCs w:val="32"/>
        </w:rPr>
        <w:t>人员不得少于4人，其中至少包括项目负责人、安全员、质量员、材料员各1名</w:t>
      </w:r>
      <w:r>
        <w:rPr>
          <w:rFonts w:hint="eastAsia" w:ascii="仿宋_GB2312" w:eastAsia="仿宋_GB2312" w:hAnsiTheme="minorEastAsia" w:cstheme="minorEastAsia"/>
          <w:color w:val="auto"/>
          <w:sz w:val="32"/>
          <w:szCs w:val="32"/>
          <w:lang w:eastAsia="zh-CN"/>
        </w:rPr>
        <w:t>，</w:t>
      </w:r>
      <w:r>
        <w:rPr>
          <w:rFonts w:hint="eastAsia" w:ascii="仿宋_GB2312" w:eastAsia="仿宋_GB2312" w:hAnsiTheme="minorEastAsia" w:cstheme="minorEastAsia"/>
          <w:color w:val="auto"/>
          <w:sz w:val="32"/>
          <w:szCs w:val="32"/>
        </w:rPr>
        <w:t>并提供详细人员名单，未提供相关人员名单的视为未响应。</w:t>
      </w:r>
      <w:r>
        <w:rPr>
          <w:rFonts w:hint="eastAsia" w:ascii="仿宋_GB2312" w:eastAsia="仿宋_GB2312" w:hAnsiTheme="minorEastAsia" w:cstheme="minorEastAsia"/>
          <w:color w:val="auto"/>
          <w:sz w:val="32"/>
          <w:szCs w:val="32"/>
          <w:lang w:val="en-US" w:eastAsia="zh-CN"/>
        </w:rPr>
        <w:t>施工等临时人员由中标方自行配备以满足项目需求为准。</w:t>
      </w:r>
    </w:p>
    <w:bookmarkEnd w:id="0"/>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项目负责人需专业对口，获得绿化管理局工程系列园林绿化专业中级及以上职称，具有本科及以上学历，年龄不高于50周岁，具备</w:t>
      </w:r>
      <w:r>
        <w:rPr>
          <w:rFonts w:ascii="仿宋_GB2312" w:hAnsi="仿宋" w:eastAsia="仿宋_GB2312"/>
          <w:color w:val="auto"/>
          <w:sz w:val="32"/>
          <w:szCs w:val="32"/>
        </w:rPr>
        <w:t>10</w:t>
      </w:r>
      <w:r>
        <w:rPr>
          <w:rFonts w:hint="eastAsia" w:ascii="仿宋_GB2312" w:hAnsi="仿宋" w:eastAsia="仿宋_GB2312"/>
          <w:color w:val="auto"/>
          <w:sz w:val="32"/>
          <w:szCs w:val="32"/>
        </w:rPr>
        <w:t>年及以上绿化行业园林布展造景或者绿化改造服务经验。提供项目经理身份证复印件以及学历证书、职称证书、近3个月内任意1个月的应标公司在职社保记录、服务经历证明文件。其他人员根据作业的具体要求，其他临时工人数由投标单位自行核算申报。</w:t>
      </w:r>
    </w:p>
    <w:p>
      <w:pPr>
        <w:widowControl/>
        <w:jc w:val="left"/>
        <w:rPr>
          <w:rFonts w:ascii="仿宋_GB2312" w:hAnsi="仿宋" w:eastAsia="仿宋_GB2312"/>
          <w:color w:val="auto"/>
          <w:sz w:val="32"/>
          <w:szCs w:val="32"/>
        </w:rPr>
      </w:pPr>
      <w:r>
        <w:rPr>
          <w:rFonts w:ascii="仿宋_GB2312" w:hAnsi="仿宋" w:eastAsia="仿宋_GB2312"/>
          <w:color w:val="auto"/>
          <w:sz w:val="32"/>
          <w:szCs w:val="32"/>
        </w:rPr>
        <w:br w:type="page"/>
      </w:r>
    </w:p>
    <w:p>
      <w:pPr>
        <w:pStyle w:val="21"/>
        <w:tabs>
          <w:tab w:val="left" w:pos="983"/>
        </w:tabs>
        <w:spacing w:line="560" w:lineRule="exact"/>
        <w:ind w:left="0" w:firstLine="0"/>
        <w:jc w:val="both"/>
        <w:rPr>
          <w:rFonts w:ascii="仿宋_GB2312" w:hAnsi="仿宋" w:eastAsia="仿宋_GB2312" w:cstheme="minorBidi"/>
          <w:color w:val="auto"/>
          <w:kern w:val="2"/>
          <w:sz w:val="32"/>
          <w:szCs w:val="32"/>
          <w:lang w:val="en-US" w:bidi="ar-SA"/>
        </w:rPr>
      </w:pPr>
    </w:p>
    <w:p>
      <w:pPr>
        <w:pStyle w:val="21"/>
        <w:tabs>
          <w:tab w:val="left" w:pos="983"/>
        </w:tabs>
        <w:spacing w:line="560" w:lineRule="exact"/>
        <w:ind w:left="0" w:firstLine="640" w:firstLineChars="200"/>
        <w:jc w:val="both"/>
        <w:rPr>
          <w:rFonts w:ascii="仿宋_GB2312" w:hAnsi="仿宋" w:eastAsia="仿宋_GB2312" w:cstheme="minorBidi"/>
          <w:color w:val="auto"/>
          <w:kern w:val="2"/>
          <w:sz w:val="32"/>
          <w:szCs w:val="32"/>
          <w:lang w:val="en-US" w:bidi="ar-SA"/>
        </w:rPr>
      </w:pPr>
      <w:r>
        <w:rPr>
          <w:rFonts w:hint="eastAsia" w:ascii="仿宋_GB2312" w:hAnsi="仿宋" w:eastAsia="仿宋_GB2312" w:cstheme="minorBidi"/>
          <w:color w:val="auto"/>
          <w:kern w:val="2"/>
          <w:sz w:val="32"/>
          <w:szCs w:val="32"/>
          <w:lang w:val="en-US" w:bidi="ar-SA"/>
        </w:rPr>
        <w:t>附件一、技术规范（包括但不限于）</w:t>
      </w:r>
    </w:p>
    <w:p>
      <w:pPr>
        <w:pStyle w:val="4"/>
        <w:spacing w:line="560" w:lineRule="exact"/>
        <w:ind w:firstLine="640" w:firstLineChars="200"/>
        <w:jc w:val="both"/>
        <w:rPr>
          <w:rFonts w:ascii="仿宋_GB2312" w:hAnsi="仿宋" w:eastAsia="仿宋_GB2312" w:cstheme="minorBidi"/>
          <w:color w:val="auto"/>
          <w:kern w:val="2"/>
          <w:sz w:val="32"/>
          <w:szCs w:val="32"/>
          <w:lang w:val="en-US" w:bidi="ar-SA"/>
        </w:rPr>
      </w:pPr>
      <w:r>
        <w:rPr>
          <w:rFonts w:hint="eastAsia" w:ascii="仿宋_GB2312" w:hAnsi="仿宋" w:eastAsia="仿宋_GB2312" w:cstheme="minorBidi"/>
          <w:color w:val="auto"/>
          <w:kern w:val="2"/>
          <w:sz w:val="32"/>
          <w:szCs w:val="32"/>
          <w:lang w:val="en-US" w:bidi="ar-SA"/>
        </w:rPr>
        <w:t>《园林植物栽植技术规程》DG/TJ08-18-2011</w:t>
      </w:r>
    </w:p>
    <w:p>
      <w:pPr>
        <w:pStyle w:val="4"/>
        <w:spacing w:line="560" w:lineRule="exact"/>
        <w:ind w:firstLine="640" w:firstLineChars="200"/>
        <w:jc w:val="both"/>
        <w:rPr>
          <w:rFonts w:ascii="仿宋_GB2312" w:hAnsi="仿宋" w:eastAsia="仿宋_GB2312" w:cstheme="minorBidi"/>
          <w:color w:val="auto"/>
          <w:kern w:val="2"/>
          <w:sz w:val="32"/>
          <w:szCs w:val="32"/>
          <w:lang w:val="en-US" w:bidi="ar-SA"/>
        </w:rPr>
      </w:pPr>
      <w:r>
        <w:rPr>
          <w:rFonts w:hint="eastAsia" w:ascii="仿宋_GB2312" w:hAnsi="仿宋" w:eastAsia="仿宋_GB2312" w:cstheme="minorBidi"/>
          <w:color w:val="auto"/>
          <w:kern w:val="2"/>
          <w:sz w:val="32"/>
          <w:szCs w:val="32"/>
          <w:lang w:val="en-US" w:bidi="ar-SA"/>
        </w:rPr>
        <w:t>《园林绿化养护标准》</w:t>
      </w:r>
      <w:r>
        <w:rPr>
          <w:rFonts w:ascii="仿宋_GB2312" w:hAnsi="仿宋" w:eastAsia="仿宋_GB2312" w:cstheme="minorBidi"/>
          <w:color w:val="auto"/>
          <w:kern w:val="2"/>
          <w:sz w:val="32"/>
          <w:szCs w:val="32"/>
          <w:lang w:val="en-US" w:bidi="ar-SA"/>
        </w:rPr>
        <w:t>DG/TJ08-19-2023</w:t>
      </w:r>
    </w:p>
    <w:p>
      <w:pPr>
        <w:pStyle w:val="4"/>
        <w:tabs>
          <w:tab w:val="left" w:pos="3933"/>
        </w:tabs>
        <w:spacing w:line="560" w:lineRule="exact"/>
        <w:ind w:firstLine="640" w:firstLineChars="200"/>
        <w:jc w:val="both"/>
        <w:rPr>
          <w:rFonts w:ascii="仿宋_GB2312" w:hAnsi="仿宋" w:eastAsia="仿宋_GB2312" w:cstheme="minorBidi"/>
          <w:color w:val="auto"/>
          <w:kern w:val="2"/>
          <w:sz w:val="32"/>
          <w:szCs w:val="32"/>
          <w:lang w:val="en-US" w:bidi="ar-SA"/>
        </w:rPr>
      </w:pPr>
      <w:r>
        <w:rPr>
          <w:rFonts w:hint="eastAsia" w:ascii="仿宋_GB2312" w:hAnsi="仿宋" w:eastAsia="仿宋_GB2312" w:cstheme="minorBidi"/>
          <w:color w:val="auto"/>
          <w:kern w:val="2"/>
          <w:sz w:val="32"/>
          <w:szCs w:val="32"/>
          <w:lang w:val="en-US" w:bidi="ar-SA"/>
        </w:rPr>
        <w:t>《园林绿化养护技术规程》DG/TJ08-35-2014</w:t>
      </w:r>
      <w:r>
        <w:rPr>
          <w:rFonts w:hint="eastAsia" w:ascii="仿宋_GB2312" w:hAnsi="仿宋" w:eastAsia="仿宋_GB2312" w:cstheme="minorBidi"/>
          <w:color w:val="auto"/>
          <w:kern w:val="2"/>
          <w:sz w:val="32"/>
          <w:szCs w:val="32"/>
          <w:lang w:val="en-US" w:bidi="ar-SA"/>
        </w:rPr>
        <w:tab/>
      </w:r>
    </w:p>
    <w:p>
      <w:pPr>
        <w:pStyle w:val="4"/>
        <w:spacing w:line="560" w:lineRule="exact"/>
        <w:ind w:firstLine="640" w:firstLineChars="200"/>
        <w:jc w:val="both"/>
        <w:rPr>
          <w:rFonts w:ascii="仿宋_GB2312" w:hAnsi="仿宋" w:eastAsia="仿宋_GB2312" w:cstheme="minorBidi"/>
          <w:color w:val="auto"/>
          <w:kern w:val="2"/>
          <w:sz w:val="32"/>
          <w:szCs w:val="32"/>
          <w:lang w:val="en-US" w:bidi="ar-SA"/>
        </w:rPr>
      </w:pPr>
      <w:r>
        <w:rPr>
          <w:rFonts w:hint="eastAsia" w:ascii="仿宋_GB2312" w:hAnsi="仿宋" w:eastAsia="仿宋_GB2312" w:cstheme="minorBidi"/>
          <w:color w:val="auto"/>
          <w:kern w:val="2"/>
          <w:sz w:val="32"/>
          <w:szCs w:val="32"/>
          <w:lang w:val="en-US" w:bidi="ar-SA"/>
        </w:rPr>
        <w:t>《绿化植物保护技术规程》DG/TJ08-35-2014</w:t>
      </w:r>
    </w:p>
    <w:p>
      <w:pPr>
        <w:pStyle w:val="4"/>
        <w:spacing w:line="560" w:lineRule="exact"/>
        <w:ind w:firstLine="640" w:firstLineChars="200"/>
        <w:jc w:val="both"/>
        <w:rPr>
          <w:rFonts w:ascii="仿宋_GB2312" w:hAnsi="仿宋" w:eastAsia="仿宋_GB2312" w:cstheme="minorBidi"/>
          <w:color w:val="auto"/>
          <w:kern w:val="2"/>
          <w:sz w:val="32"/>
          <w:szCs w:val="32"/>
          <w:lang w:val="en-US" w:bidi="ar-SA"/>
        </w:rPr>
      </w:pPr>
      <w:r>
        <w:rPr>
          <w:rFonts w:hint="eastAsia" w:ascii="仿宋_GB2312" w:hAnsi="仿宋" w:eastAsia="仿宋_GB2312" w:cstheme="minorBidi"/>
          <w:color w:val="auto"/>
          <w:kern w:val="2"/>
          <w:sz w:val="32"/>
          <w:szCs w:val="32"/>
          <w:lang w:val="en-US" w:bidi="ar-SA"/>
        </w:rPr>
        <w:t>《园林绿化养护技术等级标准》DG/TJ08-702-2011</w:t>
      </w:r>
    </w:p>
    <w:p>
      <w:pPr>
        <w:pStyle w:val="4"/>
        <w:spacing w:line="560" w:lineRule="exact"/>
        <w:ind w:firstLine="640" w:firstLineChars="200"/>
        <w:jc w:val="both"/>
        <w:rPr>
          <w:rFonts w:ascii="仿宋_GB2312" w:hAnsi="仿宋" w:eastAsia="仿宋_GB2312" w:cstheme="minorBidi"/>
          <w:color w:val="auto"/>
          <w:kern w:val="2"/>
          <w:sz w:val="32"/>
          <w:szCs w:val="32"/>
          <w:lang w:val="en-US" w:bidi="ar-SA"/>
        </w:rPr>
      </w:pPr>
      <w:r>
        <w:rPr>
          <w:rFonts w:hint="eastAsia" w:ascii="仿宋_GB2312" w:hAnsi="仿宋" w:eastAsia="仿宋_GB2312" w:cstheme="minorBidi"/>
          <w:color w:val="auto"/>
          <w:kern w:val="2"/>
          <w:sz w:val="32"/>
          <w:szCs w:val="32"/>
          <w:lang w:val="en-US" w:bidi="ar-SA"/>
        </w:rPr>
        <w:t>《园林绿化工程施工质量验收标准》DG/TJ08-701-2010</w:t>
      </w:r>
    </w:p>
    <w:p>
      <w:pPr>
        <w:pStyle w:val="4"/>
        <w:spacing w:line="560" w:lineRule="exact"/>
        <w:ind w:firstLine="640" w:firstLineChars="200"/>
        <w:jc w:val="both"/>
        <w:rPr>
          <w:rFonts w:ascii="仿宋_GB2312" w:hAnsi="仿宋" w:eastAsia="仿宋_GB2312" w:cstheme="minorBidi"/>
          <w:color w:val="auto"/>
          <w:kern w:val="2"/>
          <w:sz w:val="32"/>
          <w:szCs w:val="32"/>
          <w:lang w:val="en-US" w:bidi="ar-SA"/>
        </w:rPr>
      </w:pPr>
      <w:r>
        <w:rPr>
          <w:rFonts w:hint="eastAsia" w:ascii="仿宋_GB2312" w:hAnsi="仿宋" w:eastAsia="仿宋_GB2312" w:cstheme="minorBidi"/>
          <w:color w:val="auto"/>
          <w:kern w:val="2"/>
          <w:sz w:val="32"/>
          <w:szCs w:val="32"/>
          <w:lang w:val="en-US" w:bidi="ar-SA"/>
        </w:rPr>
        <w:t>《行道树养护技术规程》DG/TJ08-2105-2012</w:t>
      </w:r>
    </w:p>
    <w:p>
      <w:pPr>
        <w:pStyle w:val="4"/>
        <w:spacing w:line="560" w:lineRule="exact"/>
        <w:ind w:firstLine="640" w:firstLineChars="200"/>
        <w:jc w:val="both"/>
        <w:rPr>
          <w:rFonts w:ascii="仿宋_GB2312" w:hAnsi="仿宋" w:eastAsia="仿宋_GB2312" w:cstheme="minorBidi"/>
          <w:color w:val="auto"/>
          <w:kern w:val="2"/>
          <w:sz w:val="32"/>
          <w:szCs w:val="32"/>
          <w:lang w:val="en-US" w:bidi="ar-SA"/>
        </w:rPr>
      </w:pPr>
      <w:r>
        <w:rPr>
          <w:rFonts w:hint="eastAsia" w:ascii="仿宋_GB2312" w:hAnsi="仿宋" w:eastAsia="仿宋_GB2312" w:cstheme="minorBidi"/>
          <w:color w:val="auto"/>
          <w:kern w:val="2"/>
          <w:sz w:val="32"/>
          <w:szCs w:val="32"/>
          <w:lang w:val="en-US" w:bidi="ar-SA"/>
        </w:rPr>
        <w:t>《行道树栽植技术规程》</w:t>
      </w:r>
      <w:r>
        <w:rPr>
          <w:rFonts w:ascii="仿宋_GB2312" w:hAnsi="仿宋" w:eastAsia="仿宋_GB2312" w:cstheme="minorBidi"/>
          <w:color w:val="auto"/>
          <w:kern w:val="2"/>
          <w:sz w:val="32"/>
          <w:szCs w:val="32"/>
          <w:lang w:val="en-US" w:bidi="ar-SA"/>
        </w:rPr>
        <w:t>DG/TJ08-53-2016</w:t>
      </w:r>
    </w:p>
    <w:p>
      <w:pPr>
        <w:pStyle w:val="4"/>
        <w:tabs>
          <w:tab w:val="left" w:pos="2637"/>
        </w:tabs>
        <w:spacing w:line="560" w:lineRule="exact"/>
        <w:ind w:firstLine="640" w:firstLineChars="200"/>
        <w:jc w:val="both"/>
        <w:rPr>
          <w:rFonts w:ascii="仿宋_GB2312" w:hAnsi="仿宋" w:eastAsia="仿宋_GB2312" w:cstheme="minorBidi"/>
          <w:color w:val="auto"/>
          <w:kern w:val="2"/>
          <w:sz w:val="32"/>
          <w:szCs w:val="32"/>
          <w:lang w:val="en-US" w:bidi="ar-SA"/>
        </w:rPr>
      </w:pPr>
      <w:r>
        <w:rPr>
          <w:rFonts w:hint="eastAsia" w:ascii="仿宋_GB2312" w:hAnsi="仿宋" w:eastAsia="仿宋_GB2312" w:cstheme="minorBidi"/>
          <w:color w:val="auto"/>
          <w:kern w:val="2"/>
          <w:sz w:val="32"/>
          <w:szCs w:val="32"/>
          <w:lang w:val="en-US" w:bidi="ar-SA"/>
        </w:rPr>
        <w:t>《大树移植技术规程》DBJ08-53-96</w:t>
      </w:r>
    </w:p>
    <w:p>
      <w:pPr>
        <w:pStyle w:val="4"/>
        <w:tabs>
          <w:tab w:val="left" w:pos="2637"/>
        </w:tabs>
        <w:spacing w:line="560" w:lineRule="exact"/>
        <w:ind w:firstLine="640" w:firstLineChars="200"/>
        <w:jc w:val="both"/>
        <w:rPr>
          <w:rFonts w:ascii="仿宋_GB2312" w:hAnsi="仿宋" w:eastAsia="仿宋_GB2312" w:cstheme="minorBidi"/>
          <w:color w:val="auto"/>
          <w:kern w:val="2"/>
          <w:sz w:val="32"/>
          <w:szCs w:val="32"/>
          <w:lang w:val="en-US" w:bidi="ar-SA"/>
        </w:rPr>
      </w:pPr>
      <w:r>
        <w:rPr>
          <w:rFonts w:hint="eastAsia" w:ascii="仿宋_GB2312" w:hAnsi="仿宋" w:eastAsia="仿宋_GB2312" w:cstheme="minorBidi"/>
          <w:color w:val="auto"/>
          <w:kern w:val="2"/>
          <w:sz w:val="32"/>
          <w:szCs w:val="32"/>
          <w:lang w:val="en-US" w:bidi="ar-SA"/>
        </w:rPr>
        <w:t>《园林绿化栽植土质量标准》DG/TJ08-231-2013</w:t>
      </w:r>
    </w:p>
    <w:p>
      <w:pPr>
        <w:pStyle w:val="4"/>
        <w:tabs>
          <w:tab w:val="left" w:pos="3573"/>
        </w:tabs>
        <w:spacing w:line="560" w:lineRule="exact"/>
        <w:ind w:firstLine="640" w:firstLineChars="200"/>
        <w:jc w:val="both"/>
        <w:rPr>
          <w:rFonts w:ascii="仿宋_GB2312" w:hAnsi="仿宋" w:eastAsia="仿宋_GB2312" w:cstheme="minorBidi"/>
          <w:color w:val="auto"/>
          <w:kern w:val="2"/>
          <w:sz w:val="32"/>
          <w:szCs w:val="32"/>
          <w:lang w:val="en-US" w:bidi="ar-SA"/>
        </w:rPr>
      </w:pPr>
      <w:r>
        <w:rPr>
          <w:rFonts w:hint="eastAsia" w:ascii="仿宋_GB2312" w:hAnsi="仿宋" w:eastAsia="仿宋_GB2312" w:cstheme="minorBidi"/>
          <w:color w:val="auto"/>
          <w:kern w:val="2"/>
          <w:sz w:val="32"/>
          <w:szCs w:val="32"/>
          <w:lang w:val="en-US" w:bidi="ar-SA"/>
        </w:rPr>
        <w:t>《园林绿化草坪建植和养护技术规程》</w:t>
      </w:r>
      <w:r>
        <w:rPr>
          <w:rFonts w:ascii="仿宋_GB2312" w:hAnsi="仿宋" w:eastAsia="仿宋_GB2312" w:cstheme="minorBidi"/>
          <w:color w:val="auto"/>
          <w:kern w:val="2"/>
          <w:sz w:val="32"/>
          <w:szCs w:val="32"/>
          <w:lang w:val="en-US" w:bidi="ar-SA"/>
        </w:rPr>
        <w:t>DG/TJ08-67-2015</w:t>
      </w:r>
    </w:p>
    <w:p>
      <w:pPr>
        <w:pStyle w:val="4"/>
        <w:spacing w:line="560" w:lineRule="exact"/>
        <w:ind w:firstLine="640" w:firstLineChars="200"/>
        <w:jc w:val="both"/>
        <w:rPr>
          <w:rFonts w:ascii="仿宋_GB2312" w:hAnsi="仿宋" w:eastAsia="仿宋_GB2312" w:cstheme="minorBidi"/>
          <w:color w:val="auto"/>
          <w:kern w:val="2"/>
          <w:sz w:val="32"/>
          <w:szCs w:val="32"/>
          <w:lang w:val="en-US" w:bidi="ar-SA"/>
        </w:rPr>
      </w:pPr>
      <w:r>
        <w:rPr>
          <w:rFonts w:hint="eastAsia" w:ascii="仿宋_GB2312" w:hAnsi="仿宋" w:eastAsia="仿宋_GB2312" w:cstheme="minorBidi"/>
          <w:color w:val="auto"/>
          <w:kern w:val="2"/>
          <w:sz w:val="32"/>
          <w:szCs w:val="32"/>
          <w:lang w:val="en-US" w:bidi="ar-SA"/>
        </w:rPr>
        <w:t>《上海市园林工程预算定额（2016）》</w:t>
      </w:r>
    </w:p>
    <w:p>
      <w:pPr>
        <w:pStyle w:val="4"/>
        <w:tabs>
          <w:tab w:val="left" w:pos="2421"/>
        </w:tabs>
        <w:spacing w:line="560" w:lineRule="exact"/>
        <w:ind w:firstLine="640" w:firstLineChars="200"/>
        <w:jc w:val="both"/>
        <w:rPr>
          <w:rFonts w:ascii="仿宋_GB2312" w:hAnsi="仿宋" w:eastAsia="仿宋_GB2312" w:cstheme="minorBidi"/>
          <w:color w:val="auto"/>
          <w:kern w:val="2"/>
          <w:sz w:val="32"/>
          <w:szCs w:val="32"/>
          <w:lang w:val="en-US" w:bidi="ar-SA"/>
        </w:rPr>
      </w:pPr>
      <w:r>
        <w:rPr>
          <w:rFonts w:hint="eastAsia" w:ascii="仿宋_GB2312" w:hAnsi="仿宋" w:eastAsia="仿宋_GB2312" w:cstheme="minorBidi"/>
          <w:color w:val="auto"/>
          <w:kern w:val="2"/>
          <w:sz w:val="32"/>
          <w:szCs w:val="32"/>
          <w:lang w:val="en-US" w:bidi="ar-SA"/>
        </w:rPr>
        <w:t>《立体绿化技术规程》DG/TJ08-75-2014</w:t>
      </w:r>
    </w:p>
    <w:p>
      <w:pPr>
        <w:pStyle w:val="4"/>
        <w:tabs>
          <w:tab w:val="left" w:pos="2421"/>
        </w:tabs>
        <w:spacing w:line="560" w:lineRule="exact"/>
        <w:ind w:firstLine="640" w:firstLineChars="200"/>
        <w:jc w:val="both"/>
        <w:rPr>
          <w:rFonts w:ascii="仿宋_GB2312" w:hAnsi="仿宋" w:eastAsia="仿宋_GB2312" w:cstheme="minorBidi"/>
          <w:color w:val="auto"/>
          <w:kern w:val="2"/>
          <w:sz w:val="32"/>
          <w:szCs w:val="32"/>
          <w:lang w:val="en-US" w:bidi="ar-SA"/>
        </w:rPr>
      </w:pPr>
      <w:r>
        <w:rPr>
          <w:rFonts w:hint="eastAsia" w:ascii="仿宋_GB2312" w:hAnsi="仿宋" w:eastAsia="仿宋_GB2312" w:cstheme="minorBidi"/>
          <w:color w:val="auto"/>
          <w:kern w:val="2"/>
          <w:sz w:val="32"/>
          <w:szCs w:val="32"/>
          <w:lang w:val="en-US" w:bidi="ar-SA"/>
        </w:rPr>
        <w:t xml:space="preserve">《上海市古树名木和古树后续资源保护条例》地方性法规 </w:t>
      </w:r>
    </w:p>
    <w:p>
      <w:pPr>
        <w:pStyle w:val="4"/>
        <w:spacing w:line="560" w:lineRule="exact"/>
        <w:ind w:firstLine="640" w:firstLineChars="200"/>
        <w:jc w:val="both"/>
        <w:rPr>
          <w:rFonts w:ascii="仿宋_GB2312" w:hAnsi="仿宋" w:eastAsia="仿宋_GB2312" w:cstheme="minorBidi"/>
          <w:color w:val="auto"/>
          <w:kern w:val="2"/>
          <w:sz w:val="32"/>
          <w:szCs w:val="32"/>
          <w:lang w:val="en-US" w:bidi="ar-SA"/>
        </w:rPr>
      </w:pPr>
      <w:r>
        <w:rPr>
          <w:rFonts w:hint="eastAsia" w:ascii="仿宋_GB2312" w:hAnsi="仿宋" w:eastAsia="仿宋_GB2312" w:cstheme="minorBidi"/>
          <w:color w:val="auto"/>
          <w:kern w:val="2"/>
          <w:sz w:val="32"/>
          <w:szCs w:val="32"/>
          <w:lang w:val="en-US" w:bidi="ar-SA"/>
        </w:rPr>
        <w:t>《工程勘察设计收费标准》（</w:t>
      </w:r>
      <w:r>
        <w:rPr>
          <w:rFonts w:ascii="仿宋_GB2312" w:hAnsi="仿宋" w:eastAsia="仿宋_GB2312" w:cstheme="minorBidi"/>
          <w:color w:val="auto"/>
          <w:kern w:val="2"/>
          <w:sz w:val="32"/>
          <w:szCs w:val="32"/>
          <w:lang w:val="en-US" w:bidi="ar-SA"/>
        </w:rPr>
        <w:t>2002年修订本）</w:t>
      </w:r>
    </w:p>
    <w:p>
      <w:pPr>
        <w:pStyle w:val="4"/>
        <w:spacing w:line="560" w:lineRule="exact"/>
        <w:ind w:firstLine="640" w:firstLineChars="200"/>
        <w:jc w:val="both"/>
        <w:rPr>
          <w:rFonts w:ascii="仿宋_GB2312" w:hAnsi="仿宋" w:eastAsia="仿宋_GB2312" w:cstheme="minorBidi"/>
          <w:color w:val="auto"/>
          <w:kern w:val="2"/>
          <w:sz w:val="32"/>
          <w:szCs w:val="32"/>
          <w:lang w:val="en-US" w:bidi="ar-SA"/>
        </w:rPr>
      </w:pPr>
    </w:p>
    <w:p>
      <w:pPr>
        <w:spacing w:line="560" w:lineRule="exact"/>
        <w:rPr>
          <w:rFonts w:ascii="仿宋_GB2312" w:hAnsi="仿宋" w:eastAsia="仿宋_GB2312"/>
          <w:color w:val="auto"/>
          <w:sz w:val="32"/>
          <w:szCs w:val="32"/>
        </w:rPr>
      </w:pPr>
      <w:r>
        <w:rPr>
          <w:rFonts w:hint="eastAsia" w:ascii="仿宋_GB2312" w:hAnsi="仿宋" w:eastAsia="仿宋_GB2312"/>
          <w:color w:val="auto"/>
          <w:sz w:val="32"/>
          <w:szCs w:val="32"/>
        </w:rPr>
        <w:t>以上技术规程如有更新的，则按新标准执行</w:t>
      </w:r>
    </w:p>
    <w:p>
      <w:pPr>
        <w:spacing w:line="560" w:lineRule="exact"/>
        <w:rPr>
          <w:rFonts w:ascii="仿宋_GB2312" w:hAnsi="仿宋" w:eastAsia="仿宋_GB2312"/>
          <w:color w:val="auto"/>
          <w:sz w:val="32"/>
          <w:szCs w:val="32"/>
        </w:rPr>
      </w:pPr>
    </w:p>
    <w:p>
      <w:pPr>
        <w:spacing w:line="560" w:lineRule="exact"/>
        <w:rPr>
          <w:rFonts w:ascii="仿宋_GB2312" w:hAnsi="仿宋" w:eastAsia="仿宋_GB2312"/>
          <w:color w:val="auto"/>
          <w:sz w:val="32"/>
          <w:szCs w:val="32"/>
        </w:rPr>
      </w:pPr>
    </w:p>
    <w:p>
      <w:pPr>
        <w:spacing w:line="560" w:lineRule="exact"/>
        <w:rPr>
          <w:rFonts w:ascii="仿宋_GB2312" w:hAnsi="仿宋" w:eastAsia="仿宋_GB2312"/>
          <w:color w:val="auto"/>
          <w:sz w:val="32"/>
          <w:szCs w:val="32"/>
        </w:rPr>
      </w:pPr>
    </w:p>
    <w:p>
      <w:pPr>
        <w:pStyle w:val="4"/>
        <w:spacing w:line="560" w:lineRule="exact"/>
        <w:ind w:firstLine="640" w:firstLineChars="200"/>
        <w:jc w:val="both"/>
        <w:rPr>
          <w:rFonts w:ascii="仿宋_GB2312" w:hAnsi="仿宋" w:eastAsia="仿宋_GB2312" w:cstheme="minorBidi"/>
          <w:color w:val="auto"/>
          <w:kern w:val="2"/>
          <w:sz w:val="32"/>
          <w:szCs w:val="32"/>
          <w:lang w:val="en-US" w:bidi="ar-SA"/>
        </w:rPr>
      </w:pPr>
      <w:r>
        <w:rPr>
          <w:rFonts w:hint="eastAsia" w:ascii="仿宋_GB2312" w:hAnsi="仿宋" w:eastAsia="仿宋_GB2312" w:cstheme="minorBidi"/>
          <w:color w:val="auto"/>
          <w:kern w:val="2"/>
          <w:sz w:val="32"/>
          <w:szCs w:val="32"/>
          <w:lang w:val="en-US" w:bidi="ar-SA"/>
        </w:rPr>
        <w:t>附件二、龙华烈士陵园景观提升项目要求</w:t>
      </w:r>
    </w:p>
    <w:p>
      <w:pPr>
        <w:spacing w:line="560" w:lineRule="exact"/>
        <w:jc w:val="left"/>
        <w:rPr>
          <w:rFonts w:ascii="黑体" w:hAnsi="黑体" w:eastAsia="黑体"/>
          <w:color w:val="auto"/>
          <w:sz w:val="32"/>
          <w:szCs w:val="32"/>
        </w:rPr>
      </w:pPr>
      <w:r>
        <w:rPr>
          <w:rFonts w:hint="eastAsia" w:ascii="黑体" w:hAnsi="黑体" w:eastAsia="黑体"/>
          <w:color w:val="auto"/>
          <w:sz w:val="32"/>
          <w:szCs w:val="32"/>
        </w:rPr>
        <w:t>一、商务部分要求</w:t>
      </w:r>
    </w:p>
    <w:p>
      <w:pPr>
        <w:pStyle w:val="14"/>
        <w:numPr>
          <w:ilvl w:val="1"/>
          <w:numId w:val="4"/>
        </w:numPr>
        <w:spacing w:line="560" w:lineRule="exact"/>
        <w:ind w:left="0" w:firstLine="640" w:firstLineChars="200"/>
        <w:jc w:val="left"/>
        <w:rPr>
          <w:rFonts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rPr>
        <w:t>本项目不得转让或分包。</w:t>
      </w:r>
    </w:p>
    <w:p>
      <w:pPr>
        <w:pStyle w:val="14"/>
        <w:numPr>
          <w:ilvl w:val="1"/>
          <w:numId w:val="4"/>
        </w:numPr>
        <w:spacing w:line="560" w:lineRule="exact"/>
        <w:ind w:left="0" w:firstLine="640"/>
        <w:jc w:val="left"/>
        <w:rPr>
          <w:rFonts w:ascii="仿宋_GB2312" w:eastAsia="仿宋_GB2312" w:hAnsiTheme="minorEastAsia" w:cstheme="minorEastAsia"/>
          <w:color w:val="auto"/>
          <w:sz w:val="32"/>
          <w:szCs w:val="32"/>
        </w:rPr>
      </w:pPr>
      <w:bookmarkStart w:id="2" w:name="_GoBack"/>
      <w:bookmarkEnd w:id="2"/>
      <w:r>
        <w:rPr>
          <w:rFonts w:hint="eastAsia" w:ascii="仿宋_GB2312" w:eastAsia="仿宋_GB2312" w:hAnsiTheme="minorEastAsia" w:cstheme="minorEastAsia"/>
          <w:color w:val="auto"/>
          <w:sz w:val="32"/>
          <w:szCs w:val="32"/>
        </w:rPr>
        <w:t>报价要求：</w:t>
      </w:r>
    </w:p>
    <w:p>
      <w:pPr>
        <w:pStyle w:val="14"/>
        <w:spacing w:line="560" w:lineRule="exact"/>
        <w:ind w:left="640" w:firstLine="0" w:firstLineChars="0"/>
        <w:jc w:val="left"/>
        <w:rPr>
          <w:rFonts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rPr>
        <w:t>1.</w:t>
      </w:r>
      <w:r>
        <w:rPr>
          <w:rFonts w:ascii="仿宋_GB2312" w:eastAsia="仿宋_GB2312" w:hAnsiTheme="minorEastAsia" w:cstheme="minorEastAsia"/>
          <w:color w:val="auto"/>
          <w:sz w:val="32"/>
          <w:szCs w:val="32"/>
        </w:rPr>
        <w:t>2</w:t>
      </w:r>
      <w:r>
        <w:rPr>
          <w:rFonts w:hint="eastAsia" w:ascii="仿宋_GB2312" w:eastAsia="仿宋_GB2312" w:hAnsiTheme="minorEastAsia" w:cstheme="minorEastAsia"/>
          <w:color w:val="auto"/>
          <w:sz w:val="32"/>
          <w:szCs w:val="32"/>
        </w:rPr>
        <w:t>.</w:t>
      </w:r>
      <w:r>
        <w:rPr>
          <w:rFonts w:ascii="仿宋_GB2312" w:eastAsia="仿宋_GB2312" w:hAnsiTheme="minorEastAsia" w:cstheme="minorEastAsia"/>
          <w:color w:val="auto"/>
          <w:sz w:val="32"/>
          <w:szCs w:val="32"/>
        </w:rPr>
        <w:t>1</w:t>
      </w:r>
      <w:r>
        <w:rPr>
          <w:rFonts w:hint="eastAsia" w:ascii="仿宋_GB2312" w:eastAsia="仿宋_GB2312" w:hAnsiTheme="minorEastAsia" w:cstheme="minorEastAsia"/>
          <w:color w:val="auto"/>
          <w:sz w:val="32"/>
          <w:szCs w:val="32"/>
        </w:rPr>
        <w:t>本项目投标方案由</w:t>
      </w:r>
      <w:r>
        <w:rPr>
          <w:rFonts w:hint="eastAsia" w:ascii="仿宋_GB2312" w:eastAsia="仿宋_GB2312" w:hAnsiTheme="minorEastAsia" w:cstheme="minorEastAsia"/>
          <w:color w:val="auto"/>
          <w:sz w:val="32"/>
          <w:szCs w:val="32"/>
          <w:lang w:val="en-US" w:eastAsia="zh-CN"/>
        </w:rPr>
        <w:t>应标方自行</w:t>
      </w:r>
      <w:r>
        <w:rPr>
          <w:rFonts w:hint="eastAsia" w:ascii="仿宋_GB2312" w:eastAsia="仿宋_GB2312" w:hAnsiTheme="minorEastAsia" w:cstheme="minorEastAsia"/>
          <w:color w:val="auto"/>
          <w:sz w:val="32"/>
          <w:szCs w:val="32"/>
        </w:rPr>
        <w:t>踏勘场地后进行设计，并以该方案为基础进行投标报价。</w:t>
      </w:r>
    </w:p>
    <w:p>
      <w:pPr>
        <w:pStyle w:val="14"/>
        <w:spacing w:line="560" w:lineRule="exact"/>
        <w:ind w:left="640" w:firstLine="0" w:firstLineChars="0"/>
        <w:jc w:val="left"/>
        <w:rPr>
          <w:color w:val="auto"/>
        </w:rPr>
      </w:pPr>
      <w:bookmarkStart w:id="1" w:name="_Hlk160615741"/>
      <w:r>
        <w:rPr>
          <w:rFonts w:ascii="仿宋_GB2312" w:eastAsia="仿宋_GB2312" w:hAnsiTheme="minorEastAsia" w:cstheme="minorEastAsia"/>
          <w:color w:val="auto"/>
          <w:sz w:val="32"/>
          <w:szCs w:val="32"/>
        </w:rPr>
        <w:t>1</w:t>
      </w:r>
      <w:r>
        <w:rPr>
          <w:rFonts w:hint="eastAsia" w:ascii="仿宋_GB2312" w:eastAsia="仿宋_GB2312" w:hAnsiTheme="minorEastAsia" w:cstheme="minorEastAsia"/>
          <w:color w:val="auto"/>
          <w:sz w:val="32"/>
          <w:szCs w:val="32"/>
        </w:rPr>
        <w:t>.</w:t>
      </w:r>
      <w:r>
        <w:rPr>
          <w:rFonts w:ascii="仿宋_GB2312" w:eastAsia="仿宋_GB2312" w:hAnsiTheme="minorEastAsia" w:cstheme="minorEastAsia"/>
          <w:color w:val="auto"/>
          <w:sz w:val="32"/>
          <w:szCs w:val="32"/>
        </w:rPr>
        <w:t>2</w:t>
      </w:r>
      <w:r>
        <w:rPr>
          <w:rFonts w:hint="eastAsia" w:ascii="仿宋_GB2312" w:eastAsia="仿宋_GB2312" w:hAnsiTheme="minorEastAsia" w:cstheme="minorEastAsia"/>
          <w:color w:val="auto"/>
          <w:sz w:val="32"/>
          <w:szCs w:val="32"/>
        </w:rPr>
        <w:t>.</w:t>
      </w:r>
      <w:r>
        <w:rPr>
          <w:rFonts w:ascii="仿宋_GB2312" w:eastAsia="仿宋_GB2312" w:hAnsiTheme="minorEastAsia" w:cstheme="minorEastAsia"/>
          <w:color w:val="auto"/>
          <w:sz w:val="32"/>
          <w:szCs w:val="32"/>
        </w:rPr>
        <w:t>2</w:t>
      </w:r>
      <w:r>
        <w:rPr>
          <w:rFonts w:hint="eastAsia" w:ascii="仿宋_GB2312" w:eastAsia="仿宋_GB2312" w:hAnsiTheme="minorEastAsia" w:cstheme="minorEastAsia"/>
          <w:color w:val="auto"/>
          <w:sz w:val="32"/>
          <w:szCs w:val="32"/>
        </w:rPr>
        <w:t>投标人应按照本招标文件明确的工作内容、范围和要求进行报价。参考上海市园林工程预算定额（</w:t>
      </w:r>
      <w:r>
        <w:rPr>
          <w:rFonts w:ascii="仿宋_GB2312" w:eastAsia="仿宋_GB2312" w:hAnsiTheme="minorEastAsia" w:cstheme="minorEastAsia"/>
          <w:color w:val="auto"/>
          <w:sz w:val="32"/>
          <w:szCs w:val="32"/>
        </w:rPr>
        <w:t>2016）进行报价，满足《园林绿化养护标准》DG/TJ08-19-2023的要求。</w:t>
      </w:r>
      <w:bookmarkEnd w:id="1"/>
    </w:p>
    <w:p>
      <w:pPr>
        <w:pStyle w:val="14"/>
        <w:spacing w:line="560" w:lineRule="exact"/>
        <w:ind w:left="640" w:firstLine="0" w:firstLineChars="0"/>
        <w:jc w:val="left"/>
        <w:rPr>
          <w:rFonts w:ascii="仿宋_GB2312" w:eastAsia="仿宋_GB2312" w:hAnsiTheme="minorEastAsia" w:cstheme="minorEastAsia"/>
          <w:color w:val="auto"/>
          <w:sz w:val="32"/>
          <w:szCs w:val="32"/>
        </w:rPr>
      </w:pPr>
      <w:r>
        <w:rPr>
          <w:rFonts w:ascii="仿宋_GB2312" w:eastAsia="仿宋_GB2312" w:hAnsiTheme="minorEastAsia" w:cstheme="minorEastAsia"/>
          <w:color w:val="auto"/>
          <w:sz w:val="32"/>
          <w:szCs w:val="32"/>
        </w:rPr>
        <w:t>1</w:t>
      </w:r>
      <w:r>
        <w:rPr>
          <w:rFonts w:hint="eastAsia" w:ascii="仿宋_GB2312" w:eastAsia="仿宋_GB2312" w:hAnsiTheme="minorEastAsia" w:cstheme="minorEastAsia"/>
          <w:color w:val="auto"/>
          <w:sz w:val="32"/>
          <w:szCs w:val="32"/>
        </w:rPr>
        <w:t>.</w:t>
      </w:r>
      <w:r>
        <w:rPr>
          <w:rFonts w:ascii="仿宋_GB2312" w:eastAsia="仿宋_GB2312" w:hAnsiTheme="minorEastAsia" w:cstheme="minorEastAsia"/>
          <w:color w:val="auto"/>
          <w:sz w:val="32"/>
          <w:szCs w:val="32"/>
        </w:rPr>
        <w:t>2</w:t>
      </w:r>
      <w:r>
        <w:rPr>
          <w:rFonts w:hint="eastAsia" w:ascii="仿宋_GB2312" w:eastAsia="仿宋_GB2312" w:hAnsiTheme="minorEastAsia" w:cstheme="minorEastAsia"/>
          <w:color w:val="auto"/>
          <w:sz w:val="32"/>
          <w:szCs w:val="32"/>
        </w:rPr>
        <w:t>.</w:t>
      </w:r>
      <w:r>
        <w:rPr>
          <w:rFonts w:ascii="仿宋_GB2312" w:eastAsia="仿宋_GB2312" w:hAnsiTheme="minorEastAsia" w:cstheme="minorEastAsia"/>
          <w:color w:val="auto"/>
          <w:sz w:val="32"/>
          <w:szCs w:val="32"/>
        </w:rPr>
        <w:t xml:space="preserve">3 </w:t>
      </w:r>
      <w:r>
        <w:rPr>
          <w:rFonts w:hint="eastAsia" w:ascii="仿宋_GB2312" w:eastAsia="仿宋_GB2312" w:hAnsiTheme="minorEastAsia" w:cstheme="minorEastAsia"/>
          <w:color w:val="auto"/>
          <w:sz w:val="32"/>
          <w:szCs w:val="32"/>
        </w:rPr>
        <w:t>投标人应按照采购人提供的设计要求、材料要求、质量标准填写所有项目的单价和总价，编制出符合采购文件规定的投标报价书。投标总价应包含完成项目所需设计费、材料费、服务费、运输费、现场搭建费、安全检验（自检及第三方检测）、验收配合、售后服务及为完成以上工作所需的人工、材料、机械、管理费、利润及各项税金等。</w:t>
      </w:r>
    </w:p>
    <w:p>
      <w:pPr>
        <w:pStyle w:val="14"/>
        <w:spacing w:line="560" w:lineRule="exact"/>
        <w:ind w:left="640" w:firstLine="0" w:firstLineChars="0"/>
        <w:jc w:val="left"/>
        <w:rPr>
          <w:rFonts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lang w:val="en-US" w:eastAsia="zh-CN"/>
        </w:rPr>
        <w:t xml:space="preserve">1.3 </w:t>
      </w:r>
      <w:r>
        <w:rPr>
          <w:rFonts w:ascii="仿宋_GB2312" w:eastAsia="仿宋_GB2312" w:hAnsiTheme="minorEastAsia" w:cstheme="minorEastAsia"/>
          <w:color w:val="auto"/>
          <w:sz w:val="32"/>
          <w:szCs w:val="32"/>
        </w:rPr>
        <w:t>结算</w:t>
      </w:r>
      <w:r>
        <w:rPr>
          <w:rFonts w:hint="eastAsia" w:ascii="仿宋_GB2312" w:eastAsia="仿宋_GB2312" w:hAnsiTheme="minorEastAsia" w:cstheme="minorEastAsia"/>
          <w:color w:val="auto"/>
          <w:sz w:val="32"/>
          <w:szCs w:val="32"/>
        </w:rPr>
        <w:t>要求</w:t>
      </w:r>
      <w:r>
        <w:rPr>
          <w:rFonts w:ascii="仿宋_GB2312" w:eastAsia="仿宋_GB2312" w:hAnsiTheme="minorEastAsia" w:cstheme="minorEastAsia"/>
          <w:color w:val="auto"/>
          <w:sz w:val="32"/>
          <w:szCs w:val="32"/>
        </w:rPr>
        <w:t xml:space="preserve">： </w:t>
      </w:r>
    </w:p>
    <w:p>
      <w:pPr>
        <w:pStyle w:val="14"/>
        <w:spacing w:line="560" w:lineRule="exact"/>
        <w:ind w:left="640" w:firstLine="0" w:firstLineChars="0"/>
        <w:jc w:val="left"/>
        <w:rPr>
          <w:rFonts w:hint="eastAsia" w:ascii="仿宋_GB2312" w:eastAsia="仿宋_GB2312" w:hAnsiTheme="minorEastAsia" w:cstheme="minorEastAsia"/>
          <w:color w:val="auto"/>
          <w:sz w:val="32"/>
          <w:szCs w:val="32"/>
        </w:rPr>
      </w:pPr>
      <w:r>
        <w:rPr>
          <w:rFonts w:ascii="仿宋_GB2312" w:eastAsia="仿宋_GB2312" w:hAnsiTheme="minorEastAsia" w:cstheme="minorEastAsia"/>
          <w:color w:val="auto"/>
          <w:sz w:val="32"/>
          <w:szCs w:val="32"/>
        </w:rPr>
        <w:t>1</w:t>
      </w:r>
      <w:r>
        <w:rPr>
          <w:rFonts w:hint="eastAsia" w:ascii="仿宋_GB2312" w:eastAsia="仿宋_GB2312" w:hAnsiTheme="minorEastAsia" w:cstheme="minorEastAsia"/>
          <w:color w:val="auto"/>
          <w:sz w:val="32"/>
          <w:szCs w:val="32"/>
        </w:rPr>
        <w:t>.</w:t>
      </w:r>
      <w:r>
        <w:rPr>
          <w:rFonts w:ascii="仿宋_GB2312" w:eastAsia="仿宋_GB2312" w:hAnsiTheme="minorEastAsia" w:cstheme="minorEastAsia"/>
          <w:color w:val="auto"/>
          <w:sz w:val="32"/>
          <w:szCs w:val="32"/>
        </w:rPr>
        <w:t>3</w:t>
      </w:r>
      <w:r>
        <w:rPr>
          <w:rFonts w:hint="eastAsia" w:ascii="仿宋_GB2312" w:eastAsia="仿宋_GB2312" w:hAnsiTheme="minorEastAsia" w:cstheme="minorEastAsia"/>
          <w:color w:val="auto"/>
          <w:sz w:val="32"/>
          <w:szCs w:val="32"/>
        </w:rPr>
        <w:t>.</w:t>
      </w:r>
      <w:r>
        <w:rPr>
          <w:rFonts w:ascii="仿宋_GB2312" w:eastAsia="仿宋_GB2312" w:hAnsiTheme="minorEastAsia" w:cstheme="minorEastAsia"/>
          <w:color w:val="auto"/>
          <w:sz w:val="32"/>
          <w:szCs w:val="32"/>
        </w:rPr>
        <w:t xml:space="preserve">1 </w:t>
      </w:r>
      <w:r>
        <w:rPr>
          <w:rFonts w:hint="eastAsia" w:ascii="仿宋_GB2312" w:eastAsia="仿宋_GB2312" w:hAnsiTheme="minorEastAsia" w:cstheme="minorEastAsia"/>
          <w:color w:val="auto"/>
          <w:sz w:val="32"/>
          <w:szCs w:val="32"/>
        </w:rPr>
        <w:t>在不改变本项目景观提升要求的基础上，如果发现实施过程中存在问题、偏差或遗漏，允许中标人在实施过程中对本项目的设计进行必要修改，但必须征得采购人的同意，</w:t>
      </w:r>
      <w:r>
        <w:rPr>
          <w:rFonts w:hint="eastAsia" w:ascii="仿宋_GB2312" w:eastAsia="仿宋_GB2312" w:hAnsiTheme="minorEastAsia" w:cstheme="minorEastAsia"/>
          <w:color w:val="auto"/>
          <w:sz w:val="32"/>
          <w:szCs w:val="32"/>
          <w:lang w:val="en-US" w:eastAsia="zh-CN"/>
        </w:rPr>
        <w:t>调整</w:t>
      </w:r>
      <w:r>
        <w:rPr>
          <w:rFonts w:hint="eastAsia" w:ascii="仿宋_GB2312" w:eastAsia="仿宋_GB2312" w:hAnsiTheme="minorEastAsia" w:cstheme="minorEastAsia"/>
          <w:color w:val="auto"/>
          <w:sz w:val="32"/>
          <w:szCs w:val="32"/>
        </w:rPr>
        <w:t>费用包含在</w:t>
      </w:r>
      <w:r>
        <w:rPr>
          <w:rFonts w:hint="eastAsia" w:ascii="仿宋_GB2312" w:eastAsia="仿宋_GB2312" w:hAnsiTheme="minorEastAsia" w:cstheme="minorEastAsia"/>
          <w:color w:val="auto"/>
          <w:sz w:val="32"/>
          <w:szCs w:val="32"/>
          <w:lang w:val="en-US" w:eastAsia="zh-CN"/>
        </w:rPr>
        <w:t>结算</w:t>
      </w:r>
      <w:r>
        <w:rPr>
          <w:rFonts w:hint="eastAsia" w:ascii="仿宋_GB2312" w:eastAsia="仿宋_GB2312" w:hAnsiTheme="minorEastAsia" w:cstheme="minorEastAsia"/>
          <w:color w:val="auto"/>
          <w:sz w:val="32"/>
          <w:szCs w:val="32"/>
        </w:rPr>
        <w:t>总价中。</w:t>
      </w:r>
    </w:p>
    <w:p>
      <w:pPr>
        <w:pStyle w:val="14"/>
        <w:spacing w:line="560" w:lineRule="exact"/>
        <w:ind w:left="640" w:firstLine="0" w:firstLineChars="0"/>
        <w:jc w:val="left"/>
        <w:rPr>
          <w:rFonts w:ascii="仿宋_GB2312" w:eastAsia="仿宋_GB2312" w:hAnsiTheme="minorEastAsia" w:cstheme="minorEastAsia"/>
          <w:color w:val="auto"/>
          <w:sz w:val="32"/>
          <w:szCs w:val="32"/>
        </w:rPr>
      </w:pPr>
      <w:r>
        <w:rPr>
          <w:rFonts w:ascii="仿宋_GB2312" w:eastAsia="仿宋_GB2312" w:hAnsiTheme="minorEastAsia" w:cstheme="minorEastAsia"/>
          <w:color w:val="auto"/>
          <w:sz w:val="32"/>
          <w:szCs w:val="32"/>
        </w:rPr>
        <w:t>1</w:t>
      </w:r>
      <w:r>
        <w:rPr>
          <w:rFonts w:hint="eastAsia" w:ascii="仿宋_GB2312" w:eastAsia="仿宋_GB2312" w:hAnsiTheme="minorEastAsia" w:cstheme="minorEastAsia"/>
          <w:color w:val="auto"/>
          <w:sz w:val="32"/>
          <w:szCs w:val="32"/>
        </w:rPr>
        <w:t>.</w:t>
      </w:r>
      <w:r>
        <w:rPr>
          <w:rFonts w:ascii="仿宋_GB2312" w:eastAsia="仿宋_GB2312" w:hAnsiTheme="minorEastAsia" w:cstheme="minorEastAsia"/>
          <w:color w:val="auto"/>
          <w:sz w:val="32"/>
          <w:szCs w:val="32"/>
        </w:rPr>
        <w:t>3</w:t>
      </w:r>
      <w:r>
        <w:rPr>
          <w:rFonts w:hint="eastAsia" w:ascii="仿宋_GB2312" w:eastAsia="仿宋_GB2312" w:hAnsiTheme="minorEastAsia" w:cstheme="minorEastAsia"/>
          <w:color w:val="auto"/>
          <w:sz w:val="32"/>
          <w:szCs w:val="32"/>
        </w:rPr>
        <w:t>.</w:t>
      </w:r>
      <w:r>
        <w:rPr>
          <w:rFonts w:ascii="仿宋_GB2312" w:eastAsia="仿宋_GB2312" w:hAnsiTheme="minorEastAsia" w:cstheme="minorEastAsia"/>
          <w:color w:val="auto"/>
          <w:sz w:val="32"/>
          <w:szCs w:val="32"/>
        </w:rPr>
        <w:t>2 一般情况下,</w:t>
      </w:r>
      <w:r>
        <w:rPr>
          <w:rFonts w:hint="eastAsia" w:ascii="仿宋_GB2312" w:eastAsia="仿宋_GB2312" w:hAnsiTheme="minorEastAsia" w:cstheme="minorEastAsia"/>
          <w:color w:val="auto"/>
          <w:sz w:val="32"/>
          <w:szCs w:val="32"/>
          <w:lang w:val="en-US" w:eastAsia="zh-CN"/>
        </w:rPr>
        <w:t>合同价</w:t>
      </w:r>
      <w:r>
        <w:rPr>
          <w:rFonts w:ascii="仿宋_GB2312" w:eastAsia="仿宋_GB2312" w:hAnsiTheme="minorEastAsia" w:cstheme="minorEastAsia"/>
          <w:color w:val="auto"/>
          <w:sz w:val="32"/>
          <w:szCs w:val="32"/>
        </w:rPr>
        <w:t>在服务期限内不允许调整,但在实施过程中如有采购</w:t>
      </w:r>
      <w:r>
        <w:rPr>
          <w:rFonts w:hint="eastAsia" w:ascii="仿宋_GB2312" w:eastAsia="仿宋_GB2312" w:hAnsiTheme="minorEastAsia" w:cstheme="minorEastAsia"/>
          <w:color w:val="auto"/>
          <w:sz w:val="32"/>
          <w:szCs w:val="32"/>
        </w:rPr>
        <w:t>人原因导致的景观提升要求变更，数量和品种可按实调整，单价取定均以投标文件为准，投标文件中没有的单价，由</w:t>
      </w:r>
      <w:r>
        <w:rPr>
          <w:rFonts w:hint="eastAsia" w:ascii="仿宋_GB2312" w:eastAsia="仿宋_GB2312" w:hAnsiTheme="minorEastAsia" w:cstheme="minorEastAsia"/>
          <w:color w:val="auto"/>
          <w:sz w:val="32"/>
          <w:szCs w:val="32"/>
          <w:lang w:val="en-US" w:eastAsia="zh-CN"/>
        </w:rPr>
        <w:t>当月工程信息</w:t>
      </w:r>
      <w:r>
        <w:rPr>
          <w:rFonts w:hint="eastAsia" w:ascii="仿宋_GB2312" w:eastAsia="仿宋_GB2312" w:hAnsiTheme="minorEastAsia" w:cstheme="minorEastAsia"/>
          <w:color w:val="auto"/>
          <w:sz w:val="32"/>
          <w:szCs w:val="32"/>
        </w:rPr>
        <w:t>价</w:t>
      </w:r>
      <w:r>
        <w:rPr>
          <w:rFonts w:hint="eastAsia" w:ascii="仿宋_GB2312" w:eastAsia="仿宋_GB2312" w:hAnsiTheme="minorEastAsia" w:cstheme="minorEastAsia"/>
          <w:color w:val="auto"/>
          <w:sz w:val="32"/>
          <w:szCs w:val="32"/>
          <w:lang w:val="en-US" w:eastAsia="zh-CN"/>
        </w:rPr>
        <w:t>作参考</w:t>
      </w:r>
      <w:r>
        <w:rPr>
          <w:rFonts w:hint="eastAsia" w:ascii="仿宋_GB2312" w:eastAsia="仿宋_GB2312" w:hAnsiTheme="minorEastAsia" w:cstheme="minorEastAsia"/>
          <w:color w:val="auto"/>
          <w:sz w:val="32"/>
          <w:szCs w:val="32"/>
        </w:rPr>
        <w:t>。</w:t>
      </w:r>
      <w:r>
        <w:rPr>
          <w:rFonts w:ascii="仿宋_GB2312" w:eastAsia="仿宋_GB2312" w:hAnsiTheme="minorEastAsia" w:cstheme="minorEastAsia"/>
          <w:color w:val="auto"/>
          <w:sz w:val="32"/>
          <w:szCs w:val="32"/>
        </w:rPr>
        <w:t>变更后</w:t>
      </w:r>
      <w:r>
        <w:rPr>
          <w:rFonts w:hint="eastAsia" w:ascii="仿宋_GB2312" w:eastAsia="仿宋_GB2312" w:hAnsiTheme="minorEastAsia" w:cstheme="minorEastAsia"/>
          <w:color w:val="auto"/>
          <w:sz w:val="32"/>
          <w:szCs w:val="32"/>
          <w:lang w:val="en-US" w:eastAsia="zh-CN"/>
        </w:rPr>
        <w:t>结算</w:t>
      </w:r>
      <w:r>
        <w:rPr>
          <w:rFonts w:ascii="仿宋_GB2312" w:eastAsia="仿宋_GB2312" w:hAnsiTheme="minorEastAsia" w:cstheme="minorEastAsia"/>
          <w:color w:val="auto"/>
          <w:sz w:val="32"/>
          <w:szCs w:val="32"/>
        </w:rPr>
        <w:t>价不得超过</w:t>
      </w:r>
      <w:r>
        <w:rPr>
          <w:rFonts w:hint="eastAsia" w:ascii="仿宋_GB2312" w:eastAsia="仿宋_GB2312" w:hAnsiTheme="minorEastAsia" w:cstheme="minorEastAsia"/>
          <w:color w:val="auto"/>
          <w:sz w:val="32"/>
          <w:szCs w:val="32"/>
          <w:lang w:val="en-US" w:eastAsia="zh-CN"/>
        </w:rPr>
        <w:t>合同价</w:t>
      </w:r>
      <w:r>
        <w:rPr>
          <w:rFonts w:ascii="仿宋_GB2312" w:eastAsia="仿宋_GB2312" w:hAnsiTheme="minorEastAsia" w:cstheme="minorEastAsia"/>
          <w:color w:val="auto"/>
          <w:sz w:val="32"/>
          <w:szCs w:val="32"/>
        </w:rPr>
        <w:t>。</w:t>
      </w:r>
    </w:p>
    <w:p>
      <w:pPr>
        <w:pStyle w:val="14"/>
        <w:spacing w:line="560" w:lineRule="exact"/>
        <w:ind w:left="640" w:firstLine="0" w:firstLineChars="0"/>
        <w:jc w:val="left"/>
        <w:rPr>
          <w:rFonts w:ascii="仿宋_GB2312" w:eastAsia="仿宋_GB2312" w:hAnsiTheme="minorEastAsia" w:cstheme="minorEastAsia"/>
          <w:color w:val="auto"/>
          <w:sz w:val="32"/>
          <w:szCs w:val="32"/>
        </w:rPr>
      </w:pPr>
      <w:r>
        <w:rPr>
          <w:rFonts w:ascii="仿宋_GB2312" w:eastAsia="仿宋_GB2312" w:hAnsiTheme="minorEastAsia" w:cstheme="minorEastAsia"/>
          <w:color w:val="auto"/>
          <w:sz w:val="32"/>
          <w:szCs w:val="32"/>
        </w:rPr>
        <w:t>1</w:t>
      </w:r>
      <w:r>
        <w:rPr>
          <w:rFonts w:hint="eastAsia" w:ascii="仿宋_GB2312" w:eastAsia="仿宋_GB2312" w:hAnsiTheme="minorEastAsia" w:cstheme="minorEastAsia"/>
          <w:color w:val="auto"/>
          <w:sz w:val="32"/>
          <w:szCs w:val="32"/>
        </w:rPr>
        <w:t>.</w:t>
      </w:r>
      <w:r>
        <w:rPr>
          <w:rFonts w:ascii="仿宋_GB2312" w:eastAsia="仿宋_GB2312" w:hAnsiTheme="minorEastAsia" w:cstheme="minorEastAsia"/>
          <w:color w:val="auto"/>
          <w:sz w:val="32"/>
          <w:szCs w:val="32"/>
        </w:rPr>
        <w:t>3</w:t>
      </w:r>
      <w:r>
        <w:rPr>
          <w:rFonts w:hint="eastAsia" w:ascii="仿宋_GB2312" w:eastAsia="仿宋_GB2312" w:hAnsiTheme="minorEastAsia" w:cstheme="minorEastAsia"/>
          <w:color w:val="auto"/>
          <w:sz w:val="32"/>
          <w:szCs w:val="32"/>
        </w:rPr>
        <w:t>.</w:t>
      </w:r>
      <w:r>
        <w:rPr>
          <w:rFonts w:ascii="仿宋_GB2312" w:eastAsia="仿宋_GB2312" w:hAnsiTheme="minorEastAsia" w:cstheme="minorEastAsia"/>
          <w:color w:val="auto"/>
          <w:sz w:val="32"/>
          <w:szCs w:val="32"/>
        </w:rPr>
        <w:t>3 投标人提供的服务，应当符合国家有关法律、法规和标准规范，满足合同约定的内容和质量等要求。</w:t>
      </w:r>
    </w:p>
    <w:p>
      <w:pPr>
        <w:pStyle w:val="14"/>
        <w:spacing w:line="560" w:lineRule="exact"/>
        <w:ind w:left="640" w:firstLine="0" w:firstLineChars="0"/>
        <w:jc w:val="left"/>
        <w:rPr>
          <w:rFonts w:hint="eastAsia"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rPr>
        <w:t>1</w:t>
      </w:r>
      <w:r>
        <w:rPr>
          <w:rFonts w:ascii="仿宋_GB2312" w:eastAsia="仿宋_GB2312" w:hAnsiTheme="minorEastAsia" w:cstheme="minorEastAsia"/>
          <w:color w:val="auto"/>
          <w:sz w:val="32"/>
          <w:szCs w:val="32"/>
        </w:rPr>
        <w:t>.3.4</w:t>
      </w:r>
      <w:r>
        <w:rPr>
          <w:rFonts w:hint="eastAsia" w:ascii="仿宋_GB2312" w:eastAsia="仿宋_GB2312" w:hAnsiTheme="minorEastAsia" w:cstheme="minorEastAsia"/>
          <w:color w:val="auto"/>
          <w:sz w:val="32"/>
          <w:szCs w:val="32"/>
        </w:rPr>
        <w:t>若乙方未按活动节点及时完成景点建造，则视为单方面违约，按违约条款处置。</w:t>
      </w:r>
    </w:p>
    <w:p>
      <w:pPr>
        <w:pStyle w:val="14"/>
        <w:spacing w:line="560" w:lineRule="exact"/>
        <w:ind w:left="640" w:firstLine="0" w:firstLineChars="0"/>
        <w:jc w:val="left"/>
        <w:rPr>
          <w:rFonts w:hint="default" w:ascii="仿宋_GB2312" w:eastAsia="仿宋_GB2312" w:hAnsiTheme="minorEastAsia" w:cstheme="minorEastAsia"/>
          <w:color w:val="auto"/>
          <w:sz w:val="32"/>
          <w:szCs w:val="32"/>
          <w:lang w:val="en-US" w:eastAsia="zh-CN"/>
        </w:rPr>
      </w:pPr>
      <w:r>
        <w:rPr>
          <w:rFonts w:hint="eastAsia" w:ascii="仿宋_GB2312" w:eastAsia="仿宋_GB2312" w:hAnsiTheme="minorEastAsia" w:cstheme="minorEastAsia"/>
          <w:color w:val="auto"/>
          <w:sz w:val="32"/>
          <w:szCs w:val="32"/>
          <w:lang w:val="en-US" w:eastAsia="zh-CN"/>
        </w:rPr>
        <w:t>1.3.5 项目费用按季度实际执行进度进行支付，最终项目结算价格以审价价格为准。</w:t>
      </w:r>
    </w:p>
    <w:p>
      <w:pPr>
        <w:pStyle w:val="14"/>
        <w:spacing w:line="560" w:lineRule="exact"/>
        <w:ind w:left="640" w:firstLine="0" w:firstLineChars="0"/>
        <w:jc w:val="left"/>
        <w:rPr>
          <w:rFonts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rPr>
        <w:t>二、技术部分要求</w:t>
      </w:r>
    </w:p>
    <w:p>
      <w:pPr>
        <w:pStyle w:val="14"/>
        <w:spacing w:line="560" w:lineRule="exact"/>
        <w:ind w:left="640" w:firstLine="0" w:firstLineChars="0"/>
        <w:jc w:val="left"/>
        <w:rPr>
          <w:rFonts w:hint="eastAsia"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rPr>
        <w:t>2.1 本项目施工现场管理机构拟派人员包含项目经理、安全员、质量员、材料员各1名并具有相关证书。项目经理需专业对口，获得绿化管理局工程系列绿化林业专业中级及以上职称，具有本科及以上学历，年龄不超过5</w:t>
      </w:r>
      <w:r>
        <w:rPr>
          <w:rFonts w:ascii="仿宋_GB2312" w:eastAsia="仿宋_GB2312" w:hAnsiTheme="minorEastAsia" w:cstheme="minorEastAsia"/>
          <w:color w:val="auto"/>
          <w:sz w:val="32"/>
          <w:szCs w:val="32"/>
        </w:rPr>
        <w:t>0</w:t>
      </w:r>
      <w:r>
        <w:rPr>
          <w:rFonts w:hint="eastAsia" w:ascii="仿宋_GB2312" w:eastAsia="仿宋_GB2312" w:hAnsiTheme="minorEastAsia" w:cstheme="minorEastAsia"/>
          <w:color w:val="auto"/>
          <w:sz w:val="32"/>
          <w:szCs w:val="32"/>
        </w:rPr>
        <w:t>周岁，具备</w:t>
      </w:r>
      <w:r>
        <w:rPr>
          <w:rFonts w:ascii="仿宋_GB2312" w:eastAsia="仿宋_GB2312" w:hAnsiTheme="minorEastAsia" w:cstheme="minorEastAsia"/>
          <w:color w:val="auto"/>
          <w:sz w:val="32"/>
          <w:szCs w:val="32"/>
        </w:rPr>
        <w:t>10</w:t>
      </w:r>
      <w:r>
        <w:rPr>
          <w:rFonts w:hint="eastAsia" w:ascii="仿宋_GB2312" w:eastAsia="仿宋_GB2312" w:hAnsiTheme="minorEastAsia" w:cstheme="minorEastAsia"/>
          <w:color w:val="auto"/>
          <w:sz w:val="32"/>
          <w:szCs w:val="32"/>
        </w:rPr>
        <w:t>年及以上园林布展造景或者绿化改造服务经验。提供项目经理身份证复印件以及学历证书、职称证书、近3个月内任意1个月的应标公司在职社保记录、服务经历证明文件。项目人员需具有一定的园林布展造景、绿地改造相关服务经验，企业提供相关绿化类证书，有条件可提供相关业绩经验及获奖证明。</w:t>
      </w:r>
    </w:p>
    <w:p>
      <w:pPr>
        <w:pStyle w:val="14"/>
        <w:spacing w:line="560" w:lineRule="exact"/>
        <w:ind w:left="640" w:firstLine="0" w:firstLineChars="0"/>
        <w:jc w:val="left"/>
        <w:rPr>
          <w:rFonts w:hint="eastAsia" w:ascii="仿宋_GB2312" w:eastAsia="仿宋_GB2312" w:hAnsiTheme="minorEastAsia" w:cstheme="minorEastAsia"/>
          <w:color w:val="auto"/>
          <w:sz w:val="32"/>
          <w:szCs w:val="32"/>
        </w:rPr>
      </w:pPr>
    </w:p>
    <w:p>
      <w:pPr>
        <w:pStyle w:val="14"/>
        <w:spacing w:line="560" w:lineRule="exact"/>
        <w:ind w:left="640" w:firstLine="0" w:firstLineChars="0"/>
        <w:jc w:val="left"/>
        <w:rPr>
          <w:rFonts w:hint="eastAsia" w:ascii="仿宋_GB2312" w:eastAsia="仿宋_GB2312" w:hAnsiTheme="minorEastAsia" w:cstheme="minorEastAsia"/>
          <w:color w:val="auto"/>
          <w:sz w:val="32"/>
          <w:szCs w:val="32"/>
        </w:rPr>
      </w:pPr>
    </w:p>
    <w:p>
      <w:pPr>
        <w:pStyle w:val="14"/>
        <w:spacing w:line="560" w:lineRule="exact"/>
        <w:ind w:left="640" w:firstLine="0" w:firstLineChars="0"/>
        <w:jc w:val="left"/>
        <w:rPr>
          <w:rFonts w:hint="eastAsia" w:ascii="仿宋_GB2312" w:eastAsia="仿宋_GB2312" w:hAnsiTheme="minorEastAsia" w:cstheme="minorEastAsia"/>
          <w:color w:val="auto"/>
          <w:sz w:val="32"/>
          <w:szCs w:val="32"/>
        </w:rPr>
      </w:pPr>
    </w:p>
    <w:p>
      <w:pPr>
        <w:pStyle w:val="14"/>
        <w:spacing w:line="560" w:lineRule="exact"/>
        <w:ind w:left="640" w:firstLine="0" w:firstLineChars="0"/>
        <w:jc w:val="left"/>
        <w:rPr>
          <w:rFonts w:hint="eastAsia" w:ascii="仿宋_GB2312" w:eastAsia="仿宋_GB2312" w:hAnsiTheme="minorEastAsia" w:cstheme="minorEastAsia"/>
          <w:color w:val="auto"/>
          <w:sz w:val="32"/>
          <w:szCs w:val="32"/>
        </w:rPr>
      </w:pPr>
    </w:p>
    <w:tbl>
      <w:tblPr>
        <w:tblStyle w:val="1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042"/>
        <w:gridCol w:w="998"/>
        <w:gridCol w:w="50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4" w:type="dxa"/>
          </w:tcPr>
          <w:p>
            <w:pPr>
              <w:spacing w:line="560" w:lineRule="exact"/>
              <w:ind w:right="462" w:rightChars="220"/>
              <w:contextualSpacing/>
              <w:outlineLvl w:val="0"/>
              <w:rPr>
                <w:rFonts w:ascii="仿宋_GB2312" w:eastAsia="仿宋_GB2312" w:hAnsiTheme="minorEastAsia"/>
                <w:color w:val="auto"/>
                <w:sz w:val="32"/>
                <w:szCs w:val="32"/>
              </w:rPr>
            </w:pPr>
            <w:r>
              <w:rPr>
                <w:rFonts w:hint="eastAsia" w:ascii="仿宋_GB2312" w:eastAsia="仿宋_GB2312" w:hAnsiTheme="minorEastAsia"/>
                <w:color w:val="auto"/>
                <w:sz w:val="32"/>
                <w:szCs w:val="32"/>
              </w:rPr>
              <w:t>岗位</w:t>
            </w:r>
          </w:p>
        </w:tc>
        <w:tc>
          <w:tcPr>
            <w:tcW w:w="585" w:type="dxa"/>
          </w:tcPr>
          <w:p>
            <w:pPr>
              <w:spacing w:line="560" w:lineRule="exact"/>
              <w:ind w:right="462" w:rightChars="220"/>
              <w:contextualSpacing/>
              <w:outlineLvl w:val="0"/>
              <w:rPr>
                <w:rFonts w:ascii="仿宋_GB2312" w:eastAsia="仿宋_GB2312" w:hAnsiTheme="minorEastAsia"/>
                <w:color w:val="auto"/>
                <w:sz w:val="32"/>
                <w:szCs w:val="32"/>
              </w:rPr>
            </w:pPr>
            <w:r>
              <w:rPr>
                <w:rFonts w:hint="eastAsia" w:ascii="仿宋_GB2312" w:eastAsia="仿宋_GB2312" w:hAnsiTheme="minorEastAsia"/>
                <w:color w:val="auto"/>
                <w:sz w:val="32"/>
                <w:szCs w:val="32"/>
              </w:rPr>
              <w:t>人数</w:t>
            </w:r>
          </w:p>
        </w:tc>
        <w:tc>
          <w:tcPr>
            <w:tcW w:w="5135" w:type="dxa"/>
          </w:tcPr>
          <w:p>
            <w:pPr>
              <w:spacing w:line="560" w:lineRule="exact"/>
              <w:ind w:right="462" w:rightChars="220"/>
              <w:contextualSpacing/>
              <w:outlineLvl w:val="0"/>
              <w:rPr>
                <w:rFonts w:ascii="仿宋_GB2312" w:eastAsia="仿宋_GB2312" w:hAnsiTheme="minorEastAsia"/>
                <w:color w:val="auto"/>
                <w:sz w:val="32"/>
                <w:szCs w:val="32"/>
              </w:rPr>
            </w:pPr>
            <w:r>
              <w:rPr>
                <w:rFonts w:hint="eastAsia" w:ascii="仿宋_GB2312" w:eastAsia="仿宋_GB2312" w:hAnsiTheme="minorEastAsia"/>
                <w:color w:val="auto"/>
                <w:sz w:val="32"/>
                <w:szCs w:val="32"/>
              </w:rPr>
              <w:t>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4" w:type="dxa"/>
          </w:tcPr>
          <w:p>
            <w:pPr>
              <w:spacing w:line="560" w:lineRule="exact"/>
              <w:ind w:right="462" w:rightChars="220"/>
              <w:contextualSpacing/>
              <w:outlineLvl w:val="0"/>
              <w:rPr>
                <w:rFonts w:ascii="仿宋_GB2312" w:eastAsia="仿宋_GB2312" w:hAnsiTheme="minorEastAsia"/>
                <w:color w:val="auto"/>
                <w:sz w:val="32"/>
                <w:szCs w:val="32"/>
              </w:rPr>
            </w:pPr>
            <w:r>
              <w:rPr>
                <w:rFonts w:hint="eastAsia" w:ascii="仿宋_GB2312" w:eastAsia="仿宋_GB2312" w:hAnsiTheme="minorEastAsia"/>
                <w:color w:val="auto"/>
                <w:sz w:val="32"/>
                <w:szCs w:val="32"/>
              </w:rPr>
              <w:t>项目经理</w:t>
            </w:r>
          </w:p>
        </w:tc>
        <w:tc>
          <w:tcPr>
            <w:tcW w:w="585" w:type="dxa"/>
          </w:tcPr>
          <w:p>
            <w:pPr>
              <w:spacing w:line="560" w:lineRule="exact"/>
              <w:ind w:right="462" w:rightChars="220"/>
              <w:contextualSpacing/>
              <w:outlineLvl w:val="0"/>
              <w:rPr>
                <w:rFonts w:ascii="仿宋_GB2312" w:eastAsia="仿宋_GB2312" w:hAnsiTheme="minorEastAsia"/>
                <w:color w:val="auto"/>
                <w:sz w:val="32"/>
                <w:szCs w:val="32"/>
              </w:rPr>
            </w:pPr>
            <w:r>
              <w:rPr>
                <w:rFonts w:hint="eastAsia" w:ascii="仿宋_GB2312" w:eastAsia="仿宋_GB2312" w:hAnsiTheme="minorEastAsia"/>
                <w:color w:val="auto"/>
                <w:sz w:val="32"/>
                <w:szCs w:val="32"/>
              </w:rPr>
              <w:t>1</w:t>
            </w:r>
          </w:p>
        </w:tc>
        <w:tc>
          <w:tcPr>
            <w:tcW w:w="5135" w:type="dxa"/>
          </w:tcPr>
          <w:p>
            <w:pPr>
              <w:pStyle w:val="14"/>
              <w:numPr>
                <w:ilvl w:val="0"/>
                <w:numId w:val="5"/>
              </w:numPr>
              <w:spacing w:line="560" w:lineRule="exact"/>
              <w:ind w:right="462" w:rightChars="220" w:firstLineChars="0"/>
              <w:contextualSpacing/>
              <w:outlineLvl w:val="0"/>
              <w:rPr>
                <w:rFonts w:ascii="仿宋_GB2312" w:eastAsia="仿宋_GB2312" w:hAnsiTheme="minorEastAsia"/>
                <w:color w:val="auto"/>
                <w:sz w:val="32"/>
                <w:szCs w:val="32"/>
              </w:rPr>
            </w:pPr>
            <w:r>
              <w:rPr>
                <w:rFonts w:hint="eastAsia" w:ascii="仿宋_GB2312" w:eastAsia="仿宋_GB2312" w:hAnsiTheme="minorEastAsia"/>
                <w:color w:val="auto"/>
                <w:sz w:val="32"/>
                <w:szCs w:val="32"/>
              </w:rPr>
              <w:t>具有</w:t>
            </w:r>
            <w:r>
              <w:rPr>
                <w:rFonts w:hint="eastAsia" w:ascii="仿宋_GB2312" w:eastAsia="仿宋_GB2312" w:hAnsiTheme="minorEastAsia" w:cstheme="minorEastAsia"/>
                <w:color w:val="auto"/>
                <w:sz w:val="32"/>
                <w:szCs w:val="32"/>
              </w:rPr>
              <w:t>绿化管理局工程系列</w:t>
            </w:r>
            <w:r>
              <w:rPr>
                <w:rFonts w:hint="eastAsia" w:ascii="仿宋_GB2312" w:eastAsia="仿宋_GB2312" w:hAnsiTheme="minorEastAsia"/>
                <w:color w:val="auto"/>
                <w:sz w:val="32"/>
                <w:szCs w:val="32"/>
              </w:rPr>
              <w:t>绿化林业专业中级及以上职称；</w:t>
            </w:r>
          </w:p>
          <w:p>
            <w:pPr>
              <w:pStyle w:val="14"/>
              <w:numPr>
                <w:ilvl w:val="0"/>
                <w:numId w:val="5"/>
              </w:numPr>
              <w:spacing w:line="560" w:lineRule="exact"/>
              <w:ind w:right="462" w:rightChars="220" w:firstLineChars="0"/>
              <w:contextualSpacing/>
              <w:outlineLvl w:val="0"/>
              <w:rPr>
                <w:rFonts w:ascii="仿宋_GB2312" w:eastAsia="仿宋_GB2312" w:hAnsiTheme="minorEastAsia"/>
                <w:color w:val="auto"/>
                <w:sz w:val="32"/>
                <w:szCs w:val="32"/>
              </w:rPr>
            </w:pPr>
            <w:r>
              <w:rPr>
                <w:rFonts w:hint="eastAsia" w:ascii="仿宋_GB2312" w:eastAsia="仿宋_GB2312" w:hAnsiTheme="minorEastAsia"/>
                <w:color w:val="auto"/>
                <w:sz w:val="32"/>
                <w:szCs w:val="32"/>
              </w:rPr>
              <w:t>具有本科及以上学历；</w:t>
            </w:r>
          </w:p>
          <w:p>
            <w:pPr>
              <w:pStyle w:val="14"/>
              <w:numPr>
                <w:ilvl w:val="0"/>
                <w:numId w:val="5"/>
              </w:numPr>
              <w:spacing w:line="560" w:lineRule="exact"/>
              <w:ind w:right="462" w:rightChars="220" w:firstLineChars="0"/>
              <w:contextualSpacing/>
              <w:outlineLvl w:val="0"/>
              <w:rPr>
                <w:rFonts w:ascii="仿宋_GB2312" w:eastAsia="仿宋_GB2312" w:hAnsiTheme="minorEastAsia"/>
                <w:color w:val="auto"/>
                <w:sz w:val="32"/>
                <w:szCs w:val="32"/>
              </w:rPr>
            </w:pPr>
            <w:r>
              <w:rPr>
                <w:rFonts w:hint="eastAsia" w:ascii="仿宋_GB2312" w:eastAsia="仿宋_GB2312" w:hAnsiTheme="minorEastAsia"/>
                <w:color w:val="auto"/>
                <w:sz w:val="32"/>
                <w:szCs w:val="32"/>
              </w:rPr>
              <w:t>年龄不超过</w:t>
            </w:r>
            <w:r>
              <w:rPr>
                <w:rFonts w:ascii="仿宋_GB2312" w:eastAsia="仿宋_GB2312" w:hAnsiTheme="minorEastAsia"/>
                <w:color w:val="auto"/>
                <w:sz w:val="32"/>
                <w:szCs w:val="32"/>
              </w:rPr>
              <w:t>50周岁</w:t>
            </w:r>
            <w:r>
              <w:rPr>
                <w:rFonts w:hint="eastAsia" w:ascii="仿宋_GB2312" w:eastAsia="仿宋_GB2312" w:hAnsiTheme="minorEastAsia"/>
                <w:color w:val="auto"/>
                <w:sz w:val="32"/>
                <w:szCs w:val="32"/>
              </w:rPr>
              <w:t>；</w:t>
            </w:r>
          </w:p>
          <w:p>
            <w:pPr>
              <w:pStyle w:val="14"/>
              <w:numPr>
                <w:ilvl w:val="0"/>
                <w:numId w:val="5"/>
              </w:numPr>
              <w:spacing w:line="560" w:lineRule="exact"/>
              <w:ind w:right="462" w:rightChars="220" w:firstLineChars="0"/>
              <w:contextualSpacing/>
              <w:outlineLvl w:val="0"/>
              <w:rPr>
                <w:rFonts w:ascii="仿宋_GB2312" w:eastAsia="仿宋_GB2312" w:hAnsiTheme="minorEastAsia"/>
                <w:color w:val="auto"/>
                <w:sz w:val="32"/>
                <w:szCs w:val="32"/>
              </w:rPr>
            </w:pPr>
            <w:r>
              <w:rPr>
                <w:rFonts w:ascii="仿宋_GB2312" w:eastAsia="仿宋_GB2312" w:hAnsiTheme="minorEastAsia"/>
                <w:color w:val="auto"/>
                <w:sz w:val="32"/>
                <w:szCs w:val="32"/>
              </w:rPr>
              <w:t>具备10年及以上园林布展造景或者绿化改造服务经验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4" w:type="dxa"/>
          </w:tcPr>
          <w:p>
            <w:pPr>
              <w:spacing w:line="560" w:lineRule="exact"/>
              <w:ind w:right="462" w:rightChars="220"/>
              <w:contextualSpacing/>
              <w:outlineLvl w:val="0"/>
              <w:rPr>
                <w:rFonts w:ascii="仿宋_GB2312" w:eastAsia="仿宋_GB2312" w:hAnsiTheme="minorEastAsia"/>
                <w:color w:val="auto"/>
                <w:sz w:val="32"/>
                <w:szCs w:val="32"/>
              </w:rPr>
            </w:pPr>
            <w:r>
              <w:rPr>
                <w:rFonts w:hint="eastAsia" w:ascii="仿宋_GB2312" w:eastAsia="仿宋_GB2312" w:hAnsiTheme="minorEastAsia"/>
                <w:color w:val="auto"/>
                <w:sz w:val="32"/>
                <w:szCs w:val="32"/>
              </w:rPr>
              <w:t>安全员</w:t>
            </w:r>
          </w:p>
        </w:tc>
        <w:tc>
          <w:tcPr>
            <w:tcW w:w="585" w:type="dxa"/>
          </w:tcPr>
          <w:p>
            <w:pPr>
              <w:spacing w:line="560" w:lineRule="exact"/>
              <w:ind w:right="462" w:rightChars="220"/>
              <w:contextualSpacing/>
              <w:outlineLvl w:val="0"/>
              <w:rPr>
                <w:rFonts w:ascii="仿宋_GB2312" w:eastAsia="仿宋_GB2312" w:hAnsiTheme="minorEastAsia"/>
                <w:color w:val="auto"/>
                <w:sz w:val="32"/>
                <w:szCs w:val="32"/>
              </w:rPr>
            </w:pPr>
            <w:r>
              <w:rPr>
                <w:rFonts w:hint="eastAsia" w:ascii="仿宋_GB2312" w:eastAsia="仿宋_GB2312" w:hAnsiTheme="minorEastAsia"/>
                <w:color w:val="auto"/>
                <w:sz w:val="32"/>
                <w:szCs w:val="32"/>
              </w:rPr>
              <w:t>1</w:t>
            </w:r>
          </w:p>
        </w:tc>
        <w:tc>
          <w:tcPr>
            <w:tcW w:w="5135" w:type="dxa"/>
          </w:tcPr>
          <w:p>
            <w:pPr>
              <w:spacing w:line="560" w:lineRule="exact"/>
              <w:ind w:right="462" w:rightChars="220"/>
              <w:contextualSpacing/>
              <w:outlineLvl w:val="0"/>
              <w:rPr>
                <w:rFonts w:ascii="仿宋_GB2312" w:eastAsia="仿宋_GB2312" w:hAnsiTheme="minorEastAsia"/>
                <w:color w:val="auto"/>
                <w:sz w:val="32"/>
                <w:szCs w:val="32"/>
              </w:rPr>
            </w:pPr>
            <w:r>
              <w:rPr>
                <w:rFonts w:hint="eastAsia" w:ascii="仿宋_GB2312" w:eastAsia="仿宋_GB2312" w:hAnsiTheme="minorEastAsia"/>
                <w:color w:val="auto"/>
                <w:sz w:val="32"/>
                <w:szCs w:val="32"/>
              </w:rPr>
              <w:t>具有园林绿化工程从业人员——安全员证书。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4" w:type="dxa"/>
          </w:tcPr>
          <w:p>
            <w:pPr>
              <w:spacing w:line="560" w:lineRule="exact"/>
              <w:ind w:right="462" w:rightChars="220"/>
              <w:contextualSpacing/>
              <w:outlineLvl w:val="0"/>
              <w:rPr>
                <w:rFonts w:ascii="仿宋_GB2312" w:eastAsia="仿宋_GB2312" w:hAnsiTheme="minorEastAsia"/>
                <w:color w:val="auto"/>
                <w:sz w:val="32"/>
                <w:szCs w:val="32"/>
              </w:rPr>
            </w:pPr>
            <w:r>
              <w:rPr>
                <w:rFonts w:hint="eastAsia" w:ascii="仿宋_GB2312" w:eastAsia="仿宋_GB2312" w:hAnsiTheme="minorEastAsia"/>
                <w:color w:val="auto"/>
                <w:sz w:val="32"/>
                <w:szCs w:val="32"/>
              </w:rPr>
              <w:t>质量员</w:t>
            </w:r>
          </w:p>
        </w:tc>
        <w:tc>
          <w:tcPr>
            <w:tcW w:w="585" w:type="dxa"/>
          </w:tcPr>
          <w:p>
            <w:pPr>
              <w:spacing w:line="560" w:lineRule="exact"/>
              <w:ind w:right="462" w:rightChars="220"/>
              <w:contextualSpacing/>
              <w:outlineLvl w:val="0"/>
              <w:rPr>
                <w:rFonts w:ascii="仿宋_GB2312" w:eastAsia="仿宋_GB2312" w:hAnsiTheme="minorEastAsia"/>
                <w:color w:val="auto"/>
                <w:sz w:val="32"/>
                <w:szCs w:val="32"/>
              </w:rPr>
            </w:pPr>
            <w:r>
              <w:rPr>
                <w:rFonts w:hint="eastAsia" w:ascii="仿宋_GB2312" w:eastAsia="仿宋_GB2312" w:hAnsiTheme="minorEastAsia"/>
                <w:color w:val="auto"/>
                <w:sz w:val="32"/>
                <w:szCs w:val="32"/>
              </w:rPr>
              <w:t>1</w:t>
            </w:r>
          </w:p>
        </w:tc>
        <w:tc>
          <w:tcPr>
            <w:tcW w:w="5135" w:type="dxa"/>
          </w:tcPr>
          <w:p>
            <w:pPr>
              <w:spacing w:line="560" w:lineRule="exact"/>
              <w:ind w:right="462" w:rightChars="220"/>
              <w:contextualSpacing/>
              <w:outlineLvl w:val="0"/>
              <w:rPr>
                <w:rFonts w:ascii="仿宋_GB2312" w:eastAsia="仿宋_GB2312" w:hAnsiTheme="minorEastAsia"/>
                <w:color w:val="auto"/>
                <w:sz w:val="32"/>
                <w:szCs w:val="32"/>
              </w:rPr>
            </w:pPr>
            <w:r>
              <w:rPr>
                <w:rFonts w:hint="eastAsia" w:ascii="仿宋_GB2312" w:eastAsia="仿宋_GB2312" w:hAnsiTheme="minorEastAsia"/>
                <w:color w:val="auto"/>
                <w:sz w:val="32"/>
                <w:szCs w:val="32"/>
              </w:rPr>
              <w:t>具有园林绿化工程从业人员——质量员证书。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4" w:type="dxa"/>
          </w:tcPr>
          <w:p>
            <w:pPr>
              <w:spacing w:line="560" w:lineRule="exact"/>
              <w:ind w:right="462" w:rightChars="220"/>
              <w:contextualSpacing/>
              <w:outlineLvl w:val="0"/>
              <w:rPr>
                <w:rFonts w:ascii="仿宋_GB2312" w:eastAsia="仿宋_GB2312" w:hAnsiTheme="minorEastAsia"/>
                <w:color w:val="auto"/>
                <w:sz w:val="32"/>
                <w:szCs w:val="32"/>
              </w:rPr>
            </w:pPr>
            <w:r>
              <w:rPr>
                <w:rFonts w:hint="eastAsia" w:ascii="仿宋_GB2312" w:eastAsia="仿宋_GB2312" w:hAnsiTheme="minorEastAsia"/>
                <w:color w:val="auto"/>
                <w:sz w:val="32"/>
                <w:szCs w:val="32"/>
              </w:rPr>
              <w:t>材料员</w:t>
            </w:r>
          </w:p>
        </w:tc>
        <w:tc>
          <w:tcPr>
            <w:tcW w:w="585" w:type="dxa"/>
          </w:tcPr>
          <w:p>
            <w:pPr>
              <w:spacing w:line="560" w:lineRule="exact"/>
              <w:ind w:right="462" w:rightChars="220"/>
              <w:contextualSpacing/>
              <w:outlineLvl w:val="0"/>
              <w:rPr>
                <w:rFonts w:ascii="仿宋_GB2312" w:eastAsia="仿宋_GB2312" w:hAnsiTheme="minorEastAsia"/>
                <w:color w:val="auto"/>
                <w:sz w:val="32"/>
                <w:szCs w:val="32"/>
              </w:rPr>
            </w:pPr>
            <w:r>
              <w:rPr>
                <w:rFonts w:hint="eastAsia" w:ascii="仿宋_GB2312" w:eastAsia="仿宋_GB2312" w:hAnsiTheme="minorEastAsia"/>
                <w:color w:val="auto"/>
                <w:sz w:val="32"/>
                <w:szCs w:val="32"/>
              </w:rPr>
              <w:t>1</w:t>
            </w:r>
          </w:p>
        </w:tc>
        <w:tc>
          <w:tcPr>
            <w:tcW w:w="5135" w:type="dxa"/>
          </w:tcPr>
          <w:p>
            <w:pPr>
              <w:spacing w:line="560" w:lineRule="exact"/>
              <w:ind w:right="462" w:rightChars="220"/>
              <w:contextualSpacing/>
              <w:outlineLvl w:val="0"/>
              <w:rPr>
                <w:rFonts w:ascii="仿宋_GB2312" w:eastAsia="仿宋_GB2312" w:hAnsiTheme="minorEastAsia"/>
                <w:color w:val="auto"/>
                <w:sz w:val="32"/>
                <w:szCs w:val="32"/>
              </w:rPr>
            </w:pPr>
            <w:r>
              <w:rPr>
                <w:rFonts w:hint="eastAsia" w:ascii="仿宋_GB2312" w:eastAsia="仿宋_GB2312" w:hAnsiTheme="minorEastAsia"/>
                <w:color w:val="auto"/>
                <w:sz w:val="32"/>
                <w:szCs w:val="32"/>
              </w:rPr>
              <w:t>具有园林绿化工程从业人员——材料员证书。</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114" w:type="dxa"/>
          </w:tcPr>
          <w:p>
            <w:pPr>
              <w:spacing w:line="560" w:lineRule="exact"/>
              <w:ind w:right="462" w:rightChars="220"/>
              <w:contextualSpacing/>
              <w:outlineLvl w:val="0"/>
              <w:rPr>
                <w:rFonts w:ascii="仿宋_GB2312" w:eastAsia="仿宋_GB2312" w:hAnsiTheme="minorEastAsia"/>
                <w:color w:val="auto"/>
                <w:sz w:val="32"/>
                <w:szCs w:val="32"/>
              </w:rPr>
            </w:pPr>
            <w:r>
              <w:rPr>
                <w:rFonts w:hint="eastAsia" w:ascii="仿宋_GB2312" w:eastAsia="仿宋_GB2312" w:hAnsiTheme="minorEastAsia"/>
                <w:color w:val="auto"/>
                <w:sz w:val="32"/>
                <w:szCs w:val="32"/>
              </w:rPr>
              <w:t>其他人员</w:t>
            </w:r>
          </w:p>
        </w:tc>
        <w:tc>
          <w:tcPr>
            <w:tcW w:w="585" w:type="dxa"/>
          </w:tcPr>
          <w:p>
            <w:pPr>
              <w:spacing w:line="560" w:lineRule="exact"/>
              <w:ind w:right="462" w:rightChars="220"/>
              <w:contextualSpacing/>
              <w:outlineLvl w:val="0"/>
              <w:rPr>
                <w:rFonts w:ascii="仿宋_GB2312" w:eastAsia="仿宋_GB2312" w:hAnsiTheme="minorEastAsia"/>
                <w:color w:val="auto"/>
                <w:sz w:val="32"/>
                <w:szCs w:val="32"/>
              </w:rPr>
            </w:pPr>
            <w:r>
              <w:rPr>
                <w:rFonts w:hint="eastAsia" w:ascii="仿宋_GB2312" w:eastAsia="仿宋_GB2312" w:hAnsiTheme="minorEastAsia"/>
                <w:color w:val="auto"/>
                <w:sz w:val="32"/>
                <w:szCs w:val="32"/>
              </w:rPr>
              <w:t>不限</w:t>
            </w:r>
          </w:p>
        </w:tc>
        <w:tc>
          <w:tcPr>
            <w:tcW w:w="5135" w:type="dxa"/>
          </w:tcPr>
          <w:p>
            <w:pPr>
              <w:spacing w:line="560" w:lineRule="exact"/>
              <w:ind w:right="462" w:rightChars="220"/>
              <w:contextualSpacing/>
              <w:outlineLvl w:val="0"/>
              <w:rPr>
                <w:rFonts w:ascii="仿宋_GB2312" w:eastAsia="仿宋_GB2312" w:hAnsiTheme="minorEastAsia"/>
                <w:color w:val="auto"/>
                <w:sz w:val="32"/>
                <w:szCs w:val="32"/>
              </w:rPr>
            </w:pPr>
            <w:r>
              <w:rPr>
                <w:rFonts w:hint="eastAsia" w:ascii="仿宋_GB2312" w:eastAsia="仿宋_GB2312" w:hAnsiTheme="minorEastAsia"/>
                <w:color w:val="auto"/>
                <w:sz w:val="32"/>
                <w:szCs w:val="32"/>
              </w:rPr>
              <w:t>项目人员均具有1年及以上的园林布展造景、绿地改造服务经验的优先</w:t>
            </w:r>
          </w:p>
        </w:tc>
      </w:tr>
    </w:tbl>
    <w:p>
      <w:pPr>
        <w:spacing w:line="560" w:lineRule="exact"/>
        <w:ind w:firstLine="640" w:firstLineChars="200"/>
        <w:rPr>
          <w:rFonts w:ascii="仿宋_GB2312" w:eastAsia="仿宋_GB2312" w:hAnsiTheme="minorEastAsia" w:cstheme="minorEastAsia"/>
          <w:color w:val="auto"/>
          <w:sz w:val="32"/>
          <w:szCs w:val="32"/>
        </w:rPr>
      </w:pPr>
    </w:p>
    <w:p>
      <w:pPr>
        <w:spacing w:line="560" w:lineRule="exact"/>
        <w:ind w:firstLine="640" w:firstLineChars="200"/>
        <w:rPr>
          <w:rFonts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rPr>
        <w:t>2.2 对园区古树名木有专项复壮等方案。</w:t>
      </w:r>
    </w:p>
    <w:p>
      <w:pPr>
        <w:spacing w:line="560" w:lineRule="exact"/>
        <w:ind w:firstLine="640" w:firstLineChars="200"/>
        <w:rPr>
          <w:rFonts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rPr>
        <w:t xml:space="preserve">2.3 对龙华烈士陵园清明景观专项、年度景观布置等项目的设计方案进行进一步的深化设计，由甲方对方案进行最终确认后实施施工。 </w:t>
      </w:r>
    </w:p>
    <w:p>
      <w:pPr>
        <w:spacing w:line="560" w:lineRule="exact"/>
        <w:ind w:firstLine="640" w:firstLineChars="200"/>
        <w:rPr>
          <w:rFonts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rPr>
        <w:t>2.3.1 清明绿化专项主要内容为结合清明重大节点，在南大门进行立体绿化雕塑建造，景点面积约为20</w:t>
      </w:r>
      <w:r>
        <w:rPr>
          <w:rFonts w:ascii="仿宋_GB2312" w:eastAsia="仿宋_GB2312" w:hAnsiTheme="minorEastAsia" w:cstheme="minorEastAsia"/>
          <w:color w:val="auto"/>
          <w:sz w:val="32"/>
          <w:szCs w:val="32"/>
        </w:rPr>
        <w:t>0</w:t>
      </w:r>
      <w:r>
        <w:rPr>
          <w:rFonts w:hint="eastAsia" w:ascii="Segoe UI Symbol" w:hAnsi="Segoe UI Symbol" w:eastAsia="仿宋_GB2312" w:cs="Segoe UI Symbol"/>
          <w:color w:val="auto"/>
          <w:sz w:val="32"/>
          <w:szCs w:val="32"/>
        </w:rPr>
        <w:t>平方米，绿雕高度约6米</w:t>
      </w:r>
      <w:r>
        <w:rPr>
          <w:rFonts w:hint="eastAsia" w:ascii="仿宋_GB2312" w:eastAsia="仿宋_GB2312" w:hAnsiTheme="minorEastAsia" w:cstheme="minorEastAsia"/>
          <w:color w:val="auto"/>
          <w:sz w:val="32"/>
          <w:szCs w:val="32"/>
        </w:rPr>
        <w:t>。充分结合龙陵的特色，进行氛围营造。夏季进行一次换花，维护周期持续到9月上旬。</w:t>
      </w:r>
    </w:p>
    <w:p>
      <w:pPr>
        <w:spacing w:line="560" w:lineRule="exact"/>
        <w:ind w:firstLine="640" w:firstLineChars="200"/>
        <w:rPr>
          <w:rFonts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rPr>
        <w:t>2.3.2 930绿化专项主要内容为结合烈士纪念日与国庆节重大节点，在南大门进行庆贺花篮立体雕塑建造及花坛营造，花篮大小高度约为8</w:t>
      </w:r>
      <w:r>
        <w:rPr>
          <w:rFonts w:ascii="仿宋_GB2312" w:eastAsia="仿宋_GB2312" w:hAnsiTheme="minorEastAsia" w:cstheme="minorEastAsia"/>
          <w:color w:val="auto"/>
          <w:sz w:val="32"/>
          <w:szCs w:val="32"/>
        </w:rPr>
        <w:t>.6*6.4</w:t>
      </w:r>
      <w:r>
        <w:rPr>
          <w:rFonts w:hint="eastAsia" w:ascii="仿宋_GB2312" w:eastAsia="仿宋_GB2312" w:hAnsiTheme="minorEastAsia" w:cstheme="minorEastAsia"/>
          <w:color w:val="auto"/>
          <w:sz w:val="32"/>
          <w:szCs w:val="32"/>
        </w:rPr>
        <w:t>H，花坛面积约2</w:t>
      </w:r>
      <w:r>
        <w:rPr>
          <w:rFonts w:ascii="仿宋_GB2312" w:eastAsia="仿宋_GB2312" w:hAnsiTheme="minorEastAsia" w:cstheme="minorEastAsia"/>
          <w:color w:val="auto"/>
          <w:sz w:val="32"/>
          <w:szCs w:val="32"/>
        </w:rPr>
        <w:t>00</w:t>
      </w:r>
      <w:r>
        <w:rPr>
          <w:rFonts w:hint="eastAsia" w:ascii="仿宋_GB2312" w:eastAsia="仿宋_GB2312" w:hAnsiTheme="minorEastAsia" w:cstheme="minorEastAsia"/>
          <w:color w:val="auto"/>
          <w:sz w:val="32"/>
          <w:szCs w:val="32"/>
        </w:rPr>
        <w:t>平方米。冬季进行一次换花，维护周期持续到3月下旬。</w:t>
      </w:r>
    </w:p>
    <w:p>
      <w:pPr>
        <w:spacing w:line="560" w:lineRule="exact"/>
        <w:ind w:firstLine="640" w:firstLineChars="200"/>
        <w:rPr>
          <w:rFonts w:ascii="仿宋_GB2312" w:eastAsia="仿宋_GB2312"/>
          <w:color w:val="auto"/>
          <w:w w:val="105"/>
          <w:sz w:val="32"/>
          <w:szCs w:val="32"/>
        </w:rPr>
      </w:pPr>
      <w:r>
        <w:rPr>
          <w:rFonts w:hint="eastAsia" w:ascii="仿宋_GB2312" w:eastAsia="仿宋_GB2312" w:hAnsiTheme="minorEastAsia" w:cstheme="minorEastAsia"/>
          <w:color w:val="auto"/>
          <w:sz w:val="32"/>
          <w:szCs w:val="32"/>
        </w:rPr>
        <w:t xml:space="preserve">2.3.3 </w:t>
      </w:r>
      <w:r>
        <w:rPr>
          <w:rFonts w:hint="eastAsia" w:ascii="仿宋_GB2312" w:eastAsia="仿宋_GB2312"/>
          <w:color w:val="auto"/>
          <w:w w:val="105"/>
          <w:sz w:val="32"/>
          <w:szCs w:val="32"/>
          <w:lang w:val="en-US" w:eastAsia="zh-CN"/>
        </w:rPr>
        <w:t>悠悠桃花道</w:t>
      </w:r>
      <w:r>
        <w:rPr>
          <w:rFonts w:hint="eastAsia" w:ascii="仿宋_GB2312" w:eastAsia="仿宋_GB2312"/>
          <w:color w:val="auto"/>
          <w:w w:val="105"/>
          <w:sz w:val="32"/>
          <w:szCs w:val="32"/>
        </w:rPr>
        <w:t>区域景观提升</w:t>
      </w:r>
      <w:r>
        <w:rPr>
          <w:rFonts w:hint="eastAsia" w:ascii="仿宋_GB2312" w:eastAsia="仿宋_GB2312" w:hAnsiTheme="minorEastAsia" w:cstheme="minorEastAsia"/>
          <w:color w:val="auto"/>
          <w:sz w:val="32"/>
          <w:szCs w:val="32"/>
        </w:rPr>
        <w:t>主要</w:t>
      </w:r>
      <w:r>
        <w:rPr>
          <w:rFonts w:hint="eastAsia" w:ascii="仿宋_GB2312" w:eastAsia="仿宋_GB2312"/>
          <w:color w:val="auto"/>
          <w:w w:val="105"/>
          <w:sz w:val="32"/>
          <w:szCs w:val="32"/>
        </w:rPr>
        <w:t>内容为充分考虑龙陵绿化现状及祭扫需求，</w:t>
      </w:r>
      <w:r>
        <w:rPr>
          <w:rFonts w:hint="eastAsia" w:ascii="仿宋_GB2312" w:eastAsia="仿宋_GB2312"/>
          <w:color w:val="auto"/>
          <w:w w:val="105"/>
          <w:sz w:val="32"/>
          <w:szCs w:val="32"/>
          <w:lang w:val="en-US" w:eastAsia="zh-CN"/>
        </w:rPr>
        <w:t>对青少年广场东侧桃花</w:t>
      </w:r>
      <w:r>
        <w:rPr>
          <w:rFonts w:hint="eastAsia" w:ascii="仿宋_GB2312" w:eastAsia="仿宋_GB2312"/>
          <w:color w:val="auto"/>
          <w:w w:val="105"/>
          <w:sz w:val="32"/>
          <w:szCs w:val="32"/>
        </w:rPr>
        <w:t>区域进行</w:t>
      </w:r>
      <w:r>
        <w:rPr>
          <w:rFonts w:hint="eastAsia" w:ascii="仿宋_GB2312" w:eastAsia="仿宋_GB2312"/>
          <w:color w:val="auto"/>
          <w:w w:val="105"/>
          <w:sz w:val="32"/>
          <w:szCs w:val="32"/>
          <w:lang w:val="en-US" w:eastAsia="zh-CN"/>
        </w:rPr>
        <w:t>景点</w:t>
      </w:r>
      <w:r>
        <w:rPr>
          <w:rFonts w:hint="eastAsia" w:ascii="仿宋_GB2312" w:eastAsia="仿宋_GB2312"/>
          <w:color w:val="auto"/>
          <w:w w:val="105"/>
          <w:sz w:val="32"/>
          <w:szCs w:val="32"/>
        </w:rPr>
        <w:t>营造，以提升祭扫环境及周边景观丰富度</w:t>
      </w:r>
      <w:r>
        <w:rPr>
          <w:rFonts w:hint="eastAsia" w:ascii="仿宋_GB2312" w:eastAsia="仿宋_GB2312"/>
          <w:color w:val="auto"/>
          <w:w w:val="105"/>
          <w:sz w:val="32"/>
          <w:szCs w:val="32"/>
          <w:lang w:eastAsia="zh-CN"/>
        </w:rPr>
        <w:t>。</w:t>
      </w:r>
      <w:r>
        <w:rPr>
          <w:rFonts w:hint="eastAsia" w:ascii="仿宋_GB2312" w:eastAsia="仿宋_GB2312"/>
          <w:color w:val="auto"/>
          <w:w w:val="105"/>
          <w:sz w:val="32"/>
          <w:szCs w:val="32"/>
        </w:rPr>
        <w:t>区域面积约</w:t>
      </w:r>
      <w:r>
        <w:rPr>
          <w:rFonts w:hint="eastAsia" w:ascii="仿宋_GB2312" w:eastAsia="仿宋_GB2312"/>
          <w:color w:val="auto"/>
          <w:w w:val="105"/>
          <w:sz w:val="32"/>
          <w:szCs w:val="32"/>
          <w:lang w:val="en-US" w:eastAsia="zh-CN"/>
        </w:rPr>
        <w:t>3000</w:t>
      </w:r>
      <w:r>
        <w:rPr>
          <w:rFonts w:hint="eastAsia" w:ascii="仿宋_GB2312" w:eastAsia="仿宋_GB2312"/>
          <w:color w:val="auto"/>
          <w:w w:val="105"/>
          <w:sz w:val="32"/>
          <w:szCs w:val="32"/>
        </w:rPr>
        <w:t>平方米。</w:t>
      </w:r>
    </w:p>
    <w:p>
      <w:pPr>
        <w:spacing w:line="560" w:lineRule="exact"/>
        <w:ind w:firstLine="200"/>
        <w:rPr>
          <w:rFonts w:ascii="仿宋_GB2312" w:eastAsia="仿宋_GB2312"/>
          <w:color w:val="auto"/>
          <w:w w:val="105"/>
          <w:sz w:val="32"/>
          <w:szCs w:val="32"/>
        </w:rPr>
      </w:pPr>
      <w:r>
        <w:rPr>
          <w:rFonts w:hint="eastAsia" w:ascii="仿宋_GB2312" w:eastAsia="仿宋_GB2312"/>
          <w:color w:val="auto"/>
          <w:w w:val="105"/>
          <w:sz w:val="32"/>
          <w:szCs w:val="32"/>
        </w:rPr>
        <w:t xml:space="preserve">  2.3.4 </w:t>
      </w:r>
      <w:r>
        <w:rPr>
          <w:rFonts w:hint="eastAsia" w:ascii="仿宋_GB2312" w:eastAsia="仿宋_GB2312"/>
          <w:color w:val="auto"/>
          <w:w w:val="105"/>
          <w:sz w:val="32"/>
          <w:szCs w:val="32"/>
          <w:lang w:val="en-US" w:eastAsia="zh-CN"/>
        </w:rPr>
        <w:t>红色氛围提升</w:t>
      </w:r>
      <w:r>
        <w:rPr>
          <w:rFonts w:hint="eastAsia" w:ascii="仿宋_GB2312" w:eastAsia="仿宋_GB2312" w:hAnsiTheme="minorEastAsia" w:cstheme="minorEastAsia"/>
          <w:color w:val="auto"/>
          <w:sz w:val="32"/>
          <w:szCs w:val="32"/>
        </w:rPr>
        <w:t>主要</w:t>
      </w:r>
      <w:r>
        <w:rPr>
          <w:rFonts w:hint="eastAsia" w:ascii="仿宋_GB2312" w:eastAsia="仿宋_GB2312"/>
          <w:color w:val="auto"/>
          <w:w w:val="105"/>
          <w:sz w:val="32"/>
          <w:szCs w:val="32"/>
        </w:rPr>
        <w:t>内容为</w:t>
      </w:r>
      <w:r>
        <w:rPr>
          <w:rFonts w:hint="eastAsia" w:ascii="仿宋_GB2312" w:eastAsia="仿宋_GB2312"/>
          <w:color w:val="auto"/>
          <w:w w:val="105"/>
          <w:sz w:val="32"/>
          <w:szCs w:val="32"/>
          <w:lang w:val="en-US" w:eastAsia="zh-CN"/>
        </w:rPr>
        <w:t>对青少年广场西侧五角枫下区域进行景观改造</w:t>
      </w:r>
      <w:r>
        <w:rPr>
          <w:rFonts w:hint="eastAsia" w:ascii="仿宋_GB2312" w:eastAsia="仿宋_GB2312"/>
          <w:color w:val="auto"/>
          <w:w w:val="105"/>
          <w:sz w:val="32"/>
          <w:szCs w:val="32"/>
        </w:rPr>
        <w:t>。增加红色文化对场地的渗入和宣扬，提升场地的氛围感，使游览人群能增加游览体验，丰富该区域的景观内涵</w:t>
      </w:r>
      <w:r>
        <w:rPr>
          <w:rFonts w:hint="eastAsia" w:ascii="仿宋_GB2312" w:eastAsia="仿宋_GB2312"/>
          <w:color w:val="auto"/>
          <w:w w:val="105"/>
          <w:sz w:val="32"/>
          <w:szCs w:val="32"/>
          <w:lang w:eastAsia="zh-CN"/>
        </w:rPr>
        <w:t>。</w:t>
      </w:r>
      <w:r>
        <w:rPr>
          <w:rFonts w:hint="eastAsia" w:ascii="仿宋_GB2312" w:eastAsia="仿宋_GB2312"/>
          <w:color w:val="auto"/>
          <w:w w:val="105"/>
          <w:sz w:val="32"/>
          <w:szCs w:val="32"/>
        </w:rPr>
        <w:t>该区域面积约</w:t>
      </w:r>
      <w:r>
        <w:rPr>
          <w:rFonts w:hint="eastAsia" w:ascii="仿宋_GB2312" w:eastAsia="仿宋_GB2312"/>
          <w:color w:val="auto"/>
          <w:w w:val="105"/>
          <w:sz w:val="32"/>
          <w:szCs w:val="32"/>
          <w:lang w:val="en-US" w:eastAsia="zh-CN"/>
        </w:rPr>
        <w:t>100</w:t>
      </w:r>
      <w:r>
        <w:rPr>
          <w:rFonts w:hint="eastAsia" w:ascii="仿宋_GB2312" w:eastAsia="仿宋_GB2312"/>
          <w:color w:val="auto"/>
          <w:w w:val="105"/>
          <w:sz w:val="32"/>
          <w:szCs w:val="32"/>
        </w:rPr>
        <w:t xml:space="preserve">平方米。 </w:t>
      </w:r>
    </w:p>
    <w:p>
      <w:pPr>
        <w:spacing w:line="560" w:lineRule="exact"/>
        <w:ind w:firstLine="672" w:firstLineChars="200"/>
        <w:rPr>
          <w:rFonts w:hint="default" w:ascii="仿宋_GB2312" w:eastAsia="仿宋_GB2312"/>
          <w:color w:val="auto"/>
          <w:w w:val="105"/>
          <w:sz w:val="32"/>
          <w:szCs w:val="32"/>
          <w:lang w:val="en-US" w:eastAsia="zh-CN"/>
        </w:rPr>
      </w:pPr>
      <w:r>
        <w:rPr>
          <w:rFonts w:hint="eastAsia" w:ascii="仿宋_GB2312" w:eastAsia="仿宋_GB2312"/>
          <w:color w:val="auto"/>
          <w:w w:val="105"/>
          <w:sz w:val="32"/>
          <w:szCs w:val="32"/>
        </w:rPr>
        <w:t xml:space="preserve">2.3.5 </w:t>
      </w:r>
      <w:r>
        <w:rPr>
          <w:rFonts w:hint="eastAsia" w:ascii="仿宋_GB2312" w:eastAsia="仿宋_GB2312"/>
          <w:color w:val="auto"/>
          <w:w w:val="105"/>
          <w:sz w:val="32"/>
          <w:szCs w:val="32"/>
          <w:lang w:val="en-US" w:eastAsia="zh-CN"/>
        </w:rPr>
        <w:t>樱花下区域景观提升主要内容为优化调整纪念堂大草坪区域的老化樱花，衔接场地原有花灌乔木，将区域更换为以梅为主题的景观区域。该区域面积为500平方米。</w:t>
      </w:r>
    </w:p>
    <w:p>
      <w:pPr>
        <w:spacing w:line="560" w:lineRule="exact"/>
        <w:ind w:firstLine="640" w:firstLineChars="200"/>
        <w:rPr>
          <w:rFonts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rPr>
        <w:t>2.4 施工人员穿戴统一标志性工作服进行操作，应满足安全工作要求。</w:t>
      </w:r>
    </w:p>
    <w:p>
      <w:pPr>
        <w:spacing w:line="560" w:lineRule="exact"/>
        <w:ind w:firstLine="640" w:firstLineChars="200"/>
        <w:rPr>
          <w:rFonts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rPr>
        <w:t>2.5 进场绿化材料需经过甲方验收，保证植株无病虫害，满足相应规格要求，并填报相关进场记录。</w:t>
      </w:r>
    </w:p>
    <w:p>
      <w:pPr>
        <w:spacing w:line="560" w:lineRule="exact"/>
        <w:ind w:firstLine="640" w:firstLineChars="200"/>
        <w:rPr>
          <w:rFonts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rPr>
        <w:t>2.6 植物的日常施药及施肥费用，肥料的质量以及数量由甲方控制、审核使用。植物病虫害防治工作费用，使用的药剂质量、数量由甲方控制、审核使用。</w:t>
      </w:r>
    </w:p>
    <w:p>
      <w:pPr>
        <w:spacing w:line="560" w:lineRule="exact"/>
        <w:ind w:firstLine="640" w:firstLineChars="200"/>
        <w:rPr>
          <w:rFonts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rPr>
        <w:t>2.7 针对节假日、极端天气等有对应的值班计划和绿化风险应急预案。</w:t>
      </w:r>
    </w:p>
    <w:p>
      <w:pPr>
        <w:spacing w:line="560" w:lineRule="exact"/>
        <w:rPr>
          <w:rFonts w:ascii="仿宋_GB2312" w:eastAsia="仿宋_GB2312"/>
          <w:color w:val="auto"/>
          <w:w w:val="105"/>
          <w:sz w:val="32"/>
          <w:szCs w:val="32"/>
        </w:rPr>
      </w:pPr>
      <w:r>
        <w:rPr>
          <w:rFonts w:hint="eastAsia" w:ascii="仿宋_GB2312" w:eastAsia="仿宋_GB2312"/>
          <w:color w:val="auto"/>
          <w:w w:val="105"/>
          <w:sz w:val="32"/>
          <w:szCs w:val="32"/>
        </w:rPr>
        <w:br w:type="page"/>
      </w:r>
    </w:p>
    <w:p>
      <w:pPr>
        <w:pStyle w:val="2"/>
        <w:spacing w:line="560" w:lineRule="exact"/>
        <w:ind w:left="0" w:firstLine="0"/>
        <w:jc w:val="both"/>
        <w:rPr>
          <w:rFonts w:ascii="仿宋_GB2312" w:eastAsia="仿宋_GB2312"/>
          <w:color w:val="auto"/>
          <w:sz w:val="32"/>
          <w:szCs w:val="32"/>
        </w:rPr>
      </w:pPr>
      <w:r>
        <w:rPr>
          <w:rFonts w:hint="eastAsia" w:ascii="仿宋_GB2312" w:eastAsia="仿宋_GB2312"/>
          <w:color w:val="auto"/>
          <w:w w:val="105"/>
          <w:sz w:val="32"/>
          <w:szCs w:val="32"/>
        </w:rPr>
        <w:t>附件三、</w:t>
      </w:r>
      <w:r>
        <w:rPr>
          <w:rFonts w:hint="eastAsia" w:ascii="仿宋_GB2312" w:eastAsia="仿宋_GB2312"/>
          <w:color w:val="auto"/>
          <w:sz w:val="32"/>
          <w:szCs w:val="32"/>
        </w:rPr>
        <w:t>上海市龙华烈士陵园绿化施工及养护标准</w:t>
      </w:r>
    </w:p>
    <w:p>
      <w:pPr>
        <w:pStyle w:val="4"/>
        <w:spacing w:line="560" w:lineRule="exact"/>
        <w:ind w:firstLine="640" w:firstLineChars="200"/>
        <w:jc w:val="both"/>
        <w:rPr>
          <w:rFonts w:ascii="仿宋_GB2312" w:eastAsia="仿宋_GB2312"/>
          <w:color w:val="auto"/>
          <w:sz w:val="32"/>
          <w:szCs w:val="32"/>
        </w:rPr>
      </w:pPr>
    </w:p>
    <w:p>
      <w:pPr>
        <w:pStyle w:val="2"/>
        <w:spacing w:line="560" w:lineRule="exact"/>
        <w:ind w:left="0" w:firstLine="880" w:firstLineChars="200"/>
        <w:jc w:val="center"/>
        <w:rPr>
          <w:rFonts w:ascii="方正小标宋简体" w:eastAsia="方正小标宋简体"/>
          <w:color w:val="auto"/>
          <w:sz w:val="44"/>
          <w:szCs w:val="44"/>
        </w:rPr>
      </w:pPr>
      <w:r>
        <w:rPr>
          <w:rFonts w:hint="eastAsia" w:ascii="方正小标宋简体" w:eastAsia="方正小标宋简体"/>
          <w:color w:val="auto"/>
          <w:sz w:val="44"/>
          <w:szCs w:val="44"/>
        </w:rPr>
        <w:t>上海市龙华烈士陵园绿化施工及养护标准</w:t>
      </w:r>
    </w:p>
    <w:p>
      <w:pPr>
        <w:spacing w:line="560" w:lineRule="exact"/>
        <w:rPr>
          <w:rFonts w:ascii="黑体" w:hAnsi="黑体" w:eastAsia="黑体"/>
          <w:color w:val="auto"/>
          <w:sz w:val="32"/>
          <w:szCs w:val="32"/>
        </w:rPr>
      </w:pPr>
      <w:r>
        <w:rPr>
          <w:rFonts w:hint="eastAsia" w:ascii="黑体" w:hAnsi="黑体" w:eastAsia="黑体"/>
          <w:color w:val="auto"/>
          <w:sz w:val="32"/>
          <w:szCs w:val="32"/>
        </w:rPr>
        <w:t>一、总则</w:t>
      </w:r>
    </w:p>
    <w:p>
      <w:pPr>
        <w:spacing w:line="560" w:lineRule="exact"/>
        <w:ind w:firstLine="640" w:firstLineChars="200"/>
        <w:rPr>
          <w:rFonts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rPr>
        <w:t>1.1 上海市龙华烈士陵园负责园区绿化施工养护管理，现场施工养护单位作业必须服从管理。</w:t>
      </w:r>
    </w:p>
    <w:p>
      <w:pPr>
        <w:spacing w:line="560" w:lineRule="exact"/>
        <w:ind w:firstLine="640" w:firstLineChars="200"/>
        <w:rPr>
          <w:rFonts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rPr>
        <w:t>1.2 本标准适用于上海市龙华烈士陵园内，由甲乙双方共同执行，应满足园区内部的定期检查要求。</w:t>
      </w:r>
    </w:p>
    <w:p>
      <w:pPr>
        <w:spacing w:line="560" w:lineRule="exact"/>
        <w:rPr>
          <w:rFonts w:ascii="黑体" w:hAnsi="黑体" w:eastAsia="黑体"/>
          <w:color w:val="auto"/>
          <w:sz w:val="32"/>
          <w:szCs w:val="32"/>
        </w:rPr>
      </w:pPr>
      <w:r>
        <w:rPr>
          <w:rFonts w:hint="eastAsia" w:ascii="黑体" w:hAnsi="黑体" w:eastAsia="黑体"/>
          <w:color w:val="auto"/>
          <w:sz w:val="32"/>
          <w:szCs w:val="32"/>
        </w:rPr>
        <w:t>二、景观面貌</w:t>
      </w:r>
    </w:p>
    <w:p>
      <w:pPr>
        <w:spacing w:line="560" w:lineRule="exact"/>
        <w:ind w:firstLine="640" w:firstLineChars="200"/>
        <w:rPr>
          <w:rFonts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rPr>
        <w:t>2.1 古树名木</w:t>
      </w:r>
    </w:p>
    <w:p>
      <w:pPr>
        <w:spacing w:line="560" w:lineRule="exact"/>
        <w:ind w:firstLine="640" w:firstLineChars="200"/>
        <w:rPr>
          <w:rFonts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rPr>
        <w:t xml:space="preserve">古树名木的复壮工作安排专人负责，并如实记录古树名木相关表单。古树名木应进行重点保护，不利古树名木生长的立地条件必须及时改善。生长日趋衰弱的古树名木,应组织有关人员制定复壮措施。 </w:t>
      </w:r>
    </w:p>
    <w:p>
      <w:pPr>
        <w:spacing w:line="560" w:lineRule="exact"/>
        <w:ind w:firstLine="640" w:firstLineChars="200"/>
        <w:rPr>
          <w:rFonts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rPr>
        <w:t>2.2 地被</w:t>
      </w:r>
    </w:p>
    <w:p>
      <w:pPr>
        <w:spacing w:line="560" w:lineRule="exact"/>
        <w:ind w:firstLine="640" w:firstLineChars="200"/>
        <w:rPr>
          <w:rFonts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rPr>
        <w:t>生长季覆盖率高，黄土不裸露；花期正常，一致性高，同一品种花期间隔不超过5天；生长季无空秃、死亡植株；无残花，无黄叶、枯叶；无超过地被高度的杂草；无明显的病虫害危害症状。</w:t>
      </w:r>
    </w:p>
    <w:p>
      <w:pPr>
        <w:spacing w:line="560" w:lineRule="exact"/>
        <w:ind w:firstLine="640" w:firstLineChars="200"/>
        <w:rPr>
          <w:rFonts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rPr>
        <w:t>2.3 草坪</w:t>
      </w:r>
    </w:p>
    <w:p>
      <w:pPr>
        <w:spacing w:line="560" w:lineRule="exact"/>
        <w:ind w:firstLine="640" w:firstLineChars="200"/>
        <w:rPr>
          <w:rFonts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rPr>
        <w:t>色泽正常，高度一致，生长期无发黄现象；边缘清晰整齐，无生长至硬质景观上的现象发生；无双子叶杂草，无明显的单子叶杂草发生；无草屑残留，无明显枯枝、落叶覆盖；无明显的病虫害危害症状；无空秃超过0.5m2的现象。</w:t>
      </w:r>
    </w:p>
    <w:p>
      <w:pPr>
        <w:spacing w:line="560" w:lineRule="exact"/>
        <w:ind w:firstLine="640" w:firstLineChars="200"/>
        <w:rPr>
          <w:rFonts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rPr>
        <w:t>2.4树穴</w:t>
      </w:r>
    </w:p>
    <w:p>
      <w:pPr>
        <w:spacing w:line="560" w:lineRule="exact"/>
        <w:ind w:firstLine="640" w:firstLineChars="200"/>
        <w:rPr>
          <w:rFonts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rPr>
        <w:t>树穴大小适度，形状圆整，覆土厚度在植株最表层根系上的5cm以内；表面无杂草、草根、石块和其他杂物；表面土壤粒径不超过2cm；切边宽度、深度不超过5cm；树穴范围内无积水。</w:t>
      </w:r>
    </w:p>
    <w:p>
      <w:pPr>
        <w:spacing w:line="560" w:lineRule="exact"/>
        <w:rPr>
          <w:rFonts w:ascii="黑体" w:hAnsi="黑体" w:eastAsia="黑体"/>
          <w:color w:val="auto"/>
          <w:sz w:val="32"/>
          <w:szCs w:val="32"/>
        </w:rPr>
      </w:pPr>
      <w:r>
        <w:rPr>
          <w:rFonts w:hint="eastAsia" w:ascii="黑体" w:hAnsi="黑体" w:eastAsia="黑体"/>
          <w:color w:val="auto"/>
          <w:sz w:val="32"/>
          <w:szCs w:val="32"/>
        </w:rPr>
        <w:t>三、技术措施</w:t>
      </w:r>
    </w:p>
    <w:p>
      <w:pPr>
        <w:spacing w:line="560" w:lineRule="exact"/>
        <w:ind w:firstLine="640" w:firstLineChars="200"/>
        <w:rPr>
          <w:rFonts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rPr>
        <w:t>3.1 设计</w:t>
      </w:r>
    </w:p>
    <w:p>
      <w:pPr>
        <w:spacing w:line="560" w:lineRule="exact"/>
        <w:ind w:firstLine="640" w:firstLineChars="200"/>
        <w:rPr>
          <w:rFonts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rPr>
        <w:t>坚持以人为本的原则，在满足植物正常生长和园容景观面貌和谐优美的前提下，充分考虑和尊重游客活动需求，降低因施工给游客带来的不便；设计方案坚持因地制宜，充分利用园区现状景观，保持原有文化特色、风格和基本格局。</w:t>
      </w:r>
    </w:p>
    <w:p>
      <w:pPr>
        <w:spacing w:line="560" w:lineRule="exact"/>
        <w:ind w:firstLine="640" w:firstLineChars="200"/>
        <w:rPr>
          <w:rFonts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rPr>
        <w:t>3.2 土壤</w:t>
      </w:r>
    </w:p>
    <w:p>
      <w:pPr>
        <w:spacing w:line="560" w:lineRule="exact"/>
        <w:ind w:firstLine="640" w:firstLineChars="200"/>
        <w:rPr>
          <w:rFonts w:ascii="仿宋_GB2312" w:eastAsia="仿宋_GB2312" w:hAnsiTheme="minorEastAsia" w:cstheme="minorEastAsia"/>
          <w:color w:val="auto"/>
          <w:sz w:val="32"/>
          <w:szCs w:val="32"/>
        </w:rPr>
      </w:pPr>
      <w:r>
        <w:rPr>
          <w:rFonts w:hint="eastAsia" w:ascii="仿宋_GB2312" w:eastAsia="仿宋_GB2312" w:hAnsiTheme="minorEastAsia" w:cstheme="minorEastAsia"/>
          <w:color w:val="auto"/>
          <w:sz w:val="32"/>
          <w:szCs w:val="32"/>
        </w:rPr>
        <w:t>新开辟的种植区域需对种植土壤进行评估和改良；裸露地土壤必须保持疏松；乔灌木树穴松土须用小型锄头，避免伤害植物；灌溉后、雨后、被踩踏后必须及时松土。</w:t>
      </w:r>
    </w:p>
    <w:p>
      <w:pPr>
        <w:ind w:firstLine="640" w:firstLineChars="200"/>
        <w:rPr>
          <w:rFonts w:ascii="仿宋_GB2312" w:hAnsi="仿宋" w:eastAsia="仿宋_GB2312"/>
          <w:color w:val="auto"/>
          <w:sz w:val="32"/>
          <w:szCs w:val="32"/>
        </w:rPr>
      </w:pPr>
      <w:r>
        <w:rPr>
          <w:rFonts w:hint="eastAsia" w:ascii="仿宋_GB2312" w:eastAsia="仿宋_GB2312" w:hAnsiTheme="minorEastAsia" w:cstheme="minorEastAsia"/>
          <w:color w:val="auto"/>
          <w:sz w:val="32"/>
          <w:szCs w:val="32"/>
        </w:rPr>
        <w:t xml:space="preserve">3.3 </w:t>
      </w:r>
      <w:r>
        <w:rPr>
          <w:rFonts w:hint="eastAsia" w:ascii="仿宋_GB2312" w:hAnsi="仿宋" w:eastAsia="仿宋_GB2312"/>
          <w:color w:val="auto"/>
          <w:sz w:val="32"/>
          <w:szCs w:val="32"/>
        </w:rPr>
        <w:t>底肥</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植物在种植前进行土壤改良并施一次基肥，基肥需用腐熟的有机肥；乔灌木施肥范围在树冠垂直投影外围，开环状或半环状沟，深度30cm，平均用量为50kg/株；片植灌木、地被用量为5kg/m2，有条件的区域开小型沟穴埋入，其他的可撒施表面。</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3.4 浇水和保湿</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新种植物、地被和小型非片植型灌木进行浇水时必须控制水流压力，并选择管材口径在20-25mm之间的产品；浇灌大型乔木，大面积木本灌木时禁止使用直流型水枪；禁止长时间冲淋同一地点，浇水后植株不倒伏；对只需要喷雾保湿的植物，必须选择有半雾状功能的小型水枪；生长季节内的植物，除雨天外，乔灌木每周至少浇1次水，草本、地被等浅根系植物至少每周浇3次，旱季须每天早晚进行喷雾；无降雨的情况下，草坪每周必须浇水1次；高温季节禁止在上午9点至下午4点之间的时间段进行浇水；浇水后无积水现象。</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3.5 病虫害防治</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严格保证新种植物入场时无病虫害污染；严格按照甲方的要求配置药剂种类和保管领用农药，禁止使用有害剧毒农药；严格遵守药剂使用比例，配置时须使用有刻度标记的量杯；每次病虫害防治后必须提供防治记录表。</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3.6 植物调整更换和补充</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植物调整和补充需根据绿化部要求进行；调整和补充前须提供方案和详细的种植记录；起挖树苗的土球规格符合树木移植规定；外来苗木须备齐检疫证明。</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3.7 土壤改良</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板结硬化的裸土区域在植被恢复前首先需将地块土壤进行深翻改良，具体措施为加入10cm厚营养介质，再进行翻耕搅拌，翻耕深度为30-40cm；改良区域根据方案评估土壤问题根本原因后，按需实施改良计划。</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3.8 覆盖物</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对植被难以存活或不便种植植被的空秃地进行有机物覆盖；覆盖物入场保证无异味无污染无病虫害。</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3.9 工完场清</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施工废弃物随时清运，无留置超过2小时的现象；遇大型活动时施工产生的废弃物必须直接装车，无堆放现象；遗落在路面的废弃物及时清理，保证路面整洁。</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3.10 废弃物处理</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施工产生的废弃物根据园区垃圾要求分类堆放，保证废弃物堆放有序；绿化垃圾应及时驳运到绿化垃圾场地，绿化垃圾长度控制在1米内便于清运；农药空瓶等废弃物严格按照垃圾分类的方式进行管理和投放，形成闭环。</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3.11 方案计划、总结与档案</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景观提升施工前需提交完整的设计施工方案，经讨论通过后方可实施，项目完成后提交竣工图；配合园区质量管理体系各类档案记录完整，无遗漏和错记，定期提交绿化部归档。</w:t>
      </w:r>
    </w:p>
    <w:p>
      <w:pPr>
        <w:ind w:firstLine="640" w:firstLineChars="200"/>
        <w:rPr>
          <w:rFonts w:ascii="仿宋_GB2312" w:hAnsi="仿宋" w:eastAsia="仿宋_GB2312"/>
          <w:color w:val="auto"/>
          <w:sz w:val="32"/>
          <w:szCs w:val="32"/>
        </w:rPr>
      </w:pPr>
    </w:p>
    <w:p>
      <w:pPr>
        <w:spacing w:line="560" w:lineRule="exact"/>
        <w:rPr>
          <w:rFonts w:ascii="黑体" w:hAnsi="黑体" w:eastAsia="黑体"/>
          <w:color w:val="auto"/>
          <w:sz w:val="32"/>
          <w:szCs w:val="32"/>
        </w:rPr>
      </w:pPr>
      <w:r>
        <w:rPr>
          <w:rFonts w:hint="eastAsia" w:ascii="黑体" w:hAnsi="黑体" w:eastAsia="黑体"/>
          <w:color w:val="auto"/>
          <w:sz w:val="32"/>
          <w:szCs w:val="32"/>
        </w:rPr>
        <w:t>四、管理要求</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龙陵园区开放时间：6:00-17:30；纪念馆开放时间：9:00-16:30。施工时间在开放时间段内，若因工作需要提前或延后，需提前报备项目经理，再由项目经理报备甲方负责人。</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制度化管理，工作人员行为举止、操作流程、工具摆放使用规范；劳动防护、设施、设备操作安全措施明确；用工合法合规，岗位配置足额，确保队伍稳定，不得违反劳动法相关用工规定。符合甲方ISO标准化管理要求。</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4.1 岗位素质要求</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严格履行考勤制度，着装标识统一规范，语言举止文明得体，安全措施落实到位；禁止赤膊、穿拖鞋等不雅行为发生；禁止在园内的各种桌椅上用餐、睡觉；禁止与游客发生争执；由于烈士陵园的特殊性，施工人员在陵园工作期间不得随意打闹、大声喧哗，墓地草坪除作业外不 得停留。</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4.2 岗位配置要求</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施工人员身体健康，五官端正，主动服务意识强，接受过上岗培训，无不良记录；注重人文关怀；对关键岗位、技术岗位的施工人员培训后才能上岗；保证从事本项目的人员具备相应的职业资格和应有的素质要求；项目主要管理人员具有大专学历、中级及以上职称、景观施工服务管理经验的优先考虑；如需调整管理人员及技术骨干，应事先通报甲方，并得到甲方认可。</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4.3 园区内施工人员管理制度</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施工车辆入场前报甲方备案，入场后施工车辆要停放在陵园指定停放点，不得任意停放；室外休息不得任意在祭扫场地墓地草坪上停留。</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4.4 肥料、药剂等耗材配置要求</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肥料、药剂由中标公司提供，甲方提供存放点，并做好入库出库登记，便于管理；中标公司需落实肥料、农药的安全使用培训，由甲方监管，控制使用量；施工人员的工作制服、劳防用品等物品由中标公司负责提供。</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4.5设备配置要求</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据甲方绿化需求，涉及但不限于配备运输卡车、中型货运三轮电瓶车、运输三轮车、药水车、割草机、电焊机等机械设备，由中标公司提供并负责安全使用；操作规程安全有效，确保使用正常，无安全隐患。</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4.6 规范管理制度要求</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管理工作有章可循，考核有据可查。中标公司需建立和执行以下管理制度：工作人员行为规范及奖惩制度、员工培训制度、工作质量标准、工休时间规定、安全操作规程、物料领用制度、劳动防护及工伤处理制度、重大活动工作预案等。</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4.7 安全管理措施要求</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加强安全教育，落实安全操作规程，完善劳动防护、防暑降温条件，防范安全事故的发生；高温天气注意避开高温时期进行室外作业，极端天气注意安全防范工作。</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4.7.1 劳动防护</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作业前，劳动防护用品必须配备齐全。作业时，必须佩带相关的防护用具。</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4.7.2 机械操作</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工具随身携带，规范操作，统一管理，严禁随地乱放。园区作业时，长度超过2m以上的工具在不使用时必须平放在地面。</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操作机械时必须，做好维护警示，注意周围情况，防止伤及他人，人员密集时应避开或停止操作。机械操作时必须佩带相关的防护用具。妥善安排好工具的摆放。</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4.7.3 施工车辆</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禁止车辆在园内鸣笛，园内车辆行驶速度小于15码，车辆行驶须避客让行，禁止车辆穿越人群，遇大量游客时必须停止行驶。园内车辆不得任意在祭扫平台、绿地草坪上行驶。</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4.7.4 高空、动火作业</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 xml:space="preserve">高空作业、动火作业需手续办理后方可开工，安全保障物资应合规使用。 </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高空作业必须持证上岗，离地面2m以上进行作业时必须佩戴安全带和安全帽；高空作业进行时，地面必须竖立警示牌或警示围栏，并有人员在地面进行协助、疏导。</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4.8 作业制度</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必须有明确的作业制度，作业制度的更改必须提前通知甲方。</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重要节点期间除必要的浇水外不得进行大规模的、机械类的作业，浇水养护如用水泵建议在上午8点30分之前或在下午4点30分后进行。遇团队进行仪式或参观时，施工工作应注意机械噪音影响并适当采取避让措施。</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古树名木的复壮工作安排专人负责，并如实记录古树名木相关表单。</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绿化电子档案如实记录，若需砍伐、移除或补植树木，需在周工作计划表中提出工作申请，并填写相关记录，通知绿化电子档案管理人员及时进行档案更新</w:t>
      </w:r>
    </w:p>
    <w:p>
      <w:pPr>
        <w:ind w:firstLine="640" w:firstLineChars="200"/>
        <w:rPr>
          <w:rFonts w:ascii="仿宋_GB2312" w:hAnsi="仿宋" w:eastAsia="仿宋_GB2312"/>
          <w:color w:val="auto"/>
          <w:sz w:val="32"/>
          <w:szCs w:val="32"/>
        </w:rPr>
      </w:pPr>
      <w:r>
        <w:rPr>
          <w:rFonts w:hint="eastAsia" w:ascii="仿宋_GB2312" w:hAnsi="仿宋" w:eastAsia="仿宋_GB2312"/>
          <w:color w:val="auto"/>
          <w:sz w:val="32"/>
          <w:szCs w:val="32"/>
        </w:rPr>
        <w:t>绿化垃圾应及时驳运到绿化垃圾场地，绿化垃圾长度控制在1米内便于清运。水管浇水拖管不得高于地面，拖管期间时刻留意游客安全。施工期间，若需长时间占用路面，需设置安全警戒线。农药使用时，注意防护用品的使用和区域警戒线的设置并填写ISO农药管理相关文件。</w:t>
      </w:r>
    </w:p>
    <w:p>
      <w:pPr>
        <w:pStyle w:val="4"/>
        <w:spacing w:line="560" w:lineRule="exact"/>
        <w:jc w:val="both"/>
        <w:rPr>
          <w:rFonts w:ascii="仿宋_GB2312" w:eastAsia="仿宋_GB2312"/>
          <w:color w:val="auto"/>
          <w:w w:val="105"/>
          <w:sz w:val="32"/>
          <w:szCs w:val="32"/>
          <w:lang w:val="en-US"/>
        </w:rPr>
      </w:pPr>
      <w:r>
        <w:rPr>
          <w:rFonts w:hint="eastAsia" w:ascii="仿宋_GB2312" w:eastAsia="仿宋_GB2312"/>
          <w:color w:val="auto"/>
          <w:sz w:val="32"/>
          <w:szCs w:val="32"/>
        </w:rPr>
        <w:t>附件</w:t>
      </w:r>
      <w:r>
        <w:rPr>
          <w:rFonts w:hint="eastAsia" w:ascii="仿宋_GB2312" w:eastAsia="仿宋_GB2312"/>
          <w:color w:val="auto"/>
          <w:w w:val="105"/>
          <w:sz w:val="32"/>
          <w:szCs w:val="32"/>
          <w:lang w:val="en-US"/>
        </w:rPr>
        <w:t>四</w:t>
      </w:r>
      <w:r>
        <w:rPr>
          <w:rFonts w:hint="eastAsia" w:ascii="仿宋_GB2312" w:eastAsia="仿宋_GB2312"/>
          <w:color w:val="auto"/>
          <w:w w:val="105"/>
          <w:sz w:val="32"/>
          <w:szCs w:val="32"/>
        </w:rPr>
        <w:t>、</w:t>
      </w:r>
      <w:r>
        <w:rPr>
          <w:rFonts w:hint="eastAsia" w:ascii="仿宋_GB2312" w:eastAsia="仿宋_GB2312"/>
          <w:color w:val="auto"/>
          <w:w w:val="105"/>
          <w:sz w:val="32"/>
          <w:szCs w:val="32"/>
          <w:lang w:val="en-US"/>
        </w:rPr>
        <w:t>工作量清单</w:t>
      </w:r>
    </w:p>
    <w:p>
      <w:pPr>
        <w:pStyle w:val="4"/>
        <w:spacing w:line="560" w:lineRule="exact"/>
        <w:jc w:val="both"/>
        <w:rPr>
          <w:rFonts w:ascii="仿宋_GB2312" w:eastAsia="仿宋_GB2312" w:hAnsiTheme="minorEastAsia" w:cstheme="minorEastAsia"/>
          <w:color w:val="auto"/>
          <w:sz w:val="32"/>
          <w:szCs w:val="32"/>
          <w:lang w:val="en-US"/>
        </w:rPr>
      </w:pPr>
    </w:p>
    <w:tbl>
      <w:tblPr>
        <w:tblStyle w:val="11"/>
        <w:tblW w:w="89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50"/>
        <w:gridCol w:w="3768"/>
        <w:gridCol w:w="280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spacing w:line="560" w:lineRule="exact"/>
              <w:rPr>
                <w:rFonts w:ascii="仿宋_GB2312" w:eastAsia="仿宋_GB2312"/>
                <w:color w:val="auto"/>
                <w:w w:val="105"/>
                <w:sz w:val="32"/>
                <w:szCs w:val="32"/>
              </w:rPr>
            </w:pPr>
            <w:r>
              <w:rPr>
                <w:rFonts w:hint="eastAsia" w:ascii="仿宋_GB2312" w:eastAsia="仿宋_GB2312"/>
                <w:color w:val="auto"/>
                <w:w w:val="105"/>
                <w:sz w:val="32"/>
                <w:szCs w:val="32"/>
              </w:rPr>
              <w:t>景观提升分项</w:t>
            </w:r>
          </w:p>
        </w:tc>
        <w:tc>
          <w:tcPr>
            <w:tcW w:w="0" w:type="auto"/>
            <w:vAlign w:val="center"/>
          </w:tcPr>
          <w:p>
            <w:pPr>
              <w:spacing w:line="560" w:lineRule="exact"/>
              <w:rPr>
                <w:rFonts w:ascii="仿宋_GB2312" w:eastAsia="仿宋_GB2312"/>
                <w:color w:val="auto"/>
                <w:w w:val="105"/>
                <w:sz w:val="32"/>
                <w:szCs w:val="32"/>
              </w:rPr>
            </w:pPr>
            <w:r>
              <w:rPr>
                <w:rFonts w:hint="eastAsia" w:ascii="仿宋_GB2312" w:eastAsia="仿宋_GB2312"/>
                <w:color w:val="auto"/>
                <w:w w:val="105"/>
                <w:sz w:val="32"/>
                <w:szCs w:val="32"/>
              </w:rPr>
              <w:t>明细</w:t>
            </w:r>
          </w:p>
        </w:tc>
        <w:tc>
          <w:tcPr>
            <w:tcW w:w="2808" w:type="dxa"/>
            <w:vAlign w:val="center"/>
          </w:tcPr>
          <w:p>
            <w:pPr>
              <w:spacing w:line="560" w:lineRule="exact"/>
              <w:rPr>
                <w:rFonts w:ascii="仿宋_GB2312" w:eastAsia="仿宋_GB2312"/>
                <w:color w:val="auto"/>
                <w:w w:val="105"/>
                <w:sz w:val="32"/>
                <w:szCs w:val="32"/>
              </w:rPr>
            </w:pPr>
            <w:r>
              <w:rPr>
                <w:rFonts w:hint="eastAsia" w:ascii="仿宋_GB2312" w:eastAsia="仿宋_GB2312"/>
                <w:color w:val="auto"/>
                <w:w w:val="105"/>
                <w:sz w:val="32"/>
                <w:szCs w:val="32"/>
              </w:rPr>
              <w:t>报价格式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31" w:hRule="atLeast"/>
          <w:jc w:val="center"/>
        </w:trPr>
        <w:tc>
          <w:tcPr>
            <w:tcW w:w="0" w:type="auto"/>
            <w:vAlign w:val="center"/>
          </w:tcPr>
          <w:p>
            <w:pPr>
              <w:spacing w:line="560" w:lineRule="exact"/>
              <w:rPr>
                <w:rFonts w:ascii="仿宋_GB2312" w:eastAsia="仿宋_GB2312"/>
                <w:color w:val="auto"/>
                <w:w w:val="105"/>
                <w:sz w:val="32"/>
                <w:szCs w:val="32"/>
              </w:rPr>
            </w:pPr>
            <w:r>
              <w:rPr>
                <w:rFonts w:hint="eastAsia" w:ascii="仿宋_GB2312" w:eastAsia="仿宋_GB2312"/>
                <w:color w:val="auto"/>
                <w:w w:val="105"/>
                <w:sz w:val="32"/>
                <w:szCs w:val="32"/>
              </w:rPr>
              <w:t>古树名木复壮</w:t>
            </w:r>
          </w:p>
        </w:tc>
        <w:tc>
          <w:tcPr>
            <w:tcW w:w="0" w:type="auto"/>
            <w:vAlign w:val="center"/>
          </w:tcPr>
          <w:p>
            <w:pPr>
              <w:spacing w:line="560" w:lineRule="exact"/>
              <w:rPr>
                <w:rFonts w:ascii="仿宋_GB2312" w:eastAsia="仿宋_GB2312"/>
                <w:color w:val="auto"/>
                <w:w w:val="105"/>
                <w:sz w:val="32"/>
                <w:szCs w:val="32"/>
              </w:rPr>
            </w:pPr>
            <w:r>
              <w:rPr>
                <w:rFonts w:hint="eastAsia" w:ascii="仿宋_GB2312" w:eastAsia="仿宋_GB2312"/>
                <w:color w:val="auto"/>
                <w:w w:val="105"/>
                <w:sz w:val="32"/>
                <w:szCs w:val="32"/>
              </w:rPr>
              <w:t>雪松、朴树、白皮松、黄杨</w:t>
            </w:r>
          </w:p>
        </w:tc>
        <w:tc>
          <w:tcPr>
            <w:tcW w:w="2808" w:type="dxa"/>
            <w:vAlign w:val="center"/>
          </w:tcPr>
          <w:p>
            <w:pPr>
              <w:spacing w:line="560" w:lineRule="exact"/>
              <w:rPr>
                <w:rFonts w:ascii="仿宋_GB2312" w:eastAsia="仿宋_GB2312"/>
                <w:color w:val="auto"/>
                <w:w w:val="105"/>
                <w:sz w:val="32"/>
                <w:szCs w:val="32"/>
              </w:rPr>
            </w:pPr>
            <w:r>
              <w:rPr>
                <w:rFonts w:hint="eastAsia" w:ascii="仿宋_GB2312" w:eastAsia="仿宋_GB2312"/>
                <w:color w:val="auto"/>
                <w:w w:val="105"/>
                <w:sz w:val="32"/>
                <w:szCs w:val="32"/>
              </w:rPr>
              <w:t>该项以固定金额4.6万的报价执行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560" w:lineRule="exact"/>
              <w:rPr>
                <w:rFonts w:ascii="仿宋_GB2312" w:eastAsia="仿宋_GB2312"/>
                <w:color w:val="auto"/>
                <w:w w:val="105"/>
                <w:sz w:val="32"/>
                <w:szCs w:val="32"/>
              </w:rPr>
            </w:pPr>
            <w:r>
              <w:rPr>
                <w:rFonts w:hint="eastAsia" w:ascii="仿宋_GB2312" w:eastAsia="仿宋_GB2312"/>
                <w:color w:val="auto"/>
                <w:w w:val="105"/>
                <w:sz w:val="32"/>
                <w:szCs w:val="32"/>
              </w:rPr>
              <w:t>清明绿化专项</w:t>
            </w:r>
          </w:p>
        </w:tc>
        <w:tc>
          <w:tcPr>
            <w:tcW w:w="0" w:type="auto"/>
            <w:vAlign w:val="center"/>
          </w:tcPr>
          <w:p>
            <w:pPr>
              <w:spacing w:line="560" w:lineRule="exact"/>
              <w:rPr>
                <w:rFonts w:ascii="仿宋_GB2312" w:eastAsia="仿宋_GB2312"/>
                <w:color w:val="auto"/>
                <w:w w:val="105"/>
                <w:sz w:val="32"/>
                <w:szCs w:val="32"/>
              </w:rPr>
            </w:pPr>
            <w:r>
              <w:rPr>
                <w:rFonts w:hint="eastAsia" w:ascii="仿宋_GB2312" w:eastAsia="仿宋_GB2312"/>
                <w:color w:val="auto"/>
                <w:w w:val="105"/>
                <w:sz w:val="32"/>
                <w:szCs w:val="32"/>
              </w:rPr>
              <w:t>大型立体绿化及主要场地布置</w:t>
            </w:r>
          </w:p>
        </w:tc>
        <w:tc>
          <w:tcPr>
            <w:tcW w:w="2808" w:type="dxa"/>
            <w:vMerge w:val="restart"/>
            <w:vAlign w:val="center"/>
          </w:tcPr>
          <w:p>
            <w:pPr>
              <w:spacing w:line="560" w:lineRule="exact"/>
              <w:rPr>
                <w:rFonts w:hint="default" w:ascii="仿宋_GB2312" w:eastAsia="仿宋_GB2312"/>
                <w:color w:val="auto"/>
                <w:w w:val="105"/>
                <w:sz w:val="32"/>
                <w:szCs w:val="32"/>
                <w:lang w:val="en-US" w:eastAsia="zh-CN"/>
              </w:rPr>
            </w:pPr>
            <w:r>
              <w:rPr>
                <w:rFonts w:hint="eastAsia" w:ascii="仿宋_GB2312" w:eastAsia="仿宋_GB2312"/>
                <w:color w:val="auto"/>
                <w:w w:val="105"/>
                <w:sz w:val="32"/>
                <w:szCs w:val="32"/>
              </w:rPr>
              <w:t>设计费</w:t>
            </w:r>
            <w:r>
              <w:rPr>
                <w:rFonts w:hint="eastAsia" w:ascii="仿宋_GB2312" w:eastAsia="仿宋_GB2312"/>
                <w:color w:val="auto"/>
                <w:w w:val="105"/>
                <w:sz w:val="32"/>
                <w:szCs w:val="32"/>
                <w:lang w:eastAsia="zh-CN"/>
              </w:rPr>
              <w:t>、</w:t>
            </w:r>
            <w:r>
              <w:rPr>
                <w:rFonts w:hint="eastAsia" w:ascii="仿宋_GB2312" w:eastAsia="仿宋_GB2312"/>
                <w:color w:val="auto"/>
                <w:w w:val="105"/>
                <w:sz w:val="32"/>
                <w:szCs w:val="32"/>
              </w:rPr>
              <w:t>施工费</w:t>
            </w:r>
            <w:r>
              <w:rPr>
                <w:rFonts w:hint="eastAsia" w:ascii="仿宋_GB2312" w:eastAsia="仿宋_GB2312"/>
                <w:color w:val="auto"/>
                <w:w w:val="105"/>
                <w:sz w:val="32"/>
                <w:szCs w:val="32"/>
                <w:lang w:val="en-US" w:eastAsia="zh-CN"/>
              </w:rPr>
              <w:t>分项报价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560" w:lineRule="exact"/>
              <w:rPr>
                <w:rFonts w:ascii="仿宋_GB2312" w:eastAsia="仿宋_GB2312"/>
                <w:color w:val="auto"/>
                <w:w w:val="105"/>
                <w:sz w:val="32"/>
                <w:szCs w:val="32"/>
              </w:rPr>
            </w:pPr>
          </w:p>
        </w:tc>
        <w:tc>
          <w:tcPr>
            <w:tcW w:w="0" w:type="auto"/>
            <w:vAlign w:val="center"/>
          </w:tcPr>
          <w:p>
            <w:pPr>
              <w:spacing w:line="560" w:lineRule="exact"/>
              <w:rPr>
                <w:rFonts w:ascii="仿宋_GB2312" w:eastAsia="仿宋_GB2312"/>
                <w:color w:val="auto"/>
                <w:w w:val="105"/>
                <w:sz w:val="32"/>
                <w:szCs w:val="32"/>
              </w:rPr>
            </w:pPr>
            <w:r>
              <w:rPr>
                <w:rFonts w:hint="eastAsia" w:ascii="仿宋_GB2312" w:eastAsia="仿宋_GB2312"/>
                <w:color w:val="auto"/>
                <w:w w:val="105"/>
                <w:sz w:val="32"/>
                <w:szCs w:val="32"/>
              </w:rPr>
              <w:t>应季立体花坛换花</w:t>
            </w:r>
          </w:p>
        </w:tc>
        <w:tc>
          <w:tcPr>
            <w:tcW w:w="2808" w:type="dxa"/>
            <w:vMerge w:val="continue"/>
            <w:vAlign w:val="center"/>
          </w:tcPr>
          <w:p>
            <w:pPr>
              <w:spacing w:line="560" w:lineRule="exact"/>
              <w:rPr>
                <w:rFonts w:ascii="仿宋_GB2312" w:eastAsia="仿宋_GB2312"/>
                <w:color w:val="auto"/>
                <w:w w:val="105"/>
                <w:sz w:val="32"/>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restart"/>
            <w:vAlign w:val="center"/>
          </w:tcPr>
          <w:p>
            <w:pPr>
              <w:spacing w:line="560" w:lineRule="exact"/>
              <w:rPr>
                <w:rFonts w:ascii="仿宋_GB2312" w:eastAsia="仿宋_GB2312"/>
                <w:color w:val="auto"/>
                <w:w w:val="105"/>
                <w:sz w:val="32"/>
                <w:szCs w:val="32"/>
              </w:rPr>
            </w:pPr>
            <w:r>
              <w:rPr>
                <w:rFonts w:hint="eastAsia" w:ascii="仿宋_GB2312" w:eastAsia="仿宋_GB2312"/>
                <w:color w:val="auto"/>
                <w:w w:val="105"/>
                <w:sz w:val="32"/>
                <w:szCs w:val="32"/>
              </w:rPr>
              <w:t>930绿化专项</w:t>
            </w:r>
          </w:p>
        </w:tc>
        <w:tc>
          <w:tcPr>
            <w:tcW w:w="0" w:type="auto"/>
            <w:vAlign w:val="center"/>
          </w:tcPr>
          <w:p>
            <w:pPr>
              <w:spacing w:line="560" w:lineRule="exact"/>
              <w:rPr>
                <w:rFonts w:ascii="仿宋_GB2312" w:eastAsia="仿宋_GB2312"/>
                <w:color w:val="auto"/>
                <w:w w:val="105"/>
                <w:sz w:val="32"/>
                <w:szCs w:val="32"/>
              </w:rPr>
            </w:pPr>
            <w:r>
              <w:rPr>
                <w:rFonts w:hint="eastAsia" w:ascii="仿宋_GB2312" w:eastAsia="仿宋_GB2312"/>
                <w:color w:val="auto"/>
                <w:w w:val="105"/>
                <w:sz w:val="32"/>
                <w:szCs w:val="32"/>
              </w:rPr>
              <w:t>大型立体绿化及主要场地布置</w:t>
            </w:r>
          </w:p>
        </w:tc>
        <w:tc>
          <w:tcPr>
            <w:tcW w:w="2808" w:type="dxa"/>
            <w:vMerge w:val="restart"/>
            <w:vAlign w:val="center"/>
          </w:tcPr>
          <w:p>
            <w:pPr>
              <w:spacing w:line="560" w:lineRule="exact"/>
              <w:rPr>
                <w:rFonts w:ascii="仿宋_GB2312" w:eastAsia="仿宋_GB2312"/>
                <w:color w:val="auto"/>
                <w:w w:val="105"/>
                <w:sz w:val="32"/>
                <w:szCs w:val="32"/>
              </w:rPr>
            </w:pPr>
            <w:r>
              <w:rPr>
                <w:rFonts w:hint="eastAsia" w:ascii="仿宋_GB2312" w:eastAsia="仿宋_GB2312"/>
                <w:color w:val="auto"/>
                <w:w w:val="105"/>
                <w:sz w:val="32"/>
                <w:szCs w:val="32"/>
              </w:rPr>
              <w:t>施工费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Merge w:val="continue"/>
            <w:vAlign w:val="center"/>
          </w:tcPr>
          <w:p>
            <w:pPr>
              <w:spacing w:line="560" w:lineRule="exact"/>
              <w:rPr>
                <w:rFonts w:ascii="仿宋_GB2312" w:eastAsia="仿宋_GB2312"/>
                <w:color w:val="auto"/>
                <w:w w:val="105"/>
                <w:sz w:val="32"/>
                <w:szCs w:val="32"/>
              </w:rPr>
            </w:pPr>
          </w:p>
        </w:tc>
        <w:tc>
          <w:tcPr>
            <w:tcW w:w="0" w:type="auto"/>
            <w:vAlign w:val="center"/>
          </w:tcPr>
          <w:p>
            <w:pPr>
              <w:spacing w:line="560" w:lineRule="exact"/>
              <w:rPr>
                <w:rFonts w:ascii="仿宋_GB2312" w:eastAsia="仿宋_GB2312"/>
                <w:color w:val="auto"/>
                <w:w w:val="105"/>
                <w:sz w:val="32"/>
                <w:szCs w:val="32"/>
              </w:rPr>
            </w:pPr>
            <w:r>
              <w:rPr>
                <w:rFonts w:hint="eastAsia" w:ascii="仿宋_GB2312" w:eastAsia="仿宋_GB2312"/>
                <w:color w:val="auto"/>
                <w:w w:val="105"/>
                <w:sz w:val="32"/>
                <w:szCs w:val="32"/>
              </w:rPr>
              <w:t>应季立体花坛换花</w:t>
            </w:r>
          </w:p>
        </w:tc>
        <w:tc>
          <w:tcPr>
            <w:tcW w:w="2808" w:type="dxa"/>
            <w:vMerge w:val="continue"/>
            <w:vAlign w:val="center"/>
          </w:tcPr>
          <w:p>
            <w:pPr>
              <w:spacing w:line="560" w:lineRule="exact"/>
              <w:rPr>
                <w:rFonts w:ascii="仿宋_GB2312" w:eastAsia="仿宋_GB2312"/>
                <w:color w:val="auto"/>
                <w:w w:val="105"/>
                <w:sz w:val="32"/>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62" w:hRule="atLeast"/>
          <w:jc w:val="center"/>
        </w:trPr>
        <w:tc>
          <w:tcPr>
            <w:tcW w:w="0" w:type="auto"/>
            <w:vMerge w:val="restart"/>
            <w:vAlign w:val="center"/>
          </w:tcPr>
          <w:p>
            <w:pPr>
              <w:spacing w:line="560" w:lineRule="exact"/>
              <w:rPr>
                <w:rFonts w:ascii="仿宋_GB2312" w:eastAsia="仿宋_GB2312"/>
                <w:color w:val="auto"/>
                <w:w w:val="105"/>
                <w:sz w:val="32"/>
                <w:szCs w:val="32"/>
              </w:rPr>
            </w:pPr>
            <w:r>
              <w:rPr>
                <w:rFonts w:hint="eastAsia" w:ascii="仿宋_GB2312" w:eastAsia="仿宋_GB2312"/>
                <w:color w:val="auto"/>
                <w:w w:val="105"/>
                <w:sz w:val="32"/>
                <w:szCs w:val="32"/>
              </w:rPr>
              <w:t>年度绿化景观布置</w:t>
            </w:r>
          </w:p>
        </w:tc>
        <w:tc>
          <w:tcPr>
            <w:tcW w:w="0" w:type="auto"/>
            <w:vMerge w:val="restart"/>
            <w:vAlign w:val="center"/>
          </w:tcPr>
          <w:p>
            <w:pPr>
              <w:tabs>
                <w:tab w:val="left" w:pos="1920"/>
              </w:tabs>
              <w:spacing w:line="560" w:lineRule="exact"/>
              <w:rPr>
                <w:rFonts w:hint="eastAsia" w:ascii="仿宋_GB2312" w:eastAsia="宋体"/>
                <w:color w:val="auto"/>
                <w:w w:val="105"/>
                <w:sz w:val="32"/>
                <w:szCs w:val="32"/>
                <w:lang w:eastAsia="zh-CN"/>
              </w:rPr>
            </w:pPr>
            <w:r>
              <w:rPr>
                <w:rFonts w:hint="eastAsia" w:ascii="仿宋_GB2312" w:eastAsia="仿宋_GB2312"/>
                <w:color w:val="auto"/>
                <w:w w:val="105"/>
                <w:sz w:val="32"/>
                <w:szCs w:val="32"/>
                <w:lang w:val="en-US" w:eastAsia="zh-CN"/>
              </w:rPr>
              <w:t>桃花道区域景观提升约</w:t>
            </w:r>
            <w:r>
              <w:rPr>
                <w:rFonts w:ascii="仿宋_GB2312" w:eastAsia="仿宋_GB2312"/>
                <w:color w:val="auto"/>
                <w:w w:val="105"/>
                <w:sz w:val="32"/>
                <w:szCs w:val="32"/>
              </w:rPr>
              <w:t>3</w:t>
            </w:r>
            <w:r>
              <w:rPr>
                <w:rFonts w:hint="eastAsia" w:ascii="仿宋_GB2312" w:eastAsia="仿宋_GB2312"/>
                <w:color w:val="auto"/>
                <w:w w:val="105"/>
                <w:sz w:val="32"/>
                <w:szCs w:val="32"/>
              </w:rPr>
              <w:t>000</w:t>
            </w:r>
            <w:r>
              <w:rPr>
                <w:rFonts w:hint="eastAsia" w:ascii="Segoe UI Symbol" w:hAnsi="Segoe UI Symbol" w:eastAsia="Segoe UI Symbol" w:cs="Segoe UI Symbol"/>
                <w:color w:val="auto"/>
                <w:w w:val="105"/>
                <w:sz w:val="32"/>
                <w:szCs w:val="32"/>
              </w:rPr>
              <w:t>㎡</w:t>
            </w:r>
            <w:r>
              <w:rPr>
                <w:rFonts w:hint="eastAsia" w:ascii="仿宋_GB2312" w:eastAsia="仿宋_GB2312"/>
                <w:color w:val="auto"/>
                <w:w w:val="105"/>
                <w:sz w:val="32"/>
                <w:szCs w:val="32"/>
                <w:lang w:val="en-US" w:eastAsia="zh-CN"/>
              </w:rPr>
              <w:t xml:space="preserve"> </w:t>
            </w:r>
          </w:p>
        </w:tc>
        <w:tc>
          <w:tcPr>
            <w:tcW w:w="2808" w:type="dxa"/>
            <w:vAlign w:val="center"/>
          </w:tcPr>
          <w:p>
            <w:pPr>
              <w:tabs>
                <w:tab w:val="left" w:pos="1920"/>
              </w:tabs>
              <w:spacing w:line="560" w:lineRule="exact"/>
              <w:rPr>
                <w:rFonts w:ascii="仿宋_GB2312" w:eastAsia="仿宋_GB2312"/>
                <w:color w:val="auto"/>
                <w:w w:val="105"/>
                <w:sz w:val="32"/>
                <w:szCs w:val="32"/>
              </w:rPr>
            </w:pPr>
            <w:r>
              <w:rPr>
                <w:rFonts w:hint="eastAsia" w:ascii="仿宋_GB2312" w:eastAsia="仿宋_GB2312"/>
                <w:color w:val="auto"/>
                <w:w w:val="105"/>
                <w:sz w:val="32"/>
                <w:szCs w:val="32"/>
              </w:rPr>
              <w:t>设计费</w:t>
            </w:r>
            <w:r>
              <w:rPr>
                <w:rFonts w:hint="eastAsia" w:ascii="仿宋_GB2312" w:eastAsia="仿宋_GB2312"/>
                <w:color w:val="auto"/>
                <w:w w:val="105"/>
                <w:sz w:val="32"/>
                <w:szCs w:val="32"/>
                <w:lang w:eastAsia="zh-CN"/>
              </w:rPr>
              <w:t>、</w:t>
            </w:r>
            <w:r>
              <w:rPr>
                <w:rFonts w:hint="eastAsia" w:ascii="仿宋_GB2312" w:eastAsia="仿宋_GB2312"/>
                <w:color w:val="auto"/>
                <w:w w:val="105"/>
                <w:sz w:val="32"/>
                <w:szCs w:val="32"/>
              </w:rPr>
              <w:t>施工费</w:t>
            </w:r>
            <w:r>
              <w:rPr>
                <w:rFonts w:hint="eastAsia" w:ascii="仿宋_GB2312" w:eastAsia="仿宋_GB2312"/>
                <w:color w:val="auto"/>
                <w:w w:val="105"/>
                <w:sz w:val="32"/>
                <w:szCs w:val="32"/>
                <w:lang w:val="en-US" w:eastAsia="zh-CN"/>
              </w:rPr>
              <w:t>分项报价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3" w:hRule="atLeast"/>
          <w:jc w:val="center"/>
        </w:trPr>
        <w:tc>
          <w:tcPr>
            <w:tcW w:w="0" w:type="auto"/>
            <w:vMerge w:val="continue"/>
            <w:vAlign w:val="center"/>
          </w:tcPr>
          <w:p>
            <w:pPr>
              <w:spacing w:line="560" w:lineRule="exact"/>
              <w:rPr>
                <w:rFonts w:ascii="仿宋_GB2312" w:eastAsia="仿宋_GB2312"/>
                <w:color w:val="auto"/>
                <w:w w:val="105"/>
                <w:sz w:val="32"/>
                <w:szCs w:val="32"/>
              </w:rPr>
            </w:pPr>
          </w:p>
        </w:tc>
        <w:tc>
          <w:tcPr>
            <w:tcW w:w="0" w:type="auto"/>
            <w:vMerge w:val="restart"/>
            <w:vAlign w:val="center"/>
          </w:tcPr>
          <w:p>
            <w:pPr>
              <w:spacing w:line="560" w:lineRule="exact"/>
              <w:rPr>
                <w:rFonts w:ascii="仿宋_GB2312" w:eastAsia="仿宋_GB2312"/>
                <w:color w:val="auto"/>
                <w:w w:val="105"/>
                <w:sz w:val="32"/>
                <w:szCs w:val="32"/>
              </w:rPr>
            </w:pPr>
            <w:r>
              <w:rPr>
                <w:rFonts w:hint="eastAsia" w:ascii="仿宋_GB2312" w:eastAsia="仿宋_GB2312"/>
                <w:color w:val="auto"/>
                <w:w w:val="105"/>
                <w:sz w:val="32"/>
                <w:szCs w:val="32"/>
                <w:lang w:val="en-US" w:eastAsia="zh-CN"/>
              </w:rPr>
              <w:t>红色氛围</w:t>
            </w:r>
            <w:r>
              <w:rPr>
                <w:rFonts w:hint="eastAsia" w:ascii="仿宋_GB2312" w:eastAsia="仿宋_GB2312"/>
                <w:color w:val="auto"/>
                <w:w w:val="105"/>
                <w:sz w:val="32"/>
                <w:szCs w:val="32"/>
              </w:rPr>
              <w:t>景观提升 约</w:t>
            </w:r>
            <w:r>
              <w:rPr>
                <w:rFonts w:hint="eastAsia" w:ascii="仿宋_GB2312" w:eastAsia="仿宋_GB2312"/>
                <w:color w:val="auto"/>
                <w:w w:val="105"/>
                <w:sz w:val="32"/>
                <w:szCs w:val="32"/>
                <w:lang w:val="en-US" w:eastAsia="zh-CN"/>
              </w:rPr>
              <w:t>100</w:t>
            </w:r>
            <w:r>
              <w:rPr>
                <w:rFonts w:hint="eastAsia" w:ascii="Segoe UI Symbol" w:hAnsi="Segoe UI Symbol" w:eastAsia="Segoe UI Symbol" w:cs="Segoe UI Symbol"/>
                <w:color w:val="auto"/>
                <w:w w:val="105"/>
                <w:sz w:val="32"/>
                <w:szCs w:val="32"/>
              </w:rPr>
              <w:t>㎡</w:t>
            </w:r>
          </w:p>
        </w:tc>
        <w:tc>
          <w:tcPr>
            <w:tcW w:w="2808" w:type="dxa"/>
            <w:vAlign w:val="center"/>
          </w:tcPr>
          <w:p>
            <w:pPr>
              <w:spacing w:line="560" w:lineRule="exact"/>
              <w:rPr>
                <w:rFonts w:ascii="仿宋_GB2312" w:eastAsia="仿宋_GB2312"/>
                <w:color w:val="auto"/>
                <w:w w:val="105"/>
                <w:sz w:val="32"/>
                <w:szCs w:val="32"/>
              </w:rPr>
            </w:pPr>
            <w:r>
              <w:rPr>
                <w:rFonts w:hint="eastAsia" w:ascii="仿宋_GB2312" w:eastAsia="仿宋_GB2312"/>
                <w:color w:val="auto"/>
                <w:w w:val="105"/>
                <w:sz w:val="32"/>
                <w:szCs w:val="32"/>
              </w:rPr>
              <w:t>设计费</w:t>
            </w:r>
            <w:r>
              <w:rPr>
                <w:rFonts w:hint="eastAsia" w:ascii="仿宋_GB2312" w:eastAsia="仿宋_GB2312"/>
                <w:color w:val="auto"/>
                <w:w w:val="105"/>
                <w:sz w:val="32"/>
                <w:szCs w:val="32"/>
                <w:lang w:eastAsia="zh-CN"/>
              </w:rPr>
              <w:t>、</w:t>
            </w:r>
            <w:r>
              <w:rPr>
                <w:rFonts w:hint="eastAsia" w:ascii="仿宋_GB2312" w:eastAsia="仿宋_GB2312"/>
                <w:color w:val="auto"/>
                <w:w w:val="105"/>
                <w:sz w:val="32"/>
                <w:szCs w:val="32"/>
              </w:rPr>
              <w:t>施工费</w:t>
            </w:r>
            <w:r>
              <w:rPr>
                <w:rFonts w:hint="eastAsia" w:ascii="仿宋_GB2312" w:eastAsia="仿宋_GB2312"/>
                <w:color w:val="auto"/>
                <w:w w:val="105"/>
                <w:sz w:val="32"/>
                <w:szCs w:val="32"/>
                <w:lang w:val="en-US" w:eastAsia="zh-CN"/>
              </w:rPr>
              <w:t>分项报价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2" w:hRule="atLeast"/>
          <w:jc w:val="center"/>
        </w:trPr>
        <w:tc>
          <w:tcPr>
            <w:tcW w:w="0" w:type="auto"/>
            <w:vMerge w:val="continue"/>
            <w:vAlign w:val="center"/>
          </w:tcPr>
          <w:p>
            <w:pPr>
              <w:spacing w:line="560" w:lineRule="exact"/>
              <w:rPr>
                <w:rFonts w:ascii="仿宋_GB2312" w:eastAsia="仿宋_GB2312"/>
                <w:color w:val="auto"/>
                <w:w w:val="105"/>
                <w:sz w:val="32"/>
                <w:szCs w:val="32"/>
              </w:rPr>
            </w:pPr>
          </w:p>
        </w:tc>
        <w:tc>
          <w:tcPr>
            <w:tcW w:w="0" w:type="auto"/>
            <w:vMerge w:val="continue"/>
            <w:vAlign w:val="center"/>
          </w:tcPr>
          <w:p>
            <w:pPr>
              <w:spacing w:line="560" w:lineRule="exact"/>
              <w:rPr>
                <w:rFonts w:ascii="仿宋_GB2312" w:eastAsia="仿宋_GB2312"/>
                <w:color w:val="auto"/>
                <w:w w:val="105"/>
                <w:sz w:val="32"/>
                <w:szCs w:val="32"/>
              </w:rPr>
            </w:pPr>
          </w:p>
        </w:tc>
        <w:tc>
          <w:tcPr>
            <w:tcW w:w="2808" w:type="dxa"/>
            <w:vAlign w:val="center"/>
          </w:tcPr>
          <w:p>
            <w:pPr>
              <w:spacing w:line="560" w:lineRule="exact"/>
              <w:rPr>
                <w:rFonts w:ascii="仿宋_GB2312" w:eastAsia="仿宋_GB2312"/>
                <w:color w:val="auto"/>
                <w:w w:val="105"/>
                <w:sz w:val="32"/>
                <w:szCs w:val="32"/>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jc w:val="center"/>
        </w:trPr>
        <w:tc>
          <w:tcPr>
            <w:tcW w:w="0" w:type="auto"/>
            <w:vMerge w:val="continue"/>
            <w:vAlign w:val="center"/>
          </w:tcPr>
          <w:p>
            <w:pPr>
              <w:spacing w:line="560" w:lineRule="exact"/>
              <w:rPr>
                <w:rFonts w:ascii="仿宋_GB2312" w:eastAsia="仿宋_GB2312"/>
                <w:color w:val="auto"/>
                <w:w w:val="105"/>
                <w:sz w:val="32"/>
                <w:szCs w:val="32"/>
              </w:rPr>
            </w:pPr>
          </w:p>
        </w:tc>
        <w:tc>
          <w:tcPr>
            <w:tcW w:w="0" w:type="auto"/>
            <w:vMerge w:val="restart"/>
            <w:vAlign w:val="center"/>
          </w:tcPr>
          <w:p>
            <w:pPr>
              <w:spacing w:line="560" w:lineRule="exact"/>
              <w:rPr>
                <w:rFonts w:hint="default" w:ascii="仿宋_GB2312" w:eastAsia="仿宋_GB2312"/>
                <w:color w:val="auto"/>
                <w:w w:val="105"/>
                <w:sz w:val="32"/>
                <w:szCs w:val="32"/>
                <w:lang w:val="en-US" w:eastAsia="zh-CN"/>
              </w:rPr>
            </w:pPr>
            <w:r>
              <w:rPr>
                <w:rFonts w:hint="eastAsia" w:ascii="仿宋_GB2312" w:eastAsia="仿宋_GB2312"/>
                <w:color w:val="auto"/>
                <w:w w:val="105"/>
                <w:sz w:val="32"/>
                <w:szCs w:val="32"/>
                <w:lang w:val="en-US" w:eastAsia="zh-CN"/>
              </w:rPr>
              <w:t>樱花下区域景观提升 约500</w:t>
            </w:r>
            <w:r>
              <w:rPr>
                <w:rFonts w:hint="eastAsia" w:ascii="Segoe UI Symbol" w:hAnsi="Segoe UI Symbol" w:eastAsia="Segoe UI Symbol" w:cs="Segoe UI Symbol"/>
                <w:color w:val="auto"/>
                <w:w w:val="105"/>
                <w:sz w:val="32"/>
                <w:szCs w:val="32"/>
              </w:rPr>
              <w:t>㎡</w:t>
            </w:r>
          </w:p>
        </w:tc>
        <w:tc>
          <w:tcPr>
            <w:tcW w:w="2808" w:type="dxa"/>
            <w:vAlign w:val="center"/>
          </w:tcPr>
          <w:p>
            <w:pPr>
              <w:spacing w:line="560" w:lineRule="exact"/>
              <w:rPr>
                <w:rFonts w:ascii="仿宋_GB2312" w:eastAsia="仿宋_GB2312"/>
                <w:color w:val="auto"/>
                <w:w w:val="105"/>
                <w:sz w:val="32"/>
                <w:szCs w:val="32"/>
              </w:rPr>
            </w:pPr>
            <w:r>
              <w:rPr>
                <w:rFonts w:hint="eastAsia" w:ascii="仿宋_GB2312" w:eastAsia="仿宋_GB2312"/>
                <w:color w:val="auto"/>
                <w:w w:val="105"/>
                <w:sz w:val="32"/>
                <w:szCs w:val="32"/>
              </w:rPr>
              <w:t>设计费</w:t>
            </w:r>
            <w:r>
              <w:rPr>
                <w:rFonts w:hint="eastAsia" w:ascii="仿宋_GB2312" w:eastAsia="仿宋_GB2312"/>
                <w:color w:val="auto"/>
                <w:w w:val="105"/>
                <w:sz w:val="32"/>
                <w:szCs w:val="32"/>
                <w:lang w:eastAsia="zh-CN"/>
              </w:rPr>
              <w:t>、</w:t>
            </w:r>
            <w:r>
              <w:rPr>
                <w:rFonts w:hint="eastAsia" w:ascii="仿宋_GB2312" w:eastAsia="仿宋_GB2312"/>
                <w:color w:val="auto"/>
                <w:w w:val="105"/>
                <w:sz w:val="32"/>
                <w:szCs w:val="32"/>
              </w:rPr>
              <w:t>施工费</w:t>
            </w:r>
            <w:r>
              <w:rPr>
                <w:rFonts w:hint="eastAsia" w:ascii="仿宋_GB2312" w:eastAsia="仿宋_GB2312"/>
                <w:color w:val="auto"/>
                <w:w w:val="105"/>
                <w:sz w:val="32"/>
                <w:szCs w:val="32"/>
                <w:lang w:val="en-US" w:eastAsia="zh-CN"/>
              </w:rPr>
              <w:t>分项报价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0" w:hRule="atLeast"/>
          <w:jc w:val="center"/>
        </w:trPr>
        <w:tc>
          <w:tcPr>
            <w:tcW w:w="0" w:type="auto"/>
            <w:vMerge w:val="continue"/>
            <w:vAlign w:val="center"/>
          </w:tcPr>
          <w:p>
            <w:pPr>
              <w:spacing w:line="560" w:lineRule="exact"/>
              <w:rPr>
                <w:rFonts w:ascii="仿宋_GB2312" w:eastAsia="仿宋_GB2312"/>
                <w:color w:val="auto"/>
                <w:w w:val="105"/>
                <w:sz w:val="32"/>
                <w:szCs w:val="32"/>
              </w:rPr>
            </w:pPr>
          </w:p>
        </w:tc>
        <w:tc>
          <w:tcPr>
            <w:tcW w:w="0" w:type="auto"/>
            <w:vMerge w:val="continue"/>
            <w:vAlign w:val="center"/>
          </w:tcPr>
          <w:p>
            <w:pPr>
              <w:spacing w:line="560" w:lineRule="exact"/>
              <w:rPr>
                <w:rFonts w:ascii="仿宋_GB2312" w:eastAsia="仿宋_GB2312"/>
                <w:color w:val="auto"/>
                <w:w w:val="105"/>
                <w:sz w:val="32"/>
                <w:szCs w:val="32"/>
              </w:rPr>
            </w:pPr>
          </w:p>
        </w:tc>
        <w:tc>
          <w:tcPr>
            <w:tcW w:w="2808" w:type="dxa"/>
            <w:vAlign w:val="center"/>
          </w:tcPr>
          <w:p>
            <w:pPr>
              <w:spacing w:line="560" w:lineRule="exact"/>
              <w:rPr>
                <w:rFonts w:ascii="仿宋_GB2312" w:eastAsia="仿宋_GB2312"/>
                <w:color w:val="auto"/>
                <w:w w:val="105"/>
                <w:sz w:val="32"/>
                <w:szCs w:val="32"/>
              </w:rPr>
            </w:pPr>
          </w:p>
        </w:tc>
      </w:tr>
    </w:tbl>
    <w:p>
      <w:pPr>
        <w:spacing w:line="560" w:lineRule="exact"/>
        <w:rPr>
          <w:rFonts w:ascii="仿宋_GB2312" w:eastAsia="仿宋_GB2312" w:hAnsiTheme="minorEastAsia"/>
          <w:color w:val="auto"/>
          <w:sz w:val="32"/>
          <w:szCs w:val="32"/>
        </w:rPr>
      </w:pPr>
    </w:p>
    <w:p>
      <w:pPr>
        <w:spacing w:line="560" w:lineRule="exact"/>
        <w:rPr>
          <w:rFonts w:ascii="仿宋_GB2312" w:eastAsia="仿宋_GB2312" w:hAnsiTheme="minorEastAsia"/>
          <w:color w:val="auto"/>
          <w:sz w:val="32"/>
          <w:szCs w:val="32"/>
        </w:rPr>
      </w:pPr>
    </w:p>
    <w:p>
      <w:pPr>
        <w:spacing w:line="560" w:lineRule="exact"/>
        <w:rPr>
          <w:rFonts w:ascii="仿宋_GB2312" w:eastAsia="仿宋_GB2312" w:hAnsiTheme="minorEastAsia"/>
          <w:color w:val="auto"/>
          <w:sz w:val="32"/>
          <w:szCs w:val="32"/>
        </w:rPr>
      </w:pPr>
    </w:p>
    <w:p>
      <w:pPr>
        <w:spacing w:line="560" w:lineRule="exact"/>
        <w:rPr>
          <w:rFonts w:ascii="仿宋_GB2312" w:eastAsia="仿宋_GB2312" w:hAnsiTheme="minorEastAsia"/>
          <w:color w:val="auto"/>
          <w:sz w:val="32"/>
          <w:szCs w:val="32"/>
        </w:rPr>
      </w:pPr>
    </w:p>
    <w:p>
      <w:pPr>
        <w:spacing w:line="560" w:lineRule="exact"/>
        <w:rPr>
          <w:rFonts w:ascii="仿宋_GB2312" w:eastAsia="仿宋_GB2312" w:hAnsiTheme="minorEastAsia"/>
          <w:color w:val="auto"/>
          <w:sz w:val="32"/>
          <w:szCs w:val="32"/>
        </w:rPr>
      </w:pPr>
    </w:p>
    <w:p>
      <w:pPr>
        <w:rPr>
          <w:rFonts w:ascii="仿宋_GB2312" w:eastAsia="仿宋_GB2312" w:hAnsiTheme="minorEastAsia"/>
          <w:color w:val="auto"/>
          <w:sz w:val="32"/>
          <w:szCs w:val="32"/>
        </w:rPr>
      </w:pPr>
      <w:r>
        <w:rPr>
          <w:rFonts w:hint="eastAsia" w:ascii="仿宋_GB2312" w:eastAsia="仿宋_GB2312" w:hAnsiTheme="minorEastAsia"/>
          <w:color w:val="auto"/>
          <w:sz w:val="32"/>
          <w:szCs w:val="32"/>
        </w:rPr>
        <w:drawing>
          <wp:anchor distT="0" distB="0" distL="114300" distR="114300" simplePos="0" relativeHeight="251659264" behindDoc="0" locked="0" layoutInCell="1" allowOverlap="1">
            <wp:simplePos x="0" y="0"/>
            <wp:positionH relativeFrom="margin">
              <wp:align>right</wp:align>
            </wp:positionH>
            <wp:positionV relativeFrom="paragraph">
              <wp:posOffset>-363220</wp:posOffset>
            </wp:positionV>
            <wp:extent cx="2422525" cy="3234690"/>
            <wp:effectExtent l="0" t="6032"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rot="5400000">
                      <a:off x="0" y="0"/>
                      <a:ext cx="2422564" cy="3234743"/>
                    </a:xfrm>
                    <a:prstGeom prst="rect">
                      <a:avLst/>
                    </a:prstGeom>
                    <a:noFill/>
                    <a:ln>
                      <a:noFill/>
                    </a:ln>
                  </pic:spPr>
                </pic:pic>
              </a:graphicData>
            </a:graphic>
          </wp:anchor>
        </w:drawing>
      </w:r>
    </w:p>
    <w:p>
      <w:pPr>
        <w:rPr>
          <w:rFonts w:ascii="仿宋_GB2312" w:eastAsia="仿宋_GB2312" w:hAnsiTheme="minorEastAsia"/>
          <w:color w:val="auto"/>
          <w:sz w:val="32"/>
          <w:szCs w:val="32"/>
        </w:rPr>
      </w:pPr>
      <w:r>
        <w:rPr>
          <w:rFonts w:hint="eastAsia" w:ascii="仿宋_GB2312" w:eastAsia="仿宋_GB2312" w:hAnsiTheme="minorEastAsia"/>
          <w:color w:val="auto"/>
          <w:sz w:val="32"/>
          <w:szCs w:val="32"/>
        </w:rPr>
        <w:drawing>
          <wp:anchor distT="0" distB="0" distL="114300" distR="114300" simplePos="0" relativeHeight="251660288" behindDoc="0" locked="0" layoutInCell="1" allowOverlap="1">
            <wp:simplePos x="0" y="0"/>
            <wp:positionH relativeFrom="margin">
              <wp:posOffset>-363855</wp:posOffset>
            </wp:positionH>
            <wp:positionV relativeFrom="paragraph">
              <wp:posOffset>185420</wp:posOffset>
            </wp:positionV>
            <wp:extent cx="3034030" cy="2275840"/>
            <wp:effectExtent l="0" t="1905" r="0" b="0"/>
            <wp:wrapNone/>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rot="5400000">
                      <a:off x="0" y="0"/>
                      <a:ext cx="3033934" cy="2275536"/>
                    </a:xfrm>
                    <a:prstGeom prst="rect">
                      <a:avLst/>
                    </a:prstGeom>
                    <a:noFill/>
                    <a:ln>
                      <a:noFill/>
                    </a:ln>
                  </pic:spPr>
                </pic:pic>
              </a:graphicData>
            </a:graphic>
          </wp:anchor>
        </w:drawing>
      </w: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r>
        <w:rPr>
          <w:rFonts w:ascii="仿宋_GB2312" w:eastAsia="仿宋_GB2312" w:hAnsiTheme="minorEastAsia"/>
          <w:color w:val="auto"/>
          <w:sz w:val="32"/>
          <w:szCs w:val="32"/>
        </w:rPr>
        <mc:AlternateContent>
          <mc:Choice Requires="wps">
            <w:drawing>
              <wp:anchor distT="0" distB="0" distL="114300" distR="114300" simplePos="0" relativeHeight="251663360" behindDoc="0" locked="0" layoutInCell="1" allowOverlap="1">
                <wp:simplePos x="0" y="0"/>
                <wp:positionH relativeFrom="column">
                  <wp:posOffset>2339340</wp:posOffset>
                </wp:positionH>
                <wp:positionV relativeFrom="paragraph">
                  <wp:posOffset>373380</wp:posOffset>
                </wp:positionV>
                <wp:extent cx="527050" cy="304800"/>
                <wp:effectExtent l="0" t="114300" r="0" b="114300"/>
                <wp:wrapNone/>
                <wp:docPr id="7" name="文本框 7"/>
                <wp:cNvGraphicFramePr/>
                <a:graphic xmlns:a="http://schemas.openxmlformats.org/drawingml/2006/main">
                  <a:graphicData uri="http://schemas.microsoft.com/office/word/2010/wordprocessingShape">
                    <wps:wsp>
                      <wps:cNvSpPr txBox="1"/>
                      <wps:spPr>
                        <a:xfrm rot="5400000">
                          <a:off x="0" y="0"/>
                          <a:ext cx="527050" cy="304800"/>
                        </a:xfrm>
                        <a:prstGeom prst="rect">
                          <a:avLst/>
                        </a:prstGeom>
                        <a:solidFill>
                          <a:schemeClr val="lt1"/>
                        </a:solidFill>
                        <a:ln w="6350">
                          <a:solidFill>
                            <a:prstClr val="black"/>
                          </a:solidFill>
                        </a:ln>
                      </wps:spPr>
                      <wps:txbx>
                        <w:txbxContent>
                          <w:p>
                            <w:pPr>
                              <w:rPr>
                                <w:rFonts w:ascii="仿宋_GB2312" w:eastAsia="仿宋_GB2312"/>
                              </w:rPr>
                            </w:pPr>
                            <w:r>
                              <w:rPr>
                                <w:rFonts w:hint="eastAsia" w:ascii="仿宋_GB2312" w:eastAsia="仿宋_GB2312"/>
                              </w:rPr>
                              <w:t>雪松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84.2pt;margin-top:29.4pt;height:24pt;width:41.5pt;rotation:5898240f;z-index:251663360;mso-width-relative:page;mso-height-relative:page;" fillcolor="#FFFFFF [3201]" filled="t" stroked="t" coordsize="21600,21600" o:gfxdata="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BYA&#10;AABkcnMvUEsBAhQAFAAAAAgAh07iQMbetbDaAAAACgEAAA8AAAAAAAAAAQAgAAAAOAAAAGRycy9k&#10;b3ducmV2LnhtbFBLAQIUABQAAAAIAIdO4kBVUEygXAIAAMQEAAAOAAAAAAAAAAEAIAAAAD8BAABk&#10;cnMvZTJvRG9jLnhtbFBLBQYAAAAABgAGAFkBAAANBgAAAAA=&#10;">
                <v:fill on="t" focussize="0,0"/>
                <v:stroke weight="0.5pt" color="#000000" joinstyle="round"/>
                <v:imagedata o:title=""/>
                <o:lock v:ext="edit" aspectratio="f"/>
                <v:textbox>
                  <w:txbxContent>
                    <w:p>
                      <w:pPr>
                        <w:rPr>
                          <w:rFonts w:ascii="仿宋_GB2312" w:eastAsia="仿宋_GB2312"/>
                        </w:rPr>
                      </w:pPr>
                      <w:r>
                        <w:rPr>
                          <w:rFonts w:hint="eastAsia" w:ascii="仿宋_GB2312" w:eastAsia="仿宋_GB2312"/>
                        </w:rPr>
                        <w:t>雪松</w:t>
                      </w:r>
                    </w:p>
                  </w:txbxContent>
                </v:textbox>
              </v:shape>
            </w:pict>
          </mc:Fallback>
        </mc:AlternateContent>
      </w: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r>
        <w:rPr>
          <w:rFonts w:ascii="仿宋_GB2312" w:eastAsia="仿宋_GB2312" w:hAnsiTheme="minorEastAsia"/>
          <w:color w:val="auto"/>
          <w:sz w:val="32"/>
          <w:szCs w:val="32"/>
        </w:rPr>
        <mc:AlternateContent>
          <mc:Choice Requires="wps">
            <w:drawing>
              <wp:anchor distT="0" distB="0" distL="114300" distR="114300" simplePos="0" relativeHeight="251664384" behindDoc="0" locked="0" layoutInCell="1" allowOverlap="1">
                <wp:simplePos x="0" y="0"/>
                <wp:positionH relativeFrom="column">
                  <wp:posOffset>1905</wp:posOffset>
                </wp:positionH>
                <wp:positionV relativeFrom="paragraph">
                  <wp:posOffset>341630</wp:posOffset>
                </wp:positionV>
                <wp:extent cx="527050" cy="304800"/>
                <wp:effectExtent l="0" t="114300" r="0" b="114300"/>
                <wp:wrapNone/>
                <wp:docPr id="8" name="文本框 8"/>
                <wp:cNvGraphicFramePr/>
                <a:graphic xmlns:a="http://schemas.openxmlformats.org/drawingml/2006/main">
                  <a:graphicData uri="http://schemas.microsoft.com/office/word/2010/wordprocessingShape">
                    <wps:wsp>
                      <wps:cNvSpPr txBox="1"/>
                      <wps:spPr>
                        <a:xfrm rot="5400000">
                          <a:off x="0" y="0"/>
                          <a:ext cx="527050" cy="304800"/>
                        </a:xfrm>
                        <a:prstGeom prst="rect">
                          <a:avLst/>
                        </a:prstGeom>
                        <a:solidFill>
                          <a:schemeClr val="lt1"/>
                        </a:solidFill>
                        <a:ln w="6350">
                          <a:solidFill>
                            <a:prstClr val="black"/>
                          </a:solidFill>
                        </a:ln>
                      </wps:spPr>
                      <wps:txbx>
                        <w:txbxContent>
                          <w:p>
                            <w:pPr>
                              <w:rPr>
                                <w:rFonts w:ascii="仿宋_GB2312" w:eastAsia="仿宋_GB2312"/>
                              </w:rPr>
                            </w:pPr>
                            <w:r>
                              <w:rPr>
                                <w:rFonts w:hint="eastAsia" w:ascii="仿宋_GB2312" w:eastAsia="仿宋_GB2312"/>
                              </w:rPr>
                              <w:t>朴树</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0.15pt;margin-top:26.9pt;height:24pt;width:41.5pt;rotation:5898240f;z-index:251664384;mso-width-relative:page;mso-height-relative:page;" fillcolor="#FFFFFF [3201]" filled="t" stroked="t" coordsize="21600,21600" o:gfxdata="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WAAAAZHJz&#10;L1BLAQIUABQAAAAIAIdO4kCGe9Ix1QAAAAYBAAAPAAAAAAAAAAEAIAAAADgAAABkcnMvZG93bnJl&#10;di54bWxQSwECFAAUAAAACACHTuJAdK84qVwCAADEBAAADgAAAAAAAAABACAAAAA6AQAAZHJzL2Uy&#10;b0RvYy54bWxQSwUGAAAAAAYABgBZAQAACAYAAAAA&#10;">
                <v:fill on="t" focussize="0,0"/>
                <v:stroke weight="0.5pt" color="#000000" joinstyle="round"/>
                <v:imagedata o:title=""/>
                <o:lock v:ext="edit" aspectratio="f"/>
                <v:textbox>
                  <w:txbxContent>
                    <w:p>
                      <w:pPr>
                        <w:rPr>
                          <w:rFonts w:ascii="仿宋_GB2312" w:eastAsia="仿宋_GB2312"/>
                        </w:rPr>
                      </w:pPr>
                      <w:r>
                        <w:rPr>
                          <w:rFonts w:hint="eastAsia" w:ascii="仿宋_GB2312" w:eastAsia="仿宋_GB2312"/>
                        </w:rPr>
                        <w:t>朴树</w:t>
                      </w:r>
                    </w:p>
                  </w:txbxContent>
                </v:textbox>
              </v:shape>
            </w:pict>
          </mc:Fallback>
        </mc:AlternateContent>
      </w:r>
    </w:p>
    <w:p>
      <w:pPr>
        <w:rPr>
          <w:rFonts w:ascii="仿宋_GB2312" w:eastAsia="仿宋_GB2312" w:hAnsiTheme="minorEastAsia"/>
          <w:color w:val="auto"/>
          <w:sz w:val="32"/>
          <w:szCs w:val="32"/>
        </w:rPr>
      </w:pPr>
      <w:r>
        <w:rPr>
          <w:rFonts w:hint="eastAsia" w:ascii="仿宋_GB2312" w:eastAsia="仿宋_GB2312" w:hAnsiTheme="minorEastAsia"/>
          <w:color w:val="auto"/>
          <w:sz w:val="32"/>
          <w:szCs w:val="32"/>
        </w:rPr>
        <w:drawing>
          <wp:anchor distT="0" distB="0" distL="114300" distR="114300" simplePos="0" relativeHeight="251661312" behindDoc="0" locked="0" layoutInCell="1" allowOverlap="1">
            <wp:simplePos x="0" y="0"/>
            <wp:positionH relativeFrom="margin">
              <wp:align>right</wp:align>
            </wp:positionH>
            <wp:positionV relativeFrom="paragraph">
              <wp:posOffset>326390</wp:posOffset>
            </wp:positionV>
            <wp:extent cx="4305300" cy="3228975"/>
            <wp:effectExtent l="4762" t="0" r="4763" b="4762"/>
            <wp:wrapNone/>
            <wp:docPr id="1" name="图片 1" descr="建筑旁的树&#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建筑旁的树&#10;&#10;描述已自动生成"/>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rot="5400000">
                      <a:off x="0" y="0"/>
                      <a:ext cx="4305300" cy="3228975"/>
                    </a:xfrm>
                    <a:prstGeom prst="rect">
                      <a:avLst/>
                    </a:prstGeom>
                    <a:noFill/>
                    <a:ln>
                      <a:noFill/>
                    </a:ln>
                  </pic:spPr>
                </pic:pic>
              </a:graphicData>
            </a:graphic>
          </wp:anchor>
        </w:drawing>
      </w: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r>
        <w:rPr>
          <w:rFonts w:ascii="仿宋_GB2312" w:eastAsia="仿宋_GB2312" w:hAnsiTheme="minorEastAsia"/>
          <w:color w:val="auto"/>
          <w:sz w:val="32"/>
          <w:szCs w:val="32"/>
        </w:rPr>
        <mc:AlternateContent>
          <mc:Choice Requires="wps">
            <w:drawing>
              <wp:anchor distT="0" distB="0" distL="114300" distR="114300" simplePos="0" relativeHeight="251672576" behindDoc="0" locked="0" layoutInCell="1" allowOverlap="1">
                <wp:simplePos x="0" y="0"/>
                <wp:positionH relativeFrom="column">
                  <wp:posOffset>5124450</wp:posOffset>
                </wp:positionH>
                <wp:positionV relativeFrom="paragraph">
                  <wp:posOffset>307975</wp:posOffset>
                </wp:positionV>
                <wp:extent cx="1479550" cy="304800"/>
                <wp:effectExtent l="0" t="590550" r="0" b="590550"/>
                <wp:wrapNone/>
                <wp:docPr id="12" name="文本框 12"/>
                <wp:cNvGraphicFramePr/>
                <a:graphic xmlns:a="http://schemas.openxmlformats.org/drawingml/2006/main">
                  <a:graphicData uri="http://schemas.microsoft.com/office/word/2010/wordprocessingShape">
                    <wps:wsp>
                      <wps:cNvSpPr txBox="1"/>
                      <wps:spPr>
                        <a:xfrm rot="5400000">
                          <a:off x="0" y="0"/>
                          <a:ext cx="1479550" cy="304800"/>
                        </a:xfrm>
                        <a:prstGeom prst="rect">
                          <a:avLst/>
                        </a:prstGeom>
                        <a:solidFill>
                          <a:schemeClr val="lt1"/>
                        </a:solidFill>
                        <a:ln w="6350">
                          <a:solidFill>
                            <a:prstClr val="black"/>
                          </a:solidFill>
                        </a:ln>
                      </wps:spPr>
                      <wps:txbx>
                        <w:txbxContent>
                          <w:p>
                            <w:pPr>
                              <w:jc w:val="center"/>
                              <w:rPr>
                                <w:rFonts w:ascii="仿宋_GB2312" w:eastAsia="仿宋_GB2312"/>
                              </w:rPr>
                            </w:pPr>
                            <w:r>
                              <w:rPr>
                                <w:rFonts w:hint="eastAsia" w:ascii="仿宋_GB2312" w:eastAsia="仿宋_GB2312"/>
                              </w:rPr>
                              <w:t>古树名木复壮</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03.5pt;margin-top:24.25pt;height:24pt;width:116.5pt;rotation:5898240f;z-index:251672576;mso-width-relative:page;mso-height-relative:page;" fillcolor="#FFFFFF [3201]" filled="t" stroked="t" coordsize="21600,21600" o:gfxdata="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">
                <v:fill on="t" focussize="0,0"/>
                <v:stroke weight="0.5pt" color="#000000" joinstyle="round"/>
                <v:imagedata o:title=""/>
                <o:lock v:ext="edit" aspectratio="f"/>
                <v:textbox>
                  <w:txbxContent>
                    <w:p>
                      <w:pPr>
                        <w:jc w:val="center"/>
                        <w:rPr>
                          <w:rFonts w:ascii="仿宋_GB2312" w:eastAsia="仿宋_GB2312"/>
                        </w:rPr>
                      </w:pPr>
                      <w:r>
                        <w:rPr>
                          <w:rFonts w:hint="eastAsia" w:ascii="仿宋_GB2312" w:eastAsia="仿宋_GB2312"/>
                        </w:rPr>
                        <w:t>古树名木复壮</w:t>
                      </w:r>
                    </w:p>
                  </w:txbxContent>
                </v:textbox>
              </v:shape>
            </w:pict>
          </mc:Fallback>
        </mc:AlternateContent>
      </w:r>
      <w:r>
        <w:rPr>
          <w:rFonts w:hint="eastAsia" w:ascii="仿宋_GB2312" w:eastAsia="仿宋_GB2312" w:hAnsiTheme="minorEastAsia"/>
          <w:color w:val="auto"/>
          <w:sz w:val="32"/>
          <w:szCs w:val="32"/>
        </w:rPr>
        <w:drawing>
          <wp:anchor distT="0" distB="0" distL="114300" distR="114300" simplePos="0" relativeHeight="251662336" behindDoc="0" locked="0" layoutInCell="1" allowOverlap="1">
            <wp:simplePos x="0" y="0"/>
            <wp:positionH relativeFrom="margin">
              <wp:posOffset>-379730</wp:posOffset>
            </wp:positionH>
            <wp:positionV relativeFrom="paragraph">
              <wp:posOffset>146685</wp:posOffset>
            </wp:positionV>
            <wp:extent cx="3028950" cy="2263775"/>
            <wp:effectExtent l="1587" t="0" r="1588" b="1587"/>
            <wp:wrapNone/>
            <wp:docPr id="5" name="图片 5" descr="草地上的大树&#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草地上的大树&#10;&#10;描述已自动生成"/>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rot="5400000">
                      <a:off x="0" y="0"/>
                      <a:ext cx="3028950" cy="2263775"/>
                    </a:xfrm>
                    <a:prstGeom prst="rect">
                      <a:avLst/>
                    </a:prstGeom>
                    <a:noFill/>
                    <a:ln>
                      <a:noFill/>
                    </a:ln>
                  </pic:spPr>
                </pic:pic>
              </a:graphicData>
            </a:graphic>
          </wp:anchor>
        </w:drawing>
      </w: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r>
        <w:rPr>
          <w:rFonts w:ascii="仿宋_GB2312" w:eastAsia="仿宋_GB2312" w:hAnsiTheme="minorEastAsia"/>
          <w:color w:val="auto"/>
          <w:sz w:val="32"/>
          <w:szCs w:val="32"/>
        </w:rPr>
        <mc:AlternateContent>
          <mc:Choice Requires="wps">
            <w:drawing>
              <wp:anchor distT="0" distB="0" distL="114300" distR="114300" simplePos="0" relativeHeight="251665408" behindDoc="0" locked="0" layoutInCell="1" allowOverlap="1">
                <wp:simplePos x="0" y="0"/>
                <wp:positionH relativeFrom="column">
                  <wp:posOffset>-51435</wp:posOffset>
                </wp:positionH>
                <wp:positionV relativeFrom="paragraph">
                  <wp:posOffset>309880</wp:posOffset>
                </wp:positionV>
                <wp:extent cx="527050" cy="304800"/>
                <wp:effectExtent l="0" t="114300" r="0" b="114300"/>
                <wp:wrapNone/>
                <wp:docPr id="9" name="文本框 9"/>
                <wp:cNvGraphicFramePr/>
                <a:graphic xmlns:a="http://schemas.openxmlformats.org/drawingml/2006/main">
                  <a:graphicData uri="http://schemas.microsoft.com/office/word/2010/wordprocessingShape">
                    <wps:wsp>
                      <wps:cNvSpPr txBox="1"/>
                      <wps:spPr>
                        <a:xfrm rot="5400000">
                          <a:off x="0" y="0"/>
                          <a:ext cx="527050" cy="304800"/>
                        </a:xfrm>
                        <a:prstGeom prst="rect">
                          <a:avLst/>
                        </a:prstGeom>
                        <a:solidFill>
                          <a:schemeClr val="lt1"/>
                        </a:solidFill>
                        <a:ln w="6350">
                          <a:solidFill>
                            <a:prstClr val="black"/>
                          </a:solidFill>
                        </a:ln>
                      </wps:spPr>
                      <wps:txbx>
                        <w:txbxContent>
                          <w:p>
                            <w:pPr>
                              <w:rPr>
                                <w:rFonts w:ascii="仿宋_GB2312" w:eastAsia="仿宋_GB2312"/>
                              </w:rPr>
                            </w:pPr>
                            <w:r>
                              <w:rPr>
                                <w:rFonts w:hint="eastAsia" w:ascii="仿宋_GB2312" w:eastAsia="仿宋_GB2312"/>
                              </w:rPr>
                              <w:t>黄杨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05pt;margin-top:24.4pt;height:24pt;width:41.5pt;rotation:5898240f;z-index:251665408;mso-width-relative:page;mso-height-relative:page;" fillcolor="#FFFFFF [3201]" filled="t" stroked="t" coordsize="21600,21600" o:gfxdata="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BYA&#10;AABkcnMvUEsBAhQAFAAAAAgAh07iQDM/cZXZAAAABwEAAA8AAAAAAAAAAQAgAAAAOAAAAGRycy9k&#10;b3ducmV2LnhtbFBLAQIUABQAAAAIAIdO4kAyFSvFXQIAAMQEAAAOAAAAAAAAAAEAIAAAAD4BAABk&#10;cnMvZTJvRG9jLnhtbFBLBQYAAAAABgAGAFkBAAANBgAAAAA=&#10;">
                <v:fill on="t" focussize="0,0"/>
                <v:stroke weight="0.5pt" color="#000000" joinstyle="round"/>
                <v:imagedata o:title=""/>
                <o:lock v:ext="edit" aspectratio="f"/>
                <v:textbox>
                  <w:txbxContent>
                    <w:p>
                      <w:pPr>
                        <w:rPr>
                          <w:rFonts w:ascii="仿宋_GB2312" w:eastAsia="仿宋_GB2312"/>
                        </w:rPr>
                      </w:pPr>
                      <w:r>
                        <w:rPr>
                          <w:rFonts w:hint="eastAsia" w:ascii="仿宋_GB2312" w:eastAsia="仿宋_GB2312"/>
                        </w:rPr>
                        <w:t>黄杨</w:t>
                      </w:r>
                    </w:p>
                  </w:txbxContent>
                </v:textbox>
              </v:shape>
            </w:pict>
          </mc:Fallback>
        </mc:AlternateContent>
      </w:r>
    </w:p>
    <w:p>
      <w:pPr>
        <w:rPr>
          <w:rFonts w:ascii="仿宋_GB2312" w:eastAsia="仿宋_GB2312" w:hAnsiTheme="minorEastAsia"/>
          <w:color w:val="auto"/>
          <w:sz w:val="32"/>
          <w:szCs w:val="32"/>
        </w:rPr>
      </w:pPr>
      <w:r>
        <w:rPr>
          <w:rFonts w:ascii="仿宋_GB2312" w:eastAsia="仿宋_GB2312" w:hAnsiTheme="minorEastAsia"/>
          <w:color w:val="auto"/>
          <w:sz w:val="32"/>
          <w:szCs w:val="32"/>
        </w:rPr>
        <mc:AlternateContent>
          <mc:Choice Requires="wps">
            <w:drawing>
              <wp:anchor distT="0" distB="0" distL="114300" distR="114300" simplePos="0" relativeHeight="251666432" behindDoc="0" locked="0" layoutInCell="1" allowOverlap="1">
                <wp:simplePos x="0" y="0"/>
                <wp:positionH relativeFrom="column">
                  <wp:posOffset>2278380</wp:posOffset>
                </wp:positionH>
                <wp:positionV relativeFrom="paragraph">
                  <wp:posOffset>238760</wp:posOffset>
                </wp:positionV>
                <wp:extent cx="752475" cy="304800"/>
                <wp:effectExtent l="0" t="228600" r="0" b="228600"/>
                <wp:wrapNone/>
                <wp:docPr id="10" name="文本框 10"/>
                <wp:cNvGraphicFramePr/>
                <a:graphic xmlns:a="http://schemas.openxmlformats.org/drawingml/2006/main">
                  <a:graphicData uri="http://schemas.microsoft.com/office/word/2010/wordprocessingShape">
                    <wps:wsp>
                      <wps:cNvSpPr txBox="1"/>
                      <wps:spPr>
                        <a:xfrm rot="5400000">
                          <a:off x="0" y="0"/>
                          <a:ext cx="752475" cy="304800"/>
                        </a:xfrm>
                        <a:prstGeom prst="rect">
                          <a:avLst/>
                        </a:prstGeom>
                        <a:solidFill>
                          <a:schemeClr val="lt1"/>
                        </a:solidFill>
                        <a:ln w="6350">
                          <a:solidFill>
                            <a:prstClr val="black"/>
                          </a:solidFill>
                        </a:ln>
                      </wps:spPr>
                      <wps:txbx>
                        <w:txbxContent>
                          <w:p>
                            <w:pPr>
                              <w:rPr>
                                <w:rFonts w:ascii="仿宋_GB2312" w:eastAsia="仿宋_GB2312"/>
                              </w:rPr>
                            </w:pPr>
                            <w:r>
                              <w:rPr>
                                <w:rFonts w:hint="eastAsia" w:ascii="仿宋_GB2312" w:eastAsia="仿宋_GB2312"/>
                              </w:rPr>
                              <w:t>白皮松</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79.4pt;margin-top:18.8pt;height:24pt;width:59.25pt;rotation:5898240f;z-index:251666432;mso-width-relative:page;mso-height-relative:page;" fillcolor="#FFFFFF [3201]" filled="t" stroked="t" coordsize="21600,21600" o:gfxdata="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">
                <v:fill on="t" focussize="0,0"/>
                <v:stroke weight="0.5pt" color="#000000" joinstyle="round"/>
                <v:imagedata o:title=""/>
                <o:lock v:ext="edit" aspectratio="f"/>
                <v:textbox>
                  <w:txbxContent>
                    <w:p>
                      <w:pPr>
                        <w:rPr>
                          <w:rFonts w:ascii="仿宋_GB2312" w:eastAsia="仿宋_GB2312"/>
                        </w:rPr>
                      </w:pPr>
                      <w:r>
                        <w:rPr>
                          <w:rFonts w:hint="eastAsia" w:ascii="仿宋_GB2312" w:eastAsia="仿宋_GB2312"/>
                        </w:rPr>
                        <w:t>白皮松</w:t>
                      </w:r>
                    </w:p>
                  </w:txbxContent>
                </v:textbox>
              </v:shape>
            </w:pict>
          </mc:Fallback>
        </mc:AlternateContent>
      </w: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r>
        <w:rPr>
          <w:rFonts w:ascii="仿宋_GB2312" w:eastAsia="仿宋_GB2312" w:hAnsiTheme="minorEastAsia"/>
          <w:color w:val="auto"/>
          <w:sz w:val="32"/>
          <w:szCs w:val="32"/>
        </w:rPr>
        <mc:AlternateContent>
          <mc:Choice Requires="wps">
            <w:drawing>
              <wp:anchor distT="0" distB="0" distL="114300" distR="114300" simplePos="0" relativeHeight="251667456" behindDoc="0" locked="0" layoutInCell="1" allowOverlap="1">
                <wp:simplePos x="0" y="0"/>
                <wp:positionH relativeFrom="column">
                  <wp:posOffset>4820285</wp:posOffset>
                </wp:positionH>
                <wp:positionV relativeFrom="paragraph">
                  <wp:posOffset>3733165</wp:posOffset>
                </wp:positionV>
                <wp:extent cx="1546225" cy="304800"/>
                <wp:effectExtent l="0" t="628650" r="0" b="628650"/>
                <wp:wrapNone/>
                <wp:docPr id="11" name="文本框 11"/>
                <wp:cNvGraphicFramePr/>
                <a:graphic xmlns:a="http://schemas.openxmlformats.org/drawingml/2006/main">
                  <a:graphicData uri="http://schemas.microsoft.com/office/word/2010/wordprocessingShape">
                    <wps:wsp>
                      <wps:cNvSpPr txBox="1"/>
                      <wps:spPr>
                        <a:xfrm rot="5400000">
                          <a:off x="0" y="0"/>
                          <a:ext cx="1546225" cy="304800"/>
                        </a:xfrm>
                        <a:prstGeom prst="rect">
                          <a:avLst/>
                        </a:prstGeom>
                        <a:solidFill>
                          <a:schemeClr val="lt1"/>
                        </a:solidFill>
                        <a:ln w="6350">
                          <a:solidFill>
                            <a:prstClr val="black"/>
                          </a:solidFill>
                        </a:ln>
                      </wps:spPr>
                      <wps:txbx>
                        <w:txbxContent>
                          <w:p>
                            <w:pPr>
                              <w:jc w:val="center"/>
                              <w:rPr>
                                <w:rFonts w:ascii="仿宋_GB2312" w:eastAsia="仿宋_GB2312"/>
                              </w:rPr>
                            </w:pPr>
                            <w:r>
                              <w:rPr>
                                <w:rFonts w:hint="eastAsia" w:ascii="仿宋_GB2312" w:eastAsia="仿宋_GB2312"/>
                              </w:rPr>
                              <w:t>往年清明绿化专项示意</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79.55pt;margin-top:293.95pt;height:24pt;width:121.75pt;rotation:5898240f;z-index:251667456;mso-width-relative:page;mso-height-relative:page;" fillcolor="#FFFFFF [3201]" filled="t" stroked="t" coordsize="21600,21600" o:gfxdata="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WAAAAZHJzL1BLAQIUABQAAAAIAIdO4kDXXHnB3QAAAAwBAAAPAAAAAAAAAAEAIAAAADgA&#10;AABkcnMvZG93bnJldi54bWxQSwECFAAUAAAACACHTuJAv9z1i2ACAADHBAAADgAAAAAAAAABACAA&#10;AABCAQAAZHJzL2Uyb0RvYy54bWxQSwUGAAAAAAYABgBZAQAAFAYAAAAA&#10;">
                <v:fill on="t" focussize="0,0"/>
                <v:stroke weight="0.5pt" color="#000000" joinstyle="round"/>
                <v:imagedata o:title=""/>
                <o:lock v:ext="edit" aspectratio="f"/>
                <v:textbox>
                  <w:txbxContent>
                    <w:p>
                      <w:pPr>
                        <w:jc w:val="center"/>
                        <w:rPr>
                          <w:rFonts w:ascii="仿宋_GB2312" w:eastAsia="仿宋_GB2312"/>
                        </w:rPr>
                      </w:pPr>
                      <w:r>
                        <w:rPr>
                          <w:rFonts w:hint="eastAsia" w:ascii="仿宋_GB2312" w:eastAsia="仿宋_GB2312"/>
                        </w:rPr>
                        <w:t>往年清明绿化专项示意</w:t>
                      </w:r>
                    </w:p>
                  </w:txbxContent>
                </v:textbox>
              </v:shape>
            </w:pict>
          </mc:Fallback>
        </mc:AlternateContent>
      </w:r>
      <w:r>
        <w:rPr>
          <w:rFonts w:hint="eastAsia" w:ascii="仿宋_GB2312" w:eastAsia="仿宋_GB2312" w:hAnsiTheme="minorEastAsia"/>
          <w:color w:val="auto"/>
          <w:sz w:val="32"/>
          <w:szCs w:val="32"/>
        </w:rPr>
        <w:drawing>
          <wp:inline distT="0" distB="0" distL="0" distR="0">
            <wp:extent cx="7752080" cy="4354830"/>
            <wp:effectExtent l="3175" t="0" r="4445" b="444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2" cstate="print">
                      <a:extLst>
                        <a:ext uri="{BEBA8EAE-BF5A-486C-A8C5-ECC9F3942E4B}">
                          <a14:imgProps xmlns:a14="http://schemas.microsoft.com/office/drawing/2010/main">
                            <a14:imgLayer r:embed="rId13">
                              <a14:imgEffect>
                                <a14:brightnessContrast bright="-20000"/>
                              </a14:imgEffect>
                            </a14:imgLayer>
                          </a14:imgProps>
                        </a:ext>
                        <a:ext uri="{28A0092B-C50C-407E-A947-70E740481C1C}">
                          <a14:useLocalDpi xmlns:a14="http://schemas.microsoft.com/office/drawing/2010/main" val="0"/>
                        </a:ext>
                      </a:extLst>
                    </a:blip>
                    <a:srcRect l="214" t="21418" r="11788" b="12661"/>
                    <a:stretch>
                      <a:fillRect/>
                    </a:stretch>
                  </pic:blipFill>
                  <pic:spPr>
                    <a:xfrm rot="5400000">
                      <a:off x="0" y="0"/>
                      <a:ext cx="7768970" cy="4364777"/>
                    </a:xfrm>
                    <a:prstGeom prst="rect">
                      <a:avLst/>
                    </a:prstGeom>
                  </pic:spPr>
                </pic:pic>
              </a:graphicData>
            </a:graphic>
          </wp:inline>
        </w:drawing>
      </w:r>
    </w:p>
    <w:p>
      <w:pPr>
        <w:rPr>
          <w:rFonts w:ascii="仿宋_GB2312" w:eastAsia="仿宋_GB2312" w:hAnsiTheme="minorEastAsia"/>
          <w:color w:val="auto"/>
          <w:sz w:val="32"/>
          <w:szCs w:val="32"/>
        </w:rPr>
      </w:pPr>
      <w:r>
        <w:rPr>
          <w:rFonts w:ascii="仿宋_GB2312" w:eastAsia="仿宋_GB2312" w:hAnsiTheme="minorEastAsia"/>
          <w:color w:val="auto"/>
          <w:sz w:val="32"/>
          <w:szCs w:val="32"/>
        </w:rPr>
        <mc:AlternateContent>
          <mc:Choice Requires="wps">
            <w:drawing>
              <wp:anchor distT="0" distB="0" distL="114300" distR="114300" simplePos="0" relativeHeight="251668480" behindDoc="0" locked="0" layoutInCell="1" allowOverlap="1">
                <wp:simplePos x="0" y="0"/>
                <wp:positionH relativeFrom="margin">
                  <wp:posOffset>4569460</wp:posOffset>
                </wp:positionH>
                <wp:positionV relativeFrom="paragraph">
                  <wp:posOffset>3745865</wp:posOffset>
                </wp:positionV>
                <wp:extent cx="1730375" cy="304800"/>
                <wp:effectExtent l="0" t="704850" r="0" b="704850"/>
                <wp:wrapNone/>
                <wp:docPr id="13" name="文本框 13"/>
                <wp:cNvGraphicFramePr/>
                <a:graphic xmlns:a="http://schemas.openxmlformats.org/drawingml/2006/main">
                  <a:graphicData uri="http://schemas.microsoft.com/office/word/2010/wordprocessingShape">
                    <wps:wsp>
                      <wps:cNvSpPr txBox="1"/>
                      <wps:spPr>
                        <a:xfrm rot="5400000">
                          <a:off x="0" y="0"/>
                          <a:ext cx="1730375" cy="304800"/>
                        </a:xfrm>
                        <a:prstGeom prst="rect">
                          <a:avLst/>
                        </a:prstGeom>
                        <a:solidFill>
                          <a:schemeClr val="lt1"/>
                        </a:solidFill>
                        <a:ln w="6350">
                          <a:solidFill>
                            <a:prstClr val="black"/>
                          </a:solidFill>
                        </a:ln>
                      </wps:spPr>
                      <wps:txbx>
                        <w:txbxContent>
                          <w:p>
                            <w:pPr>
                              <w:jc w:val="center"/>
                              <w:rPr>
                                <w:rFonts w:ascii="仿宋_GB2312" w:eastAsia="仿宋_GB2312"/>
                              </w:rPr>
                            </w:pPr>
                            <w:r>
                              <w:rPr>
                                <w:rFonts w:hint="eastAsia" w:ascii="仿宋_GB2312" w:eastAsia="仿宋_GB2312"/>
                                <w:lang w:eastAsia="zh-CN"/>
                              </w:rPr>
                              <w:t>本年度</w:t>
                            </w:r>
                            <w:r>
                              <w:rPr>
                                <w:rFonts w:hint="eastAsia" w:ascii="仿宋_GB2312" w:eastAsia="仿宋_GB2312"/>
                              </w:rPr>
                              <w:t>9.30绿化专项示意</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9.8pt;margin-top:294.95pt;height:24pt;width:136.25pt;mso-position-horizontal-relative:margin;rotation:5898240f;z-index:251668480;mso-width-relative:page;mso-height-relative:page;" fillcolor="#FFFFFF [3201]" filled="t" stroked="t" coordsize="21600,21600" o:gfxdata="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">
                <v:fill on="t" focussize="0,0"/>
                <v:stroke weight="0.5pt" color="#000000" joinstyle="round"/>
                <v:imagedata o:title=""/>
                <o:lock v:ext="edit" aspectratio="f"/>
                <v:textbox>
                  <w:txbxContent>
                    <w:p>
                      <w:pPr>
                        <w:jc w:val="center"/>
                        <w:rPr>
                          <w:rFonts w:ascii="仿宋_GB2312" w:eastAsia="仿宋_GB2312"/>
                        </w:rPr>
                      </w:pPr>
                      <w:r>
                        <w:rPr>
                          <w:rFonts w:hint="eastAsia" w:ascii="仿宋_GB2312" w:eastAsia="仿宋_GB2312"/>
                          <w:lang w:eastAsia="zh-CN"/>
                        </w:rPr>
                        <w:t>本年度</w:t>
                      </w:r>
                      <w:r>
                        <w:rPr>
                          <w:rFonts w:hint="eastAsia" w:ascii="仿宋_GB2312" w:eastAsia="仿宋_GB2312"/>
                        </w:rPr>
                        <w:t>9.30绿化专项示意</w:t>
                      </w:r>
                    </w:p>
                  </w:txbxContent>
                </v:textbox>
              </v:shape>
            </w:pict>
          </mc:Fallback>
        </mc:AlternateContent>
      </w:r>
      <w:r>
        <w:rPr>
          <w:rFonts w:hint="eastAsia" w:ascii="仿宋_GB2312" w:eastAsia="仿宋_GB2312" w:hAnsiTheme="minorEastAsia"/>
          <w:color w:val="auto"/>
          <w:sz w:val="32"/>
          <w:szCs w:val="32"/>
        </w:rPr>
        <w:drawing>
          <wp:inline distT="0" distB="0" distL="0" distR="0">
            <wp:extent cx="6732270" cy="5161280"/>
            <wp:effectExtent l="4445" t="0" r="0" b="0"/>
            <wp:docPr id="4" name="图片 4" descr="D:\WeChat\wx文件\WeChat Files\Toniworld\FileStorage\Temp\c7334321deda462f46104581d851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D:\WeChat\wx文件\WeChat Files\Toniworld\FileStorage\Temp\c7334321deda462f46104581d85136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rot="5400000">
                      <a:off x="0" y="0"/>
                      <a:ext cx="6736098" cy="5164207"/>
                    </a:xfrm>
                    <a:prstGeom prst="rect">
                      <a:avLst/>
                    </a:prstGeom>
                    <a:noFill/>
                    <a:ln>
                      <a:noFill/>
                    </a:ln>
                  </pic:spPr>
                </pic:pic>
              </a:graphicData>
            </a:graphic>
          </wp:inline>
        </w:drawing>
      </w:r>
    </w:p>
    <w:p>
      <w:pPr>
        <w:rPr>
          <w:rFonts w:hint="eastAsia" w:ascii="仿宋_GB2312" w:eastAsia="仿宋_GB2312" w:hAnsiTheme="minorEastAsia"/>
          <w:color w:val="auto"/>
          <w:sz w:val="32"/>
          <w:szCs w:val="32"/>
          <w:lang w:eastAsia="zh-CN"/>
        </w:rPr>
      </w:pPr>
      <w:r>
        <w:rPr>
          <w:rFonts w:hint="eastAsia" w:ascii="仿宋_GB2312" w:eastAsia="仿宋_GB2312" w:hAnsiTheme="minorEastAsia"/>
          <w:color w:val="auto"/>
          <w:sz w:val="32"/>
          <w:szCs w:val="32"/>
          <w:lang w:eastAsia="zh-CN"/>
        </w:rPr>
        <w:t>届时本项或有细微调整，以最终设计为准</w:t>
      </w: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hint="eastAsia" w:ascii="仿宋_GB2312" w:eastAsia="仿宋_GB2312" w:hAnsiTheme="minorEastAsia"/>
          <w:color w:val="auto"/>
          <w:sz w:val="32"/>
          <w:szCs w:val="32"/>
          <w:lang w:eastAsia="zh-CN"/>
        </w:rPr>
      </w:pPr>
      <w:r>
        <w:rPr>
          <w:rFonts w:hint="eastAsia" w:ascii="仿宋_GB2312" w:eastAsia="仿宋_GB2312" w:hAnsiTheme="minorEastAsia"/>
          <w:color w:val="auto"/>
          <w:sz w:val="32"/>
          <w:szCs w:val="32"/>
          <w:lang w:eastAsia="zh-CN"/>
        </w:rPr>
        <w:drawing>
          <wp:anchor distT="0" distB="0" distL="114300" distR="114300" simplePos="0" relativeHeight="251673600" behindDoc="1" locked="0" layoutInCell="1" allowOverlap="1">
            <wp:simplePos x="0" y="0"/>
            <wp:positionH relativeFrom="column">
              <wp:posOffset>-2112010</wp:posOffset>
            </wp:positionH>
            <wp:positionV relativeFrom="paragraph">
              <wp:posOffset>-6384290</wp:posOffset>
            </wp:positionV>
            <wp:extent cx="9461500" cy="3715385"/>
            <wp:effectExtent l="0" t="0" r="18415" b="6350"/>
            <wp:wrapThrough wrapText="bothSides">
              <wp:wrapPolygon>
                <wp:start x="1" y="21600"/>
                <wp:lineTo x="21572" y="21600"/>
                <wp:lineTo x="21572" y="114"/>
                <wp:lineTo x="1" y="114"/>
                <wp:lineTo x="1" y="21600"/>
              </wp:wrapPolygon>
            </wp:wrapThrough>
            <wp:docPr id="15" name="图片 15" descr="1 桃花道区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1 桃花道区域"/>
                    <pic:cNvPicPr>
                      <a:picLocks noChangeAspect="1"/>
                    </pic:cNvPicPr>
                  </pic:nvPicPr>
                  <pic:blipFill>
                    <a:blip r:embed="rId15"/>
                    <a:stretch>
                      <a:fillRect/>
                    </a:stretch>
                  </pic:blipFill>
                  <pic:spPr>
                    <a:xfrm rot="5400000">
                      <a:off x="0" y="0"/>
                      <a:ext cx="9461500" cy="3715385"/>
                    </a:xfrm>
                    <a:prstGeom prst="rect">
                      <a:avLst/>
                    </a:prstGeom>
                  </pic:spPr>
                </pic:pic>
              </a:graphicData>
            </a:graphic>
          </wp:anchor>
        </w:drawing>
      </w:r>
      <w:r>
        <w:rPr>
          <w:rFonts w:ascii="仿宋_GB2312" w:eastAsia="仿宋_GB2312" w:hAnsiTheme="minorEastAsia"/>
          <w:color w:val="auto"/>
          <w:sz w:val="32"/>
          <w:szCs w:val="32"/>
        </w:rPr>
        <mc:AlternateContent>
          <mc:Choice Requires="wps">
            <w:drawing>
              <wp:anchor distT="0" distB="0" distL="114300" distR="114300" simplePos="0" relativeHeight="251670528" behindDoc="0" locked="0" layoutInCell="1" allowOverlap="1">
                <wp:simplePos x="0" y="0"/>
                <wp:positionH relativeFrom="rightMargin">
                  <wp:posOffset>-1546225</wp:posOffset>
                </wp:positionH>
                <wp:positionV relativeFrom="paragraph">
                  <wp:posOffset>3049270</wp:posOffset>
                </wp:positionV>
                <wp:extent cx="2102485" cy="304800"/>
                <wp:effectExtent l="0" t="895350" r="0" b="895350"/>
                <wp:wrapNone/>
                <wp:docPr id="20" name="文本框 20"/>
                <wp:cNvGraphicFramePr/>
                <a:graphic xmlns:a="http://schemas.openxmlformats.org/drawingml/2006/main">
                  <a:graphicData uri="http://schemas.microsoft.com/office/word/2010/wordprocessingShape">
                    <wps:wsp>
                      <wps:cNvSpPr txBox="1"/>
                      <wps:spPr>
                        <a:xfrm rot="5400000">
                          <a:off x="0" y="0"/>
                          <a:ext cx="2102485" cy="304800"/>
                        </a:xfrm>
                        <a:prstGeom prst="rect">
                          <a:avLst/>
                        </a:prstGeom>
                        <a:solidFill>
                          <a:schemeClr val="lt1"/>
                        </a:solidFill>
                        <a:ln w="6350">
                          <a:solidFill>
                            <a:prstClr val="black"/>
                          </a:solidFill>
                        </a:ln>
                      </wps:spPr>
                      <wps:txbx>
                        <w:txbxContent>
                          <w:p>
                            <w:pPr>
                              <w:jc w:val="center"/>
                            </w:pPr>
                            <w:r>
                              <w:rPr>
                                <w:rFonts w:hint="eastAsia"/>
                                <w:lang w:val="en-US" w:eastAsia="zh-CN"/>
                              </w:rPr>
                              <w:t>桃花道区域</w:t>
                            </w:r>
                            <w:r>
                              <w:rPr>
                                <w:rFonts w:hint="eastAsia"/>
                              </w:rPr>
                              <w:t>景观</w:t>
                            </w:r>
                            <w:r>
                              <w:t>提升</w:t>
                            </w:r>
                            <w:r>
                              <w:rPr>
                                <w:rFonts w:hint="eastAsia"/>
                              </w:rPr>
                              <w:t>场地</w:t>
                            </w:r>
                            <w:r>
                              <w:t>示意</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97pt;margin-top:345pt;height:24pt;width:165.55pt;mso-position-horizontal-relative:page;mso-position-vertical-relative:page;rotation:5898240f;z-index:251670528;mso-width-relative:page;mso-height-relative:page;" fillcolor="#FFFFFF [3201]" filled="t" stroked="t" coordsize="21600,21600" o:gfxdata="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WAAAAZHJzL1BLAQIUABQAAAAIAIdO4kDZ+vla3QAAAAsBAAAPAAAAAAAAAAEAIAAAADgA&#10;AABkcnMvZG93bnJldi54bWxQSwECFAAUAAAACACHTuJAhqqV9GACAADHBAAADgAAAAAAAAABACAA&#10;AABCAQAAZHJzL2Uyb0RvYy54bWxQSwUGAAAAAAYABgBZAQAAFAYAAAAA&#10;">
                <v:fill on="t" focussize="0,0"/>
                <v:stroke weight="0.5pt" color="#000000" joinstyle="round"/>
                <v:imagedata o:title=""/>
                <o:lock v:ext="edit" aspectratio="f"/>
                <v:textbox>
                  <w:txbxContent>
                    <w:p>
                      <w:pPr>
                        <w:jc w:val="center"/>
                      </w:pPr>
                      <w:r>
                        <w:rPr>
                          <w:rFonts w:hint="eastAsia"/>
                          <w:lang w:val="en-US" w:eastAsia="zh-CN"/>
                        </w:rPr>
                        <w:t>桃花道区域</w:t>
                      </w:r>
                      <w:r>
                        <w:rPr>
                          <w:rFonts w:hint="eastAsia"/>
                        </w:rPr>
                        <w:t>景观</w:t>
                      </w:r>
                      <w:r>
                        <w:t>提升</w:t>
                      </w:r>
                      <w:r>
                        <w:rPr>
                          <w:rFonts w:hint="eastAsia"/>
                        </w:rPr>
                        <w:t>场地</w:t>
                      </w:r>
                      <w:r>
                        <w:t>示意</w:t>
                      </w:r>
                    </w:p>
                  </w:txbxContent>
                </v:textbox>
              </v:shape>
            </w:pict>
          </mc:Fallback>
        </mc:AlternateContent>
      </w: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r>
        <w:rPr>
          <w:rFonts w:hint="eastAsia" w:ascii="仿宋_GB2312" w:eastAsia="仿宋_GB2312" w:hAnsiTheme="minorEastAsia"/>
          <w:color w:val="auto"/>
          <w:sz w:val="32"/>
          <w:szCs w:val="32"/>
          <w:lang w:eastAsia="zh-CN"/>
        </w:rPr>
        <w:drawing>
          <wp:anchor distT="0" distB="0" distL="114300" distR="114300" simplePos="0" relativeHeight="251674624" behindDoc="0" locked="0" layoutInCell="1" allowOverlap="1">
            <wp:simplePos x="0" y="0"/>
            <wp:positionH relativeFrom="column">
              <wp:posOffset>-1455420</wp:posOffset>
            </wp:positionH>
            <wp:positionV relativeFrom="paragraph">
              <wp:posOffset>2264410</wp:posOffset>
            </wp:positionV>
            <wp:extent cx="8644255" cy="4022090"/>
            <wp:effectExtent l="0" t="0" r="16510" b="4445"/>
            <wp:wrapNone/>
            <wp:docPr id="23" name="图片 23" descr="2五角枫下区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2五角枫下区域"/>
                    <pic:cNvPicPr>
                      <a:picLocks noChangeAspect="1"/>
                    </pic:cNvPicPr>
                  </pic:nvPicPr>
                  <pic:blipFill>
                    <a:blip r:embed="rId16"/>
                    <a:stretch>
                      <a:fillRect/>
                    </a:stretch>
                  </pic:blipFill>
                  <pic:spPr>
                    <a:xfrm rot="5400000">
                      <a:off x="0" y="0"/>
                      <a:ext cx="8644255" cy="4022090"/>
                    </a:xfrm>
                    <a:prstGeom prst="rect">
                      <a:avLst/>
                    </a:prstGeom>
                  </pic:spPr>
                </pic:pic>
              </a:graphicData>
            </a:graphic>
          </wp:anchor>
        </w:drawing>
      </w: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hint="eastAsia" w:ascii="仿宋_GB2312" w:eastAsia="仿宋_GB2312" w:hAnsiTheme="minorEastAsia"/>
          <w:color w:val="auto"/>
          <w:sz w:val="32"/>
          <w:szCs w:val="32"/>
          <w:lang w:eastAsia="zh-CN"/>
        </w:rPr>
      </w:pPr>
    </w:p>
    <w:p>
      <w:pPr>
        <w:rPr>
          <w:rFonts w:ascii="仿宋_GB2312" w:eastAsia="仿宋_GB2312" w:hAnsiTheme="minorEastAsia"/>
          <w:color w:val="auto"/>
          <w:sz w:val="32"/>
          <w:szCs w:val="32"/>
        </w:rPr>
      </w:pPr>
      <w:r>
        <w:rPr>
          <w:rFonts w:ascii="仿宋_GB2312" w:eastAsia="仿宋_GB2312" w:hAnsiTheme="minorEastAsia"/>
          <w:color w:val="auto"/>
          <w:sz w:val="32"/>
          <w:szCs w:val="32"/>
        </w:rPr>
        <mc:AlternateContent>
          <mc:Choice Requires="wps">
            <w:drawing>
              <wp:anchor distT="0" distB="0" distL="114300" distR="114300" simplePos="0" relativeHeight="251669504" behindDoc="0" locked="0" layoutInCell="1" allowOverlap="1">
                <wp:simplePos x="0" y="0"/>
                <wp:positionH relativeFrom="rightMargin">
                  <wp:posOffset>-1172845</wp:posOffset>
                </wp:positionH>
                <wp:positionV relativeFrom="paragraph">
                  <wp:posOffset>1442720</wp:posOffset>
                </wp:positionV>
                <wp:extent cx="3106420" cy="379730"/>
                <wp:effectExtent l="0" t="1371600" r="0" b="1372870"/>
                <wp:wrapNone/>
                <wp:docPr id="17" name="文本框 17"/>
                <wp:cNvGraphicFramePr/>
                <a:graphic xmlns:a="http://schemas.openxmlformats.org/drawingml/2006/main">
                  <a:graphicData uri="http://schemas.microsoft.com/office/word/2010/wordprocessingShape">
                    <wps:wsp>
                      <wps:cNvSpPr txBox="1"/>
                      <wps:spPr>
                        <a:xfrm rot="5400000">
                          <a:off x="0" y="0"/>
                          <a:ext cx="3106420" cy="379730"/>
                        </a:xfrm>
                        <a:prstGeom prst="rect">
                          <a:avLst/>
                        </a:prstGeom>
                        <a:solidFill>
                          <a:schemeClr val="lt1"/>
                        </a:solidFill>
                        <a:ln w="6350">
                          <a:solidFill>
                            <a:prstClr val="black"/>
                          </a:solidFill>
                        </a:ln>
                      </wps:spPr>
                      <wps:txbx>
                        <w:txbxContent>
                          <w:p>
                            <w:r>
                              <w:rPr>
                                <w:rFonts w:hint="eastAsia"/>
                                <w:color w:val="000000" w:themeColor="text1"/>
                                <w:w w:val="105"/>
                                <w:sz w:val="24"/>
                                <w:szCs w:val="24"/>
                                <w:lang w:val="en-US" w:eastAsia="zh-CN"/>
                                <w14:textFill>
                                  <w14:solidFill>
                                    <w14:schemeClr w14:val="tx1"/>
                                  </w14:solidFill>
                                </w14:textFill>
                              </w:rPr>
                              <w:t>红色氛围</w:t>
                            </w:r>
                            <w:r>
                              <w:rPr>
                                <w:rFonts w:hint="eastAsia"/>
                                <w:color w:val="000000" w:themeColor="text1"/>
                                <w:w w:val="105"/>
                                <w:sz w:val="24"/>
                                <w:szCs w:val="24"/>
                                <w14:textFill>
                                  <w14:solidFill>
                                    <w14:schemeClr w14:val="tx1"/>
                                  </w14:solidFill>
                                </w14:textFill>
                              </w:rPr>
                              <w:t>景观提升场地示意</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26.4pt;margin-top:530.5pt;height:29.9pt;width:244.6pt;mso-position-horizontal-relative:page;mso-position-vertical-relative:page;rotation:5898240f;z-index:251669504;mso-width-relative:page;mso-height-relative:page;" fillcolor="#FFFFFF [3201]" filled="t" stroked="t" coordsize="21600,21600" o:gfxdata="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FgAAAGRycy9QSwECFAAUAAAACACHTuJAUy11Vd0AAAAMAQAADwAAAAAAAAABACAAAAA4&#10;AAAAZHJzL2Rvd25yZXYueG1sUEsBAhQAFAAAAAgAh07iQJKILt1hAgAAxwQAAA4AAAAAAAAAAQAg&#10;AAAAQgEAAGRycy9lMm9Eb2MueG1sUEsFBgAAAAAGAAYAWQEAABUGAAAAAA==&#10;">
                <v:fill on="t" focussize="0,0"/>
                <v:stroke weight="0.5pt" color="#000000" joinstyle="round"/>
                <v:imagedata o:title=""/>
                <o:lock v:ext="edit" aspectratio="f"/>
                <v:textbox>
                  <w:txbxContent>
                    <w:p>
                      <w:r>
                        <w:rPr>
                          <w:rFonts w:hint="eastAsia"/>
                          <w:color w:val="000000" w:themeColor="text1"/>
                          <w:w w:val="105"/>
                          <w:sz w:val="24"/>
                          <w:szCs w:val="24"/>
                          <w:lang w:val="en-US" w:eastAsia="zh-CN"/>
                          <w14:textFill>
                            <w14:solidFill>
                              <w14:schemeClr w14:val="tx1"/>
                            </w14:solidFill>
                          </w14:textFill>
                        </w:rPr>
                        <w:t>红色氛围</w:t>
                      </w:r>
                      <w:r>
                        <w:rPr>
                          <w:rFonts w:hint="eastAsia"/>
                          <w:color w:val="000000" w:themeColor="text1"/>
                          <w:w w:val="105"/>
                          <w:sz w:val="24"/>
                          <w:szCs w:val="24"/>
                          <w14:textFill>
                            <w14:solidFill>
                              <w14:schemeClr w14:val="tx1"/>
                            </w14:solidFill>
                          </w14:textFill>
                        </w:rPr>
                        <w:t>景观提升场地示意</w:t>
                      </w:r>
                    </w:p>
                  </w:txbxContent>
                </v:textbox>
              </v:shape>
            </w:pict>
          </mc:Fallback>
        </mc:AlternateContent>
      </w: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p>
    <w:p>
      <w:pPr>
        <w:rPr>
          <w:rFonts w:ascii="仿宋_GB2312" w:eastAsia="仿宋_GB2312" w:hAnsiTheme="minorEastAsia"/>
          <w:color w:val="auto"/>
          <w:sz w:val="32"/>
          <w:szCs w:val="32"/>
        </w:rPr>
      </w:pPr>
      <w:r>
        <w:rPr>
          <w:rFonts w:hint="eastAsia" w:ascii="仿宋_GB2312" w:eastAsia="仿宋_GB2312" w:hAnsiTheme="minorEastAsia"/>
          <w:color w:val="auto"/>
          <w:sz w:val="32"/>
          <w:szCs w:val="32"/>
          <w:lang w:eastAsia="zh-CN"/>
        </w:rPr>
        <w:drawing>
          <wp:anchor distT="0" distB="0" distL="114300" distR="114300" simplePos="0" relativeHeight="251675648" behindDoc="0" locked="0" layoutInCell="1" allowOverlap="1">
            <wp:simplePos x="0" y="0"/>
            <wp:positionH relativeFrom="column">
              <wp:posOffset>-1707515</wp:posOffset>
            </wp:positionH>
            <wp:positionV relativeFrom="paragraph">
              <wp:posOffset>1771650</wp:posOffset>
            </wp:positionV>
            <wp:extent cx="8037830" cy="4621530"/>
            <wp:effectExtent l="0" t="0" r="7620" b="1270"/>
            <wp:wrapNone/>
            <wp:docPr id="25" name="图片 25" descr="3樱花区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3樱花区域"/>
                    <pic:cNvPicPr>
                      <a:picLocks noChangeAspect="1"/>
                    </pic:cNvPicPr>
                  </pic:nvPicPr>
                  <pic:blipFill>
                    <a:blip r:embed="rId17"/>
                    <a:srcRect t="23342"/>
                    <a:stretch>
                      <a:fillRect/>
                    </a:stretch>
                  </pic:blipFill>
                  <pic:spPr>
                    <a:xfrm rot="5400000">
                      <a:off x="0" y="0"/>
                      <a:ext cx="8037830" cy="4621530"/>
                    </a:xfrm>
                    <a:prstGeom prst="rect">
                      <a:avLst/>
                    </a:prstGeom>
                  </pic:spPr>
                </pic:pic>
              </a:graphicData>
            </a:graphic>
          </wp:anchor>
        </w:drawing>
      </w:r>
      <w:r>
        <w:rPr>
          <w:rFonts w:ascii="仿宋_GB2312" w:eastAsia="仿宋_GB2312" w:hAnsiTheme="minorEastAsia"/>
          <w:color w:val="auto"/>
          <w:sz w:val="32"/>
          <w:szCs w:val="32"/>
        </w:rPr>
        <mc:AlternateContent>
          <mc:Choice Requires="wps">
            <w:drawing>
              <wp:anchor distT="0" distB="0" distL="114300" distR="114300" simplePos="0" relativeHeight="251671552" behindDoc="0" locked="0" layoutInCell="1" allowOverlap="1">
                <wp:simplePos x="0" y="0"/>
                <wp:positionH relativeFrom="margin">
                  <wp:posOffset>4465955</wp:posOffset>
                </wp:positionH>
                <wp:positionV relativeFrom="paragraph">
                  <wp:posOffset>3878580</wp:posOffset>
                </wp:positionV>
                <wp:extent cx="1961515" cy="304800"/>
                <wp:effectExtent l="0" t="819150" r="0" b="819150"/>
                <wp:wrapNone/>
                <wp:docPr id="21" name="文本框 21"/>
                <wp:cNvGraphicFramePr/>
                <a:graphic xmlns:a="http://schemas.openxmlformats.org/drawingml/2006/main">
                  <a:graphicData uri="http://schemas.microsoft.com/office/word/2010/wordprocessingShape">
                    <wps:wsp>
                      <wps:cNvSpPr txBox="1"/>
                      <wps:spPr>
                        <a:xfrm rot="5400000">
                          <a:off x="0" y="0"/>
                          <a:ext cx="1961515" cy="304800"/>
                        </a:xfrm>
                        <a:prstGeom prst="rect">
                          <a:avLst/>
                        </a:prstGeom>
                        <a:solidFill>
                          <a:schemeClr val="lt1"/>
                        </a:solidFill>
                        <a:ln w="6350">
                          <a:solidFill>
                            <a:prstClr val="black"/>
                          </a:solidFill>
                        </a:ln>
                      </wps:spPr>
                      <wps:txbx>
                        <w:txbxContent>
                          <w:p>
                            <w:r>
                              <w:rPr>
                                <w:rFonts w:hint="eastAsia"/>
                                <w:lang w:val="en-US" w:eastAsia="zh-CN"/>
                              </w:rPr>
                              <w:t>樱花下</w:t>
                            </w:r>
                            <w:r>
                              <w:rPr>
                                <w:rFonts w:hint="eastAsia"/>
                              </w:rPr>
                              <w:t>区域景观提升示意</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51.65pt;margin-top:305.4pt;height:24pt;width:154.45pt;mso-position-horizontal-relative:margin;rotation:5898240f;z-index:251671552;mso-width-relative:page;mso-height-relative:page;" fillcolor="#FFFFFF [3201]" filled="t" stroked="t" coordsize="21600,21600" o:gfxdata="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WAAAAZHJzL1BLAQIUABQAAAAIAIdO4kAxk7yl3AAAAAwBAAAPAAAAAAAAAAEAIAAAADgA&#10;AABkcnMvZG93bnJldi54bWxQSwECFAAUAAAACACHTuJAiPVgTmECAADHBAAADgAAAAAAAAABACAA&#10;AABBAQAAZHJzL2Uyb0RvYy54bWxQSwUGAAAAAAYABgBZAQAAFAYAAAAA&#10;">
                <v:fill on="t" focussize="0,0"/>
                <v:stroke weight="0.5pt" color="#000000" joinstyle="round"/>
                <v:imagedata o:title=""/>
                <o:lock v:ext="edit" aspectratio="f"/>
                <v:textbox>
                  <w:txbxContent>
                    <w:p>
                      <w:r>
                        <w:rPr>
                          <w:rFonts w:hint="eastAsia"/>
                          <w:lang w:val="en-US" w:eastAsia="zh-CN"/>
                        </w:rPr>
                        <w:t>樱花下</w:t>
                      </w:r>
                      <w:r>
                        <w:rPr>
                          <w:rFonts w:hint="eastAsia"/>
                        </w:rPr>
                        <w:t>区域景观提升示意</w:t>
                      </w:r>
                    </w:p>
                  </w:txbxContent>
                </v:textbox>
              </v:shape>
            </w:pict>
          </mc:Fallback>
        </mc:AlternateContent>
      </w:r>
    </w:p>
    <w:sectPr>
      <w:footerReference r:id="rId6" w:type="default"/>
      <w:pgSz w:w="11906" w:h="16838"/>
      <w:pgMar w:top="2098" w:right="1531" w:bottom="1985" w:left="1531" w:header="851" w:footer="992" w:gutter="0"/>
      <w:pgNumType w:fmt="numberInDash" w:start="1"/>
      <w:cols w:space="425"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方正书宋_GBK"/>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altName w:val="DejaVu Sans"/>
    <w:panose1 w:val="020B0604020202020204"/>
    <w:charset w:val="01"/>
    <w:family w:val="swiss"/>
    <w:pitch w:val="default"/>
    <w:sig w:usb0="E0002AFF" w:usb1="C0007843" w:usb2="00000009" w:usb3="00000000" w:csb0="400001FF" w:csb1="FFFF0000"/>
  </w:font>
  <w:font w:name="黑体">
    <w:altName w:val="方正黑体_GBK"/>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2000609000000000000"/>
    <w:charset w:val="02"/>
    <w:family w:val="roman"/>
    <w:pitch w:val="default"/>
    <w:sig w:usb0="800000AF" w:usb1="4000204A" w:usb2="00000000" w:usb3="00000000" w:csb0="20000000" w:csb1="00000000"/>
  </w:font>
  <w:font w:name="DejaVu Sans">
    <w:panose1 w:val="020B0603030804020204"/>
    <w:charset w:val="00"/>
    <w:family w:val="auto"/>
    <w:pitch w:val="default"/>
    <w:sig w:usb0="E7006EFF" w:usb1="D200FDFF" w:usb2="0A246029" w:usb3="0400200C" w:csb0="600001FF" w:csb1="DFFF0000"/>
  </w:font>
  <w:font w:name="Calibri">
    <w:altName w:val="DejaVu Sans"/>
    <w:panose1 w:val="020F0502020204030204"/>
    <w:charset w:val="00"/>
    <w:family w:val="swiss"/>
    <w:pitch w:val="default"/>
    <w:sig w:usb0="00000000" w:usb1="00000000" w:usb2="00000001" w:usb3="00000000" w:csb0="0000019F" w:csb1="00000000"/>
  </w:font>
  <w:font w:name="方正书宋_GBK">
    <w:panose1 w:val="02000000000000000000"/>
    <w:charset w:val="86"/>
    <w:family w:val="auto"/>
    <w:pitch w:val="default"/>
    <w:sig w:usb0="00000001" w:usb1="08000000" w:usb2="00000000" w:usb3="00000000" w:csb0="00040000" w:csb1="00000000"/>
  </w:font>
  <w:font w:name="等线">
    <w:altName w:val="华文中宋"/>
    <w:panose1 w:val="02010600030101010101"/>
    <w:charset w:val="86"/>
    <w:family w:val="auto"/>
    <w:pitch w:val="default"/>
    <w:sig w:usb0="00000000" w:usb1="00000000" w:usb2="00000016" w:usb3="00000000" w:csb0="0004000F" w:csb1="00000000"/>
  </w:font>
  <w:font w:name="华文中宋">
    <w:panose1 w:val="02010600040101010101"/>
    <w:charset w:val="86"/>
    <w:family w:val="auto"/>
    <w:pitch w:val="default"/>
    <w:sig w:usb0="00000287" w:usb1="080F0000" w:usb2="00000000" w:usb3="00000000" w:csb0="0004009F" w:csb1="DFD70000"/>
  </w:font>
  <w:font w:name="等线">
    <w:altName w:val="华文中宋"/>
    <w:panose1 w:val="00000000000000000000"/>
    <w:charset w:val="86"/>
    <w:family w:val="auto"/>
    <w:pitch w:val="default"/>
    <w:sig w:usb0="00000000" w:usb1="00000000" w:usb2="00000000" w:usb3="00000000" w:csb0="00000000" w:csb1="00000000"/>
  </w:font>
  <w:font w:name="等线">
    <w:altName w:val="华文中宋"/>
    <w:panose1 w:val="00000000000000000000"/>
    <w:charset w:val="00"/>
    <w:family w:val="auto"/>
    <w:pitch w:val="default"/>
    <w:sig w:usb0="00000000" w:usb1="00000000" w:usb2="00000000" w:usb3="00000000" w:csb0="00000000" w:csb1="00000000"/>
  </w:font>
  <w:font w:name="方正小标宋简体">
    <w:panose1 w:val="02000000000000000000"/>
    <w:charset w:val="86"/>
    <w:family w:val="script"/>
    <w:pitch w:val="default"/>
    <w:sig w:usb0="A00002BF" w:usb1="184F6CFA" w:usb2="00000012" w:usb3="00000000" w:csb0="00040001" w:csb1="00000000"/>
  </w:font>
  <w:font w:name="方正黑体_GBK">
    <w:panose1 w:val="02000000000000000000"/>
    <w:charset w:val="86"/>
    <w:family w:val="auto"/>
    <w:pitch w:val="default"/>
    <w:sig w:usb0="00000001" w:usb1="08000000" w:usb2="00000000" w:usb3="00000000" w:csb0="00040000" w:csb1="00000000"/>
  </w:font>
  <w:font w:name="仿宋_GB2312">
    <w:altName w:val="方正仿宋_GBK"/>
    <w:panose1 w:val="02010609030101010101"/>
    <w:charset w:val="86"/>
    <w:family w:val="modern"/>
    <w:pitch w:val="default"/>
    <w:sig w:usb0="00000000" w:usb1="00000000" w:usb2="00000010" w:usb3="00000000" w:csb0="00040000" w:csb1="00000000"/>
  </w:font>
  <w:font w:name="方正仿宋_GBK">
    <w:panose1 w:val="02000000000000000000"/>
    <w:charset w:val="86"/>
    <w:family w:val="auto"/>
    <w:pitch w:val="default"/>
    <w:sig w:usb0="00000001" w:usb1="08000000" w:usb2="00000000" w:usb3="00000000" w:csb0="00040000" w:csb1="00000000"/>
  </w:font>
  <w:font w:name="仿宋">
    <w:altName w:val="方正仿宋_GBK"/>
    <w:panose1 w:val="02010609060101010101"/>
    <w:charset w:val="86"/>
    <w:family w:val="auto"/>
    <w:pitch w:val="default"/>
    <w:sig w:usb0="00000000" w:usb1="00000000" w:usb2="00000016" w:usb3="00000000" w:csb0="00040001" w:csb1="00000000"/>
  </w:font>
  <w:font w:name="Segoe UI Symbol">
    <w:altName w:val="Noto Sans"/>
    <w:panose1 w:val="020B0502040204020203"/>
    <w:charset w:val="00"/>
    <w:family w:val="swiss"/>
    <w:pitch w:val="default"/>
    <w:sig w:usb0="00000000" w:usb1="00000000" w:usb2="00040000" w:usb3="04000000" w:csb0="00000001" w:csb1="40000000"/>
  </w:font>
  <w:font w:name="Noto Sans">
    <w:panose1 w:val="020B0502040504020204"/>
    <w:charset w:val="00"/>
    <w:family w:val="auto"/>
    <w:pitch w:val="default"/>
    <w:sig w:usb0="E00002FF" w:usb1="4000201F" w:usb2="08000029" w:usb3="00100000" w:csb0="0000019F" w:csb1="00000000"/>
  </w:font>
  <w:font w:name="Noto Sans CJK JP Bold">
    <w:panose1 w:val="020B0800000000000000"/>
    <w:charset w:val="86"/>
    <w:family w:val="auto"/>
    <w:pitch w:val="default"/>
    <w:sig w:usb0="30000003" w:usb1="2BDF3C10" w:usb2="00000016" w:usb3="00000000" w:csb0="602E010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jc w:val="center"/>
      <w:rPr>
        <w:rFonts w:ascii="仿宋_GB2312" w:eastAsia="仿宋_GB2312"/>
        <w:sz w:val="28"/>
        <w:szCs w:val="28"/>
      </w:rPr>
    </w:pPr>
  </w:p>
  <w:p>
    <w:pPr>
      <w:pStyle w:val="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
      <w:docPartObj>
        <w:docPartGallery w:val="autotext"/>
      </w:docPartObj>
    </w:sdtPr>
    <w:sdtEndPr>
      <w:rPr>
        <w:rFonts w:ascii="宋体" w:hAnsi="宋体" w:eastAsia="宋体"/>
        <w:sz w:val="28"/>
        <w:szCs w:val="28"/>
      </w:rPr>
    </w:sdtEndPr>
    <w:sdtContent>
      <w:p>
        <w:pPr>
          <w:pStyle w:val="7"/>
          <w:jc w:val="center"/>
          <w:rPr>
            <w:rFonts w:ascii="宋体" w:hAnsi="宋体" w:eastAsia="宋体"/>
            <w:sz w:val="28"/>
            <w:szCs w:val="28"/>
          </w:rPr>
        </w:pPr>
        <w:r>
          <w:rPr>
            <w:rFonts w:ascii="宋体" w:hAnsi="宋体" w:eastAsia="宋体"/>
            <w:sz w:val="28"/>
            <w:szCs w:val="28"/>
          </w:rPr>
          <w:fldChar w:fldCharType="begin"/>
        </w:r>
        <w:r>
          <w:rPr>
            <w:rFonts w:ascii="宋体" w:hAnsi="宋体" w:eastAsia="宋体"/>
            <w:sz w:val="28"/>
            <w:szCs w:val="28"/>
          </w:rPr>
          <w:instrText xml:space="preserve">PAGE   \* MERGEFORMAT</w:instrText>
        </w:r>
        <w:r>
          <w:rPr>
            <w:rFonts w:ascii="宋体" w:hAnsi="宋体" w:eastAsia="宋体"/>
            <w:sz w:val="28"/>
            <w:szCs w:val="28"/>
          </w:rPr>
          <w:fldChar w:fldCharType="separate"/>
        </w:r>
        <w:r>
          <w:rPr>
            <w:rFonts w:ascii="宋体" w:hAnsi="宋体" w:eastAsia="宋体"/>
            <w:sz w:val="28"/>
            <w:szCs w:val="28"/>
            <w:lang w:val="zh-CN"/>
          </w:rPr>
          <w:t>-</w:t>
        </w:r>
        <w:r>
          <w:rPr>
            <w:rFonts w:ascii="宋体" w:hAnsi="宋体" w:eastAsia="宋体"/>
            <w:sz w:val="28"/>
            <w:szCs w:val="28"/>
          </w:rPr>
          <w:t xml:space="preserve"> 20 -</w:t>
        </w:r>
        <w:r>
          <w:rPr>
            <w:rFonts w:ascii="宋体" w:hAnsi="宋体" w:eastAsia="宋体"/>
            <w:sz w:val="28"/>
            <w:szCs w:val="28"/>
          </w:rPr>
          <w:fldChar w:fldCharType="end"/>
        </w:r>
      </w:p>
    </w:sdtContent>
  </w:sdt>
  <w:p>
    <w:pPr>
      <w:pStyle w:val="7"/>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451760B"/>
    <w:multiLevelType w:val="multilevel"/>
    <w:tmpl w:val="2451760B"/>
    <w:lvl w:ilvl="0" w:tentative="0">
      <w:start w:val="4"/>
      <w:numFmt w:val="japaneseCounting"/>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46556081"/>
    <w:multiLevelType w:val="multilevel"/>
    <w:tmpl w:val="46556081"/>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49981A90"/>
    <w:multiLevelType w:val="multilevel"/>
    <w:tmpl w:val="49981A90"/>
    <w:lvl w:ilvl="0" w:tentative="0">
      <w:start w:val="1"/>
      <w:numFmt w:val="japaneseCounting"/>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64544806"/>
    <w:multiLevelType w:val="multilevel"/>
    <w:tmpl w:val="64544806"/>
    <w:lvl w:ilvl="0" w:tentative="0">
      <w:start w:val="1"/>
      <w:numFmt w:val="decimal"/>
      <w:lvlText w:val="%1"/>
      <w:lvlJc w:val="left"/>
      <w:pPr>
        <w:ind w:left="645" w:hanging="645"/>
      </w:pPr>
      <w:rPr>
        <w:rFonts w:hint="default"/>
      </w:rPr>
    </w:lvl>
    <w:lvl w:ilvl="1" w:tentative="0">
      <w:start w:val="1"/>
      <w:numFmt w:val="decimal"/>
      <w:lvlText w:val="%1.%2"/>
      <w:lvlJc w:val="left"/>
      <w:pPr>
        <w:ind w:left="720" w:hanging="720"/>
      </w:pPr>
      <w:rPr>
        <w:rFonts w:hint="default"/>
      </w:rPr>
    </w:lvl>
    <w:lvl w:ilvl="2" w:tentative="0">
      <w:start w:val="1"/>
      <w:numFmt w:val="decimal"/>
      <w:lvlText w:val="%1.%2.%3"/>
      <w:lvlJc w:val="left"/>
      <w:pPr>
        <w:ind w:left="1080" w:hanging="1080"/>
      </w:pPr>
      <w:rPr>
        <w:rFonts w:hint="default"/>
      </w:rPr>
    </w:lvl>
    <w:lvl w:ilvl="3" w:tentative="0">
      <w:start w:val="1"/>
      <w:numFmt w:val="decimal"/>
      <w:lvlText w:val="%1.%2.%3.%4"/>
      <w:lvlJc w:val="left"/>
      <w:pPr>
        <w:ind w:left="1440" w:hanging="1440"/>
      </w:pPr>
      <w:rPr>
        <w:rFonts w:hint="default"/>
      </w:rPr>
    </w:lvl>
    <w:lvl w:ilvl="4" w:tentative="0">
      <w:start w:val="1"/>
      <w:numFmt w:val="decimal"/>
      <w:lvlText w:val="%1.%2.%3.%4.%5"/>
      <w:lvlJc w:val="left"/>
      <w:pPr>
        <w:ind w:left="1440" w:hanging="1440"/>
      </w:pPr>
      <w:rPr>
        <w:rFonts w:hint="default"/>
      </w:rPr>
    </w:lvl>
    <w:lvl w:ilvl="5" w:tentative="0">
      <w:start w:val="1"/>
      <w:numFmt w:val="decimal"/>
      <w:lvlText w:val="%1.%2.%3.%4.%5.%6"/>
      <w:lvlJc w:val="left"/>
      <w:pPr>
        <w:ind w:left="1800" w:hanging="1800"/>
      </w:pPr>
      <w:rPr>
        <w:rFonts w:hint="default"/>
      </w:rPr>
    </w:lvl>
    <w:lvl w:ilvl="6" w:tentative="0">
      <w:start w:val="1"/>
      <w:numFmt w:val="decimal"/>
      <w:lvlText w:val="%1.%2.%3.%4.%5.%6.%7"/>
      <w:lvlJc w:val="left"/>
      <w:pPr>
        <w:ind w:left="2160" w:hanging="2160"/>
      </w:pPr>
      <w:rPr>
        <w:rFonts w:hint="default"/>
      </w:rPr>
    </w:lvl>
    <w:lvl w:ilvl="7" w:tentative="0">
      <w:start w:val="1"/>
      <w:numFmt w:val="decimal"/>
      <w:lvlText w:val="%1.%2.%3.%4.%5.%6.%7.%8"/>
      <w:lvlJc w:val="left"/>
      <w:pPr>
        <w:ind w:left="2520" w:hanging="2520"/>
      </w:pPr>
      <w:rPr>
        <w:rFonts w:hint="default"/>
      </w:rPr>
    </w:lvl>
    <w:lvl w:ilvl="8" w:tentative="0">
      <w:start w:val="1"/>
      <w:numFmt w:val="decimal"/>
      <w:lvlText w:val="%1.%2.%3.%4.%5.%6.%7.%8.%9"/>
      <w:lvlJc w:val="left"/>
      <w:pPr>
        <w:ind w:left="2880" w:hanging="2880"/>
      </w:pPr>
      <w:rPr>
        <w:rFonts w:hint="default"/>
      </w:rPr>
    </w:lvl>
  </w:abstractNum>
  <w:abstractNum w:abstractNumId="4">
    <w:nsid w:val="77F839CC"/>
    <w:multiLevelType w:val="multilevel"/>
    <w:tmpl w:val="77F839CC"/>
    <w:lvl w:ilvl="0" w:tentative="0">
      <w:start w:val="3"/>
      <w:numFmt w:val="japaneseCounting"/>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
  </w:num>
  <w:num w:numId="2">
    <w:abstractNumId w:val="4"/>
  </w:num>
  <w:num w:numId="3">
    <w:abstractNumId w:val="0"/>
  </w:num>
  <w:num w:numId="4">
    <w:abstractNumId w:val="3"/>
  </w:num>
  <w:num w:numId="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GI3ODJhYzRkZjExYjBkNjgxODY2ZTc5ZTdkMmFiMmYifQ=="/>
  </w:docVars>
  <w:rsids>
    <w:rsidRoot w:val="003C068B"/>
    <w:rsid w:val="0000452D"/>
    <w:rsid w:val="00013671"/>
    <w:rsid w:val="000318B7"/>
    <w:rsid w:val="00036067"/>
    <w:rsid w:val="00042EEB"/>
    <w:rsid w:val="0005116F"/>
    <w:rsid w:val="000555BD"/>
    <w:rsid w:val="000851A8"/>
    <w:rsid w:val="00087B72"/>
    <w:rsid w:val="00094E11"/>
    <w:rsid w:val="000A7C96"/>
    <w:rsid w:val="000D1F24"/>
    <w:rsid w:val="000E4559"/>
    <w:rsid w:val="000F3C3A"/>
    <w:rsid w:val="001027E8"/>
    <w:rsid w:val="001349DA"/>
    <w:rsid w:val="001528F1"/>
    <w:rsid w:val="00160823"/>
    <w:rsid w:val="001869D9"/>
    <w:rsid w:val="001A3F6C"/>
    <w:rsid w:val="001A6656"/>
    <w:rsid w:val="001B5FE5"/>
    <w:rsid w:val="001E3603"/>
    <w:rsid w:val="001F4397"/>
    <w:rsid w:val="001F77A8"/>
    <w:rsid w:val="00201D1C"/>
    <w:rsid w:val="002153F5"/>
    <w:rsid w:val="0024521B"/>
    <w:rsid w:val="00250BEE"/>
    <w:rsid w:val="00260CC4"/>
    <w:rsid w:val="00273927"/>
    <w:rsid w:val="00275F45"/>
    <w:rsid w:val="00277C82"/>
    <w:rsid w:val="002B0CFB"/>
    <w:rsid w:val="002C6FF9"/>
    <w:rsid w:val="002F2654"/>
    <w:rsid w:val="003260E8"/>
    <w:rsid w:val="0038780F"/>
    <w:rsid w:val="00393292"/>
    <w:rsid w:val="003A27C7"/>
    <w:rsid w:val="003A44C9"/>
    <w:rsid w:val="003C068B"/>
    <w:rsid w:val="003C4565"/>
    <w:rsid w:val="003C79B7"/>
    <w:rsid w:val="004001E5"/>
    <w:rsid w:val="00407164"/>
    <w:rsid w:val="00412959"/>
    <w:rsid w:val="0042134C"/>
    <w:rsid w:val="00452A4A"/>
    <w:rsid w:val="00454059"/>
    <w:rsid w:val="00466C34"/>
    <w:rsid w:val="0048217A"/>
    <w:rsid w:val="00485C57"/>
    <w:rsid w:val="004A02E4"/>
    <w:rsid w:val="004A38DB"/>
    <w:rsid w:val="004A39A4"/>
    <w:rsid w:val="004B2FB7"/>
    <w:rsid w:val="004B64B5"/>
    <w:rsid w:val="004C0B82"/>
    <w:rsid w:val="004C2E91"/>
    <w:rsid w:val="0050604E"/>
    <w:rsid w:val="00512516"/>
    <w:rsid w:val="005315EA"/>
    <w:rsid w:val="00560B4B"/>
    <w:rsid w:val="0057670D"/>
    <w:rsid w:val="00581C03"/>
    <w:rsid w:val="005A292E"/>
    <w:rsid w:val="005A492A"/>
    <w:rsid w:val="005C30D4"/>
    <w:rsid w:val="005C3DF6"/>
    <w:rsid w:val="005D187F"/>
    <w:rsid w:val="005D53EA"/>
    <w:rsid w:val="005D7BFF"/>
    <w:rsid w:val="005F69E0"/>
    <w:rsid w:val="00602B6B"/>
    <w:rsid w:val="00613060"/>
    <w:rsid w:val="00622A50"/>
    <w:rsid w:val="00624243"/>
    <w:rsid w:val="0062454C"/>
    <w:rsid w:val="00647DC2"/>
    <w:rsid w:val="00653FAD"/>
    <w:rsid w:val="006542AB"/>
    <w:rsid w:val="00657596"/>
    <w:rsid w:val="006745BC"/>
    <w:rsid w:val="00685E66"/>
    <w:rsid w:val="006A4E89"/>
    <w:rsid w:val="006B00D1"/>
    <w:rsid w:val="006B065C"/>
    <w:rsid w:val="006C107E"/>
    <w:rsid w:val="006C54DF"/>
    <w:rsid w:val="006D1EE7"/>
    <w:rsid w:val="006D33B6"/>
    <w:rsid w:val="006D60B2"/>
    <w:rsid w:val="006E124D"/>
    <w:rsid w:val="006F085F"/>
    <w:rsid w:val="0070185D"/>
    <w:rsid w:val="007021C3"/>
    <w:rsid w:val="00712B94"/>
    <w:rsid w:val="0071495B"/>
    <w:rsid w:val="00722B13"/>
    <w:rsid w:val="00733333"/>
    <w:rsid w:val="00737712"/>
    <w:rsid w:val="00741E04"/>
    <w:rsid w:val="007511C1"/>
    <w:rsid w:val="00763E41"/>
    <w:rsid w:val="007841C5"/>
    <w:rsid w:val="007A72B2"/>
    <w:rsid w:val="007B069B"/>
    <w:rsid w:val="007B2FC3"/>
    <w:rsid w:val="007C6485"/>
    <w:rsid w:val="007D05C2"/>
    <w:rsid w:val="007D2761"/>
    <w:rsid w:val="007D4798"/>
    <w:rsid w:val="007E2D40"/>
    <w:rsid w:val="007E389C"/>
    <w:rsid w:val="007F295F"/>
    <w:rsid w:val="00804408"/>
    <w:rsid w:val="00806207"/>
    <w:rsid w:val="00812A05"/>
    <w:rsid w:val="00815119"/>
    <w:rsid w:val="00831AD6"/>
    <w:rsid w:val="008337FA"/>
    <w:rsid w:val="00842468"/>
    <w:rsid w:val="00843CE9"/>
    <w:rsid w:val="0084671F"/>
    <w:rsid w:val="00852BE6"/>
    <w:rsid w:val="00852E07"/>
    <w:rsid w:val="00892127"/>
    <w:rsid w:val="008927E8"/>
    <w:rsid w:val="008A27F1"/>
    <w:rsid w:val="008C0906"/>
    <w:rsid w:val="008C2A50"/>
    <w:rsid w:val="008D6B71"/>
    <w:rsid w:val="008E1205"/>
    <w:rsid w:val="008E1BD5"/>
    <w:rsid w:val="008E27EE"/>
    <w:rsid w:val="00901725"/>
    <w:rsid w:val="00901C09"/>
    <w:rsid w:val="00910378"/>
    <w:rsid w:val="00912D9E"/>
    <w:rsid w:val="00946898"/>
    <w:rsid w:val="00952B2A"/>
    <w:rsid w:val="00967C85"/>
    <w:rsid w:val="009960D7"/>
    <w:rsid w:val="009A77C1"/>
    <w:rsid w:val="009B2358"/>
    <w:rsid w:val="009C2210"/>
    <w:rsid w:val="00A03F84"/>
    <w:rsid w:val="00A10CC4"/>
    <w:rsid w:val="00A16837"/>
    <w:rsid w:val="00A173F2"/>
    <w:rsid w:val="00A22321"/>
    <w:rsid w:val="00A22517"/>
    <w:rsid w:val="00A36961"/>
    <w:rsid w:val="00A426F3"/>
    <w:rsid w:val="00A43193"/>
    <w:rsid w:val="00A520B6"/>
    <w:rsid w:val="00A52C4D"/>
    <w:rsid w:val="00A567C5"/>
    <w:rsid w:val="00A6116C"/>
    <w:rsid w:val="00A64EBA"/>
    <w:rsid w:val="00A71257"/>
    <w:rsid w:val="00A74822"/>
    <w:rsid w:val="00A873CF"/>
    <w:rsid w:val="00AA243E"/>
    <w:rsid w:val="00AB1BDB"/>
    <w:rsid w:val="00AB28D4"/>
    <w:rsid w:val="00AB52E7"/>
    <w:rsid w:val="00AD0DDC"/>
    <w:rsid w:val="00AD5465"/>
    <w:rsid w:val="00AD647D"/>
    <w:rsid w:val="00AE19F5"/>
    <w:rsid w:val="00AF7C4E"/>
    <w:rsid w:val="00B06BC8"/>
    <w:rsid w:val="00B17B1E"/>
    <w:rsid w:val="00B30D64"/>
    <w:rsid w:val="00B554DA"/>
    <w:rsid w:val="00B612D6"/>
    <w:rsid w:val="00B6545A"/>
    <w:rsid w:val="00B65D62"/>
    <w:rsid w:val="00B700C0"/>
    <w:rsid w:val="00B71F0F"/>
    <w:rsid w:val="00B733B0"/>
    <w:rsid w:val="00B8016A"/>
    <w:rsid w:val="00B95D49"/>
    <w:rsid w:val="00BA0A22"/>
    <w:rsid w:val="00BA71BF"/>
    <w:rsid w:val="00BB45CE"/>
    <w:rsid w:val="00BC2516"/>
    <w:rsid w:val="00BD3934"/>
    <w:rsid w:val="00BD50E2"/>
    <w:rsid w:val="00BF46B8"/>
    <w:rsid w:val="00BF78EF"/>
    <w:rsid w:val="00C15EA0"/>
    <w:rsid w:val="00C16096"/>
    <w:rsid w:val="00C16337"/>
    <w:rsid w:val="00C353D5"/>
    <w:rsid w:val="00C405C0"/>
    <w:rsid w:val="00C45F8C"/>
    <w:rsid w:val="00C55B4D"/>
    <w:rsid w:val="00C55D97"/>
    <w:rsid w:val="00C6368D"/>
    <w:rsid w:val="00C8123A"/>
    <w:rsid w:val="00CA4CB0"/>
    <w:rsid w:val="00CA5C5D"/>
    <w:rsid w:val="00CA6C49"/>
    <w:rsid w:val="00CB65E6"/>
    <w:rsid w:val="00CD6A48"/>
    <w:rsid w:val="00CE1E62"/>
    <w:rsid w:val="00CE7BBE"/>
    <w:rsid w:val="00D0383C"/>
    <w:rsid w:val="00D318AC"/>
    <w:rsid w:val="00D65E4D"/>
    <w:rsid w:val="00D7221E"/>
    <w:rsid w:val="00D925E7"/>
    <w:rsid w:val="00DA1050"/>
    <w:rsid w:val="00DA403A"/>
    <w:rsid w:val="00DC42DB"/>
    <w:rsid w:val="00DC5B22"/>
    <w:rsid w:val="00DD1899"/>
    <w:rsid w:val="00DE757A"/>
    <w:rsid w:val="00DF3144"/>
    <w:rsid w:val="00DF5AF7"/>
    <w:rsid w:val="00DF7380"/>
    <w:rsid w:val="00E03AFD"/>
    <w:rsid w:val="00E13F7E"/>
    <w:rsid w:val="00E20B5F"/>
    <w:rsid w:val="00E237DC"/>
    <w:rsid w:val="00E244E7"/>
    <w:rsid w:val="00E24778"/>
    <w:rsid w:val="00E30C11"/>
    <w:rsid w:val="00E32704"/>
    <w:rsid w:val="00E37204"/>
    <w:rsid w:val="00E4088D"/>
    <w:rsid w:val="00E42681"/>
    <w:rsid w:val="00E43483"/>
    <w:rsid w:val="00E64D59"/>
    <w:rsid w:val="00E72412"/>
    <w:rsid w:val="00EB669E"/>
    <w:rsid w:val="00EC3906"/>
    <w:rsid w:val="00F319EF"/>
    <w:rsid w:val="00F72B3D"/>
    <w:rsid w:val="00F74791"/>
    <w:rsid w:val="00F86C1B"/>
    <w:rsid w:val="00F90B41"/>
    <w:rsid w:val="00F96B69"/>
    <w:rsid w:val="00FA362A"/>
    <w:rsid w:val="00FA6321"/>
    <w:rsid w:val="00FC560D"/>
    <w:rsid w:val="00FD08D2"/>
    <w:rsid w:val="00FD7365"/>
    <w:rsid w:val="00FE0DCE"/>
    <w:rsid w:val="00FE565E"/>
    <w:rsid w:val="00FE78CD"/>
    <w:rsid w:val="00FF2DF7"/>
    <w:rsid w:val="00FF61B5"/>
    <w:rsid w:val="1BFA4C5A"/>
    <w:rsid w:val="31CC737B"/>
    <w:rsid w:val="3A65D883"/>
    <w:rsid w:val="3EBE3E3C"/>
    <w:rsid w:val="4BCF119C"/>
    <w:rsid w:val="5ACFE3F6"/>
    <w:rsid w:val="6A071482"/>
    <w:rsid w:val="70F17770"/>
    <w:rsid w:val="75660241"/>
    <w:rsid w:val="772E536F"/>
    <w:rsid w:val="9B7E7959"/>
    <w:rsid w:val="FFEF08BB"/>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1"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2"/>
    <w:basedOn w:val="1"/>
    <w:next w:val="1"/>
    <w:link w:val="22"/>
    <w:qFormat/>
    <w:uiPriority w:val="1"/>
    <w:pPr>
      <w:autoSpaceDE w:val="0"/>
      <w:autoSpaceDN w:val="0"/>
      <w:ind w:left="5114" w:hanging="4392"/>
      <w:jc w:val="left"/>
      <w:outlineLvl w:val="1"/>
    </w:pPr>
    <w:rPr>
      <w:rFonts w:ascii="宋体" w:hAnsi="宋体" w:eastAsia="宋体" w:cs="宋体"/>
      <w:kern w:val="0"/>
      <w:sz w:val="18"/>
      <w:szCs w:val="18"/>
      <w:lang w:val="zh-CN" w:bidi="zh-CN"/>
    </w:rPr>
  </w:style>
  <w:style w:type="character" w:default="1" w:styleId="12">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3">
    <w:name w:val="annotation text"/>
    <w:basedOn w:val="1"/>
    <w:link w:val="19"/>
    <w:semiHidden/>
    <w:unhideWhenUsed/>
    <w:qFormat/>
    <w:uiPriority w:val="99"/>
    <w:pPr>
      <w:jc w:val="left"/>
    </w:pPr>
  </w:style>
  <w:style w:type="paragraph" w:styleId="4">
    <w:name w:val="Body Text"/>
    <w:basedOn w:val="1"/>
    <w:link w:val="20"/>
    <w:qFormat/>
    <w:uiPriority w:val="1"/>
    <w:pPr>
      <w:autoSpaceDE w:val="0"/>
      <w:autoSpaceDN w:val="0"/>
      <w:jc w:val="left"/>
    </w:pPr>
    <w:rPr>
      <w:rFonts w:ascii="宋体" w:hAnsi="宋体" w:eastAsia="宋体" w:cs="宋体"/>
      <w:kern w:val="0"/>
      <w:sz w:val="14"/>
      <w:szCs w:val="14"/>
      <w:lang w:val="zh-CN" w:bidi="zh-CN"/>
    </w:rPr>
  </w:style>
  <w:style w:type="paragraph" w:styleId="5">
    <w:name w:val="Date"/>
    <w:basedOn w:val="1"/>
    <w:next w:val="1"/>
    <w:link w:val="18"/>
    <w:semiHidden/>
    <w:unhideWhenUsed/>
    <w:qFormat/>
    <w:uiPriority w:val="99"/>
    <w:pPr>
      <w:ind w:left="100" w:leftChars="2500"/>
    </w:pPr>
  </w:style>
  <w:style w:type="paragraph" w:styleId="6">
    <w:name w:val="Balloon Text"/>
    <w:basedOn w:val="1"/>
    <w:link w:val="17"/>
    <w:semiHidden/>
    <w:unhideWhenUsed/>
    <w:qFormat/>
    <w:uiPriority w:val="99"/>
    <w:rPr>
      <w:sz w:val="18"/>
      <w:szCs w:val="18"/>
    </w:rPr>
  </w:style>
  <w:style w:type="paragraph" w:styleId="7">
    <w:name w:val="footer"/>
    <w:basedOn w:val="1"/>
    <w:link w:val="16"/>
    <w:unhideWhenUsed/>
    <w:qFormat/>
    <w:uiPriority w:val="99"/>
    <w:pPr>
      <w:tabs>
        <w:tab w:val="center" w:pos="4153"/>
        <w:tab w:val="right" w:pos="8306"/>
      </w:tabs>
      <w:snapToGrid w:val="0"/>
      <w:jc w:val="left"/>
    </w:pPr>
    <w:rPr>
      <w:sz w:val="18"/>
      <w:szCs w:val="18"/>
    </w:rPr>
  </w:style>
  <w:style w:type="paragraph" w:styleId="8">
    <w:name w:val="header"/>
    <w:basedOn w:val="1"/>
    <w:link w:val="15"/>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annotation subject"/>
    <w:basedOn w:val="3"/>
    <w:next w:val="3"/>
    <w:link w:val="23"/>
    <w:semiHidden/>
    <w:unhideWhenUsed/>
    <w:qFormat/>
    <w:uiPriority w:val="99"/>
    <w:rPr>
      <w:b/>
      <w:bCs/>
    </w:rPr>
  </w:style>
  <w:style w:type="table" w:styleId="11">
    <w:name w:val="Table Grid"/>
    <w:basedOn w:val="1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3">
    <w:name w:val="annotation reference"/>
    <w:basedOn w:val="12"/>
    <w:semiHidden/>
    <w:unhideWhenUsed/>
    <w:qFormat/>
    <w:uiPriority w:val="99"/>
    <w:rPr>
      <w:sz w:val="21"/>
      <w:szCs w:val="21"/>
    </w:rPr>
  </w:style>
  <w:style w:type="paragraph" w:styleId="14">
    <w:name w:val="List Paragraph"/>
    <w:basedOn w:val="1"/>
    <w:qFormat/>
    <w:uiPriority w:val="34"/>
    <w:pPr>
      <w:ind w:firstLine="420" w:firstLineChars="200"/>
    </w:pPr>
  </w:style>
  <w:style w:type="character" w:customStyle="1" w:styleId="15">
    <w:name w:val="页眉 字符"/>
    <w:basedOn w:val="12"/>
    <w:link w:val="8"/>
    <w:qFormat/>
    <w:uiPriority w:val="99"/>
    <w:rPr>
      <w:sz w:val="18"/>
      <w:szCs w:val="18"/>
    </w:rPr>
  </w:style>
  <w:style w:type="character" w:customStyle="1" w:styleId="16">
    <w:name w:val="页脚 字符"/>
    <w:basedOn w:val="12"/>
    <w:link w:val="7"/>
    <w:qFormat/>
    <w:uiPriority w:val="99"/>
    <w:rPr>
      <w:sz w:val="18"/>
      <w:szCs w:val="18"/>
    </w:rPr>
  </w:style>
  <w:style w:type="character" w:customStyle="1" w:styleId="17">
    <w:name w:val="批注框文本 字符"/>
    <w:basedOn w:val="12"/>
    <w:link w:val="6"/>
    <w:semiHidden/>
    <w:qFormat/>
    <w:uiPriority w:val="99"/>
    <w:rPr>
      <w:sz w:val="18"/>
      <w:szCs w:val="18"/>
    </w:rPr>
  </w:style>
  <w:style w:type="character" w:customStyle="1" w:styleId="18">
    <w:name w:val="日期 字符"/>
    <w:basedOn w:val="12"/>
    <w:link w:val="5"/>
    <w:semiHidden/>
    <w:qFormat/>
    <w:uiPriority w:val="99"/>
  </w:style>
  <w:style w:type="character" w:customStyle="1" w:styleId="19">
    <w:name w:val="批注文字 字符"/>
    <w:basedOn w:val="12"/>
    <w:link w:val="3"/>
    <w:semiHidden/>
    <w:qFormat/>
    <w:uiPriority w:val="99"/>
  </w:style>
  <w:style w:type="character" w:customStyle="1" w:styleId="20">
    <w:name w:val="正文文本 字符"/>
    <w:basedOn w:val="12"/>
    <w:link w:val="4"/>
    <w:qFormat/>
    <w:uiPriority w:val="1"/>
    <w:rPr>
      <w:rFonts w:ascii="宋体" w:hAnsi="宋体" w:eastAsia="宋体" w:cs="宋体"/>
      <w:kern w:val="0"/>
      <w:sz w:val="14"/>
      <w:szCs w:val="14"/>
      <w:lang w:val="zh-CN" w:bidi="zh-CN"/>
    </w:rPr>
  </w:style>
  <w:style w:type="paragraph" w:customStyle="1" w:styleId="21">
    <w:name w:val="列出段落1"/>
    <w:basedOn w:val="1"/>
    <w:qFormat/>
    <w:uiPriority w:val="34"/>
    <w:pPr>
      <w:autoSpaceDE w:val="0"/>
      <w:autoSpaceDN w:val="0"/>
      <w:ind w:left="838" w:hanging="362"/>
      <w:jc w:val="left"/>
    </w:pPr>
    <w:rPr>
      <w:rFonts w:ascii="宋体" w:hAnsi="宋体" w:eastAsia="宋体" w:cs="宋体"/>
      <w:kern w:val="0"/>
      <w:sz w:val="22"/>
      <w:lang w:val="zh-CN" w:bidi="zh-CN"/>
    </w:rPr>
  </w:style>
  <w:style w:type="character" w:customStyle="1" w:styleId="22">
    <w:name w:val="标题 2 字符"/>
    <w:basedOn w:val="12"/>
    <w:link w:val="2"/>
    <w:qFormat/>
    <w:uiPriority w:val="1"/>
    <w:rPr>
      <w:rFonts w:ascii="宋体" w:hAnsi="宋体" w:eastAsia="宋体" w:cs="宋体"/>
      <w:kern w:val="0"/>
      <w:sz w:val="18"/>
      <w:szCs w:val="18"/>
      <w:lang w:val="zh-CN" w:bidi="zh-CN"/>
    </w:rPr>
  </w:style>
  <w:style w:type="character" w:customStyle="1" w:styleId="23">
    <w:name w:val="批注主题 字符"/>
    <w:basedOn w:val="19"/>
    <w:link w:val="9"/>
    <w:semiHidden/>
    <w:qFormat/>
    <w:uiPriority w:val="99"/>
    <w:rPr>
      <w:b/>
      <w:bCs/>
    </w:rPr>
  </w:style>
</w:styles>
</file>

<file path=word/_rels/document.xml.rels><?xml version="1.0" encoding="UTF-8" standalone="yes"?>
<Relationships xmlns="http://schemas.openxmlformats.org/package/2006/relationships"><Relationship Id="rId9" Type="http://schemas.openxmlformats.org/officeDocument/2006/relationships/image" Target="media/image2.jpeg"/><Relationship Id="rId8" Type="http://schemas.openxmlformats.org/officeDocument/2006/relationships/image" Target="media/image1.jpe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1" Type="http://schemas.openxmlformats.org/officeDocument/2006/relationships/fontTable" Target="fontTable.xml"/><Relationship Id="rId20" Type="http://schemas.openxmlformats.org/officeDocument/2006/relationships/customXml" Target="../customXml/item2.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customXml" Target="../customXml/item1.xml"/><Relationship Id="rId17" Type="http://schemas.openxmlformats.org/officeDocument/2006/relationships/image" Target="media/image10.jpeg"/><Relationship Id="rId16" Type="http://schemas.openxmlformats.org/officeDocument/2006/relationships/image" Target="media/image9.jpeg"/><Relationship Id="rId15" Type="http://schemas.openxmlformats.org/officeDocument/2006/relationships/image" Target="media/image8.jpeg"/><Relationship Id="rId14" Type="http://schemas.openxmlformats.org/officeDocument/2006/relationships/image" Target="media/image7.jpeg"/><Relationship Id="rId13" Type="http://schemas.microsoft.com/office/2007/relationships/hdphoto" Target="media/image6.wdp"/><Relationship Id="rId12" Type="http://schemas.openxmlformats.org/officeDocument/2006/relationships/image" Target="media/image5.png"/><Relationship Id="rId11" Type="http://schemas.openxmlformats.org/officeDocument/2006/relationships/image" Target="media/image4.jpeg"/><Relationship Id="rId10" Type="http://schemas.openxmlformats.org/officeDocument/2006/relationships/image" Target="media/image3.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SelectedStyle="\APASixthEditionOfficeOnline.xsl" Version="6"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03B3CE2-B69E-4371-9970-38D4C7F0F801}">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26</Pages>
  <Words>6918</Words>
  <Characters>7398</Characters>
  <Lines>60</Lines>
  <Paragraphs>17</Paragraphs>
  <TotalTime>9</TotalTime>
  <ScaleCrop>false</ScaleCrop>
  <LinksUpToDate>false</LinksUpToDate>
  <CharactersWithSpaces>7460</CharactersWithSpaces>
  <Application>WPS Office_12.8.2.1113_F1E327BC-269C-435d-A152-05C5408002CA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2024-03-08T05:40:00Z</dcterms:created>
  <dc:creator>Lenovo</dc:creator>
  <cp:lastModifiedBy>user</cp:lastModifiedBy>
  <cp:lastPrinted>2023-12-14T07:02:00Z</cp:lastPrinted>
  <dcterms:modified xsi:type="dcterms:W3CDTF">2024-12-25T08:35:28Z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2052-12.8.2.1113</vt:lpwstr>
  </property>
  <property fmtid="{D5CDD505-2E9C-101B-9397-08002B2CF9AE}" pid="3" name="ICV">
    <vt:lpwstr>F1B2E47CD8A114850FC268672AFCED70_43</vt:lpwstr>
  </property>
</Properties>
</file>