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9"/>
        <w:autoSpaceDE/>
        <w:autoSpaceDN/>
        <w:ind w:firstLine="588" w:firstLineChars="200"/>
        <w:contextualSpacing/>
        <w:outlineLvl w:val="0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附件：</w:t>
      </w: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9"/>
        <w:autoSpaceDE/>
        <w:autoSpaceDN/>
        <w:ind w:firstLine="480" w:firstLineChars="200"/>
        <w:contextualSpacing/>
        <w:outlineLvl w:val="0"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autoSpaceDE/>
        <w:autoSpaceDN/>
        <w:ind w:firstLine="200"/>
        <w:contextualSpacing/>
        <w:jc w:val="center"/>
        <w:outlineLvl w:val="0"/>
        <w:rPr>
          <w:rFonts w:ascii="方正小标宋简体" w:eastAsia="方正小标宋简体" w:hAnsiTheme="minorEastAsia"/>
          <w:color w:val="auto"/>
          <w:sz w:val="44"/>
          <w:szCs w:val="44"/>
        </w:rPr>
      </w:pPr>
      <w:r>
        <w:rPr>
          <w:rFonts w:hint="eastAsia" w:ascii="方正小标宋简体" w:eastAsia="方正小标宋简体" w:hAnsiTheme="minorEastAsia"/>
          <w:color w:val="auto"/>
          <w:sz w:val="44"/>
          <w:szCs w:val="44"/>
        </w:rPr>
        <w:t>上海市龙华烈士陵园</w:t>
      </w:r>
    </w:p>
    <w:p>
      <w:pPr>
        <w:autoSpaceDE/>
        <w:autoSpaceDN/>
        <w:ind w:firstLine="200"/>
        <w:contextualSpacing/>
        <w:jc w:val="center"/>
        <w:outlineLvl w:val="0"/>
        <w:rPr>
          <w:rFonts w:ascii="方正小标宋简体" w:eastAsia="方正小标宋简体" w:hAnsiTheme="minorEastAsia"/>
          <w:color w:val="auto"/>
          <w:sz w:val="44"/>
          <w:szCs w:val="44"/>
        </w:rPr>
      </w:pPr>
      <w:r>
        <w:rPr>
          <w:rFonts w:hint="eastAsia" w:ascii="方正小标宋简体" w:eastAsia="方正小标宋简体" w:hAnsiTheme="minorEastAsia"/>
          <w:color w:val="auto"/>
          <w:sz w:val="44"/>
          <w:szCs w:val="44"/>
        </w:rPr>
        <w:t>绿化养护项目采购需求</w:t>
      </w:r>
    </w:p>
    <w:p>
      <w:pPr>
        <w:autoSpaceDE/>
        <w:autoSpaceDN/>
        <w:ind w:firstLine="883" w:firstLineChars="200"/>
        <w:contextualSpacing/>
        <w:jc w:val="center"/>
        <w:outlineLvl w:val="0"/>
        <w:rPr>
          <w:rFonts w:asciiTheme="minorEastAsia" w:hAnsiTheme="minorEastAsia" w:eastAsiaTheme="minorEastAsia"/>
          <w:b/>
          <w:color w:val="auto"/>
          <w:sz w:val="44"/>
          <w:szCs w:val="44"/>
        </w:rPr>
      </w:pPr>
    </w:p>
    <w:p>
      <w:pPr>
        <w:autoSpaceDE/>
        <w:autoSpaceDN/>
        <w:ind w:firstLine="883" w:firstLineChars="200"/>
        <w:contextualSpacing/>
        <w:jc w:val="center"/>
        <w:outlineLvl w:val="0"/>
        <w:rPr>
          <w:rFonts w:asciiTheme="minorEastAsia" w:hAnsiTheme="minorEastAsia" w:eastAsiaTheme="minorEastAsia"/>
          <w:b/>
          <w:color w:val="auto"/>
          <w:sz w:val="44"/>
          <w:szCs w:val="44"/>
        </w:rPr>
        <w:sectPr>
          <w:footerReference r:id="rId6" w:type="first"/>
          <w:headerReference r:id="rId3" w:type="default"/>
          <w:footerReference r:id="rId5" w:type="default"/>
          <w:headerReference r:id="rId4" w:type="even"/>
          <w:pgSz w:w="11910" w:h="16840"/>
          <w:pgMar w:top="2098" w:right="1531" w:bottom="1985" w:left="1531" w:header="0" w:footer="68" w:gutter="0"/>
          <w:pgNumType w:start="1"/>
          <w:cols w:equalWidth="0" w:num="1">
            <w:col w:w="9419"/>
          </w:cols>
          <w:titlePg/>
          <w:docGrid w:linePitch="299" w:charSpace="0"/>
        </w:sectPr>
      </w:pPr>
    </w:p>
    <w:p>
      <w:pPr>
        <w:autoSpaceDE/>
        <w:autoSpaceDN/>
        <w:spacing w:line="560" w:lineRule="exact"/>
        <w:ind w:firstLine="643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黑体" w:hAnsi="黑体" w:eastAsia="黑体" w:cstheme="minorEastAsia"/>
          <w:b/>
          <w:color w:val="auto"/>
          <w:sz w:val="32"/>
          <w:szCs w:val="32"/>
        </w:rPr>
        <w:t>一、项目概况</w:t>
      </w:r>
    </w:p>
    <w:p>
      <w:pPr>
        <w:pStyle w:val="26"/>
        <w:numPr>
          <w:ilvl w:val="1"/>
          <w:numId w:val="1"/>
        </w:numPr>
        <w:tabs>
          <w:tab w:val="left" w:pos="983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项目名称：上海市龙华烈士陵园绿化养护项目</w:t>
      </w:r>
    </w:p>
    <w:p>
      <w:pPr>
        <w:pStyle w:val="26"/>
        <w:numPr>
          <w:ilvl w:val="1"/>
          <w:numId w:val="1"/>
        </w:numPr>
        <w:tabs>
          <w:tab w:val="left" w:pos="983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招标人：上海市龙华烈士陵园（龙华烈士纪念馆、上海市烈士纪念设施保护中心）</w:t>
      </w:r>
    </w:p>
    <w:p>
      <w:pPr>
        <w:pStyle w:val="26"/>
        <w:numPr>
          <w:ilvl w:val="1"/>
          <w:numId w:val="1"/>
        </w:numPr>
        <w:tabs>
          <w:tab w:val="left" w:pos="983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本招标文件是本项目招标过程中的规定文件，是各投标单位编制投标文件的依据，是招标人与中标单位签订养护承包合同的依据，也是本项目文件的主要组成部分。</w:t>
      </w:r>
    </w:p>
    <w:p>
      <w:pPr>
        <w:autoSpaceDE/>
        <w:autoSpaceDN/>
        <w:spacing w:line="560" w:lineRule="exact"/>
        <w:ind w:firstLine="643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黑体" w:hAnsi="黑体" w:eastAsia="黑体" w:cstheme="minorEastAsia"/>
          <w:b/>
          <w:color w:val="auto"/>
          <w:sz w:val="32"/>
          <w:szCs w:val="32"/>
        </w:rPr>
        <w:t>二、招标地块情况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上海市龙华烈士陵园位于上海市徐汇区龙华西路180号，是全国重点文物保护单位和重点烈士纪念建筑物保护单位，4A红色旅游景区，四星级公园，全国爱国主义教育基地，全国中小学生研学实践教育基地，国家一级博物馆。绿化养护按照一级绿地的养护要求进行管理，保障陵园庄重肃穆的绿化效果，提升英烈祭扫的环境氛围</w:t>
      </w:r>
      <w:r>
        <w:rPr>
          <w:rFonts w:hint="eastAsia" w:ascii="仿宋_GB2312" w:eastAsia="仿宋_GB2312" w:hAnsiTheme="minorEastAsia" w:cstheme="minorEastAsia"/>
          <w:bCs/>
          <w:color w:val="auto"/>
          <w:spacing w:val="-1"/>
          <w:sz w:val="32"/>
          <w:szCs w:val="32"/>
        </w:rPr>
        <w:t>。</w:t>
      </w:r>
    </w:p>
    <w:p>
      <w:pPr>
        <w:autoSpaceDE/>
        <w:autoSpaceDN/>
        <w:spacing w:line="560" w:lineRule="exact"/>
        <w:ind w:firstLine="643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黑体" w:hAnsi="黑体" w:eastAsia="黑体" w:cstheme="minorEastAsia"/>
          <w:b/>
          <w:color w:val="auto"/>
          <w:sz w:val="32"/>
          <w:szCs w:val="32"/>
        </w:rPr>
        <w:t>三、现场条件</w:t>
      </w:r>
    </w:p>
    <w:p>
      <w:pPr>
        <w:pStyle w:val="26"/>
        <w:numPr>
          <w:ilvl w:val="1"/>
          <w:numId w:val="2"/>
        </w:numPr>
        <w:tabs>
          <w:tab w:val="left" w:pos="983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甲方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提供水、电、工具用房、办公场所，不提供生活用房、养护机械等设施，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中标公司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自行安排。</w:t>
      </w:r>
    </w:p>
    <w:p>
      <w:pPr>
        <w:pStyle w:val="26"/>
        <w:numPr>
          <w:ilvl w:val="1"/>
          <w:numId w:val="2"/>
        </w:numPr>
        <w:tabs>
          <w:tab w:val="left" w:pos="142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中标公司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应重视养护工人在现场操作时的安全问题，进行上岗安全知识教育，严格遵循各项操作技术规程，并采取必要的安全保障措施。</w:t>
      </w:r>
    </w:p>
    <w:p>
      <w:pPr>
        <w:pStyle w:val="26"/>
        <w:numPr>
          <w:ilvl w:val="1"/>
          <w:numId w:val="2"/>
        </w:numPr>
        <w:tabs>
          <w:tab w:val="left" w:pos="142"/>
        </w:tabs>
        <w:autoSpaceDE/>
        <w:autoSpaceDN/>
        <w:spacing w:line="560" w:lineRule="exact"/>
        <w:ind w:left="0"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养护工作中应配置统一工作服，注意文明用语，做到工完场清，妥善安排好养护工具的摆放和绿化垃圾的处置。高空作业、动火作业需手续办理后方可开工，安全保障物资应合规使用。高温天气注意避开高温时期进行室外作业，极端天气注意安全防范工作。</w:t>
      </w:r>
    </w:p>
    <w:p>
      <w:pPr>
        <w:autoSpaceDE/>
        <w:autoSpaceDN/>
        <w:spacing w:line="560" w:lineRule="exact"/>
        <w:ind w:firstLine="643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黑体" w:hAnsi="黑体" w:eastAsia="黑体" w:cstheme="minorEastAsia"/>
          <w:b/>
          <w:color w:val="auto"/>
          <w:sz w:val="32"/>
          <w:szCs w:val="32"/>
        </w:rPr>
        <w:t>四、承包内容和范围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 xml:space="preserve">.1 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上海市龙华烈士陵园园区绿化养护面积约为1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2万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平方米。做好园林树木、水生植物、林地、绿篱、地被及草坪的全年的养护工作，包括除草、病虫害防治、修剪、灌溉、施肥、支撑绑扎、缺绿补植等内容；及与养护对应的档案资料管理工作；土壤改良并提供具备C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MA认证的第三方机构出具的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土壤检测报告、园椅的维护以及重大节点园内景观绿化保障工作等。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.2 根据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园区实际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情况，针对性地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提供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土壤修复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、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植物调整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优化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方案以及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对特殊区域（墓区）的绿化、</w:t>
      </w:r>
      <w:r>
        <w:rPr>
          <w:rFonts w:hint="eastAsia" w:ascii="仿宋_GB2312" w:eastAsia="仿宋_GB2312"/>
          <w:color w:val="auto"/>
          <w:sz w:val="32"/>
          <w:szCs w:val="32"/>
        </w:rPr>
        <w:t>特殊植株（楠木、竹林）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提供养护方案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.3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养护期间，若发生非业主方或自然因素，或因承包方养护管理不善造成绿地内各类苗木的死亡（包括人为践踏造成的）和建筑、道路地坪等设施损坏，均由中标公司负责补缺和修缮。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.4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苗木过密的林区，每年必须按招标人要求进行苗木的淘汰和抽稀。苗木淘汰以及少量苗木抽稀而产生的挖掘、移植等费用包含在报价中。因疏植而发生的多余苗木，其产权归甲方所有。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4.5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包括防台防汛及按要求进行的演习活动等；包括要符合不断提高的服务（质量）要求；包括对发生的游客等安全问题的应对、应急措施。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4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.6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特殊情况下，如节假日、配合检查、市区局举办的各类“创建”活动等，甲方要求中标公司服从调配，中标公司须无条件听从。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★4.7投标人的报价明细不得对采购需求中工作量清单内容进行缩减。</w:t>
      </w:r>
    </w:p>
    <w:p>
      <w:pPr>
        <w:pStyle w:val="26"/>
        <w:tabs>
          <w:tab w:val="left" w:pos="1083"/>
        </w:tabs>
        <w:autoSpaceDE/>
        <w:autoSpaceDN/>
        <w:spacing w:line="560" w:lineRule="exact"/>
        <w:ind w:left="476" w:firstLine="0"/>
        <w:contextualSpacing/>
        <w:jc w:val="both"/>
        <w:outlineLvl w:val="0"/>
        <w:rPr>
          <w:rFonts w:ascii="黑体" w:hAnsi="黑体" w:eastAsia="黑体" w:cstheme="minorEastAsia"/>
          <w:b/>
          <w:color w:val="auto"/>
          <w:sz w:val="32"/>
          <w:szCs w:val="32"/>
        </w:rPr>
      </w:pPr>
      <w:r>
        <w:rPr>
          <w:rFonts w:hint="eastAsia" w:ascii="黑体" w:hAnsi="黑体" w:eastAsia="黑体" w:cstheme="minorEastAsia"/>
          <w:b/>
          <w:color w:val="auto"/>
          <w:sz w:val="32"/>
          <w:szCs w:val="32"/>
        </w:rPr>
        <w:t>五、承包期限和方式</w:t>
      </w:r>
    </w:p>
    <w:p>
      <w:pPr>
        <w:pStyle w:val="26"/>
        <w:numPr>
          <w:ilvl w:val="1"/>
          <w:numId w:val="3"/>
        </w:numPr>
        <w:tabs>
          <w:tab w:val="left" w:pos="983"/>
        </w:tabs>
        <w:autoSpaceDE/>
        <w:autoSpaceDN/>
        <w:spacing w:line="560" w:lineRule="exact"/>
        <w:ind w:left="0" w:firstLine="812" w:firstLineChars="254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绿化养护时长为2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  <w:t>025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年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1月-12月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。</w:t>
      </w:r>
    </w:p>
    <w:p>
      <w:pPr>
        <w:pStyle w:val="26"/>
        <w:numPr>
          <w:ilvl w:val="1"/>
          <w:numId w:val="3"/>
        </w:numPr>
        <w:tabs>
          <w:tab w:val="left" w:pos="983"/>
        </w:tabs>
        <w:autoSpaceDE/>
        <w:autoSpaceDN/>
        <w:spacing w:line="560" w:lineRule="exact"/>
        <w:ind w:left="0" w:firstLine="812" w:firstLineChars="254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</w:rPr>
        <w:t>承包方式：采用包工包料方式。</w:t>
      </w: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pStyle w:val="26"/>
        <w:tabs>
          <w:tab w:val="left" w:pos="983"/>
        </w:tabs>
        <w:autoSpaceDE/>
        <w:autoSpaceDN/>
        <w:spacing w:line="560" w:lineRule="exact"/>
        <w:ind w:left="0" w:firstLine="0"/>
        <w:contextualSpacing/>
        <w:jc w:val="both"/>
        <w:outlineLvl w:val="0"/>
        <w:rPr>
          <w:rFonts w:ascii="仿宋_GB2312" w:eastAsia="仿宋_GB2312" w:hAnsiTheme="minorEastAsia" w:cstheme="minorEastAsia"/>
          <w:bCs/>
          <w:color w:val="auto"/>
          <w:sz w:val="32"/>
          <w:szCs w:val="32"/>
        </w:rPr>
      </w:pP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附件：1.养护技术规范（包括但不限于）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</w:p>
    <w:p>
      <w:pPr>
        <w:pStyle w:val="9"/>
        <w:autoSpaceDE/>
        <w:autoSpaceDN/>
        <w:spacing w:line="560" w:lineRule="exact"/>
        <w:ind w:right="484" w:rightChars="220" w:firstLine="676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pacing w:val="1"/>
          <w:w w:val="105"/>
          <w:sz w:val="32"/>
          <w:szCs w:val="32"/>
        </w:rPr>
        <w:t>《园林植物栽植技术规程》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DG/TJ08-18-2011</w:t>
      </w:r>
    </w:p>
    <w:p>
      <w:pPr>
        <w:pStyle w:val="9"/>
        <w:tabs>
          <w:tab w:val="left" w:pos="3933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《园林绿化养护标准》DG/TJ08-19-2023</w:t>
      </w: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《绿化植物保护技术规程》DG/TJ08-35-2014</w:t>
      </w: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  <w:lang w:val="en-US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《园林绿化工程施工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  <w:lang w:val="en-US"/>
        </w:rPr>
        <w:t>质量验收标准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》DG/TJ08-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  <w:lang w:val="en-US"/>
        </w:rPr>
        <w:t>701-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20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  <w:lang w:val="en-US"/>
        </w:rPr>
        <w:t>10</w:t>
      </w: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《行道树养护技术规程》DG/TJ08-2105-2012</w:t>
      </w:r>
    </w:p>
    <w:p>
      <w:pPr>
        <w:pStyle w:val="9"/>
        <w:autoSpaceDE/>
        <w:autoSpaceDN/>
        <w:spacing w:line="560" w:lineRule="exact"/>
        <w:ind w:right="484" w:rightChars="220" w:firstLine="71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cs="Times New Roman" w:hAnsiTheme="minorEastAsia"/>
          <w:bCs/>
          <w:color w:val="auto"/>
          <w:spacing w:val="18"/>
          <w:sz w:val="32"/>
          <w:szCs w:val="32"/>
        </w:rPr>
        <w:t>《行道树栽植技术规程》DG/TJ08-53-2016</w:t>
      </w:r>
    </w:p>
    <w:p>
      <w:pPr>
        <w:pStyle w:val="9"/>
        <w:tabs>
          <w:tab w:val="left" w:pos="2637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《大树移植技术规程》DBJ08-53-96</w:t>
      </w:r>
    </w:p>
    <w:p>
      <w:pPr>
        <w:pStyle w:val="9"/>
        <w:tabs>
          <w:tab w:val="left" w:pos="2637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《园林绿化栽植土质量标准》DG/TJ08-231-2013</w:t>
      </w:r>
    </w:p>
    <w:p>
      <w:pPr>
        <w:pStyle w:val="9"/>
        <w:tabs>
          <w:tab w:val="left" w:pos="3573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</w:t>
      </w:r>
      <w:r>
        <w:rPr>
          <w:rFonts w:hint="eastAsia" w:ascii="仿宋_GB2312" w:eastAsia="仿宋_GB2312" w:cs="Times New Roman" w:hAnsiTheme="minorEastAsia"/>
          <w:bCs/>
          <w:color w:val="auto"/>
          <w:spacing w:val="18"/>
          <w:sz w:val="32"/>
          <w:szCs w:val="32"/>
        </w:rPr>
        <w:t>园林绿化草坪建植和养护技术规程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》DG/TJ08-67-2015</w:t>
      </w: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</w:t>
      </w:r>
      <w:r>
        <w:rPr>
          <w:rFonts w:hint="eastAsia" w:ascii="仿宋_GB2312" w:eastAsia="仿宋_GB2312" w:hAnsiTheme="minorEastAsia" w:cstheme="minorEastAsia"/>
          <w:color w:val="auto"/>
          <w:sz w:val="32"/>
          <w:szCs w:val="32"/>
        </w:rPr>
        <w:t>上海市园林工程预算定额（2016）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》</w:t>
      </w:r>
    </w:p>
    <w:p>
      <w:pPr>
        <w:pStyle w:val="9"/>
        <w:tabs>
          <w:tab w:val="left" w:pos="2421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《立体绿化技术规程》DG/TJ08-75-2014</w:t>
      </w: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《植物铭牌设置规范》DB31/T1233-2020</w:t>
      </w:r>
    </w:p>
    <w:p>
      <w:pPr>
        <w:pStyle w:val="9"/>
        <w:tabs>
          <w:tab w:val="left" w:pos="2421"/>
        </w:tabs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《古树名木和古树后续资源养护技术规程》DB31/T682-2013</w:t>
      </w:r>
    </w:p>
    <w:p>
      <w:pPr>
        <w:pStyle w:val="9"/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w w:val="105"/>
          <w:sz w:val="32"/>
          <w:szCs w:val="32"/>
        </w:rPr>
      </w:pPr>
    </w:p>
    <w:p>
      <w:pPr>
        <w:pStyle w:val="9"/>
        <w:autoSpaceDE/>
        <w:autoSpaceDN/>
        <w:spacing w:line="560" w:lineRule="exact"/>
        <w:ind w:right="484" w:rightChars="220" w:firstLine="672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以上技术规程如有更新的，则按新标准执行</w:t>
      </w:r>
    </w:p>
    <w:p>
      <w:pPr>
        <w:pStyle w:val="9"/>
        <w:autoSpaceDE/>
        <w:autoSpaceDN/>
        <w:spacing w:line="560" w:lineRule="exact"/>
        <w:ind w:right="484" w:rightChars="220" w:firstLine="636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pacing w:val="-1"/>
          <w:sz w:val="32"/>
          <w:szCs w:val="32"/>
        </w:rPr>
        <w:t>应特别注意有害生物防控工作：植保工作有专人负责；加强对蚜虫、蚧虫、天牛及食叶性害虫、煤污病和香樟黄化等重点病虫害的防控、做好其它常见病虫害的防治工作；做好</w:t>
      </w:r>
      <w:r>
        <w:rPr>
          <w:rFonts w:hint="eastAsia" w:ascii="仿宋_GB2312" w:eastAsia="仿宋_GB2312" w:hAnsiTheme="minorEastAsia"/>
          <w:color w:val="auto"/>
          <w:w w:val="105"/>
          <w:sz w:val="32"/>
          <w:szCs w:val="32"/>
        </w:rPr>
        <w:t>防治机械设备的储备；做到工作有计划，防治有记录。</w:t>
      </w:r>
    </w:p>
    <w:p>
      <w:pPr>
        <w:autoSpaceDE/>
        <w:autoSpaceDN/>
        <w:ind w:right="625" w:rightChars="284" w:firstLine="560" w:firstLineChars="200"/>
        <w:contextualSpacing/>
        <w:jc w:val="both"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  <w:r>
        <w:rPr>
          <w:rFonts w:hint="eastAsia" w:asciiTheme="minorEastAsia" w:hAnsiTheme="minorEastAsia" w:eastAsiaTheme="minorEastAsia"/>
          <w:color w:val="auto"/>
          <w:sz w:val="28"/>
          <w:szCs w:val="28"/>
        </w:rPr>
        <w:br w:type="page"/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附件：2</w:t>
      </w:r>
      <w:r>
        <w:rPr>
          <w:rFonts w:ascii="仿宋_GB2312" w:eastAsia="仿宋_GB2312" w:hAnsiTheme="minorEastAsia"/>
          <w:color w:val="auto"/>
          <w:sz w:val="32"/>
          <w:szCs w:val="32"/>
        </w:rPr>
        <w:t>.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龙华烈士陵园绿化养护要求</w:t>
      </w:r>
    </w:p>
    <w:p>
      <w:pPr>
        <w:pStyle w:val="34"/>
        <w:numPr>
          <w:ilvl w:val="0"/>
          <w:numId w:val="4"/>
        </w:numPr>
        <w:autoSpaceDE/>
        <w:autoSpaceDN/>
        <w:spacing w:line="560" w:lineRule="exact"/>
        <w:ind w:right="484" w:rightChars="220" w:firstLineChars="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技术部分要求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1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.1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项目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经理需专业对口，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需获得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绿化管理局工程系列的园林绿化或绿化林业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专业中级及以上职称，具有本科及以上学历，55周岁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以下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，具备15年及以上绿化养护服务经验。提供项目经理身份证复印件以及学历证书、职称证书、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近3个月内任意1个月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的应标公司在职社保记录、服务经历证明文件。项目实行养护队长考勤制度，需具有绿化相关专业专科及以上学历，专业对口并驻场，</w:t>
      </w:r>
      <w:r>
        <w:rPr>
          <w:rFonts w:ascii="仿宋_GB2312" w:eastAsia="仿宋_GB2312" w:hAnsiTheme="minorEastAsia"/>
          <w:color w:val="auto"/>
          <w:sz w:val="32"/>
          <w:szCs w:val="32"/>
        </w:rPr>
        <w:t>50周岁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以下，</w:t>
      </w:r>
      <w:r>
        <w:rPr>
          <w:rFonts w:ascii="仿宋_GB2312" w:eastAsia="仿宋_GB2312" w:hAnsiTheme="minorEastAsia"/>
          <w:color w:val="auto"/>
          <w:sz w:val="32"/>
          <w:szCs w:val="32"/>
        </w:rPr>
        <w:t>10年及以上绿化养护服务经验。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提供项目经理身份证复印件以及学历证书、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近3个月内任意1个月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的应标公司在职社保记录、服务经历证明文件。</w:t>
      </w:r>
    </w:p>
    <w:p>
      <w:pPr>
        <w:autoSpaceDE/>
        <w:autoSpaceDN/>
        <w:spacing w:line="560" w:lineRule="exact"/>
        <w:ind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配备至少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24</w:t>
      </w:r>
      <w:r>
        <w:rPr>
          <w:rFonts w:hint="eastAsia"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名专业养护人员进行日常养护工作，且需包含安全员、质量员、施工员，</w:t>
      </w:r>
      <w:r>
        <w:rPr>
          <w:rFonts w:ascii="仿宋_GB2312" w:eastAsia="仿宋_GB2312" w:hAnsiTheme="minorEastAsia" w:cstheme="minorEastAsia"/>
          <w:bCs/>
          <w:color w:val="auto"/>
          <w:sz w:val="32"/>
          <w:szCs w:val="32"/>
          <w:lang w:val="en-US"/>
        </w:rPr>
        <w:t>特种作业员工须100%持有效证书上</w:t>
      </w:r>
      <w:r>
        <w:rPr>
          <w:rFonts w:ascii="仿宋_GB2312" w:eastAsia="仿宋_GB2312" w:hAnsiTheme="minorEastAsia"/>
          <w:color w:val="auto"/>
          <w:sz w:val="32"/>
          <w:szCs w:val="32"/>
        </w:rPr>
        <w:t>岗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（如高空作业、绿化养护师等）</w:t>
      </w:r>
      <w:r>
        <w:rPr>
          <w:rFonts w:ascii="仿宋_GB2312" w:eastAsia="仿宋_GB2312" w:hAnsiTheme="minorEastAsia"/>
          <w:color w:val="auto"/>
          <w:sz w:val="32"/>
          <w:szCs w:val="32"/>
        </w:rPr>
        <w:t>。</w:t>
      </w:r>
    </w:p>
    <w:tbl>
      <w:tblPr>
        <w:tblStyle w:val="1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93"/>
        <w:gridCol w:w="1417"/>
        <w:gridCol w:w="549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岗位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人数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要求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项目经理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1</w:t>
            </w:r>
          </w:p>
        </w:tc>
        <w:tc>
          <w:tcPr>
            <w:tcW w:w="5498" w:type="dxa"/>
          </w:tcPr>
          <w:p>
            <w:pPr>
              <w:pStyle w:val="34"/>
              <w:numPr>
                <w:ilvl w:val="0"/>
                <w:numId w:val="5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bookmarkStart w:id="2" w:name="_GoBack"/>
            <w:bookmarkEnd w:id="2"/>
            <w:r>
              <w:rPr>
                <w:rFonts w:hint="eastAsia" w:ascii="仿宋_GB2312" w:eastAsia="仿宋_GB2312"/>
                <w:color w:val="auto"/>
                <w:sz w:val="32"/>
                <w:szCs w:val="32"/>
              </w:rPr>
              <w:t>园林绿化或绿化林业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中级及以上职称</w:t>
            </w:r>
          </w:p>
          <w:p>
            <w:pPr>
              <w:pStyle w:val="34"/>
              <w:numPr>
                <w:ilvl w:val="0"/>
                <w:numId w:val="5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具有本科及以上学历</w:t>
            </w:r>
          </w:p>
          <w:p>
            <w:pPr>
              <w:pStyle w:val="34"/>
              <w:numPr>
                <w:ilvl w:val="0"/>
                <w:numId w:val="5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15年及以上绿化养护服务经验</w:t>
            </w:r>
          </w:p>
          <w:p>
            <w:pPr>
              <w:pStyle w:val="34"/>
              <w:numPr>
                <w:ilvl w:val="0"/>
                <w:numId w:val="5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55周岁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以下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养护队长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2</w:t>
            </w:r>
          </w:p>
        </w:tc>
        <w:tc>
          <w:tcPr>
            <w:tcW w:w="5498" w:type="dxa"/>
          </w:tcPr>
          <w:p>
            <w:pPr>
              <w:pStyle w:val="34"/>
              <w:numPr>
                <w:ilvl w:val="0"/>
                <w:numId w:val="6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具有绿化相关专业专科及以上学历</w:t>
            </w:r>
          </w:p>
          <w:p>
            <w:pPr>
              <w:pStyle w:val="34"/>
              <w:numPr>
                <w:ilvl w:val="0"/>
                <w:numId w:val="6"/>
              </w:numPr>
              <w:autoSpaceDE/>
              <w:autoSpaceDN/>
              <w:spacing w:line="560" w:lineRule="exact"/>
              <w:ind w:right="484" w:rightChars="220" w:firstLineChars="0"/>
              <w:contextualSpacing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10年及以上绿化养护服务经验</w:t>
            </w:r>
          </w:p>
          <w:p>
            <w:pPr>
              <w:autoSpaceDE/>
              <w:autoSpaceDN/>
              <w:spacing w:line="560" w:lineRule="exact"/>
              <w:ind w:right="484" w:rightChars="220"/>
              <w:contextualSpacing/>
              <w:outlineLvl w:val="0"/>
              <w:rPr>
                <w:rFonts w:ascii="仿宋_GB2312" w:eastAsia="仿宋_GB2312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3、50周岁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以下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安全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员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1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具有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园林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绿化工程从业人员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——安全员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证书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4" w:hRule="atLeast"/>
        </w:trPr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质量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员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1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具有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园林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绿化工程从业人员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——质量员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证书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98" w:hRule="atLeast"/>
        </w:trPr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材料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员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1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具有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园林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绿化工程从业人员——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材料员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证书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专业养护人员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24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1、至少具备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高级绿化工2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名；</w:t>
            </w:r>
          </w:p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2、至少具备中</w:t>
            </w: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级绿化工4</w:t>
            </w: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名；</w:t>
            </w:r>
          </w:p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3、至少具备高空作业人员2名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93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hint="eastAsia" w:ascii="仿宋_GB2312" w:eastAsia="仿宋_GB2312" w:hAnsiTheme="minorEastAsia"/>
                <w:color w:val="auto"/>
                <w:sz w:val="32"/>
                <w:szCs w:val="32"/>
              </w:rPr>
              <w:t>总计</w:t>
            </w:r>
          </w:p>
        </w:tc>
        <w:tc>
          <w:tcPr>
            <w:tcW w:w="1417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center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  <w:r>
              <w:rPr>
                <w:rFonts w:ascii="仿宋_GB2312" w:eastAsia="仿宋_GB2312" w:hAnsiTheme="minorEastAsia"/>
                <w:color w:val="auto"/>
                <w:sz w:val="32"/>
                <w:szCs w:val="32"/>
              </w:rPr>
              <w:t>30</w:t>
            </w:r>
          </w:p>
        </w:tc>
        <w:tc>
          <w:tcPr>
            <w:tcW w:w="5498" w:type="dxa"/>
          </w:tcPr>
          <w:p>
            <w:pPr>
              <w:autoSpaceDE/>
              <w:autoSpaceDN/>
              <w:spacing w:line="560" w:lineRule="exact"/>
              <w:ind w:right="484" w:rightChars="220"/>
              <w:contextualSpacing/>
              <w:jc w:val="both"/>
              <w:outlineLvl w:val="0"/>
              <w:rPr>
                <w:rFonts w:ascii="仿宋_GB2312" w:eastAsia="仿宋_GB2312" w:hAnsiTheme="minorEastAsia"/>
                <w:color w:val="auto"/>
                <w:sz w:val="32"/>
                <w:szCs w:val="32"/>
              </w:rPr>
            </w:pPr>
          </w:p>
        </w:tc>
      </w:tr>
    </w:tbl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其他季节性临时工总人工数由中标公司自行核算申报。编制满足龙陵养护工作所需的养护队伍并有切合实际的管理制度。项目经理需参加绿化部每周例会及其他相关会议。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.2 需要组建合理的养护队伍2</w:t>
      </w:r>
      <w:r>
        <w:rPr>
          <w:rFonts w:ascii="仿宋_GB2312" w:eastAsia="仿宋_GB2312" w:hAnsiTheme="minorEastAsia"/>
          <w:color w:val="auto"/>
          <w:sz w:val="32"/>
          <w:szCs w:val="32"/>
        </w:rPr>
        <w:t>支，分别养护管理园区内的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1</w:t>
      </w:r>
      <w:r>
        <w:rPr>
          <w:rFonts w:ascii="仿宋_GB2312" w:eastAsia="仿宋_GB2312" w:hAnsiTheme="minorEastAsia"/>
          <w:color w:val="auto"/>
          <w:sz w:val="32"/>
          <w:szCs w:val="32"/>
        </w:rPr>
        <w:t>-5号地块和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6</w:t>
      </w:r>
      <w:r>
        <w:rPr>
          <w:rFonts w:ascii="仿宋_GB2312" w:eastAsia="仿宋_GB2312" w:hAnsiTheme="minorEastAsia"/>
          <w:color w:val="auto"/>
          <w:sz w:val="32"/>
          <w:szCs w:val="32"/>
        </w:rPr>
        <w:t>-10号地块（详见地块分区图）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，提供符合龙陵特色的绿化养护全年计划方案和与之对应的养护器械，对园区特色苗木（桃树、龙柏、雪松）有专项养护计划。需配备养护人员：本项目需配置1名项目经理统筹管理，2名养护队长分别负责2个养护队伍，常驻现场负责养护工作，每队配备至少</w:t>
      </w:r>
      <w:r>
        <w:rPr>
          <w:rFonts w:ascii="仿宋_GB2312" w:eastAsia="仿宋_GB2312" w:hAnsiTheme="minorEastAsia"/>
          <w:color w:val="auto"/>
          <w:sz w:val="32"/>
          <w:szCs w:val="32"/>
        </w:rPr>
        <w:t>12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名专业养护人员进行日常养护工作，其他季节性临时工总人工数由中标公司自行核算申报。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.3 项目人员执行实名制到岗考勤制度，养护人员穿戴统一标志性工作服进行操作，应满足安全等工作要求。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.4 进场绿化材料需经过甲方验收，保证植株无病虫害，有检疫合格证，满足相应规格要求，并填报相关进场记录。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.5 植物的日常及施肥费用，肥料的质量以及数量由甲方控制、审核使用。植物病虫害防治工作费用，使用的药剂质量、数量由甲方控制、审核使用。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.6 针对节假日、极端天气等有对应的值班计划和绿化风险应急预案。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br w:type="page"/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附件：3</w:t>
      </w:r>
      <w:r>
        <w:rPr>
          <w:rFonts w:ascii="仿宋_GB2312" w:eastAsia="仿宋_GB2312" w:hAnsiTheme="minorEastAsia"/>
          <w:color w:val="auto"/>
          <w:sz w:val="32"/>
          <w:szCs w:val="32"/>
        </w:rPr>
        <w:t>.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上海龙华烈士陵园绿化养护标准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</w:p>
    <w:p>
      <w:pPr>
        <w:widowControl/>
        <w:autoSpaceDE/>
        <w:autoSpaceDN/>
        <w:spacing w:line="560" w:lineRule="exact"/>
        <w:jc w:val="center"/>
        <w:rPr>
          <w:rFonts w:ascii="方正小标宋简体" w:hAnsi="方正小标宋简体" w:eastAsia="方正小标宋简体" w:cs="方正小标宋简体"/>
          <w:color w:val="auto"/>
          <w:sz w:val="44"/>
          <w:szCs w:val="44"/>
          <w:lang w:val="en-US" w:bidi="en-US"/>
        </w:rPr>
      </w:pPr>
      <w:r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bidi="en-US"/>
        </w:rPr>
        <w:t>上海市龙华烈士陵园绿化养护标准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一、总则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1.1 上海市龙华烈士陵园负责园区绿化养护管理，现场养护单位作业必须服从管理。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1.2 本养护标准适用于上海市龙华烈士陵园内，由甲乙双方共同执行，应满足园区内部的绿化养护定期考核要求。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二、景观面貌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 乔木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枝条分布均匀，疏密度合适；无明显枯枝；主干无萌蘖枝；无明显的病虫害危害症状；无倾斜、倒伏植株；无黄化现象；无死亡植株。例如：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2.1.1雪松：浇水不宜过多，修剪枯枝、病枝。注意防涝和抗旱。越冬期间喷涂石硫合剂，2月开始密切关注松红蜡蚧煤污病等病虫害情况，视天气及温度情况，3月开始喷洒杀虫剂，做到及早预防。对往年留下的虫害采用逐步防治，在不伤害绿植本身的情况下，逐步喷洒相关试剂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2.1.2广玉兰：及时修剪清理枯枝黄叶，10-11月施肥。秋季新梢停止生长后及花后进行整体修剪，去除密集枝、杂乱枝、虫害枝等，修剪需保持整体树形，不能影响景观，同时要保证一定透光及透风性。春秋两季施肥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2.1.3红叶李：梅雨季节注意排水。4月-9月注重虫害养护，红叶李的主要虫害有蚜虫、红蜘蛛、金龟子、刺蛾及天牛等，根据不同虫害，喷洒不同药剂。夏秋季施肥要以磷钾肥为主，并进行整体修剪。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2.1.4桃树：冬季开始进行流胶病防治，包括但不仅限于刮除流胶、涂抹杀菌剂（石硫合剂等），之后随发现随涂抹；4月开始防治桃蚜发生，6月-9月喷绿色威蕾防治天牛成虫，并加强巡视发现天牛幼虫危害及时钩杀或注药毒杀，进行3-4次喷涂杀菌剂，防治细菌性穿孔病发生。2-3月（开花前）、4月花后及夏秋施肥，5月落花出果初期进行摘果。新种植桃树不能携带虫害病害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2.1.5龙柏：龙柏修剪必须使用非铁材质的工具，以防出现刺化，使用工具大小根据修剪需要而定。浇水不宜过多，视土壤情况而定。春季施肥，不可过多，秋季追肥。注意观察红蜘蛛等叶螨危害情况，一旦出现，及时用药，随发现随用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2.1.</w:t>
      </w:r>
      <w:r>
        <w:rPr>
          <w:rFonts w:ascii="仿宋_GB2312" w:eastAsia="仿宋_GB2312"/>
          <w:color w:val="auto"/>
          <w:sz w:val="32"/>
          <w:szCs w:val="32"/>
        </w:rPr>
        <w:t>6</w:t>
      </w:r>
      <w:r>
        <w:rPr>
          <w:rFonts w:hint="eastAsia" w:ascii="仿宋_GB2312" w:eastAsia="仿宋_GB2312"/>
          <w:color w:val="auto"/>
          <w:sz w:val="32"/>
          <w:szCs w:val="32"/>
        </w:rPr>
        <w:t xml:space="preserve"> 悬铃木：生长管理期间一般不做特别的浇水措施，如果夏季碰到持续高温干旱超过7天以上，需做附加浇水。剥芽一般安排在5月初至6月中旬，第一次需要将悬铃木自身不好的芽全部剥除，分叉枝上的芽要清理干净，保留健壮并有指定方向的芽，大约留3-4个芽；第二次剥芽工作在第一次基础上进行，留2-3个芽作为各个骨架枝的培养。夏季来临期间结合防台防汛来进行进行悬铃木的疏枝工作，疏枝时不得修剪骨架枝。施肥的工作一般安排在冬季进行深根施肥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2.1.</w:t>
      </w:r>
      <w:r>
        <w:rPr>
          <w:rFonts w:ascii="仿宋_GB2312" w:eastAsia="仿宋_GB2312"/>
          <w:color w:val="auto"/>
          <w:sz w:val="32"/>
          <w:szCs w:val="32"/>
        </w:rPr>
        <w:t>7</w:t>
      </w:r>
      <w:r>
        <w:rPr>
          <w:rFonts w:hint="eastAsia" w:ascii="仿宋_GB2312" w:eastAsia="仿宋_GB2312"/>
          <w:color w:val="auto"/>
          <w:sz w:val="32"/>
          <w:szCs w:val="32"/>
        </w:rPr>
        <w:t xml:space="preserve"> 银杏：夏季高温注意防涝和抗旱。冬季进行松培土以及简单的修剪，去除弱枝、病枝、枯枝。同时注意观察叶枯病、卷叶蛾等病虫害，喷洒不同药剂。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2.1.</w:t>
      </w:r>
      <w:r>
        <w:rPr>
          <w:rFonts w:ascii="仿宋_GB2312" w:eastAsia="仿宋_GB2312"/>
          <w:color w:val="auto"/>
          <w:sz w:val="32"/>
          <w:szCs w:val="32"/>
        </w:rPr>
        <w:t>8</w:t>
      </w:r>
      <w:r>
        <w:rPr>
          <w:rFonts w:hint="eastAsia" w:ascii="仿宋_GB2312" w:eastAsia="仿宋_GB2312"/>
          <w:color w:val="auto"/>
          <w:sz w:val="32"/>
          <w:szCs w:val="32"/>
        </w:rPr>
        <w:t xml:space="preserve"> 浙江楠和紫楠：4月进行蛀梢象鼻虫和灰毛金花虫的预防，整个夏季做好防涝抗旱工作，极高温天气通过早晚喷洒水对植株进行物理降温处理；秋末冬初处理树穴，表土追施有机肥并进行松土，初春通过穴施的形式追施缓释复合肥，提供全年的养分需求，促进枝叶生长；秋末冬初浇灌微生物有益菌和促新根生长药剂，以增强冬季的抗寒能力；寒潮到来前做好防寒准备，一是树穴表面通过覆盖草包的形式做好根部的保暖工作，二是准备好草包材料，在遭遇极寒天气时对树杆部分进行草包包扎，给其穿衣保暖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2.1.</w:t>
      </w:r>
      <w:r>
        <w:rPr>
          <w:rFonts w:ascii="仿宋_GB2312" w:eastAsia="仿宋_GB2312"/>
          <w:color w:val="auto"/>
          <w:sz w:val="32"/>
          <w:szCs w:val="32"/>
        </w:rPr>
        <w:t xml:space="preserve">9 </w:t>
      </w:r>
      <w:r>
        <w:rPr>
          <w:rFonts w:hint="eastAsia" w:ascii="仿宋_GB2312" w:eastAsia="仿宋_GB2312"/>
          <w:color w:val="auto"/>
          <w:sz w:val="32"/>
          <w:szCs w:val="32"/>
        </w:rPr>
        <w:t>铁树：及时清除杂生小苗；冬前修剪，要剪掉靠近根部的老叶枯叶，温度达0℃前一周将叶片收拢捆扎，包以草垫保护避免冻伤，待春天温度回升后撤掉。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2.2 水生植物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无残花、黄叶、枯叶；无折断、倒伏植株；无杂草和其他外来水生植物；更新及时，梳理、控制得当，无相互挤压现象；无明显的病虫害危害症状。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11月清理荷花池内枯萎荷花，修剪花杆低于水面20cm以下，如遇水位下降，花杆露出水面，需进行二次修剪，保证杆不露出水面。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</w:t>
      </w:r>
      <w:r>
        <w:rPr>
          <w:rFonts w:ascii="仿宋_GB2312" w:eastAsia="仿宋_GB2312"/>
          <w:color w:val="auto"/>
          <w:sz w:val="32"/>
          <w:szCs w:val="32"/>
        </w:rPr>
        <w:t>3</w:t>
      </w:r>
      <w:r>
        <w:rPr>
          <w:rFonts w:hint="eastAsia" w:ascii="仿宋_GB2312" w:eastAsia="仿宋_GB2312"/>
          <w:color w:val="auto"/>
          <w:sz w:val="32"/>
          <w:szCs w:val="32"/>
        </w:rPr>
        <w:t xml:space="preserve"> 古树名木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 xml:space="preserve">古树名木的养护工作安排专人负责，并如实记录古树名木养护表单。古树名木应进行重点保护，不利古树名木生长的立地条件必须及时改善,腐烂的部位应进行防腐去腐治疗,并保持其古老苍劲的形态。古树名木易受蛀虫危害,一旦发现应及时采取切实可行的措施进行防治。生长日趋衰弱的古树名木,应组织有关人员制定复壮措施,并指定专人负责养护。发生倾斜的古树应及时予以支撑,防止倒伏,并注意美观。 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4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灌木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2.3.1 花灌木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植株长势良好，花期和果期正常，一致性高；株型完整饱满，无明显偏冠、空缺；无明显病虫害危害症状；无枯枝，无残花，无徒长枝；无倾斜、倒伏植株及无死亡植株。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4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.2 片植灌木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植株长势良好，整体高度基本一致，无高低落差超过10厘米的现象；片植灌木丛内无杂物（砖块、塑料、纸张等）；无明显枯枝；无缺株、死亡植株；无明显的病虫害危害症状。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4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.3 造型植物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色块：表面平整，无漏洞，无缺刻；绿篱：三面平整，直线处笔直；球类：球形圆整、弧面圆润；无缺失、死亡植株；无明显的病虫害危害症。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5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地被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生长季覆盖率高，黄土不裸露；花期正常，一致性高，同一品种花期间隔不超过5天；生长季无空秃、死亡植株；无残花，无黄叶、枯叶；无超过地被高度的杂草及杂树苗；无明显的病虫害危害症状。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6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草坪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色泽正常，高度一致，生长期无发黄现象；边缘清晰整齐，无生长至硬质景观上的现象发生；无双子叶杂草，无明显的单子叶杂草发生；无草屑残留，无明显枯枝、落叶覆盖；无明显的病虫害危害症状；无空秃超过0.5m2的现象，草坪平整无凹陷、积水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7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攀援植物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及时修剪，无悬挂的枯枝，无枯叶堆积；无下垂影响到交通的枝条；牵引有序；无明显的病虫害危害症状。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2.</w:t>
      </w:r>
      <w:r>
        <w:rPr>
          <w:rFonts w:ascii="仿宋_GB2312" w:eastAsia="仿宋_GB2312"/>
          <w:color w:val="auto"/>
          <w:sz w:val="32"/>
          <w:szCs w:val="32"/>
        </w:rPr>
        <w:t>8</w:t>
      </w:r>
      <w:r>
        <w:rPr>
          <w:rFonts w:hint="eastAsia" w:ascii="仿宋_GB2312" w:eastAsia="仿宋_GB2312"/>
          <w:color w:val="auto"/>
          <w:sz w:val="32"/>
          <w:szCs w:val="32"/>
        </w:rPr>
        <w:t xml:space="preserve"> 竹类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无倒伏和倾斜超过45度的植株；新老更新及时，无大量衰老植株；色泽干净、无霉污；地下茎无穿插到种植区域之外的现象；无明显的病虫害危害症状。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9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水面保洁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水面干净，水域内无生活垃圾；岸边无明显的修剪后的植物残留物；岸边无大型建筑垃圾和其他杂物。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10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树穴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树穴大小适度，形状圆整，覆土厚度在植株最表层根系上的5cm以内；表面无杂草、草根、石块和其他杂物；表面土壤粒径不超过2cm；切边宽度、深度不超过5cm；树穴范围内无积水。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2.</w:t>
      </w:r>
      <w:r>
        <w:rPr>
          <w:rFonts w:ascii="仿宋_GB2312" w:eastAsia="仿宋_GB2312" w:hAnsiTheme="minorEastAsia"/>
          <w:color w:val="auto"/>
          <w:sz w:val="32"/>
          <w:szCs w:val="32"/>
        </w:rPr>
        <w:t>11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林缘线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线条清晰、整齐、流畅；切边宽度、深度不超过5cm；林缘线内无杂草、无积水、无杂物。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三、技术措施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3.1 松土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裸露地土壤必须保持疏松；地被植物和小型灌木丛松土须用小型锄头，避免伤害植物；灌溉后、雨后、被踩踏后必须及时松土。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3.2 杂草清除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及时清除杂草，必须连根拔除或挑除；作业时小心谨慎，避免伤害到植物；有地被、花境、花坛等植物的种植区，作业时严禁坐在小凳子上操作；作业后产生的坑洼及时整平；全园禁止使用化学除草剂。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3.3 施肥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3.3.1 叶面肥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根据植物生长要求，每年对植物喷施2次以上叶面肥；叶面肥以氮肥或磷钾肥为主，合理施肥；肥料要在水中充分溶解后进行喷施；施肥时要喷洒到位，叶面和叶背均要淋到。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3.3.2 生长期复合肥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施肥时间在5月中下旬；乔灌木施在树冠垂直投影外围，按比例挖深约20cm洞把复合肥平均埋入，平均用量为0.5kg/株；片植型灌木、地被以撒施颗粒复合肥为主，用量为10g/m，撒施复合肥前要确认土壤处于湿润的状态，且撒在植株的株行距间，严禁株叶片上复合肥选用40%的中浓度产品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3.3.3 基肥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植物在冬季休眠后至冰冻前施一次基肥，基肥需用腐熟的有机肥；乔灌木施肥范围在树冠垂直投影外围，开环状或半环状沟，深度30cm，平均用量为20kg/株；片植灌木、地被用量为5kg/m，有条件的区域开小型沟穴埋入，其他的可撒施表面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3.3.4 草坪施肥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暖季型草坪每年施肥3次，4-5月一次，6月底一次，9月一次，4-5月使用速效氮肥，6、9月使用缓释氮肥，用量5克/m2；冷季型草坪展叶后施2次氮肥，用量5克/m2；施肥要在清除杂草后进行，施肥前要进行割草；使用施肥机均匀施在草坪表面，施肥后要进行喷淋；施肥后的一周内禁止割草；施肥宜在晴天的下午3点以后或阴天进行，严禁在雨天、高温烈日下施肥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3.4 浇水和保湿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新种植物、地被和小型非片植型灌木进行浇水时必须控制水流压力，并选择管材口径在20-25mm之间的产品；浇灌大型乔木，大面积木本灌木时禁止使用直流型水枪；禁止长时间冲淋同一地点，浇水后植株不倒伏；对只需要喷雾保湿的植物，必须选择有半雾状功能的小型水枪；生长季节内的植物，除雨天外，乔灌木每周至少浇1次水，草本、地被等浅根系植物至少每周浇3次，旱季须每天早晚进行喷雾；无降雨的情况下，草坪每周必须浇水1次；高温季节禁止在上午9点至下午4点之间的时间段进行浇水，冬季在午间浇水；浇水后无积水现象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3.5 病虫害防治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严格按照甲方的要求配置药剂种类和保管领用农药，禁止使用有害剧毒农药；严格遵守药剂使用比例，配置时须使用有刻度标记的量杯；机械喷撒理论扬程达到20m；每次病虫害防治后必须提供</w:t>
      </w:r>
      <w:r>
        <w:rPr>
          <w:rFonts w:ascii="仿宋_GB2312" w:eastAsia="仿宋_GB2312" w:hAnsiTheme="minorEastAsia"/>
          <w:color w:val="auto"/>
          <w:sz w:val="32"/>
          <w:szCs w:val="32"/>
        </w:rPr>
        <w:t>农药出、入库表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，农药空瓶等废弃物严格按照垃圾分类的方式进行管理和投放，形成闭环。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3.6 植物调整和补充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植物调整和补充须根据绿化部要求进行；调整和补充前须提供方案和详细的种植记录；起挖树苗的土球规格符合树木移植规定；外来苗木须备齐检疫证明。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3.7 修剪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乔木每年春季进行一次疏芽理枝，修剪后无明显大于5cm的短桩留存；一级分叉上无萌蘖枝；整形植物每年修剪4次，4月中旬、6月中旬、9月下旬，11月下旬；对春季开花的花灌木，花后修剪为主，夏秋开花的花灌木，休眠期修剪为主；多次开花的草本植物随花期跟踪修剪，确保无残花及多次开花，植株丰满健康；花灌木花后修剪，应根据不同花灌木形态特征及生长特点进行自然式修剪，保留开花短枝，剪除徒长枝、病虫枝、重叠枝及过密枝条；根据绿化部要求，部分水生植物花后须进行一次整株修剪；水生植物冬季修剪的留茬高度在离水面15cm处；沉水植物的整体高度控制在水下10cm；需要强修剪或回缩修剪的植物，作业前必须告知绿化部，得到允许后方可进行操作；根据绿化部要求，部分具冬态观赏效果的草本和水生植物的修剪随植株状态而定；根据绿化部要求，对部分植物进行更新修剪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3.8 草坪修剪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割草前必须对作业环境进行清理，捡去石块、树枝和其他杂物；机械使用时需戴好防护眼罩、耳塞等防护用品，剪割草坪的机械必须配置集草器；结缕草成坪高度不低于5cm，最高不超过8cm；百慕大成坪高度不低于4cm，最高不超过8cm，冷季型草坪控制在6-8cm；草坪边缘和硬质景观之间的距离不超过2cm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3.9 支撑与绑扎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每年必须对支撑物进行检查更新；每年对绑扎部位进行更换，无铁丝嵌入树身的现象；桩底部必须有地桩支撑，无外露的铁丝头；支撑物无松动现象。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</w:t>
      </w:r>
      <w:r>
        <w:rPr>
          <w:rFonts w:ascii="仿宋_GB2312" w:eastAsia="仿宋_GB2312" w:hAnsiTheme="minorEastAsia"/>
          <w:color w:val="auto"/>
          <w:sz w:val="32"/>
          <w:szCs w:val="32"/>
        </w:rPr>
        <w:t>.10墓区管理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墓区绿地作为重点养护区域，项目经理需加强管理力度，确保养护墓区绿化的同时需保证周围环境设施不受任何破坏，做好各项活动后的绿化恢复等工作。</w:t>
      </w:r>
      <w:r>
        <w:rPr>
          <w:rFonts w:ascii="仿宋_GB2312" w:eastAsia="仿宋_GB2312" w:hAnsiTheme="minorEastAsia"/>
          <w:color w:val="auto"/>
          <w:sz w:val="32"/>
          <w:szCs w:val="32"/>
        </w:rPr>
        <w:t>同时，配合现场其他工程类项目施工。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3.1</w:t>
      </w:r>
      <w:r>
        <w:rPr>
          <w:rFonts w:ascii="仿宋_GB2312" w:eastAsia="仿宋_GB2312" w:hAnsiTheme="minorEastAsia"/>
          <w:color w:val="auto"/>
          <w:sz w:val="32"/>
          <w:szCs w:val="32"/>
        </w:rPr>
        <w:t>1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工完场清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养护废弃物随时清运，无留置超过2小时的现象；遇大型活动时养护产生的废弃物必须直接装车，无堆放现象；遗落在路面的废弃物及时清理，保证路面整洁。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3.1</w:t>
      </w:r>
      <w:r>
        <w:rPr>
          <w:rFonts w:ascii="仿宋_GB2312" w:eastAsia="仿宋_GB2312" w:hAnsiTheme="minorEastAsia"/>
          <w:color w:val="auto"/>
          <w:sz w:val="32"/>
          <w:szCs w:val="32"/>
        </w:rPr>
        <w:t>2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养护废弃物处理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产生的废弃物根据园区垃圾要求分类堆放，保证废弃物堆放有序；绿化垃圾应及时驳运到绿化垃圾场地，绿化垃圾长度控制在1米内便于清运。农药、空瓶等废弃物应严格按照垃圾分类的方式进行管理和投放，形成闭环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3.1</w:t>
      </w:r>
      <w:r>
        <w:rPr>
          <w:rFonts w:ascii="仿宋_GB2312" w:eastAsia="仿宋_GB2312" w:hAnsiTheme="minorEastAsia"/>
          <w:color w:val="auto"/>
          <w:sz w:val="32"/>
          <w:szCs w:val="32"/>
        </w:rPr>
        <w:t>3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 养护计划、总结与档案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养护单位做好养护台帐；每月初必须提交当月养护计划，月底提交计划执行报告，并提交整改方案；各类养护档案记录完整，无遗漏和错记，定期提交绿化部归档。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四、管理要求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龙陵园区开放时间：6:00-17:30；纪念馆开放时间：9:00-16:30。绿化养护时间在开放时间段内，若因工作需要提前或延后，需提前报备项目经理，再由项目经理报备甲方负责人。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制度化管理，工作人员行为举止、操作流程、工具摆放使用规范；劳动防护、设施、设备操作安全措施明确；用工合法合规，岗位配置足额，确保队伍稳定，不得违反劳动法相关用工规定。符合甲方ISO标准化管理要求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4.1 岗位素质要求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严格履行考勤制度，着装标识统一规范，语言举止文明得体，安全措施落实到位；禁止赤膊、穿拖鞋等不雅行为发生；禁止在园内的各种桌椅上用餐、睡觉；禁止与游客发生争执；由于烈士陵园的特殊性，绿化养护人员在陵园工作期间不得随意打闹、大声喧哗，墓地草坪除养护作业外不得停留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4.2 岗位配置要求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本项目需配置1名项目经理统筹管理，需要组建合理的养护队伍2</w:t>
      </w:r>
      <w:r>
        <w:rPr>
          <w:rFonts w:ascii="仿宋_GB2312" w:eastAsia="仿宋_GB2312" w:hAnsiTheme="minorEastAsia"/>
          <w:color w:val="auto"/>
          <w:sz w:val="32"/>
          <w:szCs w:val="32"/>
        </w:rPr>
        <w:t>支，分别养护管理园区内的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1</w:t>
      </w:r>
      <w:r>
        <w:rPr>
          <w:rFonts w:ascii="仿宋_GB2312" w:eastAsia="仿宋_GB2312" w:hAnsiTheme="minorEastAsia"/>
          <w:color w:val="auto"/>
          <w:sz w:val="32"/>
          <w:szCs w:val="32"/>
        </w:rPr>
        <w:t>-5号地块和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6</w:t>
      </w:r>
      <w:r>
        <w:rPr>
          <w:rFonts w:ascii="仿宋_GB2312" w:eastAsia="仿宋_GB2312" w:hAnsiTheme="minorEastAsia"/>
          <w:color w:val="auto"/>
          <w:sz w:val="32"/>
          <w:szCs w:val="32"/>
        </w:rPr>
        <w:t>-10号地块（详见地块分区图），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2名养护队长常驻现场负责养护工作，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每队配备至少</w:t>
      </w:r>
      <w:r>
        <w:rPr>
          <w:rFonts w:ascii="仿宋_GB2312" w:eastAsia="仿宋_GB2312" w:hAnsiTheme="minorEastAsia"/>
          <w:color w:val="auto"/>
          <w:sz w:val="32"/>
          <w:szCs w:val="32"/>
        </w:rPr>
        <w:t>12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名专业养护人员进行日常养护工作，其他季节性临时工总人工数由中标公司自行核算申报。养护人员身体健康，五官端正，团队融合度好，主动服务意识强，接受过上岗培训，无不良记录；注重人文关怀，推进和谐团队建设，增强团队的凝聚力，保持养护人员队伍的稳定；每季度对养护人员进行职业道德、操作技能、安全知识、相关文件的培训，并做好相关记录等工作；对关键岗位、技术岗位的养护人员培训后才能上岗；充分听取甲方意见和建议，建立科学的激励机制，鼓励、奖励优秀养护人员，调动全体养护人员的积极性、主动性；保证从事本项目的人员具备相应的职业资格和应有的素质要求；项目主要管理人员具有大专学历、中级及以上职称、养护服务管理经验的优先考虑；如需调整管理人员及技术骨干，应事先通报甲方，并得到甲方认可；对甲方提出认为不适合的养护人员，应及时作出相应调整、更换。</w:t>
      </w:r>
      <w:r>
        <w:rPr>
          <w:rFonts w:hint="eastAsia" w:ascii="仿宋_GB2312" w:eastAsia="仿宋_GB2312"/>
          <w:color w:val="auto"/>
          <w:sz w:val="32"/>
          <w:szCs w:val="32"/>
        </w:rPr>
        <w:t>每年度人员流动率控制在3</w:t>
      </w:r>
      <w:r>
        <w:rPr>
          <w:rFonts w:ascii="仿宋_GB2312" w:eastAsia="仿宋_GB2312"/>
          <w:color w:val="auto"/>
          <w:sz w:val="32"/>
          <w:szCs w:val="32"/>
        </w:rPr>
        <w:t>0</w:t>
      </w:r>
      <w:r>
        <w:rPr>
          <w:rFonts w:hint="eastAsia" w:ascii="仿宋_GB2312" w:eastAsia="仿宋_GB2312"/>
          <w:color w:val="auto"/>
          <w:sz w:val="32"/>
          <w:szCs w:val="32"/>
        </w:rPr>
        <w:t>%以内。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4.3 绿化养护休息室使用制度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绿化养护休息室供养护队临时休息或者值班使用；房间内不得私拉电线，使用陵园配备外的大功率电器；值班过夜需项目经理根据工作需要提出申请，经甲方负责人审批后方可；养护车辆要停放在陵园指定停放点，不得任意停放在绿化养护休息室内；室外休息不得任意在墓地草坪上停留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4.4 肥料、药剂等耗材配置要求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肥料、药剂由提供中标公司提供，甲方提供临时存放地点，并做好入库出库登记，便于管理；中标公司需落实肥料、农药的安全使用培训，由甲方监管，控制使用量；养护人员的工作制服、劳防用品等物品由中标公司负责提供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 xml:space="preserve">4.5 养护设备配置要求 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据甲方绿化养护需求，涉及但不限于配备养护车辆、绿篱修剪机、推车式割草机、打药机、翻土机、高枝剪养护设备及安全帽、安全带等防护用品，由中标公司提供并负责安全使用；养护设备存放地点由甲方提供，养护人员使用人需按规存放，并做好日常保养，操作规程安全有效，确保使用正常，无安全隐患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4.6 规范管理制度要求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管理工作有章可循，考核有据可查。中标公司需建立和执行以下管理制度：工作人员行为规范及奖惩制度、员工培训制度、工作质量标准、工休时间规定、安全操作规程、物料领用制度、劳动防护及工伤处理制度、重大活动工作预案等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养护队考勤表及ISO各涉及绿化养护的表单由实际操作人每月按实填报，项目经理签字后递交甲方负责人。若遇极端天气影响或工作需要，养护队派驻值班人员进行值班，值班记录应反映在当月考勤表中。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 安全管理措施要求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加强安全教育，落实安全操作规程，完善劳动防护、防暑降温条件，防范安全事故的发生；制定休息室安全用电措施，确保冷藏、加热设备性能完好，保证工作人员用餐安全。高温天气注意避开高温时期进行室外作业，极端天气注意安全防范工作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4.7.1 劳动防护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养护作业前，劳动防护用品必须配备齐全。养护作业时，必须佩带相关的防护用具。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4.7.2 机械操作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养护工具随身携带，规范操作，统一管理，严禁随地乱放。园区作业时，长度超过2m以上的工具在不使用时必须平放在地面。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操作机械时必须，做好维护警示，注意周围情况，防止伤及他人，人员密集时应避开或停止操作。机械操作时必须佩带相关的防护用具。妥善安排好养护工具的摆放。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4.7.3 养护车辆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禁止车辆在园内鸣笛，园内车辆行驶速度小于1</w:t>
      </w:r>
      <w:r>
        <w:rPr>
          <w:rFonts w:ascii="仿宋_GB2312" w:eastAsia="仿宋_GB2312" w:hAnsiTheme="minorEastAsia"/>
          <w:color w:val="auto"/>
          <w:sz w:val="32"/>
          <w:szCs w:val="32"/>
        </w:rPr>
        <w:t>5</w:t>
      </w:r>
      <w:r>
        <w:rPr>
          <w:rFonts w:hint="eastAsia" w:ascii="仿宋_GB2312" w:eastAsia="仿宋_GB2312" w:hAnsiTheme="minorEastAsia"/>
          <w:color w:val="auto"/>
          <w:sz w:val="32"/>
          <w:szCs w:val="32"/>
        </w:rPr>
        <w:t>码，养护作业车辆进园需经物业部审核，通过相关速度和鸣笛测试后，方能进园行驶。车辆行驶须避客让行，禁止车辆穿越人群，遇大量游客时必须停止行驶。园内车辆不得任意在祭扫平台、绿地草坪上行驶。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4.7.4 高空、动火作业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高空作业、动火作业需手续办理后方可开工，安全保障物资应合规使用。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高空作业必须持证上岗，离地面2m以上进行作业时必须佩戴安全带和安全帽；高空作业进行时，地面必须竖立警示牌或警示围栏，并有人员在地面进行协助、疏导。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4.7.5 防台防汛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根据园内防台防汛要求，备好防台抢险的必要物资，必须提前提供值班制度及防台人员的名单和联系方式，服从园内防台工作人员的统一指挥。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4.8 作业制度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必须有明确的作业制度，作业制度的更改必须提前通知甲方。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重要节点期间除必要的浇水养护外不得进行大规模的、机械类的作业。园区浇水采用花洒喷头，浇水养护建议在上午8点30分之前或在下午4点30分后进行，使用设备设施后应及时归位、拧紧阀门并盖好面板。遇团队进行仪式或参观时，养护工作应注意机械噪音影响并适当采取避让措施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发生临时性事件时须根据园方的要求集合或解散现场作业人。绿化突发事件发生后，养护人员需1小时内到位进行清理和补救措施。若有需上报情况，应发现后半小时内上报甲方负责人。养护人员在应急响应的期间，应服从园区统一调配。</w:t>
      </w:r>
    </w:p>
    <w:p>
      <w:pPr>
        <w:spacing w:line="560" w:lineRule="atLeast"/>
        <w:ind w:firstLine="640" w:firstLineChars="200"/>
        <w:jc w:val="both"/>
        <w:rPr>
          <w:rFonts w:ascii="仿宋_GB2312" w:eastAsia="仿宋_GB2312"/>
          <w:color w:val="auto"/>
          <w:sz w:val="32"/>
          <w:szCs w:val="32"/>
        </w:rPr>
      </w:pPr>
      <w:r>
        <w:rPr>
          <w:rFonts w:hint="eastAsia" w:ascii="仿宋_GB2312" w:eastAsia="仿宋_GB2312"/>
          <w:color w:val="auto"/>
          <w:sz w:val="32"/>
          <w:szCs w:val="32"/>
        </w:rPr>
        <w:t>古树名木的养护工作安排专人负责，并如实记录古树名木养护表单。绿化电子档案如实记录，若需砍伐、移除或补植树木，需在周工作计划表中提出工作申请，并填写相关记录，通知绿化电子档案管理人员及时进行档案更新</w:t>
      </w:r>
      <w:r>
        <w:rPr>
          <w:rFonts w:ascii="仿宋_GB2312" w:eastAsia="仿宋_GB2312"/>
          <w:color w:val="auto"/>
          <w:sz w:val="32"/>
          <w:szCs w:val="32"/>
        </w:rPr>
        <w:t>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绿化垃圾应及时驳运到绿化垃圾场地，绿化垃圾长度控制在1米内便于清运。水管浇水拖管不得高于地面，拖管期间时刻留意游客安全。养护期间，若需长时间占用路面，需设置安全警戒线。农药使用时，注意防护用品的使用和区域警戒线的设置并填写ISO农药管理相关文件。根据天气变化，提前做好极端天气的绿化养护防范工作，尽量减少绿化突发事件。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黑体" w:hAnsi="黑体" w:eastAsia="黑体"/>
          <w:color w:val="auto"/>
          <w:sz w:val="32"/>
          <w:szCs w:val="32"/>
        </w:rPr>
      </w:pPr>
      <w:r>
        <w:rPr>
          <w:rFonts w:hint="eastAsia" w:ascii="黑体" w:hAnsi="黑体" w:eastAsia="黑体"/>
          <w:color w:val="auto"/>
          <w:sz w:val="32"/>
          <w:szCs w:val="32"/>
        </w:rPr>
        <w:t>五、考核要求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5.1 考核依据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养护服务合同、招标文件所委托的岗位的养护效果、养护范围、养护内容、养护要求（标准）和投标文件。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5.2 考核组织实施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由甲方组织实施考核，采取现场检查和台账检查。通过深入养护现场，查验养护效果，以及查阅各类运行台账记录，依据考核评分表逐项打分。每季度考核一次。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5.3 考核奖惩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5.3.1 季度考核，评分在70分及以上，为考核合格；根据合同甲方全额支付该季度服务费。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5.3.2 季度考核，评分在60分（含60分）至69分区间，为基本合格；甲方将给予书面警告，并依据服务整体评价，酌情扣除该季度部分服务费用。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5.3.3 季度考核，评分在60分以下，为不合格；甲方将依据合同约定，有权单方解除合同。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5.3.4 养护服务期间出现下列情况的，甲方有权单方解除合同，并要求中标公司赔偿对应损失的违约金。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（1）服务内容未达到合同及投标文件约定的。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（2）服务标准未达到合同及投标文件承诺的。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（3）游客、职工对养护服务的满意率低于75%的。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（4）因中标方过错，造成甲方巨大损失的。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（5）发生严重影响、妨碍甲方正常工作秩序的。</w:t>
      </w:r>
    </w:p>
    <w:p>
      <w:pPr>
        <w:autoSpaceDE/>
        <w:autoSpaceDN/>
        <w:spacing w:line="560" w:lineRule="exact"/>
        <w:ind w:right="484" w:rightChars="220" w:firstLine="640" w:firstLineChars="20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  <w:r>
        <w:rPr>
          <w:rFonts w:hint="eastAsia" w:ascii="仿宋_GB2312" w:eastAsia="仿宋_GB2312" w:hAnsiTheme="minorEastAsia"/>
          <w:color w:val="auto"/>
          <w:sz w:val="32"/>
          <w:szCs w:val="32"/>
        </w:rPr>
        <w:t>5.4 考核评分表</w:t>
      </w:r>
    </w:p>
    <w:p>
      <w:pPr>
        <w:autoSpaceDE/>
        <w:autoSpaceDN/>
        <w:spacing w:line="560" w:lineRule="exact"/>
        <w:ind w:right="484" w:rightChars="220"/>
        <w:contextualSpacing/>
        <w:jc w:val="both"/>
        <w:outlineLvl w:val="0"/>
        <w:rPr>
          <w:rFonts w:ascii="仿宋_GB2312" w:eastAsia="仿宋_GB2312" w:hAnsiTheme="minorEastAsia"/>
          <w:color w:val="auto"/>
          <w:sz w:val="32"/>
          <w:szCs w:val="32"/>
        </w:rPr>
      </w:pPr>
    </w:p>
    <w:p>
      <w:pPr>
        <w:widowControl/>
        <w:autoSpaceDE/>
        <w:autoSpaceDN/>
        <w:spacing w:line="560" w:lineRule="exact"/>
        <w:jc w:val="center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b/>
          <w:color w:val="auto"/>
          <w:sz w:val="24"/>
        </w:rPr>
        <w:t>考核评分表</w:t>
      </w:r>
    </w:p>
    <w:tbl>
      <w:tblPr>
        <w:tblStyle w:val="17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6"/>
        <w:gridCol w:w="850"/>
        <w:gridCol w:w="1761"/>
        <w:gridCol w:w="1268"/>
        <w:gridCol w:w="709"/>
        <w:gridCol w:w="251"/>
        <w:gridCol w:w="2300"/>
        <w:gridCol w:w="72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8" w:hRule="atLeast"/>
          <w:jc w:val="center"/>
        </w:trPr>
        <w:tc>
          <w:tcPr>
            <w:tcW w:w="178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考核评分日期</w:t>
            </w:r>
          </w:p>
        </w:tc>
        <w:tc>
          <w:tcPr>
            <w:tcW w:w="1761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2228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督导检查人员</w:t>
            </w:r>
          </w:p>
        </w:tc>
        <w:tc>
          <w:tcPr>
            <w:tcW w:w="302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5" w:hRule="atLeast"/>
          <w:jc w:val="center"/>
        </w:trPr>
        <w:tc>
          <w:tcPr>
            <w:tcW w:w="1786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外包服务单位</w:t>
            </w:r>
          </w:p>
        </w:tc>
        <w:tc>
          <w:tcPr>
            <w:tcW w:w="7013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9" w:hRule="atLeast"/>
          <w:jc w:val="center"/>
        </w:trPr>
        <w:tc>
          <w:tcPr>
            <w:tcW w:w="9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类别</w:t>
            </w: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80" w:lineRule="exact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考核内容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80" w:lineRule="exact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规定</w:t>
            </w:r>
          </w:p>
          <w:p>
            <w:pPr>
              <w:snapToGrid w:val="0"/>
              <w:spacing w:line="280" w:lineRule="exact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分值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spacing w:line="280" w:lineRule="exact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评分标准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考核</w:t>
            </w:r>
          </w:p>
          <w:p>
            <w:pPr>
              <w:snapToGrid w:val="0"/>
              <w:spacing w:line="280" w:lineRule="exact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评分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11" w:hRule="atLeast"/>
          <w:jc w:val="center"/>
        </w:trPr>
        <w:tc>
          <w:tcPr>
            <w:tcW w:w="9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养护服务质量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（80）</w:t>
            </w: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现场养护服务质量抽样检查情况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（包括但不限于树木存活率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；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病枯枝修剪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；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造型植物整体形态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；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草坪杂草清除；草坪平整度；草坪覆盖率；浇水施肥及时性及均匀度等）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80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抽样检查，每发生一处轻微不合格项扣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1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分、严重不合格项扣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3-5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分（视具体情况）。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9" w:hRule="atLeast"/>
          <w:jc w:val="center"/>
        </w:trPr>
        <w:tc>
          <w:tcPr>
            <w:tcW w:w="93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综合管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理情况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（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12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）</w:t>
            </w: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建立健全管理制度和岗位职责。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4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55" w:hRule="atLeast"/>
          <w:jc w:val="center"/>
        </w:trPr>
        <w:tc>
          <w:tcPr>
            <w:tcW w:w="0" w:type="auto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员工考勤、现场自查、养护记录、培训记录等资料齐全，查阅方便。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4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6" w:hRule="atLeast"/>
          <w:jc w:val="center"/>
        </w:trPr>
        <w:tc>
          <w:tcPr>
            <w:tcW w:w="0" w:type="auto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加强安全教育，落实安全操作规程，持证上岗，完善劳动防护、防暑降温条件。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4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27" w:hRule="atLeast"/>
          <w:jc w:val="center"/>
        </w:trPr>
        <w:tc>
          <w:tcPr>
            <w:tcW w:w="93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基本行为规范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（</w:t>
            </w:r>
            <w: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  <w:t>8</w:t>
            </w: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）</w:t>
            </w: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按照岗位要求，着装标识统一，仪容端庄，仪表规范。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11" w:hRule="atLeast"/>
          <w:jc w:val="center"/>
        </w:trPr>
        <w:tc>
          <w:tcPr>
            <w:tcW w:w="0" w:type="auto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工作期间微笑服务，文明用语，礼貌待人。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42" w:hRule="atLeast"/>
          <w:jc w:val="center"/>
        </w:trPr>
        <w:tc>
          <w:tcPr>
            <w:tcW w:w="0" w:type="auto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遵守规章制度，有情况及时报备。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5" w:hRule="atLeast"/>
          <w:jc w:val="center"/>
        </w:trPr>
        <w:tc>
          <w:tcPr>
            <w:tcW w:w="0" w:type="auto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3879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养护设备摆放整齐，整洁有序。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2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抽样检查，每发生一处不符合扣0.5分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  <w:jc w:val="center"/>
        </w:trPr>
        <w:tc>
          <w:tcPr>
            <w:tcW w:w="4815" w:type="dxa"/>
            <w:gridSpan w:val="4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总分</w:t>
            </w:r>
          </w:p>
        </w:tc>
        <w:tc>
          <w:tcPr>
            <w:tcW w:w="70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100</w:t>
            </w:r>
          </w:p>
        </w:tc>
        <w:tc>
          <w:tcPr>
            <w:tcW w:w="2551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32" w:hRule="atLeast"/>
          <w:jc w:val="center"/>
        </w:trPr>
        <w:tc>
          <w:tcPr>
            <w:tcW w:w="9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考核</w:t>
            </w:r>
          </w:p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结果</w:t>
            </w:r>
          </w:p>
        </w:tc>
        <w:tc>
          <w:tcPr>
            <w:tcW w:w="7139" w:type="dxa"/>
            <w:gridSpan w:val="6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4"/>
                <w:szCs w:val="24"/>
              </w:rPr>
              <w:t>总分值为100分，考核评分在90分及以上，考核评价为优秀；考核评分在70分（含70分）至89分区间，考核评价为合格；考核评分在60分（含60分）至69分区间，考核评价为基本合格；考核评分60分以下，考核评价为不合格。</w:t>
            </w:r>
          </w:p>
        </w:tc>
        <w:tc>
          <w:tcPr>
            <w:tcW w:w="72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snapToGrid w:val="0"/>
              <w:rPr>
                <w:rFonts w:asciiTheme="minorEastAsia" w:hAnsiTheme="minorEastAsia" w:eastAsiaTheme="minorEastAsia"/>
                <w:color w:val="auto"/>
                <w:sz w:val="24"/>
                <w:szCs w:val="24"/>
              </w:rPr>
            </w:pPr>
          </w:p>
        </w:tc>
      </w:tr>
    </w:tbl>
    <w:p>
      <w:pPr>
        <w:pStyle w:val="10"/>
        <w:adjustRightInd w:val="0"/>
        <w:snapToGrid w:val="0"/>
        <w:ind w:firstLine="480" w:firstLineChars="200"/>
        <w:rPr>
          <w:rFonts w:cs="宋体" w:asciiTheme="minorEastAsia" w:hAnsiTheme="minorEastAsia" w:eastAsiaTheme="minorEastAsia"/>
          <w:color w:val="auto"/>
          <w:sz w:val="24"/>
          <w:szCs w:val="24"/>
        </w:rPr>
      </w:pPr>
    </w:p>
    <w:p>
      <w:pPr>
        <w:pStyle w:val="10"/>
        <w:adjustRightInd w:val="0"/>
        <w:snapToGrid w:val="0"/>
        <w:ind w:firstLine="480" w:firstLineChars="200"/>
        <w:rPr>
          <w:rFonts w:cs="宋体" w:asciiTheme="minorEastAsia" w:hAnsiTheme="minorEastAsia" w:eastAsiaTheme="minorEastAsia"/>
          <w:color w:val="auto"/>
          <w:sz w:val="24"/>
          <w:szCs w:val="24"/>
        </w:rPr>
      </w:pPr>
      <w:r>
        <w:rPr>
          <w:rFonts w:hint="eastAsia" w:cs="宋体" w:asciiTheme="minorEastAsia" w:hAnsiTheme="minorEastAsia" w:eastAsiaTheme="minorEastAsia"/>
          <w:color w:val="auto"/>
          <w:sz w:val="24"/>
          <w:szCs w:val="24"/>
        </w:rPr>
        <w:t>外包方签字：                        考核人员签字：</w:t>
      </w:r>
    </w:p>
    <w:p>
      <w:pPr>
        <w:widowControl/>
        <w:autoSpaceDE/>
        <w:autoSpaceDN/>
        <w:rPr>
          <w:rFonts w:asciiTheme="minorEastAsia" w:hAnsiTheme="minorEastAsia" w:eastAsiaTheme="minorEastAsia"/>
          <w:color w:val="auto"/>
          <w:sz w:val="24"/>
          <w:szCs w:val="24"/>
        </w:rPr>
      </w:pPr>
    </w:p>
    <w:p>
      <w:pPr>
        <w:pStyle w:val="10"/>
        <w:adjustRightInd w:val="0"/>
        <w:snapToGrid w:val="0"/>
        <w:ind w:firstLine="480" w:firstLineChars="200"/>
        <w:rPr>
          <w:rFonts w:cs="宋体" w:asciiTheme="minorEastAsia" w:hAnsiTheme="minorEastAsia" w:eastAsiaTheme="minorEastAsia"/>
          <w:color w:val="auto"/>
          <w:sz w:val="24"/>
          <w:szCs w:val="24"/>
        </w:rPr>
      </w:pPr>
    </w:p>
    <w:p>
      <w:pPr>
        <w:spacing w:line="360" w:lineRule="auto"/>
        <w:ind w:right="105"/>
        <w:jc w:val="center"/>
        <w:rPr>
          <w:rFonts w:cs="Times New Roman" w:asciiTheme="minorEastAsia" w:hAnsiTheme="minorEastAsia" w:eastAsiaTheme="minorEastAsia"/>
          <w:b/>
          <w:bCs/>
          <w:color w:val="auto"/>
          <w:spacing w:val="18"/>
          <w:sz w:val="28"/>
          <w:szCs w:val="28"/>
        </w:rPr>
      </w:pPr>
      <w:r>
        <w:rPr>
          <w:rFonts w:hint="eastAsia" w:cs="Times New Roman" w:asciiTheme="minorEastAsia" w:hAnsiTheme="minorEastAsia" w:eastAsiaTheme="minorEastAsia"/>
          <w:b/>
          <w:bCs/>
          <w:color w:val="auto"/>
          <w:spacing w:val="18"/>
          <w:sz w:val="28"/>
          <w:szCs w:val="28"/>
        </w:rPr>
        <w:t>绿化养护情况检查表</w:t>
      </w:r>
    </w:p>
    <w:p>
      <w:pPr>
        <w:pStyle w:val="10"/>
        <w:adjustRightInd w:val="0"/>
        <w:snapToGrid w:val="0"/>
        <w:rPr>
          <w:rFonts w:cs="宋体" w:asciiTheme="minorEastAsia" w:hAnsiTheme="minorEastAsia" w:eastAsiaTheme="minorEastAsia"/>
          <w:color w:val="auto"/>
          <w:sz w:val="24"/>
          <w:szCs w:val="24"/>
        </w:rPr>
      </w:pPr>
    </w:p>
    <w:tbl>
      <w:tblPr>
        <w:tblStyle w:val="17"/>
        <w:tblW w:w="9354" w:type="dxa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3"/>
        <w:gridCol w:w="603"/>
        <w:gridCol w:w="615"/>
        <w:gridCol w:w="500"/>
        <w:gridCol w:w="498"/>
        <w:gridCol w:w="7"/>
        <w:gridCol w:w="516"/>
        <w:gridCol w:w="491"/>
        <w:gridCol w:w="491"/>
        <w:gridCol w:w="566"/>
        <w:gridCol w:w="532"/>
        <w:gridCol w:w="533"/>
        <w:gridCol w:w="704"/>
        <w:gridCol w:w="578"/>
        <w:gridCol w:w="544"/>
        <w:gridCol w:w="696"/>
        <w:gridCol w:w="627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0" w:hRule="atLeast"/>
          <w:jc w:val="center"/>
        </w:trPr>
        <w:tc>
          <w:tcPr>
            <w:tcW w:w="808" w:type="dxa"/>
            <w:vMerge w:val="restart"/>
            <w:tcBorders>
              <w:top w:val="single" w:color="auto" w:sz="4" w:space="0"/>
              <w:left w:val="single" w:color="auto" w:sz="4" w:space="0"/>
              <w:right w:val="single" w:color="auto" w:sz="4" w:space="0"/>
              <w:tl2br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控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制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指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标</w:t>
            </w:r>
          </w:p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检</w:t>
            </w:r>
          </w:p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查</w:t>
            </w:r>
          </w:p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区</w:t>
            </w:r>
          </w:p>
          <w:p>
            <w:pPr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  <w:t>域</w:t>
            </w:r>
          </w:p>
        </w:tc>
        <w:tc>
          <w:tcPr>
            <w:tcW w:w="115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树木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种植</w:t>
            </w:r>
          </w:p>
        </w:tc>
        <w:tc>
          <w:tcPr>
            <w:tcW w:w="946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植物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修剪</w:t>
            </w:r>
          </w:p>
        </w:tc>
        <w:tc>
          <w:tcPr>
            <w:tcW w:w="961" w:type="dxa"/>
            <w:gridSpan w:val="3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绿篱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修剪</w:t>
            </w:r>
          </w:p>
        </w:tc>
        <w:tc>
          <w:tcPr>
            <w:tcW w:w="1001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花境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种植</w:t>
            </w:r>
          </w:p>
        </w:tc>
        <w:tc>
          <w:tcPr>
            <w:tcW w:w="1009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浇水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施肥</w:t>
            </w:r>
          </w:p>
        </w:tc>
        <w:tc>
          <w:tcPr>
            <w:tcW w:w="1730" w:type="dxa"/>
            <w:gridSpan w:val="3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草坪养护</w:t>
            </w:r>
          </w:p>
        </w:tc>
        <w:tc>
          <w:tcPr>
            <w:tcW w:w="1252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  <w:szCs w:val="24"/>
              </w:rPr>
              <w:t>病虫害防治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8" w:hRule="atLeast"/>
          <w:jc w:val="center"/>
        </w:trPr>
        <w:tc>
          <w:tcPr>
            <w:tcW w:w="80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</w:p>
        </w:tc>
        <w:tc>
          <w:tcPr>
            <w:tcW w:w="571" w:type="dxa"/>
            <w:tcBorders>
              <w:top w:val="single" w:color="auto" w:sz="4" w:space="0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成活率</w:t>
            </w:r>
          </w:p>
        </w:tc>
        <w:tc>
          <w:tcPr>
            <w:tcW w:w="583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防护措施</w:t>
            </w:r>
          </w:p>
        </w:tc>
        <w:tc>
          <w:tcPr>
            <w:tcW w:w="474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病枯枝修剪</w:t>
            </w:r>
          </w:p>
        </w:tc>
        <w:tc>
          <w:tcPr>
            <w:tcW w:w="472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</w:p>
          <w:p>
            <w:pPr>
              <w:widowControl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整体造型</w:t>
            </w:r>
          </w:p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</w:p>
        </w:tc>
        <w:tc>
          <w:tcPr>
            <w:tcW w:w="496" w:type="dxa"/>
            <w:gridSpan w:val="2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平整度</w:t>
            </w:r>
          </w:p>
        </w:tc>
        <w:tc>
          <w:tcPr>
            <w:tcW w:w="46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球形光滑度</w:t>
            </w:r>
          </w:p>
        </w:tc>
        <w:tc>
          <w:tcPr>
            <w:tcW w:w="46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花境清洁度</w:t>
            </w:r>
          </w:p>
        </w:tc>
        <w:tc>
          <w:tcPr>
            <w:tcW w:w="536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植株成活率</w:t>
            </w:r>
          </w:p>
        </w:tc>
        <w:tc>
          <w:tcPr>
            <w:tcW w:w="504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及时性</w:t>
            </w:r>
          </w:p>
        </w:tc>
        <w:tc>
          <w:tcPr>
            <w:tcW w:w="50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均匀度</w:t>
            </w:r>
          </w:p>
        </w:tc>
        <w:tc>
          <w:tcPr>
            <w:tcW w:w="667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杂草除淸</w:t>
            </w:r>
          </w:p>
        </w:tc>
        <w:tc>
          <w:tcPr>
            <w:tcW w:w="548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平整度</w:t>
            </w:r>
          </w:p>
        </w:tc>
        <w:tc>
          <w:tcPr>
            <w:tcW w:w="515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</w:p>
          <w:p>
            <w:pPr>
              <w:widowControl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覆盖度</w:t>
            </w:r>
          </w:p>
          <w:p>
            <w:pPr>
              <w:widowControl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</w:p>
        </w:tc>
        <w:tc>
          <w:tcPr>
            <w:tcW w:w="659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主干</w:t>
            </w:r>
          </w:p>
        </w:tc>
        <w:tc>
          <w:tcPr>
            <w:tcW w:w="593" w:type="dxa"/>
            <w:tcBorders>
              <w:top w:val="single" w:color="auto" w:sz="4" w:space="0"/>
              <w:left w:val="single" w:color="000000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</w:rPr>
              <w:t>叶部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8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1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8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2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3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4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5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6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7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8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9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10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50" w:hRule="atLeast"/>
          <w:jc w:val="center"/>
        </w:trPr>
        <w:tc>
          <w:tcPr>
            <w:tcW w:w="80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</w:pPr>
            <w:r>
              <w:rPr>
                <w:rFonts w:hint="eastAsia" w:cs="Times New Roman" w:asciiTheme="minorEastAsia" w:hAnsiTheme="minorEastAsia" w:eastAsiaTheme="minorEastAsia"/>
                <w:bCs/>
                <w:color w:val="auto"/>
                <w:spacing w:val="18"/>
                <w:sz w:val="24"/>
              </w:rPr>
              <w:t>备注</w:t>
            </w:r>
          </w:p>
        </w:tc>
        <w:tc>
          <w:tcPr>
            <w:tcW w:w="57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</w:rPr>
            </w:pPr>
          </w:p>
        </w:tc>
        <w:tc>
          <w:tcPr>
            <w:tcW w:w="583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>
            <w:pPr>
              <w:jc w:val="center"/>
              <w:rPr>
                <w:rFonts w:cs="Times New Roman" w:asciiTheme="minorEastAsia" w:hAnsiTheme="minorEastAsia" w:eastAsiaTheme="minorEastAsia"/>
                <w:b/>
                <w:bCs/>
                <w:color w:val="auto"/>
                <w:spacing w:val="18"/>
                <w:sz w:val="24"/>
              </w:rPr>
            </w:pPr>
          </w:p>
        </w:tc>
        <w:tc>
          <w:tcPr>
            <w:tcW w:w="47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79" w:type="dxa"/>
            <w:gridSpan w:val="2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8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46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36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4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0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6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48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15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659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  <w:tc>
          <w:tcPr>
            <w:tcW w:w="593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widowControl/>
              <w:rPr>
                <w:color w:val="auto"/>
              </w:rPr>
            </w:pPr>
          </w:p>
        </w:tc>
      </w:tr>
    </w:tbl>
    <w:p>
      <w:pPr>
        <w:spacing w:line="360" w:lineRule="auto"/>
        <w:ind w:right="105"/>
        <w:rPr>
          <w:color w:val="auto"/>
          <w:sz w:val="24"/>
          <w:szCs w:val="24"/>
        </w:rPr>
      </w:pPr>
      <w:r>
        <w:rPr>
          <w:rFonts w:hint="eastAsia" w:cs="Times New Roman" w:asciiTheme="minorEastAsia" w:hAnsiTheme="minorEastAsia" w:eastAsiaTheme="minorEastAsia"/>
          <w:b/>
          <w:color w:val="auto"/>
        </w:rPr>
        <w:t>注：但凡出现率的指标，以问题数量和总计数量为基数进行计算，其他指标以是否存在或完成进行√勾选，出现×说明工作需要改进，在备注栏注明原因。</w:t>
      </w:r>
      <w:r>
        <w:rPr>
          <w:color w:val="auto"/>
          <w:sz w:val="24"/>
          <w:szCs w:val="24"/>
        </w:rPr>
        <w:br w:type="page"/>
      </w:r>
    </w:p>
    <w:p>
      <w:pPr>
        <w:pStyle w:val="9"/>
        <w:autoSpaceDE/>
        <w:autoSpaceDN/>
        <w:spacing w:line="360" w:lineRule="auto"/>
        <w:ind w:firstLine="588" w:firstLineChars="200"/>
        <w:contextualSpacing/>
        <w:outlineLvl w:val="0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附件：4</w:t>
      </w: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.地块分区图</w:t>
      </w:r>
    </w:p>
    <w:p>
      <w:pPr>
        <w:pStyle w:val="9"/>
        <w:autoSpaceDE/>
        <w:autoSpaceDN/>
        <w:spacing w:line="360" w:lineRule="auto"/>
        <w:ind w:firstLine="588" w:firstLineChars="200"/>
        <w:contextualSpacing/>
        <w:outlineLvl w:val="0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 w:bidi="ar-SA"/>
        </w:rPr>
        <w:drawing>
          <wp:inline distT="0" distB="0" distL="0" distR="0">
            <wp:extent cx="5618480" cy="524192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8480" cy="524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autoSpaceDE/>
        <w:autoSpaceDN/>
        <w:spacing w:line="360" w:lineRule="auto"/>
        <w:ind w:firstLine="560" w:firstLineChars="200"/>
        <w:contextualSpacing/>
        <w:outlineLvl w:val="0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sz w:val="28"/>
          <w:szCs w:val="28"/>
        </w:rPr>
        <w:t>附件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：5</w:t>
      </w: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.2025年养护工作量清单</w:t>
      </w:r>
    </w:p>
    <w:p>
      <w:pPr>
        <w:pStyle w:val="9"/>
        <w:autoSpaceDE/>
        <w:autoSpaceDN/>
        <w:spacing w:line="360" w:lineRule="auto"/>
        <w:ind w:firstLine="2240" w:firstLineChars="800"/>
        <w:contextualSpacing/>
        <w:outlineLvl w:val="0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cs="微软雅黑 Light" w:asciiTheme="minorEastAsia" w:hAnsiTheme="minorEastAsia" w:eastAsiaTheme="minorEastAsia"/>
          <w:color w:val="auto"/>
          <w:sz w:val="28"/>
          <w:szCs w:val="28"/>
        </w:rPr>
        <w:t>2</w:t>
      </w:r>
      <w:r>
        <w:rPr>
          <w:rFonts w:cs="微软雅黑 Light" w:asciiTheme="minorEastAsia" w:hAnsiTheme="minorEastAsia" w:eastAsiaTheme="minorEastAsia"/>
          <w:color w:val="auto"/>
          <w:sz w:val="28"/>
          <w:szCs w:val="28"/>
        </w:rPr>
        <w:t>025年</w:t>
      </w:r>
      <w:r>
        <w:rPr>
          <w:rFonts w:hint="eastAsia" w:cs="微软雅黑 Light" w:asciiTheme="minorEastAsia" w:hAnsiTheme="minorEastAsia" w:eastAsiaTheme="minorEastAsia"/>
          <w:color w:val="auto"/>
          <w:sz w:val="28"/>
          <w:szCs w:val="28"/>
        </w:rPr>
        <w:t>1</w:t>
      </w:r>
      <w:r>
        <w:rPr>
          <w:rFonts w:cs="微软雅黑 Light" w:asciiTheme="minorEastAsia" w:hAnsiTheme="minorEastAsia" w:eastAsiaTheme="minorEastAsia"/>
          <w:color w:val="auto"/>
          <w:sz w:val="28"/>
          <w:szCs w:val="28"/>
        </w:rPr>
        <w:t>-5号地块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</w:rPr>
        <w:t>养护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清单</w:t>
      </w:r>
    </w:p>
    <w:tbl>
      <w:tblPr>
        <w:tblStyle w:val="17"/>
        <w:tblW w:w="7800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80"/>
        <w:gridCol w:w="2000"/>
        <w:gridCol w:w="2560"/>
        <w:gridCol w:w="1080"/>
        <w:gridCol w:w="108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序号</w:t>
            </w:r>
          </w:p>
        </w:tc>
        <w:tc>
          <w:tcPr>
            <w:tcW w:w="200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名称</w:t>
            </w:r>
          </w:p>
        </w:tc>
        <w:tc>
          <w:tcPr>
            <w:tcW w:w="25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规格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单位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胸径＜5cm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5cm≤胸径＜10cm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10cm≤胸径＜15cm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15cm≤胸径＜20cm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20cm≤胸径＜30cm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30cm≤胸径＜40cm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乔木（常绿）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胸径≥40cm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胸径＜10cm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10cm≤胸径＜15cm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15cm≤胸径＜20cm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20cm≤胸径＜30cm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30cm≤胸径＜40cm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乔木（落叶）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胸径≥40cm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株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㎡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31111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㎡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23383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水生植物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㎡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石头长椅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张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108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20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木头长椅</w:t>
            </w:r>
          </w:p>
        </w:tc>
        <w:tc>
          <w:tcPr>
            <w:tcW w:w="2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张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</w:tbl>
    <w:p>
      <w:pPr>
        <w:pStyle w:val="10"/>
        <w:autoSpaceDE/>
        <w:autoSpaceDN/>
        <w:spacing w:line="560" w:lineRule="exact"/>
        <w:contextualSpacing/>
        <w:jc w:val="center"/>
        <w:outlineLvl w:val="0"/>
        <w:rPr>
          <w:rFonts w:cs="微软雅黑 Light" w:asciiTheme="minorEastAsia" w:hAnsiTheme="minorEastAsia" w:eastAsiaTheme="minorEastAsia"/>
          <w:color w:val="auto"/>
          <w:sz w:val="28"/>
          <w:szCs w:val="28"/>
        </w:rPr>
      </w:pPr>
      <w:r>
        <w:rPr>
          <w:rFonts w:hint="eastAsia" w:cs="微软雅黑 Light" w:asciiTheme="minorEastAsia" w:hAnsiTheme="minorEastAsia" w:eastAsiaTheme="minorEastAsia"/>
          <w:color w:val="auto"/>
          <w:sz w:val="28"/>
          <w:szCs w:val="28"/>
        </w:rPr>
        <w:t>2</w:t>
      </w:r>
      <w:r>
        <w:rPr>
          <w:rFonts w:cs="微软雅黑 Light" w:asciiTheme="minorEastAsia" w:hAnsiTheme="minorEastAsia" w:eastAsiaTheme="minorEastAsia"/>
          <w:color w:val="auto"/>
          <w:sz w:val="28"/>
          <w:szCs w:val="28"/>
        </w:rPr>
        <w:t>025年</w:t>
      </w:r>
      <w:r>
        <w:rPr>
          <w:rFonts w:hint="eastAsia" w:cs="微软雅黑 Light" w:asciiTheme="minorEastAsia" w:hAnsiTheme="minorEastAsia" w:eastAsiaTheme="minorEastAsia"/>
          <w:color w:val="auto"/>
          <w:sz w:val="28"/>
          <w:szCs w:val="28"/>
        </w:rPr>
        <w:t>1</w:t>
      </w:r>
      <w:r>
        <w:rPr>
          <w:rFonts w:cs="微软雅黑 Light" w:asciiTheme="minorEastAsia" w:hAnsiTheme="minorEastAsia" w:eastAsiaTheme="minorEastAsia"/>
          <w:color w:val="auto"/>
          <w:sz w:val="28"/>
          <w:szCs w:val="28"/>
        </w:rPr>
        <w:t>-5号地块补植</w:t>
      </w:r>
      <w:r>
        <w:rPr>
          <w:rFonts w:hint="eastAsia" w:cs="微软雅黑 Light" w:asciiTheme="minorEastAsia" w:hAnsiTheme="minorEastAsia" w:eastAsiaTheme="minorEastAsia"/>
          <w:color w:val="auto"/>
          <w:sz w:val="28"/>
          <w:szCs w:val="28"/>
        </w:rPr>
        <w:t>清单</w:t>
      </w:r>
    </w:p>
    <w:tbl>
      <w:tblPr>
        <w:tblStyle w:val="17"/>
        <w:tblW w:w="9440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0"/>
        <w:gridCol w:w="1220"/>
        <w:gridCol w:w="1180"/>
        <w:gridCol w:w="3040"/>
        <w:gridCol w:w="1200"/>
        <w:gridCol w:w="188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序号</w:t>
            </w:r>
          </w:p>
        </w:tc>
        <w:tc>
          <w:tcPr>
            <w:tcW w:w="122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名称</w:t>
            </w:r>
          </w:p>
        </w:tc>
        <w:tc>
          <w:tcPr>
            <w:tcW w:w="11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单位</w:t>
            </w:r>
          </w:p>
        </w:tc>
        <w:tc>
          <w:tcPr>
            <w:tcW w:w="304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规格</w:t>
            </w:r>
          </w:p>
        </w:tc>
        <w:tc>
          <w:tcPr>
            <w:tcW w:w="120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数量</w:t>
            </w:r>
          </w:p>
        </w:tc>
        <w:tc>
          <w:tcPr>
            <w:tcW w:w="18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备注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（混播）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450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1号门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暖季型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苔藓地翻种成坪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棵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d14-16，h600-800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桃树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棵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d6-8，h200-300，p200-300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黄馨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h50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无名墓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小叶栀子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h50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海桐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h80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1号门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紫薇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棵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d6-8，h200-300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5" w:hRule="atLeast"/>
        </w:trPr>
        <w:tc>
          <w:tcPr>
            <w:tcW w:w="920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22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茶梅</w:t>
            </w:r>
          </w:p>
        </w:tc>
        <w:tc>
          <w:tcPr>
            <w:tcW w:w="11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平方</w:t>
            </w:r>
          </w:p>
        </w:tc>
        <w:tc>
          <w:tcPr>
            <w:tcW w:w="304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h50</w:t>
            </w:r>
          </w:p>
        </w:tc>
        <w:tc>
          <w:tcPr>
            <w:tcW w:w="120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8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rFonts w:ascii="等线" w:hAnsi="等线" w:eastAsia="等线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="等线" w:hAnsi="等线" w:eastAsia="等线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</w:tr>
    </w:tbl>
    <w:p>
      <w:pPr>
        <w:autoSpaceDE/>
        <w:autoSpaceDN/>
        <w:ind w:firstLine="640" w:firstLineChars="200"/>
        <w:contextualSpacing/>
        <w:outlineLvl w:val="0"/>
        <w:rPr>
          <w:rFonts w:asciiTheme="minorEastAsia" w:hAnsiTheme="minorEastAsia" w:eastAsiaTheme="minorEastAsia"/>
          <w:color w:val="auto"/>
          <w:sz w:val="32"/>
          <w:szCs w:val="32"/>
        </w:rPr>
      </w:pPr>
    </w:p>
    <w:p>
      <w:pPr>
        <w:widowControl/>
        <w:autoSpaceDE/>
        <w:autoSpaceDN/>
        <w:rPr>
          <w:rFonts w:asciiTheme="minorEastAsia" w:hAnsiTheme="minorEastAsia" w:eastAsiaTheme="minorEastAsia"/>
          <w:color w:val="auto"/>
          <w:sz w:val="32"/>
          <w:szCs w:val="32"/>
        </w:rPr>
      </w:pPr>
    </w:p>
    <w:tbl>
      <w:tblPr>
        <w:tblStyle w:val="17"/>
        <w:tblW w:w="5387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2268"/>
        <w:gridCol w:w="170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387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1号地被灌木工作量清单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</w:t>
            </w:r>
            <w:r>
              <w:rPr>
                <w:rFonts w:hint="eastAsia"/>
                <w:color w:val="auto"/>
                <w:sz w:val="28"/>
                <w:szCs w:val="28"/>
                <w:vertAlign w:val="superscript"/>
                <w:lang w:val="en-US" w:bidi="ar-SA"/>
              </w:rPr>
              <w:t>2</w:t>
            </w: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杜鹃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红花檵木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茶梅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金边黄杨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金丝桃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洒金桃叶珊瑚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海桐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水生植物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花境植物（宿根地被）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7983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670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2268"/>
        <w:gridCol w:w="198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670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1号小乔木工作量清单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数量（株）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罗汉松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黄馨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紫荆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桃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桂花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红花檵木球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珊瑚树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女贞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棣棠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蜡梅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紫叶李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五角枫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羽毛枫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樱花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胡颓子球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海桐球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红梅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木瓜海棠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垂丝海棠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慈孝竹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红桔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凤尾竹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石榴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山茶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亮金女贞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火焰卫矛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银姬小蜡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穗花牡荆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天鹅绒紫薇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1420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6237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1417"/>
        <w:gridCol w:w="1701"/>
        <w:gridCol w:w="170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1号大乔木工作量清单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41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分区编号</w:t>
            </w:r>
          </w:p>
        </w:tc>
        <w:tc>
          <w:tcPr>
            <w:tcW w:w="170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70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胸径（cm）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1号</w:t>
            </w: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国槐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青桐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桑树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无患子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无患子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529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2268"/>
        <w:gridCol w:w="184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529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2号地被植物统计表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数量（m2）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珊瑚树绿篱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南天竹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2085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迎春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黄杨绿篱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龙柏绿篱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小柑橘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茶梅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红花檵木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小叶栀子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红叶石楠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金边黄杨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杜鹃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花叶蔓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酢浆草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洒金桃叶珊瑚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十大功劳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268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10670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103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1984"/>
        <w:gridCol w:w="1701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103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2号小乔木工作量清单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数量（m2）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</w:t>
            </w: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龙柏球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石榴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清香木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琼花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桂花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桃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垂丝海棠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山茶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黄杨球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红枫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五针松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大丛南天竹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珊瑚树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黑松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罗汉松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郁香忍冬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山麻杆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芭蕉丛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紫叶李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蜡梅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1984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1152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6521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8"/>
        <w:gridCol w:w="1417"/>
        <w:gridCol w:w="567"/>
        <w:gridCol w:w="1418"/>
        <w:gridCol w:w="283"/>
        <w:gridCol w:w="1418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52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2号大乔木工作量清单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4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417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分区编号</w:t>
            </w:r>
          </w:p>
        </w:tc>
        <w:tc>
          <w:tcPr>
            <w:tcW w:w="1985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701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胸径（cm）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2号</w:t>
            </w: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大叶女贞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大叶女贞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黑松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榉树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三角枫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116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117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119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121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122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123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124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125</w:t>
            </w:r>
          </w:p>
        </w:tc>
        <w:tc>
          <w:tcPr>
            <w:tcW w:w="19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银杏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99" w:hRule="atLeast"/>
        </w:trPr>
        <w:tc>
          <w:tcPr>
            <w:tcW w:w="5103" w:type="dxa"/>
            <w:gridSpan w:val="5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3号地被植物统计表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数量（m2）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常春藤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鸢尾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迎春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南天竹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冬青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黄杨绿篱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龙柏绿篱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198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8747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99" w:hRule="atLeast"/>
        </w:trPr>
        <w:tc>
          <w:tcPr>
            <w:tcW w:w="5103" w:type="dxa"/>
            <w:gridSpan w:val="5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</w:p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3号小乔木工作量清单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99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数量（株）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</w:t>
            </w: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龙爪槐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桂花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红枫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五角枫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大龙柏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紫叶李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女贞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夹竹桃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乔木瓜子黄杨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紫荆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蜡梅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桂花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桧柏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龙柏球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984" w:type="dxa"/>
            <w:gridSpan w:val="2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羽毛枫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1418" w:type="dxa"/>
          <w:trHeight w:val="402" w:hRule="atLeast"/>
        </w:trPr>
        <w:tc>
          <w:tcPr>
            <w:tcW w:w="1418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1984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701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1683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6521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559"/>
        <w:gridCol w:w="1701"/>
        <w:gridCol w:w="19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5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3号大乔木工作量清单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559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分区编号</w:t>
            </w:r>
          </w:p>
        </w:tc>
        <w:tc>
          <w:tcPr>
            <w:tcW w:w="170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胸径（cm）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3号</w:t>
            </w: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枫杨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朴树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喜树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529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2126"/>
        <w:gridCol w:w="2127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529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4号地被植物统计表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数量（m2）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7994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红叶石楠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胡颓子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大叶栀子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金边黄杨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红花檵木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洒金桃叶珊瑚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兰花三七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236.25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2127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14133.25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670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2126"/>
        <w:gridCol w:w="2268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670" w:type="dxa"/>
            <w:gridSpan w:val="3"/>
            <w:tcBorders>
              <w:top w:val="nil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4号小乔木工作量清单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数量（株）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</w:t>
            </w: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石楠球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垂丝海棠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海桐球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黄杨球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山茶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桂花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枸骨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金银木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樱花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紫薇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龙柏球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棕榈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紫藤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紫荆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红叶小檗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绣球花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日本五针松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126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22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1011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6521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1559"/>
        <w:gridCol w:w="1701"/>
        <w:gridCol w:w="19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5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4号大乔木工作量清单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559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分区编号</w:t>
            </w:r>
          </w:p>
        </w:tc>
        <w:tc>
          <w:tcPr>
            <w:tcW w:w="1701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胸径（cm）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4号</w:t>
            </w: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白玉兰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乌桕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乌桕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乌桕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乌桕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乌桕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276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277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278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279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280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281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282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283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284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285</w:t>
            </w:r>
          </w:p>
        </w:tc>
        <w:tc>
          <w:tcPr>
            <w:tcW w:w="170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5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</w:p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5号地被植物统计表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32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地被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数量（m2）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</w:t>
            </w: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海桐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洒金桃叶珊瑚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黄杨绿篱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红叶石楠绿篱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花境植物（宿根地被）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000000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3260" w:type="dxa"/>
            <w:gridSpan w:val="2"/>
            <w:tcBorders>
              <w:top w:val="single" w:color="auto" w:sz="4" w:space="0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香樟林下花境植物</w:t>
            </w:r>
          </w:p>
        </w:tc>
        <w:tc>
          <w:tcPr>
            <w:tcW w:w="1985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32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9622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5812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76"/>
        <w:gridCol w:w="2693"/>
        <w:gridCol w:w="184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5812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5号小乔木工作量清单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269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843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数量（株）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</w:t>
            </w: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蚊母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斗球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珊瑚树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五角枫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火棘球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红枫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蓝冰柏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洛基山圆柏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蓝湖柏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冬青先令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金姬小蜡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金线柏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安酷杜鹃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菱叶绣线菊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无尽夏八仙花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五针松盆景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菲油果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中华木绣球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迷迭香球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火云刺柏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一叶兰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皮球柏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小丑火棘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荷兰鼠刺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火焰卫矛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亮金女贞球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2693" w:type="dxa"/>
            <w:tcBorders>
              <w:top w:val="nil"/>
              <w:left w:val="nil"/>
              <w:bottom w:val="nil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菲油果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276" w:type="dxa"/>
            <w:tcBorders>
              <w:top w:val="nil"/>
              <w:left w:val="single" w:color="auto" w:sz="4" w:space="0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合计</w:t>
            </w:r>
          </w:p>
        </w:tc>
        <w:tc>
          <w:tcPr>
            <w:tcW w:w="2693" w:type="dxa"/>
            <w:tcBorders>
              <w:top w:val="single" w:color="auto" w:sz="4" w:space="0"/>
              <w:left w:val="nil"/>
              <w:bottom w:val="single" w:color="auto" w:sz="4" w:space="0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　</w:t>
            </w:r>
          </w:p>
        </w:tc>
        <w:tc>
          <w:tcPr>
            <w:tcW w:w="184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right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162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tbl>
      <w:tblPr>
        <w:tblStyle w:val="17"/>
        <w:tblW w:w="6521" w:type="dxa"/>
        <w:tblInd w:w="108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4"/>
        <w:gridCol w:w="1560"/>
        <w:gridCol w:w="1842"/>
        <w:gridCol w:w="19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9" w:hRule="atLeast"/>
        </w:trPr>
        <w:tc>
          <w:tcPr>
            <w:tcW w:w="652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5号大乔木工作量清单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</w:t>
            </w:r>
          </w:p>
        </w:tc>
        <w:tc>
          <w:tcPr>
            <w:tcW w:w="156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分区编号</w:t>
            </w:r>
          </w:p>
        </w:tc>
        <w:tc>
          <w:tcPr>
            <w:tcW w:w="184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植物名</w:t>
            </w:r>
          </w:p>
        </w:tc>
        <w:tc>
          <w:tcPr>
            <w:tcW w:w="1985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胸径（cm）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widowControl/>
              <w:autoSpaceDE/>
              <w:autoSpaceDN/>
              <w:jc w:val="center"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5号</w:t>
            </w: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广玉兰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香樟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89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99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109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119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49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129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67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139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146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147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148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35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149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150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151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152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153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154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2" w:hRule="atLeast"/>
        </w:trPr>
        <w:tc>
          <w:tcPr>
            <w:tcW w:w="1134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155</w:t>
            </w:r>
          </w:p>
        </w:tc>
        <w:tc>
          <w:tcPr>
            <w:tcW w:w="184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雪松</w:t>
            </w:r>
          </w:p>
        </w:tc>
        <w:tc>
          <w:tcPr>
            <w:tcW w:w="19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bottom"/>
          </w:tcPr>
          <w:p>
            <w:pPr>
              <w:widowControl/>
              <w:autoSpaceDE/>
              <w:autoSpaceDN/>
              <w:rPr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</w:tbl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p>
      <w:pPr>
        <w:pStyle w:val="9"/>
        <w:spacing w:after="240" w:line="560" w:lineRule="exact"/>
        <w:jc w:val="center"/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</w:pP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6-10号地块</w:t>
      </w:r>
      <w:r>
        <w:rPr>
          <w:rFonts w:hint="eastAsia"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2</w:t>
      </w: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025年</w:t>
      </w:r>
      <w:r>
        <w:rPr>
          <w:rFonts w:hint="eastAsia"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养护</w:t>
      </w: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清单</w:t>
      </w:r>
    </w:p>
    <w:tbl>
      <w:tblPr>
        <w:tblStyle w:val="18"/>
        <w:tblW w:w="87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2693"/>
        <w:gridCol w:w="2394"/>
        <w:gridCol w:w="1154"/>
        <w:gridCol w:w="1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序号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名称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规格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单位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小乔（含灌木）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3925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5cm≤胸径＜10cm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10cm≤胸径＜15cm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15cm≤胸径＜20cm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14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20cm≤胸径＜30cm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107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30cm≤胸径＜40cm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乔木（常绿）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胸径≥40cm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胸径＜10cm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10cm≤胸径＜15cm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  <w:tc>
          <w:tcPr>
            <w:tcW w:w="2693" w:type="dxa"/>
            <w:vAlign w:val="center"/>
          </w:tcPr>
          <w:p>
            <w:pPr>
              <w:spacing w:line="50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15cm≤胸径＜20cm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8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  <w:tc>
          <w:tcPr>
            <w:tcW w:w="2693" w:type="dxa"/>
            <w:vAlign w:val="center"/>
          </w:tcPr>
          <w:p>
            <w:pPr>
              <w:spacing w:line="50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20cm≤胸径＜30cm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22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  <w:tc>
          <w:tcPr>
            <w:tcW w:w="2693" w:type="dxa"/>
            <w:vAlign w:val="center"/>
          </w:tcPr>
          <w:p>
            <w:pPr>
              <w:spacing w:line="50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30cm≤胸径＜40cm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8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  <w:tc>
          <w:tcPr>
            <w:tcW w:w="2693" w:type="dxa"/>
            <w:vAlign w:val="center"/>
          </w:tcPr>
          <w:p>
            <w:pPr>
              <w:spacing w:line="50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乔木（落叶）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胸径≥40cm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株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10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  <w:tc>
          <w:tcPr>
            <w:tcW w:w="2693" w:type="dxa"/>
            <w:vAlign w:val="center"/>
          </w:tcPr>
          <w:p>
            <w:pPr>
              <w:spacing w:line="50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地被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6163.5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竹类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8479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草坪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马尼拉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13426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草坪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混播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5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624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园椅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石头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张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236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  <w:tc>
          <w:tcPr>
            <w:tcW w:w="269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园椅</w:t>
            </w:r>
          </w:p>
        </w:tc>
        <w:tc>
          <w:tcPr>
            <w:tcW w:w="239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木质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张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</w:rPr>
              <w:t>41</w:t>
            </w:r>
          </w:p>
        </w:tc>
      </w:tr>
    </w:tbl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after="240" w:line="560" w:lineRule="exact"/>
        <w:jc w:val="center"/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2</w:t>
      </w:r>
      <w:r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025年</w:t>
      </w: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6-10号地块</w:t>
      </w: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补植清单</w:t>
      </w:r>
    </w:p>
    <w:tbl>
      <w:tblPr>
        <w:tblStyle w:val="18"/>
        <w:tblW w:w="876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2"/>
        <w:gridCol w:w="1572"/>
        <w:gridCol w:w="3088"/>
        <w:gridCol w:w="1154"/>
        <w:gridCol w:w="1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序号</w:t>
            </w:r>
          </w:p>
        </w:tc>
        <w:tc>
          <w:tcPr>
            <w:tcW w:w="1572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名称</w:t>
            </w:r>
          </w:p>
        </w:tc>
        <w:tc>
          <w:tcPr>
            <w:tcW w:w="3088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规格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单位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茶梅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H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-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 P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30-50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  <w:tc>
          <w:tcPr>
            <w:tcW w:w="157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桃树</w:t>
            </w:r>
          </w:p>
        </w:tc>
        <w:tc>
          <w:tcPr>
            <w:tcW w:w="30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H2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0-300 P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 xml:space="preserve">200-300 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d7-8</w:t>
            </w:r>
          </w:p>
        </w:tc>
        <w:tc>
          <w:tcPr>
            <w:tcW w:w="11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662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  <w:tc>
          <w:tcPr>
            <w:tcW w:w="157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金丝桃</w:t>
            </w:r>
          </w:p>
        </w:tc>
        <w:tc>
          <w:tcPr>
            <w:tcW w:w="30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H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60-70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 xml:space="preserve"> P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30-60</w:t>
            </w:r>
          </w:p>
        </w:tc>
        <w:tc>
          <w:tcPr>
            <w:tcW w:w="11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  <w:tc>
          <w:tcPr>
            <w:tcW w:w="157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六道木</w:t>
            </w:r>
          </w:p>
        </w:tc>
        <w:tc>
          <w:tcPr>
            <w:tcW w:w="308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115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草坪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马尼拉35*95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草坪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混播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1356</w:t>
            </w:r>
          </w:p>
        </w:tc>
      </w:tr>
    </w:tbl>
    <w:p>
      <w:pPr>
        <w:pStyle w:val="9"/>
        <w:spacing w:line="560" w:lineRule="exact"/>
        <w:jc w:val="center"/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</w:pPr>
    </w:p>
    <w:p>
      <w:pPr>
        <w:pStyle w:val="9"/>
        <w:spacing w:after="240" w:line="560" w:lineRule="exact"/>
        <w:jc w:val="center"/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2</w:t>
      </w:r>
      <w:r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025年</w:t>
      </w: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6-10号</w:t>
      </w: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移植清单</w:t>
      </w:r>
    </w:p>
    <w:tbl>
      <w:tblPr>
        <w:tblStyle w:val="18"/>
        <w:tblW w:w="87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3"/>
        <w:gridCol w:w="1572"/>
        <w:gridCol w:w="3088"/>
        <w:gridCol w:w="1154"/>
        <w:gridCol w:w="1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序号</w:t>
            </w:r>
          </w:p>
        </w:tc>
        <w:tc>
          <w:tcPr>
            <w:tcW w:w="1572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名称</w:t>
            </w:r>
          </w:p>
        </w:tc>
        <w:tc>
          <w:tcPr>
            <w:tcW w:w="3088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规格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单位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H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250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-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 P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 xml:space="preserve">400 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-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</w:tbl>
    <w:p>
      <w:pPr>
        <w:pStyle w:val="9"/>
        <w:spacing w:after="240" w:line="560" w:lineRule="exact"/>
        <w:jc w:val="center"/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</w:pPr>
    </w:p>
    <w:p>
      <w:pPr>
        <w:pStyle w:val="9"/>
        <w:spacing w:after="240" w:line="560" w:lineRule="exact"/>
        <w:jc w:val="center"/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2</w:t>
      </w:r>
      <w:r>
        <w:rPr>
          <w:rFonts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025年</w:t>
      </w:r>
      <w:r>
        <w:rPr>
          <w:rFonts w:cs="方正小标宋简体" w:asciiTheme="minorEastAsia" w:hAnsiTheme="minorEastAsia" w:eastAsiaTheme="minorEastAsia"/>
          <w:b/>
          <w:color w:val="auto"/>
          <w:sz w:val="28"/>
          <w:szCs w:val="28"/>
          <w:lang w:val="en-US" w:bidi="en-US"/>
        </w:rPr>
        <w:t>6-10号</w:t>
      </w:r>
      <w:r>
        <w:rPr>
          <w:rFonts w:hint="eastAsia" w:asciiTheme="minorEastAsia" w:hAnsiTheme="minorEastAsia" w:eastAsiaTheme="minorEastAsia"/>
          <w:b/>
          <w:color w:val="auto"/>
          <w:w w:val="105"/>
          <w:sz w:val="28"/>
          <w:szCs w:val="28"/>
          <w:lang w:val="en-US"/>
        </w:rPr>
        <w:t>枯株移除清单</w:t>
      </w:r>
    </w:p>
    <w:tbl>
      <w:tblPr>
        <w:tblStyle w:val="18"/>
        <w:tblW w:w="876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63"/>
        <w:gridCol w:w="1572"/>
        <w:gridCol w:w="3088"/>
        <w:gridCol w:w="1154"/>
        <w:gridCol w:w="129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序号</w:t>
            </w:r>
          </w:p>
        </w:tc>
        <w:tc>
          <w:tcPr>
            <w:tcW w:w="1572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名称</w:t>
            </w:r>
          </w:p>
        </w:tc>
        <w:tc>
          <w:tcPr>
            <w:tcW w:w="3088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规格</w:t>
            </w:r>
          </w:p>
        </w:tc>
        <w:tc>
          <w:tcPr>
            <w:tcW w:w="1154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单位</w:t>
            </w:r>
          </w:p>
        </w:tc>
        <w:tc>
          <w:tcPr>
            <w:tcW w:w="1290" w:type="dxa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数量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d38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d19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d21-24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6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  <w:tc>
          <w:tcPr>
            <w:tcW w:w="1572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3088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d</w:t>
            </w: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51</w:t>
            </w:r>
          </w:p>
        </w:tc>
        <w:tc>
          <w:tcPr>
            <w:tcW w:w="1154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株</w:t>
            </w:r>
          </w:p>
        </w:tc>
        <w:tc>
          <w:tcPr>
            <w:tcW w:w="129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10"/>
              <w:adjustRightInd w:val="0"/>
              <w:snapToGrid w:val="0"/>
              <w:spacing w:line="500" w:lineRule="exact"/>
              <w:jc w:val="center"/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cs="宋体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</w:tbl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6</w:t>
      </w: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-10区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地被工作量清单</w:t>
      </w: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3705860</wp:posOffset>
            </wp:positionH>
            <wp:positionV relativeFrom="margin">
              <wp:posOffset>3673475</wp:posOffset>
            </wp:positionV>
            <wp:extent cx="2413000" cy="2194560"/>
            <wp:effectExtent l="0" t="0" r="0" b="0"/>
            <wp:wrapSquare wrapText="bothSides"/>
            <wp:docPr id="9" name="图片 9" descr="C:\Users\THTF\Desktop\图片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THTF\Desktop\图片1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地被统计表</w:t>
      </w:r>
    </w:p>
    <w:tbl>
      <w:tblPr>
        <w:tblStyle w:val="1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01"/>
        <w:gridCol w:w="2367"/>
        <w:gridCol w:w="1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both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分区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地被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数量（m</w:t>
            </w: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vertAlign w:val="superscript"/>
                <w:lang w:val="en-US"/>
              </w:rPr>
              <w:t>2</w:t>
            </w: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麦冬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瓜子黄杨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396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396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草坪8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506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草坪9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506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B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龙柏绿篱2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C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茶梅1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641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杜鹃1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杜鹃2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蚊母1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茶梅2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M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N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N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1775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络石1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络石2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1083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bookmarkStart w:id="0" w:name="_Hlk184195864"/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茶梅球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bookmarkStart w:id="1" w:name="_Hlk184195939"/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胎生狗脊蕨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百子莲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山菅兰乌托邦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红盖鳞毛蕨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金边阔叶麦冬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</w:t>
            </w:r>
          </w:p>
        </w:tc>
      </w:tr>
      <w:bookmarkEnd w:id="1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茶梅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花叶络石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9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矮麦冬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兰花三七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00</w:t>
            </w:r>
          </w:p>
        </w:tc>
      </w:tr>
      <w:bookmarkEnd w:id="0"/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2769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O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299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363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280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八角金盘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273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枸骨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P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珊瑚树1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珊瑚树2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洒金桃叶珊瑚1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洒金桃叶珊瑚2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花境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二月兰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兰花三七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红叶石楠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茶梅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Q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650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金丝桃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197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889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兰花三七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R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洒金桃叶珊瑚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298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S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珊瑚树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S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407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S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S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十大功劳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S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1403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草坪8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草坪9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刚竹林1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刚竹林2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刚竹林3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刚竹林4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2205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109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黄杨绿篱8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草坪10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447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刚竹林5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1104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168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T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花境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6.5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90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麦冬3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麦冬6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95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洒金桃叶珊瑚1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洒金桃叶珊瑚2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麦冬7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蜘蛛抱蛋5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150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慈孝竹1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慈孝竹2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U</w:t>
            </w:r>
          </w:p>
        </w:tc>
        <w:tc>
          <w:tcPr>
            <w:tcW w:w="2367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草坪4</w:t>
            </w:r>
          </w:p>
        </w:tc>
        <w:tc>
          <w:tcPr>
            <w:tcW w:w="1616" w:type="dxa"/>
            <w:noWrap/>
          </w:tcPr>
          <w:p>
            <w:pPr>
              <w:widowControl/>
              <w:autoSpaceDE/>
              <w:autoSpaceDN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sz w:val="28"/>
                <w:szCs w:val="28"/>
                <w:lang w:val="en-US" w:bidi="ar-SA"/>
              </w:rPr>
              <w:t>369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珊瑚绿篱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火焰南天竹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黄金菊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金森女贞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大叶黄杨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春鹃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红花</w:t>
            </w:r>
            <w:r>
              <w:rPr>
                <w:rFonts w:hint="eastAsia" w:cs="微软雅黑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檵</w:t>
            </w:r>
            <w:r>
              <w:rPr>
                <w:rFonts w:hint="eastAsia" w:cs="仿宋_GB2312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木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金叶大花六道木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红叶石楠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常夏石竹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瓜子黄杨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金叶菖蒲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吉祥草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麦冬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生态耐寒矮化苦草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睡莲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旱伞草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灯芯草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常绿水生鸢尾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花叶芦竹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水生美人蕉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梭鱼草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八角金盘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草坪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白哺鸡竹</w:t>
            </w: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762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1101" w:type="dxa"/>
            <w:noWrap/>
          </w:tcPr>
          <w:p>
            <w:pPr>
              <w:pStyle w:val="9"/>
              <w:spacing w:line="560" w:lineRule="exact"/>
              <w:jc w:val="both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总计</w:t>
            </w:r>
          </w:p>
        </w:tc>
        <w:tc>
          <w:tcPr>
            <w:tcW w:w="2367" w:type="dxa"/>
            <w:noWrap/>
          </w:tcPr>
          <w:p>
            <w:pPr>
              <w:pStyle w:val="9"/>
              <w:spacing w:line="560" w:lineRule="exact"/>
              <w:jc w:val="both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1616" w:type="dxa"/>
            <w:noWrap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53692.5</w:t>
            </w:r>
          </w:p>
        </w:tc>
      </w:tr>
    </w:tbl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 w:bidi="ar-S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3204210</wp:posOffset>
            </wp:positionH>
            <wp:positionV relativeFrom="margin">
              <wp:posOffset>130175</wp:posOffset>
            </wp:positionV>
            <wp:extent cx="2413000" cy="2194560"/>
            <wp:effectExtent l="0" t="0" r="0" b="0"/>
            <wp:wrapSquare wrapText="bothSides"/>
            <wp:docPr id="10" name="图片 10" descr="C:\Users\THTF\Desktop\图片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THTF\Desktop\图片1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6</w:t>
      </w: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-10区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小乔木工作量清单</w:t>
      </w: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小乔木统计表</w:t>
      </w:r>
    </w:p>
    <w:tbl>
      <w:tblPr>
        <w:tblStyle w:val="1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7"/>
        <w:gridCol w:w="2551"/>
        <w:gridCol w:w="161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分区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植物名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数量（株）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胡颓子球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紫藤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B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B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日本五针松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C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苏铁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黑松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垂丝海棠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红桔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黄杨球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乔木瓜子黄杨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厚皮香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蚊母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五角枫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乔木瓜子黄杨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夹竹桃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杨梅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棕榈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大黄杨球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红梅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棕榈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樱花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蜡梅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八角金盘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蚊母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棕榈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夹竹桃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含笑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乔木瓜子黄杨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石楠球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木瓜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乔木瓜子黄杨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棕榈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紫荆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胡秃子球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香桃木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荷兰鼠刺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穗花牡荆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黄杨球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紫叶李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石楠球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桧柏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蚊母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夹竹桃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圆柏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苏铁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八角金盘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桧柏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柘树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蚊母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五角枫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五角枫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石榴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棕榈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紫叶李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桂花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蚊母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珊瑚树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腊梅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乔木瓜子黄杨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枇杷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罗汉松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白皮松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红花槭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白玉兰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二乔玉兰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紫玉兰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丛生紫薇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紫薇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莲子桂A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莲子桂B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北美海棠（绚丽）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红枫A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红枫B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美人梅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花石榴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花桃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丛生石楠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美人茶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丛生珊瑚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丛生朴树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红花</w:t>
            </w:r>
            <w:r>
              <w:rPr>
                <w:rFonts w:hint="eastAsia" w:cs="微软雅黑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檵</w:t>
            </w:r>
            <w:r>
              <w:rPr>
                <w:rFonts w:hint="eastAsia" w:cs="仿宋_GB2312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木球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北海道黄杨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2551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龙柏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</w:trPr>
        <w:tc>
          <w:tcPr>
            <w:tcW w:w="917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总计</w:t>
            </w:r>
          </w:p>
        </w:tc>
        <w:tc>
          <w:tcPr>
            <w:tcW w:w="255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　</w:t>
            </w:r>
          </w:p>
        </w:tc>
        <w:tc>
          <w:tcPr>
            <w:tcW w:w="1616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3925</w:t>
            </w:r>
          </w:p>
        </w:tc>
      </w:tr>
    </w:tbl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3609340</wp:posOffset>
            </wp:positionH>
            <wp:positionV relativeFrom="margin">
              <wp:posOffset>-33020</wp:posOffset>
            </wp:positionV>
            <wp:extent cx="2026285" cy="1843405"/>
            <wp:effectExtent l="0" t="0" r="0" b="0"/>
            <wp:wrapSquare wrapText="bothSides"/>
            <wp:docPr id="11" name="图片 11" descr="C:\Users\THTF\Desktop\图片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THTF\Desktop\图片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26285" cy="184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6</w:t>
      </w:r>
      <w:r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-10区</w:t>
      </w: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大乔木工作量清单</w:t>
      </w:r>
    </w:p>
    <w:p>
      <w:pPr>
        <w:pStyle w:val="9"/>
        <w:spacing w:line="560" w:lineRule="exact"/>
        <w:jc w:val="both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  <w:r>
        <w:rPr>
          <w:rFonts w:hint="eastAsia" w:asciiTheme="minorEastAsia" w:hAnsiTheme="minorEastAsia" w:eastAsiaTheme="minorEastAsia"/>
          <w:color w:val="auto"/>
          <w:w w:val="105"/>
          <w:sz w:val="28"/>
          <w:szCs w:val="28"/>
          <w:lang w:val="en-US"/>
        </w:rPr>
        <w:t>大乔木统计表</w:t>
      </w:r>
    </w:p>
    <w:tbl>
      <w:tblPr>
        <w:tblStyle w:val="18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9"/>
        <w:gridCol w:w="938"/>
        <w:gridCol w:w="2039"/>
        <w:gridCol w:w="170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分区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编号</w:t>
            </w: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植物名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胸径（cm）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白皮松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白皮松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国槐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德州栎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德州栎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德州栎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A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</w:t>
            </w: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B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白栎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国槐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M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苦楝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N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O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山核桃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山核桃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山核桃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山核桃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山核桃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枫香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悬铃木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刺槐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杜仲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P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Q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雪松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R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广玉兰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S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枫杨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T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青桐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臭椿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桑树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54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榆树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62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大叶女贞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构树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榆树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泡桐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U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榉树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朴树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黄山栾树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女贞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乌桕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三角枫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三角枫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三角枫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24.1-25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银杏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紫楠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17.1-18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浙江楠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无患子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22.1-24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水杉A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水杉B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16.1-18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墨西哥落羽杉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池杉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18.1-20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柳杉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12.1-14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959" w:type="dxa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V</w:t>
            </w:r>
          </w:p>
        </w:tc>
        <w:tc>
          <w:tcPr>
            <w:tcW w:w="938" w:type="dxa"/>
            <w:vAlign w:val="center"/>
          </w:tcPr>
          <w:p>
            <w:pPr>
              <w:pStyle w:val="9"/>
              <w:numPr>
                <w:ilvl w:val="0"/>
                <w:numId w:val="7"/>
              </w:numPr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</w:p>
        </w:tc>
        <w:tc>
          <w:tcPr>
            <w:tcW w:w="2039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hint="eastAsia"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香樟</w:t>
            </w:r>
          </w:p>
        </w:tc>
        <w:tc>
          <w:tcPr>
            <w:tcW w:w="1701" w:type="dxa"/>
            <w:noWrap/>
            <w:vAlign w:val="center"/>
          </w:tcPr>
          <w:p>
            <w:pPr>
              <w:pStyle w:val="9"/>
              <w:spacing w:line="560" w:lineRule="exact"/>
              <w:jc w:val="center"/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</w:pPr>
            <w:r>
              <w:rPr>
                <w:rFonts w:asciiTheme="minorEastAsia" w:hAnsiTheme="minorEastAsia" w:eastAsiaTheme="minorEastAsia"/>
                <w:color w:val="auto"/>
                <w:w w:val="105"/>
                <w:sz w:val="28"/>
                <w:szCs w:val="28"/>
                <w:lang w:val="en-US"/>
              </w:rPr>
              <w:t>70</w:t>
            </w:r>
          </w:p>
        </w:tc>
      </w:tr>
    </w:tbl>
    <w:p>
      <w:pPr>
        <w:pStyle w:val="9"/>
        <w:spacing w:line="560" w:lineRule="exact"/>
        <w:jc w:val="center"/>
        <w:rPr>
          <w:rFonts w:asciiTheme="minorEastAsia" w:hAnsiTheme="minorEastAsia" w:eastAsiaTheme="minorEastAsia"/>
          <w:color w:val="auto"/>
          <w:w w:val="105"/>
          <w:sz w:val="28"/>
          <w:szCs w:val="28"/>
          <w:lang w:val="en-US"/>
        </w:rPr>
      </w:pPr>
    </w:p>
    <w:p>
      <w:pPr>
        <w:autoSpaceDE/>
        <w:autoSpaceDN/>
        <w:contextualSpacing/>
        <w:outlineLvl w:val="0"/>
        <w:rPr>
          <w:rFonts w:asciiTheme="minorEastAsia" w:hAnsiTheme="minorEastAsia" w:eastAsiaTheme="minorEastAsia"/>
          <w:color w:val="auto"/>
          <w:sz w:val="28"/>
          <w:szCs w:val="28"/>
        </w:rPr>
      </w:pPr>
    </w:p>
    <w:sectPr>
      <w:footerReference r:id="rId7" w:type="first"/>
      <w:pgSz w:w="11910" w:h="16840"/>
      <w:pgMar w:top="2098" w:right="1531" w:bottom="1985" w:left="1531" w:header="850" w:footer="992" w:gutter="0"/>
      <w:pgNumType w:fmt="numberInDash" w:start="1"/>
      <w:cols w:equalWidth="0" w:num="1">
        <w:col w:w="9419"/>
      </w:cols>
      <w:titlePg/>
      <w:docGrid w:linePitch="299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DejaVu Sans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方正黑体_GBK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等线">
    <w:altName w:val="华文中宋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小标宋简体">
    <w:panose1 w:val="02000000000000000000"/>
    <w:charset w:val="86"/>
    <w:family w:val="script"/>
    <w:pitch w:val="default"/>
    <w:sig w:usb0="A00002BF" w:usb1="184F6CFA" w:usb2="00000012" w:usb3="00000000" w:csb0="00040001" w:csb1="00000000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方正仿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微软雅黑 Light">
    <w:altName w:val="方正黑体_GBK"/>
    <w:panose1 w:val="020B0502040204020203"/>
    <w:charset w:val="86"/>
    <w:family w:val="swiss"/>
    <w:pitch w:val="default"/>
    <w:sig w:usb0="00000000" w:usb1="00000000" w:usb2="00000016" w:usb3="00000000" w:csb0="0004001F" w:csb1="00000000"/>
  </w:font>
  <w:font w:name="微软雅黑">
    <w:altName w:val="方正黑体_GBK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Noto Sans CJK JP Bold">
    <w:panose1 w:val="020B0800000000000000"/>
    <w:charset w:val="86"/>
    <w:family w:val="auto"/>
    <w:pitch w:val="default"/>
    <w:sig w:usb0="30000003" w:usb1="2BDF3C10" w:usb2="00000016" w:usb3="00000000" w:csb0="602E0107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</w:sdtPr>
    <w:sdtEndPr>
      <w:rPr>
        <w:sz w:val="28"/>
        <w:szCs w:val="28"/>
      </w:rPr>
    </w:sdtEndPr>
    <w:sdtContent>
      <w:p>
        <w:pPr>
          <w:pStyle w:val="12"/>
          <w:jc w:val="center"/>
          <w:rPr>
            <w:sz w:val="28"/>
            <w:szCs w:val="28"/>
          </w:rPr>
        </w:pPr>
        <w:r>
          <w:rPr>
            <w:sz w:val="28"/>
            <w:szCs w:val="28"/>
          </w:rPr>
          <w:fldChar w:fldCharType="begin"/>
        </w:r>
        <w:r>
          <w:rPr>
            <w:sz w:val="28"/>
            <w:szCs w:val="28"/>
          </w:rPr>
          <w:instrText xml:space="preserve">PAGE   \* MERGEFORMAT</w:instrText>
        </w:r>
        <w:r>
          <w:rPr>
            <w:sz w:val="28"/>
            <w:szCs w:val="28"/>
          </w:rPr>
          <w:fldChar w:fldCharType="separate"/>
        </w:r>
        <w:r>
          <w:rPr>
            <w:sz w:val="28"/>
            <w:szCs w:val="28"/>
          </w:rPr>
          <w:t>- 19 -</w:t>
        </w:r>
        <w:r>
          <w:rPr>
            <w:sz w:val="28"/>
            <w:szCs w:val="28"/>
          </w:rPr>
          <w:fldChar w:fldCharType="end"/>
        </w:r>
      </w:p>
    </w:sdtContent>
  </w:sdt>
  <w:p>
    <w:pPr>
      <w:pStyle w:val="9"/>
      <w:spacing w:line="14" w:lineRule="auto"/>
      <w:rPr>
        <w:sz w:val="20"/>
      </w:rPr>
    </w:pPr>
  </w:p>
  <w:p>
    <w:pPr>
      <w:pStyle w:val="9"/>
      <w:spacing w:line="14" w:lineRule="auto"/>
      <w:rPr>
        <w:sz w:val="2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  <w:rPr>
        <w:sz w:val="28"/>
        <w:szCs w:val="28"/>
      </w:rPr>
    </w:pPr>
  </w:p>
  <w:p>
    <w:pPr>
      <w:pStyle w:val="1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jc w:val="center"/>
      <w:rPr>
        <w:sz w:val="28"/>
        <w:szCs w:val="28"/>
      </w:rPr>
    </w:pPr>
    <w:r>
      <w:rPr>
        <w:sz w:val="28"/>
        <w:szCs w:val="28"/>
      </w:rPr>
      <w:fldChar w:fldCharType="begin"/>
    </w:r>
    <w:r>
      <w:rPr>
        <w:sz w:val="28"/>
        <w:szCs w:val="28"/>
      </w:rPr>
      <w:instrText xml:space="preserve">PAGE   \* MERGEFORMAT</w:instrText>
    </w:r>
    <w:r>
      <w:rPr>
        <w:sz w:val="28"/>
        <w:szCs w:val="28"/>
      </w:rPr>
      <w:fldChar w:fldCharType="separate"/>
    </w:r>
    <w:r>
      <w:rPr>
        <w:sz w:val="28"/>
        <w:szCs w:val="28"/>
      </w:rPr>
      <w:t>- 1 -</w:t>
    </w:r>
    <w:r>
      <w:rPr>
        <w:sz w:val="28"/>
        <w:szCs w:val="28"/>
      </w:rPr>
      <w:fldChar w:fldCharType="end"/>
    </w:r>
  </w:p>
  <w:p>
    <w:pPr>
      <w:pStyle w:val="1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248C179"/>
    <w:multiLevelType w:val="multilevel"/>
    <w:tmpl w:val="0248C179"/>
    <w:lvl w:ilvl="0" w:tentative="0">
      <w:start w:val="3"/>
      <w:numFmt w:val="decimal"/>
      <w:lvlText w:val="%1"/>
      <w:lvlJc w:val="left"/>
      <w:pPr>
        <w:ind w:left="982" w:hanging="217"/>
      </w:pPr>
      <w:rPr>
        <w:rFonts w:hint="default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982" w:hanging="217"/>
      </w:pPr>
      <w:rPr>
        <w:rFonts w:hint="eastAsia" w:cs="宋体" w:asciiTheme="minorEastAsia" w:hAnsiTheme="minorEastAsia" w:eastAsiaTheme="minorEastAsia"/>
        <w:b w:val="0"/>
        <w:bCs/>
        <w:w w:val="102"/>
        <w:sz w:val="28"/>
        <w:szCs w:val="28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2793" w:hanging="217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3699" w:hanging="217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4606" w:hanging="217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5512" w:hanging="217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6419" w:hanging="217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7325" w:hanging="217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8232" w:hanging="217"/>
      </w:pPr>
      <w:rPr>
        <w:rFonts w:hint="default"/>
        <w:lang w:val="zh-CN" w:eastAsia="zh-CN" w:bidi="zh-CN"/>
      </w:rPr>
    </w:lvl>
  </w:abstractNum>
  <w:abstractNum w:abstractNumId="1">
    <w:nsid w:val="03A46CB1"/>
    <w:multiLevelType w:val="multilevel"/>
    <w:tmpl w:val="03A46CB1"/>
    <w:lvl w:ilvl="0" w:tentative="0">
      <w:start w:val="1"/>
      <w:numFmt w:val="decimal"/>
      <w:lvlText w:val="%1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5EA4AC7"/>
    <w:multiLevelType w:val="multilevel"/>
    <w:tmpl w:val="25EA4AC7"/>
    <w:lvl w:ilvl="0" w:tentative="0">
      <w:start w:val="1"/>
      <w:numFmt w:val="decimal"/>
      <w:lvlText w:val="%1、"/>
      <w:lvlJc w:val="left"/>
      <w:pPr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2A8F537B"/>
    <w:multiLevelType w:val="multilevel"/>
    <w:tmpl w:val="2A8F537B"/>
    <w:lvl w:ilvl="0" w:tentative="0">
      <w:start w:val="5"/>
      <w:numFmt w:val="decimal"/>
      <w:lvlText w:val="%1"/>
      <w:lvlJc w:val="left"/>
      <w:pPr>
        <w:ind w:left="982" w:hanging="217"/>
      </w:pPr>
      <w:rPr>
        <w:rFonts w:hint="default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982" w:hanging="217"/>
      </w:pPr>
      <w:rPr>
        <w:rFonts w:hint="eastAsia" w:cs="宋体" w:asciiTheme="minorEastAsia" w:hAnsiTheme="minorEastAsia" w:eastAsiaTheme="minorEastAsia"/>
        <w:b w:val="0"/>
        <w:bCs/>
        <w:w w:val="102"/>
        <w:sz w:val="28"/>
        <w:szCs w:val="28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2793" w:hanging="217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3699" w:hanging="217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4606" w:hanging="217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5512" w:hanging="217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6419" w:hanging="217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7325" w:hanging="217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8232" w:hanging="217"/>
      </w:pPr>
      <w:rPr>
        <w:rFonts w:hint="default"/>
        <w:lang w:val="zh-CN" w:eastAsia="zh-CN" w:bidi="zh-CN"/>
      </w:rPr>
    </w:lvl>
  </w:abstractNum>
  <w:abstractNum w:abstractNumId="4">
    <w:nsid w:val="6FF8550A"/>
    <w:multiLevelType w:val="multilevel"/>
    <w:tmpl w:val="6FF8550A"/>
    <w:lvl w:ilvl="0" w:tentative="0">
      <w:start w:val="1"/>
      <w:numFmt w:val="decimal"/>
      <w:lvlText w:val="%1、"/>
      <w:lvlJc w:val="left"/>
      <w:pPr>
        <w:ind w:left="480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72183CF9"/>
    <w:multiLevelType w:val="multilevel"/>
    <w:tmpl w:val="72183CF9"/>
    <w:lvl w:ilvl="0" w:tentative="0">
      <w:start w:val="1"/>
      <w:numFmt w:val="decimal"/>
      <w:lvlText w:val="%1"/>
      <w:lvlJc w:val="left"/>
      <w:pPr>
        <w:ind w:left="1001" w:hanging="217"/>
      </w:pPr>
      <w:rPr>
        <w:rFonts w:hint="default"/>
        <w:lang w:val="zh-CN" w:eastAsia="zh-CN" w:bidi="zh-CN"/>
      </w:rPr>
    </w:lvl>
    <w:lvl w:ilvl="1" w:tentative="0">
      <w:start w:val="1"/>
      <w:numFmt w:val="decimal"/>
      <w:lvlText w:val="%1.%2"/>
      <w:lvlJc w:val="left"/>
      <w:pPr>
        <w:ind w:left="1001" w:hanging="217"/>
      </w:pPr>
      <w:rPr>
        <w:rFonts w:hint="eastAsia" w:cs="宋体" w:asciiTheme="minorEastAsia" w:hAnsiTheme="minorEastAsia" w:eastAsiaTheme="minorEastAsia"/>
        <w:b w:val="0"/>
        <w:bCs/>
        <w:w w:val="102"/>
        <w:sz w:val="28"/>
        <w:szCs w:val="28"/>
        <w:lang w:val="zh-CN" w:eastAsia="zh-CN" w:bidi="zh-CN"/>
      </w:rPr>
    </w:lvl>
    <w:lvl w:ilvl="2" w:tentative="0">
      <w:start w:val="0"/>
      <w:numFmt w:val="bullet"/>
      <w:lvlText w:val="•"/>
      <w:lvlJc w:val="left"/>
      <w:pPr>
        <w:ind w:left="2809" w:hanging="217"/>
      </w:pPr>
      <w:rPr>
        <w:rFonts w:hint="default"/>
        <w:lang w:val="zh-CN" w:eastAsia="zh-CN" w:bidi="zh-CN"/>
      </w:rPr>
    </w:lvl>
    <w:lvl w:ilvl="3" w:tentative="0">
      <w:start w:val="0"/>
      <w:numFmt w:val="bullet"/>
      <w:lvlText w:val="•"/>
      <w:lvlJc w:val="left"/>
      <w:pPr>
        <w:ind w:left="3713" w:hanging="217"/>
      </w:pPr>
      <w:rPr>
        <w:rFonts w:hint="default"/>
        <w:lang w:val="zh-CN" w:eastAsia="zh-CN" w:bidi="zh-CN"/>
      </w:rPr>
    </w:lvl>
    <w:lvl w:ilvl="4" w:tentative="0">
      <w:start w:val="0"/>
      <w:numFmt w:val="bullet"/>
      <w:lvlText w:val="•"/>
      <w:lvlJc w:val="left"/>
      <w:pPr>
        <w:ind w:left="4618" w:hanging="217"/>
      </w:pPr>
      <w:rPr>
        <w:rFonts w:hint="default"/>
        <w:lang w:val="zh-CN" w:eastAsia="zh-CN" w:bidi="zh-CN"/>
      </w:rPr>
    </w:lvl>
    <w:lvl w:ilvl="5" w:tentative="0">
      <w:start w:val="0"/>
      <w:numFmt w:val="bullet"/>
      <w:lvlText w:val="•"/>
      <w:lvlJc w:val="left"/>
      <w:pPr>
        <w:ind w:left="5522" w:hanging="217"/>
      </w:pPr>
      <w:rPr>
        <w:rFonts w:hint="default"/>
        <w:lang w:val="zh-CN" w:eastAsia="zh-CN" w:bidi="zh-CN"/>
      </w:rPr>
    </w:lvl>
    <w:lvl w:ilvl="6" w:tentative="0">
      <w:start w:val="0"/>
      <w:numFmt w:val="bullet"/>
      <w:lvlText w:val="•"/>
      <w:lvlJc w:val="left"/>
      <w:pPr>
        <w:ind w:left="6427" w:hanging="217"/>
      </w:pPr>
      <w:rPr>
        <w:rFonts w:hint="default"/>
        <w:lang w:val="zh-CN" w:eastAsia="zh-CN" w:bidi="zh-CN"/>
      </w:rPr>
    </w:lvl>
    <w:lvl w:ilvl="7" w:tentative="0">
      <w:start w:val="0"/>
      <w:numFmt w:val="bullet"/>
      <w:lvlText w:val="•"/>
      <w:lvlJc w:val="left"/>
      <w:pPr>
        <w:ind w:left="7331" w:hanging="217"/>
      </w:pPr>
      <w:rPr>
        <w:rFonts w:hint="default"/>
        <w:lang w:val="zh-CN" w:eastAsia="zh-CN" w:bidi="zh-CN"/>
      </w:rPr>
    </w:lvl>
    <w:lvl w:ilvl="8" w:tentative="0">
      <w:start w:val="0"/>
      <w:numFmt w:val="bullet"/>
      <w:lvlText w:val="•"/>
      <w:lvlJc w:val="left"/>
      <w:pPr>
        <w:ind w:left="8236" w:hanging="217"/>
      </w:pPr>
      <w:rPr>
        <w:rFonts w:hint="default"/>
        <w:lang w:val="zh-CN" w:eastAsia="zh-CN" w:bidi="zh-CN"/>
      </w:rPr>
    </w:lvl>
  </w:abstractNum>
  <w:abstractNum w:abstractNumId="6">
    <w:nsid w:val="73874F13"/>
    <w:multiLevelType w:val="multilevel"/>
    <w:tmpl w:val="73874F13"/>
    <w:lvl w:ilvl="0" w:tentative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6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hideSpellingErrors/>
  <w:documentProtection w:enforcement="0"/>
  <w:defaultTabStop w:val="719"/>
  <w:drawingGridHorizontalSpacing w:val="110"/>
  <w:noPunctuationKerning w:val="1"/>
  <w:characterSpacingControl w:val="doNotCompress"/>
  <w:compat>
    <w:ulTrailSpace/>
    <w:doNotExpandShiftReturn/>
    <w:useFELayout/>
    <w:compatSetting w:name="compatibilityMode" w:uri="http://schemas.microsoft.com/office/word" w:val="12"/>
  </w:compat>
  <w:docVars>
    <w:docVar w:name="commondata" w:val="eyJoZGlkIjoiNTliYTkwNWUzYzJjZDIxN2Y5NWRkY2VlMTk5NTAwNjUifQ=="/>
  </w:docVars>
  <w:rsids>
    <w:rsidRoot w:val="006D0BE8"/>
    <w:rsid w:val="00001BED"/>
    <w:rsid w:val="00001E0A"/>
    <w:rsid w:val="00002E89"/>
    <w:rsid w:val="00011A0E"/>
    <w:rsid w:val="000127D4"/>
    <w:rsid w:val="00022735"/>
    <w:rsid w:val="00022E9E"/>
    <w:rsid w:val="00033A20"/>
    <w:rsid w:val="00055CC4"/>
    <w:rsid w:val="000561BB"/>
    <w:rsid w:val="00057019"/>
    <w:rsid w:val="00061979"/>
    <w:rsid w:val="00063464"/>
    <w:rsid w:val="000743BA"/>
    <w:rsid w:val="000802A1"/>
    <w:rsid w:val="000834B6"/>
    <w:rsid w:val="00084D31"/>
    <w:rsid w:val="0008582D"/>
    <w:rsid w:val="00087EB2"/>
    <w:rsid w:val="00096493"/>
    <w:rsid w:val="000A2E44"/>
    <w:rsid w:val="000A3431"/>
    <w:rsid w:val="000B1F52"/>
    <w:rsid w:val="000B47D3"/>
    <w:rsid w:val="000B5E9E"/>
    <w:rsid w:val="000C7EF4"/>
    <w:rsid w:val="000D4F45"/>
    <w:rsid w:val="000E43FA"/>
    <w:rsid w:val="000E562D"/>
    <w:rsid w:val="000F07E1"/>
    <w:rsid w:val="000F0D14"/>
    <w:rsid w:val="000F2BAE"/>
    <w:rsid w:val="001023BB"/>
    <w:rsid w:val="00106E42"/>
    <w:rsid w:val="00123B93"/>
    <w:rsid w:val="00135BB7"/>
    <w:rsid w:val="00140156"/>
    <w:rsid w:val="00144E13"/>
    <w:rsid w:val="00155005"/>
    <w:rsid w:val="001558E2"/>
    <w:rsid w:val="001632E9"/>
    <w:rsid w:val="00171CC7"/>
    <w:rsid w:val="00182198"/>
    <w:rsid w:val="001833E6"/>
    <w:rsid w:val="0018414C"/>
    <w:rsid w:val="001901BA"/>
    <w:rsid w:val="001A5228"/>
    <w:rsid w:val="001C1A21"/>
    <w:rsid w:val="001C5F6F"/>
    <w:rsid w:val="001E2010"/>
    <w:rsid w:val="00200270"/>
    <w:rsid w:val="0020132B"/>
    <w:rsid w:val="0020270C"/>
    <w:rsid w:val="00203CD0"/>
    <w:rsid w:val="00213458"/>
    <w:rsid w:val="002137D8"/>
    <w:rsid w:val="00213E8B"/>
    <w:rsid w:val="0022137E"/>
    <w:rsid w:val="00241DC4"/>
    <w:rsid w:val="00250CA7"/>
    <w:rsid w:val="00254F15"/>
    <w:rsid w:val="002619D7"/>
    <w:rsid w:val="00266122"/>
    <w:rsid w:val="00270D09"/>
    <w:rsid w:val="002717A1"/>
    <w:rsid w:val="002717FD"/>
    <w:rsid w:val="00273574"/>
    <w:rsid w:val="00282321"/>
    <w:rsid w:val="002A32FC"/>
    <w:rsid w:val="002A5D71"/>
    <w:rsid w:val="002B2B7A"/>
    <w:rsid w:val="002C7240"/>
    <w:rsid w:val="002D19C4"/>
    <w:rsid w:val="002E4D1A"/>
    <w:rsid w:val="002E5FCD"/>
    <w:rsid w:val="00310DBD"/>
    <w:rsid w:val="003132A7"/>
    <w:rsid w:val="00327090"/>
    <w:rsid w:val="003314D2"/>
    <w:rsid w:val="00334519"/>
    <w:rsid w:val="00335A01"/>
    <w:rsid w:val="00342016"/>
    <w:rsid w:val="00354CB8"/>
    <w:rsid w:val="00357461"/>
    <w:rsid w:val="00357A01"/>
    <w:rsid w:val="00390105"/>
    <w:rsid w:val="0039468A"/>
    <w:rsid w:val="00395419"/>
    <w:rsid w:val="00397622"/>
    <w:rsid w:val="003A1141"/>
    <w:rsid w:val="003A2047"/>
    <w:rsid w:val="003A2BEC"/>
    <w:rsid w:val="003A56E8"/>
    <w:rsid w:val="003B01E2"/>
    <w:rsid w:val="003B1519"/>
    <w:rsid w:val="003B3437"/>
    <w:rsid w:val="003B4F73"/>
    <w:rsid w:val="003C2F2B"/>
    <w:rsid w:val="003C503E"/>
    <w:rsid w:val="003D154C"/>
    <w:rsid w:val="003D288F"/>
    <w:rsid w:val="003D31D3"/>
    <w:rsid w:val="003D7832"/>
    <w:rsid w:val="003E24E8"/>
    <w:rsid w:val="003F4209"/>
    <w:rsid w:val="003F6D19"/>
    <w:rsid w:val="003F781B"/>
    <w:rsid w:val="0040520F"/>
    <w:rsid w:val="00413903"/>
    <w:rsid w:val="00416E5C"/>
    <w:rsid w:val="004205E3"/>
    <w:rsid w:val="00420C89"/>
    <w:rsid w:val="00432F5C"/>
    <w:rsid w:val="004423C9"/>
    <w:rsid w:val="0045110A"/>
    <w:rsid w:val="00467722"/>
    <w:rsid w:val="0047329F"/>
    <w:rsid w:val="00482C6E"/>
    <w:rsid w:val="0049440F"/>
    <w:rsid w:val="00495CDA"/>
    <w:rsid w:val="0049602C"/>
    <w:rsid w:val="004A35E6"/>
    <w:rsid w:val="004B2BEC"/>
    <w:rsid w:val="004E4D57"/>
    <w:rsid w:val="004F6139"/>
    <w:rsid w:val="00500FEB"/>
    <w:rsid w:val="005141D0"/>
    <w:rsid w:val="005229DC"/>
    <w:rsid w:val="005234D7"/>
    <w:rsid w:val="00527181"/>
    <w:rsid w:val="00533A0A"/>
    <w:rsid w:val="00536945"/>
    <w:rsid w:val="005426C7"/>
    <w:rsid w:val="0054630B"/>
    <w:rsid w:val="0054755E"/>
    <w:rsid w:val="00552891"/>
    <w:rsid w:val="005534B8"/>
    <w:rsid w:val="0055357B"/>
    <w:rsid w:val="00554625"/>
    <w:rsid w:val="005573A9"/>
    <w:rsid w:val="005601ED"/>
    <w:rsid w:val="005605E4"/>
    <w:rsid w:val="00560C3A"/>
    <w:rsid w:val="00590CA1"/>
    <w:rsid w:val="005B36E8"/>
    <w:rsid w:val="005C09A9"/>
    <w:rsid w:val="005C14C4"/>
    <w:rsid w:val="005C3657"/>
    <w:rsid w:val="005F046A"/>
    <w:rsid w:val="00610886"/>
    <w:rsid w:val="00610AAB"/>
    <w:rsid w:val="00617712"/>
    <w:rsid w:val="00626E83"/>
    <w:rsid w:val="006358DE"/>
    <w:rsid w:val="00637947"/>
    <w:rsid w:val="0064151B"/>
    <w:rsid w:val="00641E35"/>
    <w:rsid w:val="00642ECD"/>
    <w:rsid w:val="00654242"/>
    <w:rsid w:val="006551B7"/>
    <w:rsid w:val="00660FD1"/>
    <w:rsid w:val="00672E1A"/>
    <w:rsid w:val="00682CA9"/>
    <w:rsid w:val="006836F1"/>
    <w:rsid w:val="0069154B"/>
    <w:rsid w:val="006A2936"/>
    <w:rsid w:val="006A4A7E"/>
    <w:rsid w:val="006C1ED5"/>
    <w:rsid w:val="006C339C"/>
    <w:rsid w:val="006D0BE8"/>
    <w:rsid w:val="006D6385"/>
    <w:rsid w:val="006E5C43"/>
    <w:rsid w:val="006E7A7A"/>
    <w:rsid w:val="006F5AE2"/>
    <w:rsid w:val="0071669F"/>
    <w:rsid w:val="007257DC"/>
    <w:rsid w:val="00730FD6"/>
    <w:rsid w:val="00730FD8"/>
    <w:rsid w:val="00737171"/>
    <w:rsid w:val="00743C4D"/>
    <w:rsid w:val="00746206"/>
    <w:rsid w:val="0074773C"/>
    <w:rsid w:val="007507CC"/>
    <w:rsid w:val="00753419"/>
    <w:rsid w:val="00753E02"/>
    <w:rsid w:val="00754C32"/>
    <w:rsid w:val="00764BC5"/>
    <w:rsid w:val="007674DE"/>
    <w:rsid w:val="00767C2C"/>
    <w:rsid w:val="0078123A"/>
    <w:rsid w:val="007A097B"/>
    <w:rsid w:val="007A5F72"/>
    <w:rsid w:val="007C1BBD"/>
    <w:rsid w:val="007C3CB0"/>
    <w:rsid w:val="007C6A49"/>
    <w:rsid w:val="007D4F68"/>
    <w:rsid w:val="007D7161"/>
    <w:rsid w:val="007E0585"/>
    <w:rsid w:val="007F0B23"/>
    <w:rsid w:val="007F1958"/>
    <w:rsid w:val="00805966"/>
    <w:rsid w:val="0080597F"/>
    <w:rsid w:val="00817C94"/>
    <w:rsid w:val="00824117"/>
    <w:rsid w:val="00825153"/>
    <w:rsid w:val="008331B3"/>
    <w:rsid w:val="008336FB"/>
    <w:rsid w:val="00840533"/>
    <w:rsid w:val="00841C52"/>
    <w:rsid w:val="00843F31"/>
    <w:rsid w:val="00844C8D"/>
    <w:rsid w:val="008527CE"/>
    <w:rsid w:val="0085385D"/>
    <w:rsid w:val="00855B83"/>
    <w:rsid w:val="00857263"/>
    <w:rsid w:val="00864888"/>
    <w:rsid w:val="00891F9F"/>
    <w:rsid w:val="008922A8"/>
    <w:rsid w:val="008956B8"/>
    <w:rsid w:val="00895939"/>
    <w:rsid w:val="00896669"/>
    <w:rsid w:val="008A3A4F"/>
    <w:rsid w:val="008C0C99"/>
    <w:rsid w:val="008C1AA2"/>
    <w:rsid w:val="008C3FDC"/>
    <w:rsid w:val="008D4406"/>
    <w:rsid w:val="008D5DF9"/>
    <w:rsid w:val="008F1083"/>
    <w:rsid w:val="008F40F8"/>
    <w:rsid w:val="008F4578"/>
    <w:rsid w:val="0090021B"/>
    <w:rsid w:val="009048EE"/>
    <w:rsid w:val="0091692A"/>
    <w:rsid w:val="00917037"/>
    <w:rsid w:val="00920CE8"/>
    <w:rsid w:val="00923263"/>
    <w:rsid w:val="00933097"/>
    <w:rsid w:val="009411FA"/>
    <w:rsid w:val="009413DB"/>
    <w:rsid w:val="00946DE4"/>
    <w:rsid w:val="00955CC3"/>
    <w:rsid w:val="00963814"/>
    <w:rsid w:val="009954DB"/>
    <w:rsid w:val="00997CB2"/>
    <w:rsid w:val="009A164E"/>
    <w:rsid w:val="009A6D22"/>
    <w:rsid w:val="009D08FA"/>
    <w:rsid w:val="009D701D"/>
    <w:rsid w:val="009E2D58"/>
    <w:rsid w:val="009F1395"/>
    <w:rsid w:val="009F35B8"/>
    <w:rsid w:val="009F3BA8"/>
    <w:rsid w:val="00A07A30"/>
    <w:rsid w:val="00A16C3A"/>
    <w:rsid w:val="00A22C1E"/>
    <w:rsid w:val="00A27AC5"/>
    <w:rsid w:val="00A27DE0"/>
    <w:rsid w:val="00A4114D"/>
    <w:rsid w:val="00A4179A"/>
    <w:rsid w:val="00A522DB"/>
    <w:rsid w:val="00A7062B"/>
    <w:rsid w:val="00A715FB"/>
    <w:rsid w:val="00A75587"/>
    <w:rsid w:val="00A802BB"/>
    <w:rsid w:val="00AA1BD6"/>
    <w:rsid w:val="00AB3759"/>
    <w:rsid w:val="00AD0624"/>
    <w:rsid w:val="00AD26EE"/>
    <w:rsid w:val="00AD29AE"/>
    <w:rsid w:val="00AE38FE"/>
    <w:rsid w:val="00AE56B3"/>
    <w:rsid w:val="00B00B4D"/>
    <w:rsid w:val="00B0294B"/>
    <w:rsid w:val="00B06E65"/>
    <w:rsid w:val="00B1668A"/>
    <w:rsid w:val="00B22DBA"/>
    <w:rsid w:val="00B257FE"/>
    <w:rsid w:val="00B3672C"/>
    <w:rsid w:val="00B43049"/>
    <w:rsid w:val="00B43A51"/>
    <w:rsid w:val="00B559EE"/>
    <w:rsid w:val="00B60368"/>
    <w:rsid w:val="00B64DAB"/>
    <w:rsid w:val="00B72AD1"/>
    <w:rsid w:val="00BD57B8"/>
    <w:rsid w:val="00BD72AB"/>
    <w:rsid w:val="00BE5B6F"/>
    <w:rsid w:val="00BE5FA4"/>
    <w:rsid w:val="00BF264D"/>
    <w:rsid w:val="00C0077C"/>
    <w:rsid w:val="00C05652"/>
    <w:rsid w:val="00C156AA"/>
    <w:rsid w:val="00C200E2"/>
    <w:rsid w:val="00C26501"/>
    <w:rsid w:val="00C34CD2"/>
    <w:rsid w:val="00C44684"/>
    <w:rsid w:val="00C45CFA"/>
    <w:rsid w:val="00C46805"/>
    <w:rsid w:val="00C47969"/>
    <w:rsid w:val="00C51843"/>
    <w:rsid w:val="00C51B14"/>
    <w:rsid w:val="00C60BC9"/>
    <w:rsid w:val="00C6585F"/>
    <w:rsid w:val="00C65AA4"/>
    <w:rsid w:val="00C66AE9"/>
    <w:rsid w:val="00C74F50"/>
    <w:rsid w:val="00C76FFE"/>
    <w:rsid w:val="00C8185F"/>
    <w:rsid w:val="00C82E1C"/>
    <w:rsid w:val="00C90790"/>
    <w:rsid w:val="00C9140C"/>
    <w:rsid w:val="00C9670C"/>
    <w:rsid w:val="00CA058C"/>
    <w:rsid w:val="00CA3553"/>
    <w:rsid w:val="00CA6061"/>
    <w:rsid w:val="00CA77D9"/>
    <w:rsid w:val="00CB0F08"/>
    <w:rsid w:val="00CC71F8"/>
    <w:rsid w:val="00CC7896"/>
    <w:rsid w:val="00CD2ED5"/>
    <w:rsid w:val="00CD52A3"/>
    <w:rsid w:val="00CE0488"/>
    <w:rsid w:val="00CE61EE"/>
    <w:rsid w:val="00CE6F68"/>
    <w:rsid w:val="00D05427"/>
    <w:rsid w:val="00D11496"/>
    <w:rsid w:val="00D13126"/>
    <w:rsid w:val="00D20550"/>
    <w:rsid w:val="00D3483C"/>
    <w:rsid w:val="00D3539E"/>
    <w:rsid w:val="00D4709D"/>
    <w:rsid w:val="00D565D9"/>
    <w:rsid w:val="00D63D61"/>
    <w:rsid w:val="00D73FB9"/>
    <w:rsid w:val="00D82BDF"/>
    <w:rsid w:val="00DA34E4"/>
    <w:rsid w:val="00DA5BDD"/>
    <w:rsid w:val="00DB4AED"/>
    <w:rsid w:val="00DB597A"/>
    <w:rsid w:val="00DC1E3B"/>
    <w:rsid w:val="00DC5283"/>
    <w:rsid w:val="00DC72B1"/>
    <w:rsid w:val="00DD440B"/>
    <w:rsid w:val="00DE44C0"/>
    <w:rsid w:val="00DF3878"/>
    <w:rsid w:val="00E0390F"/>
    <w:rsid w:val="00E067A9"/>
    <w:rsid w:val="00E12A55"/>
    <w:rsid w:val="00E16941"/>
    <w:rsid w:val="00E22575"/>
    <w:rsid w:val="00E32F38"/>
    <w:rsid w:val="00E37B91"/>
    <w:rsid w:val="00E37DF1"/>
    <w:rsid w:val="00E52A6B"/>
    <w:rsid w:val="00E65798"/>
    <w:rsid w:val="00E81D0B"/>
    <w:rsid w:val="00E82D44"/>
    <w:rsid w:val="00E95CB4"/>
    <w:rsid w:val="00EA0AD7"/>
    <w:rsid w:val="00EA0C98"/>
    <w:rsid w:val="00EA3680"/>
    <w:rsid w:val="00EC0E1C"/>
    <w:rsid w:val="00EC1471"/>
    <w:rsid w:val="00EC3FB7"/>
    <w:rsid w:val="00EC6AE5"/>
    <w:rsid w:val="00EC707A"/>
    <w:rsid w:val="00EE1B6D"/>
    <w:rsid w:val="00EE2BBE"/>
    <w:rsid w:val="00EF3586"/>
    <w:rsid w:val="00EF692A"/>
    <w:rsid w:val="00F047E9"/>
    <w:rsid w:val="00F04B5F"/>
    <w:rsid w:val="00F13324"/>
    <w:rsid w:val="00F15DAD"/>
    <w:rsid w:val="00F22D70"/>
    <w:rsid w:val="00F2308B"/>
    <w:rsid w:val="00F30508"/>
    <w:rsid w:val="00F33A48"/>
    <w:rsid w:val="00F34D04"/>
    <w:rsid w:val="00F43ECF"/>
    <w:rsid w:val="00F4644C"/>
    <w:rsid w:val="00F50DD5"/>
    <w:rsid w:val="00F56D0F"/>
    <w:rsid w:val="00F704A2"/>
    <w:rsid w:val="00F7250B"/>
    <w:rsid w:val="00F80A0D"/>
    <w:rsid w:val="00F81937"/>
    <w:rsid w:val="00F84814"/>
    <w:rsid w:val="00F86A0E"/>
    <w:rsid w:val="00F904C4"/>
    <w:rsid w:val="00F93A3A"/>
    <w:rsid w:val="00FA453B"/>
    <w:rsid w:val="00FA72DA"/>
    <w:rsid w:val="00FB05F3"/>
    <w:rsid w:val="00FB6F8D"/>
    <w:rsid w:val="00FC3E1B"/>
    <w:rsid w:val="00FC5EA2"/>
    <w:rsid w:val="00FD6C04"/>
    <w:rsid w:val="00FD782F"/>
    <w:rsid w:val="00FE354B"/>
    <w:rsid w:val="00FF12E5"/>
    <w:rsid w:val="00FF463B"/>
    <w:rsid w:val="00FF6239"/>
    <w:rsid w:val="01A73D87"/>
    <w:rsid w:val="01EB4DBF"/>
    <w:rsid w:val="02CB619B"/>
    <w:rsid w:val="05D84452"/>
    <w:rsid w:val="063A78C0"/>
    <w:rsid w:val="06B70F10"/>
    <w:rsid w:val="06E51C97"/>
    <w:rsid w:val="0721638A"/>
    <w:rsid w:val="07330146"/>
    <w:rsid w:val="07A34FF1"/>
    <w:rsid w:val="07AA45D1"/>
    <w:rsid w:val="08470AEB"/>
    <w:rsid w:val="090441B5"/>
    <w:rsid w:val="0B09160F"/>
    <w:rsid w:val="0CCA615D"/>
    <w:rsid w:val="0DF26CD2"/>
    <w:rsid w:val="0E8055F4"/>
    <w:rsid w:val="0E8A2A67"/>
    <w:rsid w:val="13570330"/>
    <w:rsid w:val="13D44784"/>
    <w:rsid w:val="144D4C62"/>
    <w:rsid w:val="1458121B"/>
    <w:rsid w:val="14697818"/>
    <w:rsid w:val="152A0AFF"/>
    <w:rsid w:val="16BA2357"/>
    <w:rsid w:val="17E56F60"/>
    <w:rsid w:val="1802759E"/>
    <w:rsid w:val="1811244B"/>
    <w:rsid w:val="18C13529"/>
    <w:rsid w:val="19371A3D"/>
    <w:rsid w:val="195E6FCA"/>
    <w:rsid w:val="1A824F3A"/>
    <w:rsid w:val="1B527002"/>
    <w:rsid w:val="1B5468D6"/>
    <w:rsid w:val="1C4526C3"/>
    <w:rsid w:val="1C8A52A3"/>
    <w:rsid w:val="1CBC0BD7"/>
    <w:rsid w:val="1CDD28FB"/>
    <w:rsid w:val="1CF540E9"/>
    <w:rsid w:val="1CF75B24"/>
    <w:rsid w:val="1D6F3E9B"/>
    <w:rsid w:val="1E18008F"/>
    <w:rsid w:val="1E2A6014"/>
    <w:rsid w:val="1FED2191"/>
    <w:rsid w:val="20032679"/>
    <w:rsid w:val="201F4BA5"/>
    <w:rsid w:val="21703D3E"/>
    <w:rsid w:val="21F229A5"/>
    <w:rsid w:val="22751F64"/>
    <w:rsid w:val="228501B9"/>
    <w:rsid w:val="2346744C"/>
    <w:rsid w:val="23DF164F"/>
    <w:rsid w:val="24062738"/>
    <w:rsid w:val="240E2424"/>
    <w:rsid w:val="243E4A8F"/>
    <w:rsid w:val="247973AD"/>
    <w:rsid w:val="25D80104"/>
    <w:rsid w:val="2601765A"/>
    <w:rsid w:val="267C4F33"/>
    <w:rsid w:val="279938C3"/>
    <w:rsid w:val="27CB4310"/>
    <w:rsid w:val="28081174"/>
    <w:rsid w:val="282E04AF"/>
    <w:rsid w:val="285F2D5E"/>
    <w:rsid w:val="28A6098D"/>
    <w:rsid w:val="28D23530"/>
    <w:rsid w:val="29B449E4"/>
    <w:rsid w:val="2A13795C"/>
    <w:rsid w:val="2BAB3E35"/>
    <w:rsid w:val="2CB36826"/>
    <w:rsid w:val="2E0423DE"/>
    <w:rsid w:val="2ED00512"/>
    <w:rsid w:val="2F68074A"/>
    <w:rsid w:val="2FDD4C94"/>
    <w:rsid w:val="30046142"/>
    <w:rsid w:val="316B62D0"/>
    <w:rsid w:val="319269D1"/>
    <w:rsid w:val="31E85B72"/>
    <w:rsid w:val="328E2276"/>
    <w:rsid w:val="33A67A93"/>
    <w:rsid w:val="35E8438A"/>
    <w:rsid w:val="36186CF3"/>
    <w:rsid w:val="373A0C1E"/>
    <w:rsid w:val="38390ED6"/>
    <w:rsid w:val="394538AA"/>
    <w:rsid w:val="395B30CE"/>
    <w:rsid w:val="3AA30888"/>
    <w:rsid w:val="3C541E8B"/>
    <w:rsid w:val="3C970C18"/>
    <w:rsid w:val="3CCB2319"/>
    <w:rsid w:val="3D975525"/>
    <w:rsid w:val="3DA46DF1"/>
    <w:rsid w:val="3ED9035E"/>
    <w:rsid w:val="3F795F1D"/>
    <w:rsid w:val="40437411"/>
    <w:rsid w:val="41E00614"/>
    <w:rsid w:val="435A5694"/>
    <w:rsid w:val="43D8569B"/>
    <w:rsid w:val="45010FCD"/>
    <w:rsid w:val="450828A9"/>
    <w:rsid w:val="454D5FC1"/>
    <w:rsid w:val="455C466E"/>
    <w:rsid w:val="47B9BA1A"/>
    <w:rsid w:val="47CF5E22"/>
    <w:rsid w:val="480F1C53"/>
    <w:rsid w:val="482C010F"/>
    <w:rsid w:val="48757D08"/>
    <w:rsid w:val="496F29A9"/>
    <w:rsid w:val="4AFF6221"/>
    <w:rsid w:val="509136BD"/>
    <w:rsid w:val="50B1337A"/>
    <w:rsid w:val="51803CD0"/>
    <w:rsid w:val="51B11685"/>
    <w:rsid w:val="51FC6DA4"/>
    <w:rsid w:val="53046F41"/>
    <w:rsid w:val="53536E98"/>
    <w:rsid w:val="5394125E"/>
    <w:rsid w:val="55C31096"/>
    <w:rsid w:val="561666C6"/>
    <w:rsid w:val="56D93B58"/>
    <w:rsid w:val="578A7759"/>
    <w:rsid w:val="58FC58DC"/>
    <w:rsid w:val="595079D6"/>
    <w:rsid w:val="5A511C57"/>
    <w:rsid w:val="5A6C4CE3"/>
    <w:rsid w:val="5ADA39FB"/>
    <w:rsid w:val="5B4E41E4"/>
    <w:rsid w:val="5BC07095"/>
    <w:rsid w:val="5C871960"/>
    <w:rsid w:val="5CAD7641"/>
    <w:rsid w:val="5DB6074F"/>
    <w:rsid w:val="5DE410BC"/>
    <w:rsid w:val="5DFE5C52"/>
    <w:rsid w:val="5E2C0A11"/>
    <w:rsid w:val="5F3804CF"/>
    <w:rsid w:val="601B0D3D"/>
    <w:rsid w:val="609B2F18"/>
    <w:rsid w:val="60D333C6"/>
    <w:rsid w:val="614B7400"/>
    <w:rsid w:val="62DB0C58"/>
    <w:rsid w:val="63C45248"/>
    <w:rsid w:val="641631E4"/>
    <w:rsid w:val="66C0651E"/>
    <w:rsid w:val="67760F4F"/>
    <w:rsid w:val="68350126"/>
    <w:rsid w:val="68402C81"/>
    <w:rsid w:val="684A6664"/>
    <w:rsid w:val="68C67D2C"/>
    <w:rsid w:val="69112CDD"/>
    <w:rsid w:val="69252C2D"/>
    <w:rsid w:val="69AD5C43"/>
    <w:rsid w:val="6B463390"/>
    <w:rsid w:val="6CA97A19"/>
    <w:rsid w:val="6CC14A1B"/>
    <w:rsid w:val="6CE963F9"/>
    <w:rsid w:val="6E1A0886"/>
    <w:rsid w:val="6E5974C9"/>
    <w:rsid w:val="6E8E3022"/>
    <w:rsid w:val="6EFA126F"/>
    <w:rsid w:val="6F5953DE"/>
    <w:rsid w:val="6FBB6753"/>
    <w:rsid w:val="70B8092D"/>
    <w:rsid w:val="70DA722D"/>
    <w:rsid w:val="715F193C"/>
    <w:rsid w:val="726D3149"/>
    <w:rsid w:val="7270316B"/>
    <w:rsid w:val="72F33A41"/>
    <w:rsid w:val="74827185"/>
    <w:rsid w:val="74A72748"/>
    <w:rsid w:val="75652BFD"/>
    <w:rsid w:val="757F5473"/>
    <w:rsid w:val="7608190C"/>
    <w:rsid w:val="763270CA"/>
    <w:rsid w:val="76BD7252"/>
    <w:rsid w:val="76E77774"/>
    <w:rsid w:val="772159C3"/>
    <w:rsid w:val="79A11E5C"/>
    <w:rsid w:val="7B166879"/>
    <w:rsid w:val="7B1D3764"/>
    <w:rsid w:val="7C8B7FA7"/>
    <w:rsid w:val="7DD41367"/>
    <w:rsid w:val="7E53749D"/>
    <w:rsid w:val="7E7A2C7B"/>
    <w:rsid w:val="7E836204"/>
    <w:rsid w:val="7EF72E91"/>
    <w:rsid w:val="E73E52B3"/>
    <w:rsid w:val="EDFFFADB"/>
    <w:rsid w:val="FF3FC04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nhideWhenUsed="0" w:uiPriority="1" w:semiHidden="0" w:name="heading 3"/>
    <w:lsdException w:qFormat="1" w:unhideWhenUsed="0" w:uiPriority="1" w:semiHidden="0" w:name="heading 4"/>
    <w:lsdException w:qFormat="1" w:unhideWhenUsed="0" w:uiPriority="1" w:semiHidden="0" w:name="heading 5"/>
    <w:lsdException w:qFormat="1" w:uiPriority="0" w:semiHidden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qFormat="1" w:uiPriority="0" w:name="footnote text"/>
    <w:lsdException w:qFormat="1"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qFormat="1" w:uiPriority="0" w:name="footnote reference"/>
    <w:lsdException w:qFormat="1" w:unhideWhenUsed="0" w:uiPriority="0" w:semiHidden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1" w:semiHidden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name="Hyperlink"/>
    <w:lsdException w:qFormat="1" w:uiPriority="99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0" w:name="Document Map"/>
    <w:lsdException w:qFormat="1" w:uiPriority="0" w:semiHidden="0" w:name="Plain Text"/>
    <w:lsdException w:uiPriority="0" w:name="E-mail Signature"/>
    <w:lsdException w:qFormat="1" w:uiPriority="99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qFormat="1"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3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宋体" w:hAnsi="宋体" w:eastAsia="宋体" w:cs="宋体"/>
      <w:sz w:val="22"/>
      <w:szCs w:val="22"/>
      <w:lang w:val="zh-CN" w:eastAsia="zh-CN" w:bidi="zh-CN"/>
    </w:rPr>
  </w:style>
  <w:style w:type="paragraph" w:styleId="2">
    <w:name w:val="heading 1"/>
    <w:basedOn w:val="1"/>
    <w:next w:val="1"/>
    <w:qFormat/>
    <w:uiPriority w:val="1"/>
    <w:pPr>
      <w:ind w:left="360"/>
      <w:jc w:val="center"/>
      <w:outlineLvl w:val="0"/>
    </w:pPr>
    <w:rPr>
      <w:sz w:val="21"/>
      <w:szCs w:val="21"/>
    </w:rPr>
  </w:style>
  <w:style w:type="paragraph" w:styleId="3">
    <w:name w:val="heading 2"/>
    <w:basedOn w:val="1"/>
    <w:next w:val="1"/>
    <w:link w:val="37"/>
    <w:qFormat/>
    <w:uiPriority w:val="1"/>
    <w:pPr>
      <w:ind w:left="5114" w:hanging="4392"/>
      <w:outlineLvl w:val="1"/>
    </w:pPr>
    <w:rPr>
      <w:sz w:val="18"/>
      <w:szCs w:val="18"/>
    </w:rPr>
  </w:style>
  <w:style w:type="paragraph" w:styleId="4">
    <w:name w:val="heading 3"/>
    <w:basedOn w:val="1"/>
    <w:next w:val="1"/>
    <w:qFormat/>
    <w:uiPriority w:val="1"/>
    <w:pPr>
      <w:ind w:left="453"/>
      <w:outlineLvl w:val="2"/>
    </w:pPr>
    <w:rPr>
      <w:b/>
      <w:bCs/>
      <w:sz w:val="17"/>
      <w:szCs w:val="17"/>
    </w:rPr>
  </w:style>
  <w:style w:type="paragraph" w:styleId="5">
    <w:name w:val="heading 4"/>
    <w:basedOn w:val="1"/>
    <w:next w:val="1"/>
    <w:qFormat/>
    <w:uiPriority w:val="1"/>
    <w:pPr>
      <w:spacing w:before="1"/>
      <w:ind w:left="813"/>
      <w:outlineLvl w:val="3"/>
    </w:pPr>
    <w:rPr>
      <w:sz w:val="17"/>
      <w:szCs w:val="17"/>
    </w:rPr>
  </w:style>
  <w:style w:type="paragraph" w:styleId="6">
    <w:name w:val="heading 5"/>
    <w:basedOn w:val="1"/>
    <w:next w:val="1"/>
    <w:qFormat/>
    <w:uiPriority w:val="1"/>
    <w:pPr>
      <w:spacing w:before="81"/>
      <w:ind w:left="120"/>
      <w:outlineLvl w:val="4"/>
    </w:pPr>
    <w:rPr>
      <w:b/>
      <w:bCs/>
      <w:sz w:val="16"/>
      <w:szCs w:val="16"/>
    </w:rPr>
  </w:style>
  <w:style w:type="paragraph" w:styleId="7">
    <w:name w:val="heading 6"/>
    <w:basedOn w:val="1"/>
    <w:next w:val="1"/>
    <w:unhideWhenUsed/>
    <w:qFormat/>
    <w:uiPriority w:val="0"/>
    <w:pPr>
      <w:keepNext/>
      <w:keepLines/>
      <w:spacing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annotation text"/>
    <w:basedOn w:val="1"/>
    <w:link w:val="31"/>
    <w:qFormat/>
    <w:uiPriority w:val="0"/>
  </w:style>
  <w:style w:type="paragraph" w:styleId="9">
    <w:name w:val="Body Text"/>
    <w:basedOn w:val="1"/>
    <w:link w:val="38"/>
    <w:qFormat/>
    <w:uiPriority w:val="1"/>
    <w:rPr>
      <w:sz w:val="14"/>
      <w:szCs w:val="14"/>
    </w:rPr>
  </w:style>
  <w:style w:type="paragraph" w:styleId="10">
    <w:name w:val="Plain Text"/>
    <w:basedOn w:val="1"/>
    <w:link w:val="35"/>
    <w:unhideWhenUsed/>
    <w:qFormat/>
    <w:uiPriority w:val="0"/>
    <w:rPr>
      <w:rFonts w:hAnsi="Courier New" w:cstheme="minorBidi"/>
    </w:rPr>
  </w:style>
  <w:style w:type="paragraph" w:styleId="11">
    <w:name w:val="Balloon Text"/>
    <w:basedOn w:val="1"/>
    <w:link w:val="33"/>
    <w:qFormat/>
    <w:uiPriority w:val="0"/>
    <w:rPr>
      <w:sz w:val="18"/>
      <w:szCs w:val="18"/>
    </w:rPr>
  </w:style>
  <w:style w:type="paragraph" w:styleId="12">
    <w:name w:val="footer"/>
    <w:basedOn w:val="1"/>
    <w:link w:val="30"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13">
    <w:name w:val="header"/>
    <w:basedOn w:val="1"/>
    <w:link w:val="29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footnote text"/>
    <w:basedOn w:val="1"/>
    <w:link w:val="36"/>
    <w:semiHidden/>
    <w:unhideWhenUsed/>
    <w:qFormat/>
    <w:uiPriority w:val="0"/>
    <w:pPr>
      <w:snapToGrid w:val="0"/>
    </w:pPr>
    <w:rPr>
      <w:sz w:val="18"/>
      <w:szCs w:val="18"/>
    </w:rPr>
  </w:style>
  <w:style w:type="paragraph" w:styleId="15">
    <w:name w:val="Normal (Web)"/>
    <w:basedOn w:val="1"/>
    <w:semiHidden/>
    <w:unhideWhenUsed/>
    <w:qFormat/>
    <w:uiPriority w:val="99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n-US" w:bidi="ar-SA"/>
    </w:rPr>
  </w:style>
  <w:style w:type="paragraph" w:styleId="16">
    <w:name w:val="annotation subject"/>
    <w:basedOn w:val="8"/>
    <w:next w:val="8"/>
    <w:link w:val="32"/>
    <w:qFormat/>
    <w:uiPriority w:val="0"/>
    <w:rPr>
      <w:b/>
      <w:bCs/>
    </w:rPr>
  </w:style>
  <w:style w:type="table" w:styleId="18">
    <w:name w:val="Table Grid"/>
    <w:basedOn w:val="1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0">
    <w:name w:val="FollowedHyperlink"/>
    <w:basedOn w:val="19"/>
    <w:semiHidden/>
    <w:unhideWhenUsed/>
    <w:qFormat/>
    <w:uiPriority w:val="99"/>
    <w:rPr>
      <w:color w:val="954F72"/>
      <w:u w:val="single"/>
    </w:rPr>
  </w:style>
  <w:style w:type="character" w:styleId="21">
    <w:name w:val="Emphasis"/>
    <w:basedOn w:val="19"/>
    <w:qFormat/>
    <w:uiPriority w:val="20"/>
    <w:rPr>
      <w:i/>
      <w:iCs/>
    </w:rPr>
  </w:style>
  <w:style w:type="character" w:styleId="22">
    <w:name w:val="Hyperlink"/>
    <w:basedOn w:val="19"/>
    <w:semiHidden/>
    <w:unhideWhenUsed/>
    <w:qFormat/>
    <w:uiPriority w:val="99"/>
    <w:rPr>
      <w:color w:val="0563C1"/>
      <w:u w:val="single"/>
    </w:rPr>
  </w:style>
  <w:style w:type="character" w:styleId="23">
    <w:name w:val="annotation reference"/>
    <w:basedOn w:val="19"/>
    <w:qFormat/>
    <w:uiPriority w:val="0"/>
    <w:rPr>
      <w:sz w:val="21"/>
      <w:szCs w:val="21"/>
    </w:rPr>
  </w:style>
  <w:style w:type="character" w:styleId="24">
    <w:name w:val="footnote reference"/>
    <w:basedOn w:val="19"/>
    <w:semiHidden/>
    <w:unhideWhenUsed/>
    <w:qFormat/>
    <w:uiPriority w:val="0"/>
    <w:rPr>
      <w:vertAlign w:val="superscript"/>
    </w:rPr>
  </w:style>
  <w:style w:type="table" w:customStyle="1" w:styleId="25">
    <w:name w:val="Table Normal"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6">
    <w:name w:val="列出段落1"/>
    <w:basedOn w:val="1"/>
    <w:qFormat/>
    <w:uiPriority w:val="1"/>
    <w:pPr>
      <w:ind w:left="838" w:hanging="362"/>
    </w:pPr>
  </w:style>
  <w:style w:type="paragraph" w:customStyle="1" w:styleId="27">
    <w:name w:val="Table Paragraph"/>
    <w:basedOn w:val="1"/>
    <w:qFormat/>
    <w:uiPriority w:val="1"/>
    <w:pPr>
      <w:spacing w:before="52"/>
    </w:pPr>
  </w:style>
  <w:style w:type="paragraph" w:customStyle="1" w:styleId="28">
    <w:name w:val="p0"/>
    <w:basedOn w:val="1"/>
    <w:qFormat/>
    <w:uiPriority w:val="0"/>
    <w:pPr>
      <w:widowControl/>
    </w:pPr>
    <w:rPr>
      <w:szCs w:val="21"/>
    </w:rPr>
  </w:style>
  <w:style w:type="character" w:customStyle="1" w:styleId="29">
    <w:name w:val="页眉 Char"/>
    <w:basedOn w:val="19"/>
    <w:link w:val="13"/>
    <w:qFormat/>
    <w:uiPriority w:val="99"/>
    <w:rPr>
      <w:rFonts w:ascii="宋体" w:hAnsi="宋体" w:cs="宋体"/>
      <w:sz w:val="18"/>
      <w:szCs w:val="18"/>
      <w:lang w:val="zh-CN" w:bidi="zh-CN"/>
    </w:rPr>
  </w:style>
  <w:style w:type="character" w:customStyle="1" w:styleId="30">
    <w:name w:val="页脚 Char"/>
    <w:basedOn w:val="19"/>
    <w:link w:val="12"/>
    <w:qFormat/>
    <w:uiPriority w:val="99"/>
    <w:rPr>
      <w:rFonts w:ascii="宋体" w:hAnsi="宋体" w:cs="宋体"/>
      <w:sz w:val="18"/>
      <w:szCs w:val="18"/>
      <w:lang w:val="zh-CN" w:bidi="zh-CN"/>
    </w:rPr>
  </w:style>
  <w:style w:type="character" w:customStyle="1" w:styleId="31">
    <w:name w:val="批注文字 Char"/>
    <w:basedOn w:val="19"/>
    <w:link w:val="8"/>
    <w:qFormat/>
    <w:uiPriority w:val="0"/>
    <w:rPr>
      <w:rFonts w:ascii="宋体" w:hAnsi="宋体" w:cs="宋体"/>
      <w:sz w:val="22"/>
      <w:szCs w:val="22"/>
      <w:lang w:val="zh-CN" w:bidi="zh-CN"/>
    </w:rPr>
  </w:style>
  <w:style w:type="character" w:customStyle="1" w:styleId="32">
    <w:name w:val="批注主题 Char"/>
    <w:basedOn w:val="31"/>
    <w:link w:val="16"/>
    <w:qFormat/>
    <w:uiPriority w:val="0"/>
    <w:rPr>
      <w:rFonts w:ascii="宋体" w:hAnsi="宋体" w:cs="宋体"/>
      <w:b/>
      <w:bCs/>
      <w:sz w:val="22"/>
      <w:szCs w:val="22"/>
      <w:lang w:val="zh-CN" w:bidi="zh-CN"/>
    </w:rPr>
  </w:style>
  <w:style w:type="character" w:customStyle="1" w:styleId="33">
    <w:name w:val="批注框文本 Char"/>
    <w:basedOn w:val="19"/>
    <w:link w:val="11"/>
    <w:qFormat/>
    <w:uiPriority w:val="0"/>
    <w:rPr>
      <w:rFonts w:ascii="宋体" w:hAnsi="宋体" w:cs="宋体"/>
      <w:sz w:val="18"/>
      <w:szCs w:val="18"/>
      <w:lang w:val="zh-CN" w:bidi="zh-CN"/>
    </w:rPr>
  </w:style>
  <w:style w:type="paragraph" w:styleId="34">
    <w:name w:val="List Paragraph"/>
    <w:basedOn w:val="1"/>
    <w:unhideWhenUsed/>
    <w:qFormat/>
    <w:uiPriority w:val="34"/>
    <w:pPr>
      <w:ind w:firstLine="420" w:firstLineChars="200"/>
    </w:pPr>
  </w:style>
  <w:style w:type="character" w:customStyle="1" w:styleId="35">
    <w:name w:val="纯文本 Char"/>
    <w:link w:val="10"/>
    <w:qFormat/>
    <w:locked/>
    <w:uiPriority w:val="0"/>
    <w:rPr>
      <w:rFonts w:ascii="宋体" w:hAnsi="Courier New" w:cstheme="minorBidi"/>
      <w:sz w:val="22"/>
      <w:szCs w:val="22"/>
      <w:lang w:val="zh-CN" w:bidi="zh-CN"/>
    </w:rPr>
  </w:style>
  <w:style w:type="character" w:customStyle="1" w:styleId="36">
    <w:name w:val="脚注文本 Char"/>
    <w:basedOn w:val="19"/>
    <w:link w:val="14"/>
    <w:semiHidden/>
    <w:qFormat/>
    <w:uiPriority w:val="0"/>
    <w:rPr>
      <w:rFonts w:ascii="宋体" w:hAnsi="宋体" w:cs="宋体"/>
      <w:sz w:val="18"/>
      <w:szCs w:val="18"/>
      <w:lang w:val="zh-CN" w:bidi="zh-CN"/>
    </w:rPr>
  </w:style>
  <w:style w:type="character" w:customStyle="1" w:styleId="37">
    <w:name w:val="标题 2 Char"/>
    <w:basedOn w:val="19"/>
    <w:link w:val="3"/>
    <w:qFormat/>
    <w:uiPriority w:val="1"/>
    <w:rPr>
      <w:rFonts w:ascii="宋体" w:hAnsi="宋体" w:cs="宋体"/>
      <w:sz w:val="18"/>
      <w:szCs w:val="18"/>
      <w:lang w:val="zh-CN" w:bidi="zh-CN"/>
    </w:rPr>
  </w:style>
  <w:style w:type="character" w:customStyle="1" w:styleId="38">
    <w:name w:val="正文文本 Char"/>
    <w:basedOn w:val="19"/>
    <w:link w:val="9"/>
    <w:qFormat/>
    <w:uiPriority w:val="1"/>
    <w:rPr>
      <w:rFonts w:ascii="宋体" w:hAnsi="宋体" w:cs="宋体"/>
      <w:sz w:val="14"/>
      <w:szCs w:val="14"/>
      <w:lang w:val="zh-CN" w:bidi="zh-CN"/>
    </w:rPr>
  </w:style>
  <w:style w:type="paragraph" w:customStyle="1" w:styleId="39">
    <w:name w:val="msonormal"/>
    <w:basedOn w:val="1"/>
    <w:qFormat/>
    <w:uiPriority w:val="0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n-US" w:bidi="ar-SA"/>
    </w:rPr>
  </w:style>
  <w:style w:type="paragraph" w:customStyle="1" w:styleId="40">
    <w:name w:val="xl65"/>
    <w:basedOn w:val="1"/>
    <w:qFormat/>
    <w:uiPriority w:val="0"/>
    <w:pPr>
      <w:widowControl/>
      <w:autoSpaceDE/>
      <w:autoSpaceDN/>
      <w:spacing w:before="100" w:beforeAutospacing="1" w:after="100" w:afterAutospacing="1"/>
    </w:pPr>
    <w:rPr>
      <w:sz w:val="24"/>
      <w:szCs w:val="24"/>
      <w:lang w:val="en-US" w:bidi="ar-SA"/>
    </w:rPr>
  </w:style>
  <w:style w:type="paragraph" w:customStyle="1" w:styleId="41">
    <w:name w:val="xl66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</w:pPr>
    <w:rPr>
      <w:sz w:val="24"/>
      <w:szCs w:val="24"/>
      <w:lang w:val="en-US" w:bidi="ar-SA"/>
    </w:rPr>
  </w:style>
  <w:style w:type="paragraph" w:customStyle="1" w:styleId="42">
    <w:name w:val="xl67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textAlignment w:val="bottom"/>
    </w:pPr>
    <w:rPr>
      <w:sz w:val="24"/>
      <w:szCs w:val="24"/>
      <w:lang w:val="en-US" w:bidi="ar-SA"/>
    </w:rPr>
  </w:style>
  <w:style w:type="paragraph" w:customStyle="1" w:styleId="43">
    <w:name w:val="xl68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val="en-US" w:bidi="ar-SA"/>
    </w:rPr>
  </w:style>
  <w:style w:type="paragraph" w:customStyle="1" w:styleId="44">
    <w:name w:val="xl69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jc w:val="center"/>
      <w:textAlignment w:val="bottom"/>
    </w:pPr>
    <w:rPr>
      <w:sz w:val="24"/>
      <w:szCs w:val="24"/>
      <w:lang w:val="en-US" w:bidi="ar-SA"/>
    </w:rPr>
  </w:style>
  <w:style w:type="paragraph" w:customStyle="1" w:styleId="45">
    <w:name w:val="xl70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jc w:val="right"/>
      <w:textAlignment w:val="bottom"/>
    </w:pPr>
    <w:rPr>
      <w:sz w:val="24"/>
      <w:szCs w:val="24"/>
      <w:lang w:val="en-US" w:bidi="ar-SA"/>
    </w:rPr>
  </w:style>
  <w:style w:type="paragraph" w:customStyle="1" w:styleId="46">
    <w:name w:val="xl71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jc w:val="right"/>
    </w:pPr>
    <w:rPr>
      <w:sz w:val="24"/>
      <w:szCs w:val="24"/>
      <w:lang w:val="en-US" w:bidi="ar-SA"/>
    </w:rPr>
  </w:style>
  <w:style w:type="paragraph" w:customStyle="1" w:styleId="47">
    <w:name w:val="xl72"/>
    <w:basedOn w:val="1"/>
    <w:qFormat/>
    <w:uiPriority w:val="0"/>
    <w:pPr>
      <w:widowControl/>
      <w:pBdr>
        <w:bottom w:val="single" w:color="auto" w:sz="4" w:space="0"/>
      </w:pBdr>
      <w:autoSpaceDE/>
      <w:autoSpaceDN/>
      <w:spacing w:before="100" w:beforeAutospacing="1" w:after="100" w:afterAutospacing="1"/>
      <w:jc w:val="center"/>
    </w:pPr>
    <w:rPr>
      <w:sz w:val="24"/>
      <w:szCs w:val="24"/>
      <w:lang w:val="en-US" w:bidi="ar-SA"/>
    </w:rPr>
  </w:style>
  <w:style w:type="paragraph" w:customStyle="1" w:styleId="48">
    <w:name w:val="xl73"/>
    <w:basedOn w:val="1"/>
    <w:qFormat/>
    <w:uiPriority w:val="0"/>
    <w:pPr>
      <w:widowControl/>
      <w:pBdr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</w:pBdr>
      <w:autoSpaceDE/>
      <w:autoSpaceDN/>
      <w:spacing w:before="100" w:beforeAutospacing="1" w:after="100" w:afterAutospacing="1"/>
      <w:textAlignment w:val="bottom"/>
    </w:pPr>
    <w:rPr>
      <w:sz w:val="24"/>
      <w:szCs w:val="24"/>
      <w:lang w:val="en-US" w:bidi="ar-SA"/>
    </w:rPr>
  </w:style>
  <w:style w:type="paragraph" w:customStyle="1" w:styleId="49">
    <w:name w:val="font5"/>
    <w:basedOn w:val="1"/>
    <w:qFormat/>
    <w:uiPriority w:val="0"/>
    <w:pPr>
      <w:widowControl/>
      <w:autoSpaceDE/>
      <w:autoSpaceDN/>
      <w:spacing w:before="100" w:beforeAutospacing="1" w:after="100" w:afterAutospacing="1"/>
    </w:pPr>
    <w:rPr>
      <w:sz w:val="18"/>
      <w:szCs w:val="18"/>
      <w:lang w:val="en-US" w:bidi="ar-SA"/>
    </w:rPr>
  </w:style>
  <w:style w:type="paragraph" w:customStyle="1" w:styleId="50">
    <w:name w:val="font6"/>
    <w:basedOn w:val="1"/>
    <w:qFormat/>
    <w:uiPriority w:val="0"/>
    <w:pPr>
      <w:widowControl/>
      <w:autoSpaceDE/>
      <w:autoSpaceDN/>
      <w:spacing w:before="100" w:beforeAutospacing="1" w:after="100" w:afterAutospacing="1"/>
    </w:pPr>
    <w:rPr>
      <w:rFonts w:ascii="等线" w:hAnsi="等线" w:eastAsia="等线"/>
      <w:sz w:val="18"/>
      <w:szCs w:val="18"/>
      <w:lang w:val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jpe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numbering" Target="numbering.xml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SelectedStyle="\APASixthEditionOfficeOnline.xsl" Version="6" StyleName="APA"/>
</file>

<file path=customXml/itemProps1.xml><?xml version="1.0" encoding="utf-8"?>
<ds:datastoreItem xmlns:ds="http://schemas.openxmlformats.org/officeDocument/2006/customXml" ds:itemID="{09FA3E02-9927-437F-B133-86E6E294386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127</Pages>
  <Words>5923</Words>
  <Characters>33766</Characters>
  <Lines>281</Lines>
  <Paragraphs>79</Paragraphs>
  <TotalTime>0</TotalTime>
  <ScaleCrop>false</ScaleCrop>
  <LinksUpToDate>false</LinksUpToDate>
  <CharactersWithSpaces>39610</CharactersWithSpaces>
  <Application>WPS Office_12.8.2.1113_F1E327BC-269C-435d-A152-05C5408002CA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2024-03-09T08:48:00Z</dcterms:created>
  <dc:creator>zmm0320</dc:creator>
  <cp:lastModifiedBy>user</cp:lastModifiedBy>
  <cp:lastPrinted>2024-12-06T10:12:00Z</cp:lastPrinted>
  <dcterms:modified xsi:type="dcterms:W3CDTF">2024-12-25T08:34:31Z</dcterms:modified>
  <cp:revision>84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2020-01-12T00:00:00Z</vt:filetime>
  </property>
  <property fmtid="{D5CDD505-2E9C-101B-9397-08002B2CF9AE}" pid="3" name="LastSaved">
    <vt:filetime>2020-01-12T00:00:00Z</vt:filetime>
  </property>
  <property fmtid="{D5CDD505-2E9C-101B-9397-08002B2CF9AE}" pid="4" name="KSOProductBuildVer">
    <vt:lpwstr>2052-12.8.2.1113</vt:lpwstr>
  </property>
  <property fmtid="{D5CDD505-2E9C-101B-9397-08002B2CF9AE}" pid="5" name="ICV">
    <vt:lpwstr>53004906E874811625652962F4FADF86</vt:lpwstr>
  </property>
</Properties>
</file>