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9"/>
        <w:spacing w:line="560" w:lineRule="exact"/>
        <w:jc w:val="both"/>
        <w:rPr>
          <w:sz w:val="24"/>
          <w:szCs w:val="24"/>
        </w:rPr>
      </w:pPr>
    </w:p>
    <w:p>
      <w:pPr>
        <w:pStyle w:val="9"/>
        <w:spacing w:line="560" w:lineRule="exact"/>
        <w:jc w:val="both"/>
        <w:rPr>
          <w:sz w:val="24"/>
          <w:szCs w:val="24"/>
        </w:rPr>
      </w:pPr>
    </w:p>
    <w:p>
      <w:pPr>
        <w:pStyle w:val="9"/>
        <w:spacing w:line="560" w:lineRule="exact"/>
        <w:jc w:val="both"/>
        <w:rPr>
          <w:sz w:val="24"/>
          <w:szCs w:val="24"/>
        </w:rPr>
      </w:pPr>
    </w:p>
    <w:p>
      <w:pPr>
        <w:pStyle w:val="9"/>
        <w:spacing w:line="560" w:lineRule="exact"/>
        <w:jc w:val="both"/>
        <w:rPr>
          <w:sz w:val="24"/>
          <w:szCs w:val="24"/>
        </w:rPr>
      </w:pPr>
    </w:p>
    <w:p>
      <w:pPr>
        <w:pStyle w:val="9"/>
        <w:spacing w:line="560" w:lineRule="exact"/>
        <w:jc w:val="both"/>
        <w:rPr>
          <w:sz w:val="24"/>
          <w:szCs w:val="24"/>
        </w:rPr>
      </w:pPr>
    </w:p>
    <w:p>
      <w:pPr>
        <w:pStyle w:val="9"/>
        <w:spacing w:line="560" w:lineRule="exact"/>
        <w:jc w:val="both"/>
        <w:rPr>
          <w:sz w:val="24"/>
          <w:szCs w:val="24"/>
        </w:rPr>
      </w:pPr>
    </w:p>
    <w:p>
      <w:pPr>
        <w:pStyle w:val="9"/>
        <w:spacing w:line="560" w:lineRule="exact"/>
        <w:jc w:val="both"/>
        <w:rPr>
          <w:sz w:val="24"/>
          <w:szCs w:val="24"/>
        </w:rPr>
      </w:pPr>
    </w:p>
    <w:p>
      <w:pPr>
        <w:spacing w:before="196" w:line="560" w:lineRule="exact"/>
        <w:ind w:left="361"/>
        <w:jc w:val="center"/>
        <w:rPr>
          <w:rFonts w:ascii="方正小标宋简体" w:hAnsi="方正小标宋简体" w:eastAsia="方正小标宋简体" w:cs="方正小标宋简体"/>
          <w:sz w:val="44"/>
          <w:szCs w:val="44"/>
          <w:lang w:val="en-US" w:bidi="en-US"/>
        </w:rPr>
      </w:pPr>
      <w:r>
        <w:rPr>
          <w:rFonts w:hint="eastAsia" w:ascii="方正小标宋简体" w:hAnsi="方正小标宋简体" w:eastAsia="方正小标宋简体" w:cs="方正小标宋简体"/>
          <w:sz w:val="44"/>
          <w:szCs w:val="44"/>
          <w:lang w:val="en-US" w:bidi="en-US"/>
        </w:rPr>
        <w:t>上海市龙华烈士陵园</w:t>
      </w:r>
    </w:p>
    <w:p>
      <w:pPr>
        <w:spacing w:before="196" w:line="560" w:lineRule="exact"/>
        <w:ind w:left="361"/>
        <w:jc w:val="center"/>
        <w:rPr>
          <w:rFonts w:ascii="方正小标宋简体" w:hAnsi="方正小标宋简体" w:eastAsia="方正小标宋简体" w:cs="方正小标宋简体"/>
          <w:sz w:val="44"/>
          <w:szCs w:val="44"/>
          <w:lang w:val="en-US" w:bidi="en-US"/>
        </w:rPr>
      </w:pPr>
      <w:r>
        <w:rPr>
          <w:rFonts w:hint="eastAsia" w:ascii="方正小标宋简体" w:hAnsi="方正小标宋简体" w:eastAsia="方正小标宋简体" w:cs="方正小标宋简体"/>
          <w:sz w:val="44"/>
          <w:szCs w:val="44"/>
          <w:lang w:val="en-US" w:bidi="en-US"/>
        </w:rPr>
        <w:t>草花换植项目</w:t>
      </w:r>
    </w:p>
    <w:p>
      <w:pPr>
        <w:widowControl/>
        <w:autoSpaceDE/>
        <w:autoSpaceDN/>
        <w:spacing w:line="560" w:lineRule="exact"/>
        <w:jc w:val="both"/>
        <w:rPr>
          <w:b/>
          <w:sz w:val="24"/>
          <w:szCs w:val="24"/>
        </w:rPr>
      </w:pPr>
      <w:r>
        <w:rPr>
          <w:b/>
          <w:sz w:val="72"/>
          <w:szCs w:val="72"/>
        </w:rPr>
        <w:br w:type="page"/>
      </w:r>
    </w:p>
    <w:p>
      <w:pPr>
        <w:tabs>
          <w:tab w:val="left" w:pos="3591"/>
        </w:tabs>
        <w:autoSpaceDE/>
        <w:autoSpaceDN/>
        <w:spacing w:line="560" w:lineRule="exact"/>
        <w:ind w:firstLine="640" w:firstLineChars="200"/>
        <w:jc w:val="both"/>
        <w:rPr>
          <w:rFonts w:ascii="黑体" w:hAnsi="黑体" w:eastAsia="黑体" w:cs="黑体"/>
          <w:sz w:val="32"/>
          <w:szCs w:val="32"/>
          <w:lang w:val="en-US" w:bidi="en-US"/>
        </w:rPr>
      </w:pPr>
      <w:r>
        <w:rPr>
          <w:rFonts w:hint="eastAsia" w:ascii="黑体" w:hAnsi="黑体" w:eastAsia="黑体" w:cs="黑体"/>
          <w:sz w:val="32"/>
          <w:szCs w:val="32"/>
          <w:lang w:val="en-US" w:bidi="en-US"/>
        </w:rPr>
        <w:t>一、项目概况</w:t>
      </w:r>
    </w:p>
    <w:p>
      <w:pPr>
        <w:spacing w:line="560" w:lineRule="exact"/>
        <w:ind w:firstLine="640" w:firstLineChars="200"/>
        <w:jc w:val="both"/>
        <w:rPr>
          <w:rFonts w:ascii="仿宋_GB2312" w:eastAsia="仿宋_GB2312"/>
          <w:sz w:val="32"/>
          <w:szCs w:val="32"/>
        </w:rPr>
      </w:pPr>
      <w:r>
        <w:rPr>
          <w:rFonts w:hint="eastAsia" w:ascii="仿宋_GB2312" w:eastAsia="仿宋_GB2312"/>
          <w:sz w:val="32"/>
          <w:szCs w:val="32"/>
        </w:rPr>
        <w:t>1</w:t>
      </w:r>
      <w:r>
        <w:rPr>
          <w:rFonts w:ascii="仿宋_GB2312" w:eastAsia="仿宋_GB2312"/>
          <w:sz w:val="32"/>
          <w:szCs w:val="32"/>
        </w:rPr>
        <w:t xml:space="preserve">.1 </w:t>
      </w:r>
      <w:r>
        <w:rPr>
          <w:rFonts w:hint="eastAsia" w:ascii="仿宋_GB2312" w:eastAsia="仿宋_GB2312"/>
          <w:sz w:val="32"/>
          <w:szCs w:val="32"/>
        </w:rPr>
        <w:t>项目名称：上海市龙华烈士陵园草花换植项目</w:t>
      </w:r>
    </w:p>
    <w:p>
      <w:pPr>
        <w:spacing w:line="560" w:lineRule="exact"/>
        <w:ind w:firstLine="640" w:firstLineChars="200"/>
        <w:jc w:val="both"/>
        <w:rPr>
          <w:rFonts w:ascii="仿宋_GB2312" w:eastAsia="仿宋_GB2312"/>
          <w:sz w:val="32"/>
          <w:szCs w:val="32"/>
        </w:rPr>
      </w:pPr>
      <w:r>
        <w:rPr>
          <w:rFonts w:hint="eastAsia" w:ascii="仿宋_GB2312" w:eastAsia="仿宋_GB2312"/>
          <w:sz w:val="32"/>
          <w:szCs w:val="32"/>
        </w:rPr>
        <w:t>1</w:t>
      </w:r>
      <w:r>
        <w:rPr>
          <w:rFonts w:ascii="仿宋_GB2312" w:eastAsia="仿宋_GB2312"/>
          <w:sz w:val="32"/>
          <w:szCs w:val="32"/>
        </w:rPr>
        <w:t xml:space="preserve">.2 </w:t>
      </w:r>
      <w:r>
        <w:rPr>
          <w:rFonts w:hint="eastAsia" w:ascii="仿宋_GB2312" w:eastAsia="仿宋_GB2312"/>
          <w:sz w:val="32"/>
          <w:szCs w:val="32"/>
        </w:rPr>
        <w:t>招标人：上海市龙华烈士陵园（龙华烈士纪念馆、上海市烈士纪念设施保护中心）</w:t>
      </w:r>
    </w:p>
    <w:p>
      <w:pPr>
        <w:spacing w:line="560" w:lineRule="exact"/>
        <w:ind w:firstLine="640" w:firstLineChars="200"/>
        <w:jc w:val="both"/>
        <w:rPr>
          <w:rFonts w:ascii="仿宋_GB2312" w:eastAsia="仿宋_GB2312"/>
          <w:sz w:val="32"/>
          <w:szCs w:val="32"/>
        </w:rPr>
      </w:pPr>
      <w:r>
        <w:rPr>
          <w:rFonts w:hint="eastAsia" w:ascii="仿宋_GB2312" w:eastAsia="仿宋_GB2312"/>
          <w:sz w:val="32"/>
          <w:szCs w:val="32"/>
        </w:rPr>
        <w:t>1</w:t>
      </w:r>
      <w:r>
        <w:rPr>
          <w:rFonts w:ascii="仿宋_GB2312" w:eastAsia="仿宋_GB2312"/>
          <w:sz w:val="32"/>
          <w:szCs w:val="32"/>
        </w:rPr>
        <w:t xml:space="preserve">.3 </w:t>
      </w:r>
      <w:r>
        <w:rPr>
          <w:rFonts w:hint="eastAsia" w:ascii="仿宋_GB2312" w:eastAsia="仿宋_GB2312"/>
          <w:sz w:val="32"/>
          <w:szCs w:val="32"/>
        </w:rPr>
        <w:t>本采购需求是本项目招标过程中的规定文件，是各投标单位编制投标文件的依据，是招标人与中标单位签订草花换植承包合同的依据，也是本项目文件的主要组成部分。</w:t>
      </w:r>
    </w:p>
    <w:p>
      <w:pPr>
        <w:tabs>
          <w:tab w:val="left" w:pos="3591"/>
        </w:tabs>
        <w:autoSpaceDE/>
        <w:autoSpaceDN/>
        <w:spacing w:line="560" w:lineRule="exact"/>
        <w:ind w:firstLine="640" w:firstLineChars="200"/>
        <w:jc w:val="both"/>
        <w:rPr>
          <w:rFonts w:ascii="黑体" w:hAnsi="黑体" w:eastAsia="黑体" w:cs="黑体"/>
          <w:sz w:val="32"/>
          <w:szCs w:val="32"/>
          <w:lang w:val="en-US" w:bidi="en-US"/>
        </w:rPr>
      </w:pPr>
      <w:r>
        <w:rPr>
          <w:rFonts w:hint="eastAsia" w:ascii="黑体" w:hAnsi="黑体" w:eastAsia="黑体" w:cs="黑体"/>
          <w:sz w:val="32"/>
          <w:szCs w:val="32"/>
          <w:lang w:val="en-US" w:bidi="en-US"/>
        </w:rPr>
        <w:t>二、招标地块情况</w:t>
      </w:r>
    </w:p>
    <w:p>
      <w:pPr>
        <w:spacing w:line="560" w:lineRule="exact"/>
        <w:ind w:firstLine="640" w:firstLineChars="200"/>
        <w:jc w:val="both"/>
        <w:rPr>
          <w:rFonts w:ascii="仿宋_GB2312" w:eastAsia="仿宋_GB2312"/>
          <w:sz w:val="32"/>
          <w:szCs w:val="32"/>
        </w:rPr>
      </w:pPr>
      <w:r>
        <w:rPr>
          <w:rFonts w:hint="eastAsia" w:ascii="仿宋_GB2312" w:eastAsia="仿宋_GB2312"/>
          <w:sz w:val="32"/>
          <w:szCs w:val="32"/>
        </w:rPr>
        <w:t>上海市龙华烈士陵园位于上海市徐汇区龙华西路180号，</w:t>
      </w:r>
      <w:r>
        <w:rPr>
          <w:rFonts w:ascii="仿宋_GB2312" w:eastAsia="仿宋_GB2312"/>
          <w:sz w:val="32"/>
          <w:szCs w:val="32"/>
        </w:rPr>
        <w:t>是全国重点文物保护单位和重点烈士纪念建筑物保护单位，4A红色旅游景区，四星级公园，全国爱国主义教育基地，全国中小学生研学实践教育基地，国家一级博物馆。</w:t>
      </w:r>
      <w:r>
        <w:rPr>
          <w:rFonts w:hint="eastAsia" w:ascii="仿宋_GB2312" w:eastAsia="仿宋_GB2312"/>
          <w:sz w:val="32"/>
          <w:szCs w:val="32"/>
        </w:rPr>
        <w:t>绿化养护按照一级绿地的养护要求进行管理，保障陵园庄重肃穆的绿化效果，提升英烈祭扫的环境氛围。</w:t>
      </w:r>
    </w:p>
    <w:p>
      <w:pPr>
        <w:tabs>
          <w:tab w:val="left" w:pos="3591"/>
        </w:tabs>
        <w:autoSpaceDE/>
        <w:autoSpaceDN/>
        <w:spacing w:line="560" w:lineRule="exact"/>
        <w:ind w:firstLine="640" w:firstLineChars="200"/>
        <w:jc w:val="both"/>
        <w:rPr>
          <w:rFonts w:ascii="黑体" w:hAnsi="黑体" w:eastAsia="黑体" w:cs="黑体"/>
          <w:sz w:val="32"/>
          <w:szCs w:val="32"/>
          <w:lang w:val="en-US" w:bidi="en-US"/>
        </w:rPr>
      </w:pPr>
      <w:r>
        <w:rPr>
          <w:rFonts w:hint="eastAsia" w:ascii="黑体" w:hAnsi="黑体" w:eastAsia="黑体" w:cs="黑体"/>
          <w:sz w:val="32"/>
          <w:szCs w:val="32"/>
          <w:lang w:val="en-US" w:bidi="en-US"/>
        </w:rPr>
        <w:t>三、现场条件</w:t>
      </w:r>
    </w:p>
    <w:p>
      <w:pPr>
        <w:spacing w:line="560" w:lineRule="exact"/>
        <w:ind w:firstLine="640" w:firstLineChars="200"/>
        <w:jc w:val="both"/>
        <w:rPr>
          <w:rFonts w:ascii="仿宋_GB2312" w:eastAsia="仿宋_GB2312"/>
          <w:sz w:val="32"/>
          <w:szCs w:val="32"/>
        </w:rPr>
      </w:pPr>
      <w:r>
        <w:rPr>
          <w:rFonts w:hint="eastAsia" w:ascii="仿宋_GB2312" w:eastAsia="仿宋_GB2312"/>
          <w:sz w:val="32"/>
          <w:szCs w:val="32"/>
        </w:rPr>
        <w:t>3</w:t>
      </w:r>
      <w:r>
        <w:rPr>
          <w:rFonts w:ascii="仿宋_GB2312" w:eastAsia="仿宋_GB2312"/>
          <w:sz w:val="32"/>
          <w:szCs w:val="32"/>
        </w:rPr>
        <w:t xml:space="preserve">.1 </w:t>
      </w:r>
      <w:r>
        <w:rPr>
          <w:rFonts w:hint="eastAsia" w:ascii="仿宋_GB2312" w:eastAsia="仿宋_GB2312"/>
          <w:sz w:val="32"/>
          <w:szCs w:val="32"/>
        </w:rPr>
        <w:t>采购人提供水、电、工具用房、办公场所，不提供生活用房、种植养护机械等设施，中标单位自行安排。</w:t>
      </w:r>
    </w:p>
    <w:p>
      <w:pPr>
        <w:spacing w:line="560" w:lineRule="exact"/>
        <w:ind w:firstLine="640" w:firstLineChars="200"/>
        <w:jc w:val="both"/>
        <w:rPr>
          <w:rFonts w:ascii="仿宋_GB2312" w:eastAsia="仿宋_GB2312"/>
          <w:sz w:val="32"/>
          <w:szCs w:val="32"/>
        </w:rPr>
      </w:pPr>
      <w:r>
        <w:rPr>
          <w:rFonts w:hint="eastAsia" w:ascii="仿宋_GB2312" w:eastAsia="仿宋_GB2312"/>
          <w:sz w:val="32"/>
          <w:szCs w:val="32"/>
        </w:rPr>
        <w:t>3</w:t>
      </w:r>
      <w:r>
        <w:rPr>
          <w:rFonts w:ascii="仿宋_GB2312" w:eastAsia="仿宋_GB2312"/>
          <w:sz w:val="32"/>
          <w:szCs w:val="32"/>
        </w:rPr>
        <w:t xml:space="preserve">.2 </w:t>
      </w:r>
      <w:r>
        <w:rPr>
          <w:rFonts w:hint="eastAsia" w:ascii="仿宋_GB2312" w:eastAsia="仿宋_GB2312"/>
          <w:sz w:val="32"/>
          <w:szCs w:val="32"/>
        </w:rPr>
        <w:t>中标单位应重视工人在现场操作时的安全问题，进行上岗安全知识教育，采取必要的安全保障措施。</w:t>
      </w:r>
    </w:p>
    <w:p>
      <w:pPr>
        <w:spacing w:line="560" w:lineRule="exact"/>
        <w:ind w:firstLine="640" w:firstLineChars="200"/>
        <w:jc w:val="both"/>
        <w:rPr>
          <w:rFonts w:ascii="仿宋_GB2312" w:eastAsia="仿宋_GB2312"/>
          <w:sz w:val="32"/>
          <w:szCs w:val="32"/>
        </w:rPr>
      </w:pPr>
      <w:r>
        <w:rPr>
          <w:rFonts w:hint="eastAsia" w:ascii="仿宋_GB2312" w:eastAsia="仿宋_GB2312"/>
          <w:sz w:val="32"/>
          <w:szCs w:val="32"/>
        </w:rPr>
        <w:t>3</w:t>
      </w:r>
      <w:r>
        <w:rPr>
          <w:rFonts w:ascii="仿宋_GB2312" w:eastAsia="仿宋_GB2312"/>
          <w:sz w:val="32"/>
          <w:szCs w:val="32"/>
        </w:rPr>
        <w:t xml:space="preserve">.3 </w:t>
      </w:r>
      <w:r>
        <w:rPr>
          <w:rFonts w:hint="eastAsia" w:ascii="仿宋_GB2312" w:eastAsia="仿宋_GB2312"/>
          <w:sz w:val="32"/>
          <w:szCs w:val="32"/>
        </w:rPr>
        <w:t>施工过程中，注意文明用语，做到工完场清，妥善安排好工具的摆放和绿化垃圾的处置。高温天气注意避开高温时期进行室外作业，极端天气注意安全防范工作。</w:t>
      </w:r>
    </w:p>
    <w:p>
      <w:pPr>
        <w:tabs>
          <w:tab w:val="left" w:pos="3591"/>
        </w:tabs>
        <w:autoSpaceDE/>
        <w:autoSpaceDN/>
        <w:spacing w:line="560" w:lineRule="exact"/>
        <w:ind w:firstLine="640" w:firstLineChars="200"/>
        <w:jc w:val="both"/>
        <w:rPr>
          <w:rFonts w:ascii="黑体" w:hAnsi="黑体" w:eastAsia="黑体" w:cs="黑体"/>
          <w:sz w:val="32"/>
          <w:szCs w:val="32"/>
          <w:lang w:val="en-US" w:bidi="en-US"/>
        </w:rPr>
      </w:pPr>
      <w:r>
        <w:rPr>
          <w:rFonts w:hint="eastAsia" w:ascii="黑体" w:hAnsi="黑体" w:eastAsia="黑体" w:cs="黑体"/>
          <w:sz w:val="32"/>
          <w:szCs w:val="32"/>
          <w:lang w:val="en-US" w:bidi="en-US"/>
        </w:rPr>
        <w:t>四、承包内容</w:t>
      </w:r>
    </w:p>
    <w:p>
      <w:pPr>
        <w:spacing w:line="560" w:lineRule="exact"/>
        <w:ind w:firstLine="640" w:firstLineChars="200"/>
        <w:jc w:val="both"/>
        <w:rPr>
          <w:rFonts w:ascii="仿宋_GB2312" w:eastAsia="仿宋_GB2312"/>
          <w:sz w:val="32"/>
          <w:szCs w:val="32"/>
        </w:rPr>
      </w:pPr>
      <w:r>
        <w:rPr>
          <w:rFonts w:hint="eastAsia" w:ascii="仿宋_GB2312" w:eastAsia="仿宋_GB2312"/>
          <w:sz w:val="32"/>
          <w:szCs w:val="32"/>
        </w:rPr>
        <w:t>4</w:t>
      </w:r>
      <w:r>
        <w:rPr>
          <w:rFonts w:ascii="仿宋_GB2312" w:eastAsia="仿宋_GB2312"/>
          <w:sz w:val="32"/>
          <w:szCs w:val="32"/>
        </w:rPr>
        <w:t>.1 本项目包含龙陵园区草花（面积约7700平方米）的四次整体更换。工作内容包括草花拔除、垃圾清运、绿地整理、土壤改良并检测、草花育苗、完成草花进场检测后种植、种植批次对应的草花养护以及与项目对应的档案资料工作等</w:t>
      </w:r>
      <w:r>
        <w:rPr>
          <w:rFonts w:hint="eastAsia" w:ascii="仿宋_GB2312" w:eastAsia="仿宋_GB2312"/>
          <w:sz w:val="32"/>
          <w:szCs w:val="32"/>
        </w:rPr>
        <w:t>。</w:t>
      </w:r>
    </w:p>
    <w:p>
      <w:pPr>
        <w:spacing w:line="560" w:lineRule="exact"/>
        <w:ind w:firstLine="640" w:firstLineChars="200"/>
        <w:jc w:val="both"/>
        <w:rPr>
          <w:rFonts w:ascii="仿宋_GB2312" w:eastAsia="仿宋_GB2312"/>
          <w:sz w:val="32"/>
          <w:szCs w:val="32"/>
        </w:rPr>
      </w:pPr>
      <w:r>
        <w:rPr>
          <w:rFonts w:hint="eastAsia" w:ascii="仿宋_GB2312" w:eastAsia="仿宋_GB2312"/>
          <w:sz w:val="32"/>
          <w:szCs w:val="32"/>
        </w:rPr>
        <w:t>4</w:t>
      </w:r>
      <w:r>
        <w:rPr>
          <w:rFonts w:ascii="仿宋_GB2312" w:eastAsia="仿宋_GB2312"/>
          <w:sz w:val="32"/>
          <w:szCs w:val="32"/>
        </w:rPr>
        <w:t xml:space="preserve">.2 </w:t>
      </w:r>
      <w:r>
        <w:rPr>
          <w:rFonts w:hint="eastAsia" w:ascii="仿宋_GB2312" w:eastAsia="仿宋_GB2312"/>
          <w:sz w:val="32"/>
          <w:szCs w:val="32"/>
        </w:rPr>
        <w:t>草花材料需提前根据换植方案进行育苗，保证提供植株须满足花色要求、保证植株无病虫害且为初花期。项目结算按实际种植方案为准。</w:t>
      </w:r>
    </w:p>
    <w:p>
      <w:pPr>
        <w:spacing w:line="560" w:lineRule="exact"/>
        <w:ind w:firstLine="640" w:firstLineChars="200"/>
        <w:jc w:val="both"/>
        <w:rPr>
          <w:rFonts w:ascii="仿宋_GB2312" w:eastAsia="仿宋_GB2312"/>
          <w:sz w:val="32"/>
          <w:szCs w:val="32"/>
        </w:rPr>
      </w:pPr>
      <w:r>
        <w:rPr>
          <w:rFonts w:hint="eastAsia" w:ascii="仿宋_GB2312" w:eastAsia="仿宋_GB2312"/>
          <w:sz w:val="32"/>
          <w:szCs w:val="32"/>
        </w:rPr>
        <w:t>4</w:t>
      </w:r>
      <w:r>
        <w:rPr>
          <w:rFonts w:ascii="仿宋_GB2312" w:eastAsia="仿宋_GB2312"/>
          <w:sz w:val="32"/>
          <w:szCs w:val="32"/>
        </w:rPr>
        <w:t xml:space="preserve">.3 </w:t>
      </w:r>
      <w:r>
        <w:rPr>
          <w:rFonts w:hint="eastAsia" w:ascii="仿宋_GB2312" w:eastAsia="仿宋_GB2312"/>
          <w:sz w:val="32"/>
          <w:szCs w:val="32"/>
        </w:rPr>
        <w:t>施工期间，若发生非业主方或自然因素，中标单位造成喷灌、路灯、监控设备等设施的损坏，由中标单位负责修缮。</w:t>
      </w:r>
    </w:p>
    <w:p>
      <w:pPr>
        <w:spacing w:line="560" w:lineRule="exact"/>
        <w:ind w:firstLine="640" w:firstLineChars="200"/>
        <w:jc w:val="both"/>
        <w:rPr>
          <w:rFonts w:ascii="仿宋_GB2312" w:eastAsia="仿宋_GB2312"/>
          <w:sz w:val="32"/>
          <w:szCs w:val="32"/>
        </w:rPr>
      </w:pPr>
      <w:r>
        <w:rPr>
          <w:rFonts w:hint="eastAsia" w:ascii="仿宋_GB2312" w:eastAsia="仿宋_GB2312"/>
          <w:sz w:val="32"/>
          <w:szCs w:val="32"/>
        </w:rPr>
        <w:t>4</w:t>
      </w:r>
      <w:r>
        <w:rPr>
          <w:rFonts w:ascii="仿宋_GB2312" w:eastAsia="仿宋_GB2312"/>
          <w:sz w:val="32"/>
          <w:szCs w:val="32"/>
        </w:rPr>
        <w:t xml:space="preserve">.4 </w:t>
      </w:r>
      <w:r>
        <w:rPr>
          <w:rFonts w:hint="eastAsia" w:ascii="仿宋_GB2312" w:eastAsia="仿宋_GB2312"/>
          <w:sz w:val="32"/>
          <w:szCs w:val="32"/>
        </w:rPr>
        <w:t>包括防台防汛及按要求进行的演习活动等；包括要符合不断提高的服务（质量）要求；包括对发生的游客等安全问题的应对、应急措施。</w:t>
      </w:r>
    </w:p>
    <w:p>
      <w:pPr>
        <w:spacing w:line="560" w:lineRule="exact"/>
        <w:ind w:firstLine="640" w:firstLineChars="200"/>
        <w:jc w:val="both"/>
        <w:rPr>
          <w:rFonts w:ascii="仿宋_GB2312" w:eastAsia="仿宋_GB2312"/>
          <w:sz w:val="32"/>
          <w:szCs w:val="32"/>
          <w:lang w:val="en-US"/>
        </w:rPr>
      </w:pPr>
      <w:r>
        <w:rPr>
          <w:rFonts w:hint="eastAsia" w:ascii="仿宋_GB2312" w:eastAsia="仿宋_GB2312"/>
          <w:sz w:val="32"/>
          <w:szCs w:val="32"/>
        </w:rPr>
        <w:t>4</w:t>
      </w:r>
      <w:r>
        <w:rPr>
          <w:rFonts w:ascii="仿宋_GB2312" w:eastAsia="仿宋_GB2312"/>
          <w:sz w:val="32"/>
          <w:szCs w:val="32"/>
        </w:rPr>
        <w:t xml:space="preserve">.5 </w:t>
      </w:r>
      <w:r>
        <w:rPr>
          <w:rFonts w:hint="eastAsia" w:ascii="仿宋_GB2312" w:eastAsia="仿宋_GB2312"/>
          <w:sz w:val="32"/>
          <w:szCs w:val="32"/>
        </w:rPr>
        <w:t>特殊情况下，如节假日、配合检查、市区局举办的各类“创建”活动等，甲方要求中标单位服从调配，中标单位须无条件听从。</w:t>
      </w:r>
    </w:p>
    <w:p>
      <w:pPr>
        <w:spacing w:line="560" w:lineRule="exact"/>
        <w:ind w:firstLine="640" w:firstLineChars="200"/>
        <w:jc w:val="both"/>
        <w:rPr>
          <w:rFonts w:ascii="仿宋_GB2312" w:eastAsia="仿宋_GB2312"/>
          <w:sz w:val="32"/>
          <w:szCs w:val="32"/>
        </w:rPr>
      </w:pPr>
      <w:r>
        <w:rPr>
          <w:rFonts w:hint="eastAsia" w:ascii="仿宋_GB2312" w:eastAsia="仿宋_GB2312"/>
          <w:sz w:val="32"/>
          <w:szCs w:val="32"/>
        </w:rPr>
        <w:t>4</w:t>
      </w:r>
      <w:r>
        <w:rPr>
          <w:rFonts w:ascii="仿宋_GB2312" w:eastAsia="仿宋_GB2312"/>
          <w:sz w:val="32"/>
          <w:szCs w:val="32"/>
        </w:rPr>
        <w:t>.6 若草花出现检疫害虫，须及时密封送至指定地点，产生的相关费用</w:t>
      </w:r>
      <w:r>
        <w:rPr>
          <w:rFonts w:hint="eastAsia" w:ascii="仿宋_GB2312" w:eastAsia="仿宋_GB2312"/>
          <w:sz w:val="32"/>
          <w:szCs w:val="32"/>
        </w:rPr>
        <w:t>由</w:t>
      </w:r>
      <w:r>
        <w:rPr>
          <w:rFonts w:ascii="仿宋_GB2312" w:eastAsia="仿宋_GB2312"/>
          <w:sz w:val="32"/>
          <w:szCs w:val="32"/>
        </w:rPr>
        <w:t>乙方承担。</w:t>
      </w:r>
    </w:p>
    <w:p>
      <w:pPr>
        <w:autoSpaceDE/>
        <w:autoSpaceDN/>
        <w:spacing w:line="560" w:lineRule="exact"/>
        <w:ind w:firstLine="640" w:firstLineChars="200"/>
        <w:contextualSpacing/>
        <w:jc w:val="both"/>
        <w:outlineLvl w:val="0"/>
        <w:rPr>
          <w:rFonts w:ascii="仿宋_GB2312" w:eastAsia="仿宋_GB2312"/>
          <w:sz w:val="32"/>
          <w:szCs w:val="32"/>
        </w:rPr>
      </w:pPr>
      <w:r>
        <w:rPr>
          <w:rFonts w:hint="eastAsia" w:ascii="仿宋_GB2312" w:eastAsia="仿宋_GB2312" w:hAnsiTheme="minorEastAsia" w:cstheme="minorEastAsia"/>
          <w:bCs/>
          <w:color w:val="auto"/>
          <w:sz w:val="32"/>
          <w:szCs w:val="32"/>
          <w:lang w:val="en-US"/>
        </w:rPr>
        <w:t>★4.7投标人的报价明细不得对采购需求中工作量清单内容进行缩减。</w:t>
      </w:r>
    </w:p>
    <w:p>
      <w:pPr>
        <w:tabs>
          <w:tab w:val="left" w:pos="3591"/>
        </w:tabs>
        <w:autoSpaceDE/>
        <w:autoSpaceDN/>
        <w:spacing w:line="560" w:lineRule="exact"/>
        <w:ind w:firstLine="640" w:firstLineChars="200"/>
        <w:jc w:val="both"/>
        <w:rPr>
          <w:rFonts w:ascii="黑体" w:hAnsi="黑体" w:eastAsia="黑体" w:cs="黑体"/>
          <w:sz w:val="32"/>
          <w:szCs w:val="32"/>
          <w:lang w:val="en-US" w:bidi="en-US"/>
        </w:rPr>
      </w:pPr>
      <w:r>
        <w:rPr>
          <w:rFonts w:hint="eastAsia" w:ascii="黑体" w:hAnsi="黑体" w:eastAsia="黑体" w:cs="黑体"/>
          <w:sz w:val="32"/>
          <w:szCs w:val="32"/>
          <w:lang w:val="en-US" w:bidi="en-US"/>
        </w:rPr>
        <w:t>五、承包期限和方式</w:t>
      </w:r>
    </w:p>
    <w:p>
      <w:pPr>
        <w:spacing w:line="560" w:lineRule="exact"/>
        <w:ind w:firstLine="640" w:firstLineChars="200"/>
        <w:jc w:val="both"/>
        <w:rPr>
          <w:rFonts w:ascii="仿宋_GB2312" w:eastAsia="仿宋_GB2312"/>
          <w:sz w:val="32"/>
          <w:szCs w:val="32"/>
        </w:rPr>
      </w:pPr>
      <w:r>
        <w:rPr>
          <w:rFonts w:ascii="仿宋_GB2312" w:eastAsia="仿宋_GB2312"/>
          <w:sz w:val="32"/>
          <w:szCs w:val="32"/>
        </w:rPr>
        <w:t xml:space="preserve">5.1 </w:t>
      </w:r>
      <w:r>
        <w:rPr>
          <w:rFonts w:hint="eastAsia" w:ascii="仿宋_GB2312" w:eastAsia="仿宋_GB2312"/>
          <w:sz w:val="32"/>
          <w:szCs w:val="32"/>
        </w:rPr>
        <w:t>2</w:t>
      </w:r>
      <w:r>
        <w:rPr>
          <w:rFonts w:ascii="仿宋_GB2312" w:eastAsia="仿宋_GB2312"/>
          <w:sz w:val="32"/>
          <w:szCs w:val="32"/>
        </w:rPr>
        <w:t>025年</w:t>
      </w:r>
      <w:r>
        <w:rPr>
          <w:rFonts w:hint="eastAsia" w:ascii="仿宋_GB2312" w:eastAsia="仿宋_GB2312"/>
          <w:sz w:val="32"/>
          <w:szCs w:val="32"/>
        </w:rPr>
        <w:t>草花换植共4次，其中3月、6月、9月、11月各一次。</w:t>
      </w:r>
    </w:p>
    <w:p>
      <w:pPr>
        <w:spacing w:line="560" w:lineRule="exact"/>
        <w:ind w:firstLine="640" w:firstLineChars="200"/>
        <w:jc w:val="both"/>
        <w:rPr>
          <w:rFonts w:ascii="仿宋_GB2312" w:eastAsia="仿宋_GB2312"/>
          <w:sz w:val="32"/>
          <w:szCs w:val="32"/>
        </w:rPr>
      </w:pPr>
      <w:r>
        <w:rPr>
          <w:rFonts w:hint="eastAsia" w:ascii="仿宋_GB2312" w:eastAsia="仿宋_GB2312"/>
          <w:sz w:val="32"/>
          <w:szCs w:val="32"/>
        </w:rPr>
        <w:t>5</w:t>
      </w:r>
      <w:r>
        <w:rPr>
          <w:rFonts w:ascii="仿宋_GB2312" w:eastAsia="仿宋_GB2312"/>
          <w:sz w:val="32"/>
          <w:szCs w:val="32"/>
        </w:rPr>
        <w:t xml:space="preserve">.2 </w:t>
      </w:r>
      <w:r>
        <w:rPr>
          <w:rFonts w:hint="eastAsia" w:ascii="仿宋_GB2312" w:eastAsia="仿宋_GB2312"/>
          <w:sz w:val="32"/>
          <w:szCs w:val="32"/>
        </w:rPr>
        <w:t>承包方式：采用包工包料方式。</w:t>
      </w:r>
    </w:p>
    <w:p>
      <w:pPr>
        <w:spacing w:line="560" w:lineRule="exact"/>
        <w:jc w:val="both"/>
        <w:rPr>
          <w:rFonts w:asciiTheme="minorEastAsia" w:hAnsiTheme="minorEastAsia" w:eastAsiaTheme="minorEastAsia" w:cstheme="minorEastAsia"/>
          <w:bCs/>
          <w:sz w:val="24"/>
          <w:szCs w:val="24"/>
        </w:rPr>
      </w:pPr>
      <w:r>
        <w:rPr>
          <w:rFonts w:asciiTheme="minorEastAsia" w:hAnsiTheme="minorEastAsia" w:eastAsiaTheme="minorEastAsia" w:cstheme="minorEastAsia"/>
          <w:bCs/>
          <w:sz w:val="24"/>
          <w:szCs w:val="24"/>
        </w:rPr>
        <w:br w:type="page"/>
      </w:r>
      <w:r>
        <w:rPr>
          <w:rFonts w:hint="eastAsia" w:ascii="黑体" w:hAnsi="黑体" w:eastAsia="黑体" w:cs="黑体"/>
          <w:sz w:val="32"/>
          <w:szCs w:val="32"/>
          <w:lang w:val="en-US" w:bidi="en-US"/>
        </w:rPr>
        <w:t>附件1</w:t>
      </w:r>
      <w:r>
        <w:rPr>
          <w:rFonts w:ascii="黑体" w:hAnsi="黑体" w:eastAsia="黑体" w:cs="黑体"/>
          <w:sz w:val="32"/>
          <w:szCs w:val="32"/>
          <w:lang w:val="en-US" w:bidi="en-US"/>
        </w:rPr>
        <w:t xml:space="preserve"> </w:t>
      </w:r>
      <w:r>
        <w:rPr>
          <w:rFonts w:hint="eastAsia" w:ascii="黑体" w:hAnsi="黑体" w:eastAsia="黑体" w:cs="黑体"/>
          <w:sz w:val="32"/>
          <w:szCs w:val="32"/>
          <w:lang w:val="en-US" w:bidi="en-US"/>
        </w:rPr>
        <w:t>养护技术规范（包括但不限于）</w:t>
      </w:r>
    </w:p>
    <w:p>
      <w:pPr>
        <w:pStyle w:val="9"/>
        <w:spacing w:line="560" w:lineRule="exact"/>
        <w:jc w:val="both"/>
        <w:rPr>
          <w:rFonts w:ascii="方正小标宋简体" w:hAnsi="方正小标宋简体" w:eastAsia="方正小标宋简体" w:cs="方正小标宋简体"/>
          <w:sz w:val="44"/>
          <w:szCs w:val="44"/>
          <w:lang w:val="en-US" w:bidi="en-US"/>
        </w:rPr>
      </w:pPr>
    </w:p>
    <w:p>
      <w:pPr>
        <w:pStyle w:val="9"/>
        <w:spacing w:line="560" w:lineRule="exact"/>
        <w:jc w:val="both"/>
        <w:rPr>
          <w:rFonts w:ascii="仿宋_GB2312" w:eastAsia="仿宋_GB2312"/>
          <w:spacing w:val="1"/>
          <w:w w:val="105"/>
          <w:sz w:val="32"/>
          <w:szCs w:val="32"/>
        </w:rPr>
      </w:pPr>
      <w:r>
        <w:rPr>
          <w:rFonts w:hint="eastAsia" w:ascii="仿宋_GB2312" w:eastAsia="仿宋_GB2312"/>
          <w:spacing w:val="1"/>
          <w:w w:val="105"/>
          <w:sz w:val="32"/>
          <w:szCs w:val="32"/>
        </w:rPr>
        <w:t>《园林植物栽植技术规程》DG/TJ</w:t>
      </w:r>
      <w:r>
        <w:rPr>
          <w:rFonts w:ascii="仿宋_GB2312" w:eastAsia="仿宋_GB2312"/>
          <w:spacing w:val="1"/>
          <w:w w:val="105"/>
          <w:sz w:val="32"/>
          <w:szCs w:val="32"/>
        </w:rPr>
        <w:t xml:space="preserve"> </w:t>
      </w:r>
      <w:r>
        <w:rPr>
          <w:rFonts w:hint="eastAsia" w:ascii="仿宋_GB2312" w:eastAsia="仿宋_GB2312"/>
          <w:spacing w:val="1"/>
          <w:w w:val="105"/>
          <w:sz w:val="32"/>
          <w:szCs w:val="32"/>
        </w:rPr>
        <w:t>08-18-2011</w:t>
      </w:r>
    </w:p>
    <w:p>
      <w:pPr>
        <w:pStyle w:val="9"/>
        <w:spacing w:line="560" w:lineRule="exact"/>
        <w:jc w:val="both"/>
        <w:rPr>
          <w:rFonts w:ascii="仿宋_GB2312" w:eastAsia="仿宋_GB2312"/>
          <w:spacing w:val="1"/>
          <w:w w:val="105"/>
          <w:sz w:val="32"/>
          <w:szCs w:val="32"/>
        </w:rPr>
      </w:pPr>
      <w:r>
        <w:rPr>
          <w:rFonts w:ascii="仿宋_GB2312" w:eastAsia="仿宋_GB2312"/>
          <w:spacing w:val="1"/>
          <w:w w:val="105"/>
          <w:sz w:val="32"/>
          <w:szCs w:val="32"/>
        </w:rPr>
        <w:t>《园林绿化养护标准》DG/TJ 08-19-2023</w:t>
      </w:r>
    </w:p>
    <w:p>
      <w:pPr>
        <w:pStyle w:val="9"/>
        <w:spacing w:line="560" w:lineRule="exact"/>
        <w:jc w:val="both"/>
        <w:rPr>
          <w:rFonts w:ascii="仿宋_GB2312" w:eastAsia="仿宋_GB2312"/>
          <w:spacing w:val="1"/>
          <w:w w:val="105"/>
          <w:sz w:val="32"/>
          <w:szCs w:val="32"/>
        </w:rPr>
      </w:pPr>
      <w:r>
        <w:rPr>
          <w:rFonts w:hint="eastAsia" w:ascii="仿宋_GB2312" w:eastAsia="仿宋_GB2312"/>
          <w:spacing w:val="1"/>
          <w:w w:val="105"/>
          <w:sz w:val="32"/>
          <w:szCs w:val="32"/>
        </w:rPr>
        <w:t>《绿化植物保护技术规程》DG/TJ</w:t>
      </w:r>
      <w:r>
        <w:rPr>
          <w:rFonts w:ascii="仿宋_GB2312" w:eastAsia="仿宋_GB2312"/>
          <w:spacing w:val="1"/>
          <w:w w:val="105"/>
          <w:sz w:val="32"/>
          <w:szCs w:val="32"/>
        </w:rPr>
        <w:t xml:space="preserve"> </w:t>
      </w:r>
      <w:r>
        <w:rPr>
          <w:rFonts w:hint="eastAsia" w:ascii="仿宋_GB2312" w:eastAsia="仿宋_GB2312"/>
          <w:spacing w:val="1"/>
          <w:w w:val="105"/>
          <w:sz w:val="32"/>
          <w:szCs w:val="32"/>
        </w:rPr>
        <w:t>08-35-2014</w:t>
      </w:r>
    </w:p>
    <w:p>
      <w:pPr>
        <w:pStyle w:val="9"/>
        <w:spacing w:line="560" w:lineRule="exact"/>
        <w:jc w:val="both"/>
        <w:rPr>
          <w:rFonts w:ascii="仿宋_GB2312" w:eastAsia="仿宋_GB2312"/>
          <w:spacing w:val="1"/>
          <w:w w:val="105"/>
          <w:sz w:val="32"/>
          <w:szCs w:val="32"/>
        </w:rPr>
      </w:pPr>
      <w:r>
        <w:rPr>
          <w:rFonts w:hint="eastAsia" w:ascii="仿宋_GB2312" w:eastAsia="仿宋_GB2312"/>
          <w:spacing w:val="1"/>
          <w:w w:val="105"/>
          <w:sz w:val="32"/>
          <w:szCs w:val="32"/>
        </w:rPr>
        <w:t>《园林绿化工程施工质量验收标准》DG/TJ</w:t>
      </w:r>
      <w:r>
        <w:rPr>
          <w:rFonts w:ascii="仿宋_GB2312" w:eastAsia="仿宋_GB2312"/>
          <w:spacing w:val="1"/>
          <w:w w:val="105"/>
          <w:sz w:val="32"/>
          <w:szCs w:val="32"/>
        </w:rPr>
        <w:t xml:space="preserve"> </w:t>
      </w:r>
      <w:r>
        <w:rPr>
          <w:rFonts w:hint="eastAsia" w:ascii="仿宋_GB2312" w:eastAsia="仿宋_GB2312"/>
          <w:spacing w:val="1"/>
          <w:w w:val="105"/>
          <w:sz w:val="32"/>
          <w:szCs w:val="32"/>
        </w:rPr>
        <w:t>08-701-2010</w:t>
      </w:r>
    </w:p>
    <w:p>
      <w:pPr>
        <w:pStyle w:val="9"/>
        <w:spacing w:line="560" w:lineRule="exact"/>
        <w:jc w:val="both"/>
        <w:rPr>
          <w:rFonts w:ascii="仿宋_GB2312" w:eastAsia="仿宋_GB2312"/>
          <w:spacing w:val="1"/>
          <w:w w:val="105"/>
          <w:sz w:val="32"/>
          <w:szCs w:val="32"/>
        </w:rPr>
      </w:pPr>
      <w:r>
        <w:rPr>
          <w:rFonts w:hint="eastAsia" w:ascii="仿宋_GB2312" w:eastAsia="仿宋_GB2312"/>
          <w:spacing w:val="1"/>
          <w:w w:val="105"/>
          <w:sz w:val="32"/>
          <w:szCs w:val="32"/>
        </w:rPr>
        <w:t>《园林绿化栽植土质量标准》DG/TJ</w:t>
      </w:r>
      <w:r>
        <w:rPr>
          <w:rFonts w:ascii="仿宋_GB2312" w:eastAsia="仿宋_GB2312"/>
          <w:spacing w:val="1"/>
          <w:w w:val="105"/>
          <w:sz w:val="32"/>
          <w:szCs w:val="32"/>
        </w:rPr>
        <w:t xml:space="preserve"> </w:t>
      </w:r>
      <w:r>
        <w:rPr>
          <w:rFonts w:hint="eastAsia" w:ascii="仿宋_GB2312" w:eastAsia="仿宋_GB2312"/>
          <w:spacing w:val="1"/>
          <w:w w:val="105"/>
          <w:sz w:val="32"/>
          <w:szCs w:val="32"/>
        </w:rPr>
        <w:t>08-231-2013</w:t>
      </w:r>
    </w:p>
    <w:p>
      <w:pPr>
        <w:pStyle w:val="9"/>
        <w:spacing w:line="560" w:lineRule="exact"/>
        <w:jc w:val="both"/>
        <w:rPr>
          <w:rFonts w:ascii="仿宋_GB2312" w:eastAsia="仿宋_GB2312"/>
          <w:spacing w:val="1"/>
          <w:w w:val="105"/>
          <w:sz w:val="32"/>
          <w:szCs w:val="32"/>
        </w:rPr>
      </w:pPr>
      <w:r>
        <w:rPr>
          <w:rFonts w:hint="eastAsia" w:ascii="仿宋_GB2312" w:eastAsia="仿宋_GB2312"/>
          <w:spacing w:val="1"/>
          <w:w w:val="105"/>
          <w:sz w:val="32"/>
          <w:szCs w:val="32"/>
        </w:rPr>
        <w:t>《花坛、花境技术规程》DG/TJ</w:t>
      </w:r>
      <w:r>
        <w:rPr>
          <w:rFonts w:ascii="仿宋_GB2312" w:eastAsia="仿宋_GB2312"/>
          <w:spacing w:val="1"/>
          <w:w w:val="105"/>
          <w:sz w:val="32"/>
          <w:szCs w:val="32"/>
        </w:rPr>
        <w:t xml:space="preserve"> </w:t>
      </w:r>
      <w:r>
        <w:rPr>
          <w:rFonts w:hint="eastAsia" w:ascii="仿宋_GB2312" w:eastAsia="仿宋_GB2312"/>
          <w:spacing w:val="1"/>
          <w:w w:val="105"/>
          <w:sz w:val="32"/>
          <w:szCs w:val="32"/>
        </w:rPr>
        <w:t>08-66-2016</w:t>
      </w:r>
    </w:p>
    <w:p>
      <w:pPr>
        <w:pStyle w:val="9"/>
        <w:spacing w:line="560" w:lineRule="exact"/>
        <w:jc w:val="both"/>
        <w:rPr>
          <w:rFonts w:ascii="仿宋_GB2312" w:eastAsia="仿宋_GB2312"/>
          <w:spacing w:val="1"/>
          <w:w w:val="105"/>
          <w:sz w:val="32"/>
          <w:szCs w:val="32"/>
        </w:rPr>
      </w:pPr>
      <w:r>
        <w:rPr>
          <w:rFonts w:hint="eastAsia" w:ascii="仿宋_GB2312" w:eastAsia="仿宋_GB2312"/>
          <w:spacing w:val="1"/>
          <w:w w:val="105"/>
          <w:sz w:val="32"/>
          <w:szCs w:val="32"/>
        </w:rPr>
        <w:t>《上海市园林工程预算定额（2016）》</w:t>
      </w:r>
    </w:p>
    <w:p>
      <w:pPr>
        <w:pStyle w:val="9"/>
        <w:spacing w:line="560" w:lineRule="exact"/>
        <w:jc w:val="both"/>
        <w:rPr>
          <w:rFonts w:ascii="仿宋_GB2312" w:eastAsia="仿宋_GB2312"/>
          <w:spacing w:val="1"/>
          <w:w w:val="105"/>
          <w:sz w:val="32"/>
          <w:szCs w:val="32"/>
        </w:rPr>
      </w:pPr>
      <w:r>
        <w:rPr>
          <w:rFonts w:hint="eastAsia" w:ascii="仿宋_GB2312" w:eastAsia="仿宋_GB2312"/>
          <w:spacing w:val="1"/>
          <w:w w:val="105"/>
          <w:sz w:val="32"/>
          <w:szCs w:val="32"/>
        </w:rPr>
        <w:t>《主要草花产品等级》GB/T</w:t>
      </w:r>
      <w:r>
        <w:rPr>
          <w:rFonts w:ascii="仿宋_GB2312" w:eastAsia="仿宋_GB2312"/>
          <w:spacing w:val="1"/>
          <w:w w:val="105"/>
          <w:sz w:val="32"/>
          <w:szCs w:val="32"/>
        </w:rPr>
        <w:t xml:space="preserve"> </w:t>
      </w:r>
      <w:r>
        <w:rPr>
          <w:rFonts w:hint="eastAsia" w:ascii="仿宋_GB2312" w:eastAsia="仿宋_GB2312"/>
          <w:spacing w:val="1"/>
          <w:w w:val="105"/>
          <w:sz w:val="32"/>
          <w:szCs w:val="32"/>
        </w:rPr>
        <w:t>18247.1-2000</w:t>
      </w:r>
    </w:p>
    <w:p>
      <w:pPr>
        <w:pStyle w:val="9"/>
        <w:spacing w:line="560" w:lineRule="exact"/>
        <w:jc w:val="both"/>
        <w:rPr>
          <w:rFonts w:ascii="仿宋_GB2312" w:eastAsia="仿宋_GB2312"/>
          <w:spacing w:val="1"/>
          <w:w w:val="105"/>
          <w:sz w:val="32"/>
          <w:szCs w:val="32"/>
        </w:rPr>
      </w:pPr>
      <w:r>
        <w:rPr>
          <w:rFonts w:hint="eastAsia" w:ascii="仿宋_GB2312" w:eastAsia="仿宋_GB2312"/>
          <w:spacing w:val="1"/>
          <w:w w:val="105"/>
          <w:sz w:val="32"/>
          <w:szCs w:val="32"/>
        </w:rPr>
        <w:t>《上海主要花坛草花产品质量等级》DB31/T 1039-2017</w:t>
      </w:r>
    </w:p>
    <w:p>
      <w:pPr>
        <w:pStyle w:val="9"/>
        <w:spacing w:line="560" w:lineRule="exact"/>
        <w:ind w:firstLine="672" w:firstLineChars="200"/>
        <w:jc w:val="both"/>
        <w:rPr>
          <w:rFonts w:ascii="仿宋_GB2312" w:eastAsia="仿宋_GB2312"/>
          <w:color w:val="000000" w:themeColor="text1"/>
          <w:w w:val="105"/>
          <w:sz w:val="32"/>
          <w:szCs w:val="32"/>
          <w14:textFill>
            <w14:solidFill>
              <w14:schemeClr w14:val="tx1"/>
            </w14:solidFill>
          </w14:textFill>
        </w:rPr>
      </w:pPr>
      <w:r>
        <w:rPr>
          <w:rFonts w:hint="eastAsia" w:ascii="仿宋_GB2312" w:eastAsia="仿宋_GB2312"/>
          <w:color w:val="000000" w:themeColor="text1"/>
          <w:w w:val="105"/>
          <w:sz w:val="32"/>
          <w:szCs w:val="32"/>
          <w14:textFill>
            <w14:solidFill>
              <w14:schemeClr w14:val="tx1"/>
            </w14:solidFill>
          </w14:textFill>
        </w:rPr>
        <w:t>以上技术规程如有更新的，则按新标准执行。</w:t>
      </w:r>
    </w:p>
    <w:p>
      <w:pPr>
        <w:pStyle w:val="9"/>
        <w:spacing w:line="560" w:lineRule="exact"/>
        <w:ind w:firstLine="672" w:firstLineChars="200"/>
        <w:jc w:val="both"/>
        <w:rPr>
          <w:rFonts w:ascii="仿宋_GB2312" w:eastAsia="仿宋_GB2312"/>
          <w:color w:val="000000" w:themeColor="text1"/>
          <w:w w:val="105"/>
          <w:sz w:val="32"/>
          <w:szCs w:val="32"/>
          <w14:textFill>
            <w14:solidFill>
              <w14:schemeClr w14:val="tx1"/>
            </w14:solidFill>
          </w14:textFill>
        </w:rPr>
      </w:pPr>
      <w:r>
        <w:rPr>
          <w:rFonts w:hint="eastAsia" w:ascii="仿宋_GB2312" w:eastAsia="仿宋_GB2312"/>
          <w:color w:val="000000" w:themeColor="text1"/>
          <w:w w:val="105"/>
          <w:sz w:val="32"/>
          <w:szCs w:val="32"/>
          <w14:textFill>
            <w14:solidFill>
              <w14:schemeClr w14:val="tx1"/>
            </w14:solidFill>
          </w14:textFill>
        </w:rPr>
        <w:t>应特别注意有害生物防控工作：植保工作有专人负责；加强对重点病虫害的防控、做好其它常见病虫害的防治工作；做好防治机械设备的储备；做到工作有计划，防治有记录。</w:t>
      </w:r>
    </w:p>
    <w:p>
      <w:pPr>
        <w:pStyle w:val="20"/>
        <w:tabs>
          <w:tab w:val="left" w:pos="983"/>
        </w:tabs>
        <w:spacing w:line="560" w:lineRule="exact"/>
        <w:ind w:left="480" w:firstLine="0"/>
        <w:jc w:val="both"/>
        <w:rPr>
          <w:rFonts w:asciiTheme="minorEastAsia" w:hAnsiTheme="minorEastAsia" w:eastAsiaTheme="minorEastAsia" w:cstheme="minorEastAsia"/>
          <w:bCs/>
          <w:sz w:val="24"/>
          <w:szCs w:val="24"/>
        </w:rPr>
      </w:pPr>
    </w:p>
    <w:p>
      <w:pPr>
        <w:pStyle w:val="20"/>
        <w:tabs>
          <w:tab w:val="left" w:pos="983"/>
        </w:tabs>
        <w:spacing w:line="560" w:lineRule="exact"/>
        <w:ind w:left="480" w:firstLine="0"/>
        <w:jc w:val="both"/>
        <w:rPr>
          <w:rFonts w:asciiTheme="minorEastAsia" w:hAnsiTheme="minorEastAsia" w:eastAsiaTheme="minorEastAsia" w:cstheme="minorEastAsia"/>
          <w:bCs/>
          <w:sz w:val="24"/>
          <w:szCs w:val="24"/>
        </w:rPr>
      </w:pPr>
    </w:p>
    <w:p>
      <w:pPr>
        <w:pStyle w:val="20"/>
        <w:tabs>
          <w:tab w:val="left" w:pos="983"/>
        </w:tabs>
        <w:spacing w:line="560" w:lineRule="exact"/>
        <w:ind w:left="480" w:firstLine="0"/>
        <w:jc w:val="both"/>
        <w:rPr>
          <w:rFonts w:asciiTheme="minorEastAsia" w:hAnsiTheme="minorEastAsia" w:eastAsiaTheme="minorEastAsia" w:cstheme="minorEastAsia"/>
          <w:bCs/>
          <w:sz w:val="24"/>
          <w:szCs w:val="24"/>
        </w:rPr>
      </w:pPr>
    </w:p>
    <w:p>
      <w:pPr>
        <w:pStyle w:val="20"/>
        <w:tabs>
          <w:tab w:val="left" w:pos="983"/>
        </w:tabs>
        <w:spacing w:line="560" w:lineRule="exact"/>
        <w:ind w:left="480" w:firstLine="0"/>
        <w:jc w:val="both"/>
        <w:rPr>
          <w:rFonts w:asciiTheme="minorEastAsia" w:hAnsiTheme="minorEastAsia" w:eastAsiaTheme="minorEastAsia" w:cstheme="minorEastAsia"/>
          <w:bCs/>
          <w:sz w:val="24"/>
          <w:szCs w:val="24"/>
        </w:rPr>
      </w:pPr>
    </w:p>
    <w:p>
      <w:pPr>
        <w:pStyle w:val="20"/>
        <w:tabs>
          <w:tab w:val="left" w:pos="983"/>
        </w:tabs>
        <w:spacing w:line="560" w:lineRule="exact"/>
        <w:ind w:left="0" w:firstLine="0"/>
        <w:jc w:val="both"/>
        <w:rPr>
          <w:rFonts w:asciiTheme="minorEastAsia" w:hAnsiTheme="minorEastAsia" w:eastAsiaTheme="minorEastAsia" w:cstheme="minorEastAsia"/>
          <w:bCs/>
          <w:sz w:val="24"/>
          <w:szCs w:val="24"/>
        </w:rPr>
      </w:pPr>
    </w:p>
    <w:p>
      <w:pPr>
        <w:pStyle w:val="20"/>
        <w:tabs>
          <w:tab w:val="left" w:pos="983"/>
        </w:tabs>
        <w:spacing w:line="560" w:lineRule="exact"/>
        <w:ind w:left="0" w:firstLine="0"/>
        <w:jc w:val="both"/>
        <w:rPr>
          <w:rFonts w:asciiTheme="minorEastAsia" w:hAnsiTheme="minorEastAsia" w:eastAsiaTheme="minorEastAsia" w:cstheme="minorEastAsia"/>
          <w:bCs/>
          <w:sz w:val="24"/>
          <w:szCs w:val="24"/>
        </w:rPr>
      </w:pPr>
    </w:p>
    <w:p>
      <w:pPr>
        <w:pStyle w:val="20"/>
        <w:tabs>
          <w:tab w:val="left" w:pos="983"/>
        </w:tabs>
        <w:spacing w:line="560" w:lineRule="exact"/>
        <w:ind w:left="0" w:firstLine="0"/>
        <w:jc w:val="both"/>
        <w:rPr>
          <w:rFonts w:asciiTheme="minorEastAsia" w:hAnsiTheme="minorEastAsia" w:eastAsiaTheme="minorEastAsia" w:cstheme="minorEastAsia"/>
          <w:bCs/>
          <w:sz w:val="24"/>
          <w:szCs w:val="24"/>
        </w:rPr>
      </w:pPr>
    </w:p>
    <w:p>
      <w:pPr>
        <w:pStyle w:val="9"/>
        <w:spacing w:line="560" w:lineRule="exact"/>
        <w:jc w:val="both"/>
        <w:rPr>
          <w:rFonts w:ascii="黑体" w:hAnsi="黑体" w:eastAsia="黑体" w:cs="黑体"/>
          <w:sz w:val="32"/>
          <w:szCs w:val="32"/>
          <w:lang w:val="en-US" w:bidi="en-US"/>
        </w:rPr>
      </w:pPr>
      <w:r>
        <w:rPr>
          <w:rFonts w:hint="eastAsia" w:ascii="黑体" w:hAnsi="黑体" w:eastAsia="黑体" w:cs="黑体"/>
          <w:sz w:val="32"/>
          <w:szCs w:val="32"/>
          <w:lang w:val="en-US" w:bidi="en-US"/>
        </w:rPr>
        <w:t>附件2</w:t>
      </w:r>
      <w:r>
        <w:rPr>
          <w:rFonts w:ascii="黑体" w:hAnsi="黑体" w:eastAsia="黑体" w:cs="黑体"/>
          <w:sz w:val="32"/>
          <w:szCs w:val="32"/>
          <w:lang w:val="en-US" w:bidi="en-US"/>
        </w:rPr>
        <w:t xml:space="preserve"> </w:t>
      </w:r>
      <w:r>
        <w:rPr>
          <w:rFonts w:hint="eastAsia" w:ascii="黑体" w:hAnsi="黑体" w:eastAsia="黑体" w:cs="黑体"/>
          <w:sz w:val="32"/>
          <w:szCs w:val="32"/>
          <w:lang w:val="en-US" w:bidi="en-US"/>
        </w:rPr>
        <w:t>龙华烈士陵园草花换植项目要求</w:t>
      </w:r>
    </w:p>
    <w:p>
      <w:pPr>
        <w:pStyle w:val="9"/>
        <w:spacing w:line="560" w:lineRule="exact"/>
        <w:jc w:val="both"/>
        <w:rPr>
          <w:rFonts w:ascii="方正小标宋简体" w:hAnsi="方正小标宋简体" w:eastAsia="方正小标宋简体" w:cs="方正小标宋简体"/>
          <w:sz w:val="44"/>
          <w:szCs w:val="44"/>
          <w:lang w:val="en-US" w:bidi="en-US"/>
        </w:rPr>
      </w:pPr>
    </w:p>
    <w:p>
      <w:pPr>
        <w:tabs>
          <w:tab w:val="left" w:pos="3591"/>
        </w:tabs>
        <w:autoSpaceDE/>
        <w:autoSpaceDN/>
        <w:spacing w:line="560" w:lineRule="exact"/>
        <w:ind w:firstLine="640" w:firstLineChars="200"/>
        <w:jc w:val="both"/>
        <w:rPr>
          <w:rFonts w:ascii="黑体" w:hAnsi="黑体" w:eastAsia="黑体" w:cs="黑体"/>
          <w:sz w:val="32"/>
          <w:szCs w:val="32"/>
          <w:lang w:val="en-US" w:bidi="en-US"/>
        </w:rPr>
      </w:pPr>
      <w:r>
        <w:rPr>
          <w:rFonts w:hint="eastAsia" w:ascii="黑体" w:hAnsi="黑体" w:eastAsia="黑体" w:cs="黑体"/>
          <w:sz w:val="32"/>
          <w:szCs w:val="32"/>
          <w:lang w:val="en-US" w:bidi="en-US"/>
        </w:rPr>
        <w:t>一、技术部分要求</w:t>
      </w:r>
    </w:p>
    <w:p>
      <w:pPr>
        <w:spacing w:line="560" w:lineRule="atLeast"/>
        <w:ind w:firstLine="640" w:firstLineChars="200"/>
        <w:jc w:val="both"/>
        <w:rPr>
          <w:rFonts w:ascii="仿宋_GB2312" w:eastAsia="仿宋_GB2312"/>
          <w:sz w:val="32"/>
          <w:szCs w:val="32"/>
        </w:rPr>
      </w:pPr>
      <w:r>
        <w:rPr>
          <w:rFonts w:ascii="仿宋_GB2312" w:eastAsia="仿宋_GB2312"/>
          <w:sz w:val="32"/>
          <w:szCs w:val="32"/>
        </w:rPr>
        <w:t>1</w:t>
      </w:r>
      <w:r>
        <w:rPr>
          <w:rFonts w:hint="eastAsia" w:ascii="仿宋_GB2312" w:eastAsia="仿宋_GB2312"/>
          <w:sz w:val="32"/>
          <w:szCs w:val="32"/>
        </w:rPr>
        <w:t>.1 项目实行项目经理考勤制度，项目经理专业对口并驻场，获得绿化管理局工程系列的园林绿化或绿化林业专业中级及以上职称</w:t>
      </w:r>
      <w:r>
        <w:rPr>
          <w:rFonts w:ascii="仿宋_GB2312" w:eastAsia="仿宋_GB2312"/>
          <w:sz w:val="32"/>
          <w:szCs w:val="32"/>
        </w:rPr>
        <w:t>，具有</w:t>
      </w:r>
      <w:r>
        <w:rPr>
          <w:rFonts w:hint="eastAsia" w:ascii="仿宋_GB2312" w:eastAsia="仿宋_GB2312"/>
          <w:sz w:val="32"/>
          <w:szCs w:val="32"/>
        </w:rPr>
        <w:t>本科</w:t>
      </w:r>
      <w:r>
        <w:rPr>
          <w:rFonts w:ascii="仿宋_GB2312" w:eastAsia="仿宋_GB2312"/>
          <w:sz w:val="32"/>
          <w:szCs w:val="32"/>
        </w:rPr>
        <w:t>及以上学历</w:t>
      </w:r>
      <w:r>
        <w:rPr>
          <w:rFonts w:hint="eastAsia" w:ascii="仿宋_GB2312" w:eastAsia="仿宋_GB2312"/>
          <w:sz w:val="32"/>
          <w:szCs w:val="32"/>
        </w:rPr>
        <w:t>，</w:t>
      </w:r>
      <w:r>
        <w:rPr>
          <w:rFonts w:ascii="仿宋_GB2312" w:eastAsia="仿宋_GB2312"/>
          <w:sz w:val="32"/>
          <w:szCs w:val="32"/>
        </w:rPr>
        <w:t>55周岁及</w:t>
      </w:r>
      <w:r>
        <w:rPr>
          <w:rFonts w:hint="eastAsia" w:ascii="仿宋_GB2312" w:eastAsia="仿宋_GB2312"/>
          <w:sz w:val="32"/>
          <w:szCs w:val="32"/>
        </w:rPr>
        <w:t>以下</w:t>
      </w:r>
      <w:r>
        <w:rPr>
          <w:rFonts w:ascii="仿宋_GB2312" w:eastAsia="仿宋_GB2312"/>
          <w:sz w:val="32"/>
          <w:szCs w:val="32"/>
        </w:rPr>
        <w:t>，具备10年及以上草花绿化养护服务经验。提供项目经理身份证复印件以及学历证书、职称证书、</w:t>
      </w:r>
      <w:r>
        <w:rPr>
          <w:rFonts w:hint="eastAsia" w:ascii="仿宋_GB2312" w:eastAsia="仿宋_GB2312"/>
          <w:sz w:val="32"/>
          <w:szCs w:val="32"/>
        </w:rPr>
        <w:t>近一个季度任意一个月的应标单位在职社保记录、</w:t>
      </w:r>
      <w:r>
        <w:rPr>
          <w:rFonts w:ascii="仿宋_GB2312" w:eastAsia="仿宋_GB2312"/>
          <w:sz w:val="32"/>
          <w:szCs w:val="32"/>
        </w:rPr>
        <w:t>服务经历证明文件。</w:t>
      </w:r>
      <w:r>
        <w:rPr>
          <w:rFonts w:hint="eastAsia" w:ascii="仿宋_GB2312" w:eastAsia="仿宋_GB2312"/>
          <w:sz w:val="32"/>
          <w:szCs w:val="32"/>
        </w:rPr>
        <w:t>编制满足龙陵种植养护工作所需的队伍并有切合实际的管理制度，项目经理须参加例会及相关会议。</w:t>
      </w:r>
    </w:p>
    <w:p>
      <w:pPr>
        <w:spacing w:line="560" w:lineRule="atLeast"/>
        <w:ind w:firstLine="640" w:firstLineChars="200"/>
        <w:jc w:val="both"/>
        <w:rPr>
          <w:rFonts w:ascii="仿宋_GB2312" w:eastAsia="仿宋_GB2312"/>
          <w:sz w:val="32"/>
          <w:szCs w:val="32"/>
        </w:rPr>
      </w:pPr>
      <w:r>
        <w:rPr>
          <w:rFonts w:ascii="仿宋_GB2312" w:eastAsia="仿宋_GB2312"/>
          <w:sz w:val="32"/>
          <w:szCs w:val="32"/>
        </w:rPr>
        <w:t>1</w:t>
      </w:r>
      <w:r>
        <w:rPr>
          <w:rFonts w:hint="eastAsia" w:ascii="仿宋_GB2312" w:eastAsia="仿宋_GB2312"/>
          <w:sz w:val="32"/>
          <w:szCs w:val="32"/>
        </w:rPr>
        <w:t>.2 需要组建合理的施工队伍，提供合理的施工组织计划、符合龙陵特色的草花养护全年计划方案和与之对应的养护器械。每季换植施工不得超过1</w:t>
      </w:r>
      <w:r>
        <w:rPr>
          <w:rFonts w:ascii="仿宋_GB2312" w:eastAsia="仿宋_GB2312"/>
          <w:sz w:val="32"/>
          <w:szCs w:val="32"/>
        </w:rPr>
        <w:t>0天。</w:t>
      </w:r>
      <w:r>
        <w:rPr>
          <w:rFonts w:hint="eastAsia" w:ascii="仿宋_GB2312" w:eastAsia="仿宋_GB2312"/>
          <w:sz w:val="32"/>
          <w:szCs w:val="32"/>
        </w:rPr>
        <w:t>需配备施工人员：施工现场项目管理机构拟派人员最低应为</w:t>
      </w:r>
      <w:r>
        <w:rPr>
          <w:rFonts w:ascii="仿宋_GB2312" w:eastAsia="仿宋_GB2312"/>
          <w:sz w:val="32"/>
          <w:szCs w:val="32"/>
        </w:rPr>
        <w:t>4人（含）以上，且需包含园林项目</w:t>
      </w:r>
      <w:r>
        <w:rPr>
          <w:rFonts w:hint="eastAsia" w:ascii="仿宋_GB2312" w:eastAsia="仿宋_GB2312"/>
          <w:sz w:val="32"/>
          <w:szCs w:val="32"/>
        </w:rPr>
        <w:t>经理</w:t>
      </w:r>
      <w:r>
        <w:rPr>
          <w:rFonts w:ascii="仿宋_GB2312" w:eastAsia="仿宋_GB2312"/>
          <w:sz w:val="32"/>
          <w:szCs w:val="32"/>
        </w:rPr>
        <w:t>、安全员、质量员、材料员各1名。</w:t>
      </w:r>
      <w:r>
        <w:rPr>
          <w:rFonts w:hint="eastAsia" w:ascii="仿宋_GB2312" w:eastAsia="仿宋_GB2312"/>
          <w:sz w:val="32"/>
          <w:szCs w:val="32"/>
        </w:rPr>
        <w:t>常规养护服务岗位数不得少于</w:t>
      </w:r>
      <w:r>
        <w:rPr>
          <w:rFonts w:ascii="仿宋_GB2312" w:eastAsia="仿宋_GB2312"/>
          <w:sz w:val="32"/>
          <w:szCs w:val="32"/>
        </w:rPr>
        <w:t>5个，</w:t>
      </w:r>
      <w:r>
        <w:rPr>
          <w:rFonts w:ascii="仿宋_GB2312" w:eastAsia="仿宋_GB2312" w:hAnsiTheme="minorEastAsia"/>
          <w:color w:val="000000" w:themeColor="text1"/>
          <w:sz w:val="32"/>
          <w:szCs w:val="32"/>
          <w14:textFill>
            <w14:solidFill>
              <w14:schemeClr w14:val="tx1"/>
            </w14:solidFill>
          </w14:textFill>
        </w:rPr>
        <w:t>年龄均在60周岁以下且年龄在</w:t>
      </w:r>
      <w:r>
        <w:rPr>
          <w:rFonts w:hint="eastAsia" w:ascii="仿宋_GB2312" w:eastAsia="仿宋_GB2312" w:hAnsiTheme="minorEastAsia"/>
          <w:color w:val="000000" w:themeColor="text1"/>
          <w:sz w:val="32"/>
          <w:szCs w:val="32"/>
          <w14:textFill>
            <w14:solidFill>
              <w14:schemeClr w14:val="tx1"/>
            </w14:solidFill>
          </w14:textFill>
        </w:rPr>
        <w:t>5</w:t>
      </w:r>
      <w:r>
        <w:rPr>
          <w:rFonts w:ascii="仿宋_GB2312" w:eastAsia="仿宋_GB2312" w:hAnsiTheme="minorEastAsia"/>
          <w:color w:val="000000" w:themeColor="text1"/>
          <w:sz w:val="32"/>
          <w:szCs w:val="32"/>
          <w14:textFill>
            <w14:solidFill>
              <w14:schemeClr w14:val="tx1"/>
            </w14:solidFill>
          </w14:textFill>
        </w:rPr>
        <w:t>0周岁以下的不得少于</w:t>
      </w:r>
      <w:r>
        <w:rPr>
          <w:rFonts w:hint="eastAsia" w:ascii="仿宋_GB2312" w:eastAsia="仿宋_GB2312" w:hAnsiTheme="minorEastAsia"/>
          <w:color w:val="000000" w:themeColor="text1"/>
          <w:sz w:val="32"/>
          <w:szCs w:val="32"/>
          <w14:textFill>
            <w14:solidFill>
              <w14:schemeClr w14:val="tx1"/>
            </w14:solidFill>
          </w14:textFill>
        </w:rPr>
        <w:t>5个</w:t>
      </w:r>
      <w:r>
        <w:rPr>
          <w:rFonts w:ascii="仿宋_GB2312" w:eastAsia="仿宋_GB2312" w:hAnsiTheme="minorEastAsia"/>
          <w:color w:val="000000" w:themeColor="text1"/>
          <w:sz w:val="32"/>
          <w:szCs w:val="32"/>
          <w14:textFill>
            <w14:solidFill>
              <w14:schemeClr w14:val="tx1"/>
            </w14:solidFill>
          </w14:textFill>
        </w:rPr>
        <w:t>，</w:t>
      </w:r>
      <w:r>
        <w:rPr>
          <w:rFonts w:hint="eastAsia" w:ascii="仿宋_GB2312" w:eastAsia="仿宋_GB2312"/>
          <w:sz w:val="32"/>
          <w:szCs w:val="32"/>
        </w:rPr>
        <w:t>要配置园林绿化</w:t>
      </w:r>
      <w:r>
        <w:rPr>
          <w:rFonts w:ascii="仿宋_GB2312" w:eastAsia="仿宋_GB2312"/>
          <w:sz w:val="32"/>
          <w:szCs w:val="32"/>
        </w:rPr>
        <w:t>高级工1名及以上，绿化中级工2名及以上，种植用工不得少于20个</w:t>
      </w:r>
      <w:r>
        <w:rPr>
          <w:rFonts w:hint="eastAsia" w:ascii="仿宋_GB2312" w:eastAsia="仿宋_GB2312"/>
          <w:sz w:val="32"/>
          <w:szCs w:val="32"/>
        </w:rPr>
        <w:t>。</w:t>
      </w:r>
      <w:r>
        <w:rPr>
          <w:rFonts w:ascii="仿宋_GB2312" w:eastAsia="仿宋_GB2312"/>
          <w:sz w:val="32"/>
          <w:szCs w:val="32"/>
        </w:rPr>
        <w:t>其他临时工总数按照实际需要由中标单位自行核算申报</w:t>
      </w:r>
      <w:r>
        <w:rPr>
          <w:rFonts w:hint="eastAsia" w:ascii="仿宋_GB2312" w:eastAsia="仿宋_GB2312"/>
          <w:sz w:val="32"/>
          <w:szCs w:val="32"/>
        </w:rPr>
        <w:t>。</w:t>
      </w:r>
    </w:p>
    <w:tbl>
      <w:tblPr>
        <w:tblStyle w:val="16"/>
        <w:tblW w:w="91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63"/>
        <w:gridCol w:w="1701"/>
        <w:gridCol w:w="52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3"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hint="eastAsia" w:ascii="仿宋_GB2312" w:eastAsia="仿宋_GB2312" w:hAnsiTheme="minorEastAsia"/>
                <w:color w:val="000000" w:themeColor="text1"/>
                <w:kern w:val="2"/>
                <w:sz w:val="32"/>
                <w:szCs w:val="32"/>
                <w14:textFill>
                  <w14:solidFill>
                    <w14:schemeClr w14:val="tx1"/>
                  </w14:solidFill>
                </w14:textFill>
              </w:rPr>
              <w:t>岗位</w:t>
            </w:r>
          </w:p>
        </w:tc>
        <w:tc>
          <w:tcPr>
            <w:tcW w:w="1701"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hint="eastAsia" w:ascii="仿宋_GB2312" w:eastAsia="仿宋_GB2312" w:hAnsiTheme="minorEastAsia"/>
                <w:color w:val="000000" w:themeColor="text1"/>
                <w:kern w:val="2"/>
                <w:sz w:val="32"/>
                <w:szCs w:val="32"/>
                <w14:textFill>
                  <w14:solidFill>
                    <w14:schemeClr w14:val="tx1"/>
                  </w14:solidFill>
                </w14:textFill>
              </w:rPr>
              <w:t>人数</w:t>
            </w:r>
          </w:p>
        </w:tc>
        <w:tc>
          <w:tcPr>
            <w:tcW w:w="5216"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hint="eastAsia" w:ascii="仿宋_GB2312" w:eastAsia="仿宋_GB2312" w:hAnsiTheme="minorEastAsia"/>
                <w:color w:val="000000" w:themeColor="text1"/>
                <w:kern w:val="2"/>
                <w:sz w:val="32"/>
                <w:szCs w:val="32"/>
                <w14:textFill>
                  <w14:solidFill>
                    <w14:schemeClr w14:val="tx1"/>
                  </w14:solidFill>
                </w14:textFill>
              </w:rPr>
              <w:t>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3"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hint="eastAsia" w:ascii="仿宋_GB2312" w:eastAsia="仿宋_GB2312" w:hAnsiTheme="minorEastAsia"/>
                <w:color w:val="000000" w:themeColor="text1"/>
                <w:kern w:val="2"/>
                <w:sz w:val="32"/>
                <w:szCs w:val="32"/>
                <w14:textFill>
                  <w14:solidFill>
                    <w14:schemeClr w14:val="tx1"/>
                  </w14:solidFill>
                </w14:textFill>
              </w:rPr>
              <w:t>项目经理</w:t>
            </w:r>
          </w:p>
        </w:tc>
        <w:tc>
          <w:tcPr>
            <w:tcW w:w="1701"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hint="eastAsia" w:ascii="仿宋_GB2312" w:eastAsia="仿宋_GB2312" w:hAnsiTheme="minorEastAsia"/>
                <w:color w:val="000000" w:themeColor="text1"/>
                <w:kern w:val="2"/>
                <w:sz w:val="32"/>
                <w:szCs w:val="32"/>
                <w14:textFill>
                  <w14:solidFill>
                    <w14:schemeClr w14:val="tx1"/>
                  </w14:solidFill>
                </w14:textFill>
              </w:rPr>
              <w:t>1</w:t>
            </w:r>
          </w:p>
        </w:tc>
        <w:tc>
          <w:tcPr>
            <w:tcW w:w="5216" w:type="dxa"/>
          </w:tcPr>
          <w:p>
            <w:pPr>
              <w:autoSpaceDE/>
              <w:autoSpaceDN/>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ascii="仿宋_GB2312" w:eastAsia="仿宋_GB2312" w:hAnsiTheme="minorEastAsia"/>
                <w:color w:val="000000" w:themeColor="text1"/>
                <w:kern w:val="2"/>
                <w:sz w:val="32"/>
                <w:szCs w:val="32"/>
                <w14:textFill>
                  <w14:solidFill>
                    <w14:schemeClr w14:val="tx1"/>
                  </w14:solidFill>
                </w14:textFill>
              </w:rPr>
              <w:t>1、</w:t>
            </w:r>
            <w:r>
              <w:rPr>
                <w:rFonts w:hint="eastAsia" w:ascii="仿宋_GB2312" w:eastAsia="仿宋_GB2312" w:hAnsiTheme="minorEastAsia"/>
                <w:color w:val="000000" w:themeColor="text1"/>
                <w:kern w:val="2"/>
                <w:sz w:val="32"/>
                <w:szCs w:val="32"/>
                <w14:textFill>
                  <w14:solidFill>
                    <w14:schemeClr w14:val="tx1"/>
                  </w14:solidFill>
                </w14:textFill>
              </w:rPr>
              <w:t>具有</w:t>
            </w:r>
            <w:bookmarkStart w:id="2" w:name="_GoBack"/>
            <w:bookmarkEnd w:id="2"/>
            <w:r>
              <w:rPr>
                <w:rFonts w:hint="eastAsia" w:ascii="仿宋_GB2312" w:eastAsia="仿宋_GB2312" w:hAnsiTheme="minorEastAsia"/>
                <w:color w:val="000000" w:themeColor="text1"/>
                <w:kern w:val="2"/>
                <w:sz w:val="32"/>
                <w:szCs w:val="32"/>
                <w14:textFill>
                  <w14:solidFill>
                    <w14:schemeClr w14:val="tx1"/>
                  </w14:solidFill>
                </w14:textFill>
              </w:rPr>
              <w:t>园林绿化或绿化林业工程专业中级及以上职称；</w:t>
            </w:r>
          </w:p>
          <w:p>
            <w:pPr>
              <w:autoSpaceDE/>
              <w:autoSpaceDN/>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hint="eastAsia" w:ascii="仿宋_GB2312" w:eastAsia="仿宋_GB2312" w:hAnsiTheme="minorEastAsia"/>
                <w:color w:val="000000" w:themeColor="text1"/>
                <w:kern w:val="2"/>
                <w:sz w:val="32"/>
                <w:szCs w:val="32"/>
                <w14:textFill>
                  <w14:solidFill>
                    <w14:schemeClr w14:val="tx1"/>
                  </w14:solidFill>
                </w14:textFill>
              </w:rPr>
              <w:t>2、具有本科及以上学历；</w:t>
            </w:r>
          </w:p>
          <w:p>
            <w:pPr>
              <w:autoSpaceDE/>
              <w:autoSpaceDN/>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hint="eastAsia" w:ascii="仿宋_GB2312" w:eastAsia="仿宋_GB2312" w:hAnsiTheme="minorEastAsia"/>
                <w:color w:val="000000" w:themeColor="text1"/>
                <w:kern w:val="2"/>
                <w:sz w:val="32"/>
                <w:szCs w:val="32"/>
                <w14:textFill>
                  <w14:solidFill>
                    <w14:schemeClr w14:val="tx1"/>
                  </w14:solidFill>
                </w14:textFill>
              </w:rPr>
              <w:t>3、年龄不超过</w:t>
            </w:r>
            <w:r>
              <w:rPr>
                <w:rFonts w:ascii="仿宋_GB2312" w:eastAsia="仿宋_GB2312" w:hAnsiTheme="minorEastAsia"/>
                <w:color w:val="000000" w:themeColor="text1"/>
                <w:kern w:val="2"/>
                <w:sz w:val="32"/>
                <w:szCs w:val="32"/>
                <w14:textFill>
                  <w14:solidFill>
                    <w14:schemeClr w14:val="tx1"/>
                  </w14:solidFill>
                </w14:textFill>
              </w:rPr>
              <w:t>55周岁</w:t>
            </w:r>
            <w:r>
              <w:rPr>
                <w:rFonts w:hint="eastAsia" w:ascii="仿宋_GB2312" w:eastAsia="仿宋_GB2312" w:hAnsiTheme="minorEastAsia"/>
                <w:color w:val="000000" w:themeColor="text1"/>
                <w:kern w:val="2"/>
                <w:sz w:val="32"/>
                <w:szCs w:val="32"/>
                <w14:textFill>
                  <w14:solidFill>
                    <w14:schemeClr w14:val="tx1"/>
                  </w14:solidFill>
                </w14:textFill>
              </w:rPr>
              <w:t>；</w:t>
            </w:r>
          </w:p>
          <w:p>
            <w:pPr>
              <w:autoSpaceDE/>
              <w:autoSpaceDN/>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hint="eastAsia" w:ascii="仿宋_GB2312" w:eastAsia="仿宋_GB2312" w:hAnsiTheme="minorEastAsia"/>
                <w:color w:val="000000" w:themeColor="text1"/>
                <w:kern w:val="2"/>
                <w:sz w:val="32"/>
                <w:szCs w:val="32"/>
                <w14:textFill>
                  <w14:solidFill>
                    <w14:schemeClr w14:val="tx1"/>
                  </w14:solidFill>
                </w14:textFill>
              </w:rPr>
              <w:t>4、</w:t>
            </w:r>
            <w:r>
              <w:rPr>
                <w:rFonts w:ascii="仿宋_GB2312" w:eastAsia="仿宋_GB2312" w:hAnsiTheme="minorEastAsia"/>
                <w:color w:val="000000" w:themeColor="text1"/>
                <w:kern w:val="2"/>
                <w:sz w:val="32"/>
                <w:szCs w:val="32"/>
                <w14:textFill>
                  <w14:solidFill>
                    <w14:schemeClr w14:val="tx1"/>
                  </w14:solidFill>
                </w14:textFill>
              </w:rPr>
              <w:t>具备10年及以上</w:t>
            </w:r>
            <w:r>
              <w:rPr>
                <w:rFonts w:ascii="仿宋_GB2312" w:eastAsia="仿宋_GB2312"/>
                <w:kern w:val="2"/>
                <w:sz w:val="32"/>
                <w:szCs w:val="32"/>
              </w:rPr>
              <w:t>草花绿化养护</w:t>
            </w:r>
            <w:r>
              <w:rPr>
                <w:rFonts w:ascii="仿宋_GB2312" w:eastAsia="仿宋_GB2312" w:hAnsiTheme="minorEastAsia"/>
                <w:color w:val="000000" w:themeColor="text1"/>
                <w:kern w:val="2"/>
                <w:sz w:val="32"/>
                <w:szCs w:val="32"/>
                <w14:textFill>
                  <w14:solidFill>
                    <w14:schemeClr w14:val="tx1"/>
                  </w14:solidFill>
                </w14:textFill>
              </w:rPr>
              <w:t>服务经验。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3"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hint="eastAsia" w:ascii="仿宋_GB2312" w:eastAsia="仿宋_GB2312" w:hAnsiTheme="minorEastAsia"/>
                <w:color w:val="000000" w:themeColor="text1"/>
                <w:kern w:val="2"/>
                <w:sz w:val="32"/>
                <w:szCs w:val="32"/>
                <w14:textFill>
                  <w14:solidFill>
                    <w14:schemeClr w14:val="tx1"/>
                  </w14:solidFill>
                </w14:textFill>
              </w:rPr>
              <w:t>安全员</w:t>
            </w:r>
          </w:p>
        </w:tc>
        <w:tc>
          <w:tcPr>
            <w:tcW w:w="1701"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hint="eastAsia" w:ascii="仿宋_GB2312" w:eastAsia="仿宋_GB2312" w:hAnsiTheme="minorEastAsia"/>
                <w:color w:val="000000" w:themeColor="text1"/>
                <w:kern w:val="2"/>
                <w:sz w:val="32"/>
                <w:szCs w:val="32"/>
                <w14:textFill>
                  <w14:solidFill>
                    <w14:schemeClr w14:val="tx1"/>
                  </w14:solidFill>
                </w14:textFill>
              </w:rPr>
              <w:t>1</w:t>
            </w:r>
          </w:p>
        </w:tc>
        <w:tc>
          <w:tcPr>
            <w:tcW w:w="5216"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ascii="仿宋_GB2312" w:eastAsia="仿宋_GB2312" w:hAnsiTheme="minorEastAsia"/>
                <w:color w:val="000000" w:themeColor="text1"/>
                <w:kern w:val="2"/>
                <w:sz w:val="32"/>
                <w:szCs w:val="32"/>
                <w14:textFill>
                  <w14:solidFill>
                    <w14:schemeClr w14:val="tx1"/>
                  </w14:solidFill>
                </w14:textFill>
              </w:rPr>
              <w:t>具有</w:t>
            </w:r>
            <w:r>
              <w:rPr>
                <w:rFonts w:hint="eastAsia" w:ascii="仿宋_GB2312" w:eastAsia="仿宋_GB2312" w:hAnsiTheme="minorEastAsia"/>
                <w:color w:val="000000" w:themeColor="text1"/>
                <w:kern w:val="2"/>
                <w:sz w:val="32"/>
                <w:szCs w:val="32"/>
                <w14:textFill>
                  <w14:solidFill>
                    <w14:schemeClr w14:val="tx1"/>
                  </w14:solidFill>
                </w14:textFill>
              </w:rPr>
              <w:t>园林</w:t>
            </w:r>
            <w:r>
              <w:rPr>
                <w:rFonts w:ascii="仿宋_GB2312" w:eastAsia="仿宋_GB2312" w:hAnsiTheme="minorEastAsia"/>
                <w:color w:val="000000" w:themeColor="text1"/>
                <w:kern w:val="2"/>
                <w:sz w:val="32"/>
                <w:szCs w:val="32"/>
                <w14:textFill>
                  <w14:solidFill>
                    <w14:schemeClr w14:val="tx1"/>
                  </w14:solidFill>
                </w14:textFill>
              </w:rPr>
              <w:t>绿化工程从业人员</w:t>
            </w:r>
            <w:r>
              <w:rPr>
                <w:rFonts w:hint="eastAsia" w:ascii="仿宋_GB2312" w:eastAsia="仿宋_GB2312" w:hAnsiTheme="minorEastAsia"/>
                <w:color w:val="000000" w:themeColor="text1"/>
                <w:kern w:val="2"/>
                <w:sz w:val="32"/>
                <w:szCs w:val="32"/>
                <w14:textFill>
                  <w14:solidFill>
                    <w14:schemeClr w14:val="tx1"/>
                  </w14:solidFill>
                </w14:textFill>
              </w:rPr>
              <w:t>——安全员</w:t>
            </w:r>
            <w:r>
              <w:rPr>
                <w:rFonts w:ascii="仿宋_GB2312" w:eastAsia="仿宋_GB2312" w:hAnsiTheme="minorEastAsia"/>
                <w:color w:val="000000" w:themeColor="text1"/>
                <w:kern w:val="2"/>
                <w:sz w:val="32"/>
                <w:szCs w:val="32"/>
                <w14:textFill>
                  <w14:solidFill>
                    <w14:schemeClr w14:val="tx1"/>
                  </w14:solidFill>
                </w14:textFill>
              </w:rPr>
              <w:t>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3"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hint="eastAsia" w:ascii="仿宋_GB2312" w:eastAsia="仿宋_GB2312" w:hAnsiTheme="minorEastAsia"/>
                <w:color w:val="000000" w:themeColor="text1"/>
                <w:kern w:val="2"/>
                <w:sz w:val="32"/>
                <w:szCs w:val="32"/>
                <w14:textFill>
                  <w14:solidFill>
                    <w14:schemeClr w14:val="tx1"/>
                  </w14:solidFill>
                </w14:textFill>
              </w:rPr>
              <w:t>质量员</w:t>
            </w:r>
          </w:p>
        </w:tc>
        <w:tc>
          <w:tcPr>
            <w:tcW w:w="1701"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hint="eastAsia" w:ascii="仿宋_GB2312" w:eastAsia="仿宋_GB2312" w:hAnsiTheme="minorEastAsia"/>
                <w:color w:val="000000" w:themeColor="text1"/>
                <w:kern w:val="2"/>
                <w:sz w:val="32"/>
                <w:szCs w:val="32"/>
                <w14:textFill>
                  <w14:solidFill>
                    <w14:schemeClr w14:val="tx1"/>
                  </w14:solidFill>
                </w14:textFill>
              </w:rPr>
              <w:t>1</w:t>
            </w:r>
          </w:p>
        </w:tc>
        <w:tc>
          <w:tcPr>
            <w:tcW w:w="5216"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ascii="仿宋_GB2312" w:eastAsia="仿宋_GB2312" w:hAnsiTheme="minorEastAsia"/>
                <w:color w:val="000000" w:themeColor="text1"/>
                <w:kern w:val="2"/>
                <w:sz w:val="32"/>
                <w:szCs w:val="32"/>
                <w14:textFill>
                  <w14:solidFill>
                    <w14:schemeClr w14:val="tx1"/>
                  </w14:solidFill>
                </w14:textFill>
              </w:rPr>
              <w:t>具有</w:t>
            </w:r>
            <w:r>
              <w:rPr>
                <w:rFonts w:hint="eastAsia" w:ascii="仿宋_GB2312" w:eastAsia="仿宋_GB2312" w:hAnsiTheme="minorEastAsia"/>
                <w:color w:val="000000" w:themeColor="text1"/>
                <w:kern w:val="2"/>
                <w:sz w:val="32"/>
                <w:szCs w:val="32"/>
                <w14:textFill>
                  <w14:solidFill>
                    <w14:schemeClr w14:val="tx1"/>
                  </w14:solidFill>
                </w14:textFill>
              </w:rPr>
              <w:t>园林</w:t>
            </w:r>
            <w:r>
              <w:rPr>
                <w:rFonts w:ascii="仿宋_GB2312" w:eastAsia="仿宋_GB2312" w:hAnsiTheme="minorEastAsia"/>
                <w:color w:val="000000" w:themeColor="text1"/>
                <w:kern w:val="2"/>
                <w:sz w:val="32"/>
                <w:szCs w:val="32"/>
                <w14:textFill>
                  <w14:solidFill>
                    <w14:schemeClr w14:val="tx1"/>
                  </w14:solidFill>
                </w14:textFill>
              </w:rPr>
              <w:t>绿化工程从业人员</w:t>
            </w:r>
            <w:r>
              <w:rPr>
                <w:rFonts w:hint="eastAsia" w:ascii="仿宋_GB2312" w:eastAsia="仿宋_GB2312" w:hAnsiTheme="minorEastAsia"/>
                <w:color w:val="000000" w:themeColor="text1"/>
                <w:kern w:val="2"/>
                <w:sz w:val="32"/>
                <w:szCs w:val="32"/>
                <w14:textFill>
                  <w14:solidFill>
                    <w14:schemeClr w14:val="tx1"/>
                  </w14:solidFill>
                </w14:textFill>
              </w:rPr>
              <w:t>——质量员</w:t>
            </w:r>
            <w:r>
              <w:rPr>
                <w:rFonts w:ascii="仿宋_GB2312" w:eastAsia="仿宋_GB2312" w:hAnsiTheme="minorEastAsia"/>
                <w:color w:val="000000" w:themeColor="text1"/>
                <w:kern w:val="2"/>
                <w:sz w:val="32"/>
                <w:szCs w:val="32"/>
                <w14:textFill>
                  <w14:solidFill>
                    <w14:schemeClr w14:val="tx1"/>
                  </w14:solidFill>
                </w14:textFill>
              </w:rPr>
              <w:t>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3"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hint="eastAsia" w:ascii="仿宋_GB2312" w:eastAsia="仿宋_GB2312" w:hAnsiTheme="minorEastAsia"/>
                <w:color w:val="000000" w:themeColor="text1"/>
                <w:kern w:val="2"/>
                <w:sz w:val="32"/>
                <w:szCs w:val="32"/>
                <w14:textFill>
                  <w14:solidFill>
                    <w14:schemeClr w14:val="tx1"/>
                  </w14:solidFill>
                </w14:textFill>
              </w:rPr>
              <w:t>材料员</w:t>
            </w:r>
          </w:p>
        </w:tc>
        <w:tc>
          <w:tcPr>
            <w:tcW w:w="1701"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hint="eastAsia" w:ascii="仿宋_GB2312" w:eastAsia="仿宋_GB2312" w:hAnsiTheme="minorEastAsia"/>
                <w:color w:val="000000" w:themeColor="text1"/>
                <w:kern w:val="2"/>
                <w:sz w:val="32"/>
                <w:szCs w:val="32"/>
                <w14:textFill>
                  <w14:solidFill>
                    <w14:schemeClr w14:val="tx1"/>
                  </w14:solidFill>
                </w14:textFill>
              </w:rPr>
              <w:t>1</w:t>
            </w:r>
          </w:p>
        </w:tc>
        <w:tc>
          <w:tcPr>
            <w:tcW w:w="5216"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ascii="仿宋_GB2312" w:eastAsia="仿宋_GB2312" w:hAnsiTheme="minorEastAsia"/>
                <w:color w:val="000000" w:themeColor="text1"/>
                <w:kern w:val="2"/>
                <w:sz w:val="32"/>
                <w:szCs w:val="32"/>
                <w14:textFill>
                  <w14:solidFill>
                    <w14:schemeClr w14:val="tx1"/>
                  </w14:solidFill>
                </w14:textFill>
              </w:rPr>
              <w:t>具有</w:t>
            </w:r>
            <w:r>
              <w:rPr>
                <w:rFonts w:hint="eastAsia" w:ascii="仿宋_GB2312" w:eastAsia="仿宋_GB2312" w:hAnsiTheme="minorEastAsia"/>
                <w:color w:val="000000" w:themeColor="text1"/>
                <w:kern w:val="2"/>
                <w:sz w:val="32"/>
                <w:szCs w:val="32"/>
                <w14:textFill>
                  <w14:solidFill>
                    <w14:schemeClr w14:val="tx1"/>
                  </w14:solidFill>
                </w14:textFill>
              </w:rPr>
              <w:t>园林</w:t>
            </w:r>
            <w:r>
              <w:rPr>
                <w:rFonts w:ascii="仿宋_GB2312" w:eastAsia="仿宋_GB2312" w:hAnsiTheme="minorEastAsia"/>
                <w:color w:val="000000" w:themeColor="text1"/>
                <w:kern w:val="2"/>
                <w:sz w:val="32"/>
                <w:szCs w:val="32"/>
                <w14:textFill>
                  <w14:solidFill>
                    <w14:schemeClr w14:val="tx1"/>
                  </w14:solidFill>
                </w14:textFill>
              </w:rPr>
              <w:t>绿化工程从业人员——</w:t>
            </w:r>
            <w:r>
              <w:rPr>
                <w:rFonts w:hint="eastAsia" w:ascii="仿宋_GB2312" w:eastAsia="仿宋_GB2312" w:hAnsiTheme="minorEastAsia"/>
                <w:color w:val="000000" w:themeColor="text1"/>
                <w:kern w:val="2"/>
                <w:sz w:val="32"/>
                <w:szCs w:val="32"/>
                <w14:textFill>
                  <w14:solidFill>
                    <w14:schemeClr w14:val="tx1"/>
                  </w14:solidFill>
                </w14:textFill>
              </w:rPr>
              <w:t>材料员</w:t>
            </w:r>
            <w:r>
              <w:rPr>
                <w:rFonts w:ascii="仿宋_GB2312" w:eastAsia="仿宋_GB2312" w:hAnsiTheme="minorEastAsia"/>
                <w:color w:val="000000" w:themeColor="text1"/>
                <w:kern w:val="2"/>
                <w:sz w:val="32"/>
                <w:szCs w:val="32"/>
                <w14:textFill>
                  <w14:solidFill>
                    <w14:schemeClr w14:val="tx1"/>
                  </w14:solidFill>
                </w14:textFill>
              </w:rPr>
              <w:t>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3"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hint="eastAsia" w:ascii="仿宋_GB2312" w:eastAsia="仿宋_GB2312"/>
                <w:kern w:val="2"/>
                <w:sz w:val="32"/>
                <w:szCs w:val="32"/>
              </w:rPr>
              <w:t>常规养护</w:t>
            </w:r>
          </w:p>
        </w:tc>
        <w:tc>
          <w:tcPr>
            <w:tcW w:w="1701"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ascii="仿宋_GB2312" w:eastAsia="仿宋_GB2312" w:hAnsiTheme="minorEastAsia"/>
                <w:color w:val="000000" w:themeColor="text1"/>
                <w:kern w:val="2"/>
                <w:sz w:val="32"/>
                <w:szCs w:val="32"/>
                <w14:textFill>
                  <w14:solidFill>
                    <w14:schemeClr w14:val="tx1"/>
                  </w14:solidFill>
                </w14:textFill>
              </w:rPr>
              <w:t>5</w:t>
            </w:r>
          </w:p>
        </w:tc>
        <w:tc>
          <w:tcPr>
            <w:tcW w:w="5216" w:type="dxa"/>
          </w:tcPr>
          <w:p>
            <w:pPr>
              <w:pStyle w:val="28"/>
              <w:numPr>
                <w:ilvl w:val="0"/>
                <w:numId w:val="1"/>
              </w:numPr>
              <w:spacing w:line="560" w:lineRule="exact"/>
              <w:ind w:right="484" w:rightChars="220" w:firstLineChars="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hint="eastAsia" w:ascii="仿宋_GB2312" w:eastAsia="仿宋_GB2312"/>
                <w:kern w:val="2"/>
                <w:sz w:val="32"/>
                <w:szCs w:val="32"/>
              </w:rPr>
              <w:t>配备</w:t>
            </w:r>
            <w:r>
              <w:rPr>
                <w:rFonts w:ascii="仿宋_GB2312" w:eastAsia="仿宋_GB2312"/>
                <w:kern w:val="2"/>
                <w:sz w:val="32"/>
                <w:szCs w:val="32"/>
              </w:rPr>
              <w:t>绿化高级工</w:t>
            </w:r>
            <w:r>
              <w:rPr>
                <w:rFonts w:hint="eastAsia" w:ascii="仿宋_GB2312" w:eastAsia="仿宋_GB2312"/>
                <w:kern w:val="2"/>
                <w:sz w:val="32"/>
                <w:szCs w:val="32"/>
              </w:rPr>
              <w:t>至少1名</w:t>
            </w:r>
            <w:r>
              <w:rPr>
                <w:rFonts w:ascii="仿宋_GB2312" w:eastAsia="仿宋_GB2312"/>
                <w:kern w:val="2"/>
                <w:sz w:val="32"/>
                <w:szCs w:val="32"/>
              </w:rPr>
              <w:t>，绿化中级工</w:t>
            </w:r>
            <w:r>
              <w:rPr>
                <w:rFonts w:hint="eastAsia" w:ascii="仿宋_GB2312" w:eastAsia="仿宋_GB2312"/>
                <w:kern w:val="2"/>
                <w:sz w:val="32"/>
                <w:szCs w:val="32"/>
              </w:rPr>
              <w:t>至少2名；</w:t>
            </w:r>
          </w:p>
          <w:p>
            <w:pPr>
              <w:pStyle w:val="28"/>
              <w:numPr>
                <w:ilvl w:val="0"/>
                <w:numId w:val="1"/>
              </w:numPr>
              <w:spacing w:line="560" w:lineRule="exact"/>
              <w:ind w:right="484" w:rightChars="220" w:firstLineChars="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ascii="仿宋_GB2312" w:eastAsia="仿宋_GB2312" w:hAnsiTheme="minorEastAsia"/>
                <w:color w:val="000000" w:themeColor="text1"/>
                <w:kern w:val="2"/>
                <w:sz w:val="32"/>
                <w:szCs w:val="32"/>
                <w14:textFill>
                  <w14:solidFill>
                    <w14:schemeClr w14:val="tx1"/>
                  </w14:solidFill>
                </w14:textFill>
              </w:rPr>
              <w:t>年龄均在60周岁以下且年龄在</w:t>
            </w:r>
            <w:r>
              <w:rPr>
                <w:rFonts w:hint="eastAsia" w:ascii="仿宋_GB2312" w:eastAsia="仿宋_GB2312" w:hAnsiTheme="minorEastAsia"/>
                <w:color w:val="000000" w:themeColor="text1"/>
                <w:kern w:val="2"/>
                <w:sz w:val="32"/>
                <w:szCs w:val="32"/>
                <w14:textFill>
                  <w14:solidFill>
                    <w14:schemeClr w14:val="tx1"/>
                  </w14:solidFill>
                </w14:textFill>
              </w:rPr>
              <w:t>5</w:t>
            </w:r>
            <w:r>
              <w:rPr>
                <w:rFonts w:ascii="仿宋_GB2312" w:eastAsia="仿宋_GB2312" w:hAnsiTheme="minorEastAsia"/>
                <w:color w:val="000000" w:themeColor="text1"/>
                <w:kern w:val="2"/>
                <w:sz w:val="32"/>
                <w:szCs w:val="32"/>
                <w14:textFill>
                  <w14:solidFill>
                    <w14:schemeClr w14:val="tx1"/>
                  </w14:solidFill>
                </w14:textFill>
              </w:rPr>
              <w:t>0周岁以下的</w:t>
            </w:r>
            <w:r>
              <w:rPr>
                <w:rFonts w:hint="eastAsia" w:ascii="仿宋_GB2312" w:eastAsia="仿宋_GB2312" w:hAnsiTheme="minorEastAsia"/>
                <w:color w:val="000000" w:themeColor="text1"/>
                <w:kern w:val="2"/>
                <w:sz w:val="32"/>
                <w:szCs w:val="32"/>
                <w14:textFill>
                  <w14:solidFill>
                    <w14:schemeClr w14:val="tx1"/>
                  </w14:solidFill>
                </w14:textFill>
              </w:rPr>
              <w:t>至少</w:t>
            </w:r>
            <w:r>
              <w:rPr>
                <w:rFonts w:ascii="仿宋_GB2312" w:eastAsia="仿宋_GB2312" w:hAnsiTheme="minorEastAsia"/>
                <w:color w:val="000000" w:themeColor="text1"/>
                <w:kern w:val="2"/>
                <w:sz w:val="32"/>
                <w:szCs w:val="32"/>
                <w14:textFill>
                  <w14:solidFill>
                    <w14:schemeClr w14:val="tx1"/>
                  </w14:solidFill>
                </w14:textFill>
              </w:rPr>
              <w:t>5人。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3" w:type="dxa"/>
          </w:tcPr>
          <w:p>
            <w:pPr>
              <w:spacing w:line="560" w:lineRule="exact"/>
              <w:ind w:right="484" w:rightChars="220"/>
              <w:contextualSpacing/>
              <w:jc w:val="both"/>
              <w:outlineLvl w:val="0"/>
              <w:rPr>
                <w:rFonts w:ascii="仿宋_GB2312" w:eastAsia="仿宋_GB2312"/>
                <w:kern w:val="2"/>
                <w:sz w:val="32"/>
                <w:szCs w:val="32"/>
              </w:rPr>
            </w:pPr>
            <w:r>
              <w:rPr>
                <w:rFonts w:hint="eastAsia" w:ascii="仿宋_GB2312" w:eastAsia="仿宋_GB2312"/>
                <w:color w:val="000000" w:themeColor="text1"/>
                <w:kern w:val="2"/>
                <w:sz w:val="32"/>
                <w:szCs w:val="32"/>
                <w14:textFill>
                  <w14:solidFill>
                    <w14:schemeClr w14:val="tx1"/>
                  </w14:solidFill>
                </w14:textFill>
              </w:rPr>
              <w:t>种植用工</w:t>
            </w:r>
          </w:p>
        </w:tc>
        <w:tc>
          <w:tcPr>
            <w:tcW w:w="1701"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hint="eastAsia" w:ascii="仿宋_GB2312" w:eastAsia="仿宋_GB2312" w:hAnsiTheme="minorEastAsia"/>
                <w:color w:val="000000" w:themeColor="text1"/>
                <w:kern w:val="2"/>
                <w:sz w:val="32"/>
                <w:szCs w:val="32"/>
                <w14:textFill>
                  <w14:solidFill>
                    <w14:schemeClr w14:val="tx1"/>
                  </w14:solidFill>
                </w14:textFill>
              </w:rPr>
              <w:t>2</w:t>
            </w:r>
            <w:r>
              <w:rPr>
                <w:rFonts w:ascii="仿宋_GB2312" w:eastAsia="仿宋_GB2312" w:hAnsiTheme="minorEastAsia"/>
                <w:color w:val="000000" w:themeColor="text1"/>
                <w:kern w:val="2"/>
                <w:sz w:val="32"/>
                <w:szCs w:val="32"/>
                <w14:textFill>
                  <w14:solidFill>
                    <w14:schemeClr w14:val="tx1"/>
                  </w14:solidFill>
                </w14:textFill>
              </w:rPr>
              <w:t>0</w:t>
            </w:r>
          </w:p>
        </w:tc>
        <w:tc>
          <w:tcPr>
            <w:tcW w:w="5216"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3" w:type="dxa"/>
          </w:tcPr>
          <w:p>
            <w:pPr>
              <w:spacing w:line="560" w:lineRule="exact"/>
              <w:ind w:right="484" w:rightChars="220"/>
              <w:contextualSpacing/>
              <w:jc w:val="both"/>
              <w:outlineLvl w:val="0"/>
              <w:rPr>
                <w:rFonts w:ascii="仿宋_GB2312" w:eastAsia="仿宋_GB2312"/>
                <w:color w:val="000000" w:themeColor="text1"/>
                <w:kern w:val="2"/>
                <w:sz w:val="32"/>
                <w:szCs w:val="32"/>
                <w14:textFill>
                  <w14:solidFill>
                    <w14:schemeClr w14:val="tx1"/>
                  </w14:solidFill>
                </w14:textFill>
              </w:rPr>
            </w:pPr>
            <w:r>
              <w:rPr>
                <w:rFonts w:hint="eastAsia" w:ascii="仿宋_GB2312" w:eastAsia="仿宋_GB2312"/>
                <w:color w:val="000000" w:themeColor="text1"/>
                <w:kern w:val="2"/>
                <w:sz w:val="32"/>
                <w:szCs w:val="32"/>
                <w14:textFill>
                  <w14:solidFill>
                    <w14:schemeClr w14:val="tx1"/>
                  </w14:solidFill>
                </w14:textFill>
              </w:rPr>
              <w:t>总计</w:t>
            </w:r>
          </w:p>
        </w:tc>
        <w:tc>
          <w:tcPr>
            <w:tcW w:w="1701"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r>
              <w:rPr>
                <w:rFonts w:hint="eastAsia" w:ascii="仿宋_GB2312" w:eastAsia="仿宋_GB2312" w:hAnsiTheme="minorEastAsia"/>
                <w:color w:val="000000" w:themeColor="text1"/>
                <w:kern w:val="2"/>
                <w:sz w:val="32"/>
                <w:szCs w:val="32"/>
                <w14:textFill>
                  <w14:solidFill>
                    <w14:schemeClr w14:val="tx1"/>
                  </w14:solidFill>
                </w14:textFill>
              </w:rPr>
              <w:t>2</w:t>
            </w:r>
            <w:r>
              <w:rPr>
                <w:rFonts w:ascii="仿宋_GB2312" w:eastAsia="仿宋_GB2312" w:hAnsiTheme="minorEastAsia"/>
                <w:color w:val="000000" w:themeColor="text1"/>
                <w:kern w:val="2"/>
                <w:sz w:val="32"/>
                <w:szCs w:val="32"/>
                <w14:textFill>
                  <w14:solidFill>
                    <w14:schemeClr w14:val="tx1"/>
                  </w14:solidFill>
                </w14:textFill>
              </w:rPr>
              <w:t>9</w:t>
            </w:r>
            <w:r>
              <w:rPr>
                <w:rFonts w:hint="eastAsia" w:ascii="仿宋_GB2312" w:eastAsia="仿宋_GB2312" w:hAnsiTheme="minorEastAsia"/>
                <w:color w:val="000000" w:themeColor="text1"/>
                <w:kern w:val="2"/>
                <w:sz w:val="32"/>
                <w:szCs w:val="32"/>
                <w14:textFill>
                  <w14:solidFill>
                    <w14:schemeClr w14:val="tx1"/>
                  </w14:solidFill>
                </w14:textFill>
              </w:rPr>
              <w:t>人</w:t>
            </w:r>
          </w:p>
        </w:tc>
        <w:tc>
          <w:tcPr>
            <w:tcW w:w="5216" w:type="dxa"/>
          </w:tcPr>
          <w:p>
            <w:pPr>
              <w:spacing w:line="560" w:lineRule="exact"/>
              <w:ind w:right="484" w:rightChars="220"/>
              <w:contextualSpacing/>
              <w:jc w:val="both"/>
              <w:outlineLvl w:val="0"/>
              <w:rPr>
                <w:rFonts w:ascii="仿宋_GB2312" w:eastAsia="仿宋_GB2312" w:hAnsiTheme="minorEastAsia"/>
                <w:color w:val="000000" w:themeColor="text1"/>
                <w:kern w:val="2"/>
                <w:sz w:val="32"/>
                <w:szCs w:val="32"/>
                <w14:textFill>
                  <w14:solidFill>
                    <w14:schemeClr w14:val="tx1"/>
                  </w14:solidFill>
                </w14:textFill>
              </w:rPr>
            </w:pPr>
          </w:p>
        </w:tc>
      </w:tr>
    </w:tbl>
    <w:p>
      <w:pPr>
        <w:spacing w:line="560" w:lineRule="atLeast"/>
        <w:ind w:firstLine="640" w:firstLineChars="200"/>
        <w:jc w:val="both"/>
        <w:rPr>
          <w:rFonts w:ascii="仿宋_GB2312" w:eastAsia="仿宋_GB2312"/>
          <w:sz w:val="32"/>
          <w:szCs w:val="32"/>
        </w:rPr>
      </w:pPr>
      <w:r>
        <w:rPr>
          <w:rFonts w:ascii="仿宋_GB2312" w:eastAsia="仿宋_GB2312"/>
          <w:sz w:val="32"/>
          <w:szCs w:val="32"/>
        </w:rPr>
        <w:t>1</w:t>
      </w:r>
      <w:r>
        <w:rPr>
          <w:rFonts w:hint="eastAsia" w:ascii="仿宋_GB2312" w:eastAsia="仿宋_GB2312"/>
          <w:sz w:val="32"/>
          <w:szCs w:val="32"/>
        </w:rPr>
        <w:t xml:space="preserve">.3 </w:t>
      </w:r>
      <w:bookmarkStart w:id="0" w:name="OLE_LINK1"/>
      <w:bookmarkStart w:id="1" w:name="OLE_LINK2"/>
      <w:r>
        <w:rPr>
          <w:rFonts w:hint="eastAsia" w:ascii="仿宋_GB2312" w:eastAsia="仿宋_GB2312"/>
          <w:sz w:val="32"/>
          <w:szCs w:val="32"/>
        </w:rPr>
        <w:t>项目人员执行实名制到岗考勤</w:t>
      </w:r>
      <w:bookmarkEnd w:id="0"/>
      <w:bookmarkEnd w:id="1"/>
      <w:r>
        <w:rPr>
          <w:rFonts w:hint="eastAsia" w:ascii="仿宋_GB2312" w:eastAsia="仿宋_GB2312"/>
          <w:sz w:val="32"/>
          <w:szCs w:val="32"/>
        </w:rPr>
        <w:t>制度，穿戴统一标志性工作服进行操作，应满足安全、文明等工作要求。</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1</w:t>
      </w:r>
      <w:r>
        <w:rPr>
          <w:rFonts w:ascii="仿宋_GB2312" w:eastAsia="仿宋_GB2312"/>
          <w:sz w:val="32"/>
          <w:szCs w:val="32"/>
        </w:rPr>
        <w:t>.4 应标单位需</w:t>
      </w:r>
      <w:r>
        <w:rPr>
          <w:rFonts w:hint="eastAsia" w:ascii="仿宋_GB2312" w:eastAsia="仿宋_GB2312"/>
          <w:sz w:val="32"/>
          <w:szCs w:val="32"/>
        </w:rPr>
        <w:t>通过质量管理体系认证（</w:t>
      </w:r>
      <w:r>
        <w:rPr>
          <w:rFonts w:ascii="仿宋_GB2312" w:eastAsia="仿宋_GB2312"/>
          <w:sz w:val="32"/>
          <w:szCs w:val="32"/>
        </w:rPr>
        <w:t>GB/T 19001认证）、职业健康安全管理体系认证（GB/T 45001认证）</w:t>
      </w:r>
      <w:r>
        <w:rPr>
          <w:rFonts w:hint="eastAsia" w:ascii="仿宋_GB2312" w:eastAsia="仿宋_GB2312"/>
          <w:sz w:val="32"/>
          <w:szCs w:val="32"/>
        </w:rPr>
        <w:t>和</w:t>
      </w:r>
      <w:r>
        <w:rPr>
          <w:rFonts w:ascii="仿宋_GB2312" w:eastAsia="仿宋_GB2312"/>
          <w:sz w:val="32"/>
          <w:szCs w:val="32"/>
        </w:rPr>
        <w:t>环境管理体系认证（GB/T 24001认证），并且</w:t>
      </w:r>
      <w:r>
        <w:rPr>
          <w:rFonts w:hint="eastAsia" w:ascii="仿宋_GB2312" w:eastAsia="仿宋_GB2312"/>
          <w:sz w:val="32"/>
          <w:szCs w:val="32"/>
        </w:rPr>
        <w:t>需</w:t>
      </w:r>
      <w:r>
        <w:rPr>
          <w:rFonts w:ascii="仿宋_GB2312" w:eastAsia="仿宋_GB2312"/>
          <w:sz w:val="32"/>
          <w:szCs w:val="32"/>
        </w:rPr>
        <w:t>具有自有苗圃，</w:t>
      </w:r>
      <w:r>
        <w:rPr>
          <w:rFonts w:hint="eastAsia" w:ascii="仿宋_GB2312" w:eastAsia="仿宋_GB2312"/>
          <w:sz w:val="32"/>
          <w:szCs w:val="32"/>
        </w:rPr>
        <w:t>若为租赁苗圃，则需出示合同期内的租赁合同。</w:t>
      </w:r>
    </w:p>
    <w:p>
      <w:pPr>
        <w:spacing w:line="560" w:lineRule="atLeast"/>
        <w:ind w:firstLine="640" w:firstLineChars="200"/>
        <w:jc w:val="both"/>
        <w:rPr>
          <w:rFonts w:ascii="仿宋_GB2312" w:hAnsi="Arial Unicode MS" w:eastAsia="仿宋_GB2312" w:cs="Arial Unicode MS"/>
          <w:sz w:val="32"/>
          <w:szCs w:val="32"/>
        </w:rPr>
      </w:pPr>
      <w:r>
        <w:rPr>
          <w:rFonts w:hint="eastAsia" w:ascii="仿宋_GB2312" w:eastAsia="仿宋_GB2312"/>
          <w:sz w:val="32"/>
          <w:szCs w:val="32"/>
        </w:rPr>
        <w:t>1.</w:t>
      </w:r>
      <w:r>
        <w:rPr>
          <w:rFonts w:ascii="仿宋_GB2312" w:eastAsia="仿宋_GB2312"/>
          <w:sz w:val="32"/>
          <w:szCs w:val="32"/>
        </w:rPr>
        <w:t>5</w:t>
      </w:r>
      <w:r>
        <w:rPr>
          <w:rFonts w:hint="eastAsia" w:ascii="仿宋_GB2312" w:eastAsia="仿宋_GB2312"/>
          <w:sz w:val="32"/>
          <w:szCs w:val="32"/>
        </w:rPr>
        <w:t xml:space="preserve"> 草花需提供订单育苗计划，单株盆</w:t>
      </w:r>
      <w:r>
        <w:rPr>
          <w:rFonts w:hint="eastAsia" w:ascii="仿宋_GB2312" w:hAnsi="黑体" w:eastAsia="仿宋_GB2312"/>
          <w:sz w:val="32"/>
          <w:szCs w:val="32"/>
        </w:rPr>
        <w:t>径不</w:t>
      </w:r>
      <w:r>
        <w:rPr>
          <w:rFonts w:hint="eastAsia" w:ascii="仿宋_GB2312" w:hAnsi="Arial Unicode MS" w:eastAsia="仿宋_GB2312" w:cs="Arial Unicode MS"/>
          <w:sz w:val="32"/>
          <w:szCs w:val="32"/>
        </w:rPr>
        <w:t>得小于120，提供植株须满足花色要求，同时甲方进行育苗期间的抽查。</w:t>
      </w:r>
    </w:p>
    <w:p>
      <w:pPr>
        <w:spacing w:line="560" w:lineRule="atLeast"/>
        <w:ind w:firstLine="640" w:firstLineChars="200"/>
        <w:jc w:val="both"/>
        <w:rPr>
          <w:rFonts w:ascii="仿宋_GB2312" w:eastAsia="仿宋_GB2312"/>
          <w:sz w:val="32"/>
          <w:szCs w:val="32"/>
        </w:rPr>
      </w:pPr>
      <w:r>
        <w:rPr>
          <w:rFonts w:hint="eastAsia" w:ascii="仿宋_GB2312" w:hAnsi="Arial Unicode MS" w:eastAsia="仿宋_GB2312" w:cs="Arial Unicode MS"/>
          <w:sz w:val="32"/>
          <w:szCs w:val="32"/>
        </w:rPr>
        <w:t>1.</w:t>
      </w:r>
      <w:r>
        <w:rPr>
          <w:rFonts w:ascii="仿宋_GB2312" w:hAnsi="Arial Unicode MS" w:eastAsia="仿宋_GB2312" w:cs="Arial Unicode MS"/>
          <w:sz w:val="32"/>
          <w:szCs w:val="32"/>
        </w:rPr>
        <w:t>6</w:t>
      </w:r>
      <w:r>
        <w:rPr>
          <w:rFonts w:hint="eastAsia" w:ascii="仿宋_GB2312" w:hAnsi="Arial Unicode MS" w:eastAsia="仿宋_GB2312" w:cs="Arial Unicode MS"/>
          <w:sz w:val="32"/>
          <w:szCs w:val="32"/>
        </w:rPr>
        <w:t xml:space="preserve"> 草花和土壤必须提前将样品送到具备CMA认证的第三方</w:t>
      </w:r>
      <w:r>
        <w:rPr>
          <w:rFonts w:hint="eastAsia" w:ascii="仿宋_GB2312" w:hAnsi="黑体" w:eastAsia="仿宋_GB2312"/>
          <w:sz w:val="32"/>
          <w:szCs w:val="32"/>
        </w:rPr>
        <w:t>检测机构进行检测，取得符合要求的检测结果报告。所有草花</w:t>
      </w:r>
      <w:r>
        <w:rPr>
          <w:rFonts w:hint="eastAsia" w:ascii="仿宋_GB2312" w:eastAsia="仿宋_GB2312"/>
          <w:sz w:val="32"/>
          <w:szCs w:val="32"/>
        </w:rPr>
        <w:t>按照一级苗标准进行进场验收，保证植株无病虫害，有检疫合格证，草花应为初花期，满足相应规格要求，并填报相关进场记录。</w:t>
      </w:r>
    </w:p>
    <w:p>
      <w:pPr>
        <w:spacing w:line="560" w:lineRule="atLeast"/>
        <w:ind w:firstLine="640" w:firstLineChars="200"/>
        <w:jc w:val="both"/>
        <w:rPr>
          <w:rFonts w:ascii="仿宋_GB2312" w:eastAsia="仿宋_GB2312"/>
          <w:sz w:val="32"/>
          <w:szCs w:val="32"/>
        </w:rPr>
      </w:pPr>
      <w:r>
        <w:rPr>
          <w:rFonts w:ascii="仿宋_GB2312" w:eastAsia="仿宋_GB2312"/>
          <w:sz w:val="32"/>
          <w:szCs w:val="32"/>
        </w:rPr>
        <w:t>1.7 草花</w:t>
      </w:r>
      <w:r>
        <w:rPr>
          <w:rFonts w:hint="eastAsia" w:ascii="仿宋_GB2312" w:eastAsia="仿宋_GB2312"/>
          <w:sz w:val="32"/>
          <w:szCs w:val="32"/>
        </w:rPr>
        <w:t>进场后不同种类草花均需完成1平方米试样，确认种植方式和种植密度后进行整体换植。草花养护中，表现不良的草花应及时更换同花期品种，保证园区草花盛开的即时效果。</w:t>
      </w:r>
    </w:p>
    <w:p>
      <w:pPr>
        <w:spacing w:line="560" w:lineRule="atLeast"/>
        <w:ind w:firstLine="640" w:firstLineChars="200"/>
        <w:jc w:val="both"/>
        <w:rPr>
          <w:rFonts w:ascii="仿宋_GB2312" w:eastAsia="仿宋_GB2312"/>
          <w:sz w:val="32"/>
          <w:szCs w:val="32"/>
        </w:rPr>
      </w:pPr>
      <w:r>
        <w:rPr>
          <w:rFonts w:ascii="仿宋_GB2312" w:eastAsia="仿宋_GB2312"/>
          <w:sz w:val="32"/>
          <w:szCs w:val="32"/>
        </w:rPr>
        <w:t>1.8 园区内没有</w:t>
      </w:r>
      <w:r>
        <w:rPr>
          <w:rFonts w:hint="eastAsia" w:ascii="仿宋_GB2312" w:eastAsia="仿宋_GB2312"/>
          <w:sz w:val="32"/>
          <w:szCs w:val="32"/>
        </w:rPr>
        <w:t>对草花临时存放地，须提出相应解决方案。</w:t>
      </w:r>
    </w:p>
    <w:p>
      <w:pPr>
        <w:spacing w:line="560" w:lineRule="atLeast"/>
        <w:ind w:firstLine="640" w:firstLineChars="200"/>
        <w:jc w:val="both"/>
        <w:rPr>
          <w:rFonts w:ascii="仿宋_GB2312" w:eastAsia="仿宋_GB2312"/>
          <w:sz w:val="32"/>
          <w:szCs w:val="32"/>
        </w:rPr>
      </w:pPr>
      <w:r>
        <w:rPr>
          <w:rFonts w:ascii="仿宋_GB2312" w:eastAsia="仿宋_GB2312"/>
          <w:sz w:val="32"/>
          <w:szCs w:val="32"/>
        </w:rPr>
        <w:t>1</w:t>
      </w:r>
      <w:r>
        <w:rPr>
          <w:rFonts w:hint="eastAsia" w:ascii="仿宋_GB2312" w:eastAsia="仿宋_GB2312"/>
          <w:sz w:val="32"/>
          <w:szCs w:val="32"/>
        </w:rPr>
        <w:t>.</w:t>
      </w:r>
      <w:r>
        <w:rPr>
          <w:rFonts w:ascii="仿宋_GB2312" w:eastAsia="仿宋_GB2312"/>
          <w:sz w:val="32"/>
          <w:szCs w:val="32"/>
        </w:rPr>
        <w:t xml:space="preserve">9 </w:t>
      </w:r>
      <w:r>
        <w:rPr>
          <w:rFonts w:hint="eastAsia" w:ascii="仿宋_GB2312" w:eastAsia="仿宋_GB2312"/>
          <w:sz w:val="32"/>
          <w:szCs w:val="32"/>
        </w:rPr>
        <w:t>草花的日常及施肥费用，肥料的质量以及数量由甲方控制、审核使用。植物病虫害防治工作费用，使用的药剂质量、数量由甲方控制、审核使用。发生农药、空瓶、肥料废弃盒等废弃物应严格按照《上海市生活垃圾分类投放指南（</w:t>
      </w:r>
      <w:r>
        <w:rPr>
          <w:rFonts w:ascii="仿宋_GB2312" w:eastAsia="仿宋_GB2312"/>
          <w:sz w:val="32"/>
          <w:szCs w:val="32"/>
        </w:rPr>
        <w:t>2024版）》的清运办法进行妥善处理。</w:t>
      </w:r>
    </w:p>
    <w:p>
      <w:pPr>
        <w:spacing w:line="560" w:lineRule="atLeast"/>
        <w:ind w:firstLine="640" w:firstLineChars="200"/>
        <w:jc w:val="both"/>
        <w:rPr>
          <w:rFonts w:ascii="仿宋_GB2312" w:eastAsia="仿宋_GB2312"/>
          <w:sz w:val="32"/>
          <w:szCs w:val="32"/>
        </w:rPr>
      </w:pPr>
      <w:r>
        <w:rPr>
          <w:rFonts w:ascii="仿宋_GB2312" w:eastAsia="仿宋_GB2312"/>
          <w:sz w:val="32"/>
          <w:szCs w:val="32"/>
        </w:rPr>
        <w:t>1</w:t>
      </w:r>
      <w:r>
        <w:rPr>
          <w:rFonts w:hint="eastAsia" w:ascii="仿宋_GB2312" w:eastAsia="仿宋_GB2312"/>
          <w:sz w:val="32"/>
          <w:szCs w:val="32"/>
        </w:rPr>
        <w:t>.</w:t>
      </w:r>
      <w:r>
        <w:rPr>
          <w:rFonts w:ascii="仿宋_GB2312" w:eastAsia="仿宋_GB2312"/>
          <w:sz w:val="32"/>
          <w:szCs w:val="32"/>
        </w:rPr>
        <w:t xml:space="preserve">10 </w:t>
      </w:r>
      <w:r>
        <w:rPr>
          <w:rFonts w:hint="eastAsia" w:ascii="仿宋_GB2312" w:eastAsia="仿宋_GB2312"/>
          <w:sz w:val="32"/>
          <w:szCs w:val="32"/>
        </w:rPr>
        <w:t>针对节假日、极端天气等有对应的值班计划和绿化风险应急预案。</w:t>
      </w:r>
    </w:p>
    <w:p>
      <w:pPr>
        <w:spacing w:line="560" w:lineRule="exact"/>
        <w:jc w:val="both"/>
        <w:rPr>
          <w:rFonts w:cs="仿宋_GB2312" w:asciiTheme="minorEastAsia" w:hAnsiTheme="minorEastAsia" w:eastAsiaTheme="minorEastAsia"/>
          <w:sz w:val="24"/>
          <w:szCs w:val="24"/>
          <w:lang w:val="en-US" w:bidi="en-US"/>
        </w:rPr>
      </w:pPr>
    </w:p>
    <w:p>
      <w:pPr>
        <w:widowControl/>
        <w:autoSpaceDE/>
        <w:autoSpaceDN/>
        <w:jc w:val="both"/>
        <w:rPr>
          <w:rFonts w:cs="仿宋_GB2312" w:asciiTheme="minorEastAsia" w:hAnsiTheme="minorEastAsia" w:eastAsiaTheme="minorEastAsia"/>
          <w:sz w:val="24"/>
          <w:szCs w:val="24"/>
          <w:lang w:val="en-US" w:bidi="en-US"/>
        </w:rPr>
      </w:pPr>
      <w:r>
        <w:rPr>
          <w:rFonts w:cs="仿宋_GB2312" w:asciiTheme="minorEastAsia" w:hAnsiTheme="minorEastAsia" w:eastAsiaTheme="minorEastAsia"/>
          <w:sz w:val="24"/>
          <w:szCs w:val="24"/>
          <w:lang w:val="en-US" w:bidi="en-US"/>
        </w:rPr>
        <w:br w:type="page"/>
      </w:r>
    </w:p>
    <w:p>
      <w:pPr>
        <w:spacing w:line="560" w:lineRule="exact"/>
        <w:jc w:val="both"/>
        <w:rPr>
          <w:rFonts w:ascii="黑体" w:hAnsi="黑体" w:eastAsia="黑体" w:cs="黑体"/>
          <w:sz w:val="32"/>
          <w:szCs w:val="32"/>
          <w:lang w:val="en-US" w:bidi="en-US"/>
        </w:rPr>
      </w:pPr>
      <w:r>
        <w:rPr>
          <w:rFonts w:hint="eastAsia" w:ascii="黑体" w:hAnsi="黑体" w:eastAsia="黑体" w:cs="黑体"/>
          <w:sz w:val="32"/>
          <w:szCs w:val="32"/>
          <w:lang w:val="en-US" w:bidi="en-US"/>
        </w:rPr>
        <w:t>附件</w:t>
      </w:r>
      <w:r>
        <w:rPr>
          <w:rFonts w:ascii="黑体" w:hAnsi="黑体" w:eastAsia="黑体" w:cs="黑体"/>
          <w:sz w:val="32"/>
          <w:szCs w:val="32"/>
          <w:lang w:val="en-US" w:bidi="en-US"/>
        </w:rPr>
        <w:t xml:space="preserve">3 </w:t>
      </w:r>
      <w:r>
        <w:rPr>
          <w:rFonts w:hint="eastAsia" w:ascii="黑体" w:hAnsi="黑体" w:eastAsia="黑体" w:cs="黑体"/>
          <w:sz w:val="32"/>
          <w:szCs w:val="32"/>
          <w:lang w:val="en-US" w:bidi="en-US"/>
        </w:rPr>
        <w:t>草花工作量清单</w:t>
      </w:r>
    </w:p>
    <w:p>
      <w:pPr>
        <w:widowControl/>
        <w:autoSpaceDE/>
        <w:autoSpaceDN/>
        <w:spacing w:line="560" w:lineRule="exact"/>
        <w:jc w:val="center"/>
        <w:rPr>
          <w:rFonts w:ascii="仿宋_GB2312" w:hAnsi="方正小标宋简体" w:eastAsia="仿宋_GB2312" w:cs="方正小标宋简体"/>
          <w:b/>
          <w:sz w:val="24"/>
          <w:szCs w:val="24"/>
          <w:lang w:val="en-US" w:bidi="en-US"/>
        </w:rPr>
      </w:pPr>
      <w:r>
        <w:rPr>
          <w:rFonts w:hint="eastAsia" w:ascii="仿宋_GB2312" w:hAnsi="方正小标宋简体" w:eastAsia="仿宋_GB2312" w:cs="方正小标宋简体"/>
          <w:b/>
          <w:sz w:val="24"/>
          <w:szCs w:val="24"/>
          <w:lang w:val="en-US" w:bidi="en-US"/>
        </w:rPr>
        <w:t>全年草花换植清单</w:t>
      </w:r>
    </w:p>
    <w:tbl>
      <w:tblPr>
        <w:tblStyle w:val="15"/>
        <w:tblW w:w="9450" w:type="dxa"/>
        <w:jc w:val="center"/>
        <w:tblLayout w:type="fixed"/>
        <w:tblCellMar>
          <w:top w:w="0" w:type="dxa"/>
          <w:left w:w="108" w:type="dxa"/>
          <w:bottom w:w="0" w:type="dxa"/>
          <w:right w:w="108" w:type="dxa"/>
        </w:tblCellMar>
      </w:tblPr>
      <w:tblGrid>
        <w:gridCol w:w="1239"/>
        <w:gridCol w:w="1239"/>
        <w:gridCol w:w="1275"/>
        <w:gridCol w:w="1418"/>
        <w:gridCol w:w="2305"/>
        <w:gridCol w:w="1266"/>
        <w:gridCol w:w="708"/>
      </w:tblGrid>
      <w:tr>
        <w:tblPrEx>
          <w:tblCellMar>
            <w:top w:w="0" w:type="dxa"/>
            <w:left w:w="108" w:type="dxa"/>
            <w:bottom w:w="0" w:type="dxa"/>
            <w:right w:w="108" w:type="dxa"/>
          </w:tblCellMar>
        </w:tblPrEx>
        <w:trPr>
          <w:trHeight w:val="285" w:hRule="atLeast"/>
          <w:jc w:val="center"/>
        </w:trPr>
        <w:tc>
          <w:tcPr>
            <w:tcW w:w="1239" w:type="dxa"/>
            <w:tcBorders>
              <w:top w:val="single" w:color="auto" w:sz="4" w:space="0"/>
              <w:left w:val="single" w:color="auto" w:sz="4" w:space="0"/>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种植时间</w:t>
            </w:r>
          </w:p>
        </w:tc>
        <w:tc>
          <w:tcPr>
            <w:tcW w:w="1239" w:type="dxa"/>
            <w:tcBorders>
              <w:top w:val="single" w:color="auto" w:sz="4" w:space="0"/>
              <w:left w:val="nil"/>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颜色</w:t>
            </w:r>
          </w:p>
        </w:tc>
        <w:tc>
          <w:tcPr>
            <w:tcW w:w="1275" w:type="dxa"/>
            <w:tcBorders>
              <w:top w:val="single" w:color="auto" w:sz="4" w:space="0"/>
              <w:left w:val="nil"/>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品种</w:t>
            </w:r>
          </w:p>
        </w:tc>
        <w:tc>
          <w:tcPr>
            <w:tcW w:w="1418" w:type="dxa"/>
            <w:tcBorders>
              <w:top w:val="single" w:color="auto" w:sz="4" w:space="0"/>
              <w:left w:val="nil"/>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面积（</w:t>
            </w:r>
            <w:r>
              <w:rPr>
                <w:rFonts w:hint="eastAsia" w:ascii="Segoe UI Emoji" w:hAnsi="Segoe UI Emoji" w:eastAsia="Segoe UI Emoji" w:cs="Segoe UI Emoji"/>
                <w:sz w:val="24"/>
                <w:szCs w:val="24"/>
              </w:rPr>
              <w:t>㎡</w:t>
            </w:r>
            <w:r>
              <w:rPr>
                <w:rFonts w:hint="eastAsia" w:ascii="仿宋_GB2312" w:eastAsia="仿宋_GB2312" w:cs="仿宋_GB2312" w:hAnsiTheme="minorEastAsia"/>
                <w:sz w:val="24"/>
                <w:szCs w:val="24"/>
              </w:rPr>
              <w:t>）</w:t>
            </w:r>
          </w:p>
        </w:tc>
        <w:tc>
          <w:tcPr>
            <w:tcW w:w="2305" w:type="dxa"/>
            <w:tcBorders>
              <w:top w:val="single" w:color="auto" w:sz="4" w:space="0"/>
              <w:left w:val="nil"/>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种植密度（株/</w:t>
            </w:r>
            <w:r>
              <w:rPr>
                <w:rFonts w:hint="eastAsia" w:ascii="Segoe UI Emoji" w:hAnsi="Segoe UI Emoji" w:eastAsia="Segoe UI Emoji" w:cs="Segoe UI Emoji"/>
                <w:sz w:val="24"/>
                <w:szCs w:val="24"/>
              </w:rPr>
              <w:t>㎡</w:t>
            </w:r>
            <w:r>
              <w:rPr>
                <w:rFonts w:hint="eastAsia" w:ascii="仿宋_GB2312" w:eastAsia="仿宋_GB2312" w:cs="仿宋_GB2312" w:hAnsiTheme="minorEastAsia"/>
                <w:sz w:val="24"/>
                <w:szCs w:val="24"/>
              </w:rPr>
              <w:t>）</w:t>
            </w:r>
          </w:p>
        </w:tc>
        <w:tc>
          <w:tcPr>
            <w:tcW w:w="1266" w:type="dxa"/>
            <w:tcBorders>
              <w:top w:val="single" w:color="auto" w:sz="4" w:space="0"/>
              <w:left w:val="nil"/>
              <w:bottom w:val="single" w:color="auto" w:sz="4" w:space="0"/>
              <w:right w:val="single" w:color="auto" w:sz="4" w:space="0"/>
            </w:tcBorders>
            <w:shd w:val="clear" w:color="000000" w:fill="C6EFCE"/>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单价</w:t>
            </w:r>
          </w:p>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（每</w:t>
            </w:r>
            <w:r>
              <w:rPr>
                <w:rFonts w:hint="eastAsia" w:ascii="Segoe UI Emoji" w:hAnsi="Segoe UI Emoji" w:eastAsia="Segoe UI Emoji" w:cs="Segoe UI Emoji"/>
                <w:sz w:val="24"/>
                <w:szCs w:val="24"/>
              </w:rPr>
              <w:t>㎡</w:t>
            </w:r>
            <w:r>
              <w:rPr>
                <w:rFonts w:hint="eastAsia" w:ascii="仿宋_GB2312" w:eastAsia="仿宋_GB2312" w:hAnsiTheme="minorEastAsia"/>
                <w:sz w:val="24"/>
                <w:szCs w:val="24"/>
              </w:rPr>
              <w:t>）</w:t>
            </w:r>
          </w:p>
        </w:tc>
        <w:tc>
          <w:tcPr>
            <w:tcW w:w="708" w:type="dxa"/>
            <w:tcBorders>
              <w:top w:val="single" w:color="auto" w:sz="4" w:space="0"/>
              <w:left w:val="nil"/>
              <w:bottom w:val="single" w:color="auto" w:sz="4" w:space="0"/>
              <w:right w:val="single" w:color="auto" w:sz="4" w:space="0"/>
            </w:tcBorders>
            <w:shd w:val="clear" w:color="000000" w:fill="C6EFCE"/>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合价</w:t>
            </w:r>
          </w:p>
        </w:tc>
      </w:tr>
      <w:tr>
        <w:tblPrEx>
          <w:tblCellMar>
            <w:top w:w="0" w:type="dxa"/>
            <w:left w:w="108" w:type="dxa"/>
            <w:bottom w:w="0" w:type="dxa"/>
            <w:right w:w="108" w:type="dxa"/>
          </w:tblCellMar>
        </w:tblPrEx>
        <w:trPr>
          <w:trHeight w:val="285" w:hRule="atLeast"/>
          <w:jc w:val="center"/>
        </w:trPr>
        <w:tc>
          <w:tcPr>
            <w:tcW w:w="1239" w:type="dxa"/>
            <w:vMerge w:val="restart"/>
            <w:tcBorders>
              <w:top w:val="single" w:color="7F7F7F" w:sz="4" w:space="0"/>
              <w:left w:val="single" w:color="7F7F7F" w:sz="4" w:space="0"/>
              <w:bottom w:val="single" w:color="7F7F7F" w:sz="4" w:space="0"/>
              <w:right w:val="single" w:color="7F7F7F" w:sz="4" w:space="0"/>
            </w:tcBorders>
            <w:shd w:val="clear" w:color="000000" w:fill="F2F2F2"/>
            <w:vAlign w:val="center"/>
          </w:tcPr>
          <w:p>
            <w:pPr>
              <w:widowControl/>
              <w:spacing w:line="240" w:lineRule="exact"/>
              <w:rPr>
                <w:rFonts w:ascii="仿宋_GB2312" w:eastAsia="仿宋_GB2312" w:hAnsiTheme="minorEastAsia"/>
                <w:b/>
                <w:bCs/>
                <w:sz w:val="24"/>
                <w:szCs w:val="24"/>
              </w:rPr>
            </w:pPr>
            <w:r>
              <w:rPr>
                <w:rFonts w:hint="eastAsia" w:ascii="仿宋_GB2312" w:eastAsia="仿宋_GB2312" w:hAnsiTheme="minorEastAsia"/>
                <w:b/>
                <w:bCs/>
                <w:sz w:val="24"/>
                <w:szCs w:val="24"/>
              </w:rPr>
              <w:t>第一次</w:t>
            </w:r>
            <w:r>
              <w:rPr>
                <w:rFonts w:hint="eastAsia" w:ascii="仿宋_GB2312" w:eastAsia="仿宋_GB2312" w:hAnsiTheme="minorEastAsia"/>
                <w:b/>
                <w:bCs/>
                <w:sz w:val="24"/>
                <w:szCs w:val="24"/>
              </w:rPr>
              <w:br w:type="textWrapping"/>
            </w:r>
            <w:r>
              <w:rPr>
                <w:rFonts w:hint="eastAsia" w:ascii="仿宋_GB2312" w:eastAsia="仿宋_GB2312" w:hAnsiTheme="minorEastAsia"/>
                <w:b/>
                <w:bCs/>
                <w:sz w:val="24"/>
                <w:szCs w:val="24"/>
              </w:rPr>
              <w:t>3月下旬</w:t>
            </w: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白</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矮牵牛</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1669</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正红</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矮牵牛</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2330.5</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紫</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矮牵牛</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903</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黄色</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孔雀草</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2153.5</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蓝</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鼠尾草</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542</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深红</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何氏凤仙</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22</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49</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橙色</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何氏凤仙</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48</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49</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tcBorders>
              <w:top w:val="nil"/>
              <w:left w:val="single" w:color="auto" w:sz="4" w:space="0"/>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种植时间</w:t>
            </w:r>
          </w:p>
        </w:tc>
        <w:tc>
          <w:tcPr>
            <w:tcW w:w="1239" w:type="dxa"/>
            <w:tcBorders>
              <w:top w:val="nil"/>
              <w:left w:val="nil"/>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颜色</w:t>
            </w:r>
          </w:p>
        </w:tc>
        <w:tc>
          <w:tcPr>
            <w:tcW w:w="1275" w:type="dxa"/>
            <w:tcBorders>
              <w:top w:val="nil"/>
              <w:left w:val="nil"/>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品种</w:t>
            </w:r>
          </w:p>
        </w:tc>
        <w:tc>
          <w:tcPr>
            <w:tcW w:w="1418" w:type="dxa"/>
            <w:tcBorders>
              <w:top w:val="nil"/>
              <w:left w:val="nil"/>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面积（</w:t>
            </w:r>
            <w:r>
              <w:rPr>
                <w:rFonts w:hint="eastAsia" w:ascii="Segoe UI Emoji" w:hAnsi="Segoe UI Emoji" w:eastAsia="Segoe UI Emoji" w:cs="Segoe UI Emoji"/>
                <w:sz w:val="24"/>
                <w:szCs w:val="24"/>
              </w:rPr>
              <w:t>㎡</w:t>
            </w:r>
            <w:r>
              <w:rPr>
                <w:rFonts w:hint="eastAsia" w:ascii="仿宋_GB2312" w:eastAsia="仿宋_GB2312" w:cs="仿宋_GB2312" w:hAnsiTheme="minorEastAsia"/>
                <w:sz w:val="24"/>
                <w:szCs w:val="24"/>
              </w:rPr>
              <w:t>）</w:t>
            </w:r>
          </w:p>
        </w:tc>
        <w:tc>
          <w:tcPr>
            <w:tcW w:w="2305" w:type="dxa"/>
            <w:tcBorders>
              <w:top w:val="nil"/>
              <w:left w:val="nil"/>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种植密度（株/</w:t>
            </w:r>
            <w:r>
              <w:rPr>
                <w:rFonts w:hint="eastAsia" w:ascii="Segoe UI Emoji" w:hAnsi="Segoe UI Emoji" w:eastAsia="Segoe UI Emoji" w:cs="Segoe UI Emoji"/>
                <w:sz w:val="24"/>
                <w:szCs w:val="24"/>
              </w:rPr>
              <w:t>㎡</w:t>
            </w:r>
            <w:r>
              <w:rPr>
                <w:rFonts w:hint="eastAsia" w:ascii="仿宋_GB2312" w:eastAsia="仿宋_GB2312" w:cs="仿宋_GB2312" w:hAnsiTheme="minorEastAsia"/>
                <w:sz w:val="24"/>
                <w:szCs w:val="24"/>
              </w:rPr>
              <w:t>）</w:t>
            </w:r>
          </w:p>
        </w:tc>
        <w:tc>
          <w:tcPr>
            <w:tcW w:w="1266" w:type="dxa"/>
            <w:tcBorders>
              <w:top w:val="nil"/>
              <w:left w:val="nil"/>
              <w:bottom w:val="single" w:color="auto" w:sz="4" w:space="0"/>
              <w:right w:val="single" w:color="auto" w:sz="4" w:space="0"/>
            </w:tcBorders>
            <w:shd w:val="clear" w:color="000000" w:fill="C6EFCE"/>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shd w:val="clear" w:color="000000" w:fill="C6EFCE"/>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restart"/>
            <w:tcBorders>
              <w:top w:val="single" w:color="7F7F7F" w:sz="4" w:space="0"/>
              <w:left w:val="single" w:color="7F7F7F" w:sz="4" w:space="0"/>
              <w:bottom w:val="single" w:color="7F7F7F" w:sz="4" w:space="0"/>
              <w:right w:val="single" w:color="7F7F7F" w:sz="4" w:space="0"/>
            </w:tcBorders>
            <w:shd w:val="clear" w:color="000000" w:fill="F2F2F2"/>
            <w:vAlign w:val="center"/>
          </w:tcPr>
          <w:p>
            <w:pPr>
              <w:widowControl/>
              <w:spacing w:line="240" w:lineRule="exact"/>
              <w:rPr>
                <w:rFonts w:ascii="仿宋_GB2312" w:eastAsia="仿宋_GB2312" w:hAnsiTheme="minorEastAsia"/>
                <w:b/>
                <w:bCs/>
                <w:sz w:val="24"/>
                <w:szCs w:val="24"/>
              </w:rPr>
            </w:pPr>
            <w:r>
              <w:rPr>
                <w:rFonts w:hint="eastAsia" w:ascii="仿宋_GB2312" w:eastAsia="仿宋_GB2312" w:hAnsiTheme="minorEastAsia"/>
                <w:b/>
                <w:bCs/>
                <w:sz w:val="24"/>
                <w:szCs w:val="24"/>
              </w:rPr>
              <w:t>第二次</w:t>
            </w:r>
            <w:r>
              <w:rPr>
                <w:rFonts w:hint="eastAsia" w:ascii="仿宋_GB2312" w:eastAsia="仿宋_GB2312" w:hAnsiTheme="minorEastAsia"/>
                <w:b/>
                <w:bCs/>
                <w:sz w:val="24"/>
                <w:szCs w:val="24"/>
              </w:rPr>
              <w:br w:type="textWrapping"/>
            </w:r>
            <w:r>
              <w:rPr>
                <w:rFonts w:hint="eastAsia" w:ascii="仿宋_GB2312" w:eastAsia="仿宋_GB2312" w:hAnsiTheme="minorEastAsia"/>
                <w:b/>
                <w:bCs/>
                <w:sz w:val="24"/>
                <w:szCs w:val="24"/>
              </w:rPr>
              <w:t>6月中旬</w:t>
            </w: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蓝</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夏堇</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874</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白</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夏堇</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2372</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黄</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孔雀草</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2955.5</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红</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五星花</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1351.5</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深紫罗兰</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乒乓千日</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45</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深红</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超级凤仙</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22</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橙色</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ascii="仿宋_GB2312" w:eastAsia="仿宋_GB2312" w:hAnsiTheme="minorEastAsia"/>
                <w:sz w:val="24"/>
                <w:szCs w:val="24"/>
              </w:rPr>
              <w:t>超级凤仙</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48</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tcBorders>
              <w:top w:val="nil"/>
              <w:left w:val="single" w:color="auto" w:sz="4" w:space="0"/>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种植时间</w:t>
            </w:r>
          </w:p>
        </w:tc>
        <w:tc>
          <w:tcPr>
            <w:tcW w:w="1239" w:type="dxa"/>
            <w:tcBorders>
              <w:top w:val="nil"/>
              <w:left w:val="nil"/>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颜色</w:t>
            </w:r>
          </w:p>
        </w:tc>
        <w:tc>
          <w:tcPr>
            <w:tcW w:w="1275" w:type="dxa"/>
            <w:tcBorders>
              <w:top w:val="nil"/>
              <w:left w:val="nil"/>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品种</w:t>
            </w:r>
          </w:p>
        </w:tc>
        <w:tc>
          <w:tcPr>
            <w:tcW w:w="1418" w:type="dxa"/>
            <w:tcBorders>
              <w:top w:val="nil"/>
              <w:left w:val="nil"/>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面积（</w:t>
            </w:r>
            <w:r>
              <w:rPr>
                <w:rFonts w:hint="eastAsia" w:ascii="Segoe UI Emoji" w:hAnsi="Segoe UI Emoji" w:eastAsia="Segoe UI Emoji" w:cs="Segoe UI Emoji"/>
                <w:sz w:val="24"/>
                <w:szCs w:val="24"/>
              </w:rPr>
              <w:t>㎡</w:t>
            </w:r>
            <w:r>
              <w:rPr>
                <w:rFonts w:hint="eastAsia" w:ascii="仿宋_GB2312" w:eastAsia="仿宋_GB2312" w:cs="仿宋_GB2312" w:hAnsiTheme="minorEastAsia"/>
                <w:sz w:val="24"/>
                <w:szCs w:val="24"/>
              </w:rPr>
              <w:t>）</w:t>
            </w:r>
          </w:p>
        </w:tc>
        <w:tc>
          <w:tcPr>
            <w:tcW w:w="2305" w:type="dxa"/>
            <w:tcBorders>
              <w:top w:val="nil"/>
              <w:left w:val="nil"/>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种植密度（株/</w:t>
            </w:r>
            <w:r>
              <w:rPr>
                <w:rFonts w:hint="eastAsia" w:ascii="Segoe UI Emoji" w:hAnsi="Segoe UI Emoji" w:eastAsia="Segoe UI Emoji" w:cs="Segoe UI Emoji"/>
                <w:sz w:val="24"/>
                <w:szCs w:val="24"/>
              </w:rPr>
              <w:t>㎡</w:t>
            </w:r>
            <w:r>
              <w:rPr>
                <w:rFonts w:hint="eastAsia" w:ascii="仿宋_GB2312" w:eastAsia="仿宋_GB2312" w:cs="仿宋_GB2312" w:hAnsiTheme="minorEastAsia"/>
                <w:sz w:val="24"/>
                <w:szCs w:val="24"/>
              </w:rPr>
              <w:t>）</w:t>
            </w:r>
          </w:p>
        </w:tc>
        <w:tc>
          <w:tcPr>
            <w:tcW w:w="1266" w:type="dxa"/>
            <w:tcBorders>
              <w:top w:val="nil"/>
              <w:left w:val="nil"/>
              <w:bottom w:val="single" w:color="auto" w:sz="4" w:space="0"/>
              <w:right w:val="single" w:color="auto" w:sz="4" w:space="0"/>
            </w:tcBorders>
            <w:shd w:val="clear" w:color="000000" w:fill="C6EFCE"/>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shd w:val="clear" w:color="000000" w:fill="C6EFCE"/>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restart"/>
            <w:tcBorders>
              <w:top w:val="single" w:color="7F7F7F" w:sz="4" w:space="0"/>
              <w:left w:val="single" w:color="7F7F7F" w:sz="4" w:space="0"/>
              <w:bottom w:val="single" w:color="7F7F7F" w:sz="4" w:space="0"/>
              <w:right w:val="single" w:color="7F7F7F" w:sz="4" w:space="0"/>
            </w:tcBorders>
            <w:shd w:val="clear" w:color="000000" w:fill="F2F2F2"/>
            <w:vAlign w:val="center"/>
          </w:tcPr>
          <w:p>
            <w:pPr>
              <w:widowControl/>
              <w:spacing w:line="240" w:lineRule="exact"/>
              <w:rPr>
                <w:rFonts w:ascii="仿宋_GB2312" w:eastAsia="仿宋_GB2312" w:hAnsiTheme="minorEastAsia"/>
                <w:b/>
                <w:bCs/>
                <w:sz w:val="24"/>
                <w:szCs w:val="24"/>
              </w:rPr>
            </w:pPr>
            <w:r>
              <w:rPr>
                <w:rFonts w:hint="eastAsia" w:ascii="仿宋_GB2312" w:eastAsia="仿宋_GB2312" w:hAnsiTheme="minorEastAsia"/>
                <w:b/>
                <w:bCs/>
                <w:sz w:val="24"/>
                <w:szCs w:val="24"/>
              </w:rPr>
              <w:t>第三次</w:t>
            </w:r>
            <w:r>
              <w:rPr>
                <w:rFonts w:hint="eastAsia" w:ascii="仿宋_GB2312" w:eastAsia="仿宋_GB2312" w:hAnsiTheme="minorEastAsia"/>
                <w:b/>
                <w:bCs/>
                <w:sz w:val="24"/>
                <w:szCs w:val="24"/>
              </w:rPr>
              <w:br w:type="textWrapping"/>
            </w:r>
            <w:r>
              <w:rPr>
                <w:rFonts w:hint="eastAsia" w:ascii="仿宋_GB2312" w:eastAsia="仿宋_GB2312" w:hAnsiTheme="minorEastAsia"/>
                <w:b/>
                <w:bCs/>
                <w:sz w:val="24"/>
                <w:szCs w:val="24"/>
              </w:rPr>
              <w:t>9月中旬</w:t>
            </w: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黄</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孔雀草</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2649.5</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红</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一串红</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2236.5</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紫</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鼠尾草</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315</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蓝</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鼠尾草</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542</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深紫罗兰</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马鞭草</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45</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深红</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千日红</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22</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橙色</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百日草</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48</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白色</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矮牵牛</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1810</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lang w:val="en-US"/>
              </w:rPr>
            </w:pPr>
            <w:r>
              <w:rPr>
                <w:rFonts w:hint="eastAsia" w:ascii="仿宋_GB2312" w:eastAsia="仿宋_GB2312" w:hAnsiTheme="minorEastAsia"/>
                <w:sz w:val="24"/>
                <w:szCs w:val="24"/>
              </w:rPr>
              <w:t>不低于</w:t>
            </w:r>
            <w:r>
              <w:rPr>
                <w:rFonts w:hint="eastAsia" w:ascii="仿宋_GB2312" w:eastAsia="仿宋_GB2312" w:hAnsiTheme="minorEastAsia"/>
                <w:sz w:val="24"/>
                <w:szCs w:val="24"/>
                <w:lang w:val="en-US"/>
              </w:rPr>
              <w:t>36</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tcBorders>
              <w:top w:val="nil"/>
              <w:left w:val="single" w:color="auto" w:sz="4" w:space="0"/>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种植时间</w:t>
            </w:r>
          </w:p>
        </w:tc>
        <w:tc>
          <w:tcPr>
            <w:tcW w:w="1239" w:type="dxa"/>
            <w:tcBorders>
              <w:top w:val="nil"/>
              <w:left w:val="nil"/>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颜色</w:t>
            </w:r>
          </w:p>
        </w:tc>
        <w:tc>
          <w:tcPr>
            <w:tcW w:w="1275" w:type="dxa"/>
            <w:tcBorders>
              <w:top w:val="nil"/>
              <w:left w:val="nil"/>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品种</w:t>
            </w:r>
          </w:p>
        </w:tc>
        <w:tc>
          <w:tcPr>
            <w:tcW w:w="1418" w:type="dxa"/>
            <w:tcBorders>
              <w:top w:val="nil"/>
              <w:left w:val="nil"/>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面积（</w:t>
            </w:r>
            <w:r>
              <w:rPr>
                <w:rFonts w:hint="eastAsia" w:ascii="Segoe UI Emoji" w:hAnsi="Segoe UI Emoji" w:eastAsia="Segoe UI Emoji" w:cs="Segoe UI Emoji"/>
                <w:sz w:val="24"/>
                <w:szCs w:val="24"/>
              </w:rPr>
              <w:t>㎡</w:t>
            </w:r>
            <w:r>
              <w:rPr>
                <w:rFonts w:hint="eastAsia" w:ascii="仿宋_GB2312" w:eastAsia="仿宋_GB2312" w:cs="仿宋_GB2312" w:hAnsiTheme="minorEastAsia"/>
                <w:sz w:val="24"/>
                <w:szCs w:val="24"/>
              </w:rPr>
              <w:t>）</w:t>
            </w:r>
          </w:p>
        </w:tc>
        <w:tc>
          <w:tcPr>
            <w:tcW w:w="2305" w:type="dxa"/>
            <w:tcBorders>
              <w:top w:val="nil"/>
              <w:left w:val="nil"/>
              <w:bottom w:val="single" w:color="auto" w:sz="4" w:space="0"/>
              <w:right w:val="single" w:color="auto" w:sz="4" w:space="0"/>
            </w:tcBorders>
            <w:shd w:val="clear" w:color="000000" w:fill="C6EFCE"/>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种植密度（株/</w:t>
            </w:r>
            <w:r>
              <w:rPr>
                <w:rFonts w:hint="eastAsia" w:ascii="Segoe UI Emoji" w:hAnsi="Segoe UI Emoji" w:eastAsia="Segoe UI Emoji" w:cs="Segoe UI Emoji"/>
                <w:sz w:val="24"/>
                <w:szCs w:val="24"/>
              </w:rPr>
              <w:t>㎡</w:t>
            </w:r>
            <w:r>
              <w:rPr>
                <w:rFonts w:hint="eastAsia" w:ascii="仿宋_GB2312" w:eastAsia="仿宋_GB2312" w:cs="仿宋_GB2312" w:hAnsiTheme="minorEastAsia"/>
                <w:sz w:val="24"/>
                <w:szCs w:val="24"/>
              </w:rPr>
              <w:t>）</w:t>
            </w:r>
          </w:p>
        </w:tc>
        <w:tc>
          <w:tcPr>
            <w:tcW w:w="1266" w:type="dxa"/>
            <w:tcBorders>
              <w:top w:val="nil"/>
              <w:left w:val="nil"/>
              <w:bottom w:val="single" w:color="auto" w:sz="4" w:space="0"/>
              <w:right w:val="single" w:color="auto" w:sz="4" w:space="0"/>
            </w:tcBorders>
            <w:shd w:val="clear" w:color="000000" w:fill="C6EFCE"/>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shd w:val="clear" w:color="000000" w:fill="C6EFCE"/>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restart"/>
            <w:tcBorders>
              <w:top w:val="single" w:color="7F7F7F" w:sz="4" w:space="0"/>
              <w:left w:val="single" w:color="7F7F7F" w:sz="4" w:space="0"/>
              <w:bottom w:val="single" w:color="7F7F7F" w:sz="4" w:space="0"/>
              <w:right w:val="single" w:color="7F7F7F" w:sz="4" w:space="0"/>
            </w:tcBorders>
            <w:shd w:val="clear" w:color="000000" w:fill="F2F2F2"/>
            <w:vAlign w:val="center"/>
          </w:tcPr>
          <w:p>
            <w:pPr>
              <w:widowControl/>
              <w:spacing w:line="240" w:lineRule="exact"/>
              <w:rPr>
                <w:rFonts w:ascii="仿宋_GB2312" w:eastAsia="仿宋_GB2312" w:hAnsiTheme="minorEastAsia"/>
                <w:b/>
                <w:bCs/>
                <w:sz w:val="24"/>
                <w:szCs w:val="24"/>
              </w:rPr>
            </w:pPr>
            <w:r>
              <w:rPr>
                <w:rFonts w:hint="eastAsia" w:ascii="仿宋_GB2312" w:eastAsia="仿宋_GB2312" w:hAnsiTheme="minorEastAsia"/>
                <w:b/>
                <w:bCs/>
                <w:sz w:val="24"/>
                <w:szCs w:val="24"/>
              </w:rPr>
              <w:t>第四次</w:t>
            </w:r>
            <w:r>
              <w:rPr>
                <w:rFonts w:hint="eastAsia" w:ascii="仿宋_GB2312" w:eastAsia="仿宋_GB2312" w:hAnsiTheme="minorEastAsia"/>
                <w:b/>
                <w:bCs/>
                <w:sz w:val="24"/>
                <w:szCs w:val="24"/>
              </w:rPr>
              <w:br w:type="textWrapping"/>
            </w:r>
            <w:r>
              <w:rPr>
                <w:rFonts w:hint="eastAsia" w:ascii="仿宋_GB2312" w:eastAsia="仿宋_GB2312" w:hAnsiTheme="minorEastAsia"/>
                <w:b/>
                <w:bCs/>
                <w:sz w:val="24"/>
                <w:szCs w:val="24"/>
              </w:rPr>
              <w:t>11月上旬</w:t>
            </w: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黄</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角堇</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2</w:t>
            </w:r>
            <w:r>
              <w:rPr>
                <w:rFonts w:ascii="仿宋_GB2312" w:eastAsia="仿宋_GB2312" w:hAnsiTheme="minorEastAsia"/>
                <w:sz w:val="24"/>
                <w:szCs w:val="24"/>
              </w:rPr>
              <w:t>813</w:t>
            </w:r>
            <w:r>
              <w:rPr>
                <w:rFonts w:hint="eastAsia" w:ascii="仿宋_GB2312" w:eastAsia="仿宋_GB2312" w:hAnsiTheme="minorEastAsia"/>
                <w:sz w:val="24"/>
                <w:szCs w:val="24"/>
              </w:rPr>
              <w:t>.5</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不低于49</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白</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角堇</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1810</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不低于49</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红</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角堇</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ascii="仿宋_GB2312" w:eastAsia="仿宋_GB2312" w:hAnsiTheme="minorEastAsia"/>
                <w:sz w:val="24"/>
                <w:szCs w:val="24"/>
              </w:rPr>
              <w:t>2072.5</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不低于49</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紫</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角堇</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360</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不低于49</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7F7F7F"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蓝</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角堇</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542</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不低于49</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7F7F7F" w:sz="4" w:space="0"/>
              <w:left w:val="single" w:color="7F7F7F" w:sz="4" w:space="0"/>
              <w:bottom w:val="single" w:color="auto"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nil"/>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深红</w:t>
            </w:r>
          </w:p>
        </w:tc>
        <w:tc>
          <w:tcPr>
            <w:tcW w:w="127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角堇</w:t>
            </w:r>
          </w:p>
        </w:tc>
        <w:tc>
          <w:tcPr>
            <w:tcW w:w="1418"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22</w:t>
            </w:r>
          </w:p>
        </w:tc>
        <w:tc>
          <w:tcPr>
            <w:tcW w:w="2305" w:type="dxa"/>
            <w:tcBorders>
              <w:top w:val="nil"/>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不低于49</w:t>
            </w:r>
          </w:p>
        </w:tc>
        <w:tc>
          <w:tcPr>
            <w:tcW w:w="1266"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nil"/>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1239" w:type="dxa"/>
            <w:vMerge w:val="continue"/>
            <w:tcBorders>
              <w:top w:val="single" w:color="auto" w:sz="4" w:space="0"/>
              <w:left w:val="single" w:color="auto" w:sz="4" w:space="0"/>
              <w:bottom w:val="single" w:color="auto" w:sz="4" w:space="0"/>
              <w:right w:val="single" w:color="7F7F7F" w:sz="4" w:space="0"/>
            </w:tcBorders>
            <w:vAlign w:val="center"/>
          </w:tcPr>
          <w:p>
            <w:pPr>
              <w:widowControl/>
              <w:spacing w:line="240" w:lineRule="exact"/>
              <w:jc w:val="both"/>
              <w:rPr>
                <w:rFonts w:ascii="仿宋_GB2312" w:eastAsia="仿宋_GB2312" w:hAnsiTheme="minorEastAsia"/>
                <w:b/>
                <w:bCs/>
                <w:sz w:val="24"/>
                <w:szCs w:val="24"/>
              </w:rPr>
            </w:pPr>
          </w:p>
        </w:tc>
        <w:tc>
          <w:tcPr>
            <w:tcW w:w="1239" w:type="dxa"/>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橙色</w:t>
            </w:r>
          </w:p>
        </w:tc>
        <w:tc>
          <w:tcPr>
            <w:tcW w:w="1275" w:type="dxa"/>
            <w:tcBorders>
              <w:top w:val="single" w:color="auto" w:sz="4" w:space="0"/>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角堇</w:t>
            </w:r>
          </w:p>
        </w:tc>
        <w:tc>
          <w:tcPr>
            <w:tcW w:w="1418" w:type="dxa"/>
            <w:tcBorders>
              <w:top w:val="single" w:color="auto" w:sz="4" w:space="0"/>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ascii="仿宋_GB2312" w:eastAsia="仿宋_GB2312" w:hAnsiTheme="minorEastAsia"/>
                <w:sz w:val="24"/>
                <w:szCs w:val="24"/>
              </w:rPr>
              <w:t>48</w:t>
            </w:r>
          </w:p>
        </w:tc>
        <w:tc>
          <w:tcPr>
            <w:tcW w:w="2305" w:type="dxa"/>
            <w:tcBorders>
              <w:top w:val="single" w:color="auto" w:sz="4" w:space="0"/>
              <w:left w:val="nil"/>
              <w:bottom w:val="single" w:color="auto" w:sz="4" w:space="0"/>
              <w:right w:val="single" w:color="auto" w:sz="4" w:space="0"/>
            </w:tcBorders>
            <w:shd w:val="clear" w:color="auto" w:fill="auto"/>
            <w:noWrap/>
            <w:vAlign w:val="center"/>
          </w:tcPr>
          <w:p>
            <w:pPr>
              <w:widowControl/>
              <w:spacing w:line="240" w:lineRule="exact"/>
              <w:jc w:val="both"/>
              <w:rPr>
                <w:rFonts w:ascii="仿宋_GB2312" w:eastAsia="仿宋_GB2312" w:hAnsiTheme="minorEastAsia"/>
                <w:sz w:val="24"/>
                <w:szCs w:val="24"/>
              </w:rPr>
            </w:pPr>
            <w:r>
              <w:rPr>
                <w:rFonts w:hint="eastAsia" w:ascii="仿宋_GB2312" w:eastAsia="仿宋_GB2312" w:hAnsiTheme="minorEastAsia"/>
                <w:sz w:val="24"/>
                <w:szCs w:val="24"/>
              </w:rPr>
              <w:t>不低于49</w:t>
            </w:r>
          </w:p>
        </w:tc>
        <w:tc>
          <w:tcPr>
            <w:tcW w:w="1266" w:type="dxa"/>
            <w:tcBorders>
              <w:top w:val="single" w:color="auto" w:sz="4" w:space="0"/>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single" w:color="auto" w:sz="4" w:space="0"/>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r>
        <w:tblPrEx>
          <w:tblCellMar>
            <w:top w:w="0" w:type="dxa"/>
            <w:left w:w="108" w:type="dxa"/>
            <w:bottom w:w="0" w:type="dxa"/>
            <w:right w:w="108" w:type="dxa"/>
          </w:tblCellMar>
        </w:tblPrEx>
        <w:trPr>
          <w:trHeight w:val="285" w:hRule="atLeast"/>
          <w:jc w:val="center"/>
        </w:trPr>
        <w:tc>
          <w:tcPr>
            <w:tcW w:w="7476" w:type="dxa"/>
            <w:gridSpan w:val="5"/>
            <w:tcBorders>
              <w:top w:val="single" w:color="auto" w:sz="4" w:space="0"/>
              <w:left w:val="single" w:color="auto" w:sz="4" w:space="0"/>
              <w:bottom w:val="single" w:color="auto" w:sz="4" w:space="0"/>
              <w:right w:val="single" w:color="auto" w:sz="4" w:space="0"/>
            </w:tcBorders>
            <w:vAlign w:val="center"/>
          </w:tcPr>
          <w:p>
            <w:pPr>
              <w:widowControl/>
              <w:spacing w:line="240" w:lineRule="exact"/>
              <w:jc w:val="both"/>
              <w:rPr>
                <w:rFonts w:ascii="仿宋_GB2312" w:eastAsia="仿宋_GB2312" w:hAnsiTheme="minorEastAsia"/>
                <w:b/>
                <w:bCs/>
                <w:sz w:val="24"/>
                <w:szCs w:val="24"/>
              </w:rPr>
            </w:pPr>
            <w:r>
              <w:rPr>
                <w:rFonts w:hint="eastAsia" w:ascii="仿宋_GB2312" w:eastAsia="仿宋_GB2312" w:hAnsiTheme="minorEastAsia"/>
                <w:b/>
                <w:bCs/>
                <w:sz w:val="24"/>
                <w:szCs w:val="24"/>
              </w:rPr>
              <w:t>报价合计</w:t>
            </w:r>
          </w:p>
        </w:tc>
        <w:tc>
          <w:tcPr>
            <w:tcW w:w="1266" w:type="dxa"/>
            <w:tcBorders>
              <w:top w:val="single" w:color="auto" w:sz="4" w:space="0"/>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c>
          <w:tcPr>
            <w:tcW w:w="708" w:type="dxa"/>
            <w:tcBorders>
              <w:top w:val="single" w:color="auto" w:sz="4" w:space="0"/>
              <w:left w:val="nil"/>
              <w:bottom w:val="single" w:color="auto" w:sz="4" w:space="0"/>
              <w:right w:val="single" w:color="auto" w:sz="4" w:space="0"/>
            </w:tcBorders>
          </w:tcPr>
          <w:p>
            <w:pPr>
              <w:widowControl/>
              <w:spacing w:line="240" w:lineRule="exact"/>
              <w:jc w:val="both"/>
              <w:rPr>
                <w:rFonts w:ascii="仿宋_GB2312" w:eastAsia="仿宋_GB2312" w:hAnsiTheme="minorEastAsia"/>
                <w:sz w:val="24"/>
                <w:szCs w:val="24"/>
              </w:rPr>
            </w:pPr>
          </w:p>
        </w:tc>
      </w:tr>
    </w:tbl>
    <w:p>
      <w:pPr>
        <w:pStyle w:val="3"/>
        <w:spacing w:line="560" w:lineRule="exact"/>
        <w:ind w:left="0" w:firstLine="0"/>
        <w:jc w:val="both"/>
        <w:rPr>
          <w:rFonts w:ascii="仿宋_GB2312" w:eastAsia="仿宋_GB2312"/>
          <w:w w:val="105"/>
          <w:sz w:val="24"/>
          <w:szCs w:val="24"/>
        </w:rPr>
      </w:pPr>
      <w:r>
        <w:rPr>
          <w:rFonts w:hint="eastAsia" w:ascii="仿宋_GB2312" w:eastAsia="仿宋_GB2312"/>
          <w:w w:val="105"/>
          <w:sz w:val="24"/>
          <w:szCs w:val="24"/>
        </w:rPr>
        <w:t>注：以实际现场情况为准，若发生方案变更，乙方育苗前再次和甲方进行确认。</w:t>
      </w:r>
    </w:p>
    <w:p>
      <w:pPr>
        <w:spacing w:line="560" w:lineRule="exact"/>
        <w:jc w:val="center"/>
        <w:rPr>
          <w:rFonts w:ascii="仿宋_GB2312" w:eastAsia="仿宋_GB2312" w:cs="仿宋_GB2312" w:hAnsiTheme="minorEastAsia"/>
          <w:b/>
          <w:sz w:val="24"/>
          <w:szCs w:val="24"/>
        </w:rPr>
      </w:pPr>
      <w:r>
        <w:rPr>
          <w:lang w:val="en-US" w:bidi="ar-SA"/>
        </w:rPr>
        <w:drawing>
          <wp:anchor distT="0" distB="0" distL="114300" distR="114300" simplePos="0" relativeHeight="251660288" behindDoc="0" locked="0" layoutInCell="1" allowOverlap="1">
            <wp:simplePos x="0" y="0"/>
            <wp:positionH relativeFrom="column">
              <wp:posOffset>0</wp:posOffset>
            </wp:positionH>
            <wp:positionV relativeFrom="paragraph">
              <wp:posOffset>586740</wp:posOffset>
            </wp:positionV>
            <wp:extent cx="5618480" cy="4715510"/>
            <wp:effectExtent l="0" t="0" r="0" b="0"/>
            <wp:wrapTopAndBottom/>
            <wp:docPr id="1" name="图片 1" descr="C:\Users\THTF\Desktop\第一次.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THTF\Desktop\第一次.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5618480" cy="4715209"/>
                    </a:xfrm>
                    <a:prstGeom prst="rect">
                      <a:avLst/>
                    </a:prstGeom>
                    <a:noFill/>
                    <a:ln>
                      <a:noFill/>
                    </a:ln>
                  </pic:spPr>
                </pic:pic>
              </a:graphicData>
            </a:graphic>
          </wp:anchor>
        </w:drawing>
      </w:r>
      <w:r>
        <w:rPr>
          <w:rFonts w:hint="eastAsia" w:ascii="仿宋_GB2312" w:eastAsia="仿宋_GB2312" w:cs="仿宋_GB2312" w:hAnsiTheme="minorEastAsia"/>
          <w:b/>
          <w:sz w:val="24"/>
          <w:szCs w:val="24"/>
        </w:rPr>
        <w:t>项目区域草花示意图</w:t>
      </w:r>
    </w:p>
    <w:p>
      <w:pPr>
        <w:widowControl/>
        <w:autoSpaceDE/>
        <w:autoSpaceDN/>
        <w:spacing w:line="560" w:lineRule="exact"/>
        <w:jc w:val="both"/>
      </w:pPr>
    </w:p>
    <w:p>
      <w:pPr>
        <w:widowControl/>
        <w:autoSpaceDE/>
        <w:autoSpaceDN/>
        <w:spacing w:line="560" w:lineRule="exact"/>
        <w:jc w:val="both"/>
      </w:pPr>
    </w:p>
    <w:p>
      <w:pPr>
        <w:widowControl/>
        <w:autoSpaceDE/>
        <w:autoSpaceDN/>
        <w:spacing w:line="560" w:lineRule="exact"/>
        <w:jc w:val="both"/>
      </w:pPr>
    </w:p>
    <w:p>
      <w:pPr>
        <w:widowControl/>
        <w:autoSpaceDE/>
        <w:autoSpaceDN/>
        <w:spacing w:line="560" w:lineRule="exact"/>
        <w:jc w:val="both"/>
      </w:pPr>
    </w:p>
    <w:p>
      <w:pPr>
        <w:widowControl/>
        <w:autoSpaceDE/>
        <w:autoSpaceDN/>
        <w:spacing w:line="560" w:lineRule="exact"/>
        <w:jc w:val="both"/>
      </w:pPr>
    </w:p>
    <w:p>
      <w:pPr>
        <w:widowControl/>
        <w:autoSpaceDE/>
        <w:autoSpaceDN/>
        <w:spacing w:line="560" w:lineRule="exact"/>
        <w:jc w:val="both"/>
      </w:pPr>
    </w:p>
    <w:p>
      <w:pPr>
        <w:widowControl/>
        <w:autoSpaceDE/>
        <w:autoSpaceDN/>
        <w:spacing w:line="560" w:lineRule="exact"/>
        <w:jc w:val="both"/>
        <w:rPr>
          <w:rFonts w:cs="仿宋_GB2312" w:asciiTheme="minorEastAsia" w:hAnsiTheme="minorEastAsia" w:eastAsiaTheme="minorEastAsia"/>
          <w:sz w:val="24"/>
          <w:szCs w:val="24"/>
          <w:lang w:val="en-US" w:bidi="en-US"/>
        </w:rPr>
      </w:pPr>
    </w:p>
    <w:p>
      <w:pPr>
        <w:widowControl/>
        <w:autoSpaceDE/>
        <w:autoSpaceDN/>
        <w:spacing w:line="560" w:lineRule="exact"/>
        <w:jc w:val="both"/>
        <w:rPr>
          <w:rFonts w:ascii="方正小标宋简体" w:hAnsi="方正小标宋简体" w:eastAsia="方正小标宋简体" w:cs="方正小标宋简体"/>
          <w:sz w:val="44"/>
          <w:szCs w:val="44"/>
          <w:lang w:val="en-US" w:bidi="en-US"/>
        </w:rPr>
      </w:pPr>
      <w:r>
        <w:rPr>
          <w:rFonts w:hint="eastAsia" w:ascii="黑体" w:hAnsi="黑体" w:eastAsia="黑体" w:cs="黑体"/>
          <w:sz w:val="32"/>
          <w:szCs w:val="32"/>
          <w:lang w:val="en-US" w:bidi="en-US"/>
        </w:rPr>
        <w:t>附件4</w:t>
      </w:r>
      <w:r>
        <w:rPr>
          <w:rFonts w:ascii="黑体" w:hAnsi="黑体" w:eastAsia="黑体" w:cs="黑体"/>
          <w:sz w:val="32"/>
          <w:szCs w:val="32"/>
          <w:lang w:val="en-US" w:bidi="en-US"/>
        </w:rPr>
        <w:t xml:space="preserve"> </w:t>
      </w:r>
      <w:r>
        <w:rPr>
          <w:rFonts w:hint="eastAsia" w:ascii="黑体" w:hAnsi="黑体" w:eastAsia="黑体" w:cs="黑体"/>
          <w:sz w:val="32"/>
          <w:szCs w:val="32"/>
          <w:lang w:val="en-US" w:bidi="en-US"/>
        </w:rPr>
        <w:t>上海市龙华烈士陵园草花换植标准</w:t>
      </w:r>
    </w:p>
    <w:p>
      <w:pPr>
        <w:widowControl/>
        <w:autoSpaceDE/>
        <w:autoSpaceDN/>
        <w:spacing w:line="560" w:lineRule="exact"/>
        <w:jc w:val="both"/>
        <w:rPr>
          <w:rFonts w:ascii="黑体" w:hAnsi="黑体" w:eastAsia="黑体" w:cs="黑体"/>
          <w:sz w:val="32"/>
          <w:szCs w:val="32"/>
          <w:lang w:val="en-US" w:bidi="en-US"/>
        </w:rPr>
      </w:pPr>
    </w:p>
    <w:p>
      <w:pPr>
        <w:widowControl/>
        <w:autoSpaceDE/>
        <w:autoSpaceDN/>
        <w:spacing w:line="560" w:lineRule="exact"/>
        <w:jc w:val="center"/>
        <w:rPr>
          <w:rFonts w:ascii="方正小标宋简体" w:hAnsi="方正小标宋简体" w:eastAsia="方正小标宋简体" w:cs="方正小标宋简体"/>
          <w:sz w:val="44"/>
          <w:szCs w:val="44"/>
          <w:lang w:val="en-US" w:bidi="en-US"/>
        </w:rPr>
      </w:pPr>
      <w:r>
        <w:rPr>
          <w:rFonts w:hint="eastAsia" w:ascii="方正小标宋简体" w:hAnsi="方正小标宋简体" w:eastAsia="方正小标宋简体" w:cs="方正小标宋简体"/>
          <w:sz w:val="44"/>
          <w:szCs w:val="44"/>
          <w:lang w:val="en-US" w:bidi="en-US"/>
        </w:rPr>
        <w:t>上海市龙华烈士陵园草花换植标准</w:t>
      </w:r>
    </w:p>
    <w:p>
      <w:pPr>
        <w:adjustRightInd w:val="0"/>
        <w:snapToGrid w:val="0"/>
        <w:spacing w:line="560" w:lineRule="exact"/>
        <w:jc w:val="both"/>
        <w:outlineLvl w:val="0"/>
        <w:rPr>
          <w:b/>
          <w:sz w:val="24"/>
        </w:rPr>
      </w:pPr>
    </w:p>
    <w:p>
      <w:pPr>
        <w:tabs>
          <w:tab w:val="left" w:pos="3591"/>
        </w:tabs>
        <w:autoSpaceDE/>
        <w:autoSpaceDN/>
        <w:spacing w:line="560" w:lineRule="exact"/>
        <w:ind w:firstLine="640" w:firstLineChars="200"/>
        <w:jc w:val="both"/>
        <w:rPr>
          <w:rFonts w:ascii="黑体" w:hAnsi="黑体" w:eastAsia="黑体" w:cs="黑体"/>
          <w:sz w:val="32"/>
          <w:szCs w:val="32"/>
          <w:lang w:val="en-US" w:bidi="en-US"/>
        </w:rPr>
      </w:pPr>
      <w:r>
        <w:rPr>
          <w:rFonts w:ascii="黑体" w:hAnsi="黑体" w:eastAsia="黑体" w:cs="黑体"/>
          <w:sz w:val="32"/>
          <w:szCs w:val="32"/>
          <w:lang w:val="en-US" w:bidi="en-US"/>
        </w:rPr>
        <w:t>一、</w:t>
      </w:r>
      <w:r>
        <w:rPr>
          <w:rFonts w:hint="eastAsia" w:ascii="黑体" w:hAnsi="黑体" w:eastAsia="黑体" w:cs="黑体"/>
          <w:sz w:val="32"/>
          <w:szCs w:val="32"/>
          <w:lang w:val="en-US" w:bidi="en-US"/>
        </w:rPr>
        <w:t>景观面貌</w:t>
      </w:r>
    </w:p>
    <w:p>
      <w:pPr>
        <w:spacing w:line="560" w:lineRule="atLeast"/>
        <w:ind w:firstLine="640" w:firstLineChars="200"/>
        <w:jc w:val="both"/>
        <w:rPr>
          <w:rFonts w:ascii="仿宋_GB2312" w:eastAsia="仿宋_GB2312"/>
          <w:sz w:val="32"/>
          <w:szCs w:val="32"/>
        </w:rPr>
      </w:pPr>
      <w:r>
        <w:rPr>
          <w:rFonts w:ascii="仿宋_GB2312" w:eastAsia="仿宋_GB2312"/>
          <w:sz w:val="32"/>
          <w:szCs w:val="32"/>
        </w:rPr>
        <w:t xml:space="preserve">1.1 </w:t>
      </w:r>
      <w:r>
        <w:rPr>
          <w:rFonts w:hint="eastAsia" w:ascii="仿宋_GB2312" w:eastAsia="仿宋_GB2312"/>
          <w:sz w:val="32"/>
          <w:szCs w:val="32"/>
        </w:rPr>
        <w:t>花坛</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花期统一；种植后一周内即达到良好的观赏效果，观花型草花有90%以上的植株开花；色彩艳丽，图案规整；株行距整齐，黄土不裸露；无残花、黄叶、枯叶残留；更换及时，间歇期不超过10天；无超过草花高度的杂草；无明显的病虫害危害症状。</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1</w:t>
      </w:r>
      <w:r>
        <w:rPr>
          <w:rFonts w:ascii="仿宋_GB2312" w:eastAsia="仿宋_GB2312"/>
          <w:sz w:val="32"/>
          <w:szCs w:val="32"/>
        </w:rPr>
        <w:t xml:space="preserve">.2 </w:t>
      </w:r>
      <w:r>
        <w:rPr>
          <w:rFonts w:hint="eastAsia" w:ascii="仿宋_GB2312" w:eastAsia="仿宋_GB2312"/>
          <w:sz w:val="32"/>
          <w:szCs w:val="32"/>
        </w:rPr>
        <w:t>花境</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层次保持良好，无相互穿插和挤压的现象；各种开花植物花期正常；无残花、黄叶、枯叶、枯枝残留；无超过花镜植物高度的杂草；植物生长期黄土不裸露；长势不良植物须及时更新；无明显的病虫害危害症状。</w:t>
      </w:r>
    </w:p>
    <w:p>
      <w:pPr>
        <w:spacing w:line="560" w:lineRule="atLeast"/>
        <w:ind w:firstLine="640" w:firstLineChars="200"/>
        <w:jc w:val="both"/>
        <w:rPr>
          <w:rFonts w:ascii="仿宋_GB2312" w:eastAsia="仿宋_GB2312"/>
          <w:sz w:val="32"/>
          <w:szCs w:val="32"/>
        </w:rPr>
      </w:pPr>
      <w:r>
        <w:rPr>
          <w:rFonts w:ascii="仿宋_GB2312" w:eastAsia="仿宋_GB2312"/>
          <w:sz w:val="32"/>
          <w:szCs w:val="32"/>
        </w:rPr>
        <w:t>1.3</w:t>
      </w:r>
      <w:r>
        <w:rPr>
          <w:rFonts w:hint="eastAsia" w:ascii="仿宋_GB2312" w:eastAsia="仿宋_GB2312"/>
          <w:sz w:val="32"/>
          <w:szCs w:val="32"/>
        </w:rPr>
        <w:t xml:space="preserve"> 花坛种植</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花坛种植必须有详细的计划方案，图案、品种、花色的清单目录等；换花前必须对种植地进行中耕翻地；种植前必须平整完种植地，完成图案放样。</w:t>
      </w:r>
    </w:p>
    <w:p>
      <w:pPr>
        <w:tabs>
          <w:tab w:val="left" w:pos="3591"/>
        </w:tabs>
        <w:autoSpaceDE/>
        <w:autoSpaceDN/>
        <w:spacing w:line="560" w:lineRule="exact"/>
        <w:ind w:firstLine="640" w:firstLineChars="200"/>
        <w:jc w:val="both"/>
        <w:rPr>
          <w:rFonts w:ascii="黑体" w:hAnsi="黑体" w:eastAsia="黑体" w:cs="黑体"/>
          <w:sz w:val="32"/>
          <w:szCs w:val="32"/>
          <w:lang w:val="en-US" w:bidi="en-US"/>
        </w:rPr>
      </w:pPr>
      <w:r>
        <w:rPr>
          <w:rFonts w:hint="eastAsia" w:ascii="黑体" w:hAnsi="黑体" w:eastAsia="黑体" w:cs="黑体"/>
          <w:sz w:val="32"/>
          <w:szCs w:val="32"/>
          <w:lang w:val="en-US" w:bidi="en-US"/>
        </w:rPr>
        <w:t>二、 技术措施</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2.1</w:t>
      </w:r>
      <w:r>
        <w:rPr>
          <w:rFonts w:ascii="仿宋_GB2312" w:eastAsia="仿宋_GB2312"/>
          <w:sz w:val="32"/>
          <w:szCs w:val="32"/>
        </w:rPr>
        <w:t xml:space="preserve"> </w:t>
      </w:r>
      <w:r>
        <w:rPr>
          <w:rFonts w:hint="eastAsia" w:ascii="仿宋_GB2312" w:eastAsia="仿宋_GB2312"/>
          <w:sz w:val="32"/>
          <w:szCs w:val="32"/>
        </w:rPr>
        <w:t>土壤准备等工作</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（1）草花育苗和改良前后的土壤必须提前将土壤样品送到具</w:t>
      </w:r>
      <w:r>
        <w:rPr>
          <w:rFonts w:hint="eastAsia" w:ascii="仿宋_GB2312" w:eastAsia="仿宋_GB2312" w:hAnsiTheme="minorEastAsia"/>
          <w:sz w:val="32"/>
          <w:szCs w:val="32"/>
        </w:rPr>
        <w:t>有</w:t>
      </w:r>
      <w:r>
        <w:rPr>
          <w:rFonts w:hint="eastAsia" w:ascii="仿宋_GB2312" w:hAnsi="Arial Unicode MS" w:eastAsia="仿宋_GB2312" w:cs="Arial Unicode MS"/>
          <w:sz w:val="32"/>
          <w:szCs w:val="32"/>
        </w:rPr>
        <w:t>CMA</w:t>
      </w:r>
      <w:r>
        <w:rPr>
          <w:rFonts w:hint="eastAsia" w:ascii="仿宋_GB2312" w:eastAsia="仿宋_GB2312" w:hAnsiTheme="minorEastAsia"/>
          <w:sz w:val="32"/>
          <w:szCs w:val="32"/>
        </w:rPr>
        <w:t>认证的</w:t>
      </w:r>
      <w:r>
        <w:rPr>
          <w:rFonts w:hint="eastAsia" w:ascii="仿宋_GB2312" w:hAnsi="Arial Unicode MS" w:eastAsia="仿宋_GB2312" w:cs="Arial Unicode MS"/>
          <w:sz w:val="32"/>
          <w:szCs w:val="32"/>
        </w:rPr>
        <w:t>第三方</w:t>
      </w:r>
      <w:r>
        <w:rPr>
          <w:rFonts w:hint="eastAsia" w:ascii="仿宋_GB2312" w:hAnsi="黑体" w:eastAsia="仿宋_GB2312"/>
          <w:sz w:val="32"/>
          <w:szCs w:val="32"/>
        </w:rPr>
        <w:t>检测机构</w:t>
      </w:r>
      <w:r>
        <w:rPr>
          <w:rFonts w:hint="eastAsia" w:ascii="仿宋_GB2312" w:eastAsia="仿宋_GB2312"/>
          <w:sz w:val="32"/>
          <w:szCs w:val="32"/>
        </w:rPr>
        <w:t>进行检测，并在种植草花前取得符合要求的检测数据和成果报告，根据报告进行土壤改良。</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w:t>
      </w:r>
      <w:r>
        <w:rPr>
          <w:rFonts w:ascii="仿宋_GB2312" w:eastAsia="仿宋_GB2312"/>
          <w:sz w:val="32"/>
          <w:szCs w:val="32"/>
        </w:rPr>
        <w:t>2</w:t>
      </w:r>
      <w:r>
        <w:rPr>
          <w:rFonts w:hint="eastAsia" w:ascii="仿宋_GB2312" w:eastAsia="仿宋_GB2312"/>
          <w:sz w:val="32"/>
          <w:szCs w:val="32"/>
        </w:rPr>
        <w:t>）拔除草花，翻土整地，翻土深度内清除杂草根，碎砖、石块等杂物，严禁含有害物质和大于</w:t>
      </w:r>
      <w:r>
        <w:rPr>
          <w:rFonts w:hint="eastAsia" w:ascii="仿宋_GB2312" w:eastAsia="仿宋_GB2312"/>
          <w:sz w:val="32"/>
          <w:szCs w:val="32"/>
          <w:lang w:val="en-US"/>
        </w:rPr>
        <w:t>1</w:t>
      </w:r>
      <w:r>
        <w:rPr>
          <w:rFonts w:hint="eastAsia" w:ascii="仿宋_GB2312" w:eastAsia="仿宋_GB2312"/>
          <w:sz w:val="32"/>
          <w:szCs w:val="32"/>
        </w:rPr>
        <w:t>cm以上的石子等杂物。</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w:t>
      </w:r>
      <w:r>
        <w:rPr>
          <w:rFonts w:ascii="仿宋_GB2312" w:eastAsia="仿宋_GB2312"/>
          <w:sz w:val="32"/>
          <w:szCs w:val="32"/>
        </w:rPr>
        <w:t>3</w:t>
      </w:r>
      <w:r>
        <w:rPr>
          <w:rFonts w:hint="eastAsia" w:ascii="仿宋_GB2312" w:eastAsia="仿宋_GB2312"/>
          <w:sz w:val="32"/>
          <w:szCs w:val="32"/>
        </w:rPr>
        <w:t>）对不利草花生长的土壤必须用富含有机物质的培养土更换改良。</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w:t>
      </w:r>
      <w:r>
        <w:rPr>
          <w:rFonts w:ascii="仿宋_GB2312" w:eastAsia="仿宋_GB2312"/>
          <w:sz w:val="32"/>
          <w:szCs w:val="32"/>
        </w:rPr>
        <w:t>4</w:t>
      </w:r>
      <w:r>
        <w:rPr>
          <w:rFonts w:hint="eastAsia" w:ascii="仿宋_GB2312" w:eastAsia="仿宋_GB2312"/>
          <w:sz w:val="32"/>
          <w:szCs w:val="32"/>
        </w:rPr>
        <w:t>）土壤改良时，必须采用充分发酵的有机物质。</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w:t>
      </w:r>
      <w:r>
        <w:rPr>
          <w:rFonts w:ascii="仿宋_GB2312" w:eastAsia="仿宋_GB2312"/>
          <w:sz w:val="32"/>
          <w:szCs w:val="32"/>
        </w:rPr>
        <w:t>5</w:t>
      </w:r>
      <w:r>
        <w:rPr>
          <w:rFonts w:hint="eastAsia" w:ascii="仿宋_GB2312" w:eastAsia="仿宋_GB2312"/>
          <w:sz w:val="32"/>
          <w:szCs w:val="32"/>
        </w:rPr>
        <w:t>）土壤必须经过消毒，严禁含有病菌或对植物、人、动物有害的有毒物质。</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2.2 草花养护</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2.2.</w:t>
      </w:r>
      <w:r>
        <w:rPr>
          <w:rFonts w:ascii="仿宋_GB2312" w:eastAsia="仿宋_GB2312"/>
          <w:sz w:val="32"/>
          <w:szCs w:val="32"/>
        </w:rPr>
        <w:t xml:space="preserve">1 </w:t>
      </w:r>
      <w:r>
        <w:rPr>
          <w:rFonts w:hint="eastAsia" w:ascii="仿宋_GB2312" w:eastAsia="仿宋_GB2312"/>
          <w:sz w:val="32"/>
          <w:szCs w:val="32"/>
        </w:rPr>
        <w:t>水分管理</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新换植草花及时浇透水，且在确保根部不受窒息伤害的前提下，经常浇水。根据天气和季节按需进行浇水，气候季节不同，浇水的间隔时间也不一样；每次浇水时应湿透根系，同一布置地点部分草花材料栽植土壤偏干时，应进行局部补水。春、夏、秋季浇水应于上午进行，阴天可全天进行浇水，夏季应避免午间高温浇水。冬季浇水应在午间进行。梅雨、暴雨季节应加强巡查，保持排水通畅。每次浇水后要避免泥土冲刷到草坪或地面，避免泥浆外流影响美观。</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2.2.2 中耕除草</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雨后或浇灌后但土壤不能太湿时应及时中耕，以保证土壤的通气性，提高草花的长势，深度以不伤根为原则。草花长势旺盛时节因根系密布且较浅，中耕易浅，以3-5cm为宜，避免过深伤根。除草应在杂草发生之初，尽早进行。因此杂草根系较浅，入土不深，易于去除，否则日后清除费力；杂草开花结实之前必须除清，多年生杂草必须将其地下部分全部掘除，可结合中耕进行。</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2.2.3 病虫害防治</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应针对不同草花对不同病虫害的易感性及不同的高发期进行研究，制定个性化的防治措施，针对性喷洒药物。对于已经感染的植株，应及早移除，避免感染范围扩大，早发现，综合治理，保护草花生长。</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2.2.4 补植和更新</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对花坛内的缺株和空秃以及表现不良的草花应在3天内补植同品质同规格的植株。</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2.2.5 切边处理</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花坛与草坪之间采用切边处理，切边线条流畅。切边角度在45度左右，深度约在15厘米。</w:t>
      </w:r>
    </w:p>
    <w:p>
      <w:pPr>
        <w:autoSpaceDE/>
        <w:autoSpaceDN/>
        <w:spacing w:line="560" w:lineRule="exact"/>
        <w:ind w:right="484" w:rightChars="220" w:firstLine="640" w:firstLineChars="200"/>
        <w:contextualSpacing/>
        <w:jc w:val="both"/>
        <w:outlineLvl w:val="0"/>
        <w:rPr>
          <w:rFonts w:ascii="仿宋_GB2312" w:eastAsia="仿宋_GB2312" w:hAnsiTheme="minorEastAsia"/>
          <w:color w:val="000000" w:themeColor="text1"/>
          <w:sz w:val="32"/>
          <w:szCs w:val="32"/>
          <w14:textFill>
            <w14:solidFill>
              <w14:schemeClr w14:val="tx1"/>
            </w14:solidFill>
          </w14:textFill>
        </w:rPr>
      </w:pPr>
      <w:r>
        <w:rPr>
          <w:rFonts w:hint="eastAsia" w:ascii="仿宋_GB2312" w:eastAsia="仿宋_GB2312"/>
          <w:sz w:val="32"/>
          <w:szCs w:val="32"/>
        </w:rPr>
        <w:t>2.2.</w:t>
      </w:r>
      <w:r>
        <w:rPr>
          <w:rFonts w:ascii="仿宋_GB2312" w:eastAsia="仿宋_GB2312"/>
          <w:sz w:val="32"/>
          <w:szCs w:val="32"/>
        </w:rPr>
        <w:t>6</w:t>
      </w:r>
      <w:r>
        <w:rPr>
          <w:rFonts w:hint="eastAsia" w:ascii="仿宋_GB2312" w:eastAsia="仿宋_GB2312" w:hAnsiTheme="minorEastAsia"/>
          <w:color w:val="000000" w:themeColor="text1"/>
          <w:sz w:val="32"/>
          <w:szCs w:val="32"/>
          <w14:textFill>
            <w14:solidFill>
              <w14:schemeClr w14:val="tx1"/>
            </w14:solidFill>
          </w14:textFill>
        </w:rPr>
        <w:t>工完场清</w:t>
      </w:r>
    </w:p>
    <w:p>
      <w:pPr>
        <w:autoSpaceDE/>
        <w:autoSpaceDN/>
        <w:spacing w:line="560" w:lineRule="exact"/>
        <w:ind w:right="484" w:rightChars="220" w:firstLine="640" w:firstLineChars="200"/>
        <w:contextualSpacing/>
        <w:jc w:val="both"/>
        <w:outlineLvl w:val="0"/>
        <w:rPr>
          <w:rFonts w:ascii="仿宋_GB2312" w:eastAsia="仿宋_GB2312" w:hAnsiTheme="minorEastAsia"/>
          <w:color w:val="000000" w:themeColor="text1"/>
          <w:sz w:val="32"/>
          <w:szCs w:val="32"/>
          <w14:textFill>
            <w14:solidFill>
              <w14:schemeClr w14:val="tx1"/>
            </w14:solidFill>
          </w14:textFill>
        </w:rPr>
      </w:pPr>
      <w:r>
        <w:rPr>
          <w:rFonts w:hint="eastAsia" w:ascii="仿宋_GB2312" w:eastAsia="仿宋_GB2312" w:hAnsiTheme="minorEastAsia"/>
          <w:color w:val="000000" w:themeColor="text1"/>
          <w:sz w:val="32"/>
          <w:szCs w:val="32"/>
          <w14:textFill>
            <w14:solidFill>
              <w14:schemeClr w14:val="tx1"/>
            </w14:solidFill>
          </w14:textFill>
        </w:rPr>
        <w:t>废弃物随时清运，无留置超过2小时的现象；遇大型活动时养护产生的废弃物必须直接装车，无堆放现象；遗落在路面的废弃物及时清理，保证路面整洁。</w:t>
      </w:r>
    </w:p>
    <w:p>
      <w:pPr>
        <w:spacing w:line="560" w:lineRule="atLeast"/>
        <w:ind w:firstLine="640" w:firstLineChars="200"/>
        <w:jc w:val="both"/>
        <w:rPr>
          <w:rFonts w:ascii="仿宋_GB2312" w:eastAsia="仿宋_GB2312"/>
          <w:sz w:val="32"/>
          <w:szCs w:val="32"/>
        </w:rPr>
      </w:pPr>
      <w:r>
        <w:rPr>
          <w:rFonts w:ascii="仿宋_GB2312" w:eastAsia="仿宋_GB2312"/>
          <w:sz w:val="32"/>
          <w:szCs w:val="32"/>
        </w:rPr>
        <w:t>2.2.7</w:t>
      </w:r>
      <w:r>
        <w:rPr>
          <w:rFonts w:hint="eastAsia" w:ascii="仿宋_GB2312" w:eastAsia="仿宋_GB2312"/>
          <w:sz w:val="32"/>
          <w:szCs w:val="32"/>
        </w:rPr>
        <w:t xml:space="preserve"> 废弃物处理</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废弃物根据园区垃圾要求分类堆放，保证废弃物堆放有序；农药、空瓶等废弃物应严格按照垃圾分类的方式进行管理和投放，形成闭环。</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2.</w:t>
      </w:r>
      <w:r>
        <w:rPr>
          <w:rFonts w:ascii="仿宋_GB2312" w:eastAsia="仿宋_GB2312"/>
          <w:sz w:val="32"/>
          <w:szCs w:val="32"/>
        </w:rPr>
        <w:t xml:space="preserve">3 </w:t>
      </w:r>
      <w:r>
        <w:rPr>
          <w:rFonts w:hint="eastAsia" w:ascii="仿宋_GB2312" w:eastAsia="仿宋_GB2312"/>
          <w:sz w:val="32"/>
          <w:szCs w:val="32"/>
        </w:rPr>
        <w:t>计划、总结与档案</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中标单位做好台帐；每周须提交本周工作内容及下周工作计划，每季度底提交季度工作小结，并提交整改方案；各类养护档案记录完整，无遗漏和错记，定期提交绿化部归档。</w:t>
      </w:r>
    </w:p>
    <w:p>
      <w:pPr>
        <w:tabs>
          <w:tab w:val="left" w:pos="3591"/>
        </w:tabs>
        <w:autoSpaceDE/>
        <w:autoSpaceDN/>
        <w:spacing w:line="560" w:lineRule="exact"/>
        <w:ind w:firstLine="640" w:firstLineChars="200"/>
        <w:jc w:val="both"/>
        <w:rPr>
          <w:rFonts w:ascii="黑体" w:hAnsi="黑体" w:eastAsia="黑体" w:cs="黑体"/>
          <w:sz w:val="32"/>
          <w:szCs w:val="32"/>
          <w:lang w:val="en-US" w:bidi="en-US"/>
        </w:rPr>
      </w:pPr>
      <w:r>
        <w:rPr>
          <w:rFonts w:hint="eastAsia" w:ascii="黑体" w:hAnsi="黑体" w:eastAsia="黑体" w:cs="黑体"/>
          <w:sz w:val="32"/>
          <w:szCs w:val="32"/>
          <w:lang w:val="en-US" w:bidi="en-US"/>
        </w:rPr>
        <w:t>三、管理要求</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龙陵园区开放时间：6:00-17:30；纪念馆开放时间：9:00-16:30。施工时间在开放时间段内，若因工作需要提前或延后，需提前报备项目经理，再由项目经理报备甲方负责人。</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制度化管理，工作人员行为举止、操作流程、工具摆放使用规范；劳动防护、设施、设备操作安全措施明确；用工合法合规，岗位配置足额，确保队伍稳定，不得违反劳动法相关用工规定。符合甲方</w:t>
      </w:r>
      <w:r>
        <w:rPr>
          <w:rFonts w:hint="eastAsia" w:ascii="仿宋_GB2312" w:hAnsi="黑体" w:eastAsia="仿宋_GB2312"/>
          <w:sz w:val="32"/>
          <w:szCs w:val="32"/>
        </w:rPr>
        <w:t>ISO标准化管</w:t>
      </w:r>
      <w:r>
        <w:rPr>
          <w:rFonts w:hint="eastAsia" w:ascii="仿宋_GB2312" w:eastAsia="仿宋_GB2312"/>
          <w:sz w:val="32"/>
          <w:szCs w:val="32"/>
        </w:rPr>
        <w:t>理要求。</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3.1 岗位素质要求</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严格履行考勤制度，着装标识统一规范，语言举止文明得体，安全措施落实到位；禁止赤膊、穿拖鞋等不雅行为发生；禁止在园内的各种桌椅上用餐、睡觉；禁止与游客发生争执；由于烈士陵园的特殊性，草花种植和养护人员在陵园工作期间不得随意打闹、大声喧哗，墓地草坪不得停留。</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3.2 岗位配置要求</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施工现场项目管理机构拟派人员最低应为</w:t>
      </w:r>
      <w:r>
        <w:rPr>
          <w:rFonts w:ascii="仿宋_GB2312" w:eastAsia="仿宋_GB2312"/>
          <w:sz w:val="32"/>
          <w:szCs w:val="32"/>
        </w:rPr>
        <w:t>4人（含）以上，且需包含园林项目经理、安全员、质量员、材料员各1名。</w:t>
      </w:r>
      <w:r>
        <w:rPr>
          <w:rFonts w:hint="eastAsia" w:ascii="仿宋_GB2312" w:eastAsia="仿宋_GB2312"/>
          <w:sz w:val="32"/>
          <w:szCs w:val="32"/>
        </w:rPr>
        <w:t>常规养护服务岗位数不得少于</w:t>
      </w:r>
      <w:r>
        <w:rPr>
          <w:rFonts w:ascii="仿宋_GB2312" w:eastAsia="仿宋_GB2312"/>
          <w:sz w:val="32"/>
          <w:szCs w:val="32"/>
        </w:rPr>
        <w:t>5个，</w:t>
      </w:r>
      <w:r>
        <w:rPr>
          <w:rFonts w:ascii="仿宋_GB2312" w:eastAsia="仿宋_GB2312" w:hAnsiTheme="minorEastAsia"/>
          <w:color w:val="000000" w:themeColor="text1"/>
          <w:sz w:val="32"/>
          <w:szCs w:val="32"/>
          <w14:textFill>
            <w14:solidFill>
              <w14:schemeClr w14:val="tx1"/>
            </w14:solidFill>
          </w14:textFill>
        </w:rPr>
        <w:t>年龄均在60周岁以下且年龄在</w:t>
      </w:r>
      <w:r>
        <w:rPr>
          <w:rFonts w:hint="eastAsia" w:ascii="仿宋_GB2312" w:eastAsia="仿宋_GB2312" w:hAnsiTheme="minorEastAsia"/>
          <w:color w:val="000000" w:themeColor="text1"/>
          <w:sz w:val="32"/>
          <w:szCs w:val="32"/>
          <w14:textFill>
            <w14:solidFill>
              <w14:schemeClr w14:val="tx1"/>
            </w14:solidFill>
          </w14:textFill>
        </w:rPr>
        <w:t>5</w:t>
      </w:r>
      <w:r>
        <w:rPr>
          <w:rFonts w:ascii="仿宋_GB2312" w:eastAsia="仿宋_GB2312" w:hAnsiTheme="minorEastAsia"/>
          <w:color w:val="000000" w:themeColor="text1"/>
          <w:sz w:val="32"/>
          <w:szCs w:val="32"/>
          <w14:textFill>
            <w14:solidFill>
              <w14:schemeClr w14:val="tx1"/>
            </w14:solidFill>
          </w14:textFill>
        </w:rPr>
        <w:t>0周岁以下的不得少于</w:t>
      </w:r>
      <w:r>
        <w:rPr>
          <w:rFonts w:hint="eastAsia" w:ascii="仿宋_GB2312" w:eastAsia="仿宋_GB2312" w:hAnsiTheme="minorEastAsia"/>
          <w:color w:val="000000" w:themeColor="text1"/>
          <w:sz w:val="32"/>
          <w:szCs w:val="32"/>
          <w14:textFill>
            <w14:solidFill>
              <w14:schemeClr w14:val="tx1"/>
            </w14:solidFill>
          </w14:textFill>
        </w:rPr>
        <w:t>5个</w:t>
      </w:r>
      <w:r>
        <w:rPr>
          <w:rFonts w:ascii="仿宋_GB2312" w:eastAsia="仿宋_GB2312" w:hAnsiTheme="minorEastAsia"/>
          <w:color w:val="000000" w:themeColor="text1"/>
          <w:sz w:val="32"/>
          <w:szCs w:val="32"/>
          <w14:textFill>
            <w14:solidFill>
              <w14:schemeClr w14:val="tx1"/>
            </w14:solidFill>
          </w14:textFill>
        </w:rPr>
        <w:t>，</w:t>
      </w:r>
      <w:r>
        <w:rPr>
          <w:rFonts w:hint="eastAsia" w:ascii="仿宋_GB2312" w:eastAsia="仿宋_GB2312"/>
          <w:sz w:val="32"/>
          <w:szCs w:val="32"/>
        </w:rPr>
        <w:t>要配置园林绿化</w:t>
      </w:r>
      <w:r>
        <w:rPr>
          <w:rFonts w:ascii="仿宋_GB2312" w:eastAsia="仿宋_GB2312"/>
          <w:sz w:val="32"/>
          <w:szCs w:val="32"/>
        </w:rPr>
        <w:t>高级工1名及以上，绿化中级工2名及以上，种植用工不得少于20个</w:t>
      </w:r>
      <w:r>
        <w:rPr>
          <w:rFonts w:hint="eastAsia" w:ascii="仿宋_GB2312" w:eastAsia="仿宋_GB2312"/>
          <w:sz w:val="32"/>
          <w:szCs w:val="32"/>
        </w:rPr>
        <w:t>。</w:t>
      </w:r>
      <w:r>
        <w:rPr>
          <w:rFonts w:ascii="仿宋_GB2312" w:eastAsia="仿宋_GB2312"/>
          <w:sz w:val="32"/>
          <w:szCs w:val="32"/>
        </w:rPr>
        <w:t>其他临时工总数按照实际需要由中标单位自行核算申报</w:t>
      </w:r>
      <w:r>
        <w:rPr>
          <w:rFonts w:hint="eastAsia" w:ascii="仿宋_GB2312" w:eastAsia="仿宋_GB2312"/>
          <w:sz w:val="32"/>
          <w:szCs w:val="32"/>
        </w:rPr>
        <w:t>；养护人员身体健康，五官端正，团队融合度好，主动服务意识强，接受过上岗培训，无不良记录；注重人文关怀，推进和谐团队建设，增强团队的凝聚力，保持养护人员队伍的稳定；每季度对养护人员进行职业道德、操作技能、安全知识、相关文件的培训，并做好相关记录等工作；对关键岗位、技术岗位的养护人员培训后才能上岗；充分听取甲方意见和建议，建立科学的激励机制，鼓励、奖励优秀养护人员，调动全体养护人员的积极性、主动性；保证从事本项目的人员具备相应的职业资格和应有的素质要求；调整管理人员及技术骨干，应事先通报甲方，并得到甲方认可；对甲方提出认为不适合的种植养护人员，应及时作出相应调整、更换。每年人员流动率保持在3</w:t>
      </w:r>
      <w:r>
        <w:rPr>
          <w:rFonts w:ascii="仿宋_GB2312" w:eastAsia="仿宋_GB2312"/>
          <w:sz w:val="32"/>
          <w:szCs w:val="32"/>
        </w:rPr>
        <w:t>0</w:t>
      </w:r>
      <w:r>
        <w:rPr>
          <w:rFonts w:hint="eastAsia" w:ascii="仿宋_GB2312" w:eastAsia="仿宋_GB2312"/>
          <w:sz w:val="32"/>
          <w:szCs w:val="32"/>
        </w:rPr>
        <w:t>%以内。</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3.3 绿化养护休息室使用制度</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绿化养护休息室供养护队临时休息或者值班使用；房间内不得私拉电线，使用陵园配备外的大功率电器；值班过夜需项目经理根据工作需要提出申请，经甲方负责人审批后方可；养护车辆要停放在陵园指定停放点，不得任意停放在绿化养护休息室内；室外休息不得任意在墓地草坪上停留。</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3.4 肥料、药剂等耗材配置要求</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肥料、药剂由提供中标单位提供，甲方提供临时存放点，并做好入库出库登记，便于管理；中标单位需落实肥料、农药的安全使用培训，由甲方监管，控制使用量；养护人员的工作制服、劳防用品等物品由中标单位负责提供。</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3.5 种植养护设备配置要求</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据甲方种植养护需求，涉及但不限于运输车辆、翻土机、施肥机、打药机、喷雾机等种植养护设备，由中标单位提供并负责安全使用；养护设备存放地点由甲方提供，养护人员使用人需按规存放，并做好日常保养，操作规程安全有效，确保使用正常，无安全隐患。</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3.6 规范管理制度要求</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管理工作有章可循，考核有据可查。中标单位需建立和执行以下管理制度：工作人员行为规范及奖惩制度、员工培训制度、工作质量标准、工休时间规定、安全操作规程、物料领用制度、劳动防护及工伤处理制度、重大活动工作预案等。</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养护队考勤表及ISO各涉及绿化养护的表单由实际操作人每月按实填报，项目经理签字后递交甲方负责人。若遇极端天气影响或工作需要，养护队派驻值班人员进行值班，值班记录应反映在当月考勤表中。</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3.7 安全管理措施要求</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加强安全教育，落实安全操作规程，完善劳动防护、防暑降温条件，防范安全事故的发生；制定休息室安全用电措施，确保冷藏、加热设备性能完好，保证工作人员用餐安全。高温天气注意避开高温时期进行室外作业，极端天气注意安全防范工作。</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3.7.1 劳动防护</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养护作业前，劳动防护用品必须配备齐全。养护作业时，必须佩带相关的防护用具。</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3.7.2 机械操作</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养护工具随身携带，规范操作，统一管理，严禁随地乱放。园区作业时，长度超过2m以上的工具在不使用时必须平放在地面。</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操作机械时必须，做好维护警示，注意周围情况，防止伤及他人，人员密集时应避开或停止操作。机械操作时必须佩带相关的防护用具。妥善安排好养护工具的摆放。</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3.7.3 养护车辆</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禁止车辆在园内鸣笛，园内车辆行驶速度小于</w:t>
      </w:r>
      <w:r>
        <w:rPr>
          <w:rFonts w:ascii="仿宋_GB2312" w:eastAsia="仿宋_GB2312"/>
          <w:sz w:val="32"/>
          <w:szCs w:val="32"/>
        </w:rPr>
        <w:t>15</w:t>
      </w:r>
      <w:r>
        <w:rPr>
          <w:rFonts w:hint="eastAsia" w:ascii="仿宋_GB2312" w:eastAsia="仿宋_GB2312"/>
          <w:sz w:val="32"/>
          <w:szCs w:val="32"/>
        </w:rPr>
        <w:t>码，车辆行驶须避客让行，禁止车辆穿越人群，遇大量游客时必须停止行驶。园内车辆须停放在指定位置，不得任意在祭扫平台、绿地草坪上行驶。</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3.7.</w:t>
      </w:r>
      <w:r>
        <w:rPr>
          <w:rFonts w:ascii="仿宋_GB2312" w:eastAsia="仿宋_GB2312"/>
          <w:sz w:val="32"/>
          <w:szCs w:val="32"/>
        </w:rPr>
        <w:t>4</w:t>
      </w:r>
      <w:r>
        <w:rPr>
          <w:rFonts w:hint="eastAsia" w:ascii="仿宋_GB2312" w:eastAsia="仿宋_GB2312"/>
          <w:sz w:val="32"/>
          <w:szCs w:val="32"/>
        </w:rPr>
        <w:t xml:space="preserve"> 防台防汛</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根据园内防台防汛要求，备好防台抢险的必要物资，必须提前提供值班制度及防台人员的名单和联系方式，服从园内防台工作人员的统一指挥。</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3.8 作业制度</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必须有明确的作业制度，作业制度的更改必须提前通知甲方。</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重要节点期间除必要的浇水养护外不得进行大规模的、机械类的作业，园区浇水采用花洒喷头，浇水养护如用水泵建议在上午8点30分之前或在下午4点30分后进行。遇团队进行仪式或参观时，养护工作应注意机械噪音影响并适当采取避让措施。</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发生临时性事件时须根据园方的要求集合或解散现场作业人。绿化突发事件发生后，养护人员需1小时内到位进行清理和补救措施。若有需上报情况，应发现后半小时内上报甲方负责人。养护人员在应急响应的期间，应服从园区统一调配。</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绿化垃圾应及时驳运到绿化垃圾场地，绿化垃圾长度控制在1米内便于清运。水管浇水拖管不得高于地面，拖管期间时刻留意游客安全。养护期间，若需长时间占用路面，需设置安全警戒线。农药使用时，注意防护用品的使用和区域警戒线的设置并填写ISO农药管理相关文件。根据天气变化，提前做好极端天气的绿化养护防范工作，尽量减少绿化突发事件。</w:t>
      </w:r>
    </w:p>
    <w:p>
      <w:pPr>
        <w:spacing w:line="560" w:lineRule="atLeast"/>
        <w:ind w:firstLine="640" w:firstLineChars="200"/>
        <w:jc w:val="both"/>
        <w:rPr>
          <w:rFonts w:ascii="仿宋_GB2312" w:eastAsia="仿宋_GB2312"/>
          <w:sz w:val="32"/>
          <w:szCs w:val="32"/>
        </w:rPr>
      </w:pPr>
      <w:r>
        <w:rPr>
          <w:rFonts w:hint="eastAsia" w:ascii="黑体" w:hAnsi="黑体" w:eastAsia="黑体" w:cs="黑体"/>
          <w:sz w:val="32"/>
          <w:szCs w:val="32"/>
          <w:lang w:val="en-US" w:bidi="en-US"/>
        </w:rPr>
        <w:t>四、考核要求</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4.1 考核依据</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种植养护服务合同、招标文件所要求的种植效果、种植范围、种植内容、种植要求（标准）和投标文件。</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4.2 考核组织实施</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由甲方组织实施考核，采取现场检查和台账检查。通过深入种植现场，查验种植效果，以及查阅各类运行台账记录，依据考核评分表逐项打分。每季度考核一次。</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4.3 考核奖惩</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4.3.1 季度考核，评分在70分及以上，为考核合格；根据合同甲方全额支付该季度服务费。</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4.3.2 季度考核，评分在60分（含60分）至69分区间，为基本合格；甲方将给予书面警告，并依据服务整体评价，酌情扣除该季度部分服务费用。</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4.3.3 季度考核，评分在60分以下，为不合格；甲方将依据合同约定，有权单方解除合同。</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4.3.4 种植养护服务期间出现下列情况的，甲方有权单方解除合同，并要求中标单位赔偿对应损失的违约金。</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（1）服务内容未达到合同及投标文件约定的。</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（2）服务标准未达到合同及投标文件承诺的。</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（3）游客、职工对种植养护服务的满意率低于75%的。</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（4）因中标方过错，造成甲方巨大损失的。</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（5）发生严重影响、妨碍甲方正常工作秩序的。</w:t>
      </w:r>
    </w:p>
    <w:p>
      <w:pPr>
        <w:spacing w:line="560" w:lineRule="atLeast"/>
        <w:ind w:firstLine="640" w:firstLineChars="200"/>
        <w:jc w:val="both"/>
        <w:rPr>
          <w:rFonts w:ascii="仿宋_GB2312" w:eastAsia="仿宋_GB2312"/>
          <w:sz w:val="32"/>
          <w:szCs w:val="32"/>
        </w:rPr>
      </w:pPr>
      <w:r>
        <w:rPr>
          <w:rFonts w:hint="eastAsia" w:ascii="仿宋_GB2312" w:eastAsia="仿宋_GB2312"/>
          <w:sz w:val="32"/>
          <w:szCs w:val="32"/>
        </w:rPr>
        <w:t>4.4 考核评分表</w:t>
      </w:r>
    </w:p>
    <w:p>
      <w:pPr>
        <w:spacing w:line="560" w:lineRule="atLeast"/>
        <w:jc w:val="both"/>
        <w:rPr>
          <w:rFonts w:ascii="仿宋_GB2312" w:eastAsia="仿宋_GB2312"/>
          <w:sz w:val="32"/>
          <w:szCs w:val="32"/>
        </w:rPr>
      </w:pPr>
    </w:p>
    <w:p>
      <w:pPr>
        <w:spacing w:line="560" w:lineRule="atLeast"/>
        <w:jc w:val="both"/>
        <w:rPr>
          <w:rFonts w:ascii="仿宋_GB2312" w:eastAsia="仿宋_GB2312"/>
          <w:sz w:val="32"/>
          <w:szCs w:val="32"/>
        </w:rPr>
      </w:pPr>
    </w:p>
    <w:p>
      <w:pPr>
        <w:pStyle w:val="10"/>
        <w:adjustRightInd w:val="0"/>
        <w:snapToGrid w:val="0"/>
        <w:spacing w:after="240" w:afterLines="100" w:line="300" w:lineRule="exact"/>
        <w:jc w:val="center"/>
        <w:rPr>
          <w:rFonts w:ascii="仿宋_GB2312" w:cs="宋体" w:hAnsiTheme="minorEastAsia"/>
          <w:b/>
          <w:sz w:val="24"/>
        </w:rPr>
      </w:pPr>
      <w:r>
        <w:rPr>
          <w:rFonts w:hint="eastAsia" w:ascii="仿宋_GB2312" w:eastAsia="仿宋_GB2312" w:cs="宋体" w:hAnsiTheme="minorEastAsia"/>
          <w:b/>
          <w:sz w:val="24"/>
        </w:rPr>
        <w:t>季度考核评分表</w:t>
      </w:r>
      <w:r>
        <w:rPr>
          <w:rFonts w:hint="eastAsia"/>
        </w:rPr>
        <w:t>（总表）</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37"/>
        <w:gridCol w:w="850"/>
        <w:gridCol w:w="1761"/>
        <w:gridCol w:w="1348"/>
        <w:gridCol w:w="474"/>
        <w:gridCol w:w="255"/>
        <w:gridCol w:w="2126"/>
        <w:gridCol w:w="7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jc w:val="center"/>
        </w:trPr>
        <w:tc>
          <w:tcPr>
            <w:tcW w:w="1786" w:type="dxa"/>
            <w:gridSpan w:val="2"/>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r>
              <w:rPr>
                <w:rFonts w:hint="eastAsia" w:ascii="仿宋_GB2312" w:eastAsia="仿宋_GB2312" w:hAnsiTheme="minorEastAsia"/>
                <w:sz w:val="24"/>
              </w:rPr>
              <w:t>考核评分日期</w:t>
            </w:r>
          </w:p>
        </w:tc>
        <w:tc>
          <w:tcPr>
            <w:tcW w:w="1761" w:type="dxa"/>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p>
        </w:tc>
        <w:tc>
          <w:tcPr>
            <w:tcW w:w="1822" w:type="dxa"/>
            <w:gridSpan w:val="2"/>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r>
              <w:rPr>
                <w:rFonts w:hint="eastAsia" w:ascii="仿宋_GB2312" w:eastAsia="仿宋_GB2312" w:hAnsiTheme="minorEastAsia"/>
                <w:sz w:val="24"/>
              </w:rPr>
              <w:t>督导检查人员</w:t>
            </w:r>
          </w:p>
        </w:tc>
        <w:tc>
          <w:tcPr>
            <w:tcW w:w="3087" w:type="dxa"/>
            <w:gridSpan w:val="3"/>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jc w:val="center"/>
        </w:trPr>
        <w:tc>
          <w:tcPr>
            <w:tcW w:w="1786" w:type="dxa"/>
            <w:gridSpan w:val="2"/>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r>
              <w:rPr>
                <w:rFonts w:hint="eastAsia" w:ascii="仿宋_GB2312" w:eastAsia="仿宋_GB2312" w:hAnsiTheme="minorEastAsia"/>
                <w:sz w:val="24"/>
              </w:rPr>
              <w:t>外包服务单位</w:t>
            </w:r>
          </w:p>
        </w:tc>
        <w:tc>
          <w:tcPr>
            <w:tcW w:w="6670" w:type="dxa"/>
            <w:gridSpan w:val="6"/>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jc w:val="center"/>
        </w:trPr>
        <w:tc>
          <w:tcPr>
            <w:tcW w:w="936"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类别</w:t>
            </w:r>
          </w:p>
        </w:tc>
        <w:tc>
          <w:tcPr>
            <w:tcW w:w="3959" w:type="dxa"/>
            <w:gridSpan w:val="3"/>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考核内容</w:t>
            </w:r>
          </w:p>
        </w:tc>
        <w:tc>
          <w:tcPr>
            <w:tcW w:w="729" w:type="dxa"/>
            <w:gridSpan w:val="2"/>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规定</w:t>
            </w:r>
          </w:p>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分值</w:t>
            </w:r>
          </w:p>
        </w:tc>
        <w:tc>
          <w:tcPr>
            <w:tcW w:w="2126"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评分标准</w:t>
            </w:r>
          </w:p>
        </w:tc>
        <w:tc>
          <w:tcPr>
            <w:tcW w:w="706" w:type="dxa"/>
            <w:tcBorders>
              <w:top w:val="single" w:color="auto" w:sz="4" w:space="0"/>
              <w:left w:val="single" w:color="auto" w:sz="4" w:space="0"/>
              <w:bottom w:val="single" w:color="auto" w:sz="4" w:space="0"/>
              <w:right w:val="single" w:color="auto" w:sz="4" w:space="0"/>
            </w:tcBorders>
            <w:vAlign w:val="center"/>
          </w:tcPr>
          <w:p>
            <w:pPr>
              <w:widowControl/>
              <w:spacing w:line="300" w:lineRule="exact"/>
              <w:jc w:val="both"/>
              <w:rPr>
                <w:rFonts w:ascii="仿宋_GB2312" w:eastAsia="仿宋_GB2312" w:hAnsiTheme="minorEastAsia"/>
                <w:sz w:val="24"/>
              </w:rPr>
            </w:pPr>
            <w:r>
              <w:rPr>
                <w:rFonts w:hint="eastAsia" w:ascii="仿宋_GB2312" w:eastAsia="仿宋_GB2312" w:hAnsiTheme="minorEastAsia"/>
                <w:sz w:val="24"/>
              </w:rPr>
              <w:t>考核</w:t>
            </w:r>
          </w:p>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4" w:hRule="atLeast"/>
          <w:jc w:val="center"/>
        </w:trPr>
        <w:tc>
          <w:tcPr>
            <w:tcW w:w="936"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种植养护服务质量</w:t>
            </w:r>
          </w:p>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（80）</w:t>
            </w:r>
          </w:p>
        </w:tc>
        <w:tc>
          <w:tcPr>
            <w:tcW w:w="3959" w:type="dxa"/>
            <w:gridSpan w:val="3"/>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制定</w:t>
            </w:r>
            <w:r>
              <w:rPr>
                <w:rFonts w:hint="eastAsia" w:ascii="仿宋_GB2312" w:eastAsia="仿宋_GB2312" w:hAnsiTheme="minorEastAsia"/>
                <w:sz w:val="24"/>
                <w:lang w:val="en-US"/>
              </w:rPr>
              <w:t>合理的草花换植方案及针对性的</w:t>
            </w:r>
            <w:r>
              <w:rPr>
                <w:rFonts w:hint="eastAsia" w:ascii="仿宋_GB2312" w:eastAsia="仿宋_GB2312" w:hAnsiTheme="minorEastAsia"/>
                <w:sz w:val="24"/>
              </w:rPr>
              <w:t>养护</w:t>
            </w:r>
            <w:r>
              <w:rPr>
                <w:rFonts w:hint="eastAsia" w:ascii="仿宋_GB2312" w:eastAsia="仿宋_GB2312" w:hAnsiTheme="minorEastAsia"/>
                <w:sz w:val="24"/>
                <w:lang w:val="en-US"/>
              </w:rPr>
              <w:t>月</w:t>
            </w:r>
            <w:r>
              <w:rPr>
                <w:rFonts w:hint="eastAsia" w:ascii="仿宋_GB2312" w:eastAsia="仿宋_GB2312" w:hAnsiTheme="minorEastAsia"/>
                <w:sz w:val="24"/>
              </w:rPr>
              <w:t>工作计划；</w:t>
            </w:r>
            <w:r>
              <w:rPr>
                <w:rFonts w:hint="eastAsia" w:ascii="仿宋_GB2312" w:eastAsia="仿宋_GB2312" w:hAnsiTheme="minorEastAsia"/>
                <w:sz w:val="24"/>
                <w:lang w:val="en-US"/>
              </w:rPr>
              <w:t>提供草花育苗计划；突发任务合理安排，发现问题及时进行整改并分析。</w:t>
            </w:r>
            <w:r>
              <w:rPr>
                <w:rFonts w:hint="eastAsia" w:ascii="仿宋_GB2312" w:eastAsia="仿宋_GB2312" w:hAnsiTheme="minorEastAsia"/>
                <w:sz w:val="24"/>
              </w:rPr>
              <w:t>现场养护服务质量抽样检查情况（包括但不限于</w:t>
            </w:r>
            <w:r>
              <w:rPr>
                <w:rFonts w:hint="eastAsia" w:ascii="仿宋_GB2312" w:eastAsia="仿宋_GB2312" w:hAnsiTheme="minorEastAsia"/>
                <w:sz w:val="24"/>
                <w:lang w:val="en-US"/>
              </w:rPr>
              <w:t>换植及时、卸货规范、种植规范、草花成活率</w:t>
            </w:r>
            <w:r>
              <w:rPr>
                <w:rFonts w:hint="eastAsia" w:ascii="仿宋_GB2312" w:eastAsia="仿宋_GB2312" w:hAnsiTheme="minorEastAsia"/>
                <w:sz w:val="24"/>
              </w:rPr>
              <w:t>；</w:t>
            </w:r>
            <w:r>
              <w:rPr>
                <w:rFonts w:hint="eastAsia" w:ascii="仿宋_GB2312" w:eastAsia="仿宋_GB2312" w:hAnsiTheme="minorEastAsia"/>
                <w:sz w:val="24"/>
                <w:lang w:val="en-US"/>
              </w:rPr>
              <w:t>死亡植株及时清理更换；清理枯花、败花、枯叶、黄叶</w:t>
            </w:r>
            <w:r>
              <w:rPr>
                <w:rFonts w:hint="eastAsia" w:ascii="仿宋_GB2312" w:eastAsia="仿宋_GB2312" w:hAnsiTheme="minorEastAsia"/>
                <w:sz w:val="24"/>
              </w:rPr>
              <w:t>；杂草</w:t>
            </w:r>
            <w:r>
              <w:rPr>
                <w:rFonts w:ascii="仿宋_GB2312" w:eastAsia="仿宋_GB2312" w:hAnsiTheme="minorEastAsia"/>
                <w:sz w:val="24"/>
              </w:rPr>
              <w:t>清除；浇水施肥及病虫害防治等）</w:t>
            </w:r>
          </w:p>
        </w:tc>
        <w:tc>
          <w:tcPr>
            <w:tcW w:w="729" w:type="dxa"/>
            <w:gridSpan w:val="2"/>
            <w:tcBorders>
              <w:top w:val="single" w:color="auto" w:sz="4" w:space="0"/>
              <w:left w:val="single" w:color="auto" w:sz="4" w:space="0"/>
              <w:bottom w:val="single" w:color="auto" w:sz="4" w:space="0"/>
              <w:right w:val="single" w:color="auto" w:sz="4" w:space="0"/>
            </w:tcBorders>
            <w:vAlign w:val="center"/>
          </w:tcPr>
          <w:p>
            <w:pPr>
              <w:widowControl/>
              <w:spacing w:line="300" w:lineRule="exact"/>
              <w:jc w:val="both"/>
              <w:rPr>
                <w:rFonts w:ascii="仿宋_GB2312" w:eastAsia="仿宋_GB2312" w:hAnsiTheme="minorEastAsia"/>
                <w:sz w:val="24"/>
              </w:rPr>
            </w:pPr>
            <w:r>
              <w:rPr>
                <w:rFonts w:hint="eastAsia" w:ascii="仿宋_GB2312" w:eastAsia="仿宋_GB2312" w:hAnsiTheme="minorEastAsia"/>
                <w:sz w:val="24"/>
              </w:rPr>
              <w:t>80</w:t>
            </w:r>
          </w:p>
        </w:tc>
        <w:tc>
          <w:tcPr>
            <w:tcW w:w="2126" w:type="dxa"/>
            <w:tcBorders>
              <w:top w:val="single" w:color="auto" w:sz="4" w:space="0"/>
              <w:left w:val="single" w:color="auto" w:sz="4" w:space="0"/>
              <w:bottom w:val="single" w:color="auto" w:sz="4" w:space="0"/>
              <w:right w:val="single" w:color="auto" w:sz="4" w:space="0"/>
            </w:tcBorders>
            <w:vAlign w:val="center"/>
          </w:tcPr>
          <w:p>
            <w:pPr>
              <w:widowControl/>
              <w:spacing w:line="300" w:lineRule="exact"/>
              <w:jc w:val="both"/>
              <w:rPr>
                <w:rFonts w:ascii="仿宋_GB2312" w:eastAsia="仿宋_GB2312" w:hAnsiTheme="minorEastAsia"/>
                <w:sz w:val="24"/>
              </w:rPr>
            </w:pPr>
            <w:r>
              <w:rPr>
                <w:rFonts w:hint="eastAsia" w:ascii="仿宋_GB2312" w:eastAsia="仿宋_GB2312" w:hAnsiTheme="minorEastAsia"/>
              </w:rPr>
              <w:t>抽样检查，每发生一处轻微不合格项扣</w:t>
            </w:r>
            <w:r>
              <w:rPr>
                <w:rFonts w:ascii="仿宋_GB2312" w:eastAsia="仿宋_GB2312" w:hAnsiTheme="minorEastAsia"/>
              </w:rPr>
              <w:t>1</w:t>
            </w:r>
            <w:r>
              <w:rPr>
                <w:rFonts w:hint="eastAsia" w:ascii="仿宋_GB2312" w:eastAsia="仿宋_GB2312" w:hAnsiTheme="minorEastAsia"/>
              </w:rPr>
              <w:t>分、不合格项扣</w:t>
            </w:r>
            <w:r>
              <w:rPr>
                <w:rFonts w:ascii="仿宋_GB2312" w:eastAsia="仿宋_GB2312" w:hAnsiTheme="minorEastAsia"/>
              </w:rPr>
              <w:t>3-5</w:t>
            </w:r>
            <w:r>
              <w:rPr>
                <w:rFonts w:hint="eastAsia" w:ascii="仿宋_GB2312" w:eastAsia="仿宋_GB2312" w:hAnsiTheme="minorEastAsia"/>
              </w:rPr>
              <w:t>分（视具体情况）。</w:t>
            </w:r>
          </w:p>
        </w:tc>
        <w:tc>
          <w:tcPr>
            <w:tcW w:w="706" w:type="dxa"/>
            <w:tcBorders>
              <w:top w:val="single" w:color="auto" w:sz="4" w:space="0"/>
              <w:left w:val="single" w:color="auto" w:sz="4" w:space="0"/>
              <w:bottom w:val="single" w:color="auto" w:sz="4" w:space="0"/>
              <w:right w:val="single" w:color="auto" w:sz="4" w:space="0"/>
            </w:tcBorders>
            <w:vAlign w:val="center"/>
          </w:tcPr>
          <w:p>
            <w:pPr>
              <w:widowControl/>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7" w:hRule="atLeast"/>
          <w:jc w:val="center"/>
        </w:trPr>
        <w:tc>
          <w:tcPr>
            <w:tcW w:w="936" w:type="dxa"/>
            <w:vMerge w:val="restart"/>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综合管</w:t>
            </w:r>
          </w:p>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理情况</w:t>
            </w:r>
          </w:p>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w:t>
            </w:r>
            <w:r>
              <w:rPr>
                <w:rFonts w:ascii="仿宋_GB2312" w:eastAsia="仿宋_GB2312" w:hAnsiTheme="minorEastAsia"/>
                <w:sz w:val="24"/>
              </w:rPr>
              <w:t>12</w:t>
            </w:r>
            <w:r>
              <w:rPr>
                <w:rFonts w:hint="eastAsia" w:ascii="仿宋_GB2312" w:eastAsia="仿宋_GB2312" w:hAnsiTheme="minorEastAsia"/>
                <w:sz w:val="24"/>
              </w:rPr>
              <w:t>）</w:t>
            </w:r>
          </w:p>
        </w:tc>
        <w:tc>
          <w:tcPr>
            <w:tcW w:w="3959" w:type="dxa"/>
            <w:gridSpan w:val="3"/>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rPr>
            </w:pPr>
            <w:r>
              <w:rPr>
                <w:rFonts w:hint="eastAsia" w:ascii="仿宋_GB2312" w:eastAsia="仿宋_GB2312" w:hAnsiTheme="minorEastAsia"/>
              </w:rPr>
              <w:t>建立健全管理制度和岗位职责。</w:t>
            </w:r>
          </w:p>
        </w:tc>
        <w:tc>
          <w:tcPr>
            <w:tcW w:w="729" w:type="dxa"/>
            <w:gridSpan w:val="2"/>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r>
              <w:rPr>
                <w:rFonts w:ascii="仿宋_GB2312" w:eastAsia="仿宋_GB2312" w:hAnsiTheme="minorEastAsia"/>
                <w:sz w:val="24"/>
              </w:rPr>
              <w:t>4</w:t>
            </w:r>
          </w:p>
        </w:tc>
        <w:tc>
          <w:tcPr>
            <w:tcW w:w="2126" w:type="dxa"/>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r>
              <w:rPr>
                <w:rFonts w:hint="eastAsia" w:ascii="仿宋_GB2312" w:eastAsia="仿宋_GB2312" w:hAnsiTheme="minorEastAsia"/>
              </w:rPr>
              <w:t>抽样检查，每发生一处不符合扣0.5分</w:t>
            </w:r>
          </w:p>
        </w:tc>
        <w:tc>
          <w:tcPr>
            <w:tcW w:w="706" w:type="dxa"/>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both"/>
              <w:rPr>
                <w:rFonts w:ascii="仿宋_GB2312" w:eastAsia="仿宋_GB2312" w:hAnsiTheme="minorEastAsia"/>
                <w:sz w:val="24"/>
              </w:rPr>
            </w:pPr>
          </w:p>
        </w:tc>
        <w:tc>
          <w:tcPr>
            <w:tcW w:w="3959" w:type="dxa"/>
            <w:gridSpan w:val="3"/>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rPr>
            </w:pPr>
            <w:r>
              <w:rPr>
                <w:rFonts w:hint="eastAsia" w:ascii="仿宋_GB2312" w:eastAsia="仿宋_GB2312" w:hAnsiTheme="minorEastAsia"/>
              </w:rPr>
              <w:t>员工考勤、现场自查、养护记录、培训记录等资料齐全，查阅方便。</w:t>
            </w:r>
          </w:p>
        </w:tc>
        <w:tc>
          <w:tcPr>
            <w:tcW w:w="729" w:type="dxa"/>
            <w:gridSpan w:val="2"/>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r>
              <w:rPr>
                <w:rFonts w:hint="eastAsia" w:ascii="仿宋_GB2312" w:eastAsia="仿宋_GB2312" w:hAnsiTheme="minorEastAsia"/>
                <w:sz w:val="24"/>
              </w:rPr>
              <w:t>4</w:t>
            </w:r>
          </w:p>
        </w:tc>
        <w:tc>
          <w:tcPr>
            <w:tcW w:w="2126" w:type="dxa"/>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r>
              <w:rPr>
                <w:rFonts w:hint="eastAsia" w:ascii="仿宋_GB2312" w:eastAsia="仿宋_GB2312" w:hAnsiTheme="minorEastAsia"/>
              </w:rPr>
              <w:t>抽样检查，每发生一处不符合扣0.5分</w:t>
            </w:r>
          </w:p>
        </w:tc>
        <w:tc>
          <w:tcPr>
            <w:tcW w:w="706" w:type="dxa"/>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atLeast"/>
          <w:jc w:val="center"/>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both"/>
              <w:rPr>
                <w:rFonts w:ascii="仿宋_GB2312" w:eastAsia="仿宋_GB2312" w:hAnsiTheme="minorEastAsia"/>
                <w:sz w:val="24"/>
              </w:rPr>
            </w:pPr>
          </w:p>
        </w:tc>
        <w:tc>
          <w:tcPr>
            <w:tcW w:w="3959" w:type="dxa"/>
            <w:gridSpan w:val="3"/>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rPr>
            </w:pPr>
            <w:r>
              <w:rPr>
                <w:rFonts w:hint="eastAsia" w:ascii="仿宋_GB2312" w:eastAsia="仿宋_GB2312" w:hAnsiTheme="minorEastAsia"/>
              </w:rPr>
              <w:t>加强安全教育，落实安全操作规程，持证上岗，完善劳动防护、防暑降温条件。</w:t>
            </w:r>
          </w:p>
        </w:tc>
        <w:tc>
          <w:tcPr>
            <w:tcW w:w="729" w:type="dxa"/>
            <w:gridSpan w:val="2"/>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r>
              <w:rPr>
                <w:rFonts w:ascii="仿宋_GB2312" w:eastAsia="仿宋_GB2312" w:hAnsiTheme="minorEastAsia"/>
                <w:sz w:val="24"/>
              </w:rPr>
              <w:t>4</w:t>
            </w:r>
          </w:p>
        </w:tc>
        <w:tc>
          <w:tcPr>
            <w:tcW w:w="2126" w:type="dxa"/>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rPr>
            </w:pPr>
            <w:r>
              <w:rPr>
                <w:rFonts w:hint="eastAsia" w:ascii="仿宋_GB2312" w:eastAsia="仿宋_GB2312" w:hAnsiTheme="minorEastAsia"/>
              </w:rPr>
              <w:t>抽样检查，每发生一处不符合扣0.5分</w:t>
            </w:r>
          </w:p>
        </w:tc>
        <w:tc>
          <w:tcPr>
            <w:tcW w:w="706" w:type="dxa"/>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4" w:hRule="atLeast"/>
          <w:jc w:val="center"/>
        </w:trPr>
        <w:tc>
          <w:tcPr>
            <w:tcW w:w="936" w:type="dxa"/>
            <w:vMerge w:val="restart"/>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基本行为规范</w:t>
            </w:r>
          </w:p>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w:t>
            </w:r>
            <w:r>
              <w:rPr>
                <w:rFonts w:ascii="仿宋_GB2312" w:eastAsia="仿宋_GB2312" w:hAnsiTheme="minorEastAsia"/>
                <w:sz w:val="24"/>
              </w:rPr>
              <w:t>8</w:t>
            </w:r>
            <w:r>
              <w:rPr>
                <w:rFonts w:hint="eastAsia" w:ascii="仿宋_GB2312" w:eastAsia="仿宋_GB2312" w:hAnsiTheme="minorEastAsia"/>
                <w:sz w:val="24"/>
              </w:rPr>
              <w:t>）</w:t>
            </w:r>
          </w:p>
        </w:tc>
        <w:tc>
          <w:tcPr>
            <w:tcW w:w="3959" w:type="dxa"/>
            <w:gridSpan w:val="3"/>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rPr>
            </w:pPr>
            <w:r>
              <w:rPr>
                <w:rFonts w:hint="eastAsia" w:ascii="仿宋_GB2312" w:eastAsia="仿宋_GB2312" w:hAnsiTheme="minorEastAsia"/>
              </w:rPr>
              <w:t>按照岗位要求，着装标识统一，仪容端庄，仪表规范。</w:t>
            </w:r>
          </w:p>
        </w:tc>
        <w:tc>
          <w:tcPr>
            <w:tcW w:w="729" w:type="dxa"/>
            <w:gridSpan w:val="2"/>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r>
              <w:rPr>
                <w:rFonts w:hint="eastAsia" w:ascii="仿宋_GB2312" w:eastAsia="仿宋_GB2312" w:hAnsiTheme="minorEastAsia"/>
                <w:sz w:val="24"/>
              </w:rPr>
              <w:t>2</w:t>
            </w:r>
          </w:p>
        </w:tc>
        <w:tc>
          <w:tcPr>
            <w:tcW w:w="2126" w:type="dxa"/>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r>
              <w:rPr>
                <w:rFonts w:hint="eastAsia" w:ascii="仿宋_GB2312" w:eastAsia="仿宋_GB2312" w:hAnsiTheme="minorEastAsia"/>
              </w:rPr>
              <w:t>抽样检查，每发生一处不符合扣0.5分</w:t>
            </w:r>
          </w:p>
        </w:tc>
        <w:tc>
          <w:tcPr>
            <w:tcW w:w="706" w:type="dxa"/>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jc w:val="center"/>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both"/>
              <w:rPr>
                <w:rFonts w:ascii="仿宋_GB2312" w:eastAsia="仿宋_GB2312" w:hAnsiTheme="minorEastAsia"/>
                <w:sz w:val="24"/>
              </w:rPr>
            </w:pPr>
          </w:p>
        </w:tc>
        <w:tc>
          <w:tcPr>
            <w:tcW w:w="3959" w:type="dxa"/>
            <w:gridSpan w:val="3"/>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rPr>
            </w:pPr>
            <w:r>
              <w:rPr>
                <w:rFonts w:hint="eastAsia" w:ascii="仿宋_GB2312" w:eastAsia="仿宋_GB2312" w:hAnsiTheme="minorEastAsia"/>
              </w:rPr>
              <w:t>工作期间微笑服务，文明用语，礼貌待人。</w:t>
            </w:r>
          </w:p>
        </w:tc>
        <w:tc>
          <w:tcPr>
            <w:tcW w:w="729" w:type="dxa"/>
            <w:gridSpan w:val="2"/>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r>
              <w:rPr>
                <w:rFonts w:hint="eastAsia" w:ascii="仿宋_GB2312" w:eastAsia="仿宋_GB2312" w:hAnsiTheme="minorEastAsia"/>
                <w:sz w:val="24"/>
              </w:rPr>
              <w:t>2</w:t>
            </w:r>
          </w:p>
        </w:tc>
        <w:tc>
          <w:tcPr>
            <w:tcW w:w="2126" w:type="dxa"/>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r>
              <w:rPr>
                <w:rFonts w:hint="eastAsia" w:ascii="仿宋_GB2312" w:eastAsia="仿宋_GB2312" w:hAnsiTheme="minorEastAsia"/>
              </w:rPr>
              <w:t>抽样检查，每发生一处不符合扣0.5分</w:t>
            </w:r>
          </w:p>
        </w:tc>
        <w:tc>
          <w:tcPr>
            <w:tcW w:w="706" w:type="dxa"/>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jc w:val="center"/>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both"/>
              <w:rPr>
                <w:rFonts w:ascii="仿宋_GB2312" w:eastAsia="仿宋_GB2312" w:hAnsiTheme="minorEastAsia"/>
                <w:sz w:val="24"/>
              </w:rPr>
            </w:pPr>
          </w:p>
        </w:tc>
        <w:tc>
          <w:tcPr>
            <w:tcW w:w="3959" w:type="dxa"/>
            <w:gridSpan w:val="3"/>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rPr>
            </w:pPr>
            <w:r>
              <w:rPr>
                <w:rFonts w:hint="eastAsia" w:ascii="仿宋_GB2312" w:eastAsia="仿宋_GB2312" w:hAnsiTheme="minorEastAsia"/>
              </w:rPr>
              <w:t>遵守规章制度，有情况及时报备。</w:t>
            </w:r>
          </w:p>
        </w:tc>
        <w:tc>
          <w:tcPr>
            <w:tcW w:w="729" w:type="dxa"/>
            <w:gridSpan w:val="2"/>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r>
              <w:rPr>
                <w:rFonts w:hint="eastAsia" w:ascii="仿宋_GB2312" w:eastAsia="仿宋_GB2312" w:hAnsiTheme="minorEastAsia"/>
                <w:sz w:val="24"/>
              </w:rPr>
              <w:t>2</w:t>
            </w:r>
          </w:p>
        </w:tc>
        <w:tc>
          <w:tcPr>
            <w:tcW w:w="2126" w:type="dxa"/>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r>
              <w:rPr>
                <w:rFonts w:hint="eastAsia" w:ascii="仿宋_GB2312" w:eastAsia="仿宋_GB2312" w:hAnsiTheme="minorEastAsia"/>
              </w:rPr>
              <w:t>抽样检查，每发生一处不符合扣0.5分</w:t>
            </w:r>
          </w:p>
        </w:tc>
        <w:tc>
          <w:tcPr>
            <w:tcW w:w="706" w:type="dxa"/>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jc w:val="center"/>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both"/>
              <w:rPr>
                <w:rFonts w:ascii="仿宋_GB2312" w:eastAsia="仿宋_GB2312" w:hAnsiTheme="minorEastAsia"/>
                <w:sz w:val="24"/>
              </w:rPr>
            </w:pPr>
          </w:p>
        </w:tc>
        <w:tc>
          <w:tcPr>
            <w:tcW w:w="3959" w:type="dxa"/>
            <w:gridSpan w:val="3"/>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rPr>
            </w:pPr>
            <w:r>
              <w:rPr>
                <w:rFonts w:hint="eastAsia" w:ascii="仿宋_GB2312" w:eastAsia="仿宋_GB2312" w:hAnsiTheme="minorEastAsia"/>
              </w:rPr>
              <w:t>养护设备摆放整齐，整洁有序。</w:t>
            </w:r>
          </w:p>
        </w:tc>
        <w:tc>
          <w:tcPr>
            <w:tcW w:w="729" w:type="dxa"/>
            <w:gridSpan w:val="2"/>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r>
              <w:rPr>
                <w:rFonts w:hint="eastAsia" w:ascii="仿宋_GB2312" w:eastAsia="仿宋_GB2312" w:hAnsiTheme="minorEastAsia"/>
                <w:sz w:val="24"/>
              </w:rPr>
              <w:t>2</w:t>
            </w:r>
          </w:p>
        </w:tc>
        <w:tc>
          <w:tcPr>
            <w:tcW w:w="2126" w:type="dxa"/>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r>
              <w:rPr>
                <w:rFonts w:hint="eastAsia" w:ascii="仿宋_GB2312" w:eastAsia="仿宋_GB2312" w:hAnsiTheme="minorEastAsia"/>
              </w:rPr>
              <w:t>抽样检查，每发生一处不符合扣0.5分</w:t>
            </w:r>
          </w:p>
        </w:tc>
        <w:tc>
          <w:tcPr>
            <w:tcW w:w="706" w:type="dxa"/>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jc w:val="center"/>
        </w:trPr>
        <w:tc>
          <w:tcPr>
            <w:tcW w:w="4895" w:type="dxa"/>
            <w:gridSpan w:val="4"/>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总分</w:t>
            </w:r>
          </w:p>
        </w:tc>
        <w:tc>
          <w:tcPr>
            <w:tcW w:w="729" w:type="dxa"/>
            <w:gridSpan w:val="2"/>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100</w:t>
            </w:r>
          </w:p>
        </w:tc>
        <w:tc>
          <w:tcPr>
            <w:tcW w:w="2126"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706"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2" w:hRule="atLeast"/>
          <w:jc w:val="center"/>
        </w:trPr>
        <w:tc>
          <w:tcPr>
            <w:tcW w:w="936"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考核</w:t>
            </w:r>
          </w:p>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结果</w:t>
            </w:r>
          </w:p>
        </w:tc>
        <w:tc>
          <w:tcPr>
            <w:tcW w:w="6814" w:type="dxa"/>
            <w:gridSpan w:val="6"/>
            <w:tcBorders>
              <w:top w:val="single" w:color="auto" w:sz="4" w:space="0"/>
              <w:left w:val="single" w:color="auto" w:sz="4" w:space="0"/>
              <w:bottom w:val="single" w:color="auto" w:sz="4" w:space="0"/>
              <w:right w:val="single" w:color="auto" w:sz="4" w:space="0"/>
            </w:tcBorders>
            <w:vAlign w:val="center"/>
          </w:tcPr>
          <w:p>
            <w:pPr>
              <w:spacing w:line="300" w:lineRule="exact"/>
              <w:jc w:val="both"/>
              <w:rPr>
                <w:rFonts w:ascii="仿宋_GB2312" w:eastAsia="仿宋_GB2312" w:hAnsiTheme="minorEastAsia"/>
              </w:rPr>
            </w:pPr>
            <w:r>
              <w:rPr>
                <w:rFonts w:hint="eastAsia" w:ascii="仿宋_GB2312" w:eastAsia="仿宋_GB2312" w:hAnsiTheme="minorEastAsia"/>
              </w:rPr>
              <w:t>总分值为100分，重大不合格一票否决。公园考核获优秀，酌情加</w:t>
            </w:r>
            <w:r>
              <w:rPr>
                <w:rFonts w:ascii="仿宋_GB2312" w:eastAsia="仿宋_GB2312" w:hAnsiTheme="minorEastAsia"/>
              </w:rPr>
              <w:t>1-3分。</w:t>
            </w:r>
            <w:r>
              <w:rPr>
                <w:rFonts w:hint="eastAsia" w:ascii="仿宋_GB2312" w:eastAsia="仿宋_GB2312" w:hAnsiTheme="minorEastAsia"/>
              </w:rPr>
              <w:t>考核评分在90分及以上，考核评价为优秀；考核评分在70分（含70分）至89分区间，考核评价为合格；考核评分在60分（含60分）至69分区间，考核评价为基本合格；考核评分60分以下，考核评价为不合格。</w:t>
            </w:r>
          </w:p>
        </w:tc>
        <w:tc>
          <w:tcPr>
            <w:tcW w:w="706"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r>
    </w:tbl>
    <w:p>
      <w:pPr>
        <w:pStyle w:val="10"/>
        <w:adjustRightInd w:val="0"/>
        <w:snapToGrid w:val="0"/>
        <w:spacing w:line="300" w:lineRule="exact"/>
        <w:ind w:firstLine="960" w:firstLineChars="400"/>
        <w:jc w:val="both"/>
        <w:rPr>
          <w:rFonts w:ascii="仿宋_GB2312" w:eastAsia="仿宋_GB2312" w:cs="宋体" w:hAnsiTheme="minorEastAsia"/>
          <w:sz w:val="24"/>
          <w:szCs w:val="24"/>
        </w:rPr>
      </w:pPr>
      <w:r>
        <w:rPr>
          <w:rFonts w:hint="eastAsia" w:ascii="仿宋_GB2312" w:eastAsia="仿宋_GB2312" w:cs="宋体" w:hAnsiTheme="minorEastAsia"/>
          <w:sz w:val="24"/>
          <w:szCs w:val="24"/>
        </w:rPr>
        <w:t>外包方签字：                        考核人员签字：</w:t>
      </w:r>
    </w:p>
    <w:p>
      <w:pPr>
        <w:pStyle w:val="10"/>
        <w:adjustRightInd w:val="0"/>
        <w:snapToGrid w:val="0"/>
        <w:spacing w:after="240" w:afterLines="100" w:line="300" w:lineRule="exact"/>
        <w:jc w:val="center"/>
        <w:rPr>
          <w:rFonts w:hint="eastAsia" w:ascii="仿宋_GB2312" w:eastAsia="仿宋_GB2312" w:cs="宋体" w:hAnsiTheme="minorEastAsia"/>
          <w:b/>
          <w:sz w:val="24"/>
        </w:rPr>
      </w:pPr>
    </w:p>
    <w:p>
      <w:pPr>
        <w:pStyle w:val="10"/>
        <w:adjustRightInd w:val="0"/>
        <w:snapToGrid w:val="0"/>
        <w:spacing w:after="240" w:afterLines="100" w:line="300" w:lineRule="exact"/>
        <w:jc w:val="center"/>
        <w:rPr>
          <w:rFonts w:hint="eastAsia" w:ascii="仿宋_GB2312" w:eastAsia="仿宋_GB2312" w:cs="宋体" w:hAnsiTheme="minorEastAsia"/>
          <w:b/>
          <w:sz w:val="24"/>
        </w:rPr>
      </w:pPr>
    </w:p>
    <w:p>
      <w:pPr>
        <w:pStyle w:val="10"/>
        <w:adjustRightInd w:val="0"/>
        <w:snapToGrid w:val="0"/>
        <w:spacing w:after="240" w:afterLines="100" w:line="300" w:lineRule="exact"/>
        <w:jc w:val="center"/>
        <w:rPr>
          <w:rFonts w:ascii="仿宋_GB2312" w:eastAsia="仿宋_GB2312" w:cs="宋体" w:hAnsiTheme="minorEastAsia"/>
          <w:sz w:val="24"/>
        </w:rPr>
      </w:pPr>
      <w:r>
        <w:rPr>
          <w:rFonts w:hint="eastAsia" w:ascii="仿宋_GB2312" w:eastAsia="仿宋_GB2312" w:cs="宋体" w:hAnsiTheme="minorEastAsia"/>
          <w:b/>
          <w:sz w:val="24"/>
        </w:rPr>
        <w:t>季度考核评分表</w:t>
      </w:r>
      <w:r>
        <w:rPr>
          <w:rFonts w:hint="eastAsia" w:ascii="仿宋_GB2312" w:eastAsia="仿宋_GB2312" w:cs="宋体" w:hAnsiTheme="minorEastAsia"/>
          <w:sz w:val="24"/>
        </w:rPr>
        <w:t>（</w:t>
      </w:r>
      <w:r>
        <w:rPr>
          <w:rFonts w:hint="eastAsia" w:ascii="仿宋_GB2312" w:eastAsia="仿宋_GB2312" w:hAnsiTheme="minorEastAsia"/>
          <w:sz w:val="24"/>
        </w:rPr>
        <w:t>种植养护服务质量部分</w:t>
      </w:r>
      <w:r>
        <w:rPr>
          <w:rFonts w:hint="eastAsia" w:ascii="仿宋_GB2312" w:eastAsia="仿宋_GB2312" w:cs="宋体" w:hAnsiTheme="minorEastAsia"/>
          <w:sz w:val="24"/>
        </w:rPr>
        <w:t>）</w:t>
      </w:r>
    </w:p>
    <w:p>
      <w:pPr>
        <w:snapToGrid w:val="0"/>
        <w:spacing w:line="300" w:lineRule="exact"/>
        <w:ind w:firstLine="720" w:firstLineChars="300"/>
        <w:jc w:val="both"/>
        <w:rPr>
          <w:rFonts w:ascii="仿宋_GB2312" w:eastAsia="仿宋_GB2312" w:hAnsiTheme="minorEastAsia"/>
          <w:sz w:val="24"/>
        </w:rPr>
      </w:pPr>
      <w:r>
        <w:rPr>
          <w:rFonts w:hint="eastAsia" w:ascii="仿宋_GB2312" w:eastAsia="仿宋_GB2312" w:hAnsiTheme="minorEastAsia"/>
          <w:sz w:val="24"/>
        </w:rPr>
        <w:t>绿地区域：                                           日期：</w:t>
      </w:r>
    </w:p>
    <w:tbl>
      <w:tblPr>
        <w:tblStyle w:val="15"/>
        <w:tblW w:w="8931"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3"/>
        <w:gridCol w:w="1184"/>
        <w:gridCol w:w="805"/>
        <w:gridCol w:w="2518"/>
        <w:gridCol w:w="720"/>
        <w:gridCol w:w="705"/>
        <w:gridCol w:w="20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3" w:hRule="atLeast"/>
        </w:trPr>
        <w:tc>
          <w:tcPr>
            <w:tcW w:w="993"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序号</w:t>
            </w:r>
          </w:p>
        </w:tc>
        <w:tc>
          <w:tcPr>
            <w:tcW w:w="1989" w:type="dxa"/>
            <w:gridSpan w:val="2"/>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考核项目</w:t>
            </w:r>
          </w:p>
        </w:tc>
        <w:tc>
          <w:tcPr>
            <w:tcW w:w="2518"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考核内容</w:t>
            </w:r>
          </w:p>
        </w:tc>
        <w:tc>
          <w:tcPr>
            <w:tcW w:w="72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考核</w:t>
            </w:r>
          </w:p>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分值</w:t>
            </w:r>
          </w:p>
        </w:tc>
        <w:tc>
          <w:tcPr>
            <w:tcW w:w="705"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得分</w:t>
            </w:r>
          </w:p>
        </w:tc>
        <w:tc>
          <w:tcPr>
            <w:tcW w:w="2006"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考核问题与建议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29" w:hRule="atLeast"/>
        </w:trPr>
        <w:tc>
          <w:tcPr>
            <w:tcW w:w="993"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1</w:t>
            </w:r>
          </w:p>
        </w:tc>
        <w:tc>
          <w:tcPr>
            <w:tcW w:w="1989" w:type="dxa"/>
            <w:gridSpan w:val="2"/>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 景观效果</w:t>
            </w:r>
          </w:p>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w:t>
            </w:r>
            <w:r>
              <w:rPr>
                <w:rFonts w:ascii="仿宋_GB2312" w:eastAsia="仿宋_GB2312" w:hAnsiTheme="minorEastAsia"/>
                <w:sz w:val="24"/>
              </w:rPr>
              <w:t>10</w:t>
            </w:r>
            <w:r>
              <w:rPr>
                <w:rFonts w:hint="eastAsia" w:ascii="仿宋_GB2312" w:eastAsia="仿宋_GB2312" w:hAnsiTheme="minorEastAsia"/>
                <w:sz w:val="24"/>
              </w:rPr>
              <w:t>分）</w:t>
            </w:r>
          </w:p>
        </w:tc>
        <w:tc>
          <w:tcPr>
            <w:tcW w:w="2518"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花期统一，观花型草花有90%以上的植株开花，色彩艳丽，图案规整，达到良好观赏效果</w:t>
            </w:r>
          </w:p>
        </w:tc>
        <w:tc>
          <w:tcPr>
            <w:tcW w:w="72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ascii="仿宋_GB2312" w:eastAsia="仿宋_GB2312" w:hAnsiTheme="minorEastAsia"/>
                <w:sz w:val="24"/>
              </w:rPr>
              <w:t>10</w:t>
            </w:r>
          </w:p>
        </w:tc>
        <w:tc>
          <w:tcPr>
            <w:tcW w:w="705"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2006" w:type="dxa"/>
            <w:vMerge w:val="restart"/>
            <w:tcBorders>
              <w:top w:val="single" w:color="auto" w:sz="4" w:space="0"/>
              <w:left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6" w:hRule="atLeast"/>
        </w:trPr>
        <w:tc>
          <w:tcPr>
            <w:tcW w:w="993" w:type="dxa"/>
            <w:vMerge w:val="restart"/>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ascii="仿宋_GB2312" w:eastAsia="仿宋_GB2312" w:hAnsiTheme="minorEastAsia"/>
                <w:sz w:val="24"/>
              </w:rPr>
              <w:t>2</w:t>
            </w:r>
          </w:p>
        </w:tc>
        <w:tc>
          <w:tcPr>
            <w:tcW w:w="1184" w:type="dxa"/>
            <w:vMerge w:val="restart"/>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草花</w:t>
            </w:r>
          </w:p>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w:t>
            </w:r>
            <w:r>
              <w:rPr>
                <w:rFonts w:ascii="仿宋_GB2312" w:eastAsia="仿宋_GB2312" w:hAnsiTheme="minorEastAsia"/>
                <w:sz w:val="24"/>
              </w:rPr>
              <w:t>30</w:t>
            </w:r>
            <w:r>
              <w:rPr>
                <w:rFonts w:hint="eastAsia" w:ascii="仿宋_GB2312" w:eastAsia="仿宋_GB2312" w:hAnsiTheme="minorEastAsia"/>
                <w:sz w:val="24"/>
              </w:rPr>
              <w:t>分）</w:t>
            </w:r>
          </w:p>
        </w:tc>
        <w:tc>
          <w:tcPr>
            <w:tcW w:w="805"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植株质量</w:t>
            </w:r>
          </w:p>
        </w:tc>
        <w:tc>
          <w:tcPr>
            <w:tcW w:w="2518"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ascii="仿宋_GB2312" w:eastAsia="仿宋_GB2312" w:hAnsiTheme="minorEastAsia"/>
                <w:sz w:val="24"/>
              </w:rPr>
              <w:t>无死株（濒死株），无病虫害，</w:t>
            </w:r>
            <w:r>
              <w:rPr>
                <w:rFonts w:hint="eastAsia" w:ascii="仿宋_GB2312" w:eastAsia="仿宋_GB2312" w:hAnsiTheme="minorEastAsia"/>
                <w:sz w:val="24"/>
              </w:rPr>
              <w:t>植株</w:t>
            </w:r>
            <w:r>
              <w:rPr>
                <w:rFonts w:ascii="仿宋_GB2312" w:eastAsia="仿宋_GB2312" w:hAnsiTheme="minorEastAsia"/>
                <w:sz w:val="24"/>
              </w:rPr>
              <w:t>长势良好</w:t>
            </w:r>
          </w:p>
        </w:tc>
        <w:tc>
          <w:tcPr>
            <w:tcW w:w="72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ascii="仿宋_GB2312" w:eastAsia="仿宋_GB2312" w:hAnsiTheme="minorEastAsia"/>
                <w:sz w:val="24"/>
              </w:rPr>
              <w:t>10</w:t>
            </w:r>
          </w:p>
        </w:tc>
        <w:tc>
          <w:tcPr>
            <w:tcW w:w="705"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2006" w:type="dxa"/>
            <w:vMerge w:val="continue"/>
            <w:tcBorders>
              <w:left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7" w:hRule="atLeast"/>
        </w:trPr>
        <w:tc>
          <w:tcPr>
            <w:tcW w:w="993" w:type="dxa"/>
            <w:vMerge w:val="continue"/>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1184" w:type="dxa"/>
            <w:vMerge w:val="continue"/>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805"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栽植规范</w:t>
            </w:r>
          </w:p>
        </w:tc>
        <w:tc>
          <w:tcPr>
            <w:tcW w:w="2518"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株行距整齐，无空秃，花坛与草坪之间切边线条流畅</w:t>
            </w:r>
          </w:p>
        </w:tc>
        <w:tc>
          <w:tcPr>
            <w:tcW w:w="72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ascii="仿宋_GB2312" w:eastAsia="仿宋_GB2312" w:hAnsiTheme="minorEastAsia"/>
                <w:sz w:val="24"/>
              </w:rPr>
              <w:t>10</w:t>
            </w:r>
          </w:p>
        </w:tc>
        <w:tc>
          <w:tcPr>
            <w:tcW w:w="705"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2006" w:type="dxa"/>
            <w:vMerge w:val="continue"/>
            <w:tcBorders>
              <w:left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3" w:hRule="atLeast"/>
        </w:trPr>
        <w:tc>
          <w:tcPr>
            <w:tcW w:w="993" w:type="dxa"/>
            <w:vMerge w:val="continue"/>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1184" w:type="dxa"/>
            <w:vMerge w:val="continue"/>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805"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ascii="仿宋_GB2312" w:eastAsia="仿宋_GB2312" w:hAnsiTheme="minorEastAsia"/>
                <w:sz w:val="24"/>
              </w:rPr>
              <w:t>养护规范</w:t>
            </w:r>
          </w:p>
        </w:tc>
        <w:tc>
          <w:tcPr>
            <w:tcW w:w="2518"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无残花、黄叶、枯叶残留</w:t>
            </w:r>
          </w:p>
        </w:tc>
        <w:tc>
          <w:tcPr>
            <w:tcW w:w="72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ascii="仿宋_GB2312" w:eastAsia="仿宋_GB2312" w:hAnsiTheme="minorEastAsia"/>
                <w:sz w:val="24"/>
              </w:rPr>
              <w:t>10</w:t>
            </w:r>
          </w:p>
        </w:tc>
        <w:tc>
          <w:tcPr>
            <w:tcW w:w="705"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2006" w:type="dxa"/>
            <w:vMerge w:val="continue"/>
            <w:tcBorders>
              <w:left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2" w:hRule="atLeast"/>
        </w:trPr>
        <w:tc>
          <w:tcPr>
            <w:tcW w:w="993"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ascii="仿宋_GB2312" w:eastAsia="仿宋_GB2312" w:hAnsiTheme="minorEastAsia"/>
                <w:sz w:val="24"/>
              </w:rPr>
              <w:t>3</w:t>
            </w:r>
          </w:p>
        </w:tc>
        <w:tc>
          <w:tcPr>
            <w:tcW w:w="1989" w:type="dxa"/>
            <w:gridSpan w:val="2"/>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有害生物</w:t>
            </w:r>
          </w:p>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w:t>
            </w:r>
            <w:r>
              <w:rPr>
                <w:rFonts w:ascii="仿宋_GB2312" w:eastAsia="仿宋_GB2312" w:hAnsiTheme="minorEastAsia"/>
                <w:sz w:val="24"/>
              </w:rPr>
              <w:t>10</w:t>
            </w:r>
            <w:r>
              <w:rPr>
                <w:rFonts w:hint="eastAsia" w:ascii="仿宋_GB2312" w:eastAsia="仿宋_GB2312" w:hAnsiTheme="minorEastAsia"/>
                <w:sz w:val="24"/>
              </w:rPr>
              <w:t>分）</w:t>
            </w:r>
          </w:p>
        </w:tc>
        <w:tc>
          <w:tcPr>
            <w:tcW w:w="2518"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无明显病虫害、杂草</w:t>
            </w:r>
          </w:p>
        </w:tc>
        <w:tc>
          <w:tcPr>
            <w:tcW w:w="72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ascii="仿宋_GB2312" w:eastAsia="仿宋_GB2312" w:hAnsiTheme="minorEastAsia"/>
                <w:sz w:val="24"/>
              </w:rPr>
              <w:t>10</w:t>
            </w:r>
          </w:p>
        </w:tc>
        <w:tc>
          <w:tcPr>
            <w:tcW w:w="705"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2006" w:type="dxa"/>
            <w:vMerge w:val="continue"/>
            <w:tcBorders>
              <w:left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trPr>
        <w:tc>
          <w:tcPr>
            <w:tcW w:w="993" w:type="dxa"/>
            <w:vMerge w:val="restart"/>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ascii="仿宋_GB2312" w:eastAsia="仿宋_GB2312" w:hAnsiTheme="minorEastAsia"/>
                <w:sz w:val="24"/>
              </w:rPr>
              <w:t>4</w:t>
            </w:r>
          </w:p>
        </w:tc>
        <w:tc>
          <w:tcPr>
            <w:tcW w:w="1989" w:type="dxa"/>
            <w:gridSpan w:val="2"/>
            <w:vMerge w:val="restart"/>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 土壤覆盖</w:t>
            </w:r>
          </w:p>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w:t>
            </w:r>
            <w:r>
              <w:rPr>
                <w:rFonts w:ascii="仿宋_GB2312" w:eastAsia="仿宋_GB2312" w:hAnsiTheme="minorEastAsia"/>
                <w:sz w:val="24"/>
              </w:rPr>
              <w:t>10</w:t>
            </w:r>
            <w:r>
              <w:rPr>
                <w:rFonts w:hint="eastAsia" w:ascii="仿宋_GB2312" w:eastAsia="仿宋_GB2312" w:hAnsiTheme="minorEastAsia"/>
                <w:sz w:val="24"/>
              </w:rPr>
              <w:t>分）</w:t>
            </w:r>
          </w:p>
        </w:tc>
        <w:tc>
          <w:tcPr>
            <w:tcW w:w="2518"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土壤无板结，无明显石砾，施肥有计划。</w:t>
            </w:r>
          </w:p>
        </w:tc>
        <w:tc>
          <w:tcPr>
            <w:tcW w:w="72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ascii="仿宋_GB2312" w:eastAsia="仿宋_GB2312" w:hAnsiTheme="minorEastAsia"/>
                <w:sz w:val="24"/>
              </w:rPr>
              <w:t>5</w:t>
            </w:r>
          </w:p>
        </w:tc>
        <w:tc>
          <w:tcPr>
            <w:tcW w:w="705"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2006" w:type="dxa"/>
            <w:vMerge w:val="continue"/>
            <w:tcBorders>
              <w:left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0" w:hRule="atLeast"/>
        </w:trPr>
        <w:tc>
          <w:tcPr>
            <w:tcW w:w="993" w:type="dxa"/>
            <w:vMerge w:val="continue"/>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1989" w:type="dxa"/>
            <w:gridSpan w:val="2"/>
            <w:vMerge w:val="continue"/>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2518"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无黄土裸露</w:t>
            </w:r>
          </w:p>
        </w:tc>
        <w:tc>
          <w:tcPr>
            <w:tcW w:w="72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ascii="仿宋_GB2312" w:eastAsia="仿宋_GB2312" w:hAnsiTheme="minorEastAsia"/>
                <w:sz w:val="24"/>
              </w:rPr>
              <w:t>5</w:t>
            </w:r>
          </w:p>
        </w:tc>
        <w:tc>
          <w:tcPr>
            <w:tcW w:w="705"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2006" w:type="dxa"/>
            <w:vMerge w:val="continue"/>
            <w:tcBorders>
              <w:left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2" w:hRule="atLeast"/>
        </w:trPr>
        <w:tc>
          <w:tcPr>
            <w:tcW w:w="993"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ascii="仿宋_GB2312" w:eastAsia="仿宋_GB2312" w:hAnsiTheme="minorEastAsia"/>
                <w:sz w:val="24"/>
              </w:rPr>
              <w:t>5</w:t>
            </w:r>
          </w:p>
        </w:tc>
        <w:tc>
          <w:tcPr>
            <w:tcW w:w="1989" w:type="dxa"/>
            <w:gridSpan w:val="2"/>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设施</w:t>
            </w:r>
          </w:p>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w:t>
            </w:r>
            <w:r>
              <w:rPr>
                <w:rFonts w:ascii="仿宋_GB2312" w:eastAsia="仿宋_GB2312" w:hAnsiTheme="minorEastAsia"/>
                <w:sz w:val="24"/>
              </w:rPr>
              <w:t>5</w:t>
            </w:r>
            <w:r>
              <w:rPr>
                <w:rFonts w:hint="eastAsia" w:ascii="仿宋_GB2312" w:eastAsia="仿宋_GB2312" w:hAnsiTheme="minorEastAsia"/>
                <w:sz w:val="24"/>
              </w:rPr>
              <w:t>分）</w:t>
            </w:r>
          </w:p>
        </w:tc>
        <w:tc>
          <w:tcPr>
            <w:tcW w:w="2518"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设施设置协调，维护完好无缺失</w:t>
            </w:r>
          </w:p>
        </w:tc>
        <w:tc>
          <w:tcPr>
            <w:tcW w:w="72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ascii="仿宋_GB2312" w:eastAsia="仿宋_GB2312" w:hAnsiTheme="minorEastAsia"/>
                <w:sz w:val="24"/>
              </w:rPr>
              <w:t>5</w:t>
            </w:r>
          </w:p>
        </w:tc>
        <w:tc>
          <w:tcPr>
            <w:tcW w:w="705"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2006" w:type="dxa"/>
            <w:vMerge w:val="continue"/>
            <w:tcBorders>
              <w:left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993" w:type="dxa"/>
            <w:vMerge w:val="restart"/>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ascii="仿宋_GB2312" w:eastAsia="仿宋_GB2312" w:hAnsiTheme="minorEastAsia"/>
                <w:sz w:val="24"/>
              </w:rPr>
              <w:t>6</w:t>
            </w:r>
          </w:p>
        </w:tc>
        <w:tc>
          <w:tcPr>
            <w:tcW w:w="1989" w:type="dxa"/>
            <w:gridSpan w:val="2"/>
            <w:vMerge w:val="restart"/>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 作业规范</w:t>
            </w:r>
          </w:p>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w:t>
            </w:r>
            <w:r>
              <w:rPr>
                <w:rFonts w:ascii="仿宋_GB2312" w:eastAsia="仿宋_GB2312" w:hAnsiTheme="minorEastAsia"/>
                <w:sz w:val="24"/>
              </w:rPr>
              <w:t>15</w:t>
            </w:r>
            <w:r>
              <w:rPr>
                <w:rFonts w:hint="eastAsia" w:ascii="仿宋_GB2312" w:eastAsia="仿宋_GB2312" w:hAnsiTheme="minorEastAsia"/>
                <w:sz w:val="24"/>
              </w:rPr>
              <w:t>分）</w:t>
            </w:r>
          </w:p>
        </w:tc>
        <w:tc>
          <w:tcPr>
            <w:tcW w:w="2518"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草花种植、施工规范</w:t>
            </w:r>
          </w:p>
        </w:tc>
        <w:tc>
          <w:tcPr>
            <w:tcW w:w="72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ascii="仿宋_GB2312" w:eastAsia="仿宋_GB2312" w:hAnsiTheme="minorEastAsia"/>
                <w:sz w:val="24"/>
              </w:rPr>
              <w:t>5</w:t>
            </w:r>
          </w:p>
        </w:tc>
        <w:tc>
          <w:tcPr>
            <w:tcW w:w="705"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2006" w:type="dxa"/>
            <w:vMerge w:val="continue"/>
            <w:tcBorders>
              <w:left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93" w:type="dxa"/>
            <w:vMerge w:val="continue"/>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1989" w:type="dxa"/>
            <w:gridSpan w:val="2"/>
            <w:vMerge w:val="continue"/>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2518"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植物养护适季、适花技术规范</w:t>
            </w:r>
          </w:p>
        </w:tc>
        <w:tc>
          <w:tcPr>
            <w:tcW w:w="72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ascii="仿宋_GB2312" w:eastAsia="仿宋_GB2312" w:hAnsiTheme="minorEastAsia"/>
                <w:sz w:val="24"/>
              </w:rPr>
              <w:t>5</w:t>
            </w:r>
          </w:p>
        </w:tc>
        <w:tc>
          <w:tcPr>
            <w:tcW w:w="705"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2006" w:type="dxa"/>
            <w:vMerge w:val="continue"/>
            <w:tcBorders>
              <w:left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trPr>
        <w:tc>
          <w:tcPr>
            <w:tcW w:w="993" w:type="dxa"/>
            <w:vMerge w:val="continue"/>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1989" w:type="dxa"/>
            <w:gridSpan w:val="2"/>
            <w:vMerge w:val="continue"/>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2518"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hint="eastAsia" w:ascii="仿宋_GB2312" w:eastAsia="仿宋_GB2312" w:hAnsiTheme="minorEastAsia"/>
                <w:sz w:val="24"/>
              </w:rPr>
              <w:t>养护作业操作规范</w:t>
            </w:r>
          </w:p>
        </w:tc>
        <w:tc>
          <w:tcPr>
            <w:tcW w:w="72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r>
              <w:rPr>
                <w:rFonts w:ascii="仿宋_GB2312" w:eastAsia="仿宋_GB2312" w:hAnsiTheme="minorEastAsia"/>
                <w:sz w:val="24"/>
              </w:rPr>
              <w:t>5</w:t>
            </w:r>
          </w:p>
        </w:tc>
        <w:tc>
          <w:tcPr>
            <w:tcW w:w="705"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c>
          <w:tcPr>
            <w:tcW w:w="2006" w:type="dxa"/>
            <w:vMerge w:val="continue"/>
            <w:tcBorders>
              <w:left w:val="single" w:color="auto" w:sz="4" w:space="0"/>
              <w:right w:val="single" w:color="auto" w:sz="4" w:space="0"/>
            </w:tcBorders>
            <w:vAlign w:val="center"/>
          </w:tcPr>
          <w:p>
            <w:pPr>
              <w:snapToGrid w:val="0"/>
              <w:spacing w:line="300" w:lineRule="exact"/>
              <w:jc w:val="both"/>
              <w:rPr>
                <w:rFonts w:ascii="仿宋_GB2312" w:eastAsia="仿宋_GB2312" w:hAnsi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5" w:hRule="atLeast"/>
        </w:trPr>
        <w:tc>
          <w:tcPr>
            <w:tcW w:w="8931" w:type="dxa"/>
            <w:gridSpan w:val="7"/>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b/>
                <w:sz w:val="24"/>
              </w:rPr>
            </w:pPr>
            <w:r>
              <w:rPr>
                <w:rFonts w:hint="eastAsia" w:ascii="仿宋_GB2312" w:eastAsia="仿宋_GB2312" w:hAnsiTheme="minorEastAsia"/>
                <w:b/>
                <w:sz w:val="24"/>
              </w:rPr>
              <w:t>总分：</w:t>
            </w:r>
            <w:r>
              <w:rPr>
                <w:rFonts w:ascii="仿宋_GB2312" w:eastAsia="仿宋_GB2312" w:hAnsiTheme="minorEastAsia"/>
                <w:b/>
                <w:sz w:val="24"/>
              </w:rPr>
              <w:t>80</w:t>
            </w:r>
            <w:r>
              <w:rPr>
                <w:rFonts w:hint="eastAsia" w:ascii="仿宋_GB2312" w:eastAsia="仿宋_GB2312" w:hAnsiTheme="minorEastAsia"/>
                <w:b/>
                <w:sz w:val="24"/>
              </w:rPr>
              <w:t xml:space="preserve">分 </w:t>
            </w:r>
            <w:r>
              <w:rPr>
                <w:rFonts w:ascii="仿宋_GB2312" w:eastAsia="仿宋_GB2312" w:hAnsiTheme="minorEastAsia"/>
                <w:b/>
                <w:sz w:val="24"/>
              </w:rPr>
              <w:t xml:space="preserve">         </w:t>
            </w:r>
            <w:r>
              <w:rPr>
                <w:rFonts w:hint="eastAsia" w:ascii="仿宋_GB2312" w:eastAsia="仿宋_GB2312" w:hAnsiTheme="minorEastAsia"/>
                <w:b/>
                <w:sz w:val="24"/>
              </w:rPr>
              <w:t>扣分：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trPr>
        <w:tc>
          <w:tcPr>
            <w:tcW w:w="8931" w:type="dxa"/>
            <w:gridSpan w:val="7"/>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both"/>
              <w:rPr>
                <w:rFonts w:ascii="仿宋_GB2312" w:eastAsia="仿宋_GB2312" w:hAnsiTheme="minorEastAsia"/>
                <w:b/>
                <w:sz w:val="24"/>
              </w:rPr>
            </w:pPr>
            <w:r>
              <w:rPr>
                <w:rFonts w:hint="eastAsia" w:ascii="仿宋_GB2312" w:eastAsia="仿宋_GB2312" w:hAnsiTheme="minorEastAsia"/>
                <w:b/>
                <w:sz w:val="24"/>
              </w:rPr>
              <w:t>实际总得分：分</w:t>
            </w:r>
          </w:p>
        </w:tc>
      </w:tr>
    </w:tbl>
    <w:p>
      <w:pPr>
        <w:snapToGrid w:val="0"/>
        <w:spacing w:line="300" w:lineRule="exact"/>
        <w:ind w:firstLine="960" w:firstLineChars="400"/>
        <w:jc w:val="both"/>
        <w:rPr>
          <w:rFonts w:ascii="仿宋_GB2312" w:eastAsia="仿宋_GB2312" w:hAnsiTheme="minorEastAsia"/>
          <w:sz w:val="24"/>
        </w:rPr>
      </w:pPr>
      <w:r>
        <w:rPr>
          <w:rFonts w:hint="eastAsia" w:ascii="仿宋_GB2312" w:eastAsia="仿宋_GB2312" w:hAnsiTheme="minorEastAsia"/>
          <w:sz w:val="24"/>
        </w:rPr>
        <w:t>考核人员签字：</w:t>
      </w:r>
    </w:p>
    <w:sectPr>
      <w:headerReference r:id="rId3" w:type="default"/>
      <w:footerReference r:id="rId4" w:type="default"/>
      <w:pgSz w:w="11910" w:h="16840"/>
      <w:pgMar w:top="2098" w:right="1531" w:bottom="1985" w:left="1531" w:header="1134" w:footer="964" w:gutter="0"/>
      <w:pgNumType w:fmt="numberInDash" w:start="0"/>
      <w:cols w:space="720" w:num="1"/>
      <w:titlePg/>
      <w:docGrid w:linePitch="29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DejaVu Sans"/>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DejaVu Sans">
    <w:panose1 w:val="020B0603030804020204"/>
    <w:charset w:val="00"/>
    <w:family w:val="auto"/>
    <w:pitch w:val="default"/>
    <w:sig w:usb0="E7006EFF" w:usb1="D200FDFF" w:usb2="0A246029" w:usb3="0400200C" w:csb0="600001FF" w:csb1="DFFF0000"/>
  </w:font>
  <w:font w:name="Calibri">
    <w:altName w:val="DejaVu Sans"/>
    <w:panose1 w:val="020F0502020204030204"/>
    <w:charset w:val="00"/>
    <w:family w:val="swiss"/>
    <w:pitch w:val="default"/>
    <w:sig w:usb0="00000000" w:usb1="00000000" w:usb2="00000001" w:usb3="00000000" w:csb0="0000019F" w:csb1="00000000"/>
  </w:font>
  <w:font w:name="方正书宋_GBK">
    <w:panose1 w:val="02000000000000000000"/>
    <w:charset w:val="86"/>
    <w:family w:val="auto"/>
    <w:pitch w:val="default"/>
    <w:sig w:usb0="00000001" w:usb1="08000000" w:usb2="00000000" w:usb3="00000000" w:csb0="00040000" w:csb1="00000000"/>
  </w:font>
  <w:font w:name="方正黑体_GBK">
    <w:panose1 w:val="02000000000000000000"/>
    <w:charset w:val="86"/>
    <w:family w:val="auto"/>
    <w:pitch w:val="default"/>
    <w:sig w:usb0="00000001" w:usb1="08000000" w:usb2="00000000" w:usb3="00000000" w:csb0="00040000" w:csb1="00000000"/>
  </w:font>
  <w:font w:name="方正小标宋简体">
    <w:panose1 w:val="02000000000000000000"/>
    <w:charset w:val="86"/>
    <w:family w:val="script"/>
    <w:pitch w:val="default"/>
    <w:sig w:usb0="A00002BF" w:usb1="184F6CFA" w:usb2="00000012" w:usb3="00000000" w:csb0="00040001" w:csb1="00000000"/>
  </w:font>
  <w:font w:name="仿宋_GB2312">
    <w:altName w:val="方正仿宋_GBK"/>
    <w:panose1 w:val="02010609030101010101"/>
    <w:charset w:val="86"/>
    <w:family w:val="modern"/>
    <w:pitch w:val="default"/>
    <w:sig w:usb0="00000000" w:usb1="00000000" w:usb2="00000010" w:usb3="00000000" w:csb0="00040000" w:csb1="00000000"/>
  </w:font>
  <w:font w:name="方正仿宋_GBK">
    <w:panose1 w:val="02000000000000000000"/>
    <w:charset w:val="86"/>
    <w:family w:val="auto"/>
    <w:pitch w:val="default"/>
    <w:sig w:usb0="00000001" w:usb1="08000000" w:usb2="00000000" w:usb3="00000000" w:csb0="00040000" w:csb1="00000000"/>
  </w:font>
  <w:font w:name="Arial Unicode MS">
    <w:altName w:val="DejaVu Sans"/>
    <w:panose1 w:val="020B0604020202020204"/>
    <w:charset w:val="00"/>
    <w:family w:val="roman"/>
    <w:pitch w:val="default"/>
    <w:sig w:usb0="00000000" w:usb1="00000000" w:usb2="00000000" w:usb3="00000000" w:csb0="00000001" w:csb1="00000000"/>
  </w:font>
  <w:font w:name="Segoe UI Emoji">
    <w:altName w:val="Noto Sans"/>
    <w:panose1 w:val="020B0502040204020203"/>
    <w:charset w:val="00"/>
    <w:family w:val="swiss"/>
    <w:pitch w:val="default"/>
    <w:sig w:usb0="00000000" w:usb1="00000000" w:usb2="00000000" w:usb3="00000000" w:csb0="00000001" w:csb1="00000000"/>
  </w:font>
  <w:font w:name="Noto Sans">
    <w:panose1 w:val="020B0502040504020204"/>
    <w:charset w:val="00"/>
    <w:family w:val="auto"/>
    <w:pitch w:val="default"/>
    <w:sig w:usb0="E00002FF" w:usb1="4000201F" w:usb2="08000029" w:usb3="00100000" w:csb0="0000019F" w:csb1="00000000"/>
  </w:font>
  <w:font w:name="Noto Sans CJK JP Bold">
    <w:panose1 w:val="020B0800000000000000"/>
    <w:charset w:val="86"/>
    <w:family w:val="auto"/>
    <w:pitch w:val="default"/>
    <w:sig w:usb0="30000003" w:usb1="2BDF3C10" w:usb2="00000016" w:usb3="00000000" w:csb0="602E0107"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rPr>
        <w:sz w:val="28"/>
        <w:szCs w:val="28"/>
      </w:rPr>
      <w:id w:val="1960454179"/>
    </w:sdtPr>
    <w:sdtEndPr>
      <w:rPr>
        <w:sz w:val="28"/>
        <w:szCs w:val="28"/>
      </w:rPr>
    </w:sdtEndPr>
    <w:sdtContent>
      <w:p>
        <w:pPr>
          <w:pStyle w:val="12"/>
          <w:jc w:val="center"/>
          <w:rPr>
            <w:sz w:val="28"/>
            <w:szCs w:val="28"/>
          </w:rPr>
        </w:pPr>
        <w:r>
          <w:rPr>
            <w:sz w:val="28"/>
            <w:szCs w:val="28"/>
          </w:rPr>
          <w:fldChar w:fldCharType="begin"/>
        </w:r>
        <w:r>
          <w:rPr>
            <w:sz w:val="28"/>
            <w:szCs w:val="28"/>
          </w:rPr>
          <w:instrText xml:space="preserve">PAGE   \* MERGEFORMAT</w:instrText>
        </w:r>
        <w:r>
          <w:rPr>
            <w:sz w:val="28"/>
            <w:szCs w:val="28"/>
          </w:rPr>
          <w:fldChar w:fldCharType="separate"/>
        </w:r>
        <w:r>
          <w:rPr>
            <w:sz w:val="28"/>
            <w:szCs w:val="28"/>
          </w:rPr>
          <w:t>- 5 -</w:t>
        </w:r>
        <w:r>
          <w:rPr>
            <w:sz w:val="28"/>
            <w:szCs w:val="28"/>
          </w:rPr>
          <w:fldChar w:fldCharType="end"/>
        </w:r>
      </w:p>
    </w:sdtContent>
  </w:sdt>
  <w:p>
    <w:pPr>
      <w:pStyle w:val="9"/>
      <w:spacing w:line="14" w:lineRule="auto"/>
      <w:rPr>
        <w:sz w:val="20"/>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spacing w:line="14" w:lineRule="auto"/>
      <w:rPr>
        <w:sz w:val="20"/>
      </w:rPr>
    </w:pPr>
    <w:r>
      <w:rPr>
        <w:lang w:val="en-US" w:bidi="ar-SA"/>
      </w:rPr>
      <mc:AlternateContent>
        <mc:Choice Requires="wps">
          <w:drawing>
            <wp:anchor distT="0" distB="0" distL="114300" distR="114300" simplePos="0" relativeHeight="251659264" behindDoc="1" locked="0" layoutInCell="1" allowOverlap="1">
              <wp:simplePos x="0" y="0"/>
              <wp:positionH relativeFrom="page">
                <wp:posOffset>6049645</wp:posOffset>
              </wp:positionH>
              <wp:positionV relativeFrom="page">
                <wp:posOffset>-15240</wp:posOffset>
              </wp:positionV>
              <wp:extent cx="828675" cy="194310"/>
              <wp:effectExtent l="0" t="0" r="0" b="0"/>
              <wp:wrapNone/>
              <wp:docPr id="23" name="文本框 2"/>
              <wp:cNvGraphicFramePr/>
              <a:graphic xmlns:a="http://schemas.openxmlformats.org/drawingml/2006/main">
                <a:graphicData uri="http://schemas.microsoft.com/office/word/2010/wordprocessingShape">
                  <wps:wsp>
                    <wps:cNvSpPr txBox="1"/>
                    <wps:spPr>
                      <a:xfrm>
                        <a:off x="0" y="0"/>
                        <a:ext cx="828675" cy="194310"/>
                      </a:xfrm>
                      <a:prstGeom prst="rect">
                        <a:avLst/>
                      </a:prstGeom>
                      <a:noFill/>
                      <a:ln>
                        <a:noFill/>
                      </a:ln>
                      <a:effectLst/>
                    </wps:spPr>
                    <wps:txbx>
                      <w:txbxContent>
                        <w:p>
                          <w:pPr>
                            <w:spacing w:line="301" w:lineRule="exact"/>
                            <w:ind w:left="20"/>
                            <w:rPr>
                              <w:rFonts w:ascii="Times New Roman" w:eastAsia="Times New Roman"/>
                              <w:sz w:val="24"/>
                            </w:rPr>
                          </w:pPr>
                        </w:p>
                      </w:txbxContent>
                    </wps:txbx>
                    <wps:bodyPr lIns="0" tIns="0" rIns="0" bIns="0" upright="1"/>
                  </wps:wsp>
                </a:graphicData>
              </a:graphic>
            </wp:anchor>
          </w:drawing>
        </mc:Choice>
        <mc:Fallback>
          <w:pict>
            <v:shape id="文本框 2" o:spid="_x0000_s1026" o:spt="202" type="#_x0000_t202" style="position:absolute;left:0pt;margin-left:476.35pt;margin-top:-1.2pt;height:15.3pt;width:65.25pt;mso-position-horizontal-relative:page;mso-position-vertical-relative:page;z-index:-251657216;mso-width-relative:page;mso-height-relative:page;" filled="f" stroked="f" coordsize="21600,21600" o:gfxdata="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WAAAAZHJzL1BLAQIUABQAAAAIAIdO4kBxSyZE2QAAAAoBAAAPAAAAAAAA&#10;AAEAIAAAADgAAABkcnMvZG93bnJldi54bWxQSwECFAAUAAAACACHTuJAJpHH1sIBAACAAwAADgAA&#10;AAAAAAABACAAAAA+AQAAZHJzL2Uyb0RvYy54bWxQSwUGAAAAAAYABgBZAQAAcgUAAAAA&#10;">
              <v:fill on="f" focussize="0,0"/>
              <v:stroke on="f"/>
              <v:imagedata o:title=""/>
              <o:lock v:ext="edit" aspectratio="f"/>
              <v:textbox inset="0mm,0mm,0mm,0mm">
                <w:txbxContent>
                  <w:p>
                    <w:pPr>
                      <w:spacing w:line="301" w:lineRule="exact"/>
                      <w:ind w:left="20"/>
                      <w:rPr>
                        <w:rFonts w:ascii="Times New Roman" w:eastAsia="Times New Roman"/>
                        <w:sz w:val="24"/>
                      </w:rPr>
                    </w:pP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758835EF"/>
    <w:multiLevelType w:val="multilevel"/>
    <w:tmpl w:val="758835EF"/>
    <w:lvl w:ilvl="0" w:tentative="0">
      <w:start w:val="1"/>
      <w:numFmt w:val="decimal"/>
      <w:lvlText w:val="%1、"/>
      <w:lvlJc w:val="left"/>
      <w:pPr>
        <w:ind w:left="480" w:hanging="48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bordersDoNotSurroundHeader w:val="1"/>
  <w:bordersDoNotSurroundFooter w:val="1"/>
  <w:hideSpellingErrors/>
  <w:documentProtection w:enforcement="0"/>
  <w:defaultTabStop w:val="720"/>
  <w:drawingGridHorizontalSpacing w:val="110"/>
  <w:displayHorizontalDrawingGridEvery w:val="2"/>
  <w:characterSpacingControl w:val="doNotCompress"/>
  <w:hdrShapeDefaults>
    <o:shapelayout v:ext="edit">
      <o:idmap v:ext="edit" data="2"/>
    </o:shapelayout>
  </w:hdrShapeDefaults>
  <w:compat>
    <w:ulTrailSpac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GJiZjFjZGVlNjY4MTkyZjYyYjIxOGQ5MTU3NzYyYmQifQ=="/>
  </w:docVars>
  <w:rsids>
    <w:rsidRoot w:val="006D0BE8"/>
    <w:rsid w:val="00001176"/>
    <w:rsid w:val="00002E89"/>
    <w:rsid w:val="0000488B"/>
    <w:rsid w:val="000125AA"/>
    <w:rsid w:val="000127D4"/>
    <w:rsid w:val="0001310A"/>
    <w:rsid w:val="0002232D"/>
    <w:rsid w:val="0002562B"/>
    <w:rsid w:val="00033A20"/>
    <w:rsid w:val="000424EB"/>
    <w:rsid w:val="00044CEA"/>
    <w:rsid w:val="00047C45"/>
    <w:rsid w:val="000558B8"/>
    <w:rsid w:val="000571E0"/>
    <w:rsid w:val="00060B15"/>
    <w:rsid w:val="000675BA"/>
    <w:rsid w:val="000736D5"/>
    <w:rsid w:val="000767DD"/>
    <w:rsid w:val="00076E5A"/>
    <w:rsid w:val="0007744B"/>
    <w:rsid w:val="00081CF3"/>
    <w:rsid w:val="00084BD4"/>
    <w:rsid w:val="00086C6B"/>
    <w:rsid w:val="00093624"/>
    <w:rsid w:val="000A4BFB"/>
    <w:rsid w:val="000A52EC"/>
    <w:rsid w:val="000A6193"/>
    <w:rsid w:val="000B4CCF"/>
    <w:rsid w:val="000B7A0B"/>
    <w:rsid w:val="000D0911"/>
    <w:rsid w:val="000D29A5"/>
    <w:rsid w:val="000D5531"/>
    <w:rsid w:val="000D6553"/>
    <w:rsid w:val="000E59CC"/>
    <w:rsid w:val="000E6C6A"/>
    <w:rsid w:val="000F73FB"/>
    <w:rsid w:val="0010634D"/>
    <w:rsid w:val="00106E42"/>
    <w:rsid w:val="0011161E"/>
    <w:rsid w:val="0011489B"/>
    <w:rsid w:val="00121F70"/>
    <w:rsid w:val="00123D31"/>
    <w:rsid w:val="00151347"/>
    <w:rsid w:val="00151E95"/>
    <w:rsid w:val="00155C74"/>
    <w:rsid w:val="001572C6"/>
    <w:rsid w:val="00160176"/>
    <w:rsid w:val="0016142C"/>
    <w:rsid w:val="00163022"/>
    <w:rsid w:val="001642A4"/>
    <w:rsid w:val="00184A25"/>
    <w:rsid w:val="001862B8"/>
    <w:rsid w:val="001A0C5D"/>
    <w:rsid w:val="001A3D1B"/>
    <w:rsid w:val="001B22D8"/>
    <w:rsid w:val="001B5E96"/>
    <w:rsid w:val="001B657E"/>
    <w:rsid w:val="001C74C5"/>
    <w:rsid w:val="001D1FFB"/>
    <w:rsid w:val="001D4F1A"/>
    <w:rsid w:val="001D7D98"/>
    <w:rsid w:val="001E2010"/>
    <w:rsid w:val="001E2847"/>
    <w:rsid w:val="001E7571"/>
    <w:rsid w:val="001F7682"/>
    <w:rsid w:val="00200BDF"/>
    <w:rsid w:val="00206AD4"/>
    <w:rsid w:val="00207455"/>
    <w:rsid w:val="002101AC"/>
    <w:rsid w:val="0021352E"/>
    <w:rsid w:val="00213E8B"/>
    <w:rsid w:val="00214076"/>
    <w:rsid w:val="00215F4F"/>
    <w:rsid w:val="0021689A"/>
    <w:rsid w:val="00220EAD"/>
    <w:rsid w:val="00246BF4"/>
    <w:rsid w:val="00250C96"/>
    <w:rsid w:val="002518FB"/>
    <w:rsid w:val="00254679"/>
    <w:rsid w:val="002572DD"/>
    <w:rsid w:val="00266450"/>
    <w:rsid w:val="002667AD"/>
    <w:rsid w:val="00267304"/>
    <w:rsid w:val="00270B47"/>
    <w:rsid w:val="00270FD4"/>
    <w:rsid w:val="0027309D"/>
    <w:rsid w:val="00273111"/>
    <w:rsid w:val="0028035C"/>
    <w:rsid w:val="002805A5"/>
    <w:rsid w:val="00282425"/>
    <w:rsid w:val="0029155E"/>
    <w:rsid w:val="00292869"/>
    <w:rsid w:val="0029524A"/>
    <w:rsid w:val="002970D3"/>
    <w:rsid w:val="002A630A"/>
    <w:rsid w:val="002B0692"/>
    <w:rsid w:val="002B59E7"/>
    <w:rsid w:val="002C2412"/>
    <w:rsid w:val="002C37D0"/>
    <w:rsid w:val="002E2170"/>
    <w:rsid w:val="002E2D6D"/>
    <w:rsid w:val="002E39E4"/>
    <w:rsid w:val="002E4D1A"/>
    <w:rsid w:val="002E7632"/>
    <w:rsid w:val="002F4119"/>
    <w:rsid w:val="002F5EA3"/>
    <w:rsid w:val="002F7B51"/>
    <w:rsid w:val="00301D85"/>
    <w:rsid w:val="00302C53"/>
    <w:rsid w:val="00306E77"/>
    <w:rsid w:val="003109FE"/>
    <w:rsid w:val="003115E4"/>
    <w:rsid w:val="003249F8"/>
    <w:rsid w:val="00324EC4"/>
    <w:rsid w:val="00331CF9"/>
    <w:rsid w:val="00331FB6"/>
    <w:rsid w:val="003342DB"/>
    <w:rsid w:val="00334A5C"/>
    <w:rsid w:val="0033684D"/>
    <w:rsid w:val="00340151"/>
    <w:rsid w:val="00342ACA"/>
    <w:rsid w:val="003451FA"/>
    <w:rsid w:val="003467D6"/>
    <w:rsid w:val="00352580"/>
    <w:rsid w:val="00355962"/>
    <w:rsid w:val="0037320B"/>
    <w:rsid w:val="00377C2E"/>
    <w:rsid w:val="00380B99"/>
    <w:rsid w:val="00386FFD"/>
    <w:rsid w:val="003A013A"/>
    <w:rsid w:val="003A3C14"/>
    <w:rsid w:val="003A52E0"/>
    <w:rsid w:val="003A60CC"/>
    <w:rsid w:val="003B28F0"/>
    <w:rsid w:val="003B4493"/>
    <w:rsid w:val="003B5480"/>
    <w:rsid w:val="003C0F2D"/>
    <w:rsid w:val="003D15D2"/>
    <w:rsid w:val="003D2147"/>
    <w:rsid w:val="003D288F"/>
    <w:rsid w:val="003E1296"/>
    <w:rsid w:val="003E26E0"/>
    <w:rsid w:val="003F1874"/>
    <w:rsid w:val="003F568A"/>
    <w:rsid w:val="004025C2"/>
    <w:rsid w:val="00406105"/>
    <w:rsid w:val="00411DBD"/>
    <w:rsid w:val="00413347"/>
    <w:rsid w:val="004168CE"/>
    <w:rsid w:val="00416E2E"/>
    <w:rsid w:val="004205E3"/>
    <w:rsid w:val="00422BCA"/>
    <w:rsid w:val="0042499F"/>
    <w:rsid w:val="004261BC"/>
    <w:rsid w:val="00427A20"/>
    <w:rsid w:val="00427D6E"/>
    <w:rsid w:val="00435722"/>
    <w:rsid w:val="00440DAE"/>
    <w:rsid w:val="004423C9"/>
    <w:rsid w:val="0044447F"/>
    <w:rsid w:val="00453AAD"/>
    <w:rsid w:val="004565E1"/>
    <w:rsid w:val="00470E3B"/>
    <w:rsid w:val="004765CD"/>
    <w:rsid w:val="004807CD"/>
    <w:rsid w:val="004848CE"/>
    <w:rsid w:val="004862F0"/>
    <w:rsid w:val="00490F89"/>
    <w:rsid w:val="0049157C"/>
    <w:rsid w:val="00495CDA"/>
    <w:rsid w:val="0049602C"/>
    <w:rsid w:val="004A0E0F"/>
    <w:rsid w:val="004A0E7C"/>
    <w:rsid w:val="004A3857"/>
    <w:rsid w:val="004A53DC"/>
    <w:rsid w:val="004A747C"/>
    <w:rsid w:val="004B0B0B"/>
    <w:rsid w:val="004B6EA2"/>
    <w:rsid w:val="004C0204"/>
    <w:rsid w:val="004D24AD"/>
    <w:rsid w:val="004D3BF8"/>
    <w:rsid w:val="004E2170"/>
    <w:rsid w:val="004E433F"/>
    <w:rsid w:val="004F2FA6"/>
    <w:rsid w:val="004F365B"/>
    <w:rsid w:val="004F55FA"/>
    <w:rsid w:val="00504939"/>
    <w:rsid w:val="00512302"/>
    <w:rsid w:val="005163E0"/>
    <w:rsid w:val="00523728"/>
    <w:rsid w:val="0052684F"/>
    <w:rsid w:val="005309FE"/>
    <w:rsid w:val="00536945"/>
    <w:rsid w:val="00545114"/>
    <w:rsid w:val="00545C12"/>
    <w:rsid w:val="00546A88"/>
    <w:rsid w:val="00547A86"/>
    <w:rsid w:val="00550DA1"/>
    <w:rsid w:val="005563B7"/>
    <w:rsid w:val="00563E19"/>
    <w:rsid w:val="0056668A"/>
    <w:rsid w:val="00566890"/>
    <w:rsid w:val="0057291F"/>
    <w:rsid w:val="00572B74"/>
    <w:rsid w:val="00572BFF"/>
    <w:rsid w:val="005741E9"/>
    <w:rsid w:val="0057519D"/>
    <w:rsid w:val="00587099"/>
    <w:rsid w:val="00590693"/>
    <w:rsid w:val="00590CA1"/>
    <w:rsid w:val="00591906"/>
    <w:rsid w:val="00596E15"/>
    <w:rsid w:val="005976B0"/>
    <w:rsid w:val="00597B3A"/>
    <w:rsid w:val="005A3196"/>
    <w:rsid w:val="005A446C"/>
    <w:rsid w:val="005C222A"/>
    <w:rsid w:val="005C584D"/>
    <w:rsid w:val="005D1762"/>
    <w:rsid w:val="005D2A04"/>
    <w:rsid w:val="005D3D53"/>
    <w:rsid w:val="005E0B26"/>
    <w:rsid w:val="005E1097"/>
    <w:rsid w:val="005E4FB9"/>
    <w:rsid w:val="005F79F2"/>
    <w:rsid w:val="00603674"/>
    <w:rsid w:val="00604B37"/>
    <w:rsid w:val="006075E0"/>
    <w:rsid w:val="00611BFC"/>
    <w:rsid w:val="00614A52"/>
    <w:rsid w:val="00614BEB"/>
    <w:rsid w:val="00617712"/>
    <w:rsid w:val="006207DF"/>
    <w:rsid w:val="0062119D"/>
    <w:rsid w:val="006217AD"/>
    <w:rsid w:val="00626E9E"/>
    <w:rsid w:val="006420BF"/>
    <w:rsid w:val="00642114"/>
    <w:rsid w:val="00644250"/>
    <w:rsid w:val="006528FC"/>
    <w:rsid w:val="00653A75"/>
    <w:rsid w:val="00656B60"/>
    <w:rsid w:val="00660ECF"/>
    <w:rsid w:val="00660FD1"/>
    <w:rsid w:val="0066116A"/>
    <w:rsid w:val="00662D53"/>
    <w:rsid w:val="00670003"/>
    <w:rsid w:val="00672430"/>
    <w:rsid w:val="00672E1A"/>
    <w:rsid w:val="00675103"/>
    <w:rsid w:val="00676058"/>
    <w:rsid w:val="006778DC"/>
    <w:rsid w:val="00681AC6"/>
    <w:rsid w:val="00682CEE"/>
    <w:rsid w:val="00684DB4"/>
    <w:rsid w:val="0069386B"/>
    <w:rsid w:val="00693EB3"/>
    <w:rsid w:val="006940D9"/>
    <w:rsid w:val="006A3E9F"/>
    <w:rsid w:val="006A61E3"/>
    <w:rsid w:val="006B0BB8"/>
    <w:rsid w:val="006B3314"/>
    <w:rsid w:val="006C1A3D"/>
    <w:rsid w:val="006C5478"/>
    <w:rsid w:val="006D0BE8"/>
    <w:rsid w:val="006D2E09"/>
    <w:rsid w:val="006D4B4C"/>
    <w:rsid w:val="006D592E"/>
    <w:rsid w:val="006E3722"/>
    <w:rsid w:val="006E3C74"/>
    <w:rsid w:val="006E5C43"/>
    <w:rsid w:val="006E5F16"/>
    <w:rsid w:val="006E6129"/>
    <w:rsid w:val="006E64CB"/>
    <w:rsid w:val="006E662F"/>
    <w:rsid w:val="006E790B"/>
    <w:rsid w:val="006F5590"/>
    <w:rsid w:val="006F7A2D"/>
    <w:rsid w:val="007028D2"/>
    <w:rsid w:val="0070331A"/>
    <w:rsid w:val="00704E7B"/>
    <w:rsid w:val="007054F6"/>
    <w:rsid w:val="00712B36"/>
    <w:rsid w:val="00722970"/>
    <w:rsid w:val="0072477D"/>
    <w:rsid w:val="00725A21"/>
    <w:rsid w:val="00732C2D"/>
    <w:rsid w:val="0073541C"/>
    <w:rsid w:val="00737F4B"/>
    <w:rsid w:val="00745D1C"/>
    <w:rsid w:val="00747834"/>
    <w:rsid w:val="00753419"/>
    <w:rsid w:val="00756512"/>
    <w:rsid w:val="00761A4A"/>
    <w:rsid w:val="007634A3"/>
    <w:rsid w:val="00763A82"/>
    <w:rsid w:val="0076502C"/>
    <w:rsid w:val="00766F70"/>
    <w:rsid w:val="007670DC"/>
    <w:rsid w:val="00774A1A"/>
    <w:rsid w:val="0078123A"/>
    <w:rsid w:val="00781E0A"/>
    <w:rsid w:val="00785806"/>
    <w:rsid w:val="00785B6D"/>
    <w:rsid w:val="0079034E"/>
    <w:rsid w:val="007A1492"/>
    <w:rsid w:val="007A21F5"/>
    <w:rsid w:val="007A3022"/>
    <w:rsid w:val="007A5844"/>
    <w:rsid w:val="007A5F72"/>
    <w:rsid w:val="007B0CEC"/>
    <w:rsid w:val="007B1D10"/>
    <w:rsid w:val="007B2F16"/>
    <w:rsid w:val="007B5577"/>
    <w:rsid w:val="007D2A24"/>
    <w:rsid w:val="007D5818"/>
    <w:rsid w:val="007D5A29"/>
    <w:rsid w:val="007D68C7"/>
    <w:rsid w:val="007E2DCA"/>
    <w:rsid w:val="007E4092"/>
    <w:rsid w:val="007F231A"/>
    <w:rsid w:val="007F4486"/>
    <w:rsid w:val="007F5A39"/>
    <w:rsid w:val="008045EF"/>
    <w:rsid w:val="0080773C"/>
    <w:rsid w:val="008153E0"/>
    <w:rsid w:val="0081619B"/>
    <w:rsid w:val="008205EA"/>
    <w:rsid w:val="00820E8C"/>
    <w:rsid w:val="00825B4D"/>
    <w:rsid w:val="00830D05"/>
    <w:rsid w:val="00832DD6"/>
    <w:rsid w:val="008336FB"/>
    <w:rsid w:val="00854252"/>
    <w:rsid w:val="00855B83"/>
    <w:rsid w:val="00864720"/>
    <w:rsid w:val="00872199"/>
    <w:rsid w:val="008729E1"/>
    <w:rsid w:val="00875717"/>
    <w:rsid w:val="00875CCB"/>
    <w:rsid w:val="008760A4"/>
    <w:rsid w:val="00890E7A"/>
    <w:rsid w:val="00891BD5"/>
    <w:rsid w:val="00893DF5"/>
    <w:rsid w:val="00896FC9"/>
    <w:rsid w:val="00897294"/>
    <w:rsid w:val="0089765B"/>
    <w:rsid w:val="00897BC4"/>
    <w:rsid w:val="008A294B"/>
    <w:rsid w:val="008A38A3"/>
    <w:rsid w:val="008A55F1"/>
    <w:rsid w:val="008B23BE"/>
    <w:rsid w:val="008B4C48"/>
    <w:rsid w:val="008B7127"/>
    <w:rsid w:val="008C1AEF"/>
    <w:rsid w:val="008C308E"/>
    <w:rsid w:val="008C349C"/>
    <w:rsid w:val="008D2BAC"/>
    <w:rsid w:val="008D3E2E"/>
    <w:rsid w:val="008E41AD"/>
    <w:rsid w:val="008F00BB"/>
    <w:rsid w:val="008F1083"/>
    <w:rsid w:val="008F1344"/>
    <w:rsid w:val="008F184F"/>
    <w:rsid w:val="008F1C81"/>
    <w:rsid w:val="00905812"/>
    <w:rsid w:val="00906A1C"/>
    <w:rsid w:val="00913DBE"/>
    <w:rsid w:val="00915CE8"/>
    <w:rsid w:val="00915DE3"/>
    <w:rsid w:val="0091763B"/>
    <w:rsid w:val="00921C5D"/>
    <w:rsid w:val="00923263"/>
    <w:rsid w:val="00925688"/>
    <w:rsid w:val="00926D86"/>
    <w:rsid w:val="0092797F"/>
    <w:rsid w:val="009418BD"/>
    <w:rsid w:val="009459B5"/>
    <w:rsid w:val="009500D0"/>
    <w:rsid w:val="0096417B"/>
    <w:rsid w:val="00980CFB"/>
    <w:rsid w:val="009827CE"/>
    <w:rsid w:val="00995AFE"/>
    <w:rsid w:val="009971C8"/>
    <w:rsid w:val="009A164E"/>
    <w:rsid w:val="009A31A1"/>
    <w:rsid w:val="009A44A5"/>
    <w:rsid w:val="009A6B48"/>
    <w:rsid w:val="009A6D22"/>
    <w:rsid w:val="009A73FB"/>
    <w:rsid w:val="009B08CC"/>
    <w:rsid w:val="009B3780"/>
    <w:rsid w:val="009B5CF2"/>
    <w:rsid w:val="009B68DC"/>
    <w:rsid w:val="009C0C57"/>
    <w:rsid w:val="009C254D"/>
    <w:rsid w:val="009C2887"/>
    <w:rsid w:val="009C2DD8"/>
    <w:rsid w:val="009C63D8"/>
    <w:rsid w:val="009D701D"/>
    <w:rsid w:val="009E0738"/>
    <w:rsid w:val="009E095B"/>
    <w:rsid w:val="009E1F7A"/>
    <w:rsid w:val="009E28F2"/>
    <w:rsid w:val="009E2D58"/>
    <w:rsid w:val="009E41C5"/>
    <w:rsid w:val="009E5AEA"/>
    <w:rsid w:val="009F2A7D"/>
    <w:rsid w:val="00A071BC"/>
    <w:rsid w:val="00A07A94"/>
    <w:rsid w:val="00A11222"/>
    <w:rsid w:val="00A121DD"/>
    <w:rsid w:val="00A12308"/>
    <w:rsid w:val="00A133DB"/>
    <w:rsid w:val="00A1551A"/>
    <w:rsid w:val="00A175A6"/>
    <w:rsid w:val="00A2351A"/>
    <w:rsid w:val="00A30B6B"/>
    <w:rsid w:val="00A30F46"/>
    <w:rsid w:val="00A343F9"/>
    <w:rsid w:val="00A36516"/>
    <w:rsid w:val="00A45426"/>
    <w:rsid w:val="00A5263C"/>
    <w:rsid w:val="00A543E5"/>
    <w:rsid w:val="00A6218D"/>
    <w:rsid w:val="00A64541"/>
    <w:rsid w:val="00A715FB"/>
    <w:rsid w:val="00A75E54"/>
    <w:rsid w:val="00A765B3"/>
    <w:rsid w:val="00A802BB"/>
    <w:rsid w:val="00A81D5C"/>
    <w:rsid w:val="00A83D82"/>
    <w:rsid w:val="00A83DCB"/>
    <w:rsid w:val="00A855A2"/>
    <w:rsid w:val="00A87604"/>
    <w:rsid w:val="00A9735F"/>
    <w:rsid w:val="00A97A0B"/>
    <w:rsid w:val="00A97F98"/>
    <w:rsid w:val="00AA3494"/>
    <w:rsid w:val="00AA36D9"/>
    <w:rsid w:val="00AA5D5C"/>
    <w:rsid w:val="00AA7E32"/>
    <w:rsid w:val="00AB1813"/>
    <w:rsid w:val="00AC0703"/>
    <w:rsid w:val="00AD29AE"/>
    <w:rsid w:val="00AD2B3C"/>
    <w:rsid w:val="00AD36E5"/>
    <w:rsid w:val="00AD4B4A"/>
    <w:rsid w:val="00AE5A57"/>
    <w:rsid w:val="00AE6228"/>
    <w:rsid w:val="00AF5DDE"/>
    <w:rsid w:val="00B021CA"/>
    <w:rsid w:val="00B03C35"/>
    <w:rsid w:val="00B04C91"/>
    <w:rsid w:val="00B06D0D"/>
    <w:rsid w:val="00B140F9"/>
    <w:rsid w:val="00B14959"/>
    <w:rsid w:val="00B15963"/>
    <w:rsid w:val="00B17F5D"/>
    <w:rsid w:val="00B20E30"/>
    <w:rsid w:val="00B23622"/>
    <w:rsid w:val="00B31E27"/>
    <w:rsid w:val="00B322D1"/>
    <w:rsid w:val="00B34DF1"/>
    <w:rsid w:val="00B3672C"/>
    <w:rsid w:val="00B427C8"/>
    <w:rsid w:val="00B43049"/>
    <w:rsid w:val="00B435B4"/>
    <w:rsid w:val="00B437D2"/>
    <w:rsid w:val="00B43A51"/>
    <w:rsid w:val="00B46D48"/>
    <w:rsid w:val="00B5037A"/>
    <w:rsid w:val="00B61AF3"/>
    <w:rsid w:val="00B65833"/>
    <w:rsid w:val="00B65D67"/>
    <w:rsid w:val="00B66B78"/>
    <w:rsid w:val="00B75717"/>
    <w:rsid w:val="00B775FF"/>
    <w:rsid w:val="00B80571"/>
    <w:rsid w:val="00B81E8E"/>
    <w:rsid w:val="00B86B91"/>
    <w:rsid w:val="00B87367"/>
    <w:rsid w:val="00BA0290"/>
    <w:rsid w:val="00BA54C3"/>
    <w:rsid w:val="00BB7D31"/>
    <w:rsid w:val="00BC1893"/>
    <w:rsid w:val="00BC55B6"/>
    <w:rsid w:val="00BD728B"/>
    <w:rsid w:val="00BD72AB"/>
    <w:rsid w:val="00BE4E81"/>
    <w:rsid w:val="00BE5FA4"/>
    <w:rsid w:val="00BF068B"/>
    <w:rsid w:val="00BF275A"/>
    <w:rsid w:val="00BF4FF7"/>
    <w:rsid w:val="00BF6265"/>
    <w:rsid w:val="00C05967"/>
    <w:rsid w:val="00C1121C"/>
    <w:rsid w:val="00C12AFB"/>
    <w:rsid w:val="00C1563B"/>
    <w:rsid w:val="00C22762"/>
    <w:rsid w:val="00C24239"/>
    <w:rsid w:val="00C26501"/>
    <w:rsid w:val="00C26EB1"/>
    <w:rsid w:val="00C31540"/>
    <w:rsid w:val="00C320BB"/>
    <w:rsid w:val="00C34CD2"/>
    <w:rsid w:val="00C416A3"/>
    <w:rsid w:val="00C455D5"/>
    <w:rsid w:val="00C47704"/>
    <w:rsid w:val="00C51596"/>
    <w:rsid w:val="00C6023D"/>
    <w:rsid w:val="00C741F2"/>
    <w:rsid w:val="00C74E4B"/>
    <w:rsid w:val="00C75D24"/>
    <w:rsid w:val="00C77999"/>
    <w:rsid w:val="00C8257D"/>
    <w:rsid w:val="00C95116"/>
    <w:rsid w:val="00C977EB"/>
    <w:rsid w:val="00CA0200"/>
    <w:rsid w:val="00CA2945"/>
    <w:rsid w:val="00CA555F"/>
    <w:rsid w:val="00CB163A"/>
    <w:rsid w:val="00CB36AC"/>
    <w:rsid w:val="00CB37BC"/>
    <w:rsid w:val="00CB5BA2"/>
    <w:rsid w:val="00CC1F5E"/>
    <w:rsid w:val="00CC4995"/>
    <w:rsid w:val="00CC5E66"/>
    <w:rsid w:val="00CC75B7"/>
    <w:rsid w:val="00CD1780"/>
    <w:rsid w:val="00CE0488"/>
    <w:rsid w:val="00CE0C83"/>
    <w:rsid w:val="00CE105E"/>
    <w:rsid w:val="00CE119E"/>
    <w:rsid w:val="00CF0CC5"/>
    <w:rsid w:val="00CF37A9"/>
    <w:rsid w:val="00D03DF8"/>
    <w:rsid w:val="00D10162"/>
    <w:rsid w:val="00D12E15"/>
    <w:rsid w:val="00D13126"/>
    <w:rsid w:val="00D13A7E"/>
    <w:rsid w:val="00D2420D"/>
    <w:rsid w:val="00D2512D"/>
    <w:rsid w:val="00D25565"/>
    <w:rsid w:val="00D264FA"/>
    <w:rsid w:val="00D27479"/>
    <w:rsid w:val="00D27CC6"/>
    <w:rsid w:val="00D331A5"/>
    <w:rsid w:val="00D354F5"/>
    <w:rsid w:val="00D37521"/>
    <w:rsid w:val="00D407B6"/>
    <w:rsid w:val="00D425A5"/>
    <w:rsid w:val="00D51140"/>
    <w:rsid w:val="00D55C23"/>
    <w:rsid w:val="00D631FC"/>
    <w:rsid w:val="00D63E36"/>
    <w:rsid w:val="00D65C40"/>
    <w:rsid w:val="00D662C0"/>
    <w:rsid w:val="00D66463"/>
    <w:rsid w:val="00D7611B"/>
    <w:rsid w:val="00D81E84"/>
    <w:rsid w:val="00D84B43"/>
    <w:rsid w:val="00D84F2D"/>
    <w:rsid w:val="00D85A5B"/>
    <w:rsid w:val="00D87120"/>
    <w:rsid w:val="00D9048F"/>
    <w:rsid w:val="00D94E58"/>
    <w:rsid w:val="00D96860"/>
    <w:rsid w:val="00D9698C"/>
    <w:rsid w:val="00DA1A3A"/>
    <w:rsid w:val="00DA2D04"/>
    <w:rsid w:val="00DA3AFD"/>
    <w:rsid w:val="00DA5BDD"/>
    <w:rsid w:val="00DA72BF"/>
    <w:rsid w:val="00DB7CCD"/>
    <w:rsid w:val="00DE6D91"/>
    <w:rsid w:val="00DF41A1"/>
    <w:rsid w:val="00DF44CC"/>
    <w:rsid w:val="00DF717C"/>
    <w:rsid w:val="00DF7945"/>
    <w:rsid w:val="00E01686"/>
    <w:rsid w:val="00E133E8"/>
    <w:rsid w:val="00E13EE8"/>
    <w:rsid w:val="00E14CA3"/>
    <w:rsid w:val="00E21138"/>
    <w:rsid w:val="00E22575"/>
    <w:rsid w:val="00E25BCA"/>
    <w:rsid w:val="00E25F01"/>
    <w:rsid w:val="00E3394C"/>
    <w:rsid w:val="00E364A9"/>
    <w:rsid w:val="00E41DE4"/>
    <w:rsid w:val="00E4439C"/>
    <w:rsid w:val="00E44A5B"/>
    <w:rsid w:val="00E44E0E"/>
    <w:rsid w:val="00E52A6B"/>
    <w:rsid w:val="00E548A2"/>
    <w:rsid w:val="00E56124"/>
    <w:rsid w:val="00E61227"/>
    <w:rsid w:val="00E6185D"/>
    <w:rsid w:val="00E61E57"/>
    <w:rsid w:val="00E633F6"/>
    <w:rsid w:val="00E63A2B"/>
    <w:rsid w:val="00E666A8"/>
    <w:rsid w:val="00E74890"/>
    <w:rsid w:val="00E76D48"/>
    <w:rsid w:val="00E7706E"/>
    <w:rsid w:val="00E87FF3"/>
    <w:rsid w:val="00E94118"/>
    <w:rsid w:val="00EA4CEE"/>
    <w:rsid w:val="00EB2C4A"/>
    <w:rsid w:val="00EB55D7"/>
    <w:rsid w:val="00EC27FD"/>
    <w:rsid w:val="00EC6D6D"/>
    <w:rsid w:val="00ED196B"/>
    <w:rsid w:val="00ED2371"/>
    <w:rsid w:val="00ED3AE8"/>
    <w:rsid w:val="00ED4861"/>
    <w:rsid w:val="00ED4BE4"/>
    <w:rsid w:val="00ED50C6"/>
    <w:rsid w:val="00EE3A8D"/>
    <w:rsid w:val="00EE60E0"/>
    <w:rsid w:val="00EF15F2"/>
    <w:rsid w:val="00EF1A5F"/>
    <w:rsid w:val="00EF1FC2"/>
    <w:rsid w:val="00EF21C9"/>
    <w:rsid w:val="00F07199"/>
    <w:rsid w:val="00F1194B"/>
    <w:rsid w:val="00F1274A"/>
    <w:rsid w:val="00F17682"/>
    <w:rsid w:val="00F26296"/>
    <w:rsid w:val="00F33760"/>
    <w:rsid w:val="00F33DE2"/>
    <w:rsid w:val="00F36BAB"/>
    <w:rsid w:val="00F377CC"/>
    <w:rsid w:val="00F407B2"/>
    <w:rsid w:val="00F43D88"/>
    <w:rsid w:val="00F43ECF"/>
    <w:rsid w:val="00F52498"/>
    <w:rsid w:val="00F5522E"/>
    <w:rsid w:val="00F56D0F"/>
    <w:rsid w:val="00F57334"/>
    <w:rsid w:val="00F644F0"/>
    <w:rsid w:val="00F6492B"/>
    <w:rsid w:val="00F661F4"/>
    <w:rsid w:val="00F664E6"/>
    <w:rsid w:val="00F6652F"/>
    <w:rsid w:val="00F73028"/>
    <w:rsid w:val="00F7573B"/>
    <w:rsid w:val="00F8125F"/>
    <w:rsid w:val="00F85918"/>
    <w:rsid w:val="00F92BE1"/>
    <w:rsid w:val="00F94E0B"/>
    <w:rsid w:val="00F95A44"/>
    <w:rsid w:val="00F9788F"/>
    <w:rsid w:val="00FA0D94"/>
    <w:rsid w:val="00FA25F6"/>
    <w:rsid w:val="00FB3C48"/>
    <w:rsid w:val="00FB6D7C"/>
    <w:rsid w:val="00FB718F"/>
    <w:rsid w:val="00FB76B6"/>
    <w:rsid w:val="00FC1EEA"/>
    <w:rsid w:val="00FC5537"/>
    <w:rsid w:val="00FD0A45"/>
    <w:rsid w:val="00FD0D86"/>
    <w:rsid w:val="00FD3299"/>
    <w:rsid w:val="00FD772C"/>
    <w:rsid w:val="00FE2A42"/>
    <w:rsid w:val="00FE354B"/>
    <w:rsid w:val="00FE53BC"/>
    <w:rsid w:val="00FE7E84"/>
    <w:rsid w:val="00FF2C1A"/>
    <w:rsid w:val="00FF3CED"/>
    <w:rsid w:val="00FF6169"/>
    <w:rsid w:val="077C60AF"/>
    <w:rsid w:val="09E60645"/>
    <w:rsid w:val="0B5A630E"/>
    <w:rsid w:val="0C4E6613"/>
    <w:rsid w:val="195425EF"/>
    <w:rsid w:val="1B4548E5"/>
    <w:rsid w:val="1B6856DE"/>
    <w:rsid w:val="2996455E"/>
    <w:rsid w:val="2BF17956"/>
    <w:rsid w:val="2F112FCF"/>
    <w:rsid w:val="31BB3769"/>
    <w:rsid w:val="32D05F8F"/>
    <w:rsid w:val="35424D82"/>
    <w:rsid w:val="3DC72AE0"/>
    <w:rsid w:val="3DD049B2"/>
    <w:rsid w:val="3EF025CD"/>
    <w:rsid w:val="3F436060"/>
    <w:rsid w:val="3F9554EE"/>
    <w:rsid w:val="40842F0A"/>
    <w:rsid w:val="41D93718"/>
    <w:rsid w:val="42CA554C"/>
    <w:rsid w:val="478F0B12"/>
    <w:rsid w:val="51FD10F2"/>
    <w:rsid w:val="5774562F"/>
    <w:rsid w:val="5BFE7729"/>
    <w:rsid w:val="5DCF423F"/>
    <w:rsid w:val="5EE14F8C"/>
    <w:rsid w:val="64CC1444"/>
    <w:rsid w:val="6C076C10"/>
    <w:rsid w:val="707D334E"/>
    <w:rsid w:val="779ED125"/>
    <w:rsid w:val="77F81380"/>
    <w:rsid w:val="78DD2499"/>
    <w:rsid w:val="7B643141"/>
    <w:rsid w:val="7DB7CAB7"/>
    <w:rsid w:val="BBEADD00"/>
    <w:rsid w:val="CEF77149"/>
    <w:rsid w:val="FF0FB489"/>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1" w:semiHidden="0" w:name="heading 2"/>
    <w:lsdException w:qFormat="1" w:unhideWhenUsed="0" w:uiPriority="1" w:semiHidden="0" w:name="heading 3"/>
    <w:lsdException w:qFormat="1" w:unhideWhenUsed="0" w:uiPriority="1" w:semiHidden="0" w:name="heading 4"/>
    <w:lsdException w:qFormat="1" w:unhideWhenUsed="0" w:uiPriority="1" w:semiHidden="0" w:name="heading 5"/>
    <w:lsdException w:qFormat="1" w:uiPriority="0" w:semiHidden="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1" w:semiHidden="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qFormat="1" w:uiPriority="0" w:semiHidden="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pPr>
    <w:rPr>
      <w:rFonts w:ascii="宋体" w:hAnsi="宋体" w:eastAsia="宋体" w:cs="宋体"/>
      <w:sz w:val="22"/>
      <w:szCs w:val="22"/>
      <w:lang w:val="zh-CN" w:eastAsia="zh-CN" w:bidi="zh-CN"/>
    </w:rPr>
  </w:style>
  <w:style w:type="paragraph" w:styleId="2">
    <w:name w:val="heading 1"/>
    <w:basedOn w:val="1"/>
    <w:next w:val="1"/>
    <w:qFormat/>
    <w:uiPriority w:val="1"/>
    <w:pPr>
      <w:ind w:left="360"/>
      <w:jc w:val="center"/>
      <w:outlineLvl w:val="0"/>
    </w:pPr>
    <w:rPr>
      <w:sz w:val="21"/>
      <w:szCs w:val="21"/>
    </w:rPr>
  </w:style>
  <w:style w:type="paragraph" w:styleId="3">
    <w:name w:val="heading 2"/>
    <w:basedOn w:val="1"/>
    <w:next w:val="1"/>
    <w:link w:val="29"/>
    <w:qFormat/>
    <w:uiPriority w:val="1"/>
    <w:pPr>
      <w:ind w:left="5114" w:hanging="4392"/>
      <w:outlineLvl w:val="1"/>
    </w:pPr>
    <w:rPr>
      <w:sz w:val="18"/>
      <w:szCs w:val="18"/>
    </w:rPr>
  </w:style>
  <w:style w:type="paragraph" w:styleId="4">
    <w:name w:val="heading 3"/>
    <w:basedOn w:val="1"/>
    <w:next w:val="1"/>
    <w:qFormat/>
    <w:uiPriority w:val="1"/>
    <w:pPr>
      <w:ind w:left="453"/>
      <w:outlineLvl w:val="2"/>
    </w:pPr>
    <w:rPr>
      <w:b/>
      <w:bCs/>
      <w:sz w:val="17"/>
      <w:szCs w:val="17"/>
    </w:rPr>
  </w:style>
  <w:style w:type="paragraph" w:styleId="5">
    <w:name w:val="heading 4"/>
    <w:basedOn w:val="1"/>
    <w:next w:val="1"/>
    <w:qFormat/>
    <w:uiPriority w:val="1"/>
    <w:pPr>
      <w:spacing w:before="1"/>
      <w:ind w:left="813"/>
      <w:outlineLvl w:val="3"/>
    </w:pPr>
    <w:rPr>
      <w:sz w:val="17"/>
      <w:szCs w:val="17"/>
    </w:rPr>
  </w:style>
  <w:style w:type="paragraph" w:styleId="6">
    <w:name w:val="heading 5"/>
    <w:basedOn w:val="1"/>
    <w:next w:val="1"/>
    <w:qFormat/>
    <w:uiPriority w:val="1"/>
    <w:pPr>
      <w:spacing w:before="81"/>
      <w:ind w:left="120"/>
      <w:outlineLvl w:val="4"/>
    </w:pPr>
    <w:rPr>
      <w:b/>
      <w:bCs/>
      <w:sz w:val="16"/>
      <w:szCs w:val="16"/>
    </w:rPr>
  </w:style>
  <w:style w:type="paragraph" w:styleId="7">
    <w:name w:val="heading 6"/>
    <w:basedOn w:val="1"/>
    <w:next w:val="1"/>
    <w:unhideWhenUsed/>
    <w:qFormat/>
    <w:uiPriority w:val="0"/>
    <w:pPr>
      <w:keepNext/>
      <w:keepLines/>
      <w:spacing w:line="317" w:lineRule="auto"/>
      <w:outlineLvl w:val="5"/>
    </w:pPr>
    <w:rPr>
      <w:rFonts w:ascii="Arial" w:hAnsi="Arial" w:eastAsia="黑体"/>
      <w:b/>
      <w:sz w:val="24"/>
    </w:rPr>
  </w:style>
  <w:style w:type="character" w:default="1" w:styleId="17">
    <w:name w:val="Default Paragraph Font"/>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8">
    <w:name w:val="annotation text"/>
    <w:basedOn w:val="1"/>
    <w:link w:val="25"/>
    <w:qFormat/>
    <w:uiPriority w:val="0"/>
  </w:style>
  <w:style w:type="paragraph" w:styleId="9">
    <w:name w:val="Body Text"/>
    <w:basedOn w:val="1"/>
    <w:link w:val="31"/>
    <w:qFormat/>
    <w:uiPriority w:val="1"/>
    <w:rPr>
      <w:sz w:val="14"/>
      <w:szCs w:val="14"/>
    </w:rPr>
  </w:style>
  <w:style w:type="paragraph" w:styleId="10">
    <w:name w:val="Plain Text"/>
    <w:basedOn w:val="1"/>
    <w:link w:val="30"/>
    <w:unhideWhenUsed/>
    <w:qFormat/>
    <w:uiPriority w:val="0"/>
    <w:rPr>
      <w:rFonts w:hAnsi="Courier New" w:cstheme="minorBidi"/>
    </w:rPr>
  </w:style>
  <w:style w:type="paragraph" w:styleId="11">
    <w:name w:val="Balloon Text"/>
    <w:basedOn w:val="1"/>
    <w:link w:val="27"/>
    <w:qFormat/>
    <w:uiPriority w:val="0"/>
    <w:rPr>
      <w:sz w:val="18"/>
      <w:szCs w:val="18"/>
    </w:rPr>
  </w:style>
  <w:style w:type="paragraph" w:styleId="12">
    <w:name w:val="footer"/>
    <w:basedOn w:val="1"/>
    <w:link w:val="24"/>
    <w:qFormat/>
    <w:uiPriority w:val="99"/>
    <w:pPr>
      <w:tabs>
        <w:tab w:val="center" w:pos="4153"/>
        <w:tab w:val="right" w:pos="8306"/>
      </w:tabs>
      <w:snapToGrid w:val="0"/>
    </w:pPr>
    <w:rPr>
      <w:sz w:val="18"/>
      <w:szCs w:val="18"/>
    </w:rPr>
  </w:style>
  <w:style w:type="paragraph" w:styleId="13">
    <w:name w:val="header"/>
    <w:basedOn w:val="1"/>
    <w:link w:val="23"/>
    <w:qFormat/>
    <w:uiPriority w:val="0"/>
    <w:pPr>
      <w:pBdr>
        <w:bottom w:val="single" w:color="auto" w:sz="6" w:space="1"/>
      </w:pBdr>
      <w:tabs>
        <w:tab w:val="center" w:pos="4153"/>
        <w:tab w:val="right" w:pos="8306"/>
      </w:tabs>
      <w:snapToGrid w:val="0"/>
      <w:jc w:val="center"/>
    </w:pPr>
    <w:rPr>
      <w:sz w:val="18"/>
      <w:szCs w:val="18"/>
    </w:rPr>
  </w:style>
  <w:style w:type="paragraph" w:styleId="14">
    <w:name w:val="annotation subject"/>
    <w:basedOn w:val="8"/>
    <w:next w:val="8"/>
    <w:link w:val="26"/>
    <w:qFormat/>
    <w:uiPriority w:val="0"/>
    <w:rPr>
      <w:b/>
      <w:bCs/>
    </w:rPr>
  </w:style>
  <w:style w:type="table" w:styleId="16">
    <w:name w:val="Table Grid"/>
    <w:basedOn w:val="15"/>
    <w:qFormat/>
    <w:uiPriority w:val="39"/>
    <w:rPr>
      <w:rFonts w:asciiTheme="minorHAnsi" w:hAnsiTheme="minorHAnsi" w:eastAsiaTheme="minorEastAsia" w:cstheme="minorBid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8">
    <w:name w:val="annotation reference"/>
    <w:basedOn w:val="17"/>
    <w:qFormat/>
    <w:uiPriority w:val="0"/>
    <w:rPr>
      <w:sz w:val="21"/>
      <w:szCs w:val="21"/>
    </w:rPr>
  </w:style>
  <w:style w:type="table" w:customStyle="1" w:styleId="19">
    <w:name w:val="Table Normal"/>
    <w:unhideWhenUsed/>
    <w:qFormat/>
    <w:uiPriority w:val="2"/>
    <w:tblPr>
      <w:tblCellMar>
        <w:top w:w="0" w:type="dxa"/>
        <w:left w:w="0" w:type="dxa"/>
        <w:bottom w:w="0" w:type="dxa"/>
        <w:right w:w="0" w:type="dxa"/>
      </w:tblCellMar>
    </w:tblPr>
  </w:style>
  <w:style w:type="paragraph" w:customStyle="1" w:styleId="20">
    <w:name w:val="列出段落1"/>
    <w:basedOn w:val="1"/>
    <w:qFormat/>
    <w:uiPriority w:val="1"/>
    <w:pPr>
      <w:ind w:left="838" w:hanging="362"/>
    </w:pPr>
  </w:style>
  <w:style w:type="paragraph" w:customStyle="1" w:styleId="21">
    <w:name w:val="Table Paragraph"/>
    <w:basedOn w:val="1"/>
    <w:qFormat/>
    <w:uiPriority w:val="1"/>
    <w:pPr>
      <w:spacing w:before="52"/>
    </w:pPr>
  </w:style>
  <w:style w:type="paragraph" w:customStyle="1" w:styleId="22">
    <w:name w:val="p0"/>
    <w:basedOn w:val="1"/>
    <w:qFormat/>
    <w:uiPriority w:val="0"/>
    <w:pPr>
      <w:widowControl/>
    </w:pPr>
    <w:rPr>
      <w:szCs w:val="21"/>
    </w:rPr>
  </w:style>
  <w:style w:type="character" w:customStyle="1" w:styleId="23">
    <w:name w:val="页眉 Char"/>
    <w:basedOn w:val="17"/>
    <w:link w:val="13"/>
    <w:qFormat/>
    <w:uiPriority w:val="0"/>
    <w:rPr>
      <w:rFonts w:ascii="宋体" w:hAnsi="宋体" w:cs="宋体"/>
      <w:sz w:val="18"/>
      <w:szCs w:val="18"/>
      <w:lang w:val="zh-CN" w:bidi="zh-CN"/>
    </w:rPr>
  </w:style>
  <w:style w:type="character" w:customStyle="1" w:styleId="24">
    <w:name w:val="页脚 Char"/>
    <w:basedOn w:val="17"/>
    <w:link w:val="12"/>
    <w:qFormat/>
    <w:uiPriority w:val="99"/>
    <w:rPr>
      <w:rFonts w:ascii="宋体" w:hAnsi="宋体" w:cs="宋体"/>
      <w:sz w:val="18"/>
      <w:szCs w:val="18"/>
      <w:lang w:val="zh-CN" w:bidi="zh-CN"/>
    </w:rPr>
  </w:style>
  <w:style w:type="character" w:customStyle="1" w:styleId="25">
    <w:name w:val="批注文字 Char"/>
    <w:basedOn w:val="17"/>
    <w:link w:val="8"/>
    <w:qFormat/>
    <w:uiPriority w:val="0"/>
    <w:rPr>
      <w:rFonts w:ascii="宋体" w:hAnsi="宋体" w:cs="宋体"/>
      <w:sz w:val="22"/>
      <w:szCs w:val="22"/>
      <w:lang w:val="zh-CN" w:bidi="zh-CN"/>
    </w:rPr>
  </w:style>
  <w:style w:type="character" w:customStyle="1" w:styleId="26">
    <w:name w:val="批注主题 Char"/>
    <w:basedOn w:val="25"/>
    <w:link w:val="14"/>
    <w:qFormat/>
    <w:uiPriority w:val="0"/>
    <w:rPr>
      <w:rFonts w:ascii="宋体" w:hAnsi="宋体" w:cs="宋体"/>
      <w:b/>
      <w:bCs/>
      <w:sz w:val="22"/>
      <w:szCs w:val="22"/>
      <w:lang w:val="zh-CN" w:bidi="zh-CN"/>
    </w:rPr>
  </w:style>
  <w:style w:type="character" w:customStyle="1" w:styleId="27">
    <w:name w:val="批注框文本 Char"/>
    <w:basedOn w:val="17"/>
    <w:link w:val="11"/>
    <w:qFormat/>
    <w:uiPriority w:val="0"/>
    <w:rPr>
      <w:rFonts w:ascii="宋体" w:hAnsi="宋体" w:cs="宋体"/>
      <w:sz w:val="18"/>
      <w:szCs w:val="18"/>
      <w:lang w:val="zh-CN" w:bidi="zh-CN"/>
    </w:rPr>
  </w:style>
  <w:style w:type="paragraph" w:styleId="28">
    <w:name w:val="List Paragraph"/>
    <w:basedOn w:val="1"/>
    <w:unhideWhenUsed/>
    <w:qFormat/>
    <w:uiPriority w:val="99"/>
    <w:pPr>
      <w:ind w:firstLine="420" w:firstLineChars="200"/>
    </w:pPr>
  </w:style>
  <w:style w:type="character" w:customStyle="1" w:styleId="29">
    <w:name w:val="标题 2 Char"/>
    <w:basedOn w:val="17"/>
    <w:link w:val="3"/>
    <w:qFormat/>
    <w:uiPriority w:val="1"/>
    <w:rPr>
      <w:rFonts w:ascii="宋体" w:hAnsi="宋体" w:cs="宋体"/>
      <w:sz w:val="18"/>
      <w:szCs w:val="18"/>
      <w:lang w:val="zh-CN" w:bidi="zh-CN"/>
    </w:rPr>
  </w:style>
  <w:style w:type="character" w:customStyle="1" w:styleId="30">
    <w:name w:val="纯文本 Char"/>
    <w:basedOn w:val="17"/>
    <w:link w:val="10"/>
    <w:qFormat/>
    <w:uiPriority w:val="0"/>
    <w:rPr>
      <w:rFonts w:ascii="宋体" w:hAnsi="Courier New" w:cstheme="minorBidi"/>
      <w:sz w:val="22"/>
      <w:szCs w:val="22"/>
      <w:lang w:val="zh-CN" w:bidi="zh-CN"/>
    </w:rPr>
  </w:style>
  <w:style w:type="character" w:customStyle="1" w:styleId="31">
    <w:name w:val="正文文本 Char"/>
    <w:basedOn w:val="17"/>
    <w:link w:val="9"/>
    <w:qFormat/>
    <w:uiPriority w:val="1"/>
    <w:rPr>
      <w:rFonts w:ascii="宋体" w:hAnsi="宋体" w:cs="宋体"/>
      <w:sz w:val="14"/>
      <w:szCs w:val="14"/>
      <w:lang w:val="zh-CN" w:bidi="zh-CN"/>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2.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SelectedStyle="\APASixthEditionOfficeOnline.xsl" Version="6"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B0D08D3-FEB1-43C3-A134-649326B9E497}">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21</Pages>
  <Words>1358</Words>
  <Characters>7743</Characters>
  <Lines>64</Lines>
  <Paragraphs>18</Paragraphs>
  <TotalTime>0</TotalTime>
  <ScaleCrop>false</ScaleCrop>
  <LinksUpToDate>false</LinksUpToDate>
  <CharactersWithSpaces>9083</CharactersWithSpaces>
  <Application>WPS Office_12.8.2.1113_F1E327BC-269C-435d-A152-05C5408002CA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2024-03-08T17:30:00Z</dcterms:created>
  <dc:creator>zmm0320</dc:creator>
  <cp:lastModifiedBy>user</cp:lastModifiedBy>
  <cp:lastPrinted>2024-11-27T19:34:00Z</cp:lastPrinted>
  <dcterms:modified xsi:type="dcterms:W3CDTF">2024-12-25T08:34:13Z</dcterms:modified>
  <cp:revision>140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2020-01-12T00:00:00Z</vt:filetime>
  </property>
  <property fmtid="{D5CDD505-2E9C-101B-9397-08002B2CF9AE}" pid="3" name="LastSaved">
    <vt:filetime>2020-01-12T00:00:00Z</vt:filetime>
  </property>
  <property fmtid="{D5CDD505-2E9C-101B-9397-08002B2CF9AE}" pid="4" name="KSOProductBuildVer">
    <vt:lpwstr>2052-12.8.2.1113</vt:lpwstr>
  </property>
  <property fmtid="{D5CDD505-2E9C-101B-9397-08002B2CF9AE}" pid="5" name="ICV">
    <vt:lpwstr>923FD20434562E543E17656719DDD86C_43</vt:lpwstr>
  </property>
</Properties>
</file>