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5E23B9">
      <w:pPr>
        <w:rPr>
          <w:rFonts w:hint="eastAsia"/>
          <w:highlight w:val="none"/>
          <w:lang w:eastAsia="zh-CN"/>
        </w:rPr>
      </w:pPr>
      <w:bookmarkStart w:id="0" w:name="_Toc63785461"/>
    </w:p>
    <w:p w14:paraId="1D3C6C29">
      <w:pPr>
        <w:rPr>
          <w:rFonts w:hint="eastAsia"/>
          <w:highlight w:val="none"/>
          <w:lang w:eastAsia="zh-CN"/>
        </w:rPr>
      </w:pPr>
    </w:p>
    <w:p w14:paraId="5EA3217F">
      <w:pPr>
        <w:rPr>
          <w:rFonts w:hint="eastAsia"/>
          <w:highlight w:val="none"/>
          <w:lang w:eastAsia="zh-CN"/>
        </w:rPr>
      </w:pPr>
    </w:p>
    <w:p w14:paraId="7B875B14">
      <w:pPr>
        <w:ind w:firstLine="0" w:firstLineChars="0"/>
        <w:jc w:val="center"/>
        <w:rPr>
          <w:rFonts w:hint="eastAsia" w:ascii="黑体" w:hAnsi="黑体" w:eastAsia="黑体"/>
          <w:sz w:val="52"/>
          <w:szCs w:val="52"/>
          <w:highlight w:val="none"/>
        </w:rPr>
      </w:pPr>
      <w:r>
        <w:rPr>
          <w:rFonts w:hint="eastAsia" w:ascii="黑体" w:hAnsi="黑体" w:eastAsia="黑体"/>
          <w:sz w:val="52"/>
          <w:szCs w:val="52"/>
          <w:highlight w:val="none"/>
        </w:rPr>
        <w:t>上海市医学情报AI辅助子系统</w:t>
      </w:r>
    </w:p>
    <w:p w14:paraId="49A90485">
      <w:pPr>
        <w:ind w:firstLine="0" w:firstLineChars="0"/>
        <w:jc w:val="center"/>
        <w:rPr>
          <w:rFonts w:ascii="黑体" w:hAnsi="黑体" w:eastAsia="黑体"/>
          <w:sz w:val="52"/>
          <w:szCs w:val="52"/>
          <w:highlight w:val="none"/>
        </w:rPr>
      </w:pPr>
      <w:r>
        <w:rPr>
          <w:rFonts w:hint="eastAsia" w:ascii="黑体" w:hAnsi="黑体" w:eastAsia="黑体"/>
          <w:sz w:val="52"/>
          <w:szCs w:val="52"/>
          <w:highlight w:val="none"/>
        </w:rPr>
        <w:t>建设项目采购需求</w:t>
      </w:r>
    </w:p>
    <w:p w14:paraId="1311F0E1">
      <w:pPr>
        <w:ind w:firstLine="0" w:firstLineChars="0"/>
        <w:jc w:val="center"/>
        <w:rPr>
          <w:rFonts w:ascii="黑体" w:hAnsi="黑体" w:eastAsia="黑体"/>
          <w:sz w:val="72"/>
          <w:szCs w:val="72"/>
          <w:highlight w:val="none"/>
        </w:rPr>
      </w:pPr>
      <w:bookmarkStart w:id="1" w:name="_Hlk154588744"/>
    </w:p>
    <w:p w14:paraId="00DFE170">
      <w:pPr>
        <w:ind w:firstLine="0" w:firstLineChars="0"/>
        <w:jc w:val="center"/>
        <w:rPr>
          <w:rFonts w:ascii="黑体" w:hAnsi="黑体" w:eastAsia="黑体"/>
          <w:sz w:val="48"/>
          <w:szCs w:val="48"/>
          <w:highlight w:val="none"/>
        </w:rPr>
      </w:pPr>
    </w:p>
    <w:p w14:paraId="6F8A4528">
      <w:pPr>
        <w:ind w:firstLine="0" w:firstLineChars="0"/>
        <w:jc w:val="center"/>
        <w:rPr>
          <w:rFonts w:ascii="黑体" w:hAnsi="黑体" w:eastAsia="黑体"/>
          <w:sz w:val="52"/>
          <w:szCs w:val="52"/>
          <w:highlight w:val="none"/>
        </w:rPr>
      </w:pPr>
    </w:p>
    <w:p w14:paraId="23A84177">
      <w:pPr>
        <w:ind w:firstLine="1040"/>
        <w:rPr>
          <w:rFonts w:ascii="黑体" w:hAnsi="黑体" w:eastAsia="黑体"/>
          <w:sz w:val="52"/>
          <w:szCs w:val="52"/>
          <w:highlight w:val="none"/>
        </w:rPr>
      </w:pPr>
    </w:p>
    <w:p w14:paraId="27F00164">
      <w:pPr>
        <w:rPr>
          <w:highlight w:val="none"/>
        </w:rPr>
      </w:pPr>
    </w:p>
    <w:p w14:paraId="312BF852">
      <w:pPr>
        <w:rPr>
          <w:highlight w:val="none"/>
        </w:rPr>
      </w:pPr>
    </w:p>
    <w:p w14:paraId="74A0FD7D">
      <w:pPr>
        <w:rPr>
          <w:highlight w:val="none"/>
        </w:rPr>
      </w:pPr>
    </w:p>
    <w:p w14:paraId="487CD431">
      <w:pPr>
        <w:rPr>
          <w:highlight w:val="none"/>
        </w:rPr>
      </w:pPr>
    </w:p>
    <w:bookmarkEnd w:id="1"/>
    <w:p w14:paraId="20F03FAD">
      <w:pPr>
        <w:ind w:firstLine="640"/>
        <w:jc w:val="center"/>
        <w:rPr>
          <w:rFonts w:hint="eastAsia" w:ascii="黑体" w:hAnsi="黑体" w:eastAsia="黑体"/>
          <w:sz w:val="32"/>
          <w:szCs w:val="32"/>
          <w:highlight w:val="none"/>
        </w:rPr>
      </w:pPr>
      <w:bookmarkStart w:id="2" w:name="_Hlk154588734"/>
      <w:r>
        <w:rPr>
          <w:rFonts w:hint="eastAsia" w:ascii="黑体" w:hAnsi="黑体" w:eastAsia="黑体"/>
          <w:sz w:val="32"/>
          <w:szCs w:val="32"/>
          <w:highlight w:val="none"/>
        </w:rPr>
        <w:t>上海市卫生和健康发展研究中心</w:t>
      </w:r>
    </w:p>
    <w:p w14:paraId="36731E37">
      <w:pPr>
        <w:ind w:firstLine="640"/>
        <w:jc w:val="center"/>
        <w:rPr>
          <w:rFonts w:hint="eastAsia" w:ascii="黑体" w:hAnsi="黑体" w:eastAsia="黑体"/>
          <w:sz w:val="32"/>
          <w:szCs w:val="32"/>
          <w:highlight w:val="none"/>
        </w:rPr>
      </w:pPr>
      <w:r>
        <w:rPr>
          <w:rFonts w:hint="eastAsia" w:ascii="黑体" w:hAnsi="黑体" w:eastAsia="黑体"/>
          <w:sz w:val="32"/>
          <w:szCs w:val="32"/>
          <w:highlight w:val="none"/>
        </w:rPr>
        <w:t>（上海市医学科学技术情报研究所）</w:t>
      </w:r>
    </w:p>
    <w:bookmarkEnd w:id="2"/>
    <w:p w14:paraId="5F3C5220">
      <w:pPr>
        <w:rPr>
          <w:rFonts w:hint="eastAsia"/>
          <w:highlight w:val="none"/>
          <w:lang w:eastAsia="zh-CN"/>
        </w:rPr>
      </w:pPr>
    </w:p>
    <w:p w14:paraId="5E32CFF5">
      <w:pPr>
        <w:rPr>
          <w:rFonts w:hint="eastAsia"/>
          <w:highlight w:val="none"/>
          <w:lang w:eastAsia="zh-CN"/>
        </w:rPr>
      </w:pPr>
    </w:p>
    <w:p w14:paraId="4D80E01B">
      <w:pPr>
        <w:rPr>
          <w:rFonts w:hint="eastAsia"/>
          <w:highlight w:val="none"/>
          <w:lang w:eastAsia="zh-CN"/>
        </w:rPr>
      </w:pPr>
    </w:p>
    <w:p w14:paraId="54089F47">
      <w:pPr>
        <w:rPr>
          <w:rFonts w:hint="eastAsia"/>
          <w:highlight w:val="none"/>
          <w:lang w:eastAsia="zh-CN"/>
        </w:rPr>
      </w:pPr>
    </w:p>
    <w:p w14:paraId="421FD71B">
      <w:pPr>
        <w:rPr>
          <w:rFonts w:hint="eastAsia"/>
          <w:highlight w:val="none"/>
          <w:lang w:eastAsia="zh-CN"/>
        </w:rPr>
      </w:pPr>
    </w:p>
    <w:p w14:paraId="1B57F970">
      <w:pPr>
        <w:rPr>
          <w:rFonts w:hint="eastAsia"/>
          <w:highlight w:val="none"/>
          <w:lang w:eastAsia="zh-CN"/>
        </w:rPr>
      </w:pPr>
    </w:p>
    <w:p w14:paraId="073803C2">
      <w:pPr>
        <w:rPr>
          <w:rFonts w:hint="eastAsia"/>
          <w:highlight w:val="none"/>
          <w:lang w:eastAsia="zh-CN"/>
        </w:rPr>
      </w:pPr>
    </w:p>
    <w:p w14:paraId="50F283C0">
      <w:pPr>
        <w:pStyle w:val="2"/>
        <w:rPr>
          <w:highlight w:val="none"/>
        </w:rPr>
      </w:pPr>
      <w:r>
        <w:rPr>
          <w:rFonts w:hint="eastAsia"/>
          <w:highlight w:val="none"/>
        </w:rPr>
        <w:t>项目概况</w:t>
      </w:r>
      <w:bookmarkEnd w:id="0"/>
    </w:p>
    <w:p w14:paraId="26E36D48">
      <w:pPr>
        <w:pStyle w:val="7"/>
        <w:ind w:firstLine="480"/>
        <w:rPr>
          <w:rFonts w:hint="eastAsia" w:ascii="宋体" w:hAnsi="宋体"/>
          <w:highlight w:val="none"/>
        </w:rPr>
      </w:pPr>
      <w:r>
        <w:rPr>
          <w:rFonts w:hint="eastAsia" w:ascii="宋体" w:hAnsi="宋体"/>
          <w:highlight w:val="none"/>
        </w:rPr>
        <w:t>上海市医学科学技术情报研究所主要承担了科研项目查新（立项和成果查新，引文查新，职称查新等）和科研项目支持服务（定题检索，文献综述，协作研究等）工作。</w:t>
      </w:r>
    </w:p>
    <w:p w14:paraId="6B34FB0E">
      <w:pPr>
        <w:pStyle w:val="7"/>
        <w:ind w:firstLine="480"/>
        <w:rPr>
          <w:rFonts w:hint="eastAsia" w:ascii="宋体" w:hAnsi="宋体"/>
          <w:highlight w:val="none"/>
        </w:rPr>
      </w:pPr>
      <w:r>
        <w:rPr>
          <w:rFonts w:hint="eastAsia" w:ascii="宋体" w:hAnsi="宋体"/>
          <w:highlight w:val="none"/>
        </w:rPr>
        <w:t>随着我国卫生健康事业的发展和科研水平的提高，科研项目数量逐年增长，每年发表的研究论文数量也以每五年翻一番的速度增长。这导致了中心查新需求量大，文献阅读任务重，查新中心长期处于人手紧张的状态。这种状况不仅增加了科研人员的工作负担，也影响了科研项目的进展和成果转化的效率。</w:t>
      </w:r>
    </w:p>
    <w:p w14:paraId="61DD3337">
      <w:pPr>
        <w:pStyle w:val="7"/>
        <w:ind w:firstLine="480"/>
        <w:rPr>
          <w:rFonts w:hint="eastAsia" w:ascii="宋体" w:hAnsi="宋体"/>
          <w:highlight w:val="none"/>
        </w:rPr>
      </w:pPr>
      <w:r>
        <w:rPr>
          <w:rFonts w:hint="eastAsia" w:ascii="宋体" w:hAnsi="宋体"/>
          <w:highlight w:val="none"/>
        </w:rPr>
        <w:t>当前，AI技术的发展为解决医学科研领域的问题提供了最佳时机。</w:t>
      </w:r>
      <w:r>
        <w:rPr>
          <w:rFonts w:hint="eastAsia" w:ascii="宋体" w:hAnsi="宋体"/>
          <w:highlight w:val="none"/>
          <w:lang w:val="en-US" w:eastAsia="zh-CN"/>
        </w:rPr>
        <w:t>其</w:t>
      </w:r>
      <w:r>
        <w:rPr>
          <w:rFonts w:hint="eastAsia" w:ascii="宋体" w:hAnsi="宋体"/>
          <w:highlight w:val="none"/>
        </w:rPr>
        <w:t>具有快速处理和分析大量文献和数据的能力，科研领域又是数据密集产生和使用的场景。</w:t>
      </w:r>
    </w:p>
    <w:p w14:paraId="0F95EB51">
      <w:pPr>
        <w:rPr>
          <w:highlight w:val="none"/>
        </w:rPr>
      </w:pPr>
      <w:r>
        <w:rPr>
          <w:rFonts w:hint="eastAsia"/>
          <w:highlight w:val="none"/>
        </w:rPr>
        <w:t>建设期限：</w:t>
      </w:r>
      <w:bookmarkStart w:id="3" w:name="_Hlk154585274"/>
      <w:r>
        <w:rPr>
          <w:rFonts w:hint="eastAsia"/>
          <w:highlight w:val="none"/>
        </w:rPr>
        <w:t>自</w:t>
      </w:r>
      <w:r>
        <w:rPr>
          <w:rFonts w:hint="eastAsia" w:cs="宋体"/>
          <w:highlight w:val="none"/>
        </w:rPr>
        <w:t>合同签订之日</w:t>
      </w:r>
      <w:r>
        <w:rPr>
          <w:rFonts w:hint="eastAsia" w:cs="宋体"/>
          <w:highlight w:val="none"/>
          <w:lang w:val="en-US" w:eastAsia="zh-CN"/>
        </w:rPr>
        <w:t>五个月内</w:t>
      </w:r>
      <w:bookmarkEnd w:id="3"/>
    </w:p>
    <w:p w14:paraId="05714B56">
      <w:pPr>
        <w:rPr>
          <w:highlight w:val="none"/>
        </w:rPr>
      </w:pPr>
      <w:r>
        <w:rPr>
          <w:rFonts w:hint="eastAsia"/>
          <w:highlight w:val="none"/>
        </w:rPr>
        <w:t>建设地点：上海</w:t>
      </w:r>
    </w:p>
    <w:p w14:paraId="6663CB9A">
      <w:pPr>
        <w:rPr>
          <w:highlight w:val="none"/>
        </w:rPr>
      </w:pPr>
      <w:r>
        <w:rPr>
          <w:rFonts w:hint="eastAsia"/>
          <w:highlight w:val="none"/>
        </w:rPr>
        <w:t>预算金额：1601000.00元</w:t>
      </w:r>
    </w:p>
    <w:p w14:paraId="1D86B6FA">
      <w:pPr>
        <w:rPr>
          <w:highlight w:val="none"/>
        </w:rPr>
      </w:pPr>
      <w:r>
        <w:rPr>
          <w:rFonts w:hint="eastAsia"/>
          <w:highlight w:val="none"/>
        </w:rPr>
        <w:t>采购金额（最高限价）：1601000.00元</w:t>
      </w:r>
    </w:p>
    <w:p w14:paraId="54265B1A">
      <w:pPr>
        <w:rPr>
          <w:highlight w:val="none"/>
        </w:rPr>
      </w:pPr>
      <w:r>
        <w:rPr>
          <w:rFonts w:hint="eastAsia"/>
          <w:highlight w:val="none"/>
        </w:rPr>
        <w:t>组织形式：集中采购</w:t>
      </w:r>
    </w:p>
    <w:p w14:paraId="37013F1A">
      <w:pPr>
        <w:rPr>
          <w:highlight w:val="none"/>
        </w:rPr>
      </w:pPr>
      <w:r>
        <w:rPr>
          <w:rFonts w:hint="eastAsia"/>
          <w:highlight w:val="none"/>
        </w:rPr>
        <w:t>是否接受联合体：否</w:t>
      </w:r>
    </w:p>
    <w:p w14:paraId="3F730EB5">
      <w:pPr>
        <w:rPr>
          <w:rFonts w:hint="eastAsia" w:ascii="宋体" w:hAnsi="宋体"/>
          <w:highlight w:val="none"/>
        </w:rPr>
      </w:pPr>
      <w:r>
        <w:rPr>
          <w:highlight w:val="none"/>
        </w:rPr>
        <w:t>是否按</w:t>
      </w:r>
      <w:r>
        <w:rPr>
          <w:rFonts w:hint="eastAsia"/>
          <w:highlight w:val="none"/>
          <w:lang w:eastAsia="zh-CN"/>
        </w:rPr>
        <w:t>xc</w:t>
      </w:r>
      <w:r>
        <w:rPr>
          <w:highlight w:val="none"/>
        </w:rPr>
        <w:t>要求建设：是</w:t>
      </w:r>
    </w:p>
    <w:p w14:paraId="423243E0">
      <w:pPr>
        <w:pStyle w:val="2"/>
        <w:rPr>
          <w:highlight w:val="none"/>
        </w:rPr>
      </w:pPr>
      <w:bookmarkStart w:id="4" w:name="_Toc47536644"/>
      <w:bookmarkEnd w:id="4"/>
      <w:bookmarkStart w:id="5" w:name="_Toc47532255"/>
      <w:bookmarkEnd w:id="5"/>
      <w:bookmarkStart w:id="6" w:name="_Toc47533256"/>
      <w:bookmarkEnd w:id="6"/>
      <w:bookmarkStart w:id="7" w:name="_Toc47536272"/>
      <w:bookmarkEnd w:id="7"/>
      <w:bookmarkStart w:id="8" w:name="_Toc47531634"/>
      <w:bookmarkEnd w:id="8"/>
      <w:bookmarkStart w:id="9" w:name="_Toc47532891"/>
      <w:bookmarkEnd w:id="9"/>
      <w:bookmarkStart w:id="10" w:name="_Toc47539070"/>
      <w:bookmarkEnd w:id="10"/>
      <w:bookmarkStart w:id="11" w:name="_Toc47537134"/>
      <w:bookmarkEnd w:id="11"/>
      <w:bookmarkStart w:id="12" w:name="_Toc63785463"/>
      <w:bookmarkStart w:id="13" w:name="_Toc48223882"/>
      <w:r>
        <w:rPr>
          <w:rFonts w:hint="eastAsia"/>
          <w:highlight w:val="none"/>
        </w:rPr>
        <w:t>建设目标</w:t>
      </w:r>
      <w:bookmarkEnd w:id="12"/>
      <w:bookmarkEnd w:id="13"/>
    </w:p>
    <w:p w14:paraId="77FA56CA">
      <w:pPr>
        <w:pStyle w:val="7"/>
        <w:ind w:firstLine="480"/>
        <w:rPr>
          <w:rFonts w:hint="eastAsia"/>
          <w:b w:val="0"/>
          <w:bCs/>
          <w:color w:val="000000"/>
          <w:highlight w:val="none"/>
          <w:lang w:val="en-US" w:eastAsia="zh-CN"/>
        </w:rPr>
      </w:pPr>
      <w:r>
        <w:rPr>
          <w:rFonts w:hint="eastAsia" w:ascii="宋体" w:hAnsi="宋体"/>
          <w:highlight w:val="none"/>
        </w:rPr>
        <w:t>项目利用</w:t>
      </w:r>
      <w:r>
        <w:rPr>
          <w:rFonts w:hint="eastAsia" w:ascii="宋体" w:hAnsi="宋体"/>
          <w:highlight w:val="none"/>
          <w:lang w:val="en-US" w:eastAsia="zh-CN"/>
        </w:rPr>
        <w:t>AI</w:t>
      </w:r>
      <w:r>
        <w:rPr>
          <w:rFonts w:hint="eastAsia" w:ascii="宋体" w:hAnsi="宋体"/>
          <w:highlight w:val="none"/>
        </w:rPr>
        <w:t>技术对大量数据进行分析，帮助科研工作者应对查新、选题、撰写、评审等工作，提升知识管理水平，更加精准高效地完成学术科研工作，同时促进卫生健康产业发展，为释放数字要素价值，让科研产业数字化打好坚实基础。主要建设内容包括：多源数据统合检索、AI语义智能检索、查新全流程一体化子系统、精准科研方向定位、智能投刊、领域前沿速递、学术写作辅助、方案智能评审、高质量医学文献数据库</w:t>
      </w:r>
      <w:r>
        <w:rPr>
          <w:rFonts w:hint="eastAsia"/>
          <w:b w:val="0"/>
          <w:bCs/>
          <w:color w:val="000000"/>
          <w:highlight w:val="none"/>
        </w:rPr>
        <w:t>。</w:t>
      </w:r>
      <w:r>
        <w:rPr>
          <w:rFonts w:hint="eastAsia"/>
          <w:b w:val="0"/>
          <w:bCs/>
          <w:color w:val="000000"/>
          <w:highlight w:val="none"/>
          <w:lang w:val="en-US" w:eastAsia="zh-CN"/>
        </w:rPr>
        <w:t>具体绩效目标如下：</w:t>
      </w:r>
    </w:p>
    <w:tbl>
      <w:tblPr>
        <w:tblStyle w:val="8"/>
        <w:tblW w:w="794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35"/>
        <w:gridCol w:w="1658"/>
        <w:gridCol w:w="2962"/>
        <w:gridCol w:w="1985"/>
      </w:tblGrid>
      <w:tr w14:paraId="2FDE8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0573F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产出指标</w:t>
            </w:r>
          </w:p>
        </w:tc>
        <w:tc>
          <w:tcPr>
            <w:tcW w:w="16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AED19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数量指标</w:t>
            </w:r>
          </w:p>
        </w:tc>
        <w:tc>
          <w:tcPr>
            <w:tcW w:w="2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B6C9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数据库建设的文献量</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5567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≥3700万篇</w:t>
            </w:r>
          </w:p>
        </w:tc>
      </w:tr>
      <w:tr w14:paraId="10D05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CD58EA">
            <w:pPr>
              <w:spacing w:line="240" w:lineRule="auto"/>
              <w:ind w:firstLine="0" w:firstLineChars="0"/>
              <w:jc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c>
          <w:tcPr>
            <w:tcW w:w="1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580E42">
            <w:pPr>
              <w:spacing w:line="240" w:lineRule="auto"/>
              <w:ind w:firstLine="0" w:firstLineChars="0"/>
              <w:jc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c>
          <w:tcPr>
            <w:tcW w:w="2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CC020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Style w:val="15"/>
                <w:color w:val="000000" w:themeColor="text1"/>
                <w:highlight w:val="none"/>
                <w:lang w:val="en-US" w:eastAsia="zh-CN" w:bidi="ar"/>
                <w14:textFill>
                  <w14:solidFill>
                    <w14:schemeClr w14:val="tx1"/>
                  </w14:solidFill>
                </w14:textFill>
              </w:rPr>
              <w:t>平台服务</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用户</w:t>
            </w:r>
            <w:r>
              <w:rPr>
                <w:rStyle w:val="15"/>
                <w:color w:val="000000" w:themeColor="text1"/>
                <w:highlight w:val="none"/>
                <w:lang w:val="en-US" w:eastAsia="zh-CN" w:bidi="ar"/>
                <w14:textFill>
                  <w14:solidFill>
                    <w14:schemeClr w14:val="tx1"/>
                  </w14:solidFill>
                </w14:textFill>
              </w:rPr>
              <w:t>数量</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64E2A3">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themeColor="text1"/>
                <w:sz w:val="22"/>
                <w:szCs w:val="22"/>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≥100</w:t>
            </w:r>
            <w:r>
              <w:rPr>
                <w:rFonts w:hint="eastAsia" w:cs="宋体"/>
                <w:i w:val="0"/>
                <w:iCs w:val="0"/>
                <w:color w:val="000000" w:themeColor="text1"/>
                <w:kern w:val="0"/>
                <w:sz w:val="22"/>
                <w:szCs w:val="22"/>
                <w:highlight w:val="none"/>
                <w:u w:val="none"/>
                <w:lang w:val="en-US" w:eastAsia="zh-CN" w:bidi="ar"/>
                <w14:textFill>
                  <w14:solidFill>
                    <w14:schemeClr w14:val="tx1"/>
                  </w14:solidFill>
                </w14:textFill>
              </w:rPr>
              <w:t>个</w:t>
            </w:r>
          </w:p>
        </w:tc>
      </w:tr>
      <w:tr w14:paraId="66CCC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5A4E40">
            <w:pPr>
              <w:spacing w:line="240" w:lineRule="auto"/>
              <w:ind w:firstLine="0" w:firstLineChars="0"/>
              <w:jc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c>
          <w:tcPr>
            <w:tcW w:w="1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4859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质量指标</w:t>
            </w:r>
          </w:p>
        </w:tc>
        <w:tc>
          <w:tcPr>
            <w:tcW w:w="2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48464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平台一次性验收通过率</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230AC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≥80%</w:t>
            </w:r>
          </w:p>
        </w:tc>
      </w:tr>
      <w:tr w14:paraId="0BFA2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2085B8">
            <w:pPr>
              <w:spacing w:line="240" w:lineRule="auto"/>
              <w:ind w:firstLine="0" w:firstLineChars="0"/>
              <w:jc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c>
          <w:tcPr>
            <w:tcW w:w="1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6C00F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时效指标</w:t>
            </w:r>
          </w:p>
        </w:tc>
        <w:tc>
          <w:tcPr>
            <w:tcW w:w="2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4722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平台建设完工及时率</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E68B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90%</w:t>
            </w:r>
          </w:p>
        </w:tc>
      </w:tr>
      <w:tr w14:paraId="4721B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B6CD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效益指标</w:t>
            </w:r>
          </w:p>
        </w:tc>
        <w:tc>
          <w:tcPr>
            <w:tcW w:w="1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0D32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社会效益指标</w:t>
            </w:r>
          </w:p>
        </w:tc>
        <w:tc>
          <w:tcPr>
            <w:tcW w:w="2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AD18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科研人员科研效率提升率</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E0D5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≥10%</w:t>
            </w:r>
          </w:p>
        </w:tc>
      </w:tr>
      <w:tr w14:paraId="2452C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D1DF9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满意度指标</w:t>
            </w:r>
          </w:p>
        </w:tc>
        <w:tc>
          <w:tcPr>
            <w:tcW w:w="1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0AFB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服务对象满意度指标</w:t>
            </w:r>
          </w:p>
        </w:tc>
        <w:tc>
          <w:tcPr>
            <w:tcW w:w="2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1585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平台用户满意度</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1354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≥70%</w:t>
            </w:r>
          </w:p>
        </w:tc>
      </w:tr>
    </w:tbl>
    <w:p w14:paraId="49DB6227">
      <w:pPr>
        <w:pStyle w:val="2"/>
        <w:rPr>
          <w:highlight w:val="none"/>
        </w:rPr>
      </w:pPr>
      <w:bookmarkStart w:id="14" w:name="_Toc47536304"/>
      <w:bookmarkEnd w:id="14"/>
      <w:bookmarkStart w:id="15" w:name="_Toc47539102"/>
      <w:bookmarkEnd w:id="15"/>
      <w:bookmarkStart w:id="16" w:name="_Toc47536676"/>
      <w:bookmarkEnd w:id="16"/>
      <w:bookmarkStart w:id="17" w:name="_Toc47533288"/>
      <w:bookmarkEnd w:id="17"/>
      <w:bookmarkStart w:id="18" w:name="_Toc47537166"/>
      <w:bookmarkEnd w:id="18"/>
      <w:bookmarkStart w:id="19" w:name="_Toc47532923"/>
      <w:bookmarkEnd w:id="19"/>
      <w:r>
        <w:rPr>
          <w:rFonts w:hint="eastAsia"/>
          <w:highlight w:val="none"/>
        </w:rPr>
        <w:t>项目建设内容</w:t>
      </w:r>
    </w:p>
    <w:p w14:paraId="1D39B76F">
      <w:pPr>
        <w:pStyle w:val="3"/>
        <w:rPr>
          <w:highlight w:val="none"/>
        </w:rPr>
      </w:pPr>
      <w:r>
        <w:rPr>
          <w:rFonts w:hint="eastAsia"/>
          <w:highlight w:val="none"/>
        </w:rPr>
        <w:t>项目技术路线</w:t>
      </w:r>
    </w:p>
    <w:p w14:paraId="4A3ED7EB">
      <w:pPr>
        <w:rPr>
          <w:highlight w:val="none"/>
        </w:rPr>
      </w:pPr>
      <w:r>
        <w:rPr>
          <w:highlight w:val="none"/>
        </w:rPr>
        <w:t>1</w:t>
      </w:r>
      <w:r>
        <w:rPr>
          <w:rFonts w:hint="eastAsia"/>
          <w:highlight w:val="none"/>
        </w:rPr>
        <w:t>、开发模式：</w:t>
      </w:r>
      <w:r>
        <w:rPr>
          <w:highlight w:val="none"/>
        </w:rPr>
        <w:t>前后端分离</w:t>
      </w:r>
      <w:r>
        <w:rPr>
          <w:rFonts w:hint="eastAsia"/>
          <w:highlight w:val="none"/>
        </w:rPr>
        <w:t>，前后端通过接口方式进行数据交互和通信。</w:t>
      </w:r>
    </w:p>
    <w:p w14:paraId="67EE2DDB">
      <w:pPr>
        <w:rPr>
          <w:highlight w:val="none"/>
        </w:rPr>
      </w:pPr>
      <w:r>
        <w:rPr>
          <w:highlight w:val="none"/>
        </w:rPr>
        <w:t>2</w:t>
      </w:r>
      <w:r>
        <w:rPr>
          <w:rFonts w:hint="eastAsia"/>
          <w:highlight w:val="none"/>
        </w:rPr>
        <w:t>、</w:t>
      </w:r>
      <w:r>
        <w:rPr>
          <w:highlight w:val="none"/>
        </w:rPr>
        <w:t>前端</w:t>
      </w:r>
      <w:r>
        <w:rPr>
          <w:rFonts w:hint="eastAsia"/>
          <w:highlight w:val="none"/>
        </w:rPr>
        <w:t>技术：使用</w:t>
      </w:r>
      <w:r>
        <w:rPr>
          <w:highlight w:val="none"/>
        </w:rPr>
        <w:t>H5</w:t>
      </w:r>
      <w:r>
        <w:rPr>
          <w:rFonts w:hint="eastAsia"/>
          <w:highlight w:val="none"/>
        </w:rPr>
        <w:t>和</w:t>
      </w:r>
      <w:r>
        <w:rPr>
          <w:highlight w:val="none"/>
        </w:rPr>
        <w:t>JavaScrip</w:t>
      </w:r>
      <w:r>
        <w:rPr>
          <w:rFonts w:hint="eastAsia"/>
          <w:highlight w:val="none"/>
        </w:rPr>
        <w:t>t框架</w:t>
      </w:r>
      <w:r>
        <w:rPr>
          <w:highlight w:val="none"/>
        </w:rPr>
        <w:t>开发，通过反向代理访问后端服务。</w:t>
      </w:r>
    </w:p>
    <w:p w14:paraId="37622272">
      <w:pPr>
        <w:rPr>
          <w:highlight w:val="none"/>
        </w:rPr>
      </w:pPr>
      <w:r>
        <w:rPr>
          <w:highlight w:val="none"/>
        </w:rPr>
        <w:t>3</w:t>
      </w:r>
      <w:r>
        <w:rPr>
          <w:rFonts w:hint="eastAsia"/>
          <w:highlight w:val="none"/>
        </w:rPr>
        <w:t>、</w:t>
      </w:r>
      <w:r>
        <w:rPr>
          <w:highlight w:val="none"/>
        </w:rPr>
        <w:t>后端</w:t>
      </w:r>
      <w:r>
        <w:rPr>
          <w:rFonts w:hint="eastAsia"/>
          <w:highlight w:val="none"/>
        </w:rPr>
        <w:t>技术：</w:t>
      </w:r>
      <w:r>
        <w:rPr>
          <w:highlight w:val="none"/>
        </w:rPr>
        <w:t>使用</w:t>
      </w:r>
      <w:r>
        <w:rPr>
          <w:rFonts w:hint="eastAsia"/>
          <w:highlight w:val="none"/>
        </w:rPr>
        <w:t>J</w:t>
      </w:r>
      <w:r>
        <w:rPr>
          <w:highlight w:val="none"/>
        </w:rPr>
        <w:t>ava开发，部署在</w:t>
      </w:r>
      <w:r>
        <w:rPr>
          <w:rFonts w:hint="eastAsia"/>
          <w:highlight w:val="none"/>
        </w:rPr>
        <w:t>国产</w:t>
      </w:r>
      <w:r>
        <w:rPr>
          <w:highlight w:val="none"/>
        </w:rPr>
        <w:t>服务</w:t>
      </w:r>
      <w:r>
        <w:rPr>
          <w:rFonts w:hint="eastAsia"/>
          <w:highlight w:val="none"/>
        </w:rPr>
        <w:t>容器</w:t>
      </w:r>
      <w:r>
        <w:rPr>
          <w:highlight w:val="none"/>
        </w:rPr>
        <w:t>中，对外提供服务。</w:t>
      </w:r>
    </w:p>
    <w:p w14:paraId="4AD03ADE">
      <w:pPr>
        <w:ind w:firstLineChars="0"/>
        <w:rPr>
          <w:highlight w:val="none"/>
        </w:rPr>
      </w:pPr>
      <w:r>
        <w:rPr>
          <w:highlight w:val="none"/>
        </w:rPr>
        <w:t>4</w:t>
      </w:r>
      <w:r>
        <w:rPr>
          <w:rFonts w:hint="eastAsia"/>
          <w:highlight w:val="none"/>
        </w:rPr>
        <w:t>、数据库：国产</w:t>
      </w:r>
      <w:r>
        <w:rPr>
          <w:rFonts w:hint="eastAsia"/>
          <w:highlight w:val="none"/>
          <w:lang w:eastAsia="zh-CN"/>
        </w:rPr>
        <w:t>xc</w:t>
      </w:r>
      <w:r>
        <w:rPr>
          <w:rFonts w:hint="eastAsia"/>
          <w:highlight w:val="none"/>
        </w:rPr>
        <w:t>数据库。</w:t>
      </w:r>
    </w:p>
    <w:p w14:paraId="316F2D1E">
      <w:pPr>
        <w:ind w:firstLineChars="0"/>
        <w:rPr>
          <w:highlight w:val="none"/>
        </w:rPr>
      </w:pPr>
      <w:r>
        <w:rPr>
          <w:highlight w:val="none"/>
        </w:rPr>
        <w:t>5</w:t>
      </w:r>
      <w:r>
        <w:rPr>
          <w:rFonts w:hint="eastAsia"/>
          <w:highlight w:val="none"/>
        </w:rPr>
        <w:t>、操作系统：国产</w:t>
      </w:r>
      <w:r>
        <w:rPr>
          <w:rFonts w:hint="eastAsia"/>
          <w:highlight w:val="none"/>
          <w:lang w:eastAsia="zh-CN"/>
        </w:rPr>
        <w:t>xc</w:t>
      </w:r>
      <w:r>
        <w:rPr>
          <w:rFonts w:hint="eastAsia"/>
          <w:highlight w:val="none"/>
        </w:rPr>
        <w:t>操作系统。</w:t>
      </w:r>
    </w:p>
    <w:p w14:paraId="1122A2E8">
      <w:pPr>
        <w:ind w:firstLineChars="0"/>
        <w:rPr>
          <w:highlight w:val="none"/>
        </w:rPr>
      </w:pPr>
      <w:r>
        <w:rPr>
          <w:highlight w:val="none"/>
        </w:rPr>
        <w:t>6</w:t>
      </w:r>
      <w:r>
        <w:rPr>
          <w:rFonts w:hint="eastAsia"/>
          <w:highlight w:val="none"/>
        </w:rPr>
        <w:t>、中间件：国产</w:t>
      </w:r>
      <w:r>
        <w:rPr>
          <w:rFonts w:hint="eastAsia"/>
          <w:highlight w:val="none"/>
          <w:lang w:eastAsia="zh-CN"/>
        </w:rPr>
        <w:t>xc</w:t>
      </w:r>
      <w:r>
        <w:rPr>
          <w:rFonts w:hint="eastAsia"/>
          <w:highlight w:val="none"/>
        </w:rPr>
        <w:t>中间件。</w:t>
      </w:r>
    </w:p>
    <w:p w14:paraId="78D04AEF">
      <w:pPr>
        <w:ind w:firstLineChars="0"/>
        <w:rPr>
          <w:highlight w:val="none"/>
        </w:rPr>
      </w:pPr>
      <w:r>
        <w:rPr>
          <w:rFonts w:hint="eastAsia"/>
          <w:highlight w:val="none"/>
        </w:rPr>
        <w:t>7、身份认证：支持双因子方式身份鉴别。</w:t>
      </w:r>
    </w:p>
    <w:p w14:paraId="69D7BCEA">
      <w:pPr>
        <w:ind w:firstLineChars="0"/>
        <w:rPr>
          <w:highlight w:val="none"/>
          <w:lang w:eastAsia="zh-Hans"/>
        </w:rPr>
      </w:pPr>
      <w:r>
        <w:rPr>
          <w:highlight w:val="none"/>
        </w:rPr>
        <w:t>8</w:t>
      </w:r>
      <w:r>
        <w:rPr>
          <w:rFonts w:hint="eastAsia"/>
          <w:highlight w:val="none"/>
        </w:rPr>
        <w:t>、加密技术：</w:t>
      </w:r>
      <w:r>
        <w:rPr>
          <w:rFonts w:hint="eastAsia"/>
          <w:highlight w:val="none"/>
          <w:lang w:eastAsia="zh-Hans"/>
        </w:rPr>
        <w:t>依托上海市政务云的安全认证网关建立基于国密算法的</w:t>
      </w:r>
      <w:r>
        <w:rPr>
          <w:highlight w:val="none"/>
          <w:lang w:eastAsia="zh-Hans"/>
        </w:rPr>
        <w:t>GMSSL安全信道，保护数据传输的</w:t>
      </w:r>
      <w:r>
        <w:rPr>
          <w:rFonts w:hint="eastAsia"/>
          <w:highlight w:val="none"/>
          <w:lang w:eastAsia="zh-Hans"/>
        </w:rPr>
        <w:t>保</w:t>
      </w:r>
      <w:r>
        <w:rPr>
          <w:highlight w:val="none"/>
          <w:lang w:eastAsia="zh-Hans"/>
        </w:rPr>
        <w:t>密性和完整性</w:t>
      </w:r>
      <w:r>
        <w:rPr>
          <w:rFonts w:hint="eastAsia"/>
          <w:highlight w:val="none"/>
          <w:lang w:eastAsia="zh-Hans"/>
        </w:rPr>
        <w:t>。</w:t>
      </w:r>
    </w:p>
    <w:p w14:paraId="14775439">
      <w:pPr>
        <w:ind w:firstLineChars="0"/>
        <w:rPr>
          <w:highlight w:val="none"/>
        </w:rPr>
      </w:pPr>
      <w:r>
        <w:rPr>
          <w:highlight w:val="none"/>
        </w:rPr>
        <w:t>9</w:t>
      </w:r>
      <w:r>
        <w:rPr>
          <w:rFonts w:hint="eastAsia"/>
          <w:highlight w:val="none"/>
        </w:rPr>
        <w:t>、安全要求：系统应通过第三方测评机构的软件测试、安全测评和密码应用测评，供应商应配合完成安全相关整改工作。</w:t>
      </w:r>
    </w:p>
    <w:p w14:paraId="40E6C1CF">
      <w:pPr>
        <w:pStyle w:val="3"/>
        <w:rPr>
          <w:highlight w:val="none"/>
        </w:rPr>
      </w:pPr>
      <w:r>
        <w:rPr>
          <w:rFonts w:hint="eastAsia"/>
          <w:highlight w:val="none"/>
        </w:rPr>
        <w:t>项目部署环境</w:t>
      </w:r>
    </w:p>
    <w:p w14:paraId="6FA5F764">
      <w:pPr>
        <w:rPr>
          <w:highlight w:val="none"/>
        </w:rPr>
      </w:pPr>
      <w:r>
        <w:rPr>
          <w:rFonts w:hint="eastAsia"/>
          <w:highlight w:val="none"/>
        </w:rPr>
        <w:t>本项目全面依托上海市电子政务云建设，包括云服务器、存储、网络等基础设施由市电子政务云统一提供。系统需依据</w:t>
      </w:r>
      <w:r>
        <w:rPr>
          <w:rFonts w:hint="eastAsia"/>
          <w:highlight w:val="none"/>
          <w:lang w:eastAsia="zh-CN"/>
        </w:rPr>
        <w:t>xc</w:t>
      </w:r>
      <w:r>
        <w:rPr>
          <w:rFonts w:hint="eastAsia"/>
          <w:highlight w:val="none"/>
        </w:rPr>
        <w:t>要求实现，按照上海市电子政务云相关管理要求，以及项目安全及密码应用需要完成环境及应用部署。</w:t>
      </w:r>
    </w:p>
    <w:p w14:paraId="4D10A553">
      <w:pPr>
        <w:pStyle w:val="3"/>
        <w:rPr>
          <w:highlight w:val="none"/>
        </w:rPr>
      </w:pPr>
      <w:r>
        <w:rPr>
          <w:rFonts w:hint="eastAsia"/>
          <w:highlight w:val="none"/>
        </w:rPr>
        <w:t>项目建设内容</w:t>
      </w:r>
    </w:p>
    <w:p w14:paraId="29429BEC">
      <w:pPr>
        <w:widowControl/>
        <w:snapToGrid w:val="0"/>
        <w:spacing w:line="440" w:lineRule="exact"/>
        <w:rPr>
          <w:rFonts w:hint="eastAsia" w:eastAsia="宋体"/>
          <w:highlight w:val="none"/>
          <w:lang w:eastAsia="zh-CN"/>
        </w:rPr>
      </w:pPr>
      <w:r>
        <w:rPr>
          <w:rFonts w:hint="eastAsia"/>
          <w:highlight w:val="none"/>
        </w:rPr>
        <w:t>本项目建设内容包括</w:t>
      </w:r>
      <w:r>
        <w:rPr>
          <w:rFonts w:hint="eastAsia"/>
          <w:highlight w:val="none"/>
          <w:lang w:eastAsia="zh-CN"/>
        </w:rPr>
        <w:t>：</w:t>
      </w:r>
    </w:p>
    <w:p w14:paraId="3E53CFC7">
      <w:pPr>
        <w:ind w:left="0" w:leftChars="0" w:firstLine="480" w:firstLineChars="200"/>
        <w:rPr>
          <w:rFonts w:hint="eastAsia" w:cs="Times New Roman"/>
          <w:highlight w:val="none"/>
        </w:rPr>
      </w:pPr>
      <w:r>
        <w:rPr>
          <w:rFonts w:hint="eastAsia" w:cs="Times New Roman"/>
          <w:highlight w:val="none"/>
          <w:lang w:eastAsia="zh-CN"/>
        </w:rPr>
        <w:t>（</w:t>
      </w:r>
      <w:r>
        <w:rPr>
          <w:rFonts w:hint="eastAsia" w:cs="Times New Roman"/>
          <w:highlight w:val="none"/>
          <w:lang w:val="en-US" w:eastAsia="zh-CN"/>
        </w:rPr>
        <w:t>1</w:t>
      </w:r>
      <w:r>
        <w:rPr>
          <w:rFonts w:hint="eastAsia" w:cs="Times New Roman"/>
          <w:highlight w:val="none"/>
          <w:lang w:eastAsia="zh-CN"/>
        </w:rPr>
        <w:t>）</w:t>
      </w:r>
      <w:r>
        <w:rPr>
          <w:rFonts w:hint="eastAsia" w:cs="Times New Roman"/>
          <w:highlight w:val="none"/>
        </w:rPr>
        <w:t>多源数据统合检索</w:t>
      </w:r>
    </w:p>
    <w:p w14:paraId="5C2167D6">
      <w:pPr>
        <w:rPr>
          <w:rFonts w:hint="eastAsia" w:cs="Times New Roman"/>
          <w:highlight w:val="none"/>
        </w:rPr>
      </w:pPr>
      <w:r>
        <w:rPr>
          <w:rFonts w:hint="eastAsia" w:cs="Times New Roman"/>
          <w:highlight w:val="none"/>
          <w:lang w:val="en-US" w:eastAsia="zh-CN"/>
        </w:rPr>
        <w:t>整合多数据源至单一检索入口，</w:t>
      </w:r>
      <w:r>
        <w:rPr>
          <w:rFonts w:hint="eastAsia" w:cs="Times New Roman"/>
          <w:highlight w:val="none"/>
        </w:rPr>
        <w:t>系统可快速切换至各个数据库进行检索</w:t>
      </w:r>
      <w:r>
        <w:rPr>
          <w:rFonts w:hint="eastAsia" w:cs="Times New Roman"/>
          <w:highlight w:val="none"/>
          <w:lang w:eastAsia="zh-CN"/>
        </w:rPr>
        <w:t>；</w:t>
      </w:r>
      <w:r>
        <w:rPr>
          <w:rFonts w:hint="eastAsia" w:cs="Times New Roman"/>
          <w:highlight w:val="none"/>
          <w:lang w:val="en-US" w:eastAsia="zh-CN"/>
        </w:rPr>
        <w:t>支持多字段、多关键词、复杂逻辑表达式的高级检索功能，</w:t>
      </w:r>
      <w:r>
        <w:rPr>
          <w:rFonts w:hint="eastAsia" w:cs="Times New Roman"/>
          <w:highlight w:val="none"/>
        </w:rPr>
        <w:t>帮助科研人员快速定位所需资料</w:t>
      </w:r>
      <w:r>
        <w:rPr>
          <w:rFonts w:hint="eastAsia" w:cs="Times New Roman"/>
          <w:highlight w:val="none"/>
          <w:lang w:eastAsia="zh-CN"/>
        </w:rPr>
        <w:t>。</w:t>
      </w:r>
    </w:p>
    <w:p w14:paraId="7BDEF2BE">
      <w:pPr>
        <w:rPr>
          <w:rFonts w:hint="eastAsia" w:cs="Times New Roman"/>
          <w:highlight w:val="none"/>
        </w:rPr>
      </w:pPr>
      <w:r>
        <w:rPr>
          <w:rFonts w:hint="eastAsia" w:cs="Times New Roman"/>
          <w:highlight w:val="none"/>
          <w:lang w:eastAsia="zh-CN"/>
        </w:rPr>
        <w:t>（</w:t>
      </w:r>
      <w:r>
        <w:rPr>
          <w:rFonts w:hint="eastAsia" w:cs="Times New Roman"/>
          <w:highlight w:val="none"/>
          <w:lang w:val="en-US" w:eastAsia="zh-CN"/>
        </w:rPr>
        <w:t>2</w:t>
      </w:r>
      <w:r>
        <w:rPr>
          <w:rFonts w:hint="eastAsia" w:cs="Times New Roman"/>
          <w:highlight w:val="none"/>
          <w:lang w:eastAsia="zh-CN"/>
        </w:rPr>
        <w:t>）</w:t>
      </w:r>
      <w:r>
        <w:rPr>
          <w:rFonts w:hint="eastAsia" w:cs="Times New Roman"/>
          <w:highlight w:val="none"/>
        </w:rPr>
        <w:t>AI语义智能检索</w:t>
      </w:r>
    </w:p>
    <w:p w14:paraId="595F74A1">
      <w:pPr>
        <w:rPr>
          <w:rFonts w:hint="eastAsia" w:cs="Times New Roman"/>
          <w:highlight w:val="none"/>
        </w:rPr>
      </w:pPr>
      <w:r>
        <w:rPr>
          <w:rFonts w:hint="eastAsia" w:cs="Times New Roman"/>
          <w:highlight w:val="none"/>
          <w:lang w:val="en-US" w:eastAsia="zh-CN"/>
        </w:rPr>
        <w:t>无需构建复杂检索式，通过用户输入的自然语言查询串，利用意图识别、词嵌入模型和重排序引擎，快速召回相关文献，显著提升科研人员对于文献查找、数据分析和信息管理的效率。</w:t>
      </w:r>
    </w:p>
    <w:p w14:paraId="7D7970A3">
      <w:pPr>
        <w:rPr>
          <w:rFonts w:hint="eastAsia" w:cs="Times New Roman"/>
          <w:highlight w:val="none"/>
        </w:rPr>
      </w:pPr>
      <w:r>
        <w:rPr>
          <w:rFonts w:hint="eastAsia" w:cs="Times New Roman"/>
          <w:highlight w:val="none"/>
          <w:lang w:eastAsia="zh-CN"/>
        </w:rPr>
        <w:t>（</w:t>
      </w:r>
      <w:r>
        <w:rPr>
          <w:rFonts w:hint="eastAsia" w:cs="Times New Roman"/>
          <w:highlight w:val="none"/>
          <w:lang w:val="en-US" w:eastAsia="zh-CN"/>
        </w:rPr>
        <w:t>3</w:t>
      </w:r>
      <w:r>
        <w:rPr>
          <w:rFonts w:hint="eastAsia" w:cs="Times New Roman"/>
          <w:highlight w:val="none"/>
          <w:lang w:eastAsia="zh-CN"/>
        </w:rPr>
        <w:t>）</w:t>
      </w:r>
      <w:r>
        <w:rPr>
          <w:rFonts w:hint="eastAsia" w:cs="Times New Roman"/>
          <w:highlight w:val="none"/>
        </w:rPr>
        <w:t>查新</w:t>
      </w:r>
      <w:r>
        <w:rPr>
          <w:rFonts w:hint="eastAsia" w:cs="Times New Roman"/>
          <w:highlight w:val="none"/>
          <w:lang w:val="en-US" w:eastAsia="zh-CN"/>
        </w:rPr>
        <w:t>全流程一体化</w:t>
      </w:r>
      <w:r>
        <w:rPr>
          <w:rFonts w:hint="eastAsia" w:cs="Times New Roman"/>
          <w:highlight w:val="none"/>
        </w:rPr>
        <w:t>平台</w:t>
      </w:r>
    </w:p>
    <w:p w14:paraId="66E97843">
      <w:pPr>
        <w:rPr>
          <w:rFonts w:hint="default" w:cs="Times New Roman"/>
          <w:highlight w:val="none"/>
          <w:lang w:val="en-US" w:eastAsia="zh-CN"/>
        </w:rPr>
      </w:pPr>
      <w:r>
        <w:rPr>
          <w:rFonts w:hint="eastAsia" w:cs="Times New Roman"/>
          <w:highlight w:val="none"/>
          <w:lang w:val="en-US" w:eastAsia="zh-CN"/>
        </w:rPr>
        <w:t>用人工智能技术赋能引文查新、职称查新、决策查新，除统合检索功能外，还支持智能文献处理（</w:t>
      </w:r>
      <w:r>
        <w:rPr>
          <w:rFonts w:hint="eastAsia" w:cs="Times New Roman"/>
          <w:highlight w:val="none"/>
        </w:rPr>
        <w:t>对检索出的SCI、知网等数据库的纯文本题录数据进行自动处理，快速获得卷期页码、作者、被引频次</w:t>
      </w:r>
      <w:r>
        <w:rPr>
          <w:rFonts w:hint="eastAsia" w:cs="Times New Roman"/>
          <w:highlight w:val="none"/>
          <w:lang w:eastAsia="zh-CN"/>
        </w:rPr>
        <w:t>、</w:t>
      </w:r>
      <w:r>
        <w:rPr>
          <w:rFonts w:hint="eastAsia" w:cs="Times New Roman"/>
          <w:highlight w:val="none"/>
        </w:rPr>
        <w:t>最新期刊影响因子、最新的JCR分区等相关信息，以及对未检索的文献进行报错</w:t>
      </w:r>
      <w:r>
        <w:rPr>
          <w:rFonts w:hint="eastAsia" w:cs="Times New Roman"/>
          <w:highlight w:val="none"/>
          <w:lang w:val="en-US" w:eastAsia="zh-CN"/>
        </w:rPr>
        <w:t>），自动排版功能（自动生成并导出相关查新结果的word报告），费用计算功能（自动计算查新费用）。</w:t>
      </w:r>
    </w:p>
    <w:p w14:paraId="2498C4BA">
      <w:pPr>
        <w:rPr>
          <w:rFonts w:hint="default" w:cs="Times New Roman"/>
          <w:highlight w:val="none"/>
          <w:lang w:val="en-US" w:eastAsia="zh-CN"/>
        </w:rPr>
      </w:pPr>
      <w:r>
        <w:rPr>
          <w:rFonts w:hint="eastAsia" w:cs="Times New Roman"/>
          <w:highlight w:val="none"/>
          <w:lang w:val="en-US" w:eastAsia="zh-CN"/>
        </w:rPr>
        <w:t>系统同时服务查新委托人和查新员，对查新全流程的委托、执行、交付、反馈进行线上管理，并可生成分析报表和智能提醒，不断提升服务能力和决策支持。</w:t>
      </w:r>
    </w:p>
    <w:p w14:paraId="2311CB39">
      <w:pPr>
        <w:rPr>
          <w:rFonts w:hint="eastAsia" w:cs="Times New Roman"/>
          <w:highlight w:val="none"/>
        </w:rPr>
      </w:pPr>
      <w:r>
        <w:rPr>
          <w:rFonts w:hint="eastAsia" w:cs="Times New Roman"/>
          <w:highlight w:val="none"/>
          <w:lang w:val="en-US" w:eastAsia="zh-CN"/>
        </w:rPr>
        <w:t>（4）精准</w:t>
      </w:r>
      <w:r>
        <w:rPr>
          <w:rFonts w:hint="eastAsia" w:cs="Times New Roman"/>
          <w:highlight w:val="none"/>
        </w:rPr>
        <w:t>科研方向定位</w:t>
      </w:r>
    </w:p>
    <w:p w14:paraId="4F8EA3FC">
      <w:pPr>
        <w:rPr>
          <w:rFonts w:hint="eastAsia" w:cs="Times New Roman"/>
          <w:highlight w:val="none"/>
          <w:lang w:val="en-US" w:eastAsia="zh-CN"/>
        </w:rPr>
      </w:pPr>
      <w:r>
        <w:rPr>
          <w:rFonts w:hint="eastAsia" w:cs="Times New Roman"/>
          <w:highlight w:val="none"/>
          <w:lang w:val="en-US" w:eastAsia="zh-CN"/>
        </w:rPr>
        <w:t>利用智能检索和大语言模型，快速分析大量文献，找出相关领域的科研态势，探讨其在医学及跨学科期刊中的热点程度和逐年趋势，帮助科研人员精准定位研究方向。</w:t>
      </w:r>
    </w:p>
    <w:p w14:paraId="3BCBE526">
      <w:pPr>
        <w:rPr>
          <w:rFonts w:hint="eastAsia" w:cs="Times New Roman"/>
          <w:highlight w:val="none"/>
        </w:rPr>
      </w:pPr>
      <w:r>
        <w:rPr>
          <w:rFonts w:hint="eastAsia" w:cs="Times New Roman"/>
          <w:highlight w:val="none"/>
          <w:lang w:eastAsia="zh-CN"/>
        </w:rPr>
        <w:t>（</w:t>
      </w:r>
      <w:r>
        <w:rPr>
          <w:rFonts w:hint="eastAsia" w:cs="Times New Roman"/>
          <w:highlight w:val="none"/>
          <w:lang w:val="en-US" w:eastAsia="zh-CN"/>
        </w:rPr>
        <w:t>5</w:t>
      </w:r>
      <w:r>
        <w:rPr>
          <w:rFonts w:hint="eastAsia" w:cs="Times New Roman"/>
          <w:highlight w:val="none"/>
          <w:lang w:eastAsia="zh-CN"/>
        </w:rPr>
        <w:t>）</w:t>
      </w:r>
      <w:r>
        <w:rPr>
          <w:rFonts w:hint="eastAsia" w:cs="Times New Roman"/>
          <w:highlight w:val="none"/>
        </w:rPr>
        <w:t>智能投刊</w:t>
      </w:r>
    </w:p>
    <w:p w14:paraId="438E4161">
      <w:pPr>
        <w:rPr>
          <w:rFonts w:hint="default" w:cs="Times New Roman"/>
          <w:highlight w:val="none"/>
          <w:lang w:val="en-US" w:eastAsia="zh-CN"/>
        </w:rPr>
      </w:pPr>
      <w:r>
        <w:rPr>
          <w:rFonts w:hint="eastAsia" w:cs="Times New Roman"/>
          <w:highlight w:val="none"/>
          <w:lang w:val="en-US" w:eastAsia="zh-CN"/>
        </w:rPr>
        <w:t>分析科研人员待发表的文献，智能匹配最适合的期刊，并给出推荐原因分析，提升投刊准确率。还可以针对不同的期刊格式要求自动调整格式。</w:t>
      </w:r>
    </w:p>
    <w:p w14:paraId="7E5FD4C0">
      <w:pPr>
        <w:rPr>
          <w:rFonts w:hint="eastAsia" w:cs="Times New Roman"/>
          <w:highlight w:val="none"/>
        </w:rPr>
      </w:pPr>
      <w:r>
        <w:rPr>
          <w:rFonts w:hint="eastAsia" w:cs="Times New Roman"/>
          <w:highlight w:val="none"/>
          <w:lang w:eastAsia="zh-CN"/>
        </w:rPr>
        <w:t>（</w:t>
      </w:r>
      <w:r>
        <w:rPr>
          <w:rFonts w:hint="eastAsia" w:cs="Times New Roman"/>
          <w:highlight w:val="none"/>
          <w:lang w:val="en-US" w:eastAsia="zh-CN"/>
        </w:rPr>
        <w:t>6</w:t>
      </w:r>
      <w:r>
        <w:rPr>
          <w:rFonts w:hint="eastAsia" w:cs="Times New Roman"/>
          <w:highlight w:val="none"/>
          <w:lang w:eastAsia="zh-CN"/>
        </w:rPr>
        <w:t>）</w:t>
      </w:r>
      <w:r>
        <w:rPr>
          <w:rFonts w:hint="eastAsia" w:cs="Times New Roman"/>
          <w:highlight w:val="none"/>
        </w:rPr>
        <w:t>领域前沿速递</w:t>
      </w:r>
    </w:p>
    <w:p w14:paraId="7484DCC5">
      <w:pPr>
        <w:rPr>
          <w:rFonts w:hint="eastAsia" w:cs="Times New Roman"/>
          <w:highlight w:val="none"/>
          <w:lang w:val="en-US" w:eastAsia="zh-CN"/>
        </w:rPr>
      </w:pPr>
      <w:r>
        <w:rPr>
          <w:rFonts w:hint="eastAsia" w:cs="Times New Roman"/>
          <w:highlight w:val="none"/>
          <w:lang w:val="en-US" w:eastAsia="zh-CN"/>
        </w:rPr>
        <w:t>在分钟级的时间内</w:t>
      </w:r>
      <w:r>
        <w:rPr>
          <w:rFonts w:hint="eastAsia" w:cs="Times New Roman"/>
          <w:highlight w:val="none"/>
        </w:rPr>
        <w:t>智能分析发表的文献，对学科、疾病和各种术式方法进行关键信息分析，快速揭示研究领域前沿进展。</w:t>
      </w:r>
      <w:r>
        <w:rPr>
          <w:rFonts w:hint="eastAsia" w:cs="Times New Roman"/>
          <w:highlight w:val="none"/>
          <w:lang w:val="en-US" w:eastAsia="zh-CN"/>
        </w:rPr>
        <w:t>结合日更的最新文献数据，向研究者推送与其相关领域的最新研究进展。</w:t>
      </w:r>
    </w:p>
    <w:p w14:paraId="57653D47">
      <w:pPr>
        <w:numPr>
          <w:ilvl w:val="0"/>
          <w:numId w:val="2"/>
        </w:numPr>
        <w:ind w:firstLine="482"/>
        <w:rPr>
          <w:rFonts w:hint="eastAsia"/>
          <w:b/>
          <w:highlight w:val="none"/>
        </w:rPr>
      </w:pPr>
      <w:r>
        <w:rPr>
          <w:rFonts w:hint="eastAsia"/>
          <w:b/>
          <w:highlight w:val="none"/>
        </w:rPr>
        <w:t>软件开发清单：</w:t>
      </w:r>
    </w:p>
    <w:tbl>
      <w:tblPr>
        <w:tblStyle w:val="8"/>
        <w:tblW w:w="0" w:type="auto"/>
        <w:tblInd w:w="9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658"/>
        <w:gridCol w:w="1901"/>
        <w:gridCol w:w="2548"/>
        <w:gridCol w:w="3323"/>
      </w:tblGrid>
      <w:tr w14:paraId="172717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0" w:type="auto"/>
            <w:tcBorders>
              <w:tl2br w:val="nil"/>
              <w:tr2bl w:val="nil"/>
            </w:tcBorders>
            <w:shd w:val="clear" w:color="auto" w:fill="F3F8FC"/>
            <w:noWrap/>
            <w:vAlign w:val="center"/>
          </w:tcPr>
          <w:p w14:paraId="1BA64730">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0" w:type="auto"/>
            <w:tcBorders>
              <w:tl2br w:val="nil"/>
              <w:tr2bl w:val="nil"/>
            </w:tcBorders>
            <w:shd w:val="clear" w:color="auto" w:fill="F3F8FC"/>
            <w:noWrap/>
            <w:vAlign w:val="center"/>
          </w:tcPr>
          <w:p w14:paraId="6DBF03A1">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应用系统名称</w:t>
            </w:r>
          </w:p>
        </w:tc>
        <w:tc>
          <w:tcPr>
            <w:tcW w:w="0" w:type="auto"/>
            <w:tcBorders>
              <w:tl2br w:val="nil"/>
              <w:tr2bl w:val="nil"/>
            </w:tcBorders>
            <w:shd w:val="clear" w:color="auto" w:fill="F3F8FC"/>
            <w:noWrap/>
            <w:vAlign w:val="center"/>
          </w:tcPr>
          <w:p w14:paraId="5B36917B">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模块名称</w:t>
            </w:r>
          </w:p>
        </w:tc>
        <w:tc>
          <w:tcPr>
            <w:tcW w:w="0" w:type="auto"/>
            <w:tcBorders>
              <w:tl2br w:val="nil"/>
              <w:tr2bl w:val="nil"/>
            </w:tcBorders>
            <w:shd w:val="clear" w:color="auto" w:fill="F3F8FC"/>
            <w:vAlign w:val="top"/>
          </w:tcPr>
          <w:p w14:paraId="63FBA46E">
            <w:pPr>
              <w:keepNext w:val="0"/>
              <w:keepLines w:val="0"/>
              <w:widowControl/>
              <w:suppressLineNumbers w:val="0"/>
              <w:spacing w:line="240" w:lineRule="auto"/>
              <w:ind w:firstLine="0" w:firstLineChars="0"/>
              <w:jc w:val="center"/>
              <w:textAlignment w:val="top"/>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模块描述</w:t>
            </w:r>
          </w:p>
        </w:tc>
      </w:tr>
      <w:tr w14:paraId="694759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036BE6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l2br w:val="nil"/>
              <w:tr2bl w:val="nil"/>
            </w:tcBorders>
            <w:shd w:val="clear" w:color="auto" w:fill="auto"/>
            <w:vAlign w:val="center"/>
          </w:tcPr>
          <w:p w14:paraId="3E4BCC4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179B0F7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用户体系_用户注册</w:t>
            </w:r>
          </w:p>
        </w:tc>
        <w:tc>
          <w:tcPr>
            <w:tcW w:w="0" w:type="auto"/>
            <w:tcBorders>
              <w:tl2br w:val="nil"/>
              <w:tr2bl w:val="nil"/>
            </w:tcBorders>
            <w:shd w:val="clear" w:color="auto" w:fill="FFFFFF"/>
            <w:vAlign w:val="center"/>
          </w:tcPr>
          <w:p w14:paraId="6F9EE3F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实现用户账号创建流程，包括用户名设置、密码设置、用户信息收集等完整注册功能</w:t>
            </w:r>
          </w:p>
        </w:tc>
      </w:tr>
      <w:tr w14:paraId="72BECB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5237F09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l2br w:val="nil"/>
              <w:tr2bl w:val="nil"/>
            </w:tcBorders>
            <w:shd w:val="clear" w:color="auto" w:fill="auto"/>
            <w:vAlign w:val="center"/>
          </w:tcPr>
          <w:p w14:paraId="29C8A7B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151772E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用户体系_用户登录</w:t>
            </w:r>
          </w:p>
        </w:tc>
        <w:tc>
          <w:tcPr>
            <w:tcW w:w="0" w:type="auto"/>
            <w:tcBorders>
              <w:tl2br w:val="nil"/>
              <w:tr2bl w:val="nil"/>
            </w:tcBorders>
            <w:shd w:val="clear" w:color="auto" w:fill="FFFFFF"/>
            <w:vAlign w:val="center"/>
          </w:tcPr>
          <w:p w14:paraId="2929980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支持用户名密码登录方式，以及必要的统一登录验证，确保登录安全性和用户体验</w:t>
            </w:r>
          </w:p>
        </w:tc>
      </w:tr>
      <w:tr w14:paraId="3C5012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99F35F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l2br w:val="nil"/>
              <w:tr2bl w:val="nil"/>
            </w:tcBorders>
            <w:shd w:val="clear" w:color="auto" w:fill="auto"/>
            <w:vAlign w:val="center"/>
          </w:tcPr>
          <w:p w14:paraId="2637948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6397D71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用户体系_访问控制</w:t>
            </w:r>
          </w:p>
        </w:tc>
        <w:tc>
          <w:tcPr>
            <w:tcW w:w="0" w:type="auto"/>
            <w:tcBorders>
              <w:tl2br w:val="nil"/>
              <w:tr2bl w:val="nil"/>
            </w:tcBorders>
            <w:shd w:val="clear" w:color="auto" w:fill="FFFFFF"/>
            <w:vAlign w:val="center"/>
          </w:tcPr>
          <w:p w14:paraId="0E08AF2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构建基于角色的权限管理系统，控制不同用户对系统功能和数据的访问权限</w:t>
            </w:r>
          </w:p>
        </w:tc>
      </w:tr>
      <w:tr w14:paraId="7715BB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38CAE32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0" w:type="auto"/>
            <w:tcBorders>
              <w:tl2br w:val="nil"/>
              <w:tr2bl w:val="nil"/>
            </w:tcBorders>
            <w:shd w:val="clear" w:color="auto" w:fill="auto"/>
            <w:vAlign w:val="center"/>
          </w:tcPr>
          <w:p w14:paraId="1C23D86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6A1E8F1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用户体系_多租户机制</w:t>
            </w:r>
          </w:p>
        </w:tc>
        <w:tc>
          <w:tcPr>
            <w:tcW w:w="0" w:type="auto"/>
            <w:tcBorders>
              <w:tl2br w:val="nil"/>
              <w:tr2bl w:val="nil"/>
            </w:tcBorders>
            <w:shd w:val="clear" w:color="auto" w:fill="FFFFFF"/>
            <w:vAlign w:val="center"/>
          </w:tcPr>
          <w:p w14:paraId="3D1AC54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实现数据隔离和资源共享的多租户架构，支持不同机构独立使用同一套系统</w:t>
            </w:r>
          </w:p>
        </w:tc>
      </w:tr>
      <w:tr w14:paraId="66AF87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FC0E2B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l2br w:val="nil"/>
              <w:tr2bl w:val="nil"/>
            </w:tcBorders>
            <w:shd w:val="clear" w:color="auto" w:fill="auto"/>
            <w:vAlign w:val="center"/>
          </w:tcPr>
          <w:p w14:paraId="7CF6837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24C44E7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用户体系_用户管理</w:t>
            </w:r>
          </w:p>
        </w:tc>
        <w:tc>
          <w:tcPr>
            <w:tcW w:w="0" w:type="auto"/>
            <w:tcBorders>
              <w:tl2br w:val="nil"/>
              <w:tr2bl w:val="nil"/>
            </w:tcBorders>
            <w:shd w:val="clear" w:color="auto" w:fill="FFFFFF"/>
            <w:vAlign w:val="center"/>
          </w:tcPr>
          <w:p w14:paraId="09A7632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提供管理员用户管理功能，包括用户信息维护、角色分配、状态管理等操作界面</w:t>
            </w:r>
          </w:p>
        </w:tc>
      </w:tr>
      <w:tr w14:paraId="7423B3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5" w:hRule="atLeast"/>
        </w:trPr>
        <w:tc>
          <w:tcPr>
            <w:tcW w:w="0" w:type="auto"/>
            <w:tcBorders>
              <w:tl2br w:val="nil"/>
              <w:tr2bl w:val="nil"/>
            </w:tcBorders>
            <w:shd w:val="clear" w:color="auto" w:fill="FFFFFF"/>
            <w:vAlign w:val="center"/>
          </w:tcPr>
          <w:p w14:paraId="68CB94D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0" w:type="auto"/>
            <w:tcBorders>
              <w:tl2br w:val="nil"/>
              <w:tr2bl w:val="nil"/>
            </w:tcBorders>
            <w:shd w:val="clear" w:color="auto" w:fill="auto"/>
            <w:vAlign w:val="center"/>
          </w:tcPr>
          <w:p w14:paraId="04E6812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05E8C7F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系统功能_服务监控</w:t>
            </w:r>
          </w:p>
        </w:tc>
        <w:tc>
          <w:tcPr>
            <w:tcW w:w="0" w:type="auto"/>
            <w:tcBorders>
              <w:tl2br w:val="nil"/>
              <w:tr2bl w:val="nil"/>
            </w:tcBorders>
            <w:shd w:val="clear" w:color="auto" w:fill="FFFFFF"/>
            <w:vAlign w:val="center"/>
          </w:tcPr>
          <w:p w14:paraId="3456AE9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实时监控系统各项服务的运行状态，当出现异常时及时发送报警通知，确保系统稳定运行</w:t>
            </w:r>
          </w:p>
        </w:tc>
      </w:tr>
      <w:tr w14:paraId="5B3CE5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2BCBF5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0" w:type="auto"/>
            <w:tcBorders>
              <w:tl2br w:val="nil"/>
              <w:tr2bl w:val="nil"/>
            </w:tcBorders>
            <w:shd w:val="clear" w:color="auto" w:fill="auto"/>
            <w:vAlign w:val="center"/>
          </w:tcPr>
          <w:p w14:paraId="0FAAF49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6DB47D4F">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系统功能_行为感知</w:t>
            </w:r>
          </w:p>
        </w:tc>
        <w:tc>
          <w:tcPr>
            <w:tcW w:w="0" w:type="auto"/>
            <w:tcBorders>
              <w:tl2br w:val="nil"/>
              <w:tr2bl w:val="nil"/>
            </w:tcBorders>
            <w:shd w:val="clear" w:color="auto" w:fill="FFFFFF"/>
            <w:vAlign w:val="center"/>
          </w:tcPr>
          <w:p w14:paraId="50C9851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通过行为分析识别可疑的用户操作模式，如频繁访问、异常下载等，并触发安全警报</w:t>
            </w:r>
          </w:p>
        </w:tc>
      </w:tr>
      <w:tr w14:paraId="73355E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FB8B14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l2br w:val="nil"/>
              <w:tr2bl w:val="nil"/>
            </w:tcBorders>
            <w:shd w:val="clear" w:color="auto" w:fill="auto"/>
            <w:vAlign w:val="center"/>
          </w:tcPr>
          <w:p w14:paraId="660F46E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34B23D0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系统功能_模型推理调用接口开发</w:t>
            </w:r>
          </w:p>
        </w:tc>
        <w:tc>
          <w:tcPr>
            <w:tcW w:w="0" w:type="auto"/>
            <w:tcBorders>
              <w:tl2br w:val="nil"/>
              <w:tr2bl w:val="nil"/>
            </w:tcBorders>
            <w:shd w:val="clear" w:color="auto" w:fill="FFFFFF"/>
            <w:vAlign w:val="center"/>
          </w:tcPr>
          <w:p w14:paraId="33B5807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封装各种</w:t>
            </w:r>
            <w:r>
              <w:rPr>
                <w:rStyle w:val="12"/>
                <w:rFonts w:hint="eastAsia" w:ascii="宋体" w:hAnsi="宋体" w:eastAsia="宋体" w:cs="宋体"/>
                <w:highlight w:val="none"/>
                <w:lang w:val="en-US" w:eastAsia="zh-CN" w:bidi="ar"/>
              </w:rPr>
              <w:t>AI</w:t>
            </w:r>
            <w:r>
              <w:rPr>
                <w:rStyle w:val="13"/>
                <w:rFonts w:hint="eastAsia" w:ascii="宋体" w:hAnsi="宋体" w:eastAsia="宋体" w:cs="宋体"/>
                <w:highlight w:val="none"/>
                <w:lang w:val="en-US" w:eastAsia="zh-CN" w:bidi="ar"/>
              </w:rPr>
              <w:t>模型为标准化</w:t>
            </w:r>
            <w:r>
              <w:rPr>
                <w:rStyle w:val="12"/>
                <w:rFonts w:hint="eastAsia" w:ascii="宋体" w:hAnsi="宋体" w:eastAsia="宋体" w:cs="宋体"/>
                <w:highlight w:val="none"/>
                <w:lang w:val="en-US" w:eastAsia="zh-CN" w:bidi="ar"/>
              </w:rPr>
              <w:t>API</w:t>
            </w:r>
            <w:r>
              <w:rPr>
                <w:rStyle w:val="13"/>
                <w:rFonts w:hint="eastAsia" w:ascii="宋体" w:hAnsi="宋体" w:eastAsia="宋体" w:cs="宋体"/>
                <w:highlight w:val="none"/>
                <w:lang w:val="en-US" w:eastAsia="zh-CN" w:bidi="ar"/>
              </w:rPr>
              <w:t>接口，提供统一的模型调用服务和版本管理</w:t>
            </w:r>
          </w:p>
        </w:tc>
      </w:tr>
      <w:tr w14:paraId="4D1503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7B41BD6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0" w:type="auto"/>
            <w:tcBorders>
              <w:tl2br w:val="nil"/>
              <w:tr2bl w:val="nil"/>
            </w:tcBorders>
            <w:shd w:val="clear" w:color="auto" w:fill="auto"/>
            <w:vAlign w:val="center"/>
          </w:tcPr>
          <w:p w14:paraId="6D6D5AE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549E3C1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系统功能_翻译引擎</w:t>
            </w:r>
          </w:p>
        </w:tc>
        <w:tc>
          <w:tcPr>
            <w:tcW w:w="0" w:type="auto"/>
            <w:tcBorders>
              <w:tl2br w:val="nil"/>
              <w:tr2bl w:val="nil"/>
            </w:tcBorders>
            <w:shd w:val="clear" w:color="auto" w:fill="FFFFFF"/>
            <w:vAlign w:val="center"/>
          </w:tcPr>
          <w:p w14:paraId="4866DD6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集成机器翻译服务，支持中英文互译，提高跨语言文献检索和阅读效率</w:t>
            </w:r>
          </w:p>
        </w:tc>
      </w:tr>
      <w:tr w14:paraId="5E435C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4E19C27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l2br w:val="nil"/>
              <w:tr2bl w:val="nil"/>
            </w:tcBorders>
            <w:shd w:val="clear" w:color="auto" w:fill="auto"/>
            <w:vAlign w:val="center"/>
          </w:tcPr>
          <w:p w14:paraId="722922A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2704782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统合检索子系统_各数据源接口对接</w:t>
            </w:r>
          </w:p>
        </w:tc>
        <w:tc>
          <w:tcPr>
            <w:tcW w:w="0" w:type="auto"/>
            <w:tcBorders>
              <w:tl2br w:val="nil"/>
              <w:tr2bl w:val="nil"/>
            </w:tcBorders>
            <w:shd w:val="clear" w:color="auto" w:fill="FFFFFF"/>
            <w:vAlign w:val="center"/>
          </w:tcPr>
          <w:p w14:paraId="2C345B4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调研并对接现有开放的医学数据库，实现统一检索入口</w:t>
            </w:r>
          </w:p>
        </w:tc>
      </w:tr>
      <w:tr w14:paraId="669815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F5293F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0" w:type="auto"/>
            <w:tcBorders>
              <w:tl2br w:val="nil"/>
              <w:tr2bl w:val="nil"/>
            </w:tcBorders>
            <w:shd w:val="clear" w:color="auto" w:fill="auto"/>
            <w:vAlign w:val="center"/>
          </w:tcPr>
          <w:p w14:paraId="52F1182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204CC60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统合检索子系统_全文索引</w:t>
            </w:r>
          </w:p>
        </w:tc>
        <w:tc>
          <w:tcPr>
            <w:tcW w:w="0" w:type="auto"/>
            <w:tcBorders>
              <w:tl2br w:val="nil"/>
              <w:tr2bl w:val="nil"/>
            </w:tcBorders>
            <w:shd w:val="clear" w:color="auto" w:fill="FFFFFF"/>
            <w:vAlign w:val="center"/>
          </w:tcPr>
          <w:p w14:paraId="22574DA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构建高效的全文检索索引，支持对文献标题、摘要、正文等内容的快速检索</w:t>
            </w:r>
          </w:p>
        </w:tc>
      </w:tr>
      <w:tr w14:paraId="457152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34A5ECC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0" w:type="auto"/>
            <w:tcBorders>
              <w:tl2br w:val="nil"/>
              <w:tr2bl w:val="nil"/>
            </w:tcBorders>
            <w:shd w:val="clear" w:color="auto" w:fill="auto"/>
            <w:vAlign w:val="center"/>
          </w:tcPr>
          <w:p w14:paraId="4D21151F">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62FE5AC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统合检索子系统_搜索功能开发</w:t>
            </w:r>
          </w:p>
        </w:tc>
        <w:tc>
          <w:tcPr>
            <w:tcW w:w="0" w:type="auto"/>
            <w:tcBorders>
              <w:tl2br w:val="nil"/>
              <w:tr2bl w:val="nil"/>
            </w:tcBorders>
            <w:shd w:val="clear" w:color="auto" w:fill="FFFFFF"/>
            <w:vAlign w:val="center"/>
          </w:tcPr>
          <w:p w14:paraId="62D10FD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实现多维度搜索条件组合和智能排序算法，提升检索结果的相关性和准确性</w:t>
            </w:r>
          </w:p>
        </w:tc>
      </w:tr>
      <w:tr w14:paraId="7F9F46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D06ED2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0" w:type="auto"/>
            <w:tcBorders>
              <w:tl2br w:val="nil"/>
              <w:tr2bl w:val="nil"/>
            </w:tcBorders>
            <w:shd w:val="clear" w:color="auto" w:fill="auto"/>
            <w:vAlign w:val="center"/>
          </w:tcPr>
          <w:p w14:paraId="27B2C0A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059B377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统合检索子系统_各数据源检索结果返回合并</w:t>
            </w:r>
          </w:p>
        </w:tc>
        <w:tc>
          <w:tcPr>
            <w:tcW w:w="0" w:type="auto"/>
            <w:tcBorders>
              <w:tl2br w:val="nil"/>
              <w:tr2bl w:val="nil"/>
            </w:tcBorders>
            <w:shd w:val="clear" w:color="auto" w:fill="FFFFFF"/>
            <w:vAlign w:val="center"/>
          </w:tcPr>
          <w:p w14:paraId="7B46227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将各数据库的检索结果取回并展示在统合检索系统中，统一展示给用户</w:t>
            </w:r>
          </w:p>
        </w:tc>
      </w:tr>
      <w:tr w14:paraId="3ED704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3D6C197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0" w:type="auto"/>
            <w:tcBorders>
              <w:tl2br w:val="nil"/>
              <w:tr2bl w:val="nil"/>
            </w:tcBorders>
            <w:shd w:val="clear" w:color="auto" w:fill="auto"/>
            <w:vAlign w:val="center"/>
          </w:tcPr>
          <w:p w14:paraId="6208AB6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662FC14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语义检索子系统_向量索引建立</w:t>
            </w:r>
          </w:p>
        </w:tc>
        <w:tc>
          <w:tcPr>
            <w:tcW w:w="0" w:type="auto"/>
            <w:tcBorders>
              <w:tl2br w:val="nil"/>
              <w:tr2bl w:val="nil"/>
            </w:tcBorders>
            <w:shd w:val="clear" w:color="auto" w:fill="FFFFFF"/>
            <w:vAlign w:val="center"/>
          </w:tcPr>
          <w:p w14:paraId="1FC8872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使用深度学习模型将文献内容转换为向量表示，建立语义检索索引</w:t>
            </w:r>
          </w:p>
        </w:tc>
      </w:tr>
      <w:tr w14:paraId="18CDA1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20FBBC5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0" w:type="auto"/>
            <w:tcBorders>
              <w:tl2br w:val="nil"/>
              <w:tr2bl w:val="nil"/>
            </w:tcBorders>
            <w:shd w:val="clear" w:color="auto" w:fill="auto"/>
            <w:vAlign w:val="center"/>
          </w:tcPr>
          <w:p w14:paraId="50CF875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12042A7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语义检索子系统_意图识别&amp;改写</w:t>
            </w:r>
          </w:p>
        </w:tc>
        <w:tc>
          <w:tcPr>
            <w:tcW w:w="0" w:type="auto"/>
            <w:tcBorders>
              <w:tl2br w:val="nil"/>
              <w:tr2bl w:val="nil"/>
            </w:tcBorders>
            <w:shd w:val="clear" w:color="auto" w:fill="FFFFFF"/>
            <w:vAlign w:val="center"/>
          </w:tcPr>
          <w:p w14:paraId="4578DE1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理解用户查询意图，自动优化和扩展检索词，提高检索召回率</w:t>
            </w:r>
          </w:p>
        </w:tc>
      </w:tr>
      <w:tr w14:paraId="2F5BCC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FBCA11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0" w:type="auto"/>
            <w:tcBorders>
              <w:tl2br w:val="nil"/>
              <w:tr2bl w:val="nil"/>
            </w:tcBorders>
            <w:shd w:val="clear" w:color="auto" w:fill="auto"/>
            <w:vAlign w:val="center"/>
          </w:tcPr>
          <w:p w14:paraId="24EBFA0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6AC7836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语义检索子系统_向量召回</w:t>
            </w:r>
          </w:p>
        </w:tc>
        <w:tc>
          <w:tcPr>
            <w:tcW w:w="0" w:type="auto"/>
            <w:tcBorders>
              <w:tl2br w:val="nil"/>
              <w:tr2bl w:val="nil"/>
            </w:tcBorders>
            <w:shd w:val="clear" w:color="auto" w:fill="FFFFFF"/>
            <w:vAlign w:val="center"/>
          </w:tcPr>
          <w:p w14:paraId="0579ED4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基于语义相似度进行文献召回，使用向量距离计算相关性排序</w:t>
            </w:r>
          </w:p>
        </w:tc>
      </w:tr>
      <w:tr w14:paraId="26C6D4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6C0AEF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0" w:type="auto"/>
            <w:tcBorders>
              <w:tl2br w:val="nil"/>
              <w:tr2bl w:val="nil"/>
            </w:tcBorders>
            <w:shd w:val="clear" w:color="auto" w:fill="auto"/>
            <w:vAlign w:val="center"/>
          </w:tcPr>
          <w:p w14:paraId="16091F3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47426A5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语义检索子系统_重排序</w:t>
            </w:r>
          </w:p>
        </w:tc>
        <w:tc>
          <w:tcPr>
            <w:tcW w:w="0" w:type="auto"/>
            <w:tcBorders>
              <w:tl2br w:val="nil"/>
              <w:tr2bl w:val="nil"/>
            </w:tcBorders>
            <w:shd w:val="clear" w:color="auto" w:fill="FFFFFF"/>
            <w:vAlign w:val="center"/>
          </w:tcPr>
          <w:p w14:paraId="1D749FD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结合多种特征对初步检索结果进行精细化重新排序，提升最终结果质量</w:t>
            </w:r>
          </w:p>
        </w:tc>
      </w:tr>
      <w:tr w14:paraId="160B97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5" w:hRule="atLeast"/>
        </w:trPr>
        <w:tc>
          <w:tcPr>
            <w:tcW w:w="0" w:type="auto"/>
            <w:tcBorders>
              <w:tl2br w:val="nil"/>
              <w:tr2bl w:val="nil"/>
            </w:tcBorders>
            <w:shd w:val="clear" w:color="auto" w:fill="FFFFFF"/>
            <w:vAlign w:val="center"/>
          </w:tcPr>
          <w:p w14:paraId="418B9E7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0" w:type="auto"/>
            <w:tcBorders>
              <w:tl2br w:val="nil"/>
              <w:tr2bl w:val="nil"/>
            </w:tcBorders>
            <w:shd w:val="clear" w:color="auto" w:fill="auto"/>
            <w:vAlign w:val="center"/>
          </w:tcPr>
          <w:p w14:paraId="468C3EE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21BC50E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文献解析子系统_论文数据解析</w:t>
            </w:r>
          </w:p>
        </w:tc>
        <w:tc>
          <w:tcPr>
            <w:tcW w:w="0" w:type="auto"/>
            <w:tcBorders>
              <w:tl2br w:val="nil"/>
              <w:tr2bl w:val="nil"/>
            </w:tcBorders>
            <w:shd w:val="clear" w:color="auto" w:fill="FFFFFF"/>
            <w:vAlign w:val="center"/>
          </w:tcPr>
          <w:p w14:paraId="6EB8622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标准化处理原始文献数据，将采集后的原始数据进行清理、去重、去无效数据，并解析出重要的元数据并入库</w:t>
            </w:r>
          </w:p>
        </w:tc>
      </w:tr>
      <w:tr w14:paraId="3E30C4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7188457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0" w:type="auto"/>
            <w:tcBorders>
              <w:tl2br w:val="nil"/>
              <w:tr2bl w:val="nil"/>
            </w:tcBorders>
            <w:shd w:val="clear" w:color="auto" w:fill="auto"/>
            <w:vAlign w:val="center"/>
          </w:tcPr>
          <w:p w14:paraId="0DE534A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6F249A6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文献解析子系统_论文数据初始化清洗</w:t>
            </w:r>
          </w:p>
        </w:tc>
        <w:tc>
          <w:tcPr>
            <w:tcW w:w="0" w:type="auto"/>
            <w:tcBorders>
              <w:tl2br w:val="nil"/>
              <w:tr2bl w:val="nil"/>
            </w:tcBorders>
            <w:shd w:val="clear" w:color="auto" w:fill="FFFFFF"/>
            <w:vAlign w:val="center"/>
          </w:tcPr>
          <w:p w14:paraId="2802109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识别并处理不同数据源间的重复文献，确保数据库的唯一性和准确性</w:t>
            </w:r>
          </w:p>
        </w:tc>
      </w:tr>
      <w:tr w14:paraId="20831B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5" w:hRule="atLeast"/>
        </w:trPr>
        <w:tc>
          <w:tcPr>
            <w:tcW w:w="0" w:type="auto"/>
            <w:tcBorders>
              <w:tl2br w:val="nil"/>
              <w:tr2bl w:val="nil"/>
            </w:tcBorders>
            <w:shd w:val="clear" w:color="auto" w:fill="FFFFFF"/>
            <w:vAlign w:val="center"/>
          </w:tcPr>
          <w:p w14:paraId="4E1F181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tcBorders>
              <w:tl2br w:val="nil"/>
              <w:tr2bl w:val="nil"/>
            </w:tcBorders>
            <w:shd w:val="clear" w:color="auto" w:fill="auto"/>
            <w:vAlign w:val="center"/>
          </w:tcPr>
          <w:p w14:paraId="199765C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5B5C8B9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文献解析子系统_给定文献的元信息解析和匹配</w:t>
            </w:r>
          </w:p>
        </w:tc>
        <w:tc>
          <w:tcPr>
            <w:tcW w:w="0" w:type="auto"/>
            <w:tcBorders>
              <w:tl2br w:val="nil"/>
              <w:tr2bl w:val="nil"/>
            </w:tcBorders>
            <w:shd w:val="clear" w:color="auto" w:fill="FFFFFF"/>
            <w:vAlign w:val="center"/>
          </w:tcPr>
          <w:p w14:paraId="5E1E5A0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自动解析和补全文献的详细元数据信息，如题录信息，卷期页码、作者、被引频次、影响因子、分区信息等，提供完整的文献描述</w:t>
            </w:r>
          </w:p>
        </w:tc>
      </w:tr>
      <w:tr w14:paraId="2C6C0B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5" w:hRule="atLeast"/>
        </w:trPr>
        <w:tc>
          <w:tcPr>
            <w:tcW w:w="0" w:type="auto"/>
            <w:tcBorders>
              <w:tl2br w:val="nil"/>
              <w:tr2bl w:val="nil"/>
            </w:tcBorders>
            <w:shd w:val="clear" w:color="auto" w:fill="FFFFFF"/>
            <w:vAlign w:val="center"/>
          </w:tcPr>
          <w:p w14:paraId="685C64F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w:t>
            </w:r>
          </w:p>
        </w:tc>
        <w:tc>
          <w:tcPr>
            <w:tcW w:w="0" w:type="auto"/>
            <w:tcBorders>
              <w:tl2br w:val="nil"/>
              <w:tr2bl w:val="nil"/>
            </w:tcBorders>
            <w:shd w:val="clear" w:color="auto" w:fill="auto"/>
            <w:vAlign w:val="center"/>
          </w:tcPr>
          <w:p w14:paraId="7A3B9CC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747643F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文献解析子系统_文献全文解析</w:t>
            </w:r>
          </w:p>
        </w:tc>
        <w:tc>
          <w:tcPr>
            <w:tcW w:w="0" w:type="auto"/>
            <w:tcBorders>
              <w:tl2br w:val="nil"/>
              <w:tr2bl w:val="nil"/>
            </w:tcBorders>
            <w:shd w:val="clear" w:color="auto" w:fill="FFFFFF"/>
            <w:vAlign w:val="center"/>
          </w:tcPr>
          <w:p w14:paraId="5527A3D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对文献</w:t>
            </w:r>
            <w:r>
              <w:rPr>
                <w:rStyle w:val="12"/>
                <w:rFonts w:hint="eastAsia" w:ascii="宋体" w:hAnsi="宋体" w:eastAsia="宋体" w:cs="宋体"/>
                <w:highlight w:val="none"/>
                <w:lang w:val="en-US" w:eastAsia="zh-CN" w:bidi="ar"/>
              </w:rPr>
              <w:t>PDF</w:t>
            </w:r>
            <w:r>
              <w:rPr>
                <w:rStyle w:val="13"/>
                <w:rFonts w:hint="eastAsia" w:ascii="宋体" w:hAnsi="宋体" w:eastAsia="宋体" w:cs="宋体"/>
                <w:highlight w:val="none"/>
                <w:lang w:val="en-US" w:eastAsia="zh-CN" w:bidi="ar"/>
              </w:rPr>
              <w:t>原文进行拆解，提取文本、图片、表格、引文，并做医学内容结构化，用于后续分析和检索</w:t>
            </w:r>
          </w:p>
        </w:tc>
      </w:tr>
      <w:tr w14:paraId="2B5257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3F7534E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w:t>
            </w:r>
          </w:p>
        </w:tc>
        <w:tc>
          <w:tcPr>
            <w:tcW w:w="0" w:type="auto"/>
            <w:tcBorders>
              <w:tl2br w:val="nil"/>
              <w:tr2bl w:val="nil"/>
            </w:tcBorders>
            <w:shd w:val="clear" w:color="auto" w:fill="auto"/>
            <w:vAlign w:val="center"/>
          </w:tcPr>
          <w:p w14:paraId="79736CF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048D460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推荐引擎子系统_用户偏好配置</w:t>
            </w:r>
          </w:p>
        </w:tc>
        <w:tc>
          <w:tcPr>
            <w:tcW w:w="0" w:type="auto"/>
            <w:tcBorders>
              <w:tl2br w:val="nil"/>
              <w:tr2bl w:val="nil"/>
            </w:tcBorders>
            <w:shd w:val="clear" w:color="auto" w:fill="FFFFFF"/>
            <w:vAlign w:val="center"/>
          </w:tcPr>
          <w:p w14:paraId="624C956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允许用户设置研究领域、关注疾病、偏好期刊等个性化偏好设置</w:t>
            </w:r>
          </w:p>
        </w:tc>
      </w:tr>
      <w:tr w14:paraId="3BC504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789B969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0" w:type="auto"/>
            <w:tcBorders>
              <w:tl2br w:val="nil"/>
              <w:tr2bl w:val="nil"/>
            </w:tcBorders>
            <w:shd w:val="clear" w:color="auto" w:fill="auto"/>
            <w:vAlign w:val="center"/>
          </w:tcPr>
          <w:p w14:paraId="5A2DD18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593232EF">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推荐引擎子系统_用户行为信息收集</w:t>
            </w:r>
          </w:p>
        </w:tc>
        <w:tc>
          <w:tcPr>
            <w:tcW w:w="0" w:type="auto"/>
            <w:tcBorders>
              <w:tl2br w:val="nil"/>
              <w:tr2bl w:val="nil"/>
            </w:tcBorders>
            <w:shd w:val="clear" w:color="auto" w:fill="FFFFFF"/>
            <w:vAlign w:val="center"/>
          </w:tcPr>
          <w:p w14:paraId="3C5375E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记录用户的搜索、浏览、下载等行为数据，为个性化推荐提供数据基础</w:t>
            </w:r>
          </w:p>
        </w:tc>
      </w:tr>
      <w:tr w14:paraId="425969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320BA88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w:t>
            </w:r>
          </w:p>
        </w:tc>
        <w:tc>
          <w:tcPr>
            <w:tcW w:w="0" w:type="auto"/>
            <w:tcBorders>
              <w:tl2br w:val="nil"/>
              <w:tr2bl w:val="nil"/>
            </w:tcBorders>
            <w:shd w:val="clear" w:color="auto" w:fill="auto"/>
            <w:vAlign w:val="center"/>
          </w:tcPr>
          <w:p w14:paraId="28DCD02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1D833C8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推荐引擎子系统_模型调优</w:t>
            </w:r>
          </w:p>
        </w:tc>
        <w:tc>
          <w:tcPr>
            <w:tcW w:w="0" w:type="auto"/>
            <w:tcBorders>
              <w:tl2br w:val="nil"/>
              <w:tr2bl w:val="nil"/>
            </w:tcBorders>
            <w:shd w:val="clear" w:color="auto" w:fill="FFFFFF"/>
            <w:vAlign w:val="center"/>
          </w:tcPr>
          <w:p w14:paraId="717AF55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根据医学文献的特殊性和系统功能使用情况持续优化推荐算法，提升推荐准确性</w:t>
            </w:r>
          </w:p>
        </w:tc>
      </w:tr>
      <w:tr w14:paraId="2F8E64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5" w:hRule="atLeast"/>
        </w:trPr>
        <w:tc>
          <w:tcPr>
            <w:tcW w:w="0" w:type="auto"/>
            <w:tcBorders>
              <w:tl2br w:val="nil"/>
              <w:tr2bl w:val="nil"/>
            </w:tcBorders>
            <w:shd w:val="clear" w:color="auto" w:fill="FFFFFF"/>
            <w:vAlign w:val="center"/>
          </w:tcPr>
          <w:p w14:paraId="3626756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0" w:type="auto"/>
            <w:tcBorders>
              <w:tl2br w:val="nil"/>
              <w:tr2bl w:val="nil"/>
            </w:tcBorders>
            <w:shd w:val="clear" w:color="auto" w:fill="auto"/>
            <w:vAlign w:val="center"/>
          </w:tcPr>
          <w:p w14:paraId="00D7A17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3E1ADE0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推送子系统_推送功能</w:t>
            </w:r>
          </w:p>
        </w:tc>
        <w:tc>
          <w:tcPr>
            <w:tcW w:w="0" w:type="auto"/>
            <w:tcBorders>
              <w:tl2br w:val="nil"/>
              <w:tr2bl w:val="nil"/>
            </w:tcBorders>
            <w:shd w:val="clear" w:color="auto" w:fill="FFFFFF"/>
            <w:vAlign w:val="center"/>
          </w:tcPr>
          <w:p w14:paraId="25A977A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实现多渠道（如邮件、短信、站内推送等）消息推送机制，及时向用户发送重要通知和个性化内容推荐</w:t>
            </w:r>
          </w:p>
        </w:tc>
      </w:tr>
      <w:tr w14:paraId="7B7CB1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6D7785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w:t>
            </w:r>
          </w:p>
        </w:tc>
        <w:tc>
          <w:tcPr>
            <w:tcW w:w="0" w:type="auto"/>
            <w:tcBorders>
              <w:tl2br w:val="nil"/>
              <w:tr2bl w:val="nil"/>
            </w:tcBorders>
            <w:shd w:val="clear" w:color="auto" w:fill="auto"/>
            <w:vAlign w:val="center"/>
          </w:tcPr>
          <w:p w14:paraId="797709F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6EBDB73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文档渲染子系统_模板收集及配置</w:t>
            </w:r>
          </w:p>
        </w:tc>
        <w:tc>
          <w:tcPr>
            <w:tcW w:w="0" w:type="auto"/>
            <w:tcBorders>
              <w:tl2br w:val="nil"/>
              <w:tr2bl w:val="nil"/>
            </w:tcBorders>
            <w:shd w:val="clear" w:color="auto" w:fill="FFFFFF"/>
            <w:vAlign w:val="center"/>
          </w:tcPr>
          <w:p w14:paraId="33FD5A3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提供模板管理功能，支持用户上传和配置各种文档生成模板</w:t>
            </w:r>
          </w:p>
        </w:tc>
      </w:tr>
      <w:tr w14:paraId="3CF9B9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7B51660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27</w:t>
            </w:r>
          </w:p>
        </w:tc>
        <w:tc>
          <w:tcPr>
            <w:tcW w:w="0" w:type="auto"/>
            <w:tcBorders>
              <w:tl2br w:val="nil"/>
              <w:tr2bl w:val="nil"/>
            </w:tcBorders>
            <w:shd w:val="clear" w:color="auto" w:fill="auto"/>
            <w:vAlign w:val="center"/>
          </w:tcPr>
          <w:p w14:paraId="6ABCA16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052561D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文档渲染子系统_渲染功能</w:t>
            </w:r>
          </w:p>
        </w:tc>
        <w:tc>
          <w:tcPr>
            <w:tcW w:w="0" w:type="auto"/>
            <w:tcBorders>
              <w:tl2br w:val="nil"/>
              <w:tr2bl w:val="nil"/>
            </w:tcBorders>
            <w:shd w:val="clear" w:color="auto" w:fill="FFFFFF"/>
            <w:vAlign w:val="center"/>
          </w:tcPr>
          <w:p w14:paraId="7F8045E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根据用户选择的模板和数据自动生成格式化的</w:t>
            </w:r>
            <w:r>
              <w:rPr>
                <w:rStyle w:val="12"/>
                <w:rFonts w:hint="eastAsia" w:ascii="宋体" w:hAnsi="宋体" w:eastAsia="宋体" w:cs="宋体"/>
                <w:highlight w:val="none"/>
                <w:lang w:val="en-US" w:eastAsia="zh-CN" w:bidi="ar"/>
              </w:rPr>
              <w:t>Word</w:t>
            </w:r>
            <w:r>
              <w:rPr>
                <w:rStyle w:val="13"/>
                <w:rFonts w:hint="eastAsia" w:ascii="宋体" w:hAnsi="宋体" w:eastAsia="宋体" w:cs="宋体"/>
                <w:highlight w:val="none"/>
                <w:lang w:val="en-US" w:eastAsia="zh-CN" w:bidi="ar"/>
              </w:rPr>
              <w:t>或</w:t>
            </w:r>
            <w:r>
              <w:rPr>
                <w:rStyle w:val="12"/>
                <w:rFonts w:hint="eastAsia" w:ascii="宋体" w:hAnsi="宋体" w:eastAsia="宋体" w:cs="宋体"/>
                <w:highlight w:val="none"/>
                <w:lang w:val="en-US" w:eastAsia="zh-CN" w:bidi="ar"/>
              </w:rPr>
              <w:t>PDF</w:t>
            </w:r>
            <w:r>
              <w:rPr>
                <w:rStyle w:val="13"/>
                <w:rFonts w:hint="eastAsia" w:ascii="宋体" w:hAnsi="宋体" w:eastAsia="宋体" w:cs="宋体"/>
                <w:highlight w:val="none"/>
                <w:lang w:val="en-US" w:eastAsia="zh-CN" w:bidi="ar"/>
              </w:rPr>
              <w:t>文档</w:t>
            </w:r>
          </w:p>
        </w:tc>
      </w:tr>
      <w:tr w14:paraId="4AEAF0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5CC63AC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28</w:t>
            </w:r>
          </w:p>
        </w:tc>
        <w:tc>
          <w:tcPr>
            <w:tcW w:w="0" w:type="auto"/>
            <w:tcBorders>
              <w:tl2br w:val="nil"/>
              <w:tr2bl w:val="nil"/>
            </w:tcBorders>
            <w:shd w:val="clear" w:color="auto" w:fill="auto"/>
            <w:vAlign w:val="center"/>
          </w:tcPr>
          <w:p w14:paraId="050776C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029CE0A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内容生成子系统_内容生成</w:t>
            </w:r>
          </w:p>
        </w:tc>
        <w:tc>
          <w:tcPr>
            <w:tcW w:w="0" w:type="auto"/>
            <w:tcBorders>
              <w:tl2br w:val="nil"/>
              <w:tr2bl w:val="nil"/>
            </w:tcBorders>
            <w:shd w:val="clear" w:color="auto" w:fill="FFFFFF"/>
            <w:vAlign w:val="center"/>
          </w:tcPr>
          <w:p w14:paraId="62D7EFE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利用</w:t>
            </w:r>
            <w:r>
              <w:rPr>
                <w:rStyle w:val="12"/>
                <w:rFonts w:hint="eastAsia" w:ascii="宋体" w:hAnsi="宋体" w:eastAsia="宋体" w:cs="宋体"/>
                <w:highlight w:val="none"/>
                <w:lang w:val="en-US" w:eastAsia="zh-CN" w:bidi="ar"/>
              </w:rPr>
              <w:t>AI</w:t>
            </w:r>
            <w:r>
              <w:rPr>
                <w:rStyle w:val="13"/>
                <w:rFonts w:hint="eastAsia" w:ascii="宋体" w:hAnsi="宋体" w:eastAsia="宋体" w:cs="宋体"/>
                <w:highlight w:val="none"/>
                <w:lang w:val="en-US" w:eastAsia="zh-CN" w:bidi="ar"/>
              </w:rPr>
              <w:t>大模型生成医学综述、报告摘要等专业内容</w:t>
            </w:r>
          </w:p>
        </w:tc>
      </w:tr>
      <w:tr w14:paraId="160B58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2D03D3A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w:t>
            </w:r>
          </w:p>
        </w:tc>
        <w:tc>
          <w:tcPr>
            <w:tcW w:w="0" w:type="auto"/>
            <w:tcBorders>
              <w:tl2br w:val="nil"/>
              <w:tr2bl w:val="nil"/>
            </w:tcBorders>
            <w:shd w:val="clear" w:color="auto" w:fill="auto"/>
            <w:vAlign w:val="center"/>
          </w:tcPr>
          <w:p w14:paraId="465229C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5A953A1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内容生成子系统_引用出处附加</w:t>
            </w:r>
          </w:p>
        </w:tc>
        <w:tc>
          <w:tcPr>
            <w:tcW w:w="0" w:type="auto"/>
            <w:tcBorders>
              <w:tl2br w:val="nil"/>
              <w:tr2bl w:val="nil"/>
            </w:tcBorders>
            <w:shd w:val="clear" w:color="auto" w:fill="FFFFFF"/>
            <w:vAlign w:val="center"/>
          </w:tcPr>
          <w:p w14:paraId="05B7860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确保</w:t>
            </w:r>
            <w:r>
              <w:rPr>
                <w:rStyle w:val="12"/>
                <w:rFonts w:hint="eastAsia" w:ascii="宋体" w:hAnsi="宋体" w:eastAsia="宋体" w:cs="宋体"/>
                <w:highlight w:val="none"/>
                <w:lang w:val="en-US" w:eastAsia="zh-CN" w:bidi="ar"/>
              </w:rPr>
              <w:t>AI</w:t>
            </w:r>
            <w:r>
              <w:rPr>
                <w:rStyle w:val="13"/>
                <w:rFonts w:hint="eastAsia" w:ascii="宋体" w:hAnsi="宋体" w:eastAsia="宋体" w:cs="宋体"/>
                <w:highlight w:val="none"/>
                <w:lang w:val="en-US" w:eastAsia="zh-CN" w:bidi="ar"/>
              </w:rPr>
              <w:t>生成内容的可追溯性，自动添加相关文献引用和出处信息</w:t>
            </w:r>
          </w:p>
        </w:tc>
      </w:tr>
      <w:tr w14:paraId="481FCE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5F18AF8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w:t>
            </w:r>
          </w:p>
        </w:tc>
        <w:tc>
          <w:tcPr>
            <w:tcW w:w="0" w:type="auto"/>
            <w:tcBorders>
              <w:tl2br w:val="nil"/>
              <w:tr2bl w:val="nil"/>
            </w:tcBorders>
            <w:shd w:val="clear" w:color="auto" w:fill="auto"/>
            <w:vAlign w:val="center"/>
          </w:tcPr>
          <w:p w14:paraId="2BDEF55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5ABCCB2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内容生成子系统_正确性校验</w:t>
            </w:r>
          </w:p>
        </w:tc>
        <w:tc>
          <w:tcPr>
            <w:tcW w:w="0" w:type="auto"/>
            <w:tcBorders>
              <w:tl2br w:val="nil"/>
              <w:tr2bl w:val="nil"/>
            </w:tcBorders>
            <w:shd w:val="clear" w:color="auto" w:fill="FFFFFF"/>
            <w:vAlign w:val="center"/>
          </w:tcPr>
          <w:p w14:paraId="538A175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通过多重验证机制检查</w:t>
            </w:r>
            <w:r>
              <w:rPr>
                <w:rStyle w:val="12"/>
                <w:rFonts w:hint="eastAsia" w:ascii="宋体" w:hAnsi="宋体" w:eastAsia="宋体" w:cs="宋体"/>
                <w:highlight w:val="none"/>
                <w:lang w:val="en-US" w:eastAsia="zh-CN" w:bidi="ar"/>
              </w:rPr>
              <w:t>AI</w:t>
            </w:r>
            <w:r>
              <w:rPr>
                <w:rStyle w:val="13"/>
                <w:rFonts w:hint="eastAsia" w:ascii="宋体" w:hAnsi="宋体" w:eastAsia="宋体" w:cs="宋体"/>
                <w:highlight w:val="none"/>
                <w:lang w:val="en-US" w:eastAsia="zh-CN" w:bidi="ar"/>
              </w:rPr>
              <w:t>生成内容的准确性，减少错误信息</w:t>
            </w:r>
          </w:p>
        </w:tc>
      </w:tr>
      <w:tr w14:paraId="55067D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652E97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31</w:t>
            </w:r>
          </w:p>
        </w:tc>
        <w:tc>
          <w:tcPr>
            <w:tcW w:w="0" w:type="auto"/>
            <w:tcBorders>
              <w:tl2br w:val="nil"/>
              <w:tr2bl w:val="nil"/>
            </w:tcBorders>
            <w:shd w:val="clear" w:color="auto" w:fill="auto"/>
            <w:vAlign w:val="center"/>
          </w:tcPr>
          <w:p w14:paraId="115A30D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6E49634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查新一体化平台系统_引文查新_检索集成</w:t>
            </w:r>
          </w:p>
        </w:tc>
        <w:tc>
          <w:tcPr>
            <w:tcW w:w="0" w:type="auto"/>
            <w:tcBorders>
              <w:tl2br w:val="nil"/>
              <w:tr2bl w:val="nil"/>
            </w:tcBorders>
            <w:shd w:val="clear" w:color="auto" w:fill="FFFFFF"/>
            <w:vAlign w:val="center"/>
          </w:tcPr>
          <w:p w14:paraId="18828B7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整合多个学术数据库的引文检索功能，为引文查新提供全面的数据支持</w:t>
            </w:r>
          </w:p>
        </w:tc>
      </w:tr>
      <w:tr w14:paraId="3FE9E4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470E11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32</w:t>
            </w:r>
          </w:p>
        </w:tc>
        <w:tc>
          <w:tcPr>
            <w:tcW w:w="0" w:type="auto"/>
            <w:tcBorders>
              <w:tl2br w:val="nil"/>
              <w:tr2bl w:val="nil"/>
            </w:tcBorders>
            <w:shd w:val="clear" w:color="auto" w:fill="auto"/>
            <w:vAlign w:val="center"/>
          </w:tcPr>
          <w:p w14:paraId="761876B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02FE451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查新一体化平台系统__解析文献信息</w:t>
            </w:r>
          </w:p>
        </w:tc>
        <w:tc>
          <w:tcPr>
            <w:tcW w:w="0" w:type="auto"/>
            <w:tcBorders>
              <w:tl2br w:val="nil"/>
              <w:tr2bl w:val="nil"/>
            </w:tcBorders>
            <w:shd w:val="clear" w:color="auto" w:fill="FFFFFF"/>
            <w:vAlign w:val="center"/>
          </w:tcPr>
          <w:p w14:paraId="4506711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自动提取和解析待查新文献的关键信息，包括标题、作者、期刊等元数据</w:t>
            </w:r>
          </w:p>
        </w:tc>
      </w:tr>
      <w:tr w14:paraId="461F3C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2EAFB0C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33</w:t>
            </w:r>
          </w:p>
        </w:tc>
        <w:tc>
          <w:tcPr>
            <w:tcW w:w="0" w:type="auto"/>
            <w:tcBorders>
              <w:tl2br w:val="nil"/>
              <w:tr2bl w:val="nil"/>
            </w:tcBorders>
            <w:shd w:val="clear" w:color="auto" w:fill="auto"/>
            <w:vAlign w:val="center"/>
          </w:tcPr>
          <w:p w14:paraId="33E513A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70EE393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查新一体化平台系统__导出全引报告</w:t>
            </w:r>
          </w:p>
        </w:tc>
        <w:tc>
          <w:tcPr>
            <w:tcW w:w="0" w:type="auto"/>
            <w:tcBorders>
              <w:tl2br w:val="nil"/>
              <w:tr2bl w:val="nil"/>
            </w:tcBorders>
            <w:shd w:val="clear" w:color="auto" w:fill="FFFFFF"/>
            <w:vAlign w:val="center"/>
          </w:tcPr>
          <w:p w14:paraId="7AEE3D7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生成包含所有引用情况的详细报告，支持多种格式导出</w:t>
            </w:r>
          </w:p>
        </w:tc>
      </w:tr>
      <w:tr w14:paraId="183634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275FE27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34</w:t>
            </w:r>
          </w:p>
        </w:tc>
        <w:tc>
          <w:tcPr>
            <w:tcW w:w="0" w:type="auto"/>
            <w:tcBorders>
              <w:tl2br w:val="nil"/>
              <w:tr2bl w:val="nil"/>
            </w:tcBorders>
            <w:shd w:val="clear" w:color="auto" w:fill="auto"/>
            <w:vAlign w:val="center"/>
          </w:tcPr>
          <w:p w14:paraId="02BE234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6B41FE3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查新一体化平台系统__导出他引报告</w:t>
            </w:r>
          </w:p>
        </w:tc>
        <w:tc>
          <w:tcPr>
            <w:tcW w:w="0" w:type="auto"/>
            <w:tcBorders>
              <w:tl2br w:val="nil"/>
              <w:tr2bl w:val="nil"/>
            </w:tcBorders>
            <w:shd w:val="clear" w:color="auto" w:fill="FFFFFF"/>
            <w:vAlign w:val="center"/>
          </w:tcPr>
          <w:p w14:paraId="4CB25A5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专门统计和导出其他作者对目标文献的引用情况报告</w:t>
            </w:r>
          </w:p>
        </w:tc>
      </w:tr>
      <w:tr w14:paraId="5060CD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638FD18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w:t>
            </w:r>
          </w:p>
        </w:tc>
        <w:tc>
          <w:tcPr>
            <w:tcW w:w="0" w:type="auto"/>
            <w:tcBorders>
              <w:tl2br w:val="nil"/>
              <w:tr2bl w:val="nil"/>
            </w:tcBorders>
            <w:shd w:val="clear" w:color="auto" w:fill="auto"/>
            <w:vAlign w:val="center"/>
          </w:tcPr>
          <w:p w14:paraId="51E50BF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0B8D4D3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查新一体化平台系统_职称查新_检索集成</w:t>
            </w:r>
          </w:p>
        </w:tc>
        <w:tc>
          <w:tcPr>
            <w:tcW w:w="0" w:type="auto"/>
            <w:tcBorders>
              <w:tl2br w:val="nil"/>
              <w:tr2bl w:val="nil"/>
            </w:tcBorders>
            <w:shd w:val="clear" w:color="auto" w:fill="FFFFFF"/>
            <w:vAlign w:val="center"/>
          </w:tcPr>
          <w:p w14:paraId="349857E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针对职称评定需求，集成相关学术数据库的检索功能</w:t>
            </w:r>
          </w:p>
        </w:tc>
      </w:tr>
      <w:tr w14:paraId="2E4ED8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D19C1F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w:t>
            </w:r>
          </w:p>
        </w:tc>
        <w:tc>
          <w:tcPr>
            <w:tcW w:w="0" w:type="auto"/>
            <w:tcBorders>
              <w:tl2br w:val="nil"/>
              <w:tr2bl w:val="nil"/>
            </w:tcBorders>
            <w:shd w:val="clear" w:color="auto" w:fill="auto"/>
            <w:vAlign w:val="center"/>
          </w:tcPr>
          <w:p w14:paraId="4CFC399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5D7119B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查新一体化平台系统__解析题录信息和卷码</w:t>
            </w:r>
          </w:p>
        </w:tc>
        <w:tc>
          <w:tcPr>
            <w:tcW w:w="0" w:type="auto"/>
            <w:tcBorders>
              <w:tl2br w:val="nil"/>
              <w:tr2bl w:val="nil"/>
            </w:tcBorders>
            <w:shd w:val="clear" w:color="auto" w:fill="FFFFFF"/>
            <w:vAlign w:val="center"/>
          </w:tcPr>
          <w:p w14:paraId="3F27569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自动识别和解析文献的题录信息，包括卷号、期号、页码等详细出版信息</w:t>
            </w:r>
          </w:p>
        </w:tc>
      </w:tr>
      <w:tr w14:paraId="4846DB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5" w:hRule="atLeast"/>
        </w:trPr>
        <w:tc>
          <w:tcPr>
            <w:tcW w:w="0" w:type="auto"/>
            <w:tcBorders>
              <w:tl2br w:val="nil"/>
              <w:tr2bl w:val="nil"/>
            </w:tcBorders>
            <w:shd w:val="clear" w:color="auto" w:fill="FFFFFF"/>
            <w:vAlign w:val="center"/>
          </w:tcPr>
          <w:p w14:paraId="3512976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37</w:t>
            </w:r>
          </w:p>
        </w:tc>
        <w:tc>
          <w:tcPr>
            <w:tcW w:w="0" w:type="auto"/>
            <w:tcBorders>
              <w:tl2br w:val="nil"/>
              <w:tr2bl w:val="nil"/>
            </w:tcBorders>
            <w:shd w:val="clear" w:color="auto" w:fill="auto"/>
            <w:vAlign w:val="center"/>
          </w:tcPr>
          <w:p w14:paraId="3913FA6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03A79CA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查新一体化平台系统__计算和匹配被引，JCR分区，影响因子</w:t>
            </w:r>
          </w:p>
        </w:tc>
        <w:tc>
          <w:tcPr>
            <w:tcW w:w="0" w:type="auto"/>
            <w:tcBorders>
              <w:tl2br w:val="nil"/>
              <w:tr2bl w:val="nil"/>
            </w:tcBorders>
            <w:shd w:val="clear" w:color="auto" w:fill="FFFFFF"/>
            <w:vAlign w:val="center"/>
          </w:tcPr>
          <w:p w14:paraId="6210C68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自动计算文献被引次数，匹配期刊的</w:t>
            </w:r>
            <w:r>
              <w:rPr>
                <w:rStyle w:val="12"/>
                <w:rFonts w:hint="eastAsia" w:ascii="宋体" w:hAnsi="宋体" w:eastAsia="宋体" w:cs="宋体"/>
                <w:highlight w:val="none"/>
                <w:lang w:val="en-US" w:eastAsia="zh-CN" w:bidi="ar"/>
              </w:rPr>
              <w:t>JCR</w:t>
            </w:r>
            <w:r>
              <w:rPr>
                <w:rStyle w:val="13"/>
                <w:rFonts w:hint="eastAsia" w:ascii="宋体" w:hAnsi="宋体" w:eastAsia="宋体" w:cs="宋体"/>
                <w:highlight w:val="none"/>
                <w:lang w:val="en-US" w:eastAsia="zh-CN" w:bidi="ar"/>
              </w:rPr>
              <w:t>分区和影响因子等重要指标</w:t>
            </w:r>
          </w:p>
        </w:tc>
      </w:tr>
      <w:tr w14:paraId="708AAC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0CEA74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38</w:t>
            </w:r>
          </w:p>
        </w:tc>
        <w:tc>
          <w:tcPr>
            <w:tcW w:w="0" w:type="auto"/>
            <w:tcBorders>
              <w:tl2br w:val="nil"/>
              <w:tr2bl w:val="nil"/>
            </w:tcBorders>
            <w:shd w:val="clear" w:color="auto" w:fill="auto"/>
            <w:vAlign w:val="center"/>
          </w:tcPr>
          <w:p w14:paraId="56900A3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7672AD7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查新一体化平台系统__报告导出</w:t>
            </w:r>
          </w:p>
        </w:tc>
        <w:tc>
          <w:tcPr>
            <w:tcW w:w="0" w:type="auto"/>
            <w:tcBorders>
              <w:tl2br w:val="nil"/>
              <w:tr2bl w:val="nil"/>
            </w:tcBorders>
            <w:shd w:val="clear" w:color="auto" w:fill="FFFFFF"/>
            <w:vAlign w:val="center"/>
          </w:tcPr>
          <w:p w14:paraId="1130944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生成标准化的职称查新报告，满足各类职称评定要求</w:t>
            </w:r>
          </w:p>
        </w:tc>
      </w:tr>
      <w:tr w14:paraId="5B0491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22E5CC1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w:t>
            </w:r>
          </w:p>
        </w:tc>
        <w:tc>
          <w:tcPr>
            <w:tcW w:w="0" w:type="auto"/>
            <w:tcBorders>
              <w:tl2br w:val="nil"/>
              <w:tr2bl w:val="nil"/>
            </w:tcBorders>
            <w:shd w:val="clear" w:color="auto" w:fill="auto"/>
            <w:vAlign w:val="center"/>
          </w:tcPr>
          <w:p w14:paraId="7D2A3D9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173873E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查新一体化平台系统_项目查新_检索集成</w:t>
            </w:r>
          </w:p>
        </w:tc>
        <w:tc>
          <w:tcPr>
            <w:tcW w:w="0" w:type="auto"/>
            <w:tcBorders>
              <w:tl2br w:val="nil"/>
              <w:tr2bl w:val="nil"/>
            </w:tcBorders>
            <w:shd w:val="clear" w:color="auto" w:fill="FFFFFF"/>
            <w:vAlign w:val="center"/>
          </w:tcPr>
          <w:p w14:paraId="6C478D8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为科研项目查新提供专门的数据库检索集成服务</w:t>
            </w:r>
          </w:p>
        </w:tc>
      </w:tr>
      <w:tr w14:paraId="52E21A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5" w:hRule="atLeast"/>
        </w:trPr>
        <w:tc>
          <w:tcPr>
            <w:tcW w:w="0" w:type="auto"/>
            <w:tcBorders>
              <w:tl2br w:val="nil"/>
              <w:tr2bl w:val="nil"/>
            </w:tcBorders>
            <w:shd w:val="clear" w:color="auto" w:fill="FFFFFF"/>
            <w:vAlign w:val="center"/>
          </w:tcPr>
          <w:p w14:paraId="3250232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w:t>
            </w:r>
          </w:p>
        </w:tc>
        <w:tc>
          <w:tcPr>
            <w:tcW w:w="0" w:type="auto"/>
            <w:tcBorders>
              <w:tl2br w:val="nil"/>
              <w:tr2bl w:val="nil"/>
            </w:tcBorders>
            <w:shd w:val="clear" w:color="auto" w:fill="auto"/>
            <w:vAlign w:val="center"/>
          </w:tcPr>
          <w:p w14:paraId="5C53D7C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2DB375F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查新一体化平台系统__委托单中的项目名称以及查新要点</w:t>
            </w:r>
          </w:p>
        </w:tc>
        <w:tc>
          <w:tcPr>
            <w:tcW w:w="0" w:type="auto"/>
            <w:tcBorders>
              <w:tl2br w:val="nil"/>
              <w:tr2bl w:val="nil"/>
            </w:tcBorders>
            <w:shd w:val="clear" w:color="auto" w:fill="FFFFFF"/>
            <w:vAlign w:val="center"/>
          </w:tcPr>
          <w:p w14:paraId="7A7E68E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自动提取委托单中的关键信息，识别项目名称和查新重点</w:t>
            </w:r>
          </w:p>
        </w:tc>
      </w:tr>
      <w:tr w14:paraId="00CDD3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3A9AE6A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41</w:t>
            </w:r>
          </w:p>
        </w:tc>
        <w:tc>
          <w:tcPr>
            <w:tcW w:w="0" w:type="auto"/>
            <w:tcBorders>
              <w:tl2br w:val="nil"/>
              <w:tr2bl w:val="nil"/>
            </w:tcBorders>
            <w:shd w:val="clear" w:color="auto" w:fill="auto"/>
            <w:vAlign w:val="center"/>
          </w:tcPr>
          <w:p w14:paraId="08752C1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7D3CDB2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查新一体化平台系统__推荐检索式和相关文献</w:t>
            </w:r>
          </w:p>
        </w:tc>
        <w:tc>
          <w:tcPr>
            <w:tcW w:w="0" w:type="auto"/>
            <w:tcBorders>
              <w:tl2br w:val="nil"/>
              <w:tr2bl w:val="nil"/>
            </w:tcBorders>
            <w:shd w:val="clear" w:color="auto" w:fill="FFFFFF"/>
            <w:vAlign w:val="center"/>
          </w:tcPr>
          <w:p w14:paraId="4D56246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基于项目信息智能推荐合适的检索策略和相关文献</w:t>
            </w:r>
          </w:p>
        </w:tc>
      </w:tr>
      <w:tr w14:paraId="2B1BA8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35634C1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w:t>
            </w:r>
          </w:p>
        </w:tc>
        <w:tc>
          <w:tcPr>
            <w:tcW w:w="0" w:type="auto"/>
            <w:tcBorders>
              <w:tl2br w:val="nil"/>
              <w:tr2bl w:val="nil"/>
            </w:tcBorders>
            <w:shd w:val="clear" w:color="auto" w:fill="auto"/>
            <w:vAlign w:val="center"/>
          </w:tcPr>
          <w:p w14:paraId="2CD515E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039E013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查新一体化平台系统__报告导出</w:t>
            </w:r>
          </w:p>
        </w:tc>
        <w:tc>
          <w:tcPr>
            <w:tcW w:w="0" w:type="auto"/>
            <w:tcBorders>
              <w:tl2br w:val="nil"/>
              <w:tr2bl w:val="nil"/>
            </w:tcBorders>
            <w:shd w:val="clear" w:color="auto" w:fill="FFFFFF"/>
            <w:vAlign w:val="center"/>
          </w:tcPr>
          <w:p w14:paraId="76FC49C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生成符合项目查新要求的专业报告文档</w:t>
            </w:r>
          </w:p>
        </w:tc>
      </w:tr>
      <w:tr w14:paraId="4D09AB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79E027B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43</w:t>
            </w:r>
          </w:p>
        </w:tc>
        <w:tc>
          <w:tcPr>
            <w:tcW w:w="0" w:type="auto"/>
            <w:tcBorders>
              <w:tl2br w:val="nil"/>
              <w:tr2bl w:val="nil"/>
            </w:tcBorders>
            <w:shd w:val="clear" w:color="auto" w:fill="auto"/>
            <w:vAlign w:val="center"/>
          </w:tcPr>
          <w:p w14:paraId="459214D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609C1FA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查新一体化平台系统_在线委托_在线提交委托</w:t>
            </w:r>
          </w:p>
        </w:tc>
        <w:tc>
          <w:tcPr>
            <w:tcW w:w="0" w:type="auto"/>
            <w:tcBorders>
              <w:tl2br w:val="nil"/>
              <w:tr2bl w:val="nil"/>
            </w:tcBorders>
            <w:shd w:val="clear" w:color="auto" w:fill="FFFFFF"/>
            <w:vAlign w:val="center"/>
          </w:tcPr>
          <w:p w14:paraId="76FD89B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提供便捷的在线委托提交界面，用户可直接上传材料并提交查新需求</w:t>
            </w:r>
          </w:p>
        </w:tc>
      </w:tr>
      <w:tr w14:paraId="3350FD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6F7D83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44</w:t>
            </w:r>
          </w:p>
        </w:tc>
        <w:tc>
          <w:tcPr>
            <w:tcW w:w="0" w:type="auto"/>
            <w:tcBorders>
              <w:tl2br w:val="nil"/>
              <w:tr2bl w:val="nil"/>
            </w:tcBorders>
            <w:shd w:val="clear" w:color="auto" w:fill="auto"/>
            <w:vAlign w:val="center"/>
          </w:tcPr>
          <w:p w14:paraId="373A85B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65E0F0A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查新一体化平台系统__委托单跟踪和提醒</w:t>
            </w:r>
          </w:p>
        </w:tc>
        <w:tc>
          <w:tcPr>
            <w:tcW w:w="0" w:type="auto"/>
            <w:tcBorders>
              <w:tl2br w:val="nil"/>
              <w:tr2bl w:val="nil"/>
            </w:tcBorders>
            <w:shd w:val="clear" w:color="auto" w:fill="FFFFFF"/>
            <w:vAlign w:val="center"/>
          </w:tcPr>
          <w:p w14:paraId="149787C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实现委托单状态实时跟踪，并向委托方发送进度提醒通知</w:t>
            </w:r>
          </w:p>
        </w:tc>
      </w:tr>
      <w:tr w14:paraId="642F99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5" w:hRule="atLeast"/>
        </w:trPr>
        <w:tc>
          <w:tcPr>
            <w:tcW w:w="0" w:type="auto"/>
            <w:tcBorders>
              <w:tl2br w:val="nil"/>
              <w:tr2bl w:val="nil"/>
            </w:tcBorders>
            <w:shd w:val="clear" w:color="auto" w:fill="FFFFFF"/>
            <w:vAlign w:val="center"/>
          </w:tcPr>
          <w:p w14:paraId="6FD2149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45</w:t>
            </w:r>
          </w:p>
        </w:tc>
        <w:tc>
          <w:tcPr>
            <w:tcW w:w="0" w:type="auto"/>
            <w:tcBorders>
              <w:tl2br w:val="nil"/>
              <w:tr2bl w:val="nil"/>
            </w:tcBorders>
            <w:shd w:val="clear" w:color="auto" w:fill="auto"/>
            <w:vAlign w:val="center"/>
          </w:tcPr>
          <w:p w14:paraId="495A96C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24ED72C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查新一体化平台系统_反馈&amp;评价_对查新员进行评价，填写意见反馈表单</w:t>
            </w:r>
          </w:p>
        </w:tc>
        <w:tc>
          <w:tcPr>
            <w:tcW w:w="0" w:type="auto"/>
            <w:tcBorders>
              <w:tl2br w:val="nil"/>
              <w:tr2bl w:val="nil"/>
            </w:tcBorders>
            <w:shd w:val="clear" w:color="auto" w:fill="FFFFFF"/>
            <w:vAlign w:val="center"/>
          </w:tcPr>
          <w:p w14:paraId="42826A5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提供服务质量评价功能，收集用户对查新服务的反馈意见</w:t>
            </w:r>
          </w:p>
        </w:tc>
      </w:tr>
      <w:tr w14:paraId="794954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27DE96F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46</w:t>
            </w:r>
          </w:p>
        </w:tc>
        <w:tc>
          <w:tcPr>
            <w:tcW w:w="0" w:type="auto"/>
            <w:tcBorders>
              <w:tl2br w:val="nil"/>
              <w:tr2bl w:val="nil"/>
            </w:tcBorders>
            <w:shd w:val="clear" w:color="auto" w:fill="auto"/>
            <w:vAlign w:val="center"/>
          </w:tcPr>
          <w:p w14:paraId="4544C20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7637173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查新一体化平台系统_访问日志_日志收集</w:t>
            </w:r>
          </w:p>
        </w:tc>
        <w:tc>
          <w:tcPr>
            <w:tcW w:w="0" w:type="auto"/>
            <w:tcBorders>
              <w:tl2br w:val="nil"/>
              <w:tr2bl w:val="nil"/>
            </w:tcBorders>
            <w:shd w:val="clear" w:color="auto" w:fill="FFFFFF"/>
            <w:vAlign w:val="center"/>
          </w:tcPr>
          <w:p w14:paraId="0D9255A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全面记录系统访问和操作日志，为安全审计和性能分析提供数据支持</w:t>
            </w:r>
          </w:p>
        </w:tc>
      </w:tr>
      <w:tr w14:paraId="2429B7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606BBB5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47</w:t>
            </w:r>
          </w:p>
        </w:tc>
        <w:tc>
          <w:tcPr>
            <w:tcW w:w="0" w:type="auto"/>
            <w:tcBorders>
              <w:tl2br w:val="nil"/>
              <w:tr2bl w:val="nil"/>
            </w:tcBorders>
            <w:shd w:val="clear" w:color="auto" w:fill="auto"/>
            <w:vAlign w:val="center"/>
          </w:tcPr>
          <w:p w14:paraId="70A922E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485ABDC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查新一体化平台系统__日志查看和检索</w:t>
            </w:r>
          </w:p>
        </w:tc>
        <w:tc>
          <w:tcPr>
            <w:tcW w:w="0" w:type="auto"/>
            <w:tcBorders>
              <w:tl2br w:val="nil"/>
              <w:tr2bl w:val="nil"/>
            </w:tcBorders>
            <w:shd w:val="clear" w:color="auto" w:fill="FFFFFF"/>
            <w:vAlign w:val="center"/>
          </w:tcPr>
          <w:p w14:paraId="00C57B6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提供日志查询和分析工具，支持管理员查看系统使用情况</w:t>
            </w:r>
          </w:p>
        </w:tc>
      </w:tr>
      <w:tr w14:paraId="4FB723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6F0E233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48</w:t>
            </w:r>
          </w:p>
        </w:tc>
        <w:tc>
          <w:tcPr>
            <w:tcW w:w="0" w:type="auto"/>
            <w:tcBorders>
              <w:tl2br w:val="nil"/>
              <w:tr2bl w:val="nil"/>
            </w:tcBorders>
            <w:shd w:val="clear" w:color="auto" w:fill="auto"/>
            <w:vAlign w:val="center"/>
          </w:tcPr>
          <w:p w14:paraId="5D45967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17179A8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查新一体化平台系统__异常访问处理</w:t>
            </w:r>
          </w:p>
        </w:tc>
        <w:tc>
          <w:tcPr>
            <w:tcW w:w="0" w:type="auto"/>
            <w:tcBorders>
              <w:tl2br w:val="nil"/>
              <w:tr2bl w:val="nil"/>
            </w:tcBorders>
            <w:shd w:val="clear" w:color="auto" w:fill="FFFFFF"/>
            <w:vAlign w:val="center"/>
          </w:tcPr>
          <w:p w14:paraId="1842F99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识别和处理异常访问行为，包括</w:t>
            </w:r>
            <w:r>
              <w:rPr>
                <w:rStyle w:val="12"/>
                <w:rFonts w:hint="eastAsia" w:ascii="宋体" w:hAnsi="宋体" w:eastAsia="宋体" w:cs="宋体"/>
                <w:highlight w:val="none"/>
                <w:lang w:val="en-US" w:eastAsia="zh-CN" w:bidi="ar"/>
              </w:rPr>
              <w:t>IP</w:t>
            </w:r>
            <w:r>
              <w:rPr>
                <w:rStyle w:val="13"/>
                <w:rFonts w:hint="eastAsia" w:ascii="宋体" w:hAnsi="宋体" w:eastAsia="宋体" w:cs="宋体"/>
                <w:highlight w:val="none"/>
                <w:lang w:val="en-US" w:eastAsia="zh-CN" w:bidi="ar"/>
              </w:rPr>
              <w:t>封禁、访问限制等安全措施</w:t>
            </w:r>
          </w:p>
        </w:tc>
      </w:tr>
      <w:tr w14:paraId="4CE696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BE0112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49</w:t>
            </w:r>
          </w:p>
        </w:tc>
        <w:tc>
          <w:tcPr>
            <w:tcW w:w="0" w:type="auto"/>
            <w:tcBorders>
              <w:tl2br w:val="nil"/>
              <w:tr2bl w:val="nil"/>
            </w:tcBorders>
            <w:shd w:val="clear" w:color="auto" w:fill="auto"/>
            <w:vAlign w:val="center"/>
          </w:tcPr>
          <w:p w14:paraId="01D0F31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4F82518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统计分析子系统_工作量统计</w:t>
            </w:r>
          </w:p>
        </w:tc>
        <w:tc>
          <w:tcPr>
            <w:tcW w:w="0" w:type="auto"/>
            <w:tcBorders>
              <w:tl2br w:val="nil"/>
              <w:tr2bl w:val="nil"/>
            </w:tcBorders>
            <w:shd w:val="clear" w:color="auto" w:fill="FFFFFF"/>
            <w:vAlign w:val="center"/>
          </w:tcPr>
          <w:p w14:paraId="57B8FE5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统计分析系统使用情况和工作人员的工作效率，生成工作量报表</w:t>
            </w:r>
          </w:p>
        </w:tc>
      </w:tr>
      <w:tr w14:paraId="736E45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3C1AA2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0" w:type="auto"/>
            <w:tcBorders>
              <w:tl2br w:val="nil"/>
              <w:tr2bl w:val="nil"/>
            </w:tcBorders>
            <w:shd w:val="clear" w:color="auto" w:fill="auto"/>
            <w:vAlign w:val="center"/>
          </w:tcPr>
          <w:p w14:paraId="72F5810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1959A56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统计分析子系统_Dashboard大屏</w:t>
            </w:r>
          </w:p>
        </w:tc>
        <w:tc>
          <w:tcPr>
            <w:tcW w:w="0" w:type="auto"/>
            <w:tcBorders>
              <w:tl2br w:val="nil"/>
              <w:tr2bl w:val="nil"/>
            </w:tcBorders>
            <w:shd w:val="clear" w:color="auto" w:fill="FFFFFF"/>
            <w:vAlign w:val="center"/>
          </w:tcPr>
          <w:p w14:paraId="3012231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设计可视化大屏界面，实时展示系统关键指标和统计数据</w:t>
            </w:r>
          </w:p>
        </w:tc>
      </w:tr>
      <w:tr w14:paraId="5E06A6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52CCFC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51</w:t>
            </w:r>
          </w:p>
        </w:tc>
        <w:tc>
          <w:tcPr>
            <w:tcW w:w="0" w:type="auto"/>
            <w:tcBorders>
              <w:tl2br w:val="nil"/>
              <w:tr2bl w:val="nil"/>
            </w:tcBorders>
            <w:shd w:val="clear" w:color="auto" w:fill="auto"/>
            <w:vAlign w:val="center"/>
          </w:tcPr>
          <w:p w14:paraId="56973E2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5922FEC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统计分析子系统_历史报告导出</w:t>
            </w:r>
          </w:p>
        </w:tc>
        <w:tc>
          <w:tcPr>
            <w:tcW w:w="0" w:type="auto"/>
            <w:tcBorders>
              <w:tl2br w:val="nil"/>
              <w:tr2bl w:val="nil"/>
            </w:tcBorders>
            <w:shd w:val="clear" w:color="auto" w:fill="FFFFFF"/>
            <w:vAlign w:val="center"/>
          </w:tcPr>
          <w:p w14:paraId="1623FC7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提供历史数据查询和报告导出功能，支持长期数据分析</w:t>
            </w:r>
          </w:p>
        </w:tc>
      </w:tr>
      <w:tr w14:paraId="2D867E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561094C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52</w:t>
            </w:r>
          </w:p>
        </w:tc>
        <w:tc>
          <w:tcPr>
            <w:tcW w:w="0" w:type="auto"/>
            <w:tcBorders>
              <w:tl2br w:val="nil"/>
              <w:tr2bl w:val="nil"/>
            </w:tcBorders>
            <w:shd w:val="clear" w:color="auto" w:fill="auto"/>
            <w:vAlign w:val="center"/>
          </w:tcPr>
          <w:p w14:paraId="729D8E2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7A16277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科研方向定位子系统_数据收集和处理</w:t>
            </w:r>
          </w:p>
        </w:tc>
        <w:tc>
          <w:tcPr>
            <w:tcW w:w="0" w:type="auto"/>
            <w:tcBorders>
              <w:tl2br w:val="nil"/>
              <w:tr2bl w:val="nil"/>
            </w:tcBorders>
            <w:shd w:val="clear" w:color="auto" w:fill="FFFFFF"/>
            <w:vAlign w:val="center"/>
          </w:tcPr>
          <w:p w14:paraId="6CBA3AB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从海量文献中筛选和预处理用于科研方向分析的高质量数据</w:t>
            </w:r>
          </w:p>
        </w:tc>
      </w:tr>
      <w:tr w14:paraId="295DF2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2DBCFBF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53</w:t>
            </w:r>
          </w:p>
        </w:tc>
        <w:tc>
          <w:tcPr>
            <w:tcW w:w="0" w:type="auto"/>
            <w:tcBorders>
              <w:tl2br w:val="nil"/>
              <w:tr2bl w:val="nil"/>
            </w:tcBorders>
            <w:shd w:val="clear" w:color="auto" w:fill="auto"/>
            <w:vAlign w:val="center"/>
          </w:tcPr>
          <w:p w14:paraId="1D2E50D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74E7EA5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科研方向定位子系统_定位分析</w:t>
            </w:r>
          </w:p>
        </w:tc>
        <w:tc>
          <w:tcPr>
            <w:tcW w:w="0" w:type="auto"/>
            <w:tcBorders>
              <w:tl2br w:val="nil"/>
              <w:tr2bl w:val="nil"/>
            </w:tcBorders>
            <w:shd w:val="clear" w:color="auto" w:fill="FFFFFF"/>
            <w:vAlign w:val="center"/>
          </w:tcPr>
          <w:p w14:paraId="008DEE0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结合用户背景和文献趋势分析，为研究者推荐合适的科研方向</w:t>
            </w:r>
          </w:p>
        </w:tc>
      </w:tr>
      <w:tr w14:paraId="373CE4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8DB22C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54</w:t>
            </w:r>
          </w:p>
        </w:tc>
        <w:tc>
          <w:tcPr>
            <w:tcW w:w="0" w:type="auto"/>
            <w:tcBorders>
              <w:tl2br w:val="nil"/>
              <w:tr2bl w:val="nil"/>
            </w:tcBorders>
            <w:shd w:val="clear" w:color="auto" w:fill="auto"/>
            <w:vAlign w:val="center"/>
          </w:tcPr>
          <w:p w14:paraId="27D9268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31B2613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智能选刊子系统_期刊数据收集和整理</w:t>
            </w:r>
          </w:p>
        </w:tc>
        <w:tc>
          <w:tcPr>
            <w:tcW w:w="0" w:type="auto"/>
            <w:tcBorders>
              <w:tl2br w:val="nil"/>
              <w:tr2bl w:val="nil"/>
            </w:tcBorders>
            <w:shd w:val="clear" w:color="auto" w:fill="FFFFFF"/>
            <w:vAlign w:val="center"/>
          </w:tcPr>
          <w:p w14:paraId="02DB2A8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建立全面的期刊数据库，包括期刊基本信息、影响因子、收录范围等</w:t>
            </w:r>
          </w:p>
        </w:tc>
      </w:tr>
      <w:tr w14:paraId="6BB45C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1799C3A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55</w:t>
            </w:r>
          </w:p>
        </w:tc>
        <w:tc>
          <w:tcPr>
            <w:tcW w:w="0" w:type="auto"/>
            <w:tcBorders>
              <w:tl2br w:val="nil"/>
              <w:tr2bl w:val="nil"/>
            </w:tcBorders>
            <w:shd w:val="clear" w:color="auto" w:fill="auto"/>
            <w:vAlign w:val="center"/>
          </w:tcPr>
          <w:p w14:paraId="0586213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4709D63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智能选刊子系统_匹配系统</w:t>
            </w:r>
          </w:p>
        </w:tc>
        <w:tc>
          <w:tcPr>
            <w:tcW w:w="0" w:type="auto"/>
            <w:tcBorders>
              <w:tl2br w:val="nil"/>
              <w:tr2bl w:val="nil"/>
            </w:tcBorders>
            <w:shd w:val="clear" w:color="auto" w:fill="FFFFFF"/>
            <w:vAlign w:val="center"/>
          </w:tcPr>
          <w:p w14:paraId="15D32E8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基于文章内容和期刊特征，智能推荐最适合的目标期刊</w:t>
            </w:r>
          </w:p>
        </w:tc>
      </w:tr>
      <w:tr w14:paraId="100707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A9405E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56</w:t>
            </w:r>
          </w:p>
        </w:tc>
        <w:tc>
          <w:tcPr>
            <w:tcW w:w="0" w:type="auto"/>
            <w:tcBorders>
              <w:tl2br w:val="nil"/>
              <w:tr2bl w:val="nil"/>
            </w:tcBorders>
            <w:shd w:val="clear" w:color="auto" w:fill="auto"/>
            <w:vAlign w:val="center"/>
          </w:tcPr>
          <w:p w14:paraId="4238A30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7771A88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智能选刊子系统_期刊排板收集</w:t>
            </w:r>
          </w:p>
        </w:tc>
        <w:tc>
          <w:tcPr>
            <w:tcW w:w="0" w:type="auto"/>
            <w:tcBorders>
              <w:tl2br w:val="nil"/>
              <w:tr2bl w:val="nil"/>
            </w:tcBorders>
            <w:shd w:val="clear" w:color="auto" w:fill="FFFFFF"/>
            <w:vAlign w:val="center"/>
          </w:tcPr>
          <w:p w14:paraId="63E2977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收集各期刊的格式要求和排版规范，为自动排版提供模板</w:t>
            </w:r>
          </w:p>
        </w:tc>
      </w:tr>
      <w:tr w14:paraId="1A5C06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95" w:hRule="atLeast"/>
        </w:trPr>
        <w:tc>
          <w:tcPr>
            <w:tcW w:w="0" w:type="auto"/>
            <w:tcBorders>
              <w:tl2br w:val="nil"/>
              <w:tr2bl w:val="nil"/>
            </w:tcBorders>
            <w:shd w:val="clear" w:color="auto" w:fill="FFFFFF"/>
            <w:vAlign w:val="center"/>
          </w:tcPr>
          <w:p w14:paraId="09C43F5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57</w:t>
            </w:r>
          </w:p>
        </w:tc>
        <w:tc>
          <w:tcPr>
            <w:tcW w:w="0" w:type="auto"/>
            <w:tcBorders>
              <w:tl2br w:val="nil"/>
              <w:tr2bl w:val="nil"/>
            </w:tcBorders>
            <w:shd w:val="clear" w:color="auto" w:fill="auto"/>
            <w:vAlign w:val="center"/>
          </w:tcPr>
          <w:p w14:paraId="1C5262A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上海市医学情报AI辅助子系统</w:t>
            </w:r>
          </w:p>
        </w:tc>
        <w:tc>
          <w:tcPr>
            <w:tcW w:w="0" w:type="auto"/>
            <w:tcBorders>
              <w:tl2br w:val="nil"/>
              <w:tr2bl w:val="nil"/>
            </w:tcBorders>
            <w:shd w:val="clear" w:color="auto" w:fill="auto"/>
            <w:vAlign w:val="center"/>
          </w:tcPr>
          <w:p w14:paraId="1FAF154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智能选刊子系统_自动排版</w:t>
            </w:r>
          </w:p>
        </w:tc>
        <w:tc>
          <w:tcPr>
            <w:tcW w:w="0" w:type="auto"/>
            <w:tcBorders>
              <w:tl2br w:val="nil"/>
              <w:tr2bl w:val="nil"/>
            </w:tcBorders>
            <w:shd w:val="clear" w:color="auto" w:fill="FFFFFF"/>
            <w:vAlign w:val="center"/>
          </w:tcPr>
          <w:p w14:paraId="593D88E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根据目标期刊要求自动调整文章格式，生成符合投稿要求的版本</w:t>
            </w:r>
          </w:p>
        </w:tc>
      </w:tr>
    </w:tbl>
    <w:p w14:paraId="4D4F8560">
      <w:pPr>
        <w:ind w:firstLine="482"/>
        <w:rPr>
          <w:b/>
          <w:highlight w:val="none"/>
        </w:rPr>
      </w:pPr>
      <w:r>
        <w:rPr>
          <w:rFonts w:hint="eastAsia"/>
          <w:b/>
          <w:highlight w:val="none"/>
          <w:lang w:val="en-US" w:eastAsia="zh-CN"/>
        </w:rPr>
        <w:t>2</w:t>
      </w:r>
      <w:r>
        <w:rPr>
          <w:rFonts w:hint="eastAsia"/>
          <w:b/>
          <w:highlight w:val="none"/>
        </w:rPr>
        <w:t>、产品软件购置清单：</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257"/>
        <w:gridCol w:w="5195"/>
        <w:gridCol w:w="720"/>
        <w:gridCol w:w="721"/>
      </w:tblGrid>
      <w:tr w14:paraId="7E7D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auto"/>
            <w:vAlign w:val="center"/>
          </w:tcPr>
          <w:p w14:paraId="50EDEAC0">
            <w:pPr>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737" w:type="pct"/>
            <w:shd w:val="clear" w:color="auto" w:fill="auto"/>
            <w:vAlign w:val="center"/>
          </w:tcPr>
          <w:p w14:paraId="140EA38C">
            <w:pPr>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软件名称</w:t>
            </w:r>
          </w:p>
        </w:tc>
        <w:tc>
          <w:tcPr>
            <w:tcW w:w="3045" w:type="pct"/>
            <w:shd w:val="clear" w:color="auto" w:fill="auto"/>
            <w:vAlign w:val="center"/>
          </w:tcPr>
          <w:p w14:paraId="07C47880">
            <w:pPr>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功能说明/配置要求</w:t>
            </w:r>
          </w:p>
        </w:tc>
        <w:tc>
          <w:tcPr>
            <w:tcW w:w="422" w:type="pct"/>
            <w:shd w:val="clear" w:color="auto" w:fill="auto"/>
            <w:vAlign w:val="center"/>
          </w:tcPr>
          <w:p w14:paraId="4BFC47E3">
            <w:pPr>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数量</w:t>
            </w:r>
          </w:p>
        </w:tc>
        <w:tc>
          <w:tcPr>
            <w:tcW w:w="422" w:type="pct"/>
            <w:shd w:val="clear" w:color="auto" w:fill="auto"/>
            <w:vAlign w:val="center"/>
          </w:tcPr>
          <w:p w14:paraId="42A01128">
            <w:pPr>
              <w:ind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单位</w:t>
            </w:r>
          </w:p>
        </w:tc>
      </w:tr>
      <w:tr w14:paraId="4951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auto"/>
            <w:vAlign w:val="center"/>
          </w:tcPr>
          <w:p w14:paraId="0BF2D3DF">
            <w:pPr>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37" w:type="pct"/>
            <w:shd w:val="clear" w:color="auto" w:fill="auto"/>
            <w:vAlign w:val="center"/>
          </w:tcPr>
          <w:p w14:paraId="7941C58E">
            <w:pPr>
              <w:keepNext w:val="0"/>
              <w:keepLines w:val="0"/>
              <w:widowControl/>
              <w:suppressLineNumbers w:val="0"/>
              <w:spacing w:line="240" w:lineRule="auto"/>
              <w:ind w:firstLine="0" w:firstLineChars="0"/>
              <w:jc w:val="left"/>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语义检索软件</w:t>
            </w:r>
          </w:p>
        </w:tc>
        <w:tc>
          <w:tcPr>
            <w:tcW w:w="3045" w:type="pct"/>
            <w:shd w:val="clear" w:color="auto" w:fill="auto"/>
            <w:vAlign w:val="center"/>
          </w:tcPr>
          <w:p w14:paraId="0D36A93A">
            <w:pPr>
              <w:numPr>
                <w:ilvl w:val="0"/>
                <w:numId w:val="0"/>
              </w:numPr>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语义检索软件是一套完整的医学内容数据检索系统，且包含基本的语义检索功能。其</w:t>
            </w:r>
            <w:r>
              <w:rPr>
                <w:rFonts w:hint="eastAsia" w:ascii="宋体" w:hAnsi="宋体" w:eastAsia="宋体" w:cs="宋体"/>
                <w:sz w:val="24"/>
                <w:szCs w:val="24"/>
                <w:highlight w:val="none"/>
              </w:rPr>
              <w:t>目的是改进搜索系统的理解和处理自然语言查询的能力，而不仅仅是基于</w:t>
            </w:r>
            <w:r>
              <w:rPr>
                <w:rFonts w:hint="eastAsia" w:ascii="宋体" w:hAnsi="宋体" w:eastAsia="宋体" w:cs="宋体"/>
                <w:sz w:val="24"/>
                <w:szCs w:val="24"/>
                <w:highlight w:val="none"/>
                <w:lang w:val="en-US" w:eastAsia="zh-CN"/>
              </w:rPr>
              <w:t>用户输入的</w:t>
            </w:r>
            <w:r>
              <w:rPr>
                <w:rFonts w:hint="eastAsia" w:ascii="宋体" w:hAnsi="宋体" w:eastAsia="宋体" w:cs="宋体"/>
                <w:sz w:val="24"/>
                <w:szCs w:val="24"/>
                <w:highlight w:val="none"/>
              </w:rPr>
              <w:t>关键字</w:t>
            </w:r>
            <w:r>
              <w:rPr>
                <w:rFonts w:hint="eastAsia" w:ascii="宋体" w:hAnsi="宋体" w:eastAsia="宋体" w:cs="宋体"/>
                <w:sz w:val="24"/>
                <w:szCs w:val="24"/>
                <w:highlight w:val="none"/>
                <w:lang w:val="en-US" w:eastAsia="zh-CN"/>
              </w:rPr>
              <w:t>进行</w:t>
            </w:r>
            <w:r>
              <w:rPr>
                <w:rFonts w:hint="eastAsia" w:ascii="宋体" w:hAnsi="宋体" w:eastAsia="宋体" w:cs="宋体"/>
                <w:sz w:val="24"/>
                <w:szCs w:val="24"/>
                <w:highlight w:val="none"/>
              </w:rPr>
              <w:t>匹配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其可以提供对于一切文本类型的医学内容数据的搜索功能。主要包含以下功能：</w:t>
            </w:r>
          </w:p>
          <w:p w14:paraId="0F039A1A">
            <w:pPr>
              <w:numPr>
                <w:ilvl w:val="0"/>
                <w:numId w:val="3"/>
              </w:numPr>
              <w:ind w:left="425" w:leftChars="0" w:hanging="425"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关键词检索：允许用户输入一个或多个关键词进行文献检索，系统会根据关键词的出现频率和位置等因素返回最相关的结果。</w:t>
            </w:r>
          </w:p>
          <w:p w14:paraId="0991B942">
            <w:pPr>
              <w:numPr>
                <w:ilvl w:val="0"/>
                <w:numId w:val="3"/>
              </w:numPr>
              <w:ind w:left="425" w:leftChars="0" w:hanging="425"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逻辑表达式检索（AND/OR/NOT/括号）：支持用户使用布尔逻辑运算符（AND、OR、NOT）构建复杂的查询条件，以过滤和精确定位所需的文献数据。</w:t>
            </w:r>
          </w:p>
          <w:p w14:paraId="523ACBDC">
            <w:pPr>
              <w:numPr>
                <w:ilvl w:val="0"/>
                <w:numId w:val="3"/>
              </w:numPr>
              <w:ind w:left="425" w:leftChars="0" w:hanging="425"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检索字段指定：用户可以指定特定的字段进行检索，如标题、作者、机构、刊名等，从而优化检索结果的精度。</w:t>
            </w:r>
          </w:p>
          <w:p w14:paraId="3EB5C607">
            <w:pPr>
              <w:numPr>
                <w:ilvl w:val="0"/>
                <w:numId w:val="3"/>
              </w:numPr>
              <w:ind w:left="425" w:leftChars="0" w:hanging="425"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中英文词自动扩展：系统支持中英文医学术语的自动扩展，确保跨语言检索的效果，提升多语言环境下的用户体验。</w:t>
            </w:r>
          </w:p>
          <w:p w14:paraId="7933A227">
            <w:pPr>
              <w:numPr>
                <w:ilvl w:val="0"/>
                <w:numId w:val="3"/>
              </w:numPr>
              <w:ind w:left="425" w:leftChars="0" w:hanging="425"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检索式自动扩展改写：基于用户输入的查询，系统能够自动生成相关的扩展和改写，以捕捉潜在的相关文献，扩大检索范围。</w:t>
            </w:r>
          </w:p>
          <w:p w14:paraId="1A64F1C9">
            <w:pPr>
              <w:numPr>
                <w:ilvl w:val="0"/>
                <w:numId w:val="3"/>
              </w:numPr>
              <w:ind w:left="425" w:leftChars="0" w:hanging="425"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检索结果排序：用户可以选择根据相关性、发表时间、影响因子等不同维度对检索结果进行排序，以便快速找到最有价值的文献。</w:t>
            </w:r>
          </w:p>
          <w:p w14:paraId="504DD86D">
            <w:pPr>
              <w:numPr>
                <w:ilvl w:val="0"/>
                <w:numId w:val="3"/>
              </w:numPr>
              <w:ind w:left="425" w:leftChars="0" w:hanging="425"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文献展示信息：检索结果展示包括文献的标题、摘要、机构、作者、刊名、DOI、来源、影响因子、分区及AI总结等详细信息，并提供一键跳转到原文的功能。</w:t>
            </w:r>
          </w:p>
        </w:tc>
        <w:tc>
          <w:tcPr>
            <w:tcW w:w="422" w:type="pct"/>
            <w:shd w:val="clear" w:color="auto" w:fill="auto"/>
            <w:vAlign w:val="center"/>
          </w:tcPr>
          <w:p w14:paraId="0AF6AB2A">
            <w:pPr>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422" w:type="pct"/>
            <w:shd w:val="clear" w:color="auto" w:fill="auto"/>
            <w:vAlign w:val="center"/>
          </w:tcPr>
          <w:p w14:paraId="13147977">
            <w:pPr>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r>
      <w:tr w14:paraId="16E3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auto"/>
            <w:vAlign w:val="center"/>
          </w:tcPr>
          <w:p w14:paraId="3BAFE00B">
            <w:pPr>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737" w:type="pct"/>
            <w:shd w:val="clear" w:color="auto" w:fill="auto"/>
            <w:vAlign w:val="center"/>
          </w:tcPr>
          <w:p w14:paraId="5D4DEB57">
            <w:pPr>
              <w:keepNext w:val="0"/>
              <w:keepLines w:val="0"/>
              <w:widowControl/>
              <w:suppressLineNumbers w:val="0"/>
              <w:spacing w:line="240" w:lineRule="auto"/>
              <w:ind w:firstLine="0" w:firstLineChars="0"/>
              <w:jc w:val="left"/>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词嵌入模型</w:t>
            </w:r>
          </w:p>
        </w:tc>
        <w:tc>
          <w:tcPr>
            <w:tcW w:w="3045" w:type="pct"/>
            <w:shd w:val="clear" w:color="auto" w:fill="auto"/>
            <w:vAlign w:val="center"/>
          </w:tcPr>
          <w:p w14:paraId="42832957">
            <w:pPr>
              <w:numPr>
                <w:ilvl w:val="0"/>
                <w:numId w:val="0"/>
              </w:num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词嵌入模型是语义检索的增强模块，可以满足用户输入的检索式比较模糊或者表述不一致的情况下，依然可以召回相关的结果。词嵌入模型将文本中的词语转化为数值向量，这些向量捕捉了词语的语义关系。通过将语义相似的词嵌入到相近的向量空间中，这些模型能够帮助系统更好地理解不同术语之间的关系。</w:t>
            </w:r>
          </w:p>
          <w:p w14:paraId="3510A79F">
            <w:pPr>
              <w:numPr>
                <w:ilvl w:val="0"/>
                <w:numId w:val="0"/>
              </w:numP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本模型同时支持中文和英文双语向量的转化。</w:t>
            </w:r>
          </w:p>
        </w:tc>
        <w:tc>
          <w:tcPr>
            <w:tcW w:w="422" w:type="pct"/>
            <w:shd w:val="clear" w:color="auto" w:fill="auto"/>
            <w:vAlign w:val="center"/>
          </w:tcPr>
          <w:p w14:paraId="2869AC9D">
            <w:pPr>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422" w:type="pct"/>
            <w:shd w:val="clear" w:color="auto" w:fill="auto"/>
            <w:vAlign w:val="center"/>
          </w:tcPr>
          <w:p w14:paraId="7882AD49">
            <w:pPr>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r>
      <w:tr w14:paraId="3E5B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auto"/>
            <w:vAlign w:val="center"/>
          </w:tcPr>
          <w:p w14:paraId="6580EC82">
            <w:pPr>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737" w:type="pct"/>
            <w:shd w:val="clear" w:color="auto" w:fill="auto"/>
            <w:vAlign w:val="center"/>
          </w:tcPr>
          <w:p w14:paraId="35DEAE44">
            <w:pPr>
              <w:keepNext w:val="0"/>
              <w:keepLines w:val="0"/>
              <w:widowControl/>
              <w:suppressLineNumbers w:val="0"/>
              <w:spacing w:line="240" w:lineRule="auto"/>
              <w:ind w:firstLine="0" w:firstLineChars="0"/>
              <w:jc w:val="left"/>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意图识别模型</w:t>
            </w:r>
          </w:p>
        </w:tc>
        <w:tc>
          <w:tcPr>
            <w:tcW w:w="3045" w:type="pct"/>
            <w:shd w:val="clear" w:color="auto" w:fill="auto"/>
            <w:vAlign w:val="center"/>
          </w:tcPr>
          <w:p w14:paraId="0B26898E">
            <w:pPr>
              <w:numPr>
                <w:ilvl w:val="0"/>
                <w:numId w:val="0"/>
              </w:num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意图识别模型用于更精细化解析用户查询背后的意图，帮助系统提高召回数据的准确性。比如，当用户输入“乳腺癌近期最新研究进展”“精分领域的高分文献”“非小细胞肺癌的一线治疗指南”时，普通的查询串解析无法理解“近期”“最新”“高分”“指南”这类的词汇，如果将它们作为关键词去检索，效果不甚理想。意图识别模型将会识别上述类型的词汇，转换为相应的查询体检。</w:t>
            </w:r>
          </w:p>
          <w:p w14:paraId="24C233D0">
            <w:pPr>
              <w:numPr>
                <w:ilvl w:val="0"/>
                <w:numId w:val="0"/>
              </w:numP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本模型提供的解析范围包括：数据类型、影响因子、发表时间、核心关键词、主题词、机构、国家。</w:t>
            </w:r>
          </w:p>
        </w:tc>
        <w:tc>
          <w:tcPr>
            <w:tcW w:w="422" w:type="pct"/>
            <w:shd w:val="clear" w:color="auto" w:fill="auto"/>
            <w:vAlign w:val="center"/>
          </w:tcPr>
          <w:p w14:paraId="2EFCA81D">
            <w:pPr>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422" w:type="pct"/>
            <w:shd w:val="clear" w:color="auto" w:fill="auto"/>
            <w:vAlign w:val="center"/>
          </w:tcPr>
          <w:p w14:paraId="0EF6BE8B">
            <w:pPr>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r>
      <w:tr w14:paraId="3229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auto"/>
            <w:vAlign w:val="center"/>
          </w:tcPr>
          <w:p w14:paraId="2BAED8A5">
            <w:pPr>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737" w:type="pct"/>
            <w:shd w:val="clear" w:color="auto" w:fill="auto"/>
            <w:vAlign w:val="center"/>
          </w:tcPr>
          <w:p w14:paraId="11FDC6D4">
            <w:pPr>
              <w:keepNext w:val="0"/>
              <w:keepLines w:val="0"/>
              <w:widowControl/>
              <w:suppressLineNumbers w:val="0"/>
              <w:spacing w:line="240" w:lineRule="auto"/>
              <w:ind w:firstLine="0" w:firstLineChars="0"/>
              <w:jc w:val="left"/>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Rerank模型</w:t>
            </w:r>
          </w:p>
        </w:tc>
        <w:tc>
          <w:tcPr>
            <w:tcW w:w="3045" w:type="pct"/>
            <w:shd w:val="clear" w:color="auto" w:fill="auto"/>
            <w:vAlign w:val="center"/>
          </w:tcPr>
          <w:p w14:paraId="7C2B99B2">
            <w:pPr>
              <w:numPr>
                <w:ilvl w:val="0"/>
                <w:numId w:val="0"/>
              </w:num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Rerank模型在初步搜索结果之后，对结果进行重新排序，以确保最相关的结果位于前列。它除了将关键词召回结果和向量召回结果双路混排之外，还参考证据等级、发表时间、影响因子、文章类型等因素，会将更新、更优质的文献排在更靠前的位置，让用户更容易在首屏和列表前部更快地看到目标文献。</w:t>
            </w:r>
          </w:p>
          <w:p w14:paraId="65106E78">
            <w:pPr>
              <w:numPr>
                <w:ilvl w:val="0"/>
                <w:numId w:val="0"/>
              </w:numP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重排模型的证据等级评级使用AGREE II和Rob 2评级方法，结合其他因子，共同拟合出最终的召回排序。</w:t>
            </w:r>
          </w:p>
        </w:tc>
        <w:tc>
          <w:tcPr>
            <w:tcW w:w="422" w:type="pct"/>
            <w:shd w:val="clear" w:color="auto" w:fill="auto"/>
            <w:vAlign w:val="center"/>
          </w:tcPr>
          <w:p w14:paraId="2035DEF7">
            <w:pPr>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422" w:type="pct"/>
            <w:shd w:val="clear" w:color="auto" w:fill="auto"/>
            <w:vAlign w:val="center"/>
          </w:tcPr>
          <w:p w14:paraId="323D99D2">
            <w:pPr>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r>
      <w:tr w14:paraId="217F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auto"/>
            <w:vAlign w:val="center"/>
          </w:tcPr>
          <w:p w14:paraId="4D4029EB">
            <w:pPr>
              <w:ind w:firstLine="0" w:firstLineChars="0"/>
              <w:jc w:val="center"/>
              <w:rPr>
                <w:rFonts w:hint="eastAsia" w:ascii="宋体" w:hAnsi="宋体" w:eastAsia="宋体" w:cs="宋体"/>
                <w:sz w:val="24"/>
                <w:szCs w:val="24"/>
                <w:highlight w:val="none"/>
                <w:lang w:val="en-US" w:eastAsia="zh-CN"/>
              </w:rPr>
            </w:pPr>
            <w:bookmarkStart w:id="20" w:name="_Toc63785502"/>
            <w:r>
              <w:rPr>
                <w:rFonts w:hint="eastAsia" w:ascii="宋体" w:hAnsi="宋体" w:eastAsia="宋体" w:cs="宋体"/>
                <w:sz w:val="24"/>
                <w:szCs w:val="24"/>
                <w:highlight w:val="none"/>
                <w:lang w:val="en-US" w:eastAsia="zh-CN"/>
              </w:rPr>
              <w:t>5</w:t>
            </w:r>
          </w:p>
        </w:tc>
        <w:tc>
          <w:tcPr>
            <w:tcW w:w="737" w:type="pct"/>
            <w:shd w:val="clear" w:color="auto" w:fill="auto"/>
            <w:vAlign w:val="center"/>
          </w:tcPr>
          <w:p w14:paraId="1B279C21">
            <w:pPr>
              <w:keepNext w:val="0"/>
              <w:keepLines w:val="0"/>
              <w:widowControl/>
              <w:suppressLineNumbers w:val="0"/>
              <w:spacing w:line="240" w:lineRule="auto"/>
              <w:ind w:firstLine="0" w:firstLineChars="0"/>
              <w:jc w:val="left"/>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文档解析模型</w:t>
            </w:r>
          </w:p>
        </w:tc>
        <w:tc>
          <w:tcPr>
            <w:tcW w:w="3045" w:type="pct"/>
            <w:shd w:val="clear" w:color="auto" w:fill="auto"/>
            <w:vAlign w:val="center"/>
          </w:tcPr>
          <w:p w14:paraId="150D710E">
            <w:pPr>
              <w:ind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基础的搜索引擎只能对文本类型的数据进行索引，但医学文献中可能包含PDF、PPT、网页等类型的文件，需要对这些文件进行解析后，才能就行后续的索引流程，从而被检索到。而不同类型的文件的解析逻辑不同，且针对特定的医学文献类型，需要针对性的解析引擎。</w:t>
            </w:r>
          </w:p>
          <w:p w14:paraId="036FD761">
            <w:pPr>
              <w:ind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该模型支持的文件类型：文本、PDF、PPT、WORD、H5、音频、视频。其中PDF文件主要又分为中英文和文字版/影印版。主要涉及的技术包括版面(layout)识别、OCR识别、图片识别、表格识别等。</w:t>
            </w:r>
          </w:p>
          <w:p w14:paraId="441E49AA">
            <w:pPr>
              <w:ind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针对不同医学类型的文献也会有不同的解析模块，比如论文会被细分为RCT、Meta、一般综述、病例汇报等类型，不同类型的文章的结构不同，模型会针对不同的文章类型，将其中的内容分割抽取，并赋予不同的权重，从而优化检索召回时候的效果。</w:t>
            </w:r>
          </w:p>
        </w:tc>
        <w:tc>
          <w:tcPr>
            <w:tcW w:w="422" w:type="pct"/>
            <w:shd w:val="clear" w:color="auto" w:fill="auto"/>
            <w:vAlign w:val="center"/>
          </w:tcPr>
          <w:p w14:paraId="0E24CF9D">
            <w:pPr>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422" w:type="pct"/>
            <w:shd w:val="clear" w:color="auto" w:fill="auto"/>
            <w:vAlign w:val="center"/>
          </w:tcPr>
          <w:p w14:paraId="205DA9AB">
            <w:pPr>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r>
      <w:tr w14:paraId="5ED6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auto"/>
            <w:vAlign w:val="center"/>
          </w:tcPr>
          <w:p w14:paraId="6648D1FC">
            <w:pPr>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737" w:type="pct"/>
            <w:shd w:val="clear" w:color="auto" w:fill="auto"/>
            <w:vAlign w:val="center"/>
          </w:tcPr>
          <w:p w14:paraId="4FB21B65">
            <w:pPr>
              <w:keepNext w:val="0"/>
              <w:keepLines w:val="0"/>
              <w:widowControl/>
              <w:suppressLineNumbers w:val="0"/>
              <w:spacing w:line="240" w:lineRule="auto"/>
              <w:ind w:firstLine="0" w:firstLineChars="0"/>
              <w:jc w:val="left"/>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实体抽取模型和分类模型</w:t>
            </w:r>
          </w:p>
        </w:tc>
        <w:tc>
          <w:tcPr>
            <w:tcW w:w="3045" w:type="pct"/>
            <w:shd w:val="clear" w:color="auto" w:fill="auto"/>
            <w:vAlign w:val="center"/>
          </w:tcPr>
          <w:p w14:paraId="450B2D8D">
            <w:pPr>
              <w:ind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实体识别模型和分类模型是主要用于增强检索效果和辅助筛选。通过对检索串或文献中的实体进行识别和分类，抽取医学关键实体（如疾病、药物、症状、干预方式、靶点、终点、机构等），并按照不同类型和上下文，对实体赋予不同的权重，从而优化检索质量，同时也高亮显示给用户，帮助用户快速筛选和阅读。</w:t>
            </w:r>
          </w:p>
        </w:tc>
        <w:tc>
          <w:tcPr>
            <w:tcW w:w="422" w:type="pct"/>
            <w:shd w:val="clear" w:color="auto" w:fill="auto"/>
            <w:vAlign w:val="center"/>
          </w:tcPr>
          <w:p w14:paraId="16A94751">
            <w:pPr>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422" w:type="pct"/>
            <w:shd w:val="clear" w:color="auto" w:fill="auto"/>
            <w:vAlign w:val="center"/>
          </w:tcPr>
          <w:p w14:paraId="2955EC54">
            <w:pPr>
              <w:ind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r>
    </w:tbl>
    <w:p w14:paraId="7FC37BB4">
      <w:pPr>
        <w:pStyle w:val="2"/>
        <w:rPr>
          <w:highlight w:val="none"/>
        </w:rPr>
      </w:pPr>
      <w:r>
        <w:rPr>
          <w:rFonts w:hint="eastAsia"/>
          <w:highlight w:val="none"/>
        </w:rPr>
        <w:t>电子政务云资源需求</w:t>
      </w:r>
      <w:bookmarkEnd w:id="20"/>
    </w:p>
    <w:p w14:paraId="59C94563">
      <w:pPr>
        <w:rPr>
          <w:highlight w:val="none"/>
        </w:rPr>
      </w:pPr>
      <w:r>
        <w:rPr>
          <w:rFonts w:hint="eastAsia"/>
          <w:highlight w:val="none"/>
        </w:rPr>
        <w:t>根据项目前期资源现状，本次建设根据估算拟向电子政务云申请</w:t>
      </w:r>
      <w:r>
        <w:rPr>
          <w:rFonts w:hint="eastAsia"/>
          <w:highlight w:val="none"/>
          <w:lang w:val="en-US" w:eastAsia="zh-CN"/>
        </w:rPr>
        <w:t>10</w:t>
      </w:r>
      <w:r>
        <w:rPr>
          <w:rFonts w:hint="eastAsia"/>
          <w:highlight w:val="none"/>
        </w:rPr>
        <w:t>台服务器资源CPU</w:t>
      </w:r>
      <w:r>
        <w:rPr>
          <w:rFonts w:hint="eastAsia"/>
          <w:highlight w:val="none"/>
          <w:lang w:val="en-US" w:eastAsia="zh-CN"/>
        </w:rPr>
        <w:t>88</w:t>
      </w:r>
      <w:r>
        <w:rPr>
          <w:rFonts w:hint="eastAsia"/>
          <w:highlight w:val="none"/>
        </w:rPr>
        <w:t>核 、内存</w:t>
      </w:r>
      <w:r>
        <w:rPr>
          <w:rFonts w:hint="eastAsia"/>
          <w:highlight w:val="none"/>
          <w:lang w:val="en-US" w:eastAsia="zh-CN"/>
        </w:rPr>
        <w:t>352</w:t>
      </w:r>
      <w:r>
        <w:rPr>
          <w:rFonts w:hint="eastAsia"/>
          <w:highlight w:val="none"/>
        </w:rPr>
        <w:t>G、存储</w:t>
      </w:r>
      <w:r>
        <w:rPr>
          <w:rFonts w:hint="eastAsia"/>
          <w:highlight w:val="none"/>
          <w:lang w:val="en-US" w:eastAsia="zh-CN"/>
        </w:rPr>
        <w:t>26</w:t>
      </w:r>
      <w:r>
        <w:rPr>
          <w:rFonts w:hint="eastAsia"/>
          <w:highlight w:val="none"/>
        </w:rPr>
        <w:t>T，其中虚拟机</w:t>
      </w:r>
      <w:r>
        <w:rPr>
          <w:rFonts w:hint="eastAsia"/>
          <w:highlight w:val="none"/>
          <w:lang w:val="en-US" w:eastAsia="zh-CN"/>
        </w:rPr>
        <w:t>8</w:t>
      </w:r>
      <w:r>
        <w:rPr>
          <w:rFonts w:hint="eastAsia"/>
          <w:highlight w:val="none"/>
        </w:rPr>
        <w:t>台。</w:t>
      </w:r>
    </w:p>
    <w:p w14:paraId="19618AAF">
      <w:pPr>
        <w:pStyle w:val="2"/>
        <w:rPr>
          <w:highlight w:val="none"/>
        </w:rPr>
      </w:pPr>
      <w:bookmarkStart w:id="21" w:name="_Toc63785503"/>
      <w:r>
        <w:rPr>
          <w:rFonts w:hint="eastAsia"/>
          <w:highlight w:val="none"/>
        </w:rPr>
        <w:t>其他工作要求</w:t>
      </w:r>
      <w:bookmarkEnd w:id="21"/>
    </w:p>
    <w:p w14:paraId="3BF73FBB">
      <w:pPr>
        <w:keepNext/>
        <w:keepLines/>
        <w:numPr>
          <w:ilvl w:val="1"/>
          <w:numId w:val="4"/>
        </w:numPr>
        <w:tabs>
          <w:tab w:val="left" w:pos="360"/>
        </w:tabs>
        <w:spacing w:before="120" w:line="240" w:lineRule="auto"/>
        <w:ind w:left="0" w:firstLine="0" w:firstLineChars="0"/>
        <w:outlineLvl w:val="1"/>
        <w:rPr>
          <w:rFonts w:ascii="仿宋" w:hAnsi="仿宋" w:eastAsia="仿宋"/>
          <w:b/>
          <w:vanish/>
          <w:color w:val="000000"/>
          <w:sz w:val="28"/>
          <w:szCs w:val="20"/>
          <w:highlight w:val="none"/>
        </w:rPr>
      </w:pPr>
      <w:bookmarkStart w:id="22" w:name="_Toc62219358"/>
      <w:bookmarkEnd w:id="22"/>
      <w:bookmarkStart w:id="23" w:name="_Toc62209488"/>
      <w:bookmarkEnd w:id="23"/>
      <w:bookmarkStart w:id="24" w:name="_Toc63785504"/>
      <w:bookmarkEnd w:id="24"/>
      <w:bookmarkStart w:id="25" w:name="_Toc63585480"/>
      <w:bookmarkEnd w:id="25"/>
      <w:bookmarkStart w:id="26" w:name="_Toc63785439"/>
      <w:bookmarkEnd w:id="26"/>
      <w:bookmarkStart w:id="27" w:name="_Toc63151871"/>
      <w:bookmarkEnd w:id="27"/>
      <w:bookmarkStart w:id="28" w:name="_Toc63762370"/>
      <w:bookmarkEnd w:id="28"/>
      <w:bookmarkStart w:id="29" w:name="_Toc61968111"/>
      <w:bookmarkEnd w:id="29"/>
    </w:p>
    <w:p w14:paraId="039B5092">
      <w:pPr>
        <w:pStyle w:val="3"/>
        <w:rPr>
          <w:highlight w:val="none"/>
        </w:rPr>
      </w:pPr>
      <w:bookmarkStart w:id="30" w:name="_Toc63785505"/>
      <w:r>
        <w:rPr>
          <w:rFonts w:hint="eastAsia"/>
          <w:highlight w:val="none"/>
        </w:rPr>
        <w:t>售后服务要求</w:t>
      </w:r>
      <w:bookmarkEnd w:id="30"/>
    </w:p>
    <w:p w14:paraId="5B760ACE">
      <w:pPr>
        <w:pStyle w:val="10"/>
        <w:snapToGrid w:val="0"/>
        <w:spacing w:line="360" w:lineRule="auto"/>
        <w:ind w:firstLine="480"/>
        <w:rPr>
          <w:rFonts w:ascii="宋体" w:hAnsi="宋体"/>
          <w:sz w:val="24"/>
          <w:szCs w:val="24"/>
          <w:highlight w:val="none"/>
        </w:rPr>
      </w:pPr>
      <w:r>
        <w:rPr>
          <w:rFonts w:hint="eastAsia" w:ascii="宋体" w:hAnsi="宋体"/>
          <w:sz w:val="24"/>
          <w:szCs w:val="24"/>
          <w:highlight w:val="none"/>
        </w:rPr>
        <w:t>本项目从系统验收通过之日起1年内提供</w:t>
      </w:r>
      <w:r>
        <w:rPr>
          <w:rFonts w:ascii="宋体" w:hAnsi="宋体"/>
          <w:sz w:val="24"/>
          <w:szCs w:val="24"/>
          <w:highlight w:val="none"/>
        </w:rPr>
        <w:t>7*24小时免费技术支持</w:t>
      </w:r>
      <w:r>
        <w:rPr>
          <w:rFonts w:hint="eastAsia" w:ascii="宋体" w:hAnsi="宋体"/>
          <w:sz w:val="24"/>
          <w:szCs w:val="24"/>
          <w:highlight w:val="none"/>
        </w:rPr>
        <w:t>和售后服务，1年后进入有偿维护期。</w:t>
      </w:r>
    </w:p>
    <w:p w14:paraId="70A3646F">
      <w:pPr>
        <w:pStyle w:val="10"/>
        <w:snapToGrid w:val="0"/>
        <w:spacing w:line="360" w:lineRule="auto"/>
        <w:ind w:firstLine="480"/>
        <w:rPr>
          <w:rFonts w:ascii="宋体" w:hAnsi="宋体"/>
          <w:sz w:val="24"/>
          <w:szCs w:val="24"/>
          <w:highlight w:val="none"/>
        </w:rPr>
      </w:pPr>
      <w:r>
        <w:rPr>
          <w:rFonts w:hint="eastAsia" w:ascii="宋体" w:hAnsi="宋体"/>
          <w:sz w:val="24"/>
          <w:szCs w:val="24"/>
          <w:highlight w:val="none"/>
        </w:rPr>
        <w:t>在质量保证期内，供应商将按照售后服务的承诺提供保修和运行维护服务，如果厂商对信息系统中软件设备等产品中的部分保修期超过上述期限的，则按照厂商的规定进行免费保修。</w:t>
      </w:r>
    </w:p>
    <w:p w14:paraId="302D97A0">
      <w:pPr>
        <w:pStyle w:val="10"/>
        <w:snapToGrid w:val="0"/>
        <w:spacing w:line="360" w:lineRule="auto"/>
        <w:ind w:firstLine="480"/>
        <w:rPr>
          <w:rFonts w:ascii="宋体" w:hAnsi="宋体"/>
          <w:sz w:val="24"/>
          <w:szCs w:val="24"/>
          <w:highlight w:val="none"/>
        </w:rPr>
      </w:pPr>
      <w:r>
        <w:rPr>
          <w:rFonts w:hint="eastAsia" w:ascii="宋体" w:hAnsi="宋体"/>
          <w:sz w:val="24"/>
          <w:szCs w:val="24"/>
          <w:highlight w:val="none"/>
        </w:rPr>
        <w:t>在质量保证期内，供应商负责信息系统的运行维护工作，确保信息系统安全、稳定、可靠地运行。</w:t>
      </w:r>
    </w:p>
    <w:p w14:paraId="3A2A561D">
      <w:pPr>
        <w:pStyle w:val="3"/>
        <w:rPr>
          <w:highlight w:val="none"/>
        </w:rPr>
      </w:pPr>
      <w:bookmarkStart w:id="31" w:name="_Toc63785506"/>
      <w:r>
        <w:rPr>
          <w:rFonts w:hint="eastAsia"/>
          <w:highlight w:val="none"/>
        </w:rPr>
        <w:t>应急响应要求</w:t>
      </w:r>
      <w:bookmarkEnd w:id="31"/>
    </w:p>
    <w:p w14:paraId="43C92E5D">
      <w:pPr>
        <w:pStyle w:val="10"/>
        <w:snapToGrid w:val="0"/>
        <w:spacing w:line="360" w:lineRule="auto"/>
        <w:ind w:firstLine="480"/>
        <w:rPr>
          <w:rFonts w:ascii="宋体" w:hAnsi="宋体"/>
          <w:sz w:val="24"/>
          <w:szCs w:val="24"/>
          <w:highlight w:val="none"/>
        </w:rPr>
      </w:pPr>
      <w:r>
        <w:rPr>
          <w:rFonts w:hint="eastAsia" w:ascii="宋体" w:hAnsi="宋体"/>
          <w:sz w:val="24"/>
          <w:szCs w:val="24"/>
          <w:highlight w:val="none"/>
        </w:rPr>
        <w:t>供应商对系统故障应能够实时响应，若系统发生故障，接到通知后</w:t>
      </w:r>
      <w:r>
        <w:rPr>
          <w:rFonts w:ascii="宋体" w:hAnsi="宋体"/>
          <w:sz w:val="24"/>
          <w:szCs w:val="24"/>
          <w:highlight w:val="none"/>
        </w:rPr>
        <w:t>30分钟之内响应，专业工程师2小时内到达现场</w:t>
      </w:r>
      <w:r>
        <w:rPr>
          <w:rFonts w:hint="eastAsia" w:ascii="宋体" w:hAnsi="宋体"/>
          <w:sz w:val="24"/>
          <w:szCs w:val="24"/>
          <w:highlight w:val="none"/>
        </w:rPr>
        <w:t>。特殊故障与客户沟通协商后，按照协商的方式制定解决方案并进行处理。</w:t>
      </w:r>
    </w:p>
    <w:p w14:paraId="1C619DF3">
      <w:pPr>
        <w:pStyle w:val="10"/>
        <w:snapToGrid w:val="0"/>
        <w:spacing w:line="360" w:lineRule="auto"/>
        <w:ind w:firstLine="480"/>
        <w:rPr>
          <w:rFonts w:ascii="宋体" w:hAnsi="宋体"/>
          <w:sz w:val="24"/>
          <w:szCs w:val="24"/>
          <w:highlight w:val="none"/>
        </w:rPr>
      </w:pPr>
      <w:r>
        <w:rPr>
          <w:rFonts w:hint="eastAsia" w:ascii="宋体" w:hAnsi="宋体"/>
          <w:sz w:val="24"/>
          <w:szCs w:val="24"/>
          <w:highlight w:val="none"/>
        </w:rPr>
        <w:t>具体故障级别及对应的应急响应要求如下：</w:t>
      </w:r>
    </w:p>
    <w:p w14:paraId="79E0CC44">
      <w:pPr>
        <w:pStyle w:val="10"/>
        <w:snapToGrid w:val="0"/>
        <w:spacing w:line="360" w:lineRule="auto"/>
        <w:ind w:firstLine="480"/>
        <w:rPr>
          <w:rFonts w:ascii="宋体" w:hAnsi="宋体"/>
          <w:sz w:val="24"/>
          <w:szCs w:val="24"/>
          <w:highlight w:val="none"/>
        </w:rPr>
      </w:pPr>
      <w:r>
        <w:rPr>
          <w:rFonts w:hint="eastAsia" w:ascii="宋体" w:hAnsi="宋体"/>
          <w:sz w:val="24"/>
          <w:szCs w:val="24"/>
          <w:highlight w:val="none"/>
          <w:lang w:val="en-US" w:eastAsia="zh-CN"/>
        </w:rPr>
        <w:t>重大</w:t>
      </w:r>
      <w:r>
        <w:rPr>
          <w:rFonts w:hint="eastAsia" w:ascii="宋体" w:hAnsi="宋体"/>
          <w:sz w:val="24"/>
          <w:szCs w:val="24"/>
          <w:highlight w:val="none"/>
        </w:rPr>
        <w:t>故障：在</w:t>
      </w:r>
      <w:r>
        <w:rPr>
          <w:rFonts w:hint="eastAsia" w:ascii="宋体" w:hAnsi="宋体"/>
          <w:sz w:val="24"/>
          <w:szCs w:val="24"/>
          <w:highlight w:val="none"/>
          <w:lang w:val="en-US" w:eastAsia="zh-CN"/>
        </w:rPr>
        <w:t>30分钟</w:t>
      </w:r>
      <w:r>
        <w:rPr>
          <w:rFonts w:ascii="宋体" w:hAnsi="宋体"/>
          <w:sz w:val="24"/>
          <w:szCs w:val="24"/>
          <w:highlight w:val="none"/>
        </w:rPr>
        <w:t>内</w:t>
      </w:r>
      <w:r>
        <w:rPr>
          <w:rFonts w:hint="eastAsia" w:ascii="宋体" w:hAnsi="宋体"/>
          <w:sz w:val="24"/>
          <w:szCs w:val="24"/>
          <w:highlight w:val="none"/>
          <w:lang w:val="en-US" w:eastAsia="zh-CN"/>
        </w:rPr>
        <w:t>到达现场</w:t>
      </w:r>
      <w:r>
        <w:rPr>
          <w:rFonts w:ascii="宋体" w:hAnsi="宋体"/>
          <w:sz w:val="24"/>
          <w:szCs w:val="24"/>
          <w:highlight w:val="none"/>
        </w:rPr>
        <w:t>，总故障解决时间不超过</w:t>
      </w:r>
      <w:r>
        <w:rPr>
          <w:rFonts w:hint="eastAsia" w:ascii="宋体" w:hAnsi="宋体"/>
          <w:sz w:val="24"/>
          <w:szCs w:val="24"/>
          <w:highlight w:val="none"/>
          <w:lang w:val="en-US" w:eastAsia="zh-CN"/>
        </w:rPr>
        <w:t>3</w:t>
      </w:r>
      <w:r>
        <w:rPr>
          <w:rFonts w:ascii="宋体" w:hAnsi="宋体"/>
          <w:sz w:val="24"/>
          <w:szCs w:val="24"/>
          <w:highlight w:val="none"/>
        </w:rPr>
        <w:t>小时</w:t>
      </w:r>
      <w:r>
        <w:rPr>
          <w:rFonts w:hint="eastAsia" w:ascii="宋体" w:hAnsi="宋体"/>
          <w:sz w:val="24"/>
          <w:szCs w:val="24"/>
          <w:highlight w:val="none"/>
          <w:lang w:eastAsia="zh-CN"/>
        </w:rPr>
        <w:t>；</w:t>
      </w:r>
    </w:p>
    <w:p w14:paraId="5A5CA989">
      <w:pPr>
        <w:pStyle w:val="10"/>
        <w:snapToGrid w:val="0"/>
        <w:spacing w:line="360" w:lineRule="auto"/>
        <w:ind w:firstLine="480"/>
        <w:rPr>
          <w:rFonts w:ascii="宋体" w:hAnsi="宋体"/>
          <w:sz w:val="24"/>
          <w:szCs w:val="24"/>
          <w:highlight w:val="none"/>
        </w:rPr>
      </w:pPr>
      <w:r>
        <w:rPr>
          <w:rFonts w:hint="eastAsia" w:ascii="宋体" w:hAnsi="宋体"/>
          <w:sz w:val="24"/>
          <w:szCs w:val="24"/>
          <w:highlight w:val="none"/>
          <w:lang w:val="en-US" w:eastAsia="zh-CN"/>
        </w:rPr>
        <w:t>一般</w:t>
      </w:r>
      <w:r>
        <w:rPr>
          <w:rFonts w:hint="eastAsia" w:ascii="宋体" w:hAnsi="宋体"/>
          <w:sz w:val="24"/>
          <w:szCs w:val="24"/>
          <w:highlight w:val="none"/>
        </w:rPr>
        <w:t>故障：在</w:t>
      </w:r>
      <w:r>
        <w:rPr>
          <w:rFonts w:ascii="宋体" w:hAnsi="宋体"/>
          <w:sz w:val="24"/>
          <w:szCs w:val="24"/>
          <w:highlight w:val="none"/>
        </w:rPr>
        <w:t>2小时内</w:t>
      </w:r>
      <w:r>
        <w:rPr>
          <w:rFonts w:hint="eastAsia" w:ascii="宋体" w:hAnsi="宋体"/>
          <w:sz w:val="24"/>
          <w:szCs w:val="24"/>
          <w:highlight w:val="none"/>
          <w:lang w:val="en-US" w:eastAsia="zh-CN"/>
        </w:rPr>
        <w:t>到达现场</w:t>
      </w:r>
      <w:r>
        <w:rPr>
          <w:rFonts w:ascii="宋体" w:hAnsi="宋体"/>
          <w:sz w:val="24"/>
          <w:szCs w:val="24"/>
          <w:highlight w:val="none"/>
        </w:rPr>
        <w:t>，总故障解决时间不超过</w:t>
      </w:r>
      <w:r>
        <w:rPr>
          <w:rFonts w:hint="eastAsia" w:ascii="宋体" w:hAnsi="宋体"/>
          <w:sz w:val="24"/>
          <w:szCs w:val="24"/>
          <w:highlight w:val="none"/>
          <w:lang w:val="en-US" w:eastAsia="zh-CN"/>
        </w:rPr>
        <w:t>6</w:t>
      </w:r>
      <w:r>
        <w:rPr>
          <w:rFonts w:ascii="宋体" w:hAnsi="宋体"/>
          <w:sz w:val="24"/>
          <w:szCs w:val="24"/>
          <w:highlight w:val="none"/>
        </w:rPr>
        <w:t>小时</w:t>
      </w:r>
      <w:r>
        <w:rPr>
          <w:rFonts w:hint="eastAsia" w:ascii="宋体" w:hAnsi="宋体"/>
          <w:sz w:val="24"/>
          <w:szCs w:val="24"/>
          <w:highlight w:val="none"/>
          <w:lang w:eastAsia="zh-CN"/>
        </w:rPr>
        <w:t>。</w:t>
      </w:r>
    </w:p>
    <w:p w14:paraId="0D32835C">
      <w:pPr>
        <w:pStyle w:val="3"/>
        <w:rPr>
          <w:highlight w:val="none"/>
        </w:rPr>
      </w:pPr>
      <w:bookmarkStart w:id="32" w:name="_Toc63785507"/>
      <w:r>
        <w:rPr>
          <w:rFonts w:hint="eastAsia"/>
          <w:highlight w:val="none"/>
        </w:rPr>
        <w:t>培训要求</w:t>
      </w:r>
      <w:bookmarkEnd w:id="32"/>
    </w:p>
    <w:p w14:paraId="01012B63">
      <w:pPr>
        <w:rPr>
          <w:highlight w:val="none"/>
        </w:rPr>
      </w:pPr>
      <w:r>
        <w:rPr>
          <w:rFonts w:hint="eastAsia"/>
          <w:highlight w:val="none"/>
        </w:rPr>
        <w:t>对系统使用单位提供业务操作培训，应提供详细培训方案。</w:t>
      </w:r>
    </w:p>
    <w:p w14:paraId="42EBB98C">
      <w:pPr>
        <w:rPr>
          <w:highlight w:val="none"/>
        </w:rPr>
      </w:pPr>
      <w:r>
        <w:rPr>
          <w:rFonts w:hint="eastAsia"/>
          <w:highlight w:val="none"/>
        </w:rPr>
        <w:t>(1)在12个月的质量保证期内，提供2次与项目相关的必要培训。</w:t>
      </w:r>
    </w:p>
    <w:p w14:paraId="1B36FEF4">
      <w:pPr>
        <w:rPr>
          <w:highlight w:val="none"/>
        </w:rPr>
      </w:pPr>
      <w:r>
        <w:rPr>
          <w:rFonts w:hint="eastAsia"/>
          <w:highlight w:val="none"/>
        </w:rPr>
        <w:t>(2)供应商需要开展分层次的人员培训工作，每次培训后应对参加培训人员进行测试，评估培训成果。培训应具有培训教材、培训环境和高水平的培训讲师。</w:t>
      </w:r>
    </w:p>
    <w:p w14:paraId="3BAC4F12">
      <w:pPr>
        <w:rPr>
          <w:strike/>
          <w:szCs w:val="21"/>
          <w:highlight w:val="none"/>
        </w:rPr>
      </w:pPr>
      <w:r>
        <w:rPr>
          <w:rFonts w:hint="eastAsia"/>
          <w:highlight w:val="none"/>
        </w:rPr>
        <w:t>(3)供应商应提供一般用户的基础操作培训和部门信息管理员的日常应用维护的培训，确保用户对象能够掌握对应的操作技能。</w:t>
      </w:r>
    </w:p>
    <w:p w14:paraId="61C88646">
      <w:pPr>
        <w:pStyle w:val="3"/>
        <w:rPr>
          <w:highlight w:val="none"/>
        </w:rPr>
      </w:pPr>
      <w:bookmarkStart w:id="33" w:name="_Toc63785509"/>
      <w:r>
        <w:rPr>
          <w:rFonts w:hint="eastAsia"/>
          <w:highlight w:val="none"/>
        </w:rPr>
        <w:t>进度要求</w:t>
      </w:r>
      <w:bookmarkEnd w:id="33"/>
    </w:p>
    <w:p w14:paraId="122483EA">
      <w:pPr>
        <w:rPr>
          <w:highlight w:val="none"/>
        </w:rPr>
      </w:pPr>
      <w:r>
        <w:rPr>
          <w:rFonts w:hint="eastAsia"/>
          <w:highlight w:val="none"/>
          <w:lang w:eastAsia="zh-CN"/>
        </w:rPr>
        <w:t>响应供应商</w:t>
      </w:r>
      <w:r>
        <w:rPr>
          <w:rFonts w:hint="eastAsia"/>
          <w:highlight w:val="none"/>
        </w:rPr>
        <w:t>应根据建设内容，分阶段制定合理的时间进度，并且应根据</w:t>
      </w:r>
      <w:r>
        <w:rPr>
          <w:rFonts w:hint="eastAsia"/>
          <w:highlight w:val="none"/>
          <w:lang w:eastAsia="zh-CN"/>
        </w:rPr>
        <w:t>采购</w:t>
      </w:r>
      <w:r>
        <w:rPr>
          <w:rFonts w:hint="eastAsia"/>
          <w:highlight w:val="none"/>
        </w:rPr>
        <w:t>方要求进行调整和细化。</w:t>
      </w:r>
    </w:p>
    <w:p w14:paraId="4BC8775C">
      <w:pPr>
        <w:rPr>
          <w:highlight w:val="none"/>
        </w:rPr>
      </w:pPr>
      <w:r>
        <w:rPr>
          <w:rFonts w:hint="eastAsia"/>
          <w:highlight w:val="none"/>
        </w:rPr>
        <w:t>总建设周期为</w:t>
      </w:r>
      <w:r>
        <w:rPr>
          <w:rFonts w:hint="eastAsia"/>
          <w:highlight w:val="none"/>
          <w:lang w:val="en-US" w:eastAsia="zh-CN"/>
        </w:rPr>
        <w:t>5</w:t>
      </w:r>
      <w:r>
        <w:rPr>
          <w:rFonts w:hint="eastAsia"/>
          <w:highlight w:val="none"/>
        </w:rPr>
        <w:t>个月，分为</w:t>
      </w:r>
      <w:r>
        <w:rPr>
          <w:rFonts w:hint="eastAsia"/>
          <w:highlight w:val="none"/>
          <w:lang w:val="en-US" w:eastAsia="zh-CN"/>
        </w:rPr>
        <w:t>2</w:t>
      </w:r>
      <w:r>
        <w:rPr>
          <w:rFonts w:hint="eastAsia"/>
          <w:highlight w:val="none"/>
        </w:rPr>
        <w:t>个阶段。</w:t>
      </w:r>
    </w:p>
    <w:p w14:paraId="6FF262D4">
      <w:pPr>
        <w:rPr>
          <w:highlight w:val="none"/>
        </w:rPr>
      </w:pPr>
      <w:r>
        <w:rPr>
          <w:rFonts w:hint="eastAsia"/>
          <w:highlight w:val="none"/>
        </w:rPr>
        <w:t>第一阶段为合同签订之日起</w:t>
      </w:r>
      <w:r>
        <w:rPr>
          <w:rFonts w:hint="eastAsia"/>
          <w:highlight w:val="none"/>
          <w:lang w:val="en-US" w:eastAsia="zh-CN"/>
        </w:rPr>
        <w:t>3个</w:t>
      </w:r>
      <w:r>
        <w:rPr>
          <w:rFonts w:hint="eastAsia"/>
          <w:highlight w:val="none"/>
        </w:rPr>
        <w:t>月</w:t>
      </w:r>
      <w:r>
        <w:rPr>
          <w:rFonts w:hint="eastAsia"/>
          <w:highlight w:val="none"/>
          <w:lang w:val="en-US" w:eastAsia="zh-CN"/>
        </w:rPr>
        <w:t>内</w:t>
      </w:r>
      <w:r>
        <w:rPr>
          <w:rFonts w:hint="eastAsia"/>
          <w:highlight w:val="none"/>
        </w:rPr>
        <w:t>，完成软件开发、产品到货、安装部署。</w:t>
      </w:r>
    </w:p>
    <w:p w14:paraId="49C0A309">
      <w:pPr>
        <w:rPr>
          <w:highlight w:val="none"/>
        </w:rPr>
      </w:pPr>
      <w:bookmarkStart w:id="34" w:name="_Toc63785510"/>
      <w:r>
        <w:rPr>
          <w:rFonts w:hint="eastAsia"/>
          <w:highlight w:val="none"/>
        </w:rPr>
        <w:t>第二阶段为合同签订之日起</w:t>
      </w:r>
      <w:r>
        <w:rPr>
          <w:rFonts w:hint="eastAsia"/>
          <w:highlight w:val="none"/>
          <w:lang w:val="en-US" w:eastAsia="zh-CN"/>
        </w:rPr>
        <w:t>5个月内</w:t>
      </w:r>
      <w:r>
        <w:rPr>
          <w:rFonts w:hint="eastAsia"/>
          <w:highlight w:val="none"/>
        </w:rPr>
        <w:t>，完成项目试运行和验收。</w:t>
      </w:r>
    </w:p>
    <w:p w14:paraId="11CFCBB9">
      <w:pPr>
        <w:pStyle w:val="3"/>
        <w:rPr>
          <w:highlight w:val="none"/>
        </w:rPr>
      </w:pPr>
      <w:r>
        <w:rPr>
          <w:rFonts w:hint="eastAsia"/>
          <w:highlight w:val="none"/>
        </w:rPr>
        <w:t>项目团队及驻场人员要求</w:t>
      </w:r>
      <w:bookmarkEnd w:id="34"/>
    </w:p>
    <w:p w14:paraId="37E5B98E">
      <w:pPr>
        <w:rPr>
          <w:highlight w:val="none"/>
        </w:rPr>
      </w:pPr>
      <w:r>
        <w:rPr>
          <w:highlight w:val="none"/>
        </w:rPr>
        <w:t>1）</w:t>
      </w:r>
      <w:r>
        <w:rPr>
          <w:rFonts w:hint="eastAsia"/>
          <w:highlight w:val="none"/>
          <w:lang w:eastAsia="zh-CN"/>
        </w:rPr>
        <w:t>响应供应商</w:t>
      </w:r>
      <w:r>
        <w:rPr>
          <w:highlight w:val="none"/>
        </w:rPr>
        <w:t>须具有稳定的在职技术保障力量，能够提供及时的技术支援或服务，应针对本项目提供不少于</w:t>
      </w:r>
      <w:r>
        <w:rPr>
          <w:rFonts w:hint="eastAsia"/>
          <w:highlight w:val="none"/>
          <w:lang w:val="en-US" w:eastAsia="zh-CN"/>
        </w:rPr>
        <w:t>6</w:t>
      </w:r>
      <w:r>
        <w:rPr>
          <w:highlight w:val="none"/>
        </w:rPr>
        <w:t>人</w:t>
      </w:r>
      <w:r>
        <w:rPr>
          <w:highlight w:val="none"/>
        </w:rPr>
        <w:t>的项目服务团队（包括项目经理、产品经理、技术负责人、研发等），单位的相关服务人员需具备相应的服务能力，需提供相关证明。</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944"/>
        <w:gridCol w:w="1180"/>
        <w:gridCol w:w="2048"/>
        <w:gridCol w:w="1180"/>
      </w:tblGrid>
      <w:tr w14:paraId="6C83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0E0113D7">
            <w:pPr>
              <w:widowControl/>
              <w:spacing w:line="240" w:lineRule="auto"/>
              <w:ind w:firstLine="0" w:firstLineChars="0"/>
              <w:jc w:val="center"/>
              <w:rPr>
                <w:b/>
                <w:highlight w:val="none"/>
              </w:rPr>
            </w:pPr>
            <w:r>
              <w:rPr>
                <w:rFonts w:hint="eastAsia"/>
                <w:b/>
                <w:highlight w:val="none"/>
              </w:rPr>
              <w:t>角色</w:t>
            </w:r>
          </w:p>
        </w:tc>
        <w:tc>
          <w:tcPr>
            <w:tcW w:w="0" w:type="auto"/>
            <w:shd w:val="clear" w:color="auto" w:fill="auto"/>
            <w:noWrap/>
            <w:vAlign w:val="center"/>
          </w:tcPr>
          <w:p w14:paraId="7592FD24">
            <w:pPr>
              <w:widowControl/>
              <w:spacing w:line="240" w:lineRule="auto"/>
              <w:ind w:firstLine="0" w:firstLineChars="0"/>
              <w:jc w:val="center"/>
              <w:rPr>
                <w:b/>
                <w:highlight w:val="none"/>
              </w:rPr>
            </w:pPr>
            <w:r>
              <w:rPr>
                <w:rFonts w:hint="eastAsia"/>
                <w:b/>
                <w:highlight w:val="none"/>
              </w:rPr>
              <w:t>主要职责</w:t>
            </w:r>
          </w:p>
        </w:tc>
        <w:tc>
          <w:tcPr>
            <w:tcW w:w="0" w:type="auto"/>
            <w:shd w:val="clear" w:color="auto" w:fill="auto"/>
            <w:noWrap/>
            <w:vAlign w:val="center"/>
          </w:tcPr>
          <w:p w14:paraId="2ACE969E">
            <w:pPr>
              <w:widowControl/>
              <w:spacing w:line="240" w:lineRule="auto"/>
              <w:ind w:firstLine="0" w:firstLineChars="0"/>
              <w:jc w:val="center"/>
              <w:rPr>
                <w:b/>
                <w:highlight w:val="none"/>
              </w:rPr>
            </w:pPr>
            <w:r>
              <w:rPr>
                <w:rFonts w:hint="eastAsia"/>
                <w:b/>
                <w:highlight w:val="none"/>
              </w:rPr>
              <w:t>人员数量</w:t>
            </w:r>
          </w:p>
        </w:tc>
        <w:tc>
          <w:tcPr>
            <w:tcW w:w="0" w:type="auto"/>
            <w:vAlign w:val="center"/>
          </w:tcPr>
          <w:p w14:paraId="5A725632">
            <w:pPr>
              <w:widowControl/>
              <w:spacing w:line="240" w:lineRule="auto"/>
              <w:ind w:firstLine="0" w:firstLineChars="0"/>
              <w:jc w:val="center"/>
              <w:rPr>
                <w:b/>
                <w:highlight w:val="none"/>
              </w:rPr>
            </w:pPr>
            <w:r>
              <w:rPr>
                <w:rFonts w:hint="eastAsia"/>
                <w:b/>
                <w:highlight w:val="none"/>
              </w:rPr>
              <w:t>人员要求</w:t>
            </w:r>
          </w:p>
        </w:tc>
        <w:tc>
          <w:tcPr>
            <w:tcW w:w="0" w:type="auto"/>
            <w:shd w:val="clear" w:color="auto" w:fill="auto"/>
            <w:noWrap/>
            <w:vAlign w:val="center"/>
          </w:tcPr>
          <w:p w14:paraId="38356ECA">
            <w:pPr>
              <w:widowControl/>
              <w:spacing w:line="240" w:lineRule="auto"/>
              <w:ind w:firstLine="0" w:firstLineChars="0"/>
              <w:jc w:val="center"/>
              <w:rPr>
                <w:b/>
                <w:highlight w:val="none"/>
              </w:rPr>
            </w:pPr>
            <w:r>
              <w:rPr>
                <w:rFonts w:hint="eastAsia"/>
                <w:b/>
                <w:highlight w:val="none"/>
              </w:rPr>
              <w:t>驻场要求</w:t>
            </w:r>
          </w:p>
        </w:tc>
      </w:tr>
      <w:tr w14:paraId="09E64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935890B">
            <w:pPr>
              <w:widowControl/>
              <w:spacing w:line="240" w:lineRule="auto"/>
              <w:ind w:firstLine="0" w:firstLineChars="0"/>
              <w:jc w:val="center"/>
              <w:rPr>
                <w:highlight w:val="none"/>
              </w:rPr>
            </w:pPr>
            <w:r>
              <w:rPr>
                <w:rFonts w:hint="eastAsia"/>
                <w:highlight w:val="none"/>
              </w:rPr>
              <w:t>项目经理</w:t>
            </w:r>
          </w:p>
        </w:tc>
        <w:tc>
          <w:tcPr>
            <w:tcW w:w="0" w:type="auto"/>
            <w:shd w:val="clear" w:color="auto" w:fill="auto"/>
            <w:vAlign w:val="center"/>
          </w:tcPr>
          <w:p w14:paraId="15BB851D">
            <w:pPr>
              <w:widowControl/>
              <w:spacing w:line="240" w:lineRule="auto"/>
              <w:ind w:firstLine="0" w:firstLineChars="0"/>
              <w:jc w:val="center"/>
              <w:rPr>
                <w:highlight w:val="none"/>
              </w:rPr>
            </w:pPr>
            <w:r>
              <w:rPr>
                <w:rFonts w:hint="eastAsia"/>
                <w:highlight w:val="none"/>
              </w:rPr>
              <w:t>负责项目质量和进度控制</w:t>
            </w:r>
          </w:p>
        </w:tc>
        <w:tc>
          <w:tcPr>
            <w:tcW w:w="0" w:type="auto"/>
            <w:shd w:val="clear" w:color="auto" w:fill="auto"/>
            <w:noWrap/>
            <w:vAlign w:val="center"/>
          </w:tcPr>
          <w:p w14:paraId="2AFDDA9A">
            <w:pPr>
              <w:widowControl/>
              <w:spacing w:line="240" w:lineRule="auto"/>
              <w:ind w:firstLine="0" w:firstLineChars="0"/>
              <w:jc w:val="center"/>
              <w:rPr>
                <w:highlight w:val="none"/>
              </w:rPr>
            </w:pPr>
            <w:r>
              <w:rPr>
                <w:rFonts w:hint="eastAsia"/>
                <w:highlight w:val="none"/>
                <w:lang w:val="en-US" w:eastAsia="zh-CN"/>
              </w:rPr>
              <w:t>1</w:t>
            </w:r>
            <w:r>
              <w:rPr>
                <w:rFonts w:hint="eastAsia"/>
                <w:highlight w:val="none"/>
              </w:rPr>
              <w:t>人</w:t>
            </w:r>
          </w:p>
        </w:tc>
        <w:tc>
          <w:tcPr>
            <w:tcW w:w="0" w:type="auto"/>
            <w:vMerge w:val="restart"/>
            <w:vAlign w:val="center"/>
          </w:tcPr>
          <w:p w14:paraId="604AC1C6">
            <w:pPr>
              <w:widowControl/>
              <w:spacing w:line="240" w:lineRule="auto"/>
              <w:ind w:firstLine="0" w:firstLineChars="0"/>
              <w:jc w:val="center"/>
              <w:rPr>
                <w:highlight w:val="none"/>
              </w:rPr>
            </w:pPr>
            <w:r>
              <w:rPr>
                <w:rFonts w:hint="eastAsia"/>
                <w:highlight w:val="none"/>
              </w:rPr>
              <w:t>具备软件设计师或系统集成项目管理工程师或计算机与信息技术相关中级及以上职称</w:t>
            </w:r>
          </w:p>
        </w:tc>
        <w:tc>
          <w:tcPr>
            <w:tcW w:w="0" w:type="auto"/>
            <w:shd w:val="clear" w:color="auto" w:fill="auto"/>
            <w:noWrap/>
            <w:vAlign w:val="center"/>
          </w:tcPr>
          <w:p w14:paraId="786B2286">
            <w:pPr>
              <w:widowControl/>
              <w:spacing w:line="240" w:lineRule="auto"/>
              <w:ind w:firstLine="0" w:firstLineChars="0"/>
              <w:jc w:val="center"/>
              <w:rPr>
                <w:highlight w:val="none"/>
              </w:rPr>
            </w:pPr>
            <w:r>
              <w:rPr>
                <w:rFonts w:hint="eastAsia"/>
                <w:highlight w:val="none"/>
              </w:rPr>
              <w:t>驻场</w:t>
            </w:r>
          </w:p>
        </w:tc>
      </w:tr>
      <w:tr w14:paraId="48DB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A71E826">
            <w:pPr>
              <w:widowControl/>
              <w:spacing w:line="240" w:lineRule="auto"/>
              <w:ind w:firstLine="0" w:firstLineChars="0"/>
              <w:jc w:val="center"/>
              <w:rPr>
                <w:highlight w:val="none"/>
              </w:rPr>
            </w:pPr>
            <w:r>
              <w:rPr>
                <w:rFonts w:hint="eastAsia"/>
                <w:highlight w:val="none"/>
              </w:rPr>
              <w:t>产品经理</w:t>
            </w:r>
          </w:p>
        </w:tc>
        <w:tc>
          <w:tcPr>
            <w:tcW w:w="0" w:type="auto"/>
            <w:shd w:val="clear" w:color="auto" w:fill="auto"/>
            <w:vAlign w:val="center"/>
          </w:tcPr>
          <w:p w14:paraId="6A464C1B">
            <w:pPr>
              <w:widowControl/>
              <w:spacing w:line="240" w:lineRule="auto"/>
              <w:ind w:firstLine="0" w:firstLineChars="0"/>
              <w:jc w:val="center"/>
              <w:rPr>
                <w:highlight w:val="none"/>
              </w:rPr>
            </w:pPr>
            <w:r>
              <w:rPr>
                <w:rFonts w:hint="eastAsia"/>
                <w:highlight w:val="none"/>
              </w:rPr>
              <w:t>负责项目需求评估与产品设计</w:t>
            </w:r>
          </w:p>
        </w:tc>
        <w:tc>
          <w:tcPr>
            <w:tcW w:w="0" w:type="auto"/>
            <w:shd w:val="clear" w:color="auto" w:fill="auto"/>
            <w:noWrap/>
            <w:vAlign w:val="center"/>
          </w:tcPr>
          <w:p w14:paraId="331230EC">
            <w:pPr>
              <w:widowControl/>
              <w:spacing w:line="240" w:lineRule="auto"/>
              <w:ind w:firstLine="0" w:firstLineChars="0"/>
              <w:jc w:val="center"/>
              <w:rPr>
                <w:highlight w:val="none"/>
              </w:rPr>
            </w:pPr>
            <w:r>
              <w:rPr>
                <w:rFonts w:hint="eastAsia"/>
                <w:highlight w:val="none"/>
                <w:lang w:val="en-US" w:eastAsia="zh-CN"/>
              </w:rPr>
              <w:t>1</w:t>
            </w:r>
            <w:r>
              <w:rPr>
                <w:rFonts w:hint="eastAsia"/>
                <w:highlight w:val="none"/>
              </w:rPr>
              <w:t>人</w:t>
            </w:r>
          </w:p>
        </w:tc>
        <w:tc>
          <w:tcPr>
            <w:tcW w:w="0" w:type="auto"/>
            <w:vMerge w:val="continue"/>
            <w:vAlign w:val="center"/>
          </w:tcPr>
          <w:p w14:paraId="5029F21D">
            <w:pPr>
              <w:widowControl/>
              <w:spacing w:line="240" w:lineRule="auto"/>
              <w:ind w:firstLine="0" w:firstLineChars="0"/>
              <w:jc w:val="center"/>
              <w:rPr>
                <w:highlight w:val="none"/>
              </w:rPr>
            </w:pPr>
          </w:p>
        </w:tc>
        <w:tc>
          <w:tcPr>
            <w:tcW w:w="0" w:type="auto"/>
            <w:shd w:val="clear" w:color="auto" w:fill="auto"/>
            <w:noWrap/>
            <w:vAlign w:val="center"/>
          </w:tcPr>
          <w:p w14:paraId="19B4CB1A">
            <w:pPr>
              <w:widowControl/>
              <w:spacing w:line="240" w:lineRule="auto"/>
              <w:ind w:firstLine="0" w:firstLineChars="0"/>
              <w:jc w:val="center"/>
              <w:rPr>
                <w:highlight w:val="none"/>
              </w:rPr>
            </w:pPr>
            <w:r>
              <w:rPr>
                <w:rFonts w:hint="eastAsia"/>
                <w:highlight w:val="none"/>
              </w:rPr>
              <w:t>驻场</w:t>
            </w:r>
          </w:p>
        </w:tc>
      </w:tr>
      <w:tr w14:paraId="70A0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695DB23A">
            <w:pPr>
              <w:widowControl/>
              <w:spacing w:line="240" w:lineRule="auto"/>
              <w:ind w:firstLine="0" w:firstLineChars="0"/>
              <w:jc w:val="center"/>
              <w:rPr>
                <w:highlight w:val="none"/>
              </w:rPr>
            </w:pPr>
            <w:r>
              <w:rPr>
                <w:rFonts w:hint="eastAsia"/>
                <w:highlight w:val="none"/>
              </w:rPr>
              <w:t>研发</w:t>
            </w:r>
          </w:p>
        </w:tc>
        <w:tc>
          <w:tcPr>
            <w:tcW w:w="0" w:type="auto"/>
            <w:shd w:val="clear" w:color="auto" w:fill="auto"/>
            <w:noWrap/>
            <w:vAlign w:val="center"/>
          </w:tcPr>
          <w:p w14:paraId="58D4189A">
            <w:pPr>
              <w:widowControl/>
              <w:spacing w:line="240" w:lineRule="auto"/>
              <w:ind w:firstLine="0" w:firstLineChars="0"/>
              <w:jc w:val="center"/>
              <w:rPr>
                <w:highlight w:val="none"/>
              </w:rPr>
            </w:pPr>
            <w:r>
              <w:rPr>
                <w:rFonts w:hint="eastAsia"/>
                <w:highlight w:val="none"/>
              </w:rPr>
              <w:t>负责项目具体开发与实施</w:t>
            </w:r>
          </w:p>
        </w:tc>
        <w:tc>
          <w:tcPr>
            <w:tcW w:w="0" w:type="auto"/>
            <w:shd w:val="clear" w:color="auto" w:fill="auto"/>
            <w:noWrap/>
            <w:vAlign w:val="center"/>
          </w:tcPr>
          <w:p w14:paraId="4CB6C4C2">
            <w:pPr>
              <w:widowControl/>
              <w:spacing w:line="240" w:lineRule="auto"/>
              <w:ind w:firstLine="0" w:firstLineChars="0"/>
              <w:jc w:val="center"/>
              <w:rPr>
                <w:highlight w:val="none"/>
              </w:rPr>
            </w:pPr>
            <w:r>
              <w:rPr>
                <w:rFonts w:hint="eastAsia"/>
                <w:highlight w:val="none"/>
                <w:lang w:val="en-US" w:eastAsia="zh-CN"/>
              </w:rPr>
              <w:t>4</w:t>
            </w:r>
            <w:r>
              <w:rPr>
                <w:rFonts w:hint="eastAsia"/>
                <w:highlight w:val="none"/>
              </w:rPr>
              <w:t>人</w:t>
            </w:r>
          </w:p>
        </w:tc>
        <w:tc>
          <w:tcPr>
            <w:tcW w:w="0" w:type="auto"/>
            <w:vMerge w:val="continue"/>
            <w:vAlign w:val="center"/>
          </w:tcPr>
          <w:p w14:paraId="502DE641">
            <w:pPr>
              <w:widowControl/>
              <w:spacing w:line="240" w:lineRule="auto"/>
              <w:ind w:firstLine="0" w:firstLineChars="0"/>
              <w:jc w:val="center"/>
              <w:rPr>
                <w:highlight w:val="none"/>
              </w:rPr>
            </w:pPr>
          </w:p>
        </w:tc>
        <w:tc>
          <w:tcPr>
            <w:tcW w:w="0" w:type="auto"/>
            <w:shd w:val="clear" w:color="auto" w:fill="auto"/>
            <w:noWrap/>
            <w:vAlign w:val="center"/>
          </w:tcPr>
          <w:p w14:paraId="36A554A3">
            <w:pPr>
              <w:widowControl/>
              <w:spacing w:line="240" w:lineRule="auto"/>
              <w:ind w:firstLine="0" w:firstLineChars="0"/>
              <w:jc w:val="center"/>
              <w:rPr>
                <w:highlight w:val="none"/>
              </w:rPr>
            </w:pPr>
            <w:r>
              <w:rPr>
                <w:rFonts w:hint="eastAsia"/>
                <w:highlight w:val="none"/>
              </w:rPr>
              <w:t>驻场</w:t>
            </w:r>
          </w:p>
        </w:tc>
      </w:tr>
    </w:tbl>
    <w:p w14:paraId="5DB59A04">
      <w:pPr>
        <w:rPr>
          <w:highlight w:val="none"/>
        </w:rPr>
      </w:pPr>
      <w:r>
        <w:rPr>
          <w:highlight w:val="none"/>
        </w:rPr>
        <w:t>2）</w:t>
      </w:r>
      <w:r>
        <w:rPr>
          <w:rFonts w:hint="eastAsia"/>
          <w:highlight w:val="none"/>
          <w:lang w:eastAsia="zh-CN"/>
        </w:rPr>
        <w:t>响应供应商</w:t>
      </w:r>
      <w:r>
        <w:rPr>
          <w:highlight w:val="none"/>
        </w:rPr>
        <w:t>应针对本项目提供不少于</w:t>
      </w:r>
      <w:r>
        <w:rPr>
          <w:rFonts w:hint="eastAsia"/>
          <w:highlight w:val="none"/>
          <w:lang w:val="en-US" w:eastAsia="zh-CN"/>
        </w:rPr>
        <w:t>2</w:t>
      </w:r>
      <w:r>
        <w:rPr>
          <w:highlight w:val="none"/>
        </w:rPr>
        <w:t>人的质保期间支撑团队（其中技术经理</w:t>
      </w:r>
      <w:r>
        <w:rPr>
          <w:rFonts w:hint="eastAsia"/>
          <w:highlight w:val="none"/>
          <w:lang w:val="en-US" w:eastAsia="zh-CN"/>
        </w:rPr>
        <w:t>1</w:t>
      </w:r>
      <w:r>
        <w:rPr>
          <w:highlight w:val="none"/>
        </w:rPr>
        <w:t>人，技术工程师不少于</w:t>
      </w:r>
      <w:r>
        <w:rPr>
          <w:rFonts w:hint="eastAsia"/>
          <w:highlight w:val="none"/>
          <w:lang w:val="en-US" w:eastAsia="zh-CN"/>
        </w:rPr>
        <w:t>1</w:t>
      </w:r>
      <w:r>
        <w:rPr>
          <w:highlight w:val="none"/>
        </w:rPr>
        <w:t>人）；</w:t>
      </w:r>
      <w:r>
        <w:rPr>
          <w:rFonts w:hint="eastAsia"/>
          <w:highlight w:val="none"/>
          <w:lang w:eastAsia="zh-CN"/>
        </w:rPr>
        <w:t>响应供应商</w:t>
      </w:r>
      <w:r>
        <w:rPr>
          <w:highlight w:val="none"/>
        </w:rPr>
        <w:t>的相关服务人员需具备相应的服务能力，需提供相关证明（最近一个季度依法缴纳社保费的证明）。</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856"/>
        <w:gridCol w:w="1180"/>
        <w:gridCol w:w="1180"/>
        <w:gridCol w:w="1180"/>
      </w:tblGrid>
      <w:tr w14:paraId="4AA8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32B72EA">
            <w:pPr>
              <w:widowControl/>
              <w:spacing w:line="240" w:lineRule="auto"/>
              <w:ind w:firstLine="0" w:firstLineChars="0"/>
              <w:jc w:val="center"/>
              <w:rPr>
                <w:b/>
                <w:highlight w:val="none"/>
              </w:rPr>
            </w:pPr>
            <w:r>
              <w:rPr>
                <w:rFonts w:hint="eastAsia"/>
                <w:b/>
                <w:highlight w:val="none"/>
              </w:rPr>
              <w:t>角色</w:t>
            </w:r>
          </w:p>
        </w:tc>
        <w:tc>
          <w:tcPr>
            <w:tcW w:w="0" w:type="auto"/>
            <w:shd w:val="clear" w:color="auto" w:fill="auto"/>
            <w:noWrap/>
            <w:vAlign w:val="center"/>
          </w:tcPr>
          <w:p w14:paraId="00E633B6">
            <w:pPr>
              <w:widowControl/>
              <w:spacing w:line="240" w:lineRule="auto"/>
              <w:ind w:firstLine="0" w:firstLineChars="0"/>
              <w:jc w:val="center"/>
              <w:rPr>
                <w:b/>
                <w:highlight w:val="none"/>
              </w:rPr>
            </w:pPr>
            <w:r>
              <w:rPr>
                <w:rFonts w:hint="eastAsia"/>
                <w:b/>
                <w:highlight w:val="none"/>
              </w:rPr>
              <w:t>主要职责</w:t>
            </w:r>
          </w:p>
        </w:tc>
        <w:tc>
          <w:tcPr>
            <w:tcW w:w="0" w:type="auto"/>
            <w:shd w:val="clear" w:color="auto" w:fill="auto"/>
            <w:noWrap/>
            <w:vAlign w:val="center"/>
          </w:tcPr>
          <w:p w14:paraId="453B24FF">
            <w:pPr>
              <w:widowControl/>
              <w:spacing w:line="240" w:lineRule="auto"/>
              <w:ind w:firstLine="0" w:firstLineChars="0"/>
              <w:jc w:val="center"/>
              <w:rPr>
                <w:b/>
                <w:highlight w:val="none"/>
              </w:rPr>
            </w:pPr>
            <w:r>
              <w:rPr>
                <w:rFonts w:hint="eastAsia"/>
                <w:b/>
                <w:highlight w:val="none"/>
              </w:rPr>
              <w:t>人员数量</w:t>
            </w:r>
          </w:p>
        </w:tc>
        <w:tc>
          <w:tcPr>
            <w:tcW w:w="0" w:type="auto"/>
            <w:vAlign w:val="center"/>
          </w:tcPr>
          <w:p w14:paraId="32C4C591">
            <w:pPr>
              <w:widowControl/>
              <w:spacing w:line="240" w:lineRule="auto"/>
              <w:ind w:firstLine="0" w:firstLineChars="0"/>
              <w:jc w:val="center"/>
              <w:rPr>
                <w:b/>
                <w:highlight w:val="none"/>
              </w:rPr>
            </w:pPr>
            <w:r>
              <w:rPr>
                <w:rFonts w:hint="eastAsia"/>
                <w:b/>
                <w:highlight w:val="none"/>
              </w:rPr>
              <w:t>人员要求</w:t>
            </w:r>
          </w:p>
        </w:tc>
        <w:tc>
          <w:tcPr>
            <w:tcW w:w="0" w:type="auto"/>
            <w:shd w:val="clear" w:color="auto" w:fill="auto"/>
            <w:noWrap/>
            <w:vAlign w:val="center"/>
          </w:tcPr>
          <w:p w14:paraId="4595C930">
            <w:pPr>
              <w:widowControl/>
              <w:spacing w:line="240" w:lineRule="auto"/>
              <w:ind w:firstLine="0" w:firstLineChars="0"/>
              <w:jc w:val="center"/>
              <w:rPr>
                <w:b/>
                <w:highlight w:val="none"/>
              </w:rPr>
            </w:pPr>
            <w:r>
              <w:rPr>
                <w:rFonts w:hint="eastAsia"/>
                <w:b/>
                <w:highlight w:val="none"/>
              </w:rPr>
              <w:t>驻场要求</w:t>
            </w:r>
          </w:p>
        </w:tc>
      </w:tr>
      <w:tr w14:paraId="2476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0" w:type="auto"/>
            <w:shd w:val="clear" w:color="auto" w:fill="auto"/>
            <w:noWrap/>
            <w:vAlign w:val="center"/>
          </w:tcPr>
          <w:p w14:paraId="2D3F733C">
            <w:pPr>
              <w:widowControl/>
              <w:spacing w:line="240" w:lineRule="auto"/>
              <w:ind w:firstLine="0" w:firstLineChars="0"/>
              <w:jc w:val="center"/>
              <w:rPr>
                <w:highlight w:val="none"/>
              </w:rPr>
            </w:pPr>
            <w:r>
              <w:rPr>
                <w:rFonts w:hint="eastAsia"/>
                <w:highlight w:val="none"/>
                <w:lang w:val="en-US" w:eastAsia="zh-CN"/>
              </w:rPr>
              <w:t>技术</w:t>
            </w:r>
            <w:r>
              <w:rPr>
                <w:rFonts w:hint="eastAsia"/>
                <w:highlight w:val="none"/>
              </w:rPr>
              <w:t>经理</w:t>
            </w:r>
          </w:p>
        </w:tc>
        <w:tc>
          <w:tcPr>
            <w:tcW w:w="0" w:type="auto"/>
            <w:shd w:val="clear" w:color="auto" w:fill="auto"/>
            <w:vAlign w:val="center"/>
          </w:tcPr>
          <w:p w14:paraId="4B7E7F24">
            <w:pPr>
              <w:widowControl/>
              <w:spacing w:line="240" w:lineRule="auto"/>
              <w:ind w:firstLine="0" w:firstLineChars="0"/>
              <w:jc w:val="center"/>
              <w:rPr>
                <w:highlight w:val="none"/>
              </w:rPr>
            </w:pPr>
            <w:r>
              <w:rPr>
                <w:rFonts w:hint="eastAsia"/>
                <w:highlight w:val="none"/>
              </w:rPr>
              <w:t>负责项目质量和进度控制</w:t>
            </w:r>
          </w:p>
        </w:tc>
        <w:tc>
          <w:tcPr>
            <w:tcW w:w="0" w:type="auto"/>
            <w:shd w:val="clear" w:color="auto" w:fill="auto"/>
            <w:noWrap/>
            <w:vAlign w:val="center"/>
          </w:tcPr>
          <w:p w14:paraId="1F750781">
            <w:pPr>
              <w:widowControl/>
              <w:spacing w:line="240" w:lineRule="auto"/>
              <w:ind w:firstLine="0" w:firstLineChars="0"/>
              <w:jc w:val="center"/>
              <w:rPr>
                <w:highlight w:val="none"/>
              </w:rPr>
            </w:pPr>
            <w:r>
              <w:rPr>
                <w:rFonts w:hint="eastAsia"/>
                <w:highlight w:val="none"/>
                <w:lang w:val="en-US" w:eastAsia="zh-CN"/>
              </w:rPr>
              <w:t>1</w:t>
            </w:r>
            <w:r>
              <w:rPr>
                <w:rFonts w:hint="eastAsia"/>
                <w:highlight w:val="none"/>
              </w:rPr>
              <w:t>人</w:t>
            </w:r>
          </w:p>
        </w:tc>
        <w:tc>
          <w:tcPr>
            <w:tcW w:w="0" w:type="auto"/>
            <w:vAlign w:val="center"/>
          </w:tcPr>
          <w:p w14:paraId="621F1A4A">
            <w:pPr>
              <w:widowControl/>
              <w:spacing w:line="240" w:lineRule="auto"/>
              <w:ind w:firstLine="0" w:firstLineChars="0"/>
              <w:jc w:val="center"/>
              <w:rPr>
                <w:highlight w:val="none"/>
              </w:rPr>
            </w:pPr>
          </w:p>
        </w:tc>
        <w:tc>
          <w:tcPr>
            <w:tcW w:w="0" w:type="auto"/>
            <w:shd w:val="clear" w:color="auto" w:fill="auto"/>
            <w:noWrap/>
            <w:vAlign w:val="center"/>
          </w:tcPr>
          <w:p w14:paraId="7A2D0C67">
            <w:pPr>
              <w:widowControl/>
              <w:spacing w:line="240" w:lineRule="auto"/>
              <w:ind w:firstLine="0" w:firstLineChars="0"/>
              <w:jc w:val="center"/>
              <w:rPr>
                <w:highlight w:val="none"/>
              </w:rPr>
            </w:pPr>
            <w:r>
              <w:rPr>
                <w:rFonts w:hint="eastAsia"/>
                <w:highlight w:val="none"/>
              </w:rPr>
              <w:t>不驻场</w:t>
            </w:r>
          </w:p>
        </w:tc>
      </w:tr>
      <w:tr w14:paraId="6036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44BFBE23">
            <w:pPr>
              <w:widowControl/>
              <w:spacing w:line="240" w:lineRule="auto"/>
              <w:ind w:firstLine="0" w:firstLineChars="0"/>
              <w:jc w:val="center"/>
              <w:rPr>
                <w:highlight w:val="none"/>
              </w:rPr>
            </w:pPr>
            <w:r>
              <w:rPr>
                <w:rFonts w:hint="eastAsia"/>
                <w:highlight w:val="none"/>
              </w:rPr>
              <w:t>技术工程师</w:t>
            </w:r>
          </w:p>
        </w:tc>
        <w:tc>
          <w:tcPr>
            <w:tcW w:w="0" w:type="auto"/>
            <w:shd w:val="clear" w:color="auto" w:fill="auto"/>
            <w:noWrap/>
            <w:vAlign w:val="center"/>
          </w:tcPr>
          <w:p w14:paraId="0240AB12">
            <w:pPr>
              <w:widowControl/>
              <w:spacing w:line="240" w:lineRule="auto"/>
              <w:ind w:firstLine="0" w:firstLineChars="0"/>
              <w:jc w:val="center"/>
              <w:rPr>
                <w:highlight w:val="none"/>
              </w:rPr>
            </w:pPr>
            <w:r>
              <w:rPr>
                <w:rFonts w:hint="eastAsia"/>
                <w:highlight w:val="none"/>
              </w:rPr>
              <w:t>负责项目运行维护</w:t>
            </w:r>
          </w:p>
        </w:tc>
        <w:tc>
          <w:tcPr>
            <w:tcW w:w="0" w:type="auto"/>
            <w:shd w:val="clear" w:color="auto" w:fill="auto"/>
            <w:noWrap/>
            <w:vAlign w:val="center"/>
          </w:tcPr>
          <w:p w14:paraId="723B58CF">
            <w:pPr>
              <w:widowControl/>
              <w:spacing w:line="240" w:lineRule="auto"/>
              <w:ind w:firstLine="0" w:firstLineChars="0"/>
              <w:jc w:val="center"/>
              <w:rPr>
                <w:highlight w:val="none"/>
              </w:rPr>
            </w:pPr>
            <w:r>
              <w:rPr>
                <w:rFonts w:hint="eastAsia"/>
                <w:highlight w:val="none"/>
                <w:lang w:val="en-US" w:eastAsia="zh-CN"/>
              </w:rPr>
              <w:t>1</w:t>
            </w:r>
            <w:r>
              <w:rPr>
                <w:rFonts w:hint="eastAsia"/>
                <w:highlight w:val="none"/>
              </w:rPr>
              <w:t>人</w:t>
            </w:r>
          </w:p>
        </w:tc>
        <w:tc>
          <w:tcPr>
            <w:tcW w:w="0" w:type="auto"/>
            <w:vAlign w:val="center"/>
          </w:tcPr>
          <w:p w14:paraId="177705E4">
            <w:pPr>
              <w:widowControl/>
              <w:spacing w:line="240" w:lineRule="auto"/>
              <w:ind w:firstLine="0" w:firstLineChars="0"/>
              <w:jc w:val="center"/>
              <w:rPr>
                <w:highlight w:val="none"/>
              </w:rPr>
            </w:pPr>
          </w:p>
        </w:tc>
        <w:tc>
          <w:tcPr>
            <w:tcW w:w="0" w:type="auto"/>
            <w:shd w:val="clear" w:color="auto" w:fill="auto"/>
            <w:noWrap/>
            <w:vAlign w:val="center"/>
          </w:tcPr>
          <w:p w14:paraId="4546A0C7">
            <w:pPr>
              <w:widowControl/>
              <w:spacing w:line="240" w:lineRule="auto"/>
              <w:ind w:firstLine="0" w:firstLineChars="0"/>
              <w:jc w:val="center"/>
              <w:rPr>
                <w:highlight w:val="none"/>
              </w:rPr>
            </w:pPr>
            <w:r>
              <w:rPr>
                <w:rFonts w:hint="eastAsia"/>
                <w:highlight w:val="none"/>
              </w:rPr>
              <w:t>驻场</w:t>
            </w:r>
          </w:p>
        </w:tc>
      </w:tr>
    </w:tbl>
    <w:p w14:paraId="645E9877">
      <w:pPr>
        <w:pStyle w:val="3"/>
        <w:rPr>
          <w:highlight w:val="none"/>
        </w:rPr>
      </w:pPr>
      <w:bookmarkStart w:id="35" w:name="_Toc63785511"/>
      <w:r>
        <w:rPr>
          <w:highlight w:val="none"/>
        </w:rPr>
        <w:t>等级保护要求</w:t>
      </w:r>
      <w:bookmarkEnd w:id="35"/>
    </w:p>
    <w:p w14:paraId="55F12A2A">
      <w:pPr>
        <w:rPr>
          <w:rFonts w:cs="宋体"/>
          <w:highlight w:val="none"/>
        </w:rPr>
      </w:pPr>
      <w:r>
        <w:rPr>
          <w:rFonts w:hint="eastAsia" w:cs="宋体"/>
          <w:highlight w:val="none"/>
        </w:rPr>
        <w:t>本项目按照信息系统网络安全等级保护三级建设。</w:t>
      </w:r>
    </w:p>
    <w:p w14:paraId="42BEFE11">
      <w:pPr>
        <w:pStyle w:val="3"/>
        <w:rPr>
          <w:highlight w:val="none"/>
        </w:rPr>
      </w:pPr>
      <w:r>
        <w:rPr>
          <w:rFonts w:hint="eastAsia"/>
          <w:highlight w:val="none"/>
        </w:rPr>
        <w:t>商业密码应用需求</w:t>
      </w:r>
    </w:p>
    <w:p w14:paraId="24F03AFB">
      <w:pPr>
        <w:rPr>
          <w:highlight w:val="none"/>
        </w:rPr>
      </w:pPr>
      <w:bookmarkStart w:id="36" w:name="_Toc63785512"/>
      <w:r>
        <w:rPr>
          <w:rFonts w:hint="eastAsia"/>
          <w:highlight w:val="none"/>
        </w:rPr>
        <w:t>本项目应按照国家商用密码第三级的相关要求进行建设</w:t>
      </w:r>
      <w:r>
        <w:rPr>
          <w:rFonts w:hint="eastAsia" w:ascii="仿宋_GB2312" w:eastAsia="仿宋_GB2312" w:cs="仿宋_GB2312"/>
          <w:kern w:val="0"/>
          <w:sz w:val="28"/>
          <w:szCs w:val="28"/>
          <w:highlight w:val="none"/>
        </w:rPr>
        <w:t>。</w:t>
      </w:r>
    </w:p>
    <w:p w14:paraId="014394EB">
      <w:pPr>
        <w:pStyle w:val="3"/>
        <w:rPr>
          <w:highlight w:val="none"/>
        </w:rPr>
      </w:pPr>
      <w:r>
        <w:rPr>
          <w:rFonts w:hint="eastAsia"/>
          <w:highlight w:val="none"/>
        </w:rPr>
        <w:t>技术文件要求</w:t>
      </w:r>
    </w:p>
    <w:bookmarkEnd w:id="36"/>
    <w:p w14:paraId="17B6A84F">
      <w:pPr>
        <w:rPr>
          <w:highlight w:val="none"/>
        </w:rPr>
      </w:pPr>
      <w:r>
        <w:rPr>
          <w:rFonts w:hint="eastAsia"/>
          <w:highlight w:val="none"/>
          <w:lang w:eastAsia="zh-CN"/>
        </w:rPr>
        <w:t>响应供应商</w:t>
      </w:r>
      <w:r>
        <w:rPr>
          <w:rFonts w:hint="eastAsia"/>
          <w:highlight w:val="none"/>
        </w:rPr>
        <w:t>提供的书面技术资料应能确保系统正常运行所需的管理、运营及维护有关的全套文件。技术文件应该全面、完整、详细。</w:t>
      </w:r>
      <w:r>
        <w:rPr>
          <w:rFonts w:hint="eastAsia"/>
          <w:highlight w:val="none"/>
          <w:lang w:eastAsia="zh-CN"/>
        </w:rPr>
        <w:t>响应供应商</w:t>
      </w:r>
      <w:r>
        <w:rPr>
          <w:rFonts w:hint="eastAsia"/>
          <w:highlight w:val="none"/>
        </w:rPr>
        <w:t>提供的技术文件至少应包括：</w:t>
      </w:r>
    </w:p>
    <w:p w14:paraId="55639552">
      <w:pPr>
        <w:rPr>
          <w:highlight w:val="none"/>
        </w:rPr>
      </w:pPr>
      <w:r>
        <w:rPr>
          <w:rFonts w:hint="eastAsia"/>
          <w:highlight w:val="none"/>
        </w:rPr>
        <w:t>－</w:t>
      </w:r>
      <w:r>
        <w:rPr>
          <w:highlight w:val="none"/>
        </w:rPr>
        <w:t xml:space="preserve"> 系统说明文件； </w:t>
      </w:r>
    </w:p>
    <w:p w14:paraId="68645496">
      <w:pPr>
        <w:rPr>
          <w:highlight w:val="none"/>
        </w:rPr>
      </w:pPr>
      <w:r>
        <w:rPr>
          <w:rFonts w:hint="eastAsia"/>
          <w:highlight w:val="none"/>
        </w:rPr>
        <w:t>－</w:t>
      </w:r>
      <w:r>
        <w:rPr>
          <w:highlight w:val="none"/>
        </w:rPr>
        <w:t xml:space="preserve"> 技术手册(安装、测试、操作、维护、故障排除等)； </w:t>
      </w:r>
    </w:p>
    <w:p w14:paraId="6C0DEA9D">
      <w:pPr>
        <w:rPr>
          <w:highlight w:val="none"/>
        </w:rPr>
      </w:pPr>
      <w:r>
        <w:rPr>
          <w:rFonts w:hint="eastAsia"/>
          <w:highlight w:val="none"/>
        </w:rPr>
        <w:t>－</w:t>
      </w:r>
      <w:r>
        <w:rPr>
          <w:highlight w:val="none"/>
        </w:rPr>
        <w:t xml:space="preserve"> 项目文档，应该包括：</w:t>
      </w:r>
    </w:p>
    <w:p w14:paraId="6CEE66FE">
      <w:pPr>
        <w:ind w:firstLine="720" w:firstLineChars="300"/>
        <w:rPr>
          <w:rFonts w:hint="eastAsia"/>
          <w:highlight w:val="none"/>
          <w:lang w:val="en-US" w:eastAsia="zh-CN"/>
        </w:rPr>
      </w:pPr>
      <w:r>
        <w:rPr>
          <w:rFonts w:hint="eastAsia"/>
          <w:highlight w:val="none"/>
          <w:lang w:val="en-US" w:eastAsia="zh-CN"/>
        </w:rPr>
        <w:t>（1）软件需求说明书</w:t>
      </w:r>
    </w:p>
    <w:p w14:paraId="10F21616">
      <w:pPr>
        <w:ind w:firstLine="720" w:firstLineChars="300"/>
        <w:rPr>
          <w:rFonts w:hint="eastAsia"/>
          <w:highlight w:val="none"/>
          <w:lang w:val="en-US" w:eastAsia="zh-CN"/>
        </w:rPr>
      </w:pPr>
      <w:r>
        <w:rPr>
          <w:rFonts w:hint="eastAsia"/>
          <w:highlight w:val="none"/>
          <w:lang w:val="en-US" w:eastAsia="zh-CN"/>
        </w:rPr>
        <w:t>（2）系统总体设计说明书</w:t>
      </w:r>
    </w:p>
    <w:p w14:paraId="32460E8E">
      <w:pPr>
        <w:ind w:firstLine="720" w:firstLineChars="300"/>
        <w:rPr>
          <w:rFonts w:hint="eastAsia"/>
          <w:highlight w:val="none"/>
          <w:lang w:val="en-US" w:eastAsia="zh-CN"/>
        </w:rPr>
      </w:pPr>
      <w:r>
        <w:rPr>
          <w:rFonts w:hint="eastAsia"/>
          <w:highlight w:val="none"/>
          <w:lang w:val="en-US" w:eastAsia="zh-CN"/>
        </w:rPr>
        <w:t>（3）应用软件功能清单</w:t>
      </w:r>
    </w:p>
    <w:p w14:paraId="023D0C72">
      <w:pPr>
        <w:ind w:firstLine="720" w:firstLineChars="300"/>
        <w:rPr>
          <w:rFonts w:hint="eastAsia"/>
          <w:highlight w:val="none"/>
          <w:lang w:val="en-US" w:eastAsia="zh-CN"/>
        </w:rPr>
      </w:pPr>
      <w:r>
        <w:rPr>
          <w:rFonts w:hint="eastAsia"/>
          <w:highlight w:val="none"/>
          <w:lang w:val="en-US" w:eastAsia="zh-CN"/>
        </w:rPr>
        <w:t>（4）产品软件说明书</w:t>
      </w:r>
    </w:p>
    <w:p w14:paraId="44A918C8">
      <w:pPr>
        <w:rPr>
          <w:highlight w:val="none"/>
        </w:rPr>
      </w:pPr>
      <w:r>
        <w:rPr>
          <w:rFonts w:hint="eastAsia"/>
          <w:highlight w:val="none"/>
        </w:rPr>
        <w:t>－</w:t>
      </w:r>
      <w:r>
        <w:rPr>
          <w:rFonts w:hint="eastAsia"/>
          <w:highlight w:val="none"/>
          <w:lang w:eastAsia="zh-CN"/>
        </w:rPr>
        <w:t>采购</w:t>
      </w:r>
      <w:r>
        <w:rPr>
          <w:rFonts w:hint="eastAsia"/>
          <w:highlight w:val="none"/>
        </w:rPr>
        <w:t>人提出的其他项目验收文档。</w:t>
      </w:r>
    </w:p>
    <w:p w14:paraId="2628772A">
      <w:pPr>
        <w:rPr>
          <w:highlight w:val="none"/>
        </w:rPr>
      </w:pPr>
      <w:r>
        <w:rPr>
          <w:rFonts w:hint="eastAsia"/>
          <w:highlight w:val="none"/>
        </w:rPr>
        <w:t>根据</w:t>
      </w:r>
      <w:r>
        <w:rPr>
          <w:rFonts w:hint="eastAsia"/>
          <w:highlight w:val="none"/>
          <w:lang w:eastAsia="zh-CN"/>
        </w:rPr>
        <w:t>采购</w:t>
      </w:r>
      <w:r>
        <w:rPr>
          <w:rFonts w:hint="eastAsia"/>
          <w:highlight w:val="none"/>
        </w:rPr>
        <w:t>人项目验收要求，提供项目验收册纸质</w:t>
      </w:r>
      <w:r>
        <w:rPr>
          <w:rFonts w:hint="eastAsia"/>
          <w:highlight w:val="none"/>
          <w:lang w:val="en-US" w:eastAsia="zh-CN"/>
        </w:rPr>
        <w:t>3</w:t>
      </w:r>
      <w:r>
        <w:rPr>
          <w:rFonts w:hint="eastAsia"/>
          <w:highlight w:val="none"/>
        </w:rPr>
        <w:t>套以上，项目全过程材料</w:t>
      </w:r>
      <w:r>
        <w:rPr>
          <w:highlight w:val="none"/>
        </w:rPr>
        <w:t>1套以及电子文件2套</w:t>
      </w:r>
      <w:r>
        <w:rPr>
          <w:rFonts w:hint="eastAsia"/>
          <w:highlight w:val="none"/>
        </w:rPr>
        <w:t>，源代码光盘等</w:t>
      </w:r>
      <w:r>
        <w:rPr>
          <w:highlight w:val="none"/>
        </w:rPr>
        <w:t>。</w:t>
      </w:r>
    </w:p>
    <w:p w14:paraId="2D6160B1">
      <w:pPr>
        <w:pStyle w:val="3"/>
        <w:rPr>
          <w:rFonts w:hint="eastAsia"/>
          <w:highlight w:val="none"/>
          <w:lang w:val="en-US" w:eastAsia="zh-CN"/>
        </w:rPr>
      </w:pPr>
      <w:r>
        <w:rPr>
          <w:rFonts w:hint="eastAsia"/>
          <w:highlight w:val="none"/>
          <w:lang w:val="en-US" w:eastAsia="zh-CN"/>
        </w:rPr>
        <w:t>供应商综合实力</w:t>
      </w:r>
    </w:p>
    <w:p w14:paraId="3C315DDC">
      <w:pPr>
        <w:ind w:firstLine="480" w:firstLineChars="200"/>
        <w:rPr>
          <w:rFonts w:hint="default"/>
          <w:highlight w:val="none"/>
          <w:lang w:val="en-US" w:eastAsia="zh-CN"/>
        </w:rPr>
      </w:pPr>
      <w:r>
        <w:rPr>
          <w:rFonts w:hint="default"/>
          <w:highlight w:val="none"/>
          <w:lang w:val="en-US" w:eastAsia="zh-CN"/>
        </w:rPr>
        <w:t>供应商</w:t>
      </w:r>
      <w:r>
        <w:rPr>
          <w:rFonts w:hint="eastAsia"/>
          <w:highlight w:val="none"/>
          <w:lang w:val="en-US" w:eastAsia="zh-CN"/>
        </w:rPr>
        <w:t>需</w:t>
      </w:r>
      <w:r>
        <w:rPr>
          <w:rFonts w:hint="default"/>
          <w:highlight w:val="none"/>
          <w:lang w:val="en-US" w:eastAsia="zh-CN"/>
        </w:rPr>
        <w:t>提供有效期内的信息安全管理体系认ISO</w:t>
      </w:r>
      <w:bookmarkStart w:id="38" w:name="_GoBack"/>
      <w:r>
        <w:rPr>
          <w:rFonts w:hint="default"/>
          <w:highlight w:val="none"/>
          <w:lang w:val="en-US" w:eastAsia="zh-CN"/>
        </w:rPr>
        <w:t>27001</w:t>
      </w:r>
      <w:bookmarkEnd w:id="38"/>
      <w:r>
        <w:rPr>
          <w:rFonts w:hint="eastAsia"/>
          <w:highlight w:val="none"/>
          <w:lang w:val="en-US" w:eastAsia="zh-CN"/>
        </w:rPr>
        <w:t>证书</w:t>
      </w:r>
    </w:p>
    <w:p w14:paraId="75554C07">
      <w:pPr>
        <w:pStyle w:val="2"/>
        <w:rPr>
          <w:highlight w:val="none"/>
        </w:rPr>
      </w:pPr>
      <w:r>
        <w:rPr>
          <w:rFonts w:hint="eastAsia"/>
          <w:highlight w:val="none"/>
        </w:rPr>
        <w:t>供应商管理要求</w:t>
      </w:r>
    </w:p>
    <w:p w14:paraId="6452B16F">
      <w:pPr>
        <w:pStyle w:val="11"/>
        <w:ind w:firstLine="480"/>
        <w:rPr>
          <w:sz w:val="24"/>
          <w:szCs w:val="24"/>
          <w:highlight w:val="none"/>
        </w:rPr>
      </w:pPr>
      <w:r>
        <w:rPr>
          <w:rFonts w:hint="eastAsia"/>
          <w:sz w:val="24"/>
          <w:szCs w:val="24"/>
          <w:highlight w:val="none"/>
        </w:rPr>
        <w:t>1、在项目实施期间，</w:t>
      </w:r>
      <w:r>
        <w:rPr>
          <w:rFonts w:hint="eastAsia"/>
          <w:sz w:val="24"/>
          <w:szCs w:val="24"/>
          <w:highlight w:val="none"/>
          <w:lang w:eastAsia="zh-CN"/>
        </w:rPr>
        <w:t>成交供应商</w:t>
      </w:r>
      <w:r>
        <w:rPr>
          <w:rFonts w:hint="eastAsia"/>
          <w:sz w:val="24"/>
          <w:szCs w:val="24"/>
          <w:highlight w:val="none"/>
        </w:rPr>
        <w:t>应严格执行国家、地方、行业有关本项目业务管理和安全作业的法律、法规和制度并按规定承担相应的费用。</w:t>
      </w:r>
      <w:r>
        <w:rPr>
          <w:rFonts w:hint="eastAsia"/>
          <w:sz w:val="24"/>
          <w:szCs w:val="24"/>
          <w:highlight w:val="none"/>
          <w:lang w:eastAsia="zh-CN"/>
        </w:rPr>
        <w:t>成交供应商</w:t>
      </w:r>
      <w:r>
        <w:rPr>
          <w:rFonts w:hint="eastAsia"/>
          <w:sz w:val="24"/>
          <w:szCs w:val="24"/>
          <w:highlight w:val="none"/>
        </w:rPr>
        <w:t>因违反规定等原因造成的一切损失和责任由</w:t>
      </w:r>
      <w:r>
        <w:rPr>
          <w:rFonts w:hint="eastAsia"/>
          <w:sz w:val="24"/>
          <w:szCs w:val="24"/>
          <w:highlight w:val="none"/>
          <w:lang w:eastAsia="zh-CN"/>
        </w:rPr>
        <w:t>成交供应商</w:t>
      </w:r>
      <w:r>
        <w:rPr>
          <w:rFonts w:hint="eastAsia"/>
          <w:sz w:val="24"/>
          <w:szCs w:val="24"/>
          <w:highlight w:val="none"/>
        </w:rPr>
        <w:t>自行承担。</w:t>
      </w:r>
    </w:p>
    <w:p w14:paraId="536DEA21">
      <w:pPr>
        <w:pStyle w:val="11"/>
        <w:ind w:firstLine="480"/>
        <w:rPr>
          <w:sz w:val="24"/>
          <w:szCs w:val="24"/>
          <w:highlight w:val="none"/>
        </w:rPr>
      </w:pPr>
      <w:r>
        <w:rPr>
          <w:rFonts w:hint="eastAsia"/>
          <w:sz w:val="24"/>
          <w:szCs w:val="24"/>
          <w:highlight w:val="none"/>
        </w:rPr>
        <w:t>2、</w:t>
      </w:r>
      <w:r>
        <w:rPr>
          <w:rFonts w:hint="eastAsia"/>
          <w:sz w:val="24"/>
          <w:szCs w:val="24"/>
          <w:highlight w:val="none"/>
          <w:lang w:eastAsia="zh-CN"/>
        </w:rPr>
        <w:t>成交供应商</w:t>
      </w:r>
      <w:r>
        <w:rPr>
          <w:rFonts w:hint="eastAsia"/>
          <w:sz w:val="24"/>
          <w:szCs w:val="24"/>
          <w:highlight w:val="none"/>
        </w:rPr>
        <w:t>在标书中承诺并经</w:t>
      </w:r>
      <w:r>
        <w:rPr>
          <w:rFonts w:hint="eastAsia"/>
          <w:sz w:val="24"/>
          <w:szCs w:val="24"/>
          <w:highlight w:val="none"/>
          <w:lang w:eastAsia="zh-CN"/>
        </w:rPr>
        <w:t>采购</w:t>
      </w:r>
      <w:r>
        <w:rPr>
          <w:rFonts w:hint="eastAsia"/>
          <w:sz w:val="24"/>
          <w:szCs w:val="24"/>
          <w:highlight w:val="none"/>
        </w:rPr>
        <w:t>人认定的项目负责人及专业技术人员必须是本单位职工（在本单位缴纳社会保障金）和该项目实施现场的实际操作者，应具有类似本项目的实施经验，并应在软件应用调研、安装、试运行等期间常驻项目现场。未经采购人同意，</w:t>
      </w:r>
      <w:r>
        <w:rPr>
          <w:rFonts w:hint="eastAsia"/>
          <w:sz w:val="24"/>
          <w:szCs w:val="24"/>
          <w:highlight w:val="none"/>
          <w:lang w:eastAsia="zh-CN"/>
        </w:rPr>
        <w:t>成交供应商</w:t>
      </w:r>
      <w:r>
        <w:rPr>
          <w:rFonts w:hint="eastAsia"/>
          <w:sz w:val="24"/>
          <w:szCs w:val="24"/>
          <w:highlight w:val="none"/>
        </w:rPr>
        <w:t>不得调换或撤离上述人员。如采购人认为有必要，可要求</w:t>
      </w:r>
      <w:r>
        <w:rPr>
          <w:rFonts w:hint="eastAsia"/>
          <w:sz w:val="24"/>
          <w:szCs w:val="24"/>
          <w:highlight w:val="none"/>
          <w:lang w:eastAsia="zh-CN"/>
        </w:rPr>
        <w:t>成交供应商</w:t>
      </w:r>
      <w:r>
        <w:rPr>
          <w:rFonts w:hint="eastAsia"/>
          <w:sz w:val="24"/>
          <w:szCs w:val="24"/>
          <w:highlight w:val="none"/>
        </w:rPr>
        <w:t>对上述人员中的部分人员作出更好的调整。</w:t>
      </w:r>
    </w:p>
    <w:p w14:paraId="3ABBE907">
      <w:pPr>
        <w:pStyle w:val="11"/>
        <w:ind w:firstLine="480"/>
        <w:rPr>
          <w:sz w:val="24"/>
          <w:szCs w:val="24"/>
          <w:highlight w:val="none"/>
        </w:rPr>
      </w:pPr>
      <w:r>
        <w:rPr>
          <w:rFonts w:hint="eastAsia"/>
          <w:sz w:val="24"/>
          <w:szCs w:val="24"/>
          <w:highlight w:val="none"/>
        </w:rPr>
        <w:t>3、</w:t>
      </w:r>
      <w:r>
        <w:rPr>
          <w:rFonts w:hint="eastAsia"/>
          <w:sz w:val="24"/>
          <w:szCs w:val="24"/>
          <w:highlight w:val="none"/>
          <w:lang w:eastAsia="zh-CN"/>
        </w:rPr>
        <w:t>成交供应商</w:t>
      </w:r>
      <w:r>
        <w:rPr>
          <w:rFonts w:hint="eastAsia"/>
          <w:sz w:val="24"/>
          <w:szCs w:val="24"/>
          <w:highlight w:val="none"/>
        </w:rPr>
        <w:t>在项目实施期间，应按项目实际进度与环节落实所对应项目整体及各环节管理工作，按照规范做好项目实施期间相关管理与实施记录。</w:t>
      </w:r>
    </w:p>
    <w:p w14:paraId="55E780BE">
      <w:pPr>
        <w:pStyle w:val="11"/>
        <w:ind w:firstLine="480"/>
        <w:rPr>
          <w:sz w:val="24"/>
          <w:szCs w:val="24"/>
          <w:highlight w:val="none"/>
        </w:rPr>
      </w:pPr>
      <w:r>
        <w:rPr>
          <w:rFonts w:hint="eastAsia"/>
          <w:sz w:val="24"/>
          <w:szCs w:val="24"/>
          <w:highlight w:val="none"/>
        </w:rPr>
        <w:t>4、参与本项目的工作人员应严格遵循采购人的安全制度，保障采购人资料和设备的安全。如需进入采购人机房工作，只能在采购人规定的工作区域内对项目涉及的设备进行操作，严禁触动与项目无关的任何设备（包括任何操作行为），如需跨区操作必须得到采购人项目联系人确认。</w:t>
      </w:r>
    </w:p>
    <w:p w14:paraId="2D42D2A4">
      <w:pPr>
        <w:pStyle w:val="11"/>
        <w:ind w:firstLine="480"/>
        <w:rPr>
          <w:sz w:val="24"/>
          <w:szCs w:val="24"/>
          <w:highlight w:val="none"/>
        </w:rPr>
      </w:pPr>
      <w:r>
        <w:rPr>
          <w:rFonts w:hint="eastAsia"/>
          <w:sz w:val="24"/>
          <w:szCs w:val="24"/>
          <w:highlight w:val="none"/>
        </w:rPr>
        <w:t>5、</w:t>
      </w:r>
      <w:r>
        <w:rPr>
          <w:rFonts w:hint="eastAsia"/>
          <w:sz w:val="24"/>
          <w:szCs w:val="24"/>
          <w:highlight w:val="none"/>
          <w:lang w:eastAsia="zh-CN"/>
        </w:rPr>
        <w:t>成交供应商</w:t>
      </w:r>
      <w:r>
        <w:rPr>
          <w:rFonts w:hint="eastAsia"/>
          <w:sz w:val="24"/>
          <w:szCs w:val="24"/>
          <w:highlight w:val="none"/>
        </w:rPr>
        <w:t>在项目实施期间必须遵守采购人的规章制度并提供实施人员名单。</w:t>
      </w:r>
    </w:p>
    <w:p w14:paraId="77979A58">
      <w:pPr>
        <w:pStyle w:val="11"/>
        <w:ind w:firstLine="480"/>
        <w:rPr>
          <w:sz w:val="24"/>
          <w:szCs w:val="24"/>
          <w:highlight w:val="none"/>
        </w:rPr>
      </w:pPr>
      <w:r>
        <w:rPr>
          <w:rFonts w:hint="eastAsia"/>
          <w:sz w:val="24"/>
          <w:szCs w:val="24"/>
          <w:highlight w:val="none"/>
        </w:rPr>
        <w:t>6、各</w:t>
      </w:r>
      <w:r>
        <w:rPr>
          <w:rFonts w:hint="eastAsia"/>
          <w:sz w:val="24"/>
          <w:szCs w:val="24"/>
          <w:highlight w:val="none"/>
          <w:lang w:eastAsia="zh-CN"/>
        </w:rPr>
        <w:t>响应供应商</w:t>
      </w:r>
      <w:r>
        <w:rPr>
          <w:rFonts w:hint="eastAsia"/>
          <w:sz w:val="24"/>
          <w:szCs w:val="24"/>
          <w:highlight w:val="none"/>
        </w:rPr>
        <w:t>在</w:t>
      </w:r>
      <w:r>
        <w:rPr>
          <w:rFonts w:hint="eastAsia"/>
          <w:sz w:val="24"/>
          <w:szCs w:val="24"/>
          <w:highlight w:val="none"/>
          <w:lang w:eastAsia="zh-CN"/>
        </w:rPr>
        <w:t>响应</w:t>
      </w:r>
      <w:r>
        <w:rPr>
          <w:rFonts w:hint="eastAsia"/>
          <w:sz w:val="24"/>
          <w:szCs w:val="24"/>
          <w:highlight w:val="none"/>
        </w:rPr>
        <w:t>文件中要结合本项目的特点和采购人上述的具体要求制定相应的管理措施，并在报价中列支相应的费用清单，</w:t>
      </w:r>
      <w:r>
        <w:rPr>
          <w:rFonts w:hint="eastAsia"/>
          <w:sz w:val="24"/>
          <w:szCs w:val="24"/>
          <w:highlight w:val="none"/>
          <w:lang w:eastAsia="zh-CN"/>
        </w:rPr>
        <w:t>响应供应商</w:t>
      </w:r>
      <w:r>
        <w:rPr>
          <w:rFonts w:hint="eastAsia"/>
          <w:sz w:val="24"/>
          <w:szCs w:val="24"/>
          <w:highlight w:val="none"/>
        </w:rPr>
        <w:t>报价中未列支上述费用清单的，上述费用视为已包含在</w:t>
      </w:r>
      <w:r>
        <w:rPr>
          <w:rFonts w:hint="eastAsia"/>
          <w:sz w:val="24"/>
          <w:szCs w:val="24"/>
          <w:highlight w:val="none"/>
          <w:lang w:eastAsia="zh-CN"/>
        </w:rPr>
        <w:t>响应供应商</w:t>
      </w:r>
      <w:r>
        <w:rPr>
          <w:rFonts w:hint="eastAsia"/>
          <w:sz w:val="24"/>
          <w:szCs w:val="24"/>
          <w:highlight w:val="none"/>
        </w:rPr>
        <w:t>的总报价中。</w:t>
      </w:r>
    </w:p>
    <w:p w14:paraId="0E0907BA">
      <w:pPr>
        <w:pStyle w:val="11"/>
        <w:ind w:firstLine="480"/>
        <w:rPr>
          <w:highlight w:val="none"/>
        </w:rPr>
      </w:pPr>
      <w:r>
        <w:rPr>
          <w:rFonts w:hint="eastAsia"/>
          <w:sz w:val="24"/>
          <w:szCs w:val="24"/>
          <w:highlight w:val="none"/>
        </w:rPr>
        <w:t>7、本项目软件开发及调试将纳入采购人的管理范围，</w:t>
      </w:r>
      <w:r>
        <w:rPr>
          <w:rFonts w:hint="eastAsia"/>
          <w:sz w:val="24"/>
          <w:szCs w:val="24"/>
          <w:highlight w:val="none"/>
          <w:lang w:eastAsia="zh-CN"/>
        </w:rPr>
        <w:t>成交供应商</w:t>
      </w:r>
      <w:r>
        <w:rPr>
          <w:rFonts w:hint="eastAsia"/>
          <w:sz w:val="24"/>
          <w:szCs w:val="24"/>
          <w:highlight w:val="none"/>
        </w:rPr>
        <w:t>在此过程中须服从上述单位的管理协调。</w:t>
      </w:r>
    </w:p>
    <w:p w14:paraId="0B7A1176">
      <w:pPr>
        <w:pStyle w:val="2"/>
        <w:rPr>
          <w:highlight w:val="none"/>
        </w:rPr>
      </w:pPr>
      <w:r>
        <w:rPr>
          <w:rFonts w:hint="eastAsia"/>
          <w:highlight w:val="none"/>
        </w:rPr>
        <w:t>关于转让和分包的规定</w:t>
      </w:r>
    </w:p>
    <w:p w14:paraId="64FC99C2">
      <w:pPr>
        <w:spacing w:line="560" w:lineRule="exact"/>
        <w:rPr>
          <w:rFonts w:ascii="Times New Roman" w:hAnsi="仿宋" w:eastAsia="仿宋_GB2312"/>
          <w:b/>
          <w:sz w:val="28"/>
          <w:szCs w:val="28"/>
          <w:highlight w:val="none"/>
        </w:rPr>
      </w:pPr>
      <w:r>
        <w:rPr>
          <w:rFonts w:hint="eastAsia" w:cs="宋体"/>
          <w:highlight w:val="none"/>
        </w:rPr>
        <w:t>本项目不得转让，不得分包。</w:t>
      </w:r>
    </w:p>
    <w:p w14:paraId="49A382AA">
      <w:pPr>
        <w:pStyle w:val="2"/>
        <w:rPr>
          <w:highlight w:val="none"/>
        </w:rPr>
      </w:pPr>
      <w:r>
        <w:rPr>
          <w:rFonts w:hint="eastAsia"/>
          <w:highlight w:val="none"/>
        </w:rPr>
        <w:t>知识产权及保密要求</w:t>
      </w:r>
    </w:p>
    <w:p w14:paraId="20D88FC6">
      <w:pPr>
        <w:ind w:firstLine="489"/>
        <w:rPr>
          <w:b/>
          <w:highlight w:val="none"/>
        </w:rPr>
      </w:pPr>
      <w:r>
        <w:rPr>
          <w:b/>
          <w:highlight w:val="none"/>
        </w:rPr>
        <w:t>1、</w:t>
      </w:r>
      <w:r>
        <w:rPr>
          <w:rFonts w:hint="eastAsia"/>
          <w:b/>
          <w:highlight w:val="none"/>
          <w:lang w:eastAsia="zh-CN"/>
        </w:rPr>
        <w:t>成交供应商</w:t>
      </w:r>
      <w:r>
        <w:rPr>
          <w:b/>
          <w:highlight w:val="none"/>
        </w:rPr>
        <w:t>数据、文件、资料知识产权</w:t>
      </w:r>
    </w:p>
    <w:p w14:paraId="2F105481">
      <w:pPr>
        <w:rPr>
          <w:highlight w:val="none"/>
        </w:rPr>
      </w:pPr>
      <w:r>
        <w:rPr>
          <w:rFonts w:hint="eastAsia"/>
          <w:highlight w:val="none"/>
          <w:lang w:eastAsia="zh-CN"/>
        </w:rPr>
        <w:t>成交供应商</w:t>
      </w:r>
      <w:r>
        <w:rPr>
          <w:rFonts w:hint="eastAsia"/>
          <w:highlight w:val="none"/>
        </w:rPr>
        <w:t>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w:t>
      </w:r>
      <w:r>
        <w:rPr>
          <w:rFonts w:hint="eastAsia"/>
          <w:highlight w:val="none"/>
          <w:lang w:eastAsia="zh-CN"/>
        </w:rPr>
        <w:t>成交供应商</w:t>
      </w:r>
      <w:r>
        <w:rPr>
          <w:rFonts w:hint="eastAsia"/>
          <w:highlight w:val="none"/>
        </w:rPr>
        <w:t>应负责与第三方解决纠纷，若因此导致采购人损失的，采购人有权要求</w:t>
      </w:r>
      <w:r>
        <w:rPr>
          <w:rFonts w:hint="eastAsia"/>
          <w:highlight w:val="none"/>
          <w:lang w:eastAsia="zh-CN"/>
        </w:rPr>
        <w:t>成交供应商</w:t>
      </w:r>
      <w:r>
        <w:rPr>
          <w:rFonts w:hint="eastAsia"/>
          <w:highlight w:val="none"/>
        </w:rPr>
        <w:t>赔偿采购人因此遭受的全部损失，包括但不限于直接损失、间接损失、诉讼费／仲裁费、律师费、公证费、鉴定费等。</w:t>
      </w:r>
    </w:p>
    <w:p w14:paraId="2086ADD6">
      <w:pPr>
        <w:rPr>
          <w:highlight w:val="none"/>
        </w:rPr>
      </w:pPr>
      <w:r>
        <w:rPr>
          <w:rFonts w:hint="eastAsia"/>
          <w:highlight w:val="none"/>
          <w:lang w:eastAsia="zh-CN"/>
        </w:rPr>
        <w:t>成交供应商</w:t>
      </w:r>
      <w:r>
        <w:rPr>
          <w:rFonts w:hint="eastAsia"/>
          <w:highlight w:val="none"/>
        </w:rPr>
        <w:t>因履行本项目而产生的所有成果的知识产权等权利均归采购人所有，</w:t>
      </w:r>
      <w:r>
        <w:rPr>
          <w:rFonts w:hint="eastAsia"/>
          <w:highlight w:val="none"/>
          <w:lang w:eastAsia="zh-CN"/>
        </w:rPr>
        <w:t>成交供应商</w:t>
      </w:r>
      <w:r>
        <w:rPr>
          <w:rFonts w:hint="eastAsia"/>
          <w:highlight w:val="none"/>
        </w:rPr>
        <w:t>应配合采购人进行相关权利登记或申请。未经采购人书面同意，</w:t>
      </w:r>
      <w:r>
        <w:rPr>
          <w:rFonts w:hint="eastAsia"/>
          <w:highlight w:val="none"/>
          <w:lang w:eastAsia="zh-CN"/>
        </w:rPr>
        <w:t>成交供应商</w:t>
      </w:r>
      <w:r>
        <w:rPr>
          <w:rFonts w:hint="eastAsia"/>
          <w:highlight w:val="none"/>
        </w:rPr>
        <w:t>不得以任何形式使用或许可他人使用本项目成果的相关内容，不得擅自对外公开发表或向任何第三方透露。</w:t>
      </w:r>
    </w:p>
    <w:p w14:paraId="69C79D77">
      <w:pPr>
        <w:rPr>
          <w:highlight w:val="none"/>
        </w:rPr>
      </w:pPr>
      <w:r>
        <w:rPr>
          <w:rFonts w:hint="eastAsia"/>
          <w:highlight w:val="none"/>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29F0DD4F">
      <w:pPr>
        <w:ind w:firstLine="489"/>
        <w:rPr>
          <w:b/>
          <w:highlight w:val="none"/>
        </w:rPr>
      </w:pPr>
      <w:r>
        <w:rPr>
          <w:b/>
          <w:highlight w:val="none"/>
        </w:rPr>
        <w:t>2、项目保密要求</w:t>
      </w:r>
    </w:p>
    <w:p w14:paraId="1866FBF0">
      <w:pPr>
        <w:rPr>
          <w:highlight w:val="none"/>
        </w:rPr>
      </w:pPr>
      <w:r>
        <w:rPr>
          <w:rFonts w:hint="eastAsia"/>
          <w:highlight w:val="none"/>
          <w:lang w:eastAsia="zh-CN"/>
        </w:rPr>
        <w:t>成交供应商</w:t>
      </w:r>
      <w:r>
        <w:rPr>
          <w:rFonts w:hint="eastAsia"/>
          <w:highlight w:val="none"/>
        </w:rPr>
        <w:t>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w:t>
      </w:r>
      <w:r>
        <w:rPr>
          <w:rFonts w:hint="eastAsia"/>
          <w:highlight w:val="none"/>
          <w:lang w:eastAsia="zh-CN"/>
        </w:rPr>
        <w:t>成交供应商</w:t>
      </w:r>
      <w:r>
        <w:rPr>
          <w:rFonts w:hint="eastAsia"/>
          <w:highlight w:val="none"/>
        </w:rPr>
        <w:t>不得对外泄露采购人要求保密的信息，不得用于其他用途，否则</w:t>
      </w:r>
      <w:r>
        <w:rPr>
          <w:rFonts w:hint="eastAsia"/>
          <w:highlight w:val="none"/>
          <w:lang w:eastAsia="zh-CN"/>
        </w:rPr>
        <w:t>成交供应商</w:t>
      </w:r>
      <w:r>
        <w:rPr>
          <w:rFonts w:hint="eastAsia"/>
          <w:highlight w:val="none"/>
        </w:rPr>
        <w:t>需承担由此引起的法律责任和经济责任，包括但不限于直接损失、间接损失、律师费、诉讼费/仲裁费、调查费、公证费等。</w:t>
      </w:r>
    </w:p>
    <w:p w14:paraId="41DBF0AB">
      <w:pPr>
        <w:rPr>
          <w:highlight w:val="none"/>
        </w:rPr>
      </w:pPr>
      <w:r>
        <w:rPr>
          <w:rFonts w:hint="eastAsia"/>
          <w:highlight w:val="none"/>
          <w:lang w:eastAsia="zh-CN"/>
        </w:rPr>
        <w:t>成交供应商</w:t>
      </w:r>
      <w:r>
        <w:rPr>
          <w:rFonts w:hint="eastAsia"/>
          <w:highlight w:val="none"/>
        </w:rPr>
        <w:t>应采取必要的有效措施保证其参与本项目的人员（包括</w:t>
      </w:r>
      <w:r>
        <w:rPr>
          <w:rFonts w:hint="eastAsia"/>
          <w:highlight w:val="none"/>
          <w:lang w:eastAsia="zh-CN"/>
        </w:rPr>
        <w:t>成交供应商</w:t>
      </w:r>
      <w:r>
        <w:rPr>
          <w:rFonts w:hint="eastAsia"/>
          <w:highlight w:val="none"/>
        </w:rPr>
        <w:t>聘用的人员、借调的人员、实习的人员）无论是在职或离职后，以及</w:t>
      </w:r>
      <w:r>
        <w:rPr>
          <w:rFonts w:hint="eastAsia"/>
          <w:highlight w:val="none"/>
          <w:lang w:eastAsia="zh-CN"/>
        </w:rPr>
        <w:t>成交供应商</w:t>
      </w:r>
      <w:r>
        <w:rPr>
          <w:rFonts w:hint="eastAsia"/>
          <w:highlight w:val="none"/>
        </w:rPr>
        <w:t>的合作方无论是合作中或合作终止后，都能够履行本项目约定的保密义务。若</w:t>
      </w:r>
      <w:r>
        <w:rPr>
          <w:rFonts w:hint="eastAsia"/>
          <w:highlight w:val="none"/>
          <w:lang w:eastAsia="zh-CN"/>
        </w:rPr>
        <w:t>成交供应商</w:t>
      </w:r>
      <w:r>
        <w:rPr>
          <w:rFonts w:hint="eastAsia"/>
          <w:highlight w:val="none"/>
        </w:rPr>
        <w:t>人员或</w:t>
      </w:r>
      <w:r>
        <w:rPr>
          <w:rFonts w:hint="eastAsia"/>
          <w:highlight w:val="none"/>
          <w:lang w:eastAsia="zh-CN"/>
        </w:rPr>
        <w:t>成交供应商</w:t>
      </w:r>
      <w:r>
        <w:rPr>
          <w:rFonts w:hint="eastAsia"/>
          <w:highlight w:val="none"/>
        </w:rPr>
        <w:t>合作方违反保密规定，</w:t>
      </w:r>
      <w:r>
        <w:rPr>
          <w:rFonts w:hint="eastAsia"/>
          <w:highlight w:val="none"/>
          <w:lang w:eastAsia="zh-CN"/>
        </w:rPr>
        <w:t>成交供应商</w:t>
      </w:r>
      <w:r>
        <w:rPr>
          <w:rFonts w:hint="eastAsia"/>
          <w:highlight w:val="none"/>
        </w:rPr>
        <w:t>应承担连带责任。</w:t>
      </w:r>
    </w:p>
    <w:p w14:paraId="2DAC98BA">
      <w:pPr>
        <w:rPr>
          <w:highlight w:val="none"/>
        </w:rPr>
      </w:pPr>
      <w:r>
        <w:rPr>
          <w:rFonts w:hint="eastAsia"/>
          <w:highlight w:val="none"/>
          <w:lang w:eastAsia="zh-CN"/>
        </w:rPr>
        <w:t>成交供应商</w:t>
      </w:r>
      <w:r>
        <w:rPr>
          <w:rFonts w:hint="eastAsia"/>
          <w:highlight w:val="none"/>
        </w:rPr>
        <w:t>（含</w:t>
      </w:r>
      <w:r>
        <w:rPr>
          <w:rFonts w:hint="eastAsia"/>
          <w:highlight w:val="none"/>
          <w:lang w:eastAsia="zh-CN"/>
        </w:rPr>
        <w:t>成交供应商</w:t>
      </w:r>
      <w:r>
        <w:rPr>
          <w:rFonts w:hint="eastAsia"/>
          <w:highlight w:val="none"/>
        </w:rPr>
        <w:t>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516BF1C9">
      <w:pPr>
        <w:rPr>
          <w:highlight w:val="none"/>
        </w:rPr>
      </w:pPr>
      <w:r>
        <w:rPr>
          <w:rFonts w:hint="eastAsia"/>
          <w:highlight w:val="none"/>
        </w:rPr>
        <w:t>以上内容的保密期限自</w:t>
      </w:r>
      <w:r>
        <w:rPr>
          <w:rFonts w:hint="eastAsia"/>
          <w:highlight w:val="none"/>
          <w:lang w:eastAsia="zh-CN"/>
        </w:rPr>
        <w:t>成交供应商</w:t>
      </w:r>
      <w:r>
        <w:rPr>
          <w:rFonts w:hint="eastAsia"/>
          <w:highlight w:val="none"/>
        </w:rPr>
        <w:t>知悉保密信息起始至保密信息被合法公开之日止。</w:t>
      </w:r>
    </w:p>
    <w:p w14:paraId="35277A2C">
      <w:pPr>
        <w:ind w:firstLine="489"/>
        <w:rPr>
          <w:b/>
          <w:highlight w:val="none"/>
        </w:rPr>
      </w:pPr>
      <w:r>
        <w:rPr>
          <w:b/>
          <w:highlight w:val="none"/>
        </w:rPr>
        <w:t>3、临时账号等使用要求</w:t>
      </w:r>
    </w:p>
    <w:p w14:paraId="4686AEC5">
      <w:pPr>
        <w:rPr>
          <w:highlight w:val="none"/>
        </w:rPr>
      </w:pPr>
      <w:r>
        <w:rPr>
          <w:rFonts w:hint="eastAsia"/>
          <w:highlight w:val="none"/>
          <w:lang w:eastAsia="zh-CN"/>
        </w:rPr>
        <w:t>成交供应商</w:t>
      </w:r>
      <w:r>
        <w:rPr>
          <w:rFonts w:hint="eastAsia"/>
          <w:highlight w:val="none"/>
        </w:rPr>
        <w:t>对采购人提拱的临时使用账号要保密，不得公开，对组件开发的账号密码需进行加密，避免信息安全的泄露。</w:t>
      </w:r>
      <w:r>
        <w:rPr>
          <w:rFonts w:hint="eastAsia"/>
          <w:highlight w:val="none"/>
          <w:lang w:eastAsia="zh-CN"/>
        </w:rPr>
        <w:t>成交供应商</w:t>
      </w:r>
      <w:r>
        <w:rPr>
          <w:rFonts w:hint="eastAsia"/>
          <w:highlight w:val="none"/>
        </w:rPr>
        <w:t>在项目建设期间应做好系统特权账号的管理和使用记录。未经采购人的同意不得利用采购人的网络及平台进行短信、彩信、微信发送</w:t>
      </w:r>
      <w:r>
        <w:rPr>
          <w:highlight w:val="none"/>
        </w:rPr>
        <w:t>,造成的一切后果由</w:t>
      </w:r>
      <w:r>
        <w:rPr>
          <w:rFonts w:hint="eastAsia"/>
          <w:highlight w:val="none"/>
          <w:lang w:eastAsia="zh-CN"/>
        </w:rPr>
        <w:t>成交供应商</w:t>
      </w:r>
      <w:r>
        <w:rPr>
          <w:highlight w:val="none"/>
        </w:rPr>
        <w:t>负责。</w:t>
      </w:r>
    </w:p>
    <w:p w14:paraId="37EB8BAA">
      <w:pPr>
        <w:pStyle w:val="2"/>
        <w:rPr>
          <w:highlight w:val="none"/>
        </w:rPr>
      </w:pPr>
      <w:r>
        <w:rPr>
          <w:highlight w:val="none"/>
        </w:rPr>
        <w:t>项目的变更、解除和终止</w:t>
      </w:r>
    </w:p>
    <w:p w14:paraId="6259D944">
      <w:pPr>
        <w:rPr>
          <w:highlight w:val="none"/>
        </w:rPr>
      </w:pPr>
      <w:r>
        <w:rPr>
          <w:rFonts w:hint="eastAsia"/>
          <w:highlight w:val="none"/>
        </w:rPr>
        <w:t>如果</w:t>
      </w:r>
      <w:r>
        <w:rPr>
          <w:rFonts w:hint="eastAsia"/>
          <w:highlight w:val="none"/>
          <w:lang w:eastAsia="zh-CN"/>
        </w:rPr>
        <w:t>成交供应商</w:t>
      </w:r>
      <w:r>
        <w:rPr>
          <w:rFonts w:hint="eastAsia"/>
          <w:highlight w:val="none"/>
        </w:rPr>
        <w:t>丧失履约能力、发生资不抵债或进入破产程序，采购人可在任何时候以书面形式通知</w:t>
      </w:r>
      <w:r>
        <w:rPr>
          <w:rFonts w:hint="eastAsia"/>
          <w:highlight w:val="none"/>
          <w:lang w:eastAsia="zh-CN"/>
        </w:rPr>
        <w:t>成交供应商</w:t>
      </w:r>
      <w:r>
        <w:rPr>
          <w:rFonts w:hint="eastAsia"/>
          <w:highlight w:val="none"/>
        </w:rPr>
        <w:t>终止本项目的执行而不给予</w:t>
      </w:r>
      <w:r>
        <w:rPr>
          <w:rFonts w:hint="eastAsia"/>
          <w:highlight w:val="none"/>
          <w:lang w:eastAsia="zh-CN"/>
        </w:rPr>
        <w:t>成交供应商</w:t>
      </w:r>
      <w:r>
        <w:rPr>
          <w:rFonts w:hint="eastAsia"/>
          <w:highlight w:val="none"/>
        </w:rPr>
        <w:t>补偿。该终止本项目将不损害或影响采购人已经采取或将要采取任何行动或补救措施的权利。</w:t>
      </w:r>
    </w:p>
    <w:p w14:paraId="2BF0DDBF">
      <w:pPr>
        <w:rPr>
          <w:highlight w:val="none"/>
        </w:rPr>
      </w:pPr>
      <w:r>
        <w:rPr>
          <w:rFonts w:hint="eastAsia"/>
          <w:highlight w:val="none"/>
        </w:rPr>
        <w:t>如遇国家、行业管理部门等机构的有关标准和规定调整的，导致本项目内容须做相应调整时，双方应按照公平、合理的原则共同协商修改本项目对应的合同的相关条款。</w:t>
      </w:r>
    </w:p>
    <w:p w14:paraId="5277AC45">
      <w:pPr>
        <w:pStyle w:val="2"/>
        <w:rPr>
          <w:highlight w:val="none"/>
        </w:rPr>
      </w:pPr>
      <w:r>
        <w:rPr>
          <w:rFonts w:hint="eastAsia"/>
          <w:highlight w:val="none"/>
        </w:rPr>
        <w:t>违约责任</w:t>
      </w:r>
    </w:p>
    <w:p w14:paraId="5418C2A2">
      <w:pPr>
        <w:rPr>
          <w:highlight w:val="none"/>
        </w:rPr>
      </w:pPr>
      <w:r>
        <w:rPr>
          <w:highlight w:val="none"/>
        </w:rPr>
        <w:t>1、如</w:t>
      </w:r>
      <w:r>
        <w:rPr>
          <w:rFonts w:hint="eastAsia"/>
          <w:highlight w:val="none"/>
          <w:lang w:eastAsia="zh-CN"/>
        </w:rPr>
        <w:t>成交供应商</w:t>
      </w:r>
      <w:r>
        <w:rPr>
          <w:highlight w:val="none"/>
        </w:rPr>
        <w:t>未按约定的时间或服务标准完成建设工作，采购人可要求</w:t>
      </w:r>
      <w:r>
        <w:rPr>
          <w:rFonts w:hint="eastAsia"/>
          <w:highlight w:val="none"/>
          <w:lang w:eastAsia="zh-CN"/>
        </w:rPr>
        <w:t>成交供应商</w:t>
      </w:r>
      <w:r>
        <w:rPr>
          <w:highlight w:val="none"/>
        </w:rPr>
        <w:t>在规定的时间内采取补救措施。</w:t>
      </w:r>
      <w:r>
        <w:rPr>
          <w:rFonts w:hint="eastAsia"/>
          <w:highlight w:val="none"/>
          <w:lang w:eastAsia="zh-CN"/>
        </w:rPr>
        <w:t>成交供应商</w:t>
      </w:r>
      <w:r>
        <w:rPr>
          <w:highlight w:val="none"/>
        </w:rPr>
        <w:t>还应向采购人支付本项目费用总额30%的违约金，违约金不足以弥补采购人损失的，采购人有权要求</w:t>
      </w:r>
      <w:r>
        <w:rPr>
          <w:rFonts w:hint="eastAsia"/>
          <w:highlight w:val="none"/>
          <w:lang w:eastAsia="zh-CN"/>
        </w:rPr>
        <w:t>成交供应商</w:t>
      </w:r>
      <w:r>
        <w:rPr>
          <w:highlight w:val="none"/>
        </w:rPr>
        <w:t>赔偿超过部分。</w:t>
      </w:r>
    </w:p>
    <w:p w14:paraId="54EFAC73">
      <w:pPr>
        <w:rPr>
          <w:highlight w:val="none"/>
        </w:rPr>
      </w:pPr>
      <w:r>
        <w:rPr>
          <w:highlight w:val="none"/>
        </w:rPr>
        <w:t>2、因</w:t>
      </w:r>
      <w:r>
        <w:rPr>
          <w:rFonts w:hint="eastAsia"/>
          <w:highlight w:val="none"/>
          <w:lang w:eastAsia="zh-CN"/>
        </w:rPr>
        <w:t>成交供应商</w:t>
      </w:r>
      <w:r>
        <w:rPr>
          <w:highlight w:val="none"/>
        </w:rPr>
        <w:t>违反保密义务或知识产权约定的，采购人有权要求</w:t>
      </w:r>
      <w:r>
        <w:rPr>
          <w:rFonts w:hint="eastAsia"/>
          <w:highlight w:val="none"/>
          <w:lang w:eastAsia="zh-CN"/>
        </w:rPr>
        <w:t>成交供应商</w:t>
      </w:r>
      <w:r>
        <w:rPr>
          <w:highlight w:val="none"/>
        </w:rPr>
        <w:t>支付本项目费用总额30%的违约金，违约金不足以弥补采购人损失的，采购人有权要求</w:t>
      </w:r>
      <w:r>
        <w:rPr>
          <w:rFonts w:hint="eastAsia"/>
          <w:highlight w:val="none"/>
          <w:lang w:eastAsia="zh-CN"/>
        </w:rPr>
        <w:t>成交供应商</w:t>
      </w:r>
      <w:r>
        <w:rPr>
          <w:highlight w:val="none"/>
        </w:rPr>
        <w:t>赔偿超过部分。若</w:t>
      </w:r>
      <w:r>
        <w:rPr>
          <w:rFonts w:hint="eastAsia"/>
          <w:highlight w:val="none"/>
          <w:lang w:eastAsia="zh-CN"/>
        </w:rPr>
        <w:t>成交供应商</w:t>
      </w:r>
      <w:r>
        <w:rPr>
          <w:highlight w:val="none"/>
        </w:rPr>
        <w:t>违反保密义务，采购人还有权立即单方解除合同而不承担任何违约责任。</w:t>
      </w:r>
    </w:p>
    <w:p w14:paraId="09B78B53">
      <w:pPr>
        <w:rPr>
          <w:highlight w:val="none"/>
        </w:rPr>
      </w:pPr>
      <w:r>
        <w:rPr>
          <w:highlight w:val="none"/>
        </w:rPr>
        <w:t>3、</w:t>
      </w:r>
      <w:r>
        <w:rPr>
          <w:rFonts w:hint="eastAsia"/>
          <w:highlight w:val="none"/>
          <w:lang w:eastAsia="zh-CN"/>
        </w:rPr>
        <w:t>成交供应商</w:t>
      </w:r>
      <w:r>
        <w:rPr>
          <w:highlight w:val="none"/>
        </w:rPr>
        <w:t>有其他违反本项目合同约定的行为，</w:t>
      </w:r>
      <w:r>
        <w:rPr>
          <w:rFonts w:hint="eastAsia"/>
          <w:highlight w:val="none"/>
          <w:lang w:eastAsia="zh-CN"/>
        </w:rPr>
        <w:t>成交供应商</w:t>
      </w:r>
      <w:r>
        <w:rPr>
          <w:highlight w:val="none"/>
        </w:rPr>
        <w:t>应当支付本项目总价款金额的20%作为违约金，违约金不足以弥补采购人损失的，采购人有权要求</w:t>
      </w:r>
      <w:r>
        <w:rPr>
          <w:rFonts w:hint="eastAsia"/>
          <w:highlight w:val="none"/>
          <w:lang w:eastAsia="zh-CN"/>
        </w:rPr>
        <w:t>成交供应商</w:t>
      </w:r>
      <w:r>
        <w:rPr>
          <w:highlight w:val="none"/>
        </w:rPr>
        <w:t>赔偿超过部分。</w:t>
      </w:r>
    </w:p>
    <w:p w14:paraId="6168B6EF">
      <w:pPr>
        <w:rPr>
          <w:highlight w:val="none"/>
        </w:rPr>
      </w:pPr>
      <w:r>
        <w:rPr>
          <w:highlight w:val="none"/>
        </w:rPr>
        <w:t>4、</w:t>
      </w:r>
      <w:r>
        <w:rPr>
          <w:rFonts w:hint="eastAsia"/>
          <w:highlight w:val="none"/>
          <w:lang w:eastAsia="zh-CN"/>
        </w:rPr>
        <w:t>成交供应商</w:t>
      </w:r>
      <w:r>
        <w:rPr>
          <w:highlight w:val="none"/>
        </w:rPr>
        <w:t>有下列情形之一，采购人有权解除合同：</w:t>
      </w:r>
    </w:p>
    <w:p w14:paraId="093EC91E">
      <w:pPr>
        <w:rPr>
          <w:highlight w:val="none"/>
        </w:rPr>
      </w:pPr>
      <w:r>
        <w:rPr>
          <w:rFonts w:hint="eastAsia"/>
          <w:highlight w:val="none"/>
        </w:rPr>
        <w:t>（1</w:t>
      </w:r>
      <w:r>
        <w:rPr>
          <w:highlight w:val="none"/>
        </w:rPr>
        <w:t>）因</w:t>
      </w:r>
      <w:r>
        <w:rPr>
          <w:rFonts w:hint="eastAsia"/>
          <w:highlight w:val="none"/>
          <w:lang w:eastAsia="zh-CN"/>
        </w:rPr>
        <w:t>成交供应商</w:t>
      </w:r>
      <w:r>
        <w:rPr>
          <w:highlight w:val="none"/>
        </w:rPr>
        <w:t>服务质量问题导致采购人无法实现目的；</w:t>
      </w:r>
    </w:p>
    <w:p w14:paraId="48B632A7">
      <w:pPr>
        <w:rPr>
          <w:highlight w:val="none"/>
        </w:rPr>
      </w:pPr>
      <w:r>
        <w:rPr>
          <w:rFonts w:hint="eastAsia"/>
          <w:highlight w:val="none"/>
        </w:rPr>
        <w:t>（2</w:t>
      </w:r>
      <w:r>
        <w:rPr>
          <w:highlight w:val="none"/>
        </w:rPr>
        <w:t>）擅自转让或者分包其应履行的义务的；</w:t>
      </w:r>
    </w:p>
    <w:p w14:paraId="10C217B3">
      <w:pPr>
        <w:rPr>
          <w:highlight w:val="none"/>
        </w:rPr>
      </w:pPr>
      <w:r>
        <w:rPr>
          <w:rFonts w:hint="eastAsia"/>
          <w:highlight w:val="none"/>
        </w:rPr>
        <w:t>（3</w:t>
      </w:r>
      <w:r>
        <w:rPr>
          <w:highlight w:val="none"/>
        </w:rPr>
        <w:t>）违反或者未履行本项目合同约定的其他相关义务，且在采购人要求的合理时间内未能纠正的。</w:t>
      </w:r>
    </w:p>
    <w:p w14:paraId="3B51EF18">
      <w:pPr>
        <w:pStyle w:val="11"/>
        <w:ind w:firstLine="420"/>
        <w:rPr>
          <w:highlight w:val="none"/>
        </w:rPr>
      </w:pPr>
    </w:p>
    <w:p w14:paraId="1D9C86DC">
      <w:pPr>
        <w:pStyle w:val="2"/>
        <w:rPr>
          <w:highlight w:val="none"/>
        </w:rPr>
      </w:pPr>
      <w:bookmarkStart w:id="37" w:name="_Toc68798863"/>
      <w:r>
        <w:rPr>
          <w:rFonts w:hint="eastAsia"/>
          <w:highlight w:val="none"/>
        </w:rPr>
        <w:t>附录</w:t>
      </w:r>
      <w:bookmarkEnd w:id="37"/>
    </w:p>
    <w:p w14:paraId="024ACBF4">
      <w:pPr>
        <w:ind w:firstLine="482"/>
        <w:rPr>
          <w:b/>
          <w:highlight w:val="none"/>
        </w:rPr>
      </w:pPr>
      <w:r>
        <w:rPr>
          <w:rFonts w:hint="eastAsia"/>
          <w:b/>
          <w:highlight w:val="none"/>
        </w:rPr>
        <w:t>若项目建设过程中需符合相关技术标准或规范文件的要求，请将相关文件作为附件列出。</w:t>
      </w:r>
    </w:p>
    <w:p w14:paraId="2518258C">
      <w:pPr>
        <w:ind w:firstLine="482"/>
        <w:rPr>
          <w:highlight w:val="none"/>
        </w:rPr>
      </w:pPr>
      <w:r>
        <w:rPr>
          <w:rFonts w:hint="eastAsia"/>
          <w:b/>
          <w:highlight w:val="none"/>
        </w:rPr>
        <w:t>参考如下：</w:t>
      </w:r>
    </w:p>
    <w:p w14:paraId="51F41218">
      <w:pPr>
        <w:ind w:firstLine="0" w:firstLineChars="0"/>
        <w:rPr>
          <w:highlight w:val="none"/>
        </w:rPr>
      </w:pPr>
      <w:r>
        <w:rPr>
          <w:rFonts w:hint="eastAsia"/>
          <w:highlight w:val="none"/>
        </w:rPr>
        <w:t>1、</w:t>
      </w:r>
      <w:r>
        <w:rPr>
          <w:highlight w:val="none"/>
        </w:rPr>
        <w:t>《政务网络安全监测平台总体技术要求》</w:t>
      </w:r>
    </w:p>
    <w:p w14:paraId="65CAA403">
      <w:pPr>
        <w:ind w:firstLine="0" w:firstLineChars="0"/>
        <w:rPr>
          <w:highlight w:val="none"/>
        </w:rPr>
      </w:pPr>
      <w:r>
        <w:rPr>
          <w:highlight w:val="none"/>
        </w:rPr>
        <w:object>
          <v:shape id="_x0000_i1025" o:spt="75" type="#_x0000_t75" style="height:54.7pt;width:76.6pt;" o:ole="t" filled="f" o:preferrelative="t" stroked="f" coordsize="21600,21600">
            <v:path/>
            <v:fill on="f" focussize="0,0"/>
            <v:stroke on="f" joinstyle="miter"/>
            <v:imagedata r:id="rId8" o:title=""/>
            <o:lock v:ext="edit" aspectratio="t"/>
            <w10:wrap type="none"/>
            <w10:anchorlock/>
          </v:shape>
          <o:OLEObject Type="Embed" ProgID="Package" ShapeID="_x0000_i1025" DrawAspect="Icon" ObjectID="_1468075725" r:id="rId7">
            <o:LockedField>false</o:LockedField>
          </o:OLEObject>
        </w:object>
      </w:r>
    </w:p>
    <w:p w14:paraId="7304F586">
      <w:pPr>
        <w:ind w:firstLine="0" w:firstLineChars="0"/>
        <w:rPr>
          <w:highlight w:val="none"/>
        </w:rPr>
      </w:pPr>
    </w:p>
    <w:p w14:paraId="4DDF683D">
      <w:pPr>
        <w:ind w:firstLine="0" w:firstLineChars="0"/>
        <w:jc w:val="left"/>
        <w:rPr>
          <w:highlight w:val="none"/>
        </w:rPr>
      </w:pPr>
      <w:r>
        <w:rPr>
          <w:rFonts w:hint="eastAsia"/>
          <w:highlight w:val="none"/>
        </w:rPr>
        <w:t>2、《上海市电子政务外网建设和运行管理指南（试行）》</w:t>
      </w:r>
    </w:p>
    <w:p w14:paraId="3F687686">
      <w:pPr>
        <w:ind w:firstLine="0" w:firstLineChars="0"/>
        <w:jc w:val="left"/>
        <w:rPr>
          <w:highlight w:val="none"/>
        </w:rPr>
      </w:pPr>
      <w:r>
        <w:rPr>
          <w:highlight w:val="none"/>
        </w:rPr>
        <w:object>
          <v:shape id="_x0000_i1026" o:spt="75" type="#_x0000_t75" style="height:54.7pt;width:76.6pt;" o:ole="t" filled="f" o:preferrelative="t" stroked="f" coordsize="21600,21600">
            <v:path/>
            <v:fill on="f" focussize="0,0"/>
            <v:stroke on="f" joinstyle="miter"/>
            <v:imagedata r:id="rId10" o:title=""/>
            <o:lock v:ext="edit" aspectratio="t"/>
            <w10:wrap type="none"/>
            <w10:anchorlock/>
          </v:shape>
          <o:OLEObject Type="Embed" ProgID="Package" ShapeID="_x0000_i1026" DrawAspect="Icon" ObjectID="_1468075726" r:id="rId9">
            <o:LockedField>false</o:LockedField>
          </o:OLEObject>
        </w:object>
      </w:r>
    </w:p>
    <w:p w14:paraId="0967B241">
      <w:pPr>
        <w:ind w:firstLine="0" w:firstLineChars="0"/>
        <w:jc w:val="left"/>
        <w:rPr>
          <w:b/>
          <w:bCs/>
          <w:highlight w:val="none"/>
        </w:rPr>
      </w:pPr>
      <w:r>
        <w:rPr>
          <w:rFonts w:hint="eastAsia"/>
          <w:highlight w:val="none"/>
        </w:rPr>
        <w:t>3、其他标准</w:t>
      </w:r>
    </w:p>
    <w:p w14:paraId="01193121">
      <w:pPr>
        <w:rPr>
          <w:highlight w:val="none"/>
        </w:rPr>
      </w:pPr>
    </w:p>
    <w:sectPr>
      <w:footerReference r:id="rId5" w:type="first"/>
      <w:pgSz w:w="11906" w:h="16838"/>
      <w:pgMar w:top="1134" w:right="1797" w:bottom="1135" w:left="1797" w:header="340" w:footer="7" w:gutter="0"/>
      <w:pgBorders>
        <w:top w:val="none" w:sz="0" w:space="0"/>
        <w:left w:val="none" w:sz="0" w:space="0"/>
        <w:bottom w:val="none" w:sz="0" w:space="0"/>
        <w:right w:val="none" w:sz="0" w:space="0"/>
      </w:pgBorders>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roman"/>
    <w:pitch w:val="default"/>
    <w:sig w:usb0="00000000" w:usb1="00000000"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Tahoma">
    <w:altName w:val="noto sans thai"/>
    <w:panose1 w:val="020B0604030504040204"/>
    <w:charset w:val="00"/>
    <w:family w:val="swiss"/>
    <w:pitch w:val="default"/>
    <w:sig w:usb0="00000000" w:usb1="00000000" w:usb2="00000029" w:usb3="00000000" w:csb0="200101FF" w:csb1="20280000"/>
  </w:font>
  <w:font w:name="noto sans thai">
    <w:panose1 w:val="020B0502040504020204"/>
    <w:charset w:val="00"/>
    <w:family w:val="auto"/>
    <w:pitch w:val="default"/>
    <w:sig w:usb0="81000063" w:usb1="00002000" w:usb2="00000000" w:usb3="00000000" w:csb0="0001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1EF29">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2355EC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0E3B8504"/>
    <w:multiLevelType w:val="singleLevel"/>
    <w:tmpl w:val="0E3B8504"/>
    <w:lvl w:ilvl="0" w:tentative="0">
      <w:start w:val="1"/>
      <w:numFmt w:val="decimal"/>
      <w:suff w:val="nothing"/>
      <w:lvlText w:val="%1、"/>
      <w:lvlJc w:val="left"/>
    </w:lvl>
  </w:abstractNum>
  <w:abstractNum w:abstractNumId="2">
    <w:nsid w:val="51DD2B8C"/>
    <w:multiLevelType w:val="singleLevel"/>
    <w:tmpl w:val="51DD2B8C"/>
    <w:lvl w:ilvl="0" w:tentative="0">
      <w:start w:val="1"/>
      <w:numFmt w:val="decimal"/>
      <w:lvlText w:val="(%1)"/>
      <w:lvlJc w:val="left"/>
      <w:pPr>
        <w:ind w:left="425" w:hanging="425"/>
      </w:pPr>
      <w:rPr>
        <w:rFonts w:hint="default"/>
      </w:rPr>
    </w:lvl>
  </w:abstractNum>
  <w:abstractNum w:abstractNumId="3">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isLgl/>
      <w:suff w:val="nothing"/>
      <w:lvlText w:val="%1.%2.%3、"/>
      <w:lvlJc w:val="left"/>
      <w:pPr>
        <w:ind w:left="1069" w:hanging="1069"/>
      </w:pPr>
      <w:rPr>
        <w:rFonts w:hint="default" w:ascii="宋体" w:hAnsi="宋体" w:eastAsia="宋体" w:cs="Arial"/>
      </w:rPr>
    </w:lvl>
    <w:lvl w:ilvl="3" w:tentative="0">
      <w:start w:val="1"/>
      <w:numFmt w:val="decimal"/>
      <w:isLgl/>
      <w:suff w:val="nothing"/>
      <w:lvlText w:val="%1.%2.%3.%4、"/>
      <w:lvlJc w:val="left"/>
      <w:pPr>
        <w:ind w:left="3403" w:hanging="851"/>
      </w:pPr>
    </w:lvl>
    <w:lvl w:ilvl="4" w:tentative="0">
      <w:start w:val="1"/>
      <w:numFmt w:val="decimal"/>
      <w:isLgl/>
      <w:suff w:val="nothing"/>
      <w:lvlText w:val="%1.%2.%3.%4.%5、"/>
      <w:lvlJc w:val="left"/>
      <w:pPr>
        <w:ind w:left="3544"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1OTMyYmVkNDBiZGZjOTJjNzg0ZTljMGM2NGM1NWEifQ=="/>
  </w:docVars>
  <w:rsids>
    <w:rsidRoot w:val="00000000"/>
    <w:rsid w:val="184E2B07"/>
    <w:rsid w:val="1BFB41D3"/>
    <w:rsid w:val="1FB39BB6"/>
    <w:rsid w:val="37BBD7F3"/>
    <w:rsid w:val="3FCA33E2"/>
    <w:rsid w:val="44A32904"/>
    <w:rsid w:val="591217F8"/>
    <w:rsid w:val="598A2EE8"/>
    <w:rsid w:val="5D2D81D2"/>
    <w:rsid w:val="610E6402"/>
    <w:rsid w:val="645D785C"/>
    <w:rsid w:val="64D84A81"/>
    <w:rsid w:val="68CE7F6D"/>
    <w:rsid w:val="6AFFBC57"/>
    <w:rsid w:val="6DBF59F4"/>
    <w:rsid w:val="75BF9B38"/>
    <w:rsid w:val="7BBE5DCE"/>
    <w:rsid w:val="7D55F910"/>
    <w:rsid w:val="7EE793EF"/>
    <w:rsid w:val="7EFC3654"/>
    <w:rsid w:val="AFDEDFBB"/>
    <w:rsid w:val="BBF9EBE7"/>
    <w:rsid w:val="C7FD3E78"/>
    <w:rsid w:val="CBAB8138"/>
    <w:rsid w:val="D7DFB4E1"/>
    <w:rsid w:val="FA6F4342"/>
    <w:rsid w:val="FBFF9B52"/>
    <w:rsid w:val="FDC661A5"/>
    <w:rsid w:val="FEBF7FBB"/>
    <w:rsid w:val="FFE9E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qFormat/>
    <w:uiPriority w:val="9"/>
    <w:pPr>
      <w:keepNext/>
      <w:keepLines/>
      <w:numPr>
        <w:ilvl w:val="1"/>
        <w:numId w:val="1"/>
      </w:numPr>
      <w:spacing w:before="120" w:after="120"/>
      <w:ind w:firstLine="0" w:firstLineChars="0"/>
      <w:outlineLvl w:val="1"/>
    </w:pPr>
    <w:rPr>
      <w:b/>
      <w:bCs/>
      <w:sz w:val="30"/>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Indent"/>
    <w:basedOn w:val="1"/>
    <w:unhideWhenUsed/>
    <w:qFormat/>
    <w:uiPriority w:val="99"/>
    <w:pPr>
      <w:spacing w:after="120"/>
      <w:ind w:left="420" w:leftChars="200"/>
    </w:pPr>
  </w:style>
  <w:style w:type="paragraph" w:styleId="6">
    <w:name w:val="header"/>
    <w:basedOn w:val="1"/>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7">
    <w:name w:val="Body Text First Indent 2"/>
    <w:basedOn w:val="5"/>
    <w:qFormat/>
    <w:uiPriority w:val="0"/>
    <w:pPr>
      <w:spacing w:after="0"/>
      <w:ind w:left="0" w:leftChars="0"/>
    </w:pPr>
  </w:style>
  <w:style w:type="paragraph" w:customStyle="1" w:styleId="10">
    <w:name w:val="正文缩进1"/>
    <w:basedOn w:val="1"/>
    <w:autoRedefine/>
    <w:qFormat/>
    <w:uiPriority w:val="0"/>
    <w:pPr>
      <w:spacing w:line="240" w:lineRule="auto"/>
      <w:ind w:firstLine="420"/>
    </w:pPr>
    <w:rPr>
      <w:rFonts w:ascii="Times New Roman" w:hAnsi="Times New Roman"/>
      <w:sz w:val="21"/>
      <w:szCs w:val="20"/>
    </w:rPr>
  </w:style>
  <w:style w:type="paragraph" w:customStyle="1" w:styleId="11">
    <w:name w:val="正文正文2"/>
    <w:basedOn w:val="1"/>
    <w:autoRedefine/>
    <w:qFormat/>
    <w:uiPriority w:val="0"/>
    <w:pPr>
      <w:ind w:firstLine="460"/>
    </w:pPr>
    <w:rPr>
      <w:sz w:val="21"/>
      <w:szCs w:val="21"/>
    </w:rPr>
  </w:style>
  <w:style w:type="character" w:customStyle="1" w:styleId="12">
    <w:name w:val="font21"/>
    <w:qFormat/>
    <w:uiPriority w:val="0"/>
    <w:rPr>
      <w:rFonts w:hint="default" w:ascii="Tahoma" w:hAnsi="Tahoma" w:eastAsia="Tahoma" w:cs="Tahoma"/>
      <w:color w:val="000000"/>
      <w:sz w:val="22"/>
      <w:szCs w:val="22"/>
      <w:u w:val="none"/>
    </w:rPr>
  </w:style>
  <w:style w:type="character" w:customStyle="1" w:styleId="13">
    <w:name w:val="font41"/>
    <w:qFormat/>
    <w:uiPriority w:val="0"/>
    <w:rPr>
      <w:rFonts w:hint="eastAsia" w:ascii="宋体" w:hAnsi="宋体" w:eastAsia="宋体" w:cs="宋体"/>
      <w:color w:val="000000"/>
      <w:sz w:val="22"/>
      <w:szCs w:val="22"/>
      <w:u w:val="none"/>
    </w:rPr>
  </w:style>
  <w:style w:type="paragraph" w:customStyle="1" w:styleId="14">
    <w:name w:val="可研正文"/>
    <w:basedOn w:val="1"/>
    <w:qFormat/>
    <w:uiPriority w:val="0"/>
    <w:pPr>
      <w:spacing w:line="360" w:lineRule="auto"/>
      <w:ind w:firstLine="200" w:firstLineChars="200"/>
    </w:pPr>
    <w:rPr>
      <w:rFonts w:ascii="仿宋" w:hAnsi="仿宋" w:eastAsia="仿宋"/>
      <w:sz w:val="28"/>
      <w:szCs w:val="28"/>
    </w:rPr>
  </w:style>
  <w:style w:type="character" w:customStyle="1" w:styleId="15">
    <w:name w:val="font11"/>
    <w:qFormat/>
    <w:uiPriority w:val="0"/>
    <w:rPr>
      <w:rFonts w:hint="eastAsia" w:ascii="宋体" w:hAnsi="宋体" w:eastAsia="宋体" w:cs="宋体"/>
      <w:color w:val="000000"/>
      <w:sz w:val="22"/>
      <w:szCs w:val="22"/>
      <w:u w:val="none"/>
    </w:rPr>
  </w:style>
  <w:style w:type="paragraph" w:customStyle="1" w:styleId="16">
    <w:name w:val="Default"/>
    <w:qFormat/>
    <w:uiPriority w:val="0"/>
    <w:pPr>
      <w:widowControl w:val="0"/>
      <w:autoSpaceDE w:val="0"/>
      <w:autoSpaceDN w:val="0"/>
      <w:adjustRightInd w:val="0"/>
    </w:pPr>
    <w:rPr>
      <w:rFonts w:ascii="仿宋" w:eastAsia="仿宋" w:cs="仿宋" w:hAnsiTheme="minorHAnsi"/>
      <w:color w:val="000000"/>
      <w:sz w:val="24"/>
      <w:szCs w:val="24"/>
      <w:lang w:val="en-US" w:eastAsia="zh-CN" w:bidi="ar-SA"/>
    </w:rPr>
  </w:style>
  <w:style w:type="table" w:customStyle="1" w:styleId="17">
    <w:name w:val="Table Normal"/>
    <w:semiHidden/>
    <w:unhideWhenUsed/>
    <w:qFormat/>
    <w:uiPriority w:val="2"/>
    <w:pPr>
      <w:widowControl w:val="0"/>
    </w:pPr>
    <w:rPr>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1235</Words>
  <Characters>1297</Characters>
  <Lines>0</Lines>
  <Paragraphs>0</Paragraphs>
  <TotalTime>108</TotalTime>
  <ScaleCrop>false</ScaleCrop>
  <LinksUpToDate>false</LinksUpToDate>
  <CharactersWithSpaces>1297</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2024-05-17T07:04:00Z</dcterms:created>
  <dc:creator>user</dc:creator>
  <cp:lastModifiedBy>郭田恬</cp:lastModifiedBy>
  <dcterms:modified xsi:type="dcterms:W3CDTF">2025-10-10T14:28:14Z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CABA3A1654C7F4121DA09D6841B49A16_43</vt:lpwstr>
  </property>
  <property fmtid="{D5CDD505-2E9C-101B-9397-08002B2CF9AE}" pid="4" name="KSOTemplateDocerSaveRecord">
    <vt:lpwstr>eyJoZGlkIjoiNjcyYTNiNjcyMzVjZGRmOTRjYTFhOTEyOWE4Nzg4ZjYiLCJ1c2VySWQiOiIzMDI4MTM4MTUifQ==</vt:lpwstr>
  </property>
</Properties>
</file>