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B70C4">
      <w:pPr>
        <w:ind w:firstLine="0" w:firstLineChars="0"/>
        <w:jc w:val="center"/>
        <w:rPr>
          <w:rFonts w:hint="eastAsia" w:ascii="黑体" w:hAnsi="黑体" w:eastAsia="黑体"/>
          <w:sz w:val="48"/>
          <w:szCs w:val="48"/>
        </w:rPr>
      </w:pPr>
    </w:p>
    <w:p w14:paraId="63C1BEC8">
      <w:pPr>
        <w:ind w:firstLine="0" w:firstLineChars="0"/>
        <w:jc w:val="center"/>
        <w:rPr>
          <w:rFonts w:hint="eastAsia" w:ascii="黑体" w:hAnsi="黑体" w:eastAsia="黑体"/>
          <w:sz w:val="48"/>
          <w:szCs w:val="48"/>
        </w:rPr>
      </w:pPr>
    </w:p>
    <w:p w14:paraId="1AC0E59C">
      <w:pPr>
        <w:ind w:firstLine="0" w:firstLineChars="0"/>
        <w:jc w:val="center"/>
        <w:rPr>
          <w:rFonts w:hint="eastAsia" w:ascii="黑体" w:hAnsi="黑体" w:eastAsia="黑体"/>
          <w:sz w:val="52"/>
          <w:szCs w:val="52"/>
        </w:rPr>
      </w:pPr>
      <w:r>
        <w:rPr>
          <w:rFonts w:hint="eastAsia" w:ascii="黑体" w:hAnsi="黑体" w:eastAsia="黑体"/>
          <w:sz w:val="52"/>
          <w:szCs w:val="52"/>
        </w:rPr>
        <w:t>上海市省统筹传染病监测预警与应急指挥信息平台二期</w:t>
      </w:r>
    </w:p>
    <w:p w14:paraId="75355B2C">
      <w:pPr>
        <w:ind w:firstLine="0" w:firstLineChars="0"/>
        <w:jc w:val="center"/>
        <w:rPr>
          <w:rFonts w:hint="eastAsia" w:ascii="黑体" w:hAnsi="黑体" w:eastAsia="黑体"/>
          <w:sz w:val="52"/>
          <w:szCs w:val="52"/>
        </w:rPr>
      </w:pPr>
      <w:r>
        <w:rPr>
          <w:rFonts w:hint="eastAsia" w:ascii="黑体" w:hAnsi="黑体" w:eastAsia="黑体"/>
          <w:sz w:val="52"/>
          <w:szCs w:val="52"/>
        </w:rPr>
        <w:t>数智疾控应急作业平台深化建设项目</w:t>
      </w:r>
    </w:p>
    <w:p w14:paraId="1AF7AE75">
      <w:pPr>
        <w:ind w:firstLine="0" w:firstLineChars="0"/>
        <w:jc w:val="center"/>
        <w:rPr>
          <w:rFonts w:hint="eastAsia" w:ascii="黑体" w:hAnsi="黑体" w:eastAsia="黑体"/>
          <w:sz w:val="52"/>
          <w:szCs w:val="52"/>
        </w:rPr>
      </w:pPr>
      <w:r>
        <w:rPr>
          <w:rFonts w:hint="eastAsia" w:ascii="黑体" w:hAnsi="黑体" w:eastAsia="黑体"/>
          <w:sz w:val="52"/>
          <w:szCs w:val="52"/>
        </w:rPr>
        <w:t>2025年度采购需求</w:t>
      </w:r>
    </w:p>
    <w:p w14:paraId="2AEC8191">
      <w:pPr>
        <w:ind w:firstLine="0" w:firstLineChars="0"/>
        <w:jc w:val="center"/>
        <w:rPr>
          <w:rFonts w:hint="eastAsia" w:ascii="黑体" w:hAnsi="黑体" w:eastAsia="黑体"/>
          <w:sz w:val="72"/>
          <w:szCs w:val="72"/>
        </w:rPr>
      </w:pPr>
    </w:p>
    <w:p w14:paraId="4E3360F5">
      <w:pPr>
        <w:ind w:firstLine="0" w:firstLineChars="0"/>
        <w:jc w:val="center"/>
        <w:rPr>
          <w:rFonts w:hint="eastAsia" w:ascii="黑体" w:hAnsi="黑体" w:eastAsia="黑体"/>
          <w:sz w:val="48"/>
          <w:szCs w:val="48"/>
        </w:rPr>
      </w:pPr>
    </w:p>
    <w:p w14:paraId="241B6335">
      <w:pPr>
        <w:ind w:firstLine="0" w:firstLineChars="0"/>
        <w:jc w:val="center"/>
        <w:rPr>
          <w:rFonts w:hint="eastAsia" w:ascii="黑体" w:hAnsi="黑体" w:eastAsia="黑体"/>
          <w:sz w:val="52"/>
          <w:szCs w:val="52"/>
        </w:rPr>
      </w:pPr>
    </w:p>
    <w:p w14:paraId="44A62AEA">
      <w:pPr>
        <w:rPr>
          <w:rFonts w:hint="eastAsia"/>
        </w:rPr>
      </w:pPr>
    </w:p>
    <w:p w14:paraId="35C93A09">
      <w:pPr>
        <w:rPr>
          <w:rFonts w:hint="eastAsia"/>
        </w:rPr>
      </w:pPr>
    </w:p>
    <w:p w14:paraId="03C43BBF">
      <w:pPr>
        <w:rPr>
          <w:rFonts w:hint="eastAsia"/>
        </w:rPr>
      </w:pPr>
    </w:p>
    <w:p w14:paraId="1A34C503">
      <w:pPr>
        <w:rPr>
          <w:rFonts w:hint="eastAsia"/>
        </w:rPr>
      </w:pPr>
    </w:p>
    <w:p w14:paraId="68D14BCD">
      <w:pPr>
        <w:ind w:firstLine="0" w:firstLineChars="0"/>
        <w:jc w:val="center"/>
        <w:rPr>
          <w:rFonts w:hint="eastAsia" w:ascii="黑体" w:hAnsi="黑体" w:eastAsia="黑体"/>
          <w:sz w:val="32"/>
          <w:szCs w:val="32"/>
        </w:rPr>
      </w:pPr>
      <w:r>
        <w:rPr>
          <w:rFonts w:hint="eastAsia" w:ascii="黑体" w:hAnsi="黑体" w:eastAsia="黑体"/>
          <w:sz w:val="32"/>
          <w:szCs w:val="32"/>
        </w:rPr>
        <w:t>上海市疾病预防控制中心</w:t>
      </w:r>
    </w:p>
    <w:p w14:paraId="01B3EF24">
      <w:pPr>
        <w:ind w:firstLine="0" w:firstLineChars="0"/>
        <w:jc w:val="center"/>
        <w:rPr>
          <w:rFonts w:hint="eastAsia" w:ascii="黑体" w:hAnsi="黑体" w:eastAsia="黑体"/>
          <w:b/>
          <w:bCs/>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37ECB47E">
      <w:pPr>
        <w:pStyle w:val="2"/>
        <w:rPr>
          <w:rFonts w:hint="eastAsia"/>
        </w:rPr>
      </w:pPr>
      <w:bookmarkStart w:id="0" w:name="_Toc63785461"/>
      <w:r>
        <w:rPr>
          <w:rFonts w:hint="eastAsia"/>
        </w:rPr>
        <w:t>项目概况</w:t>
      </w:r>
      <w:bookmarkEnd w:id="0"/>
    </w:p>
    <w:p w14:paraId="0ED51E91">
      <w:pPr>
        <w:ind w:firstLine="482"/>
        <w:rPr>
          <w:rFonts w:hint="eastAsia"/>
        </w:rPr>
      </w:pPr>
      <w:r>
        <w:rPr>
          <w:rFonts w:hint="eastAsia"/>
          <w:b/>
          <w:bCs/>
        </w:rPr>
        <w:t>项目背景&amp;现状：</w:t>
      </w:r>
      <w:r>
        <w:rPr>
          <w:rFonts w:hint="eastAsia"/>
        </w:rPr>
        <w:t>本项目为升级改造项目。国家疾控局下发《国家疾控局综合司关于印发&lt;加快建设完善省统筹区域传染病监测预警与应急指挥信息平台实施方案&gt;的通知》（国疾控综规财函〔2023〕18号）、《国家疾控局综合司关于印发监测预警与应急指挥能力提升项目工作清单的函》（国疾控综规财函〔2023〕244号）、《国家疾控局综合司关于加快实施中央对地方转移支付传染病监测预警与应急指挥能力提升项目的函》等文件，要求各地建立全国一网统管、平台两级建设，数据统一采集、业务分级应用的一体化省统筹区域平台，纵向集成各级监测预警信息平台，实现上下统一；横向联通相关部门监测信息，实现全国统一；打通“医防研”信息壁垒，实现内部统一，有效提升区域监测预警与应急指挥能力。</w:t>
      </w:r>
    </w:p>
    <w:p w14:paraId="21025D85">
      <w:pPr>
        <w:rPr>
          <w:rFonts w:hint="eastAsia"/>
        </w:rPr>
      </w:pPr>
      <w:r>
        <w:rPr>
          <w:rFonts w:hint="eastAsia"/>
        </w:rPr>
        <w:t>上海市疾控局在接到文件后成立相关专班组，带领上海市疾控中心结合本市监测预警与应急指挥信息化建设现况，对标国家任务内容及考核指标，以秉承超前布局、20年不落后的理念为引导，制订印发《关于下发上海市监测预警与应急指挥能力提升项目工作任务清单的通知》（沪疾控局监测〔2024〕1号），并依托国家疾控局分三年下拨的中央转移地方支付专项经费，分别以主要实现2024年国家省统筹阶段建设要求、实现2025年国家省统筹阶段建设总体要求、实现和国家指标体系的完全对接（对标国家后续拟定建设文件要求），明确一期、二期、三期建设内容基调。</w:t>
      </w:r>
    </w:p>
    <w:p w14:paraId="72CA7DAC">
      <w:pPr>
        <w:rPr>
          <w:rFonts w:hint="eastAsia" w:ascii="仿宋" w:hAnsi="仿宋" w:eastAsia="仿宋"/>
          <w:color w:val="000000" w:themeColor="text1"/>
          <w:sz w:val="28"/>
          <w:szCs w:val="28"/>
          <w14:textFill>
            <w14:solidFill>
              <w14:schemeClr w14:val="tx1"/>
            </w14:solidFill>
          </w14:textFill>
        </w:rPr>
      </w:pPr>
      <w:r>
        <w:rPr>
          <w:rFonts w:hint="eastAsia"/>
        </w:rPr>
        <w:t>本项目在一期建设内容基础上，结合2024年度中央转移地方支付专项经费额度，对标国家和本市工作任务清单，深化数智疾控应急作业平台建设，通过相关信息化切实提升上海市应急作业、应急指挥等业务能力。</w:t>
      </w:r>
    </w:p>
    <w:p w14:paraId="5D441ED4">
      <w:pPr>
        <w:spacing w:line="560" w:lineRule="exact"/>
        <w:ind w:firstLine="482"/>
        <w:rPr>
          <w:rFonts w:hint="eastAsia" w:eastAsia="宋体"/>
          <w:lang w:eastAsia="zh-CN"/>
        </w:rPr>
      </w:pPr>
      <w:r>
        <w:rPr>
          <w:rFonts w:hint="eastAsia"/>
          <w:b/>
          <w:bCs/>
        </w:rPr>
        <w:t>建设期限</w:t>
      </w:r>
      <w:r>
        <w:rPr>
          <w:rFonts w:hint="eastAsia"/>
        </w:rPr>
        <w:t>：2025年12月3</w:t>
      </w:r>
      <w:r>
        <w:rPr>
          <w:rFonts w:hint="eastAsia"/>
          <w:lang w:val="en-US" w:eastAsia="zh-CN"/>
        </w:rPr>
        <w:t>1</w:t>
      </w:r>
      <w:r>
        <w:rPr>
          <w:rFonts w:hint="eastAsia"/>
        </w:rPr>
        <w:t>日前完成项目建设并通过验收。</w:t>
      </w:r>
    </w:p>
    <w:p w14:paraId="195F81DC">
      <w:pPr>
        <w:spacing w:line="560" w:lineRule="exact"/>
        <w:ind w:firstLine="482"/>
        <w:rPr>
          <w:rFonts w:hint="eastAsia"/>
        </w:rPr>
      </w:pPr>
      <w:r>
        <w:rPr>
          <w:rFonts w:hint="eastAsia"/>
          <w:b/>
          <w:bCs/>
        </w:rPr>
        <w:t>建设地点</w:t>
      </w:r>
      <w:r>
        <w:rPr>
          <w:rFonts w:hint="eastAsia"/>
        </w:rPr>
        <w:t>：</w:t>
      </w:r>
      <w:bookmarkStart w:id="1" w:name="_Hlk520089719"/>
      <w:r>
        <w:rPr>
          <w:rFonts w:hint="eastAsia"/>
        </w:rPr>
        <w:t>上海市疾病预防控制中心</w:t>
      </w:r>
      <w:bookmarkEnd w:id="1"/>
      <w:r>
        <w:rPr>
          <w:rFonts w:hint="eastAsia"/>
        </w:rPr>
        <w:t>应急处</w:t>
      </w:r>
    </w:p>
    <w:p w14:paraId="00059C68">
      <w:pPr>
        <w:spacing w:line="560" w:lineRule="exact"/>
        <w:ind w:firstLine="482"/>
        <w:rPr>
          <w:rFonts w:hint="eastAsia"/>
        </w:rPr>
      </w:pPr>
      <w:r>
        <w:rPr>
          <w:rFonts w:hint="eastAsia"/>
          <w:b/>
          <w:bCs/>
        </w:rPr>
        <w:t>预算金额</w:t>
      </w:r>
      <w:r>
        <w:rPr>
          <w:rFonts w:hint="eastAsia"/>
        </w:rPr>
        <w:t>：</w:t>
      </w:r>
      <w:r>
        <w:rPr>
          <w:rFonts w:hint="eastAsia" w:cs="宋体"/>
        </w:rPr>
        <w:t>5362500元</w:t>
      </w:r>
    </w:p>
    <w:p w14:paraId="724E0032">
      <w:pPr>
        <w:spacing w:line="560" w:lineRule="exact"/>
        <w:ind w:firstLine="482"/>
        <w:rPr>
          <w:rFonts w:hint="eastAsia"/>
        </w:rPr>
      </w:pPr>
      <w:r>
        <w:rPr>
          <w:rFonts w:hint="eastAsia"/>
          <w:b/>
          <w:bCs/>
        </w:rPr>
        <w:t>采购金额（最高限价）</w:t>
      </w:r>
      <w:r>
        <w:rPr>
          <w:rFonts w:hint="eastAsia"/>
        </w:rPr>
        <w:t>：</w:t>
      </w:r>
      <w:r>
        <w:rPr>
          <w:rFonts w:hint="eastAsia" w:cs="宋体"/>
        </w:rPr>
        <w:t>536.25（万元）</w:t>
      </w:r>
    </w:p>
    <w:p w14:paraId="356A63C5">
      <w:pPr>
        <w:ind w:firstLine="482"/>
        <w:rPr>
          <w:rFonts w:hint="eastAsia"/>
        </w:rPr>
      </w:pPr>
      <w:r>
        <w:rPr>
          <w:rFonts w:hint="eastAsia"/>
          <w:b/>
          <w:bCs/>
        </w:rPr>
        <w:t>组织形式</w:t>
      </w:r>
      <w:r>
        <w:rPr>
          <w:rFonts w:hint="eastAsia"/>
        </w:rPr>
        <w:t>：集中采购</w:t>
      </w:r>
    </w:p>
    <w:p w14:paraId="4D8249AB">
      <w:pPr>
        <w:ind w:firstLine="482"/>
        <w:rPr>
          <w:rFonts w:hint="eastAsia"/>
        </w:rPr>
      </w:pPr>
      <w:r>
        <w:rPr>
          <w:rFonts w:hint="eastAsia"/>
          <w:b/>
          <w:bCs/>
        </w:rPr>
        <w:t>采购方式</w:t>
      </w:r>
      <w:r>
        <w:rPr>
          <w:rFonts w:hint="eastAsia"/>
        </w:rPr>
        <w:t>：公开招标</w:t>
      </w:r>
    </w:p>
    <w:p w14:paraId="1A50FB71">
      <w:pPr>
        <w:ind w:firstLine="482"/>
        <w:rPr>
          <w:rFonts w:hint="eastAsia"/>
        </w:rPr>
      </w:pPr>
      <w:r>
        <w:rPr>
          <w:rFonts w:hint="eastAsia"/>
          <w:b/>
          <w:bCs/>
        </w:rPr>
        <w:t>是否接受联合体投标</w:t>
      </w:r>
      <w:r>
        <w:rPr>
          <w:rFonts w:hint="eastAsia"/>
        </w:rPr>
        <w:t>：否</w:t>
      </w:r>
    </w:p>
    <w:p w14:paraId="2FCADB1E">
      <w:pPr>
        <w:ind w:firstLine="482"/>
        <w:rPr>
          <w:rFonts w:hint="eastAsia"/>
        </w:rPr>
      </w:pPr>
      <w:r>
        <w:rPr>
          <w:b/>
          <w:bCs/>
        </w:rPr>
        <w:t>是否按信创要求建设</w:t>
      </w:r>
      <w:r>
        <w:t>：</w:t>
      </w:r>
      <w:r>
        <w:rPr>
          <w:rFonts w:hint="eastAsia"/>
        </w:rPr>
        <w:t>是</w:t>
      </w:r>
    </w:p>
    <w:p w14:paraId="1444E92A">
      <w:pPr>
        <w:ind w:firstLine="482"/>
        <w:rPr>
          <w:rFonts w:hint="eastAsia"/>
        </w:rPr>
      </w:pPr>
      <w:r>
        <w:rPr>
          <w:rFonts w:hint="eastAsia"/>
          <w:b/>
          <w:bCs/>
        </w:rPr>
        <w:t>运维后所属大系统</w:t>
      </w:r>
      <w:r>
        <w:rPr>
          <w:rFonts w:hint="eastAsia"/>
        </w:rPr>
        <w:t>：上海市省统筹传染病监测预警与应急指挥（二期）子系统建设项目</w:t>
      </w:r>
    </w:p>
    <w:p w14:paraId="32B1ACE0">
      <w:pPr>
        <w:pStyle w:val="2"/>
        <w:rPr>
          <w:rFonts w:hint="eastAsia"/>
        </w:rPr>
      </w:pPr>
      <w:bookmarkStart w:id="2" w:name="_Toc47532255"/>
      <w:bookmarkEnd w:id="2"/>
      <w:bookmarkStart w:id="3" w:name="_Toc47539070"/>
      <w:bookmarkEnd w:id="3"/>
      <w:bookmarkStart w:id="4" w:name="_Toc47531634"/>
      <w:bookmarkEnd w:id="4"/>
      <w:bookmarkStart w:id="5" w:name="_Toc47536272"/>
      <w:bookmarkEnd w:id="5"/>
      <w:bookmarkStart w:id="6" w:name="_Toc47532891"/>
      <w:bookmarkEnd w:id="6"/>
      <w:bookmarkStart w:id="7" w:name="_Toc47537134"/>
      <w:bookmarkEnd w:id="7"/>
      <w:bookmarkStart w:id="8" w:name="_Toc47533256"/>
      <w:bookmarkEnd w:id="8"/>
      <w:bookmarkStart w:id="9" w:name="_Toc47536644"/>
      <w:bookmarkEnd w:id="9"/>
      <w:bookmarkStart w:id="10" w:name="_Toc63785463"/>
      <w:bookmarkStart w:id="11" w:name="_Toc48223882"/>
      <w:r>
        <w:rPr>
          <w:rFonts w:hint="eastAsia"/>
        </w:rPr>
        <w:t>建设目标</w:t>
      </w:r>
      <w:bookmarkEnd w:id="10"/>
      <w:bookmarkEnd w:id="11"/>
    </w:p>
    <w:p w14:paraId="619B9A57">
      <w:pPr>
        <w:rPr>
          <w:rFonts w:hint="eastAsia"/>
          <w:bCs/>
          <w:color w:val="000000"/>
        </w:rPr>
      </w:pPr>
      <w:r>
        <w:rPr>
          <w:rFonts w:hint="eastAsia"/>
          <w:bCs/>
          <w:color w:val="000000"/>
        </w:rPr>
        <w:t>对标国家疾控局相关文件及上海市疾控局项目任务清单要求，在一期建设内容基础上，一是填平补齐，以全面覆盖国家和本市工作清单中的各项应急功能指标要求，支撑全国防疫一盘棋；二是融入上海市业务发展特色指标，兼顾通用性与本地适配性，打造完善与社会主义现代化国际大都市功能定位相匹配的应急指挥体系；三是进一步发挥大数据、人工智能、元宇宙、物联网等技术的支撑能力，通过数字转型赋能持续推进构建集中统一、智慧高效的应急指挥能力。</w:t>
      </w:r>
    </w:p>
    <w:p w14:paraId="6541E530">
      <w:pPr>
        <w:rPr>
          <w:rFonts w:hint="eastAsia"/>
          <w:bCs/>
          <w:color w:val="000000"/>
        </w:rPr>
      </w:pPr>
    </w:p>
    <w:p w14:paraId="2C025E25">
      <w:pPr>
        <w:pStyle w:val="2"/>
        <w:rPr>
          <w:rFonts w:hint="eastAsia"/>
        </w:rPr>
      </w:pPr>
      <w:bookmarkStart w:id="12" w:name="_Toc47537166"/>
      <w:bookmarkEnd w:id="12"/>
      <w:bookmarkStart w:id="13" w:name="_Toc47536676"/>
      <w:bookmarkEnd w:id="13"/>
      <w:bookmarkStart w:id="14" w:name="_Toc47539102"/>
      <w:bookmarkEnd w:id="14"/>
      <w:bookmarkStart w:id="15" w:name="_Toc47536304"/>
      <w:bookmarkEnd w:id="15"/>
      <w:bookmarkStart w:id="16" w:name="_Toc47533288"/>
      <w:bookmarkEnd w:id="16"/>
      <w:bookmarkStart w:id="17" w:name="_Toc47532923"/>
      <w:bookmarkEnd w:id="17"/>
      <w:r>
        <w:rPr>
          <w:rFonts w:hint="eastAsia"/>
        </w:rPr>
        <w:t>项目建设内容</w:t>
      </w:r>
    </w:p>
    <w:p w14:paraId="0F867591">
      <w:pPr>
        <w:rPr>
          <w:rFonts w:hint="eastAsia"/>
          <w:bCs/>
          <w:color w:val="000000"/>
        </w:rPr>
      </w:pPr>
      <w:r>
        <w:rPr>
          <w:rFonts w:hint="eastAsia"/>
          <w:bCs/>
          <w:color w:val="000000"/>
          <w:lang w:bidi="ar"/>
        </w:rPr>
        <w:t>本系统将部署在上海市电子政务云（信创云）平台上，在上海市疾病预防控制中心本地通过网络实施系统的远程部署和运维管理。</w:t>
      </w:r>
    </w:p>
    <w:p w14:paraId="3458EC75">
      <w:pPr>
        <w:rPr>
          <w:rFonts w:hint="eastAsia"/>
          <w:bCs/>
          <w:color w:val="000000"/>
        </w:rPr>
      </w:pPr>
      <w:r>
        <w:rPr>
          <w:rFonts w:hint="eastAsia"/>
          <w:bCs/>
          <w:color w:val="000000"/>
          <w:lang w:bidi="ar"/>
        </w:rPr>
        <w:t>应用系统核心生产环境主要部署在云平台政务外网区，涉及与互联网交互的应用则需部署在云平台中互联网区，云平台上政务外网区与互联网区之间提供网闸进行隔离，外部用户或应用系统可通过政务外网或互联网接入访问本信息系统。</w:t>
      </w:r>
    </w:p>
    <w:p w14:paraId="535F7132">
      <w:r>
        <w:rPr>
          <w:rFonts w:hint="eastAsia"/>
          <w:bCs/>
          <w:color w:val="000000"/>
          <w:lang w:bidi="ar"/>
        </w:rPr>
        <w:t>系统应使用在政务云目录的国产操作系统、国产数据库软件和国产中间件。应按政务云上最终批复和下发的配额资源进行合理设计。</w:t>
      </w:r>
    </w:p>
    <w:p w14:paraId="71E28702">
      <w:pPr>
        <w:rPr>
          <w:rFonts w:hint="eastAsia"/>
        </w:rPr>
      </w:pPr>
      <w:r>
        <w:rPr>
          <w:rFonts w:hint="eastAsia"/>
        </w:rPr>
        <w:t>本项目建设在一期建设的接警处警、应急值守管理，区域协查、应急作业管理、应急可视化展示、融合指挥通讯、卫生应急资源保障综合管理及多源对接功能基础上，扩展数字预案、应急作业评估、应急作业孪生和空间协同、辅助决策分析内容，完善手机客户端应用体系建设。通过强化事前态势感知，提升“平时”应急准备能力，做实“关口前移”，实现“平急转换”的快速、可靠衔接；通过提升事中辅助决策、空间协同作业及多场景指挥调度能力，打造数字预案辅助智慧协同作战的应急事件处置闭环；通过事后复盘分析总结经验与教训，以进一步提升应急处置工作各个环节的处置效率和处置规范率。具体如下：</w:t>
      </w:r>
    </w:p>
    <w:p w14:paraId="60D8F9B1">
      <w:pPr>
        <w:numPr>
          <w:ilvl w:val="0"/>
          <w:numId w:val="4"/>
        </w:numPr>
        <w:ind w:firstLine="482"/>
        <w:rPr>
          <w:rFonts w:hint="eastAsia"/>
          <w:b/>
        </w:rPr>
      </w:pPr>
      <w:r>
        <w:rPr>
          <w:rFonts w:hint="eastAsia"/>
          <w:b/>
        </w:rPr>
        <w:t>软件开发清单：</w:t>
      </w:r>
    </w:p>
    <w:tbl>
      <w:tblPr>
        <w:tblStyle w:val="37"/>
        <w:tblW w:w="5000" w:type="pct"/>
        <w:jc w:val="center"/>
        <w:tblLayout w:type="autofit"/>
        <w:tblCellMar>
          <w:top w:w="0" w:type="dxa"/>
          <w:left w:w="108" w:type="dxa"/>
          <w:bottom w:w="0" w:type="dxa"/>
          <w:right w:w="108" w:type="dxa"/>
        </w:tblCellMar>
      </w:tblPr>
      <w:tblGrid>
        <w:gridCol w:w="925"/>
        <w:gridCol w:w="1585"/>
        <w:gridCol w:w="2968"/>
        <w:gridCol w:w="3050"/>
      </w:tblGrid>
      <w:tr w14:paraId="579FAE1E">
        <w:tblPrEx>
          <w:tblCellMar>
            <w:top w:w="0" w:type="dxa"/>
            <w:left w:w="108" w:type="dxa"/>
            <w:bottom w:w="0" w:type="dxa"/>
            <w:right w:w="108" w:type="dxa"/>
          </w:tblCellMar>
        </w:tblPrEx>
        <w:trPr>
          <w:trHeight w:val="270" w:hRule="atLeast"/>
          <w:jc w:val="center"/>
        </w:trPr>
        <w:tc>
          <w:tcPr>
            <w:tcW w:w="542"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7EEFEDF0">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29" w:type="pct"/>
            <w:tcBorders>
              <w:top w:val="single" w:color="auto" w:sz="4" w:space="0"/>
              <w:left w:val="nil"/>
              <w:bottom w:val="single" w:color="auto" w:sz="4" w:space="0"/>
              <w:right w:val="single" w:color="auto" w:sz="4" w:space="0"/>
            </w:tcBorders>
            <w:shd w:val="clear" w:color="000000" w:fill="F3F8FC"/>
            <w:noWrap/>
            <w:vAlign w:val="center"/>
          </w:tcPr>
          <w:p w14:paraId="55880CF1">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740" w:type="pct"/>
            <w:tcBorders>
              <w:top w:val="single" w:color="auto" w:sz="4" w:space="0"/>
              <w:left w:val="nil"/>
              <w:bottom w:val="single" w:color="auto" w:sz="4" w:space="0"/>
              <w:right w:val="single" w:color="auto" w:sz="4" w:space="0"/>
            </w:tcBorders>
            <w:shd w:val="clear" w:color="000000" w:fill="F3F8FC"/>
            <w:noWrap/>
            <w:vAlign w:val="center"/>
          </w:tcPr>
          <w:p w14:paraId="5F656406">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1788" w:type="pct"/>
            <w:tcBorders>
              <w:top w:val="single" w:color="auto" w:sz="4" w:space="0"/>
              <w:left w:val="nil"/>
              <w:bottom w:val="single" w:color="auto" w:sz="4" w:space="0"/>
              <w:right w:val="single" w:color="auto" w:sz="4" w:space="0"/>
            </w:tcBorders>
            <w:shd w:val="clear" w:color="000000" w:fill="F3F8FC"/>
          </w:tcPr>
          <w:p w14:paraId="4FBB184A">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3F93D59D">
        <w:tblPrEx>
          <w:tblCellMar>
            <w:top w:w="0" w:type="dxa"/>
            <w:left w:w="108" w:type="dxa"/>
            <w:bottom w:w="0" w:type="dxa"/>
            <w:right w:w="108" w:type="dxa"/>
          </w:tblCellMar>
        </w:tblPrEx>
        <w:trPr>
          <w:trHeight w:val="114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23E78992">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w:t>
            </w:r>
          </w:p>
        </w:tc>
        <w:tc>
          <w:tcPr>
            <w:tcW w:w="929" w:type="pct"/>
            <w:vMerge w:val="restart"/>
            <w:tcBorders>
              <w:top w:val="single" w:color="auto" w:sz="4" w:space="0"/>
              <w:left w:val="nil"/>
              <w:right w:val="single" w:color="auto" w:sz="4" w:space="0"/>
            </w:tcBorders>
            <w:shd w:val="clear" w:color="auto" w:fill="FFFFFF"/>
            <w:vAlign w:val="center"/>
          </w:tcPr>
          <w:p w14:paraId="79ECB317">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r>
              <w:rPr>
                <w:rFonts w:hint="eastAsia" w:cs="宋体"/>
                <w:b/>
                <w:bCs/>
                <w:color w:val="000000"/>
                <w:kern w:val="0"/>
                <w:sz w:val="21"/>
                <w:szCs w:val="21"/>
                <w:lang w:bidi="ar"/>
              </w:rPr>
              <w:t>数字预案</w:t>
            </w:r>
          </w:p>
        </w:tc>
        <w:tc>
          <w:tcPr>
            <w:tcW w:w="1740" w:type="pct"/>
            <w:tcBorders>
              <w:top w:val="single" w:color="auto" w:sz="4" w:space="0"/>
              <w:left w:val="nil"/>
              <w:bottom w:val="single" w:color="auto" w:sz="4" w:space="0"/>
              <w:right w:val="single" w:color="auto" w:sz="4" w:space="0"/>
            </w:tcBorders>
            <w:shd w:val="clear" w:color="auto" w:fill="FFFFFF"/>
            <w:vAlign w:val="center"/>
          </w:tcPr>
          <w:p w14:paraId="720D9DCF">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预案库-预案模板</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0F6C0F4E">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应急预案包括对应急预案库的制定和管理，预案库对应急指挥工作有实际意义。通过应急预案库的设置和管理，进一步提高突发公共卫生事件的应急处置能力。预案库的启动是与特定的事件紧密结合起来的，即根据不同的事件性质、事件等级和危害程度会启动不同的应急预案。预案模板支持模板状态属性、模板类型树、模板层级树、模板事件性质、模板结构化内容、模板工作项内容、模板指令内容、模板资源关联内容、模板知识库功能</w:t>
            </w:r>
          </w:p>
        </w:tc>
      </w:tr>
      <w:tr w14:paraId="15F66511">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2576BD4E">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w:t>
            </w:r>
          </w:p>
        </w:tc>
        <w:tc>
          <w:tcPr>
            <w:tcW w:w="929" w:type="pct"/>
            <w:vMerge w:val="continue"/>
            <w:tcBorders>
              <w:left w:val="nil"/>
              <w:right w:val="single" w:color="auto" w:sz="4" w:space="0"/>
            </w:tcBorders>
            <w:shd w:val="clear" w:color="auto" w:fill="FFFFFF"/>
            <w:vAlign w:val="center"/>
          </w:tcPr>
          <w:p w14:paraId="574927EF">
            <w:pPr>
              <w:keepNext w:val="0"/>
              <w:keepLines w:val="0"/>
              <w:widowControl/>
              <w:suppressLineNumbers w:val="0"/>
              <w:spacing w:before="0" w:beforeAutospacing="0" w:after="0" w:afterAutospacing="0"/>
              <w:ind w:left="0" w:right="0" w:firstLine="422"/>
              <w:jc w:val="left"/>
              <w:textAlignment w:val="center"/>
              <w:rPr>
                <w:rFonts w:hint="eastAsia" w:cs="宋体"/>
                <w:color w:val="000000"/>
                <w:kern w:val="0"/>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2C8DEA6B">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预案库-预案分类和关键词</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B66E89B">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为了在案事件指挥过程中，快速、智能的匹配预案，预案建立时需要分类建立。预案可以按照案由分类创建（传染病爆发流行、群体性不明原因疾病、群体性免疫接种服药不良反应事件、放射卫生事件、菌毒种丢失事件、医院内感染事件、流感样病例暴发等），每类案由可以创建一个或多个预案，为案事件处置时提供案由匹配预案功能。除了按照案由创建预案外，还需要支持关键字标签设置功能，每个预案可以包含一个或多个适用的关键词，为事件处置时提供关键字匹配预案功能。在一定时间内，预案的关键字可能会变化，因此需提供预案关键字自行维护功能。</w:t>
            </w:r>
          </w:p>
        </w:tc>
      </w:tr>
      <w:tr w14:paraId="0D784634">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28900017">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w:t>
            </w:r>
          </w:p>
        </w:tc>
        <w:tc>
          <w:tcPr>
            <w:tcW w:w="929" w:type="pct"/>
            <w:vMerge w:val="continue"/>
            <w:tcBorders>
              <w:left w:val="nil"/>
              <w:right w:val="single" w:color="auto" w:sz="4" w:space="0"/>
            </w:tcBorders>
            <w:shd w:val="clear" w:color="auto" w:fill="FFFFFF"/>
            <w:vAlign w:val="center"/>
          </w:tcPr>
          <w:p w14:paraId="37602DB3">
            <w:pPr>
              <w:keepNext w:val="0"/>
              <w:keepLines w:val="0"/>
              <w:widowControl/>
              <w:suppressLineNumbers w:val="0"/>
              <w:spacing w:before="0" w:beforeAutospacing="0" w:after="0" w:afterAutospacing="0"/>
              <w:ind w:left="0" w:right="0" w:firstLine="422"/>
              <w:jc w:val="left"/>
              <w:textAlignment w:val="center"/>
              <w:rPr>
                <w:rFonts w:hint="eastAsia" w:cs="宋体"/>
                <w:color w:val="000000"/>
                <w:kern w:val="0"/>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7FC60078">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预案库-预案与资源关联</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6A0CF0A1">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在预案的定义中除了定义发生事件后要做什么事情外，还说明了做这些事情需要调用哪些资源信息，为了防止纸上谈兵，系统把预案和预先定义好的各类资源提前建立好关联。预案的主体内容以及流程指令中的工作项均可以关联资源。具体包括预案及资源标准同步、预案主体内容资源关联设置、预案指令资源关联设置、预案及资源关联路径设置功能。</w:t>
            </w:r>
          </w:p>
        </w:tc>
      </w:tr>
      <w:tr w14:paraId="62620DF7">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5A29FA14">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4</w:t>
            </w:r>
          </w:p>
        </w:tc>
        <w:tc>
          <w:tcPr>
            <w:tcW w:w="929" w:type="pct"/>
            <w:vMerge w:val="continue"/>
            <w:tcBorders>
              <w:left w:val="nil"/>
              <w:right w:val="single" w:color="auto" w:sz="4" w:space="0"/>
            </w:tcBorders>
            <w:shd w:val="clear" w:color="auto" w:fill="FFFFFF"/>
            <w:vAlign w:val="center"/>
          </w:tcPr>
          <w:p w14:paraId="176BAC28">
            <w:pPr>
              <w:keepNext w:val="0"/>
              <w:keepLines w:val="0"/>
              <w:widowControl/>
              <w:suppressLineNumbers w:val="0"/>
              <w:spacing w:before="0" w:beforeAutospacing="0" w:after="0" w:afterAutospacing="0"/>
              <w:ind w:left="0" w:right="0" w:firstLine="422"/>
              <w:jc w:val="left"/>
              <w:textAlignment w:val="center"/>
              <w:rPr>
                <w:rFonts w:hint="eastAsia" w:cs="宋体"/>
                <w:color w:val="000000"/>
                <w:kern w:val="0"/>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18B83AAC">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预案库-预案库维护</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6EAF9E8A">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实现预案库的管理与维护，本功能包括对普通预案管理与智能预案管理两个功能，普通预案包含预案的名称、文号、摘要、预案级别、预案体系、预案状态、适用事件、适用级别、编制依据等字段。为了处置不同类型的突发事件进行预案匹配，智能预案可对预案相关章节与内容等进行拆分进行维护管理，为智能预案提供基础数据支持。</w:t>
            </w:r>
          </w:p>
        </w:tc>
      </w:tr>
      <w:tr w14:paraId="24D96850">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66BEA40E">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5</w:t>
            </w:r>
          </w:p>
        </w:tc>
        <w:tc>
          <w:tcPr>
            <w:tcW w:w="929" w:type="pct"/>
            <w:vMerge w:val="continue"/>
            <w:tcBorders>
              <w:left w:val="nil"/>
              <w:right w:val="single" w:color="auto" w:sz="4" w:space="0"/>
            </w:tcBorders>
            <w:shd w:val="clear" w:color="auto" w:fill="FFFFFF"/>
            <w:vAlign w:val="center"/>
          </w:tcPr>
          <w:p w14:paraId="3AA8996F">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711303D3">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预案文档管理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0186A0F4">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对各类突发公共卫生事件各级文本预案的收集和管理，对监测与预警知识库进行管理。通过组织预案制定，明确突发公共卫生事件应急处理指挥机构及相关部门的职责，提出事件的监测与预警，应急处理技术和工作方案，预防和控制，应急物资与技术储备、调度和专业队伍建设与培训等工作原则和指导，一旦突发事件发生时，为达到迅速控制事态发展，各组织和部门能做到统一行动，确保突发公共卫生事件应急处置工作顺利实施。具体功能包括预案编辑、预案审核、预案维护</w:t>
            </w:r>
          </w:p>
        </w:tc>
      </w:tr>
      <w:tr w14:paraId="124B9B9D">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43839D54">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6</w:t>
            </w:r>
          </w:p>
        </w:tc>
        <w:tc>
          <w:tcPr>
            <w:tcW w:w="929" w:type="pct"/>
            <w:vMerge w:val="continue"/>
            <w:tcBorders>
              <w:left w:val="nil"/>
              <w:right w:val="single" w:color="auto" w:sz="4" w:space="0"/>
            </w:tcBorders>
            <w:shd w:val="clear" w:color="auto" w:fill="FFFFFF"/>
            <w:vAlign w:val="center"/>
          </w:tcPr>
          <w:p w14:paraId="2B3783CF">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0BC867BB">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预案评估</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2240280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案平台提供预案的评价功能，在预案应用执行或演练后，指挥员可以对预案进行评价：如对预案的实用性、在本次任务中实际发挥的作用、预案内容的丰富性、预案内容组织的合理性等方面进行评价打分。同时，预案维护管理人员可以据此进行预案的改进功能包括预案设计评估、预案的执行过程评估、预案的执行结果、评估任务分配、评估表模板、评估内容自定义、评估记录、评估改进记录、定期评估提醒、评估总结</w:t>
            </w:r>
          </w:p>
        </w:tc>
      </w:tr>
      <w:tr w14:paraId="4C1CEDEA">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799D8310">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7</w:t>
            </w:r>
          </w:p>
        </w:tc>
        <w:tc>
          <w:tcPr>
            <w:tcW w:w="929" w:type="pct"/>
            <w:vMerge w:val="continue"/>
            <w:tcBorders>
              <w:left w:val="nil"/>
              <w:right w:val="single" w:color="auto" w:sz="4" w:space="0"/>
            </w:tcBorders>
            <w:shd w:val="clear" w:color="auto" w:fill="FFFFFF"/>
            <w:vAlign w:val="center"/>
          </w:tcPr>
          <w:p w14:paraId="2ABA0363">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3D20A92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预案发布</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290551B9">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数字预案编制完成后，需要提交审核，审核通过之后方可发布，发布之后的预案方可作为突发事件指挥处置的参考。预案可以根据事件类型、案发所在区域和案发单位等各种因素进行定义。达到预案启动发布标准，立即启动，显示相关界面，显示内容包括事件名称、性质、范围、伤亡情况、预案名称、警情级别、启动时间、关闭时间等。预案的下发是根据不同组织机构进行的，下发时可以选择群发，也可以选择性的下发；群发是对所有当前的机构进行下发，选择性下发，是对当前的机构进行选择（比如通过勾选的方式）下发。凡是被下发到的机构可以通过本系统浏览到应急处置方案，并可打印，但不可编辑。</w:t>
            </w:r>
          </w:p>
        </w:tc>
      </w:tr>
      <w:tr w14:paraId="43BA90D5">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0CDFFD55">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8</w:t>
            </w:r>
          </w:p>
        </w:tc>
        <w:tc>
          <w:tcPr>
            <w:tcW w:w="929" w:type="pct"/>
            <w:vMerge w:val="continue"/>
            <w:tcBorders>
              <w:left w:val="nil"/>
              <w:right w:val="single" w:color="auto" w:sz="4" w:space="0"/>
            </w:tcBorders>
            <w:shd w:val="clear" w:color="auto" w:fill="FFFFFF"/>
            <w:vAlign w:val="center"/>
          </w:tcPr>
          <w:p w14:paraId="080658C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7687CAC3">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应急预案沙盘制作管理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27A953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过详细梳理预案步骤，整合GIS信息，展示人员与资源分布，将预案步骤与GIS信息融合，并利用GIS系统的数据可视化功能制作应急预案沙盘，以直观展示目标地点、范围及周边人员、救援队伍和资源分布，同时设置交互功能，确保沙盘信息的准确性和实用性，为应急响应提供有力支持。包括预案步骤梳理、GIS信息整合、人员与资源分布展示、预案步骤与GIS信息融合、沙盘制作与要素联动功能。</w:t>
            </w:r>
          </w:p>
        </w:tc>
      </w:tr>
      <w:tr w14:paraId="709592EB">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675303E8">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9</w:t>
            </w:r>
          </w:p>
        </w:tc>
        <w:tc>
          <w:tcPr>
            <w:tcW w:w="929" w:type="pct"/>
            <w:vMerge w:val="continue"/>
            <w:tcBorders>
              <w:left w:val="nil"/>
              <w:bottom w:val="single" w:color="auto" w:sz="4" w:space="0"/>
              <w:right w:val="single" w:color="auto" w:sz="4" w:space="0"/>
            </w:tcBorders>
            <w:shd w:val="clear" w:color="auto" w:fill="FFFFFF"/>
            <w:vAlign w:val="center"/>
          </w:tcPr>
          <w:p w14:paraId="76C9D4E3">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37F9011A">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应急事件沙盘推演</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66AC0701">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进一步采用图形符号动画和地图推演相结合的方式模拟实战指挥，展示应急事件预案的执行过程，同时支持对预案推演的回放及查询检索，检验预案的合理性和有效性，并进一步完善预案。包括实战指挥、预案回放、预案查询检索功能。</w:t>
            </w:r>
          </w:p>
        </w:tc>
      </w:tr>
      <w:tr w14:paraId="5FD13FB6">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35322E3E">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10</w:t>
            </w:r>
          </w:p>
        </w:tc>
        <w:tc>
          <w:tcPr>
            <w:tcW w:w="929" w:type="pct"/>
            <w:vMerge w:val="restart"/>
            <w:tcBorders>
              <w:top w:val="single" w:color="auto" w:sz="4" w:space="0"/>
              <w:left w:val="nil"/>
              <w:right w:val="single" w:color="auto" w:sz="4" w:space="0"/>
            </w:tcBorders>
            <w:shd w:val="clear" w:color="auto" w:fill="FFFFFF"/>
            <w:vAlign w:val="center"/>
          </w:tcPr>
          <w:p w14:paraId="2A8903C1">
            <w:pPr>
              <w:keepNext w:val="0"/>
              <w:keepLines w:val="0"/>
              <w:widowControl/>
              <w:suppressLineNumbers w:val="0"/>
              <w:spacing w:before="0" w:beforeAutospacing="0" w:after="0" w:afterAutospacing="0"/>
              <w:ind w:left="0" w:right="0" w:firstLine="0" w:firstLineChars="0"/>
              <w:jc w:val="left"/>
              <w:textAlignment w:val="center"/>
              <w:rPr>
                <w:rFonts w:hint="eastAsia" w:cs="宋体"/>
                <w:sz w:val="21"/>
                <w:szCs w:val="21"/>
              </w:rPr>
            </w:pPr>
            <w:r>
              <w:rPr>
                <w:rFonts w:hint="eastAsia" w:cs="宋体"/>
                <w:b/>
                <w:bCs/>
                <w:color w:val="000000"/>
                <w:kern w:val="0"/>
                <w:sz w:val="21"/>
                <w:szCs w:val="21"/>
                <w:lang w:bidi="ar"/>
              </w:rPr>
              <w:t>应急作业评估</w:t>
            </w:r>
          </w:p>
        </w:tc>
        <w:tc>
          <w:tcPr>
            <w:tcW w:w="1740" w:type="pct"/>
            <w:tcBorders>
              <w:top w:val="single" w:color="auto" w:sz="4" w:space="0"/>
              <w:left w:val="nil"/>
              <w:bottom w:val="single" w:color="auto" w:sz="4" w:space="0"/>
              <w:right w:val="single" w:color="auto" w:sz="4" w:space="0"/>
            </w:tcBorders>
            <w:shd w:val="clear" w:color="auto" w:fill="FFFFFF"/>
            <w:vAlign w:val="center"/>
          </w:tcPr>
          <w:p w14:paraId="5D6CB85F">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应急事件库</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2EE9F10D">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包括应急事件目录、应急事件关键词、应急事件多维度查询、应急事件详情</w:t>
            </w:r>
          </w:p>
        </w:tc>
      </w:tr>
      <w:tr w14:paraId="2E017499">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79860799">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11</w:t>
            </w:r>
          </w:p>
        </w:tc>
        <w:tc>
          <w:tcPr>
            <w:tcW w:w="929" w:type="pct"/>
            <w:vMerge w:val="continue"/>
            <w:tcBorders>
              <w:left w:val="nil"/>
              <w:right w:val="single" w:color="auto" w:sz="4" w:space="0"/>
            </w:tcBorders>
            <w:shd w:val="clear" w:color="auto" w:fill="FFFFFF"/>
            <w:vAlign w:val="center"/>
          </w:tcPr>
          <w:p w14:paraId="25DE7AA9">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63146575">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事件应急作业评估管理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20851EF6">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包括评价方案、评价指标、评分、附件上传、评价意见</w:t>
            </w:r>
          </w:p>
        </w:tc>
      </w:tr>
      <w:tr w14:paraId="2AD1CF49">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08E2D206">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12</w:t>
            </w:r>
          </w:p>
        </w:tc>
        <w:tc>
          <w:tcPr>
            <w:tcW w:w="929" w:type="pct"/>
            <w:vMerge w:val="continue"/>
            <w:tcBorders>
              <w:left w:val="nil"/>
              <w:right w:val="single" w:color="auto" w:sz="4" w:space="0"/>
            </w:tcBorders>
            <w:shd w:val="clear" w:color="auto" w:fill="FFFFFF"/>
            <w:vAlign w:val="center"/>
          </w:tcPr>
          <w:p w14:paraId="009FEBC0">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1223E7BD">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作业指标字典</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067DFFFA">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包括应急作业信息管理、评价时间管理、数据项管理、指标管理</w:t>
            </w:r>
          </w:p>
        </w:tc>
      </w:tr>
      <w:tr w14:paraId="31758C84">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4E09DADB">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13</w:t>
            </w:r>
          </w:p>
        </w:tc>
        <w:tc>
          <w:tcPr>
            <w:tcW w:w="929" w:type="pct"/>
            <w:vMerge w:val="continue"/>
            <w:tcBorders>
              <w:left w:val="nil"/>
              <w:right w:val="single" w:color="auto" w:sz="4" w:space="0"/>
            </w:tcBorders>
            <w:shd w:val="clear" w:color="auto" w:fill="FFFFFF"/>
            <w:vAlign w:val="center"/>
          </w:tcPr>
          <w:p w14:paraId="6B1DCFA5">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71B3EB6B">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作业引擎管理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1E5B5917">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包括指标配置、指标库、计算公式、规则管理、规则配置</w:t>
            </w:r>
          </w:p>
        </w:tc>
      </w:tr>
      <w:tr w14:paraId="3D5EC61E">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059C7089">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14</w:t>
            </w:r>
          </w:p>
        </w:tc>
        <w:tc>
          <w:tcPr>
            <w:tcW w:w="929" w:type="pct"/>
            <w:vMerge w:val="continue"/>
            <w:tcBorders>
              <w:left w:val="nil"/>
              <w:right w:val="single" w:color="auto" w:sz="4" w:space="0"/>
            </w:tcBorders>
            <w:shd w:val="clear" w:color="auto" w:fill="FFFFFF"/>
            <w:vAlign w:val="center"/>
          </w:tcPr>
          <w:p w14:paraId="5D95DD4F">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5957F99D">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作业量化评价</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1F0FD4AD">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包括指标基准值、指标计算、自查上报、核实核查、评价申述</w:t>
            </w:r>
          </w:p>
        </w:tc>
      </w:tr>
      <w:tr w14:paraId="7E38E8A5">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77E33B7F">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15</w:t>
            </w:r>
          </w:p>
        </w:tc>
        <w:tc>
          <w:tcPr>
            <w:tcW w:w="929" w:type="pct"/>
            <w:vMerge w:val="continue"/>
            <w:tcBorders>
              <w:left w:val="nil"/>
              <w:right w:val="single" w:color="auto" w:sz="4" w:space="0"/>
            </w:tcBorders>
            <w:shd w:val="clear" w:color="auto" w:fill="FFFFFF"/>
            <w:vAlign w:val="center"/>
          </w:tcPr>
          <w:p w14:paraId="636E65BB">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1D4194AC">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评估结果库目录</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77F146E0">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包括事件应急评估结果分级分类目录</w:t>
            </w:r>
          </w:p>
        </w:tc>
      </w:tr>
      <w:tr w14:paraId="5E1A6F38">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68420A15">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16</w:t>
            </w:r>
          </w:p>
        </w:tc>
        <w:tc>
          <w:tcPr>
            <w:tcW w:w="929" w:type="pct"/>
            <w:vMerge w:val="continue"/>
            <w:tcBorders>
              <w:left w:val="nil"/>
              <w:right w:val="single" w:color="auto" w:sz="4" w:space="0"/>
            </w:tcBorders>
            <w:shd w:val="clear" w:color="auto" w:fill="FFFFFF"/>
            <w:vAlign w:val="center"/>
          </w:tcPr>
          <w:p w14:paraId="4889C97B">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69034534">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评估结果库查询一览</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3D82CDB5">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包括应急事件评估多维度查询一览、 应急事件评估详情</w:t>
            </w:r>
          </w:p>
        </w:tc>
      </w:tr>
      <w:tr w14:paraId="2955E8EF">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3729A8B6">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17</w:t>
            </w:r>
          </w:p>
        </w:tc>
        <w:tc>
          <w:tcPr>
            <w:tcW w:w="929" w:type="pct"/>
            <w:vMerge w:val="continue"/>
            <w:tcBorders>
              <w:left w:val="nil"/>
              <w:bottom w:val="single" w:color="auto" w:sz="4" w:space="0"/>
              <w:right w:val="single" w:color="auto" w:sz="4" w:space="0"/>
            </w:tcBorders>
            <w:shd w:val="clear" w:color="auto" w:fill="FFFFFF"/>
            <w:vAlign w:val="center"/>
          </w:tcPr>
          <w:p w14:paraId="543A2123">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55161F7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评估结果库查询可视化</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4CC12930">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包括应急事件评估可视化分析</w:t>
            </w:r>
          </w:p>
        </w:tc>
      </w:tr>
      <w:tr w14:paraId="5E7BEDE7">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5FD5F223">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18</w:t>
            </w:r>
          </w:p>
        </w:tc>
        <w:tc>
          <w:tcPr>
            <w:tcW w:w="929" w:type="pct"/>
            <w:vMerge w:val="restart"/>
            <w:tcBorders>
              <w:top w:val="single" w:color="auto" w:sz="4" w:space="0"/>
              <w:left w:val="nil"/>
              <w:right w:val="single" w:color="auto" w:sz="4" w:space="0"/>
            </w:tcBorders>
            <w:shd w:val="clear" w:color="auto" w:fill="FFFFFF"/>
            <w:vAlign w:val="center"/>
          </w:tcPr>
          <w:p w14:paraId="6CE11D73">
            <w:pPr>
              <w:keepNext w:val="0"/>
              <w:keepLines w:val="0"/>
              <w:widowControl/>
              <w:suppressLineNumbers w:val="0"/>
              <w:spacing w:before="0" w:beforeAutospacing="0" w:after="0" w:afterAutospacing="0"/>
              <w:ind w:left="0" w:right="0" w:firstLine="0" w:firstLineChars="0"/>
              <w:jc w:val="left"/>
              <w:textAlignment w:val="center"/>
              <w:rPr>
                <w:rFonts w:hint="eastAsia" w:cs="宋体"/>
                <w:sz w:val="21"/>
                <w:szCs w:val="21"/>
              </w:rPr>
            </w:pPr>
            <w:r>
              <w:rPr>
                <w:rFonts w:hint="eastAsia" w:cs="宋体"/>
                <w:b/>
                <w:bCs/>
                <w:color w:val="000000"/>
                <w:kern w:val="0"/>
                <w:sz w:val="21"/>
                <w:szCs w:val="21"/>
                <w:lang w:bidi="ar"/>
              </w:rPr>
              <w:t>数字孪生和空间协同</w:t>
            </w:r>
          </w:p>
        </w:tc>
        <w:tc>
          <w:tcPr>
            <w:tcW w:w="1740" w:type="pct"/>
            <w:tcBorders>
              <w:top w:val="single" w:color="auto" w:sz="4" w:space="0"/>
              <w:left w:val="nil"/>
              <w:bottom w:val="single" w:color="auto" w:sz="4" w:space="0"/>
              <w:right w:val="single" w:color="auto" w:sz="4" w:space="0"/>
            </w:tcBorders>
            <w:shd w:val="clear" w:color="auto" w:fill="FFFFFF"/>
            <w:vAlign w:val="center"/>
          </w:tcPr>
          <w:p w14:paraId="63E0B11D">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时空引擎-疾控空间格网数据资源</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3DF79780">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以“管理对象为核心”的信息模型构建，主要是将管理对象物理化、空间化、最小粒度化、关联化，包括管理主题域与对象实体划分、管理对象基础关系建模、管理对象业务数据建模、数据清洗与挂接</w:t>
            </w:r>
          </w:p>
        </w:tc>
      </w:tr>
      <w:tr w14:paraId="4D762A5B">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5362A00B">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19</w:t>
            </w:r>
          </w:p>
        </w:tc>
        <w:tc>
          <w:tcPr>
            <w:tcW w:w="929" w:type="pct"/>
            <w:vMerge w:val="continue"/>
            <w:tcBorders>
              <w:left w:val="nil"/>
              <w:right w:val="single" w:color="auto" w:sz="4" w:space="0"/>
            </w:tcBorders>
            <w:shd w:val="clear" w:color="auto" w:fill="FFFFFF"/>
            <w:vAlign w:val="center"/>
          </w:tcPr>
          <w:p w14:paraId="09A299C5">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3DF1D0E4">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时空引擎-空间数据构网</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00E788C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空间数据构网包含地理编码和空间构网两部分，地理编码模块基于商用地理编码服务构建，空间构网是将导入的空间数据与非空间数据，补全其格网名称、编码、父子节点名称与编码。</w:t>
            </w:r>
          </w:p>
        </w:tc>
      </w:tr>
      <w:tr w14:paraId="72CB1368">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4943C185">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20</w:t>
            </w:r>
          </w:p>
        </w:tc>
        <w:tc>
          <w:tcPr>
            <w:tcW w:w="929" w:type="pct"/>
            <w:vMerge w:val="continue"/>
            <w:tcBorders>
              <w:left w:val="nil"/>
              <w:right w:val="single" w:color="auto" w:sz="4" w:space="0"/>
            </w:tcBorders>
            <w:shd w:val="clear" w:color="auto" w:fill="FFFFFF"/>
            <w:vAlign w:val="center"/>
          </w:tcPr>
          <w:p w14:paraId="4763F62A">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60E783D8">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时空引擎-空间数据组装与分发</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2CB9E676">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下级单位或市级疾控部门需要加工或使用数据，需要在平台里选择数据，申请数据，然后提取分发。包括对象树、对象选择、导出清单内容。</w:t>
            </w:r>
          </w:p>
        </w:tc>
      </w:tr>
      <w:tr w14:paraId="2F6150DB">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73B4751D">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21</w:t>
            </w:r>
          </w:p>
        </w:tc>
        <w:tc>
          <w:tcPr>
            <w:tcW w:w="929" w:type="pct"/>
            <w:vMerge w:val="continue"/>
            <w:tcBorders>
              <w:left w:val="nil"/>
              <w:bottom w:val="single" w:color="auto" w:sz="4" w:space="0"/>
              <w:right w:val="single" w:color="auto" w:sz="4" w:space="0"/>
            </w:tcBorders>
            <w:shd w:val="clear" w:color="auto" w:fill="FFFFFF"/>
            <w:vAlign w:val="center"/>
          </w:tcPr>
          <w:p w14:paraId="6CFDCEF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5FF90C07">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时空引擎-空间协同作业门户</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704F5AF5">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空间协同作业门户是各级疾控部门协同工作的门户，包含数据全景、工作云台、开发中心</w:t>
            </w:r>
          </w:p>
        </w:tc>
      </w:tr>
      <w:tr w14:paraId="5E44E516">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4367B21B">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22</w:t>
            </w:r>
          </w:p>
        </w:tc>
        <w:tc>
          <w:tcPr>
            <w:tcW w:w="929" w:type="pct"/>
            <w:vMerge w:val="restart"/>
            <w:tcBorders>
              <w:top w:val="single" w:color="auto" w:sz="4" w:space="0"/>
              <w:left w:val="nil"/>
              <w:right w:val="single" w:color="auto" w:sz="4" w:space="0"/>
            </w:tcBorders>
            <w:shd w:val="clear" w:color="auto" w:fill="FFFFFF"/>
            <w:vAlign w:val="center"/>
          </w:tcPr>
          <w:p w14:paraId="6EF4379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r>
              <w:rPr>
                <w:rFonts w:hint="eastAsia" w:cs="宋体"/>
                <w:b/>
                <w:bCs/>
                <w:color w:val="000000"/>
                <w:kern w:val="0"/>
                <w:sz w:val="21"/>
                <w:szCs w:val="21"/>
                <w:lang w:bidi="ar"/>
              </w:rPr>
              <w:t>辅助决策</w:t>
            </w:r>
          </w:p>
        </w:tc>
        <w:tc>
          <w:tcPr>
            <w:tcW w:w="1740" w:type="pct"/>
            <w:tcBorders>
              <w:top w:val="single" w:color="auto" w:sz="4" w:space="0"/>
              <w:left w:val="nil"/>
              <w:bottom w:val="single" w:color="auto" w:sz="4" w:space="0"/>
              <w:right w:val="single" w:color="auto" w:sz="4" w:space="0"/>
            </w:tcBorders>
            <w:shd w:val="clear" w:color="auto" w:fill="FFFFFF"/>
            <w:vAlign w:val="center"/>
          </w:tcPr>
          <w:p w14:paraId="3C9FB385">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应急决策引擎</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5B6BB86">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围绕15种风险情形，按风险个案、风险事件和风险信息情形三大类别，基于获取的风险指标数据，结合风险因素识别规则及风险决策树，进行风险分类分级，进一步根据风险分类分级结果，开展应急风险分级管理工作。</w:t>
            </w:r>
          </w:p>
        </w:tc>
      </w:tr>
      <w:tr w14:paraId="1B891AB0">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14155BEE">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23</w:t>
            </w:r>
          </w:p>
        </w:tc>
        <w:tc>
          <w:tcPr>
            <w:tcW w:w="929" w:type="pct"/>
            <w:vMerge w:val="continue"/>
            <w:tcBorders>
              <w:left w:val="nil"/>
              <w:right w:val="single" w:color="auto" w:sz="4" w:space="0"/>
            </w:tcBorders>
            <w:shd w:val="clear" w:color="auto" w:fill="FFFFFF"/>
            <w:vAlign w:val="center"/>
          </w:tcPr>
          <w:p w14:paraId="1274724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18501BAE">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应急风险分级管理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442A38C">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基于应急决策引擎建立传染病疫情风险智能化分级分类能力，根据传染病病例、疫情事件及预警线索等信息，自动化预判风险类别及级别，同时支持根据风险分级分类结果提供分级响应数字预案能力。</w:t>
            </w:r>
          </w:p>
        </w:tc>
      </w:tr>
      <w:tr w14:paraId="64A803E4">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75D189D5">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24</w:t>
            </w:r>
          </w:p>
        </w:tc>
        <w:tc>
          <w:tcPr>
            <w:tcW w:w="929" w:type="pct"/>
            <w:vMerge w:val="continue"/>
            <w:tcBorders>
              <w:left w:val="nil"/>
              <w:right w:val="single" w:color="auto" w:sz="4" w:space="0"/>
            </w:tcBorders>
            <w:shd w:val="clear" w:color="auto" w:fill="FFFFFF"/>
            <w:vAlign w:val="center"/>
          </w:tcPr>
          <w:p w14:paraId="02A19D8E">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0D25F6BA">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智能预警预测模型研判</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04770283">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过知识图谱与人工智能预警预测模型对多点多渠道监测数据进行全面分析，从时间和空间2个维度，对事件发生的风险进行评估，实现突发公共卫生事件的“早发现”、“早判断”，覆盖5大症候群各自几十项特征综合分析及建模及重点传染病的防控仿真、干预效果仿真、有效性评估、趋势推演模型等；提供应急风险智能报告及报表生成能力，快速将风险分析及辅助决策信息转化为标准格式化报告、统计报表等，为风险研判、风险上报等提供支撑。</w:t>
            </w:r>
          </w:p>
        </w:tc>
      </w:tr>
      <w:tr w14:paraId="0A683459">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1CAA2823">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25</w:t>
            </w:r>
          </w:p>
        </w:tc>
        <w:tc>
          <w:tcPr>
            <w:tcW w:w="929" w:type="pct"/>
            <w:vMerge w:val="continue"/>
            <w:tcBorders>
              <w:left w:val="nil"/>
              <w:right w:val="single" w:color="auto" w:sz="4" w:space="0"/>
            </w:tcBorders>
            <w:shd w:val="clear" w:color="auto" w:fill="FFFFFF"/>
            <w:vAlign w:val="center"/>
          </w:tcPr>
          <w:p w14:paraId="46D27F49">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1469F2AE">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应急知识库</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3F8FCAE9">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合算法模型、人工智能大数据等技术根据应用场景、用户要求，提供基于循证的可靠应急知识相关应用服务，包括应急相关的智能检索、应急知识图谱及管理工具，应急知识图谱涵盖应急预案、历史事件、处置方案、政策法规、元数据、日常咨询问答主题。</w:t>
            </w:r>
          </w:p>
        </w:tc>
      </w:tr>
      <w:tr w14:paraId="7238FF7E">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5AACFCCB">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26</w:t>
            </w:r>
          </w:p>
        </w:tc>
        <w:tc>
          <w:tcPr>
            <w:tcW w:w="929" w:type="pct"/>
            <w:vMerge w:val="continue"/>
            <w:tcBorders>
              <w:left w:val="nil"/>
              <w:right w:val="single" w:color="auto" w:sz="4" w:space="0"/>
            </w:tcBorders>
            <w:shd w:val="clear" w:color="auto" w:fill="FFFFFF"/>
            <w:vAlign w:val="center"/>
          </w:tcPr>
          <w:p w14:paraId="396AD60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52A0D188">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态势综合分析-态势总览</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7E934131">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提供图上指挥、事件分析、风险评估、</w:t>
            </w:r>
            <w:r>
              <w:rPr>
                <w:rFonts w:hint="eastAsia" w:asciiTheme="minorEastAsia" w:hAnsiTheme="minorEastAsia" w:eastAsiaTheme="minorEastAsia" w:cstheme="minorEastAsia"/>
                <w:color w:val="000000"/>
                <w:kern w:val="0"/>
                <w:sz w:val="21"/>
                <w:szCs w:val="21"/>
                <w:lang w:val="en-US" w:eastAsia="zh-CN" w:bidi="ar"/>
              </w:rPr>
              <w:t>Y Q</w:t>
            </w:r>
            <w:r>
              <w:rPr>
                <w:rFonts w:hint="eastAsia" w:asciiTheme="minorEastAsia" w:hAnsiTheme="minorEastAsia" w:eastAsiaTheme="minorEastAsia" w:cstheme="minorEastAsia"/>
                <w:color w:val="000000"/>
                <w:kern w:val="0"/>
                <w:sz w:val="21"/>
                <w:szCs w:val="21"/>
                <w:lang w:bidi="ar"/>
              </w:rPr>
              <w:t>监测主题的大屏可视化能力</w:t>
            </w:r>
          </w:p>
        </w:tc>
      </w:tr>
      <w:tr w14:paraId="598B4167">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0FAE6702">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27</w:t>
            </w:r>
          </w:p>
        </w:tc>
        <w:tc>
          <w:tcPr>
            <w:tcW w:w="929" w:type="pct"/>
            <w:vMerge w:val="continue"/>
            <w:tcBorders>
              <w:left w:val="nil"/>
              <w:right w:val="single" w:color="auto" w:sz="4" w:space="0"/>
            </w:tcBorders>
            <w:shd w:val="clear" w:color="auto" w:fill="FFFFFF"/>
            <w:vAlign w:val="center"/>
          </w:tcPr>
          <w:p w14:paraId="30B2704C">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488AF2C5">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态势综合分析-事件管理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15903D45">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事件画像作为基于大数据深度挖掘的另一深度应用，对公共卫生事件进行多维度特征提取，进行数据画像。通过对区域内公共卫生事件的画像分析，揭示该事件在本区域内的发生发展状况，为卫生行政机构提供决策支持帮助。包括事件概况、作业进展、辅助预案、作业情况主题内容。</w:t>
            </w:r>
          </w:p>
        </w:tc>
      </w:tr>
      <w:tr w14:paraId="22751A62">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4E58F53E">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28</w:t>
            </w:r>
          </w:p>
        </w:tc>
        <w:tc>
          <w:tcPr>
            <w:tcW w:w="929" w:type="pct"/>
            <w:vMerge w:val="continue"/>
            <w:tcBorders>
              <w:left w:val="nil"/>
              <w:bottom w:val="single" w:color="auto" w:sz="4" w:space="0"/>
              <w:right w:val="single" w:color="auto" w:sz="4" w:space="0"/>
            </w:tcBorders>
            <w:shd w:val="clear" w:color="auto" w:fill="FFFFFF"/>
            <w:vAlign w:val="center"/>
          </w:tcPr>
          <w:p w14:paraId="45C529C8">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37E0CAD4">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态势综合分析-业务看板</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45D1F371">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全面梳理疾控日常业务中与突发公共卫生事件应急密切相关的数据资源及业务活动，在此基础上筛选出应急维度最为关心的主要决策指标（KPI），并通过有机整合集中，形成各项核心业务的综合看板，一屏直观核心关键业务数据、指标。具体将基于业务联邦-内循环业务资源覆盖，从传染病、免疫规划、应急检测、病媒生物监测、重大保障、预警态势、应急车辆管理维度进行整合展示。</w:t>
            </w:r>
          </w:p>
        </w:tc>
      </w:tr>
      <w:tr w14:paraId="06065E12">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0181DD66">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29</w:t>
            </w:r>
          </w:p>
        </w:tc>
        <w:tc>
          <w:tcPr>
            <w:tcW w:w="929" w:type="pct"/>
            <w:vMerge w:val="restart"/>
            <w:tcBorders>
              <w:top w:val="single" w:color="auto" w:sz="4" w:space="0"/>
              <w:left w:val="nil"/>
              <w:right w:val="single" w:color="auto" w:sz="4" w:space="0"/>
            </w:tcBorders>
            <w:shd w:val="clear" w:color="auto" w:fill="FFFFFF"/>
            <w:vAlign w:val="center"/>
          </w:tcPr>
          <w:p w14:paraId="76CB78C5">
            <w:pPr>
              <w:keepNext w:val="0"/>
              <w:keepLines w:val="0"/>
              <w:widowControl/>
              <w:suppressLineNumbers w:val="0"/>
              <w:spacing w:before="0" w:beforeAutospacing="0" w:after="0" w:afterAutospacing="0"/>
              <w:ind w:left="0" w:right="0" w:firstLine="0" w:firstLineChars="0"/>
              <w:jc w:val="left"/>
              <w:textAlignment w:val="center"/>
              <w:rPr>
                <w:rFonts w:hint="eastAsia" w:cs="宋体"/>
                <w:sz w:val="21"/>
                <w:szCs w:val="21"/>
              </w:rPr>
            </w:pPr>
            <w:r>
              <w:rPr>
                <w:rFonts w:hint="eastAsia" w:cs="宋体"/>
                <w:b/>
                <w:bCs/>
                <w:color w:val="000000"/>
                <w:kern w:val="0"/>
                <w:sz w:val="21"/>
                <w:szCs w:val="21"/>
                <w:lang w:bidi="ar"/>
              </w:rPr>
              <w:t>应急移动应用体系建设</w:t>
            </w:r>
          </w:p>
        </w:tc>
        <w:tc>
          <w:tcPr>
            <w:tcW w:w="1740" w:type="pct"/>
            <w:tcBorders>
              <w:top w:val="single" w:color="auto" w:sz="4" w:space="0"/>
              <w:left w:val="nil"/>
              <w:bottom w:val="single" w:color="auto" w:sz="4" w:space="0"/>
              <w:right w:val="single" w:color="auto" w:sz="4" w:space="0"/>
            </w:tcBorders>
            <w:shd w:val="clear" w:color="auto" w:fill="FFFFFF"/>
            <w:vAlign w:val="center"/>
          </w:tcPr>
          <w:p w14:paraId="0D88877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应急名录</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49C0D709">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展示各机构应急人员的详细信息，包括工作单位、工作部门、职称、联系方式、应急组、职务、工作经历等信息，支持一键快速沟通、会议功能。</w:t>
            </w:r>
          </w:p>
        </w:tc>
      </w:tr>
      <w:tr w14:paraId="02AC8001">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3D539E4C">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30</w:t>
            </w:r>
          </w:p>
        </w:tc>
        <w:tc>
          <w:tcPr>
            <w:tcW w:w="929" w:type="pct"/>
            <w:vMerge w:val="continue"/>
            <w:tcBorders>
              <w:left w:val="nil"/>
              <w:right w:val="single" w:color="auto" w:sz="4" w:space="0"/>
            </w:tcBorders>
            <w:shd w:val="clear" w:color="auto" w:fill="FFFFFF"/>
            <w:vAlign w:val="center"/>
          </w:tcPr>
          <w:p w14:paraId="4BECA79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50E55D56">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事件地图</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0A3A8928">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事件地图为应对突发事件提供可视化智能辅助支持，支持当前位置自动定位功能，通过地图比例尺的自动调节，确保在最优视野范围内展现当前位置定位。支持地图的显示、平移、放大、缩小等基本操作功能。可根据地图的缩放比例，显示相对应的比例尺标示，支持全市地图根据实际情况进行切换。通过手机GIS地图展现接收的突发公共卫生事件的分布情况、事件情况。此外，用户可通过移动设备实现在线地图、实时路况、实时轨迹、GPS导航、车辆定位、单兵定位、人员定位的功能。</w:t>
            </w:r>
          </w:p>
        </w:tc>
      </w:tr>
      <w:tr w14:paraId="1227F311">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2EB749E1">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31</w:t>
            </w:r>
          </w:p>
        </w:tc>
        <w:tc>
          <w:tcPr>
            <w:tcW w:w="929" w:type="pct"/>
            <w:vMerge w:val="continue"/>
            <w:tcBorders>
              <w:left w:val="nil"/>
              <w:right w:val="single" w:color="auto" w:sz="4" w:space="0"/>
            </w:tcBorders>
            <w:shd w:val="clear" w:color="auto" w:fill="FFFFFF"/>
            <w:vAlign w:val="center"/>
          </w:tcPr>
          <w:p w14:paraId="489A1A53">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5AF0CDF9">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移动作业会商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631AB1E8">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过会议组织者发起会议，邀请与会人员参与会商，完成应急指挥中心与应急现场的语音、视频双向联通，从而进行多方协同会商，辅助实现应急联动指挥,可同时支持显示多路会场画面（含本会场画面）,可自行调整布局。</w:t>
            </w:r>
          </w:p>
        </w:tc>
      </w:tr>
      <w:tr w14:paraId="256518DD">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21A4883A">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32</w:t>
            </w:r>
          </w:p>
        </w:tc>
        <w:tc>
          <w:tcPr>
            <w:tcW w:w="929" w:type="pct"/>
            <w:vMerge w:val="continue"/>
            <w:tcBorders>
              <w:left w:val="nil"/>
              <w:right w:val="single" w:color="auto" w:sz="4" w:space="0"/>
            </w:tcBorders>
            <w:shd w:val="clear" w:color="auto" w:fill="FFFFFF"/>
            <w:vAlign w:val="center"/>
          </w:tcPr>
          <w:p w14:paraId="400AE3A0">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7CCB40B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应急即时通讯</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1C7DE91F">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在移动端实现应急人员、作业中心、中心领导、各成员单位、备班人员等之间的即时通信，实现语音、文字、视频、图片和表情信息的发送和接收，支持单聊和群聊沟通模式。包括单聊、群聊、文件传输、消息推送、群组、在线/离线状态呈现等功能。</w:t>
            </w:r>
          </w:p>
        </w:tc>
      </w:tr>
      <w:tr w14:paraId="7A42451B">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32779E84">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33</w:t>
            </w:r>
          </w:p>
        </w:tc>
        <w:tc>
          <w:tcPr>
            <w:tcW w:w="929" w:type="pct"/>
            <w:vMerge w:val="continue"/>
            <w:tcBorders>
              <w:left w:val="nil"/>
              <w:right w:val="single" w:color="auto" w:sz="4" w:space="0"/>
            </w:tcBorders>
            <w:shd w:val="clear" w:color="auto" w:fill="FFFFFF"/>
            <w:vAlign w:val="center"/>
          </w:tcPr>
          <w:p w14:paraId="32090BB1">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201241B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应急群组消息</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776F0C9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支持应急群组消息功能。支持将应急名录内任意人员临时拉起编组，应急组内通信支持视频文件、图片、语音文件、文字等内容，支持给多个应急群组发送消息。</w:t>
            </w:r>
          </w:p>
        </w:tc>
      </w:tr>
      <w:tr w14:paraId="4509F0C8">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5B62179D">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34</w:t>
            </w:r>
          </w:p>
        </w:tc>
        <w:tc>
          <w:tcPr>
            <w:tcW w:w="929" w:type="pct"/>
            <w:vMerge w:val="continue"/>
            <w:tcBorders>
              <w:left w:val="nil"/>
              <w:right w:val="single" w:color="auto" w:sz="4" w:space="0"/>
            </w:tcBorders>
            <w:shd w:val="clear" w:color="auto" w:fill="FFFFFF"/>
            <w:vAlign w:val="center"/>
          </w:tcPr>
          <w:p w14:paraId="5D30D726">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35BAA2F9">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应急信息查看</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40AFFF3">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包括事件信息查询、指令任务查询、数据查询、预警信息、</w:t>
            </w:r>
            <w:r>
              <w:rPr>
                <w:rFonts w:hint="eastAsia" w:asciiTheme="minorEastAsia" w:hAnsiTheme="minorEastAsia" w:eastAsiaTheme="minorEastAsia" w:cstheme="minorEastAsia"/>
                <w:color w:val="000000"/>
                <w:kern w:val="0"/>
                <w:sz w:val="21"/>
                <w:szCs w:val="21"/>
                <w:lang w:val="en-US" w:eastAsia="zh-CN" w:bidi="ar"/>
              </w:rPr>
              <w:t>Y Q</w:t>
            </w:r>
            <w:bookmarkStart w:id="35" w:name="_GoBack"/>
            <w:bookmarkEnd w:id="35"/>
            <w:r>
              <w:rPr>
                <w:rFonts w:hint="eastAsia" w:asciiTheme="minorEastAsia" w:hAnsiTheme="minorEastAsia" w:eastAsiaTheme="minorEastAsia" w:cstheme="minorEastAsia"/>
                <w:color w:val="000000"/>
                <w:kern w:val="0"/>
                <w:sz w:val="21"/>
                <w:szCs w:val="21"/>
                <w:lang w:bidi="ar"/>
              </w:rPr>
              <w:t>信息、风险评估、作业处置情况、视频查看、初步报告、进程报告、结案报告等信息查询。</w:t>
            </w:r>
          </w:p>
        </w:tc>
      </w:tr>
      <w:tr w14:paraId="3D2F8AA8">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29670AE4">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35</w:t>
            </w:r>
          </w:p>
        </w:tc>
        <w:tc>
          <w:tcPr>
            <w:tcW w:w="929" w:type="pct"/>
            <w:vMerge w:val="continue"/>
            <w:tcBorders>
              <w:left w:val="nil"/>
              <w:right w:val="single" w:color="auto" w:sz="4" w:space="0"/>
            </w:tcBorders>
            <w:shd w:val="clear" w:color="auto" w:fill="FFFFFF"/>
            <w:vAlign w:val="center"/>
          </w:tcPr>
          <w:p w14:paraId="7119855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7B1C9957">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事件信息上报</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133396DE">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在突发事件即将发生或者已经发生之后，现场处置人员可以通过移动终端将事件的基本信息、处置进展、现场拍摄的图片视频、患者情况、初步调查情况等信息上报到系统，以便实时掌握事件的最新进展和处置信息。移动应急处置终端获取自身位置信息进行自导航应用，同时将位置信息向平台发送。</w:t>
            </w:r>
          </w:p>
        </w:tc>
      </w:tr>
      <w:tr w14:paraId="443F6CFF">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63E717DC">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36</w:t>
            </w:r>
          </w:p>
        </w:tc>
        <w:tc>
          <w:tcPr>
            <w:tcW w:w="929" w:type="pct"/>
            <w:vMerge w:val="continue"/>
            <w:tcBorders>
              <w:left w:val="nil"/>
              <w:right w:val="single" w:color="auto" w:sz="4" w:space="0"/>
            </w:tcBorders>
            <w:shd w:val="clear" w:color="auto" w:fill="FFFFFF"/>
            <w:vAlign w:val="center"/>
          </w:tcPr>
          <w:p w14:paraId="338B420B">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007161CA">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应急指令接收与反馈</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18C121EE">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自动接收中心发送的信息，软件自动提醒应急人员接收；应急人员通过点击事件列表中的事件，查看事件详细信息以及事件进展情况等，实现快速响应和联动处置；应急人员可查看详细作业计划以及作业执行情况。指挥组负责下达总的要求和指令，各工作组将应急作业计划进一步细化成具体的工作任务，并将任务派单给具体的应急执行人员。上述派单操作和时间点将被软件自动记录并回传到中心系统中进行保存。如果该事件具有经纬度定位信息，还可以在终端地图上查看该事件的详细位置信息。</w:t>
            </w:r>
          </w:p>
        </w:tc>
      </w:tr>
      <w:tr w14:paraId="3547ACE3">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50454731">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37</w:t>
            </w:r>
          </w:p>
        </w:tc>
        <w:tc>
          <w:tcPr>
            <w:tcW w:w="929" w:type="pct"/>
            <w:vMerge w:val="continue"/>
            <w:tcBorders>
              <w:left w:val="nil"/>
              <w:right w:val="single" w:color="auto" w:sz="4" w:space="0"/>
            </w:tcBorders>
            <w:shd w:val="clear" w:color="auto" w:fill="FFFFFF"/>
            <w:vAlign w:val="center"/>
          </w:tcPr>
          <w:p w14:paraId="0CC90F27">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1856F14F">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应急物资管理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A7428A2">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可查看全部应急物资、我领用的应急物资、物资使用情况、流向记录，支持一键扫码，对应急物资进行查看、领用、归还操作。</w:t>
            </w:r>
          </w:p>
        </w:tc>
      </w:tr>
      <w:tr w14:paraId="4041D6A2">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19C058BC">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38</w:t>
            </w:r>
          </w:p>
        </w:tc>
        <w:tc>
          <w:tcPr>
            <w:tcW w:w="929" w:type="pct"/>
            <w:vMerge w:val="continue"/>
            <w:tcBorders>
              <w:left w:val="nil"/>
              <w:right w:val="single" w:color="auto" w:sz="4" w:space="0"/>
            </w:tcBorders>
            <w:shd w:val="clear" w:color="auto" w:fill="FFFFFF"/>
            <w:vAlign w:val="center"/>
          </w:tcPr>
          <w:p w14:paraId="0318D6BA">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6AF25A69">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应急资源管理</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6E835ADE">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通过移动App 对应急队伍、应急车辆、物资装备、应急专家等应急资源进行查询、检索和统计分析，支持精确查询、模糊查询、按类型查询、按区域查询等多种查询方式，支持具备权限人员对应急资源信息进行采集、编辑、删除等操作。</w:t>
            </w:r>
          </w:p>
        </w:tc>
      </w:tr>
      <w:tr w14:paraId="58BE0A6C">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38D3D28E">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39</w:t>
            </w:r>
          </w:p>
        </w:tc>
        <w:tc>
          <w:tcPr>
            <w:tcW w:w="929" w:type="pct"/>
            <w:vMerge w:val="continue"/>
            <w:tcBorders>
              <w:left w:val="nil"/>
              <w:right w:val="single" w:color="auto" w:sz="4" w:space="0"/>
            </w:tcBorders>
            <w:shd w:val="clear" w:color="auto" w:fill="FFFFFF"/>
            <w:vAlign w:val="center"/>
          </w:tcPr>
          <w:p w14:paraId="314152ED">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3217108F">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应急资源调度</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39E31C36">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通过移动App 对选定事件地点周边应急队伍、物资装备、应急专家、应急车辆等应急资源情况，生成应急资源圈，在地图中查看周边应急资源分布、应急资源详细信息，实现应急资源的快速调度。</w:t>
            </w:r>
          </w:p>
        </w:tc>
      </w:tr>
      <w:tr w14:paraId="080EC417">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0DA2C407">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40</w:t>
            </w:r>
          </w:p>
        </w:tc>
        <w:tc>
          <w:tcPr>
            <w:tcW w:w="929" w:type="pct"/>
            <w:vMerge w:val="continue"/>
            <w:tcBorders>
              <w:left w:val="nil"/>
              <w:right w:val="single" w:color="auto" w:sz="4" w:space="0"/>
            </w:tcBorders>
            <w:shd w:val="clear" w:color="auto" w:fill="FFFFFF"/>
            <w:vAlign w:val="center"/>
          </w:tcPr>
          <w:p w14:paraId="3846FE82">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169EA363">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应急预案查询</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EEEBE7E">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处置人员可以查询、浏览各类处置预案，熟悉各类突发事件的处置原则、处置流程以及相关的处置机构信息。</w:t>
            </w:r>
          </w:p>
        </w:tc>
      </w:tr>
      <w:tr w14:paraId="74191F43">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39855171">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41</w:t>
            </w:r>
          </w:p>
        </w:tc>
        <w:tc>
          <w:tcPr>
            <w:tcW w:w="929" w:type="pct"/>
            <w:vMerge w:val="continue"/>
            <w:tcBorders>
              <w:left w:val="nil"/>
              <w:right w:val="single" w:color="auto" w:sz="4" w:space="0"/>
            </w:tcBorders>
            <w:shd w:val="clear" w:color="auto" w:fill="FFFFFF"/>
            <w:vAlign w:val="center"/>
          </w:tcPr>
          <w:p w14:paraId="4A922089">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62F7025B">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应急案例库查询</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39224E0D">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应急案例库存储事件典型案例，包括案例基本信息和案例要素，案例库可以为突发事件的处置提供参照依据。</w:t>
            </w:r>
          </w:p>
        </w:tc>
      </w:tr>
      <w:tr w14:paraId="745A4D22">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02D145AE">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42</w:t>
            </w:r>
          </w:p>
        </w:tc>
        <w:tc>
          <w:tcPr>
            <w:tcW w:w="929" w:type="pct"/>
            <w:vMerge w:val="continue"/>
            <w:tcBorders>
              <w:left w:val="nil"/>
              <w:right w:val="single" w:color="auto" w:sz="4" w:space="0"/>
            </w:tcBorders>
            <w:shd w:val="clear" w:color="auto" w:fill="FFFFFF"/>
            <w:vAlign w:val="center"/>
          </w:tcPr>
          <w:p w14:paraId="316ACCE6">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69435F3B">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应急综合态势</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8A95CCF">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应急处置人员登陆移动终端APP后，可以查看当前与自己正在处置中突发事件的相关信息，包括事件基本信息、位置分布、作业计划、辅助预案、事件进展等。</w:t>
            </w:r>
          </w:p>
        </w:tc>
      </w:tr>
      <w:tr w14:paraId="60A2B70C">
        <w:tblPrEx>
          <w:tblCellMar>
            <w:top w:w="0" w:type="dxa"/>
            <w:left w:w="108" w:type="dxa"/>
            <w:bottom w:w="0" w:type="dxa"/>
            <w:right w:w="108" w:type="dxa"/>
          </w:tblCellMar>
        </w:tblPrEx>
        <w:trPr>
          <w:trHeight w:val="1710" w:hRule="atLeast"/>
          <w:jc w:val="center"/>
        </w:trPr>
        <w:tc>
          <w:tcPr>
            <w:tcW w:w="542" w:type="pct"/>
            <w:tcBorders>
              <w:top w:val="single" w:color="auto" w:sz="4" w:space="0"/>
              <w:left w:val="single" w:color="auto" w:sz="4" w:space="0"/>
              <w:bottom w:val="single" w:color="auto" w:sz="4" w:space="0"/>
              <w:right w:val="single" w:color="auto" w:sz="4" w:space="0"/>
            </w:tcBorders>
            <w:shd w:val="clear" w:color="auto" w:fill="FFFFFF"/>
            <w:vAlign w:val="center"/>
          </w:tcPr>
          <w:p w14:paraId="474E0CAF">
            <w:pPr>
              <w:keepNext w:val="0"/>
              <w:keepLines w:val="0"/>
              <w:widowControl/>
              <w:suppressLineNumbers w:val="0"/>
              <w:spacing w:before="0" w:beforeAutospacing="0" w:after="0" w:afterAutospacing="0"/>
              <w:ind w:left="0" w:right="0" w:firstLine="440"/>
              <w:jc w:val="left"/>
              <w:textAlignment w:val="center"/>
              <w:rPr>
                <w:rFonts w:hint="default" w:ascii="Tahoma" w:hAnsi="Tahoma" w:cs="Tahoma"/>
                <w:color w:val="000000"/>
                <w:kern w:val="0"/>
                <w:sz w:val="22"/>
                <w:szCs w:val="22"/>
              </w:rPr>
            </w:pPr>
            <w:r>
              <w:rPr>
                <w:rFonts w:hint="eastAsia" w:ascii="等线" w:hAnsi="等线" w:eastAsia="等线" w:cs="等线"/>
                <w:b/>
                <w:bCs/>
                <w:color w:val="000000"/>
                <w:kern w:val="0"/>
                <w:sz w:val="22"/>
                <w:szCs w:val="22"/>
                <w:lang w:bidi="ar"/>
              </w:rPr>
              <w:t>43</w:t>
            </w:r>
          </w:p>
        </w:tc>
        <w:tc>
          <w:tcPr>
            <w:tcW w:w="929" w:type="pct"/>
            <w:vMerge w:val="continue"/>
            <w:tcBorders>
              <w:left w:val="nil"/>
              <w:bottom w:val="single" w:color="auto" w:sz="4" w:space="0"/>
              <w:right w:val="single" w:color="auto" w:sz="4" w:space="0"/>
            </w:tcBorders>
            <w:shd w:val="clear" w:color="auto" w:fill="FFFFFF"/>
            <w:vAlign w:val="center"/>
          </w:tcPr>
          <w:p w14:paraId="18496ED1">
            <w:pPr>
              <w:keepNext w:val="0"/>
              <w:keepLines w:val="0"/>
              <w:widowControl/>
              <w:suppressLineNumbers w:val="0"/>
              <w:spacing w:before="0" w:beforeAutospacing="0" w:after="0" w:afterAutospacing="0"/>
              <w:ind w:left="0" w:right="0" w:firstLine="422"/>
              <w:jc w:val="left"/>
              <w:textAlignment w:val="center"/>
              <w:rPr>
                <w:rFonts w:hint="eastAsia" w:cs="宋体"/>
                <w:sz w:val="21"/>
                <w:szCs w:val="21"/>
              </w:rPr>
            </w:pPr>
          </w:p>
        </w:tc>
        <w:tc>
          <w:tcPr>
            <w:tcW w:w="1740" w:type="pct"/>
            <w:tcBorders>
              <w:top w:val="single" w:color="auto" w:sz="4" w:space="0"/>
              <w:left w:val="nil"/>
              <w:bottom w:val="single" w:color="auto" w:sz="4" w:space="0"/>
              <w:right w:val="single" w:color="auto" w:sz="4" w:space="0"/>
            </w:tcBorders>
            <w:shd w:val="clear" w:color="auto" w:fill="FFFFFF"/>
            <w:vAlign w:val="center"/>
          </w:tcPr>
          <w:p w14:paraId="542D0837">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突发事件管理看板</w:t>
            </w:r>
          </w:p>
        </w:tc>
        <w:tc>
          <w:tcPr>
            <w:tcW w:w="1788" w:type="pct"/>
            <w:tcBorders>
              <w:top w:val="single" w:color="auto" w:sz="4" w:space="0"/>
              <w:left w:val="nil"/>
              <w:bottom w:val="single" w:color="auto" w:sz="4" w:space="0"/>
              <w:right w:val="single" w:color="auto" w:sz="4" w:space="0"/>
            </w:tcBorders>
            <w:shd w:val="clear" w:color="auto" w:fill="FFFFFF"/>
            <w:vAlign w:val="center"/>
          </w:tcPr>
          <w:p w14:paraId="5EA0F9F9">
            <w:pPr>
              <w:keepNext w:val="0"/>
              <w:keepLines w:val="0"/>
              <w:widowControl/>
              <w:suppressLineNumbers w:val="0"/>
              <w:spacing w:before="0" w:beforeAutospacing="0" w:after="0" w:afterAutospacing="0"/>
              <w:ind w:left="0" w:right="0" w:firstLine="42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通过移动终端可以查看突发事件按月度、年度等统计分析情况，包括整体分析、按地区分布情况分析、按风险等级分析、按场所分析、按类别分析等。</w:t>
            </w:r>
          </w:p>
        </w:tc>
      </w:tr>
    </w:tbl>
    <w:p w14:paraId="57DA9FB7">
      <w:pPr>
        <w:rPr>
          <w:rFonts w:hint="eastAsia" w:cs="宋体"/>
        </w:rPr>
      </w:pPr>
    </w:p>
    <w:p w14:paraId="29EC9436">
      <w:pPr>
        <w:ind w:left="480" w:leftChars="200" w:firstLine="0" w:firstLineChars="0"/>
        <w:rPr>
          <w:rFonts w:hint="eastAsia"/>
        </w:rPr>
      </w:pPr>
    </w:p>
    <w:p w14:paraId="73FE9EE6">
      <w:pPr>
        <w:pStyle w:val="2"/>
        <w:rPr>
          <w:rFonts w:hint="eastAsia"/>
        </w:rPr>
      </w:pPr>
      <w:bookmarkStart w:id="18" w:name="_Toc63785503"/>
      <w:r>
        <w:rPr>
          <w:rFonts w:hint="eastAsia"/>
        </w:rPr>
        <w:t>其他工作要求</w:t>
      </w:r>
      <w:bookmarkEnd w:id="18"/>
    </w:p>
    <w:p w14:paraId="7748E5B8">
      <w:pPr>
        <w:pStyle w:val="3"/>
        <w:rPr>
          <w:rFonts w:hint="eastAsia"/>
        </w:rPr>
      </w:pPr>
      <w:bookmarkStart w:id="19" w:name="_Toc63151871"/>
      <w:bookmarkEnd w:id="19"/>
      <w:bookmarkStart w:id="20" w:name="_Toc62209488"/>
      <w:bookmarkEnd w:id="20"/>
      <w:bookmarkStart w:id="21" w:name="_Toc61968111"/>
      <w:bookmarkEnd w:id="21"/>
      <w:bookmarkStart w:id="22" w:name="_Toc62219358"/>
      <w:bookmarkEnd w:id="22"/>
      <w:bookmarkStart w:id="23" w:name="_Toc63785504"/>
      <w:bookmarkEnd w:id="23"/>
      <w:bookmarkStart w:id="24" w:name="_Toc63785439"/>
      <w:bookmarkEnd w:id="24"/>
      <w:bookmarkStart w:id="25" w:name="_Toc63585480"/>
      <w:bookmarkEnd w:id="25"/>
      <w:bookmarkStart w:id="26" w:name="_Toc63762370"/>
      <w:bookmarkEnd w:id="26"/>
      <w:bookmarkStart w:id="27" w:name="_Toc63785505"/>
      <w:r>
        <w:rPr>
          <w:rFonts w:hint="eastAsia"/>
        </w:rPr>
        <w:t>售后服务要求</w:t>
      </w:r>
      <w:bookmarkEnd w:id="27"/>
    </w:p>
    <w:p w14:paraId="42A1C1B9">
      <w:pPr>
        <w:pStyle w:val="108"/>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w:t>
      </w:r>
      <w:r>
        <w:rPr>
          <w:rFonts w:hint="eastAsia" w:ascii="宋体" w:hAnsi="宋体"/>
          <w:sz w:val="24"/>
          <w:szCs w:val="24"/>
          <w:lang w:val="en-US" w:eastAsia="zh-CN"/>
        </w:rPr>
        <w:t>3</w:t>
      </w:r>
      <w:r>
        <w:rPr>
          <w:rFonts w:hint="eastAsia" w:ascii="宋体" w:hAnsi="宋体"/>
          <w:sz w:val="24"/>
          <w:szCs w:val="24"/>
        </w:rPr>
        <w:t>年内提供</w:t>
      </w:r>
      <w:r>
        <w:rPr>
          <w:rFonts w:ascii="宋体" w:hAnsi="宋体"/>
          <w:sz w:val="24"/>
          <w:szCs w:val="24"/>
        </w:rPr>
        <w:t>7*24小时免费技术支持</w:t>
      </w:r>
      <w:r>
        <w:rPr>
          <w:rFonts w:hint="eastAsia" w:ascii="宋体" w:hAnsi="宋体"/>
          <w:sz w:val="24"/>
          <w:szCs w:val="24"/>
        </w:rPr>
        <w:t>和售后服务，</w:t>
      </w:r>
      <w:r>
        <w:rPr>
          <w:rFonts w:hint="eastAsia" w:ascii="宋体" w:hAnsi="宋体"/>
          <w:sz w:val="24"/>
          <w:szCs w:val="24"/>
          <w:lang w:val="en-US" w:eastAsia="zh-CN"/>
        </w:rPr>
        <w:t>3</w:t>
      </w:r>
      <w:r>
        <w:rPr>
          <w:rFonts w:hint="eastAsia" w:ascii="宋体" w:hAnsi="宋体"/>
          <w:sz w:val="24"/>
          <w:szCs w:val="24"/>
        </w:rPr>
        <w:t>年后进入有偿维护期。</w:t>
      </w:r>
    </w:p>
    <w:p w14:paraId="2C688CAE">
      <w:pPr>
        <w:pStyle w:val="108"/>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w:t>
      </w:r>
    </w:p>
    <w:p w14:paraId="3B0183B0">
      <w:pPr>
        <w:pStyle w:val="108"/>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包括但不限于：远程技术支持、预防性维护、故障修复、重大活动现场保障、技术交流与培训、性能优化等。</w:t>
      </w:r>
    </w:p>
    <w:p w14:paraId="4425B98C">
      <w:pPr>
        <w:pStyle w:val="3"/>
        <w:rPr>
          <w:rFonts w:hint="eastAsia"/>
        </w:rPr>
      </w:pPr>
      <w:bookmarkStart w:id="28" w:name="_Toc63785506"/>
      <w:r>
        <w:rPr>
          <w:rFonts w:hint="eastAsia"/>
        </w:rPr>
        <w:t>应急响应要求</w:t>
      </w:r>
      <w:bookmarkEnd w:id="28"/>
    </w:p>
    <w:p w14:paraId="764C1C0E">
      <w:pPr>
        <w:pStyle w:val="108"/>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60DD2A03">
      <w:pPr>
        <w:pStyle w:val="108"/>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1FA1A8B5">
      <w:pPr>
        <w:pStyle w:val="108"/>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17D1E5A6">
      <w:pPr>
        <w:pStyle w:val="108"/>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6A63C620">
      <w:pPr>
        <w:pStyle w:val="108"/>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0B4BC01">
      <w:pPr>
        <w:pStyle w:val="3"/>
        <w:rPr>
          <w:rFonts w:hint="eastAsia"/>
        </w:rPr>
      </w:pPr>
      <w:bookmarkStart w:id="29" w:name="_Toc63785507"/>
      <w:r>
        <w:rPr>
          <w:rFonts w:hint="eastAsia"/>
        </w:rPr>
        <w:t>培训要求</w:t>
      </w:r>
      <w:bookmarkEnd w:id="29"/>
    </w:p>
    <w:p w14:paraId="009D27F1">
      <w:pPr>
        <w:rPr>
          <w:rFonts w:hint="eastAsia"/>
        </w:rPr>
      </w:pPr>
      <w:r>
        <w:rPr>
          <w:rFonts w:hint="eastAsia"/>
        </w:rPr>
        <w:t>对系统使用单位提供业务操作培训，应提供详细培训方案。</w:t>
      </w:r>
    </w:p>
    <w:p w14:paraId="2811F728">
      <w:pPr>
        <w:rPr>
          <w:rFonts w:hint="eastAsia"/>
        </w:rPr>
      </w:pPr>
      <w:r>
        <w:rPr>
          <w:rFonts w:hint="eastAsia"/>
        </w:rPr>
        <w:t>(1)在12个月的质量保证期内，提供2次与项目相关的必要培训。</w:t>
      </w:r>
    </w:p>
    <w:p w14:paraId="5443929F">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3F5CC1FB">
      <w:pPr>
        <w:rPr>
          <w:rFonts w:hint="eastAsia"/>
        </w:rPr>
      </w:pPr>
      <w:r>
        <w:rPr>
          <w:rFonts w:hint="eastAsia"/>
        </w:rPr>
        <w:t>(3)供应商应提供一般用户的基础操作培训和部门信息管理员的日常应用维护的培训，确保用户对象能够掌握对应的操作技能。</w:t>
      </w:r>
    </w:p>
    <w:p w14:paraId="648A7EAB">
      <w:pPr>
        <w:pStyle w:val="3"/>
        <w:rPr>
          <w:rFonts w:hint="eastAsia"/>
        </w:rPr>
      </w:pPr>
      <w:bookmarkStart w:id="30" w:name="_Toc63785508"/>
      <w:r>
        <w:rPr>
          <w:rFonts w:hint="eastAsia"/>
        </w:rPr>
        <w:t>验收要求</w:t>
      </w:r>
      <w:bookmarkEnd w:id="30"/>
    </w:p>
    <w:p w14:paraId="302A40B6">
      <w:pPr>
        <w:rPr>
          <w:rFonts w:hint="eastAsia"/>
          <w:szCs w:val="21"/>
        </w:rPr>
      </w:pPr>
      <w:r>
        <w:rPr>
          <w:rFonts w:hint="eastAsia"/>
          <w:szCs w:val="21"/>
        </w:rPr>
        <w:t>本项目按下述方式开展验收。</w:t>
      </w:r>
    </w:p>
    <w:p w14:paraId="600150BE">
      <w:pPr>
        <w:rPr>
          <w:rFonts w:hint="eastAsia"/>
          <w:szCs w:val="21"/>
        </w:rPr>
      </w:pPr>
      <w:r>
        <w:rPr>
          <w:rFonts w:hint="eastAsia"/>
          <w:szCs w:val="21"/>
        </w:rPr>
        <w:t>（</w:t>
      </w:r>
      <w:r>
        <w:rPr>
          <w:szCs w:val="21"/>
        </w:rPr>
        <w:t>1）验收分初验和终验。</w:t>
      </w:r>
    </w:p>
    <w:p w14:paraId="2D8385EE">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29B5CD6F">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3E96EA39">
      <w:pPr>
        <w:rPr>
          <w:rFonts w:hint="eastAsia"/>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3EA470D0">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15</w:t>
      </w:r>
      <w:r>
        <w:rPr>
          <w:szCs w:val="21"/>
        </w:rPr>
        <w:t>个工作日内发起组织专家验收会。</w:t>
      </w:r>
    </w:p>
    <w:p w14:paraId="4588A8D0">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26C117D2">
      <w:pPr>
        <w:rPr>
          <w:rFonts w:hint="eastAsia"/>
          <w:szCs w:val="21"/>
        </w:rPr>
      </w:pPr>
      <w:r>
        <w:rPr>
          <w:rFonts w:hint="eastAsia"/>
          <w:szCs w:val="21"/>
        </w:rPr>
        <w:t>（7</w:t>
      </w:r>
      <w:r>
        <w:rPr>
          <w:szCs w:val="21"/>
        </w:rPr>
        <w:t>）如果由于招标方原因导致本项目在终验通过前出现故障或问题，供应商应及时配合排除该方面的故障或问题。</w:t>
      </w:r>
    </w:p>
    <w:p w14:paraId="58BB881D">
      <w:pPr>
        <w:rPr>
          <w:rFonts w:hint="eastAsia"/>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2D619C8C">
      <w:pPr>
        <w:pStyle w:val="3"/>
        <w:rPr>
          <w:rFonts w:hint="eastAsia"/>
        </w:rPr>
      </w:pPr>
      <w:bookmarkStart w:id="31" w:name="_Toc63785509"/>
      <w:r>
        <w:rPr>
          <w:rFonts w:hint="eastAsia"/>
        </w:rPr>
        <w:t>进度要求</w:t>
      </w:r>
      <w:bookmarkEnd w:id="31"/>
    </w:p>
    <w:p w14:paraId="14BF82CD">
      <w:pPr>
        <w:rPr>
          <w:rFonts w:hint="eastAsia"/>
        </w:rPr>
      </w:pPr>
      <w:r>
        <w:rPr>
          <w:rFonts w:hint="eastAsia"/>
        </w:rPr>
        <w:t>投标人应根据建设内容，分阶段制定合理的时间进度，并且应根据招标方要求进行调整和细化。</w:t>
      </w:r>
    </w:p>
    <w:p w14:paraId="13582B8E">
      <w:pPr>
        <w:rPr>
          <w:rFonts w:hint="eastAsia"/>
        </w:rPr>
      </w:pPr>
      <w:r>
        <w:rPr>
          <w:rFonts w:hint="eastAsia"/>
        </w:rPr>
        <w:t>项目总体建设周期为</w:t>
      </w:r>
      <w:r>
        <w:rPr>
          <w:rFonts w:hint="eastAsia"/>
          <w:lang w:val="en-US" w:eastAsia="zh-CN"/>
        </w:rPr>
        <w:t>2025年12月31日前完成项目建设并通过验收。</w:t>
      </w:r>
    </w:p>
    <w:p w14:paraId="425C0E0D">
      <w:pPr>
        <w:pStyle w:val="3"/>
        <w:rPr>
          <w:rFonts w:hint="eastAsia"/>
        </w:rPr>
      </w:pPr>
      <w:bookmarkStart w:id="32" w:name="_Toc63785510"/>
      <w:r>
        <w:rPr>
          <w:rFonts w:hint="eastAsia"/>
        </w:rPr>
        <w:t>项目团队及驻场人员要求</w:t>
      </w:r>
      <w:bookmarkEnd w:id="32"/>
    </w:p>
    <w:p w14:paraId="7EF42A44">
      <w:pPr>
        <w:rPr>
          <w:rFonts w:hint="eastAsia"/>
        </w:rPr>
      </w:pPr>
      <w:bookmarkStart w:id="33" w:name="_Toc63785511"/>
      <w:r>
        <w:t>1）投标人须具有稳定的在职技术保障力量，能够提供及时的技术支援或服务，应针对本项目提供不少于</w:t>
      </w:r>
      <w:r>
        <w:rPr>
          <w:rFonts w:hint="eastAsia"/>
        </w:rPr>
        <w:t>15</w:t>
      </w:r>
      <w:r>
        <w:t>人的项目服务团队（包括项目经理、产品经理、技术负责人、研发</w:t>
      </w:r>
      <w:r>
        <w:rPr>
          <w:rFonts w:hint="eastAsia"/>
        </w:rPr>
        <w:t>、实施</w:t>
      </w:r>
      <w:r>
        <w:t>等），</w:t>
      </w:r>
      <w:r>
        <w:rPr>
          <w:rFonts w:hint="eastAsia"/>
        </w:rPr>
        <w:t>其中至少4人驻场，</w:t>
      </w:r>
      <w:r>
        <w:t>投标单位的相关服务人员需具备相应的服务能力，需提供相关证明。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619"/>
        <w:gridCol w:w="1180"/>
        <w:gridCol w:w="1907"/>
        <w:gridCol w:w="1180"/>
      </w:tblGrid>
      <w:tr w14:paraId="16C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806644B">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b/>
              </w:rPr>
            </w:pPr>
            <w:r>
              <w:rPr>
                <w:rFonts w:hint="eastAsia" w:ascii="宋体" w:hAnsi="宋体" w:eastAsia="宋体" w:cs="宋体"/>
                <w:b/>
                <w:bCs w:val="0"/>
                <w:kern w:val="2"/>
                <w:sz w:val="24"/>
                <w:szCs w:val="24"/>
                <w:lang w:val="en-US" w:eastAsia="zh-CN" w:bidi="ar"/>
              </w:rPr>
              <w:t>角色</w:t>
            </w:r>
          </w:p>
        </w:tc>
        <w:tc>
          <w:tcPr>
            <w:tcW w:w="2619" w:type="dxa"/>
            <w:shd w:val="clear" w:color="auto" w:fill="auto"/>
            <w:noWrap/>
            <w:vAlign w:val="center"/>
          </w:tcPr>
          <w:p w14:paraId="2842792C">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b/>
              </w:rPr>
            </w:pPr>
            <w:r>
              <w:rPr>
                <w:rFonts w:hint="eastAsia" w:ascii="宋体" w:hAnsi="宋体" w:eastAsia="宋体" w:cs="宋体"/>
                <w:b/>
                <w:bCs w:val="0"/>
                <w:kern w:val="2"/>
                <w:sz w:val="24"/>
                <w:szCs w:val="24"/>
                <w:lang w:val="en-US" w:eastAsia="zh-CN" w:bidi="ar"/>
              </w:rPr>
              <w:t>主要职责</w:t>
            </w:r>
          </w:p>
        </w:tc>
        <w:tc>
          <w:tcPr>
            <w:tcW w:w="1180" w:type="dxa"/>
            <w:shd w:val="clear" w:color="auto" w:fill="auto"/>
            <w:noWrap/>
            <w:vAlign w:val="center"/>
          </w:tcPr>
          <w:p w14:paraId="192F646E">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b/>
              </w:rPr>
            </w:pPr>
            <w:r>
              <w:rPr>
                <w:rFonts w:hint="eastAsia" w:ascii="宋体" w:hAnsi="宋体" w:eastAsia="宋体" w:cs="宋体"/>
                <w:b/>
                <w:bCs w:val="0"/>
                <w:kern w:val="2"/>
                <w:sz w:val="24"/>
                <w:szCs w:val="24"/>
                <w:lang w:val="en-US" w:eastAsia="zh-CN" w:bidi="ar"/>
              </w:rPr>
              <w:t>人员数量</w:t>
            </w:r>
          </w:p>
        </w:tc>
        <w:tc>
          <w:tcPr>
            <w:tcW w:w="1907" w:type="dxa"/>
            <w:vAlign w:val="center"/>
          </w:tcPr>
          <w:p w14:paraId="4A2C8276">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b/>
              </w:rPr>
            </w:pPr>
            <w:r>
              <w:rPr>
                <w:rFonts w:hint="eastAsia" w:ascii="宋体" w:hAnsi="宋体" w:eastAsia="宋体" w:cs="宋体"/>
                <w:b/>
                <w:bCs w:val="0"/>
                <w:kern w:val="2"/>
                <w:sz w:val="24"/>
                <w:szCs w:val="24"/>
                <w:lang w:val="en-US" w:eastAsia="zh-CN" w:bidi="ar"/>
              </w:rPr>
              <w:t>人员要求</w:t>
            </w:r>
          </w:p>
        </w:tc>
        <w:tc>
          <w:tcPr>
            <w:tcW w:w="1180" w:type="dxa"/>
            <w:shd w:val="clear" w:color="auto" w:fill="auto"/>
            <w:noWrap/>
            <w:vAlign w:val="center"/>
          </w:tcPr>
          <w:p w14:paraId="2895D30B">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b/>
              </w:rPr>
            </w:pPr>
            <w:r>
              <w:rPr>
                <w:rFonts w:hint="eastAsia" w:ascii="宋体" w:hAnsi="宋体" w:eastAsia="宋体" w:cs="宋体"/>
                <w:b/>
                <w:bCs w:val="0"/>
                <w:kern w:val="2"/>
                <w:sz w:val="24"/>
                <w:szCs w:val="24"/>
                <w:lang w:val="en-US" w:eastAsia="zh-CN" w:bidi="ar"/>
              </w:rPr>
              <w:t>驻场要求</w:t>
            </w:r>
          </w:p>
        </w:tc>
      </w:tr>
      <w:tr w14:paraId="2EC0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A2B3A26">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项目经理</w:t>
            </w:r>
          </w:p>
        </w:tc>
        <w:tc>
          <w:tcPr>
            <w:tcW w:w="2619" w:type="dxa"/>
            <w:shd w:val="clear" w:color="auto" w:fill="auto"/>
            <w:vAlign w:val="center"/>
          </w:tcPr>
          <w:p w14:paraId="6762BD56">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负责项目质量和进度控制</w:t>
            </w:r>
          </w:p>
        </w:tc>
        <w:tc>
          <w:tcPr>
            <w:tcW w:w="1180" w:type="dxa"/>
            <w:shd w:val="clear" w:color="auto" w:fill="auto"/>
            <w:noWrap/>
            <w:vAlign w:val="center"/>
          </w:tcPr>
          <w:p w14:paraId="52067E0F">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1人</w:t>
            </w:r>
          </w:p>
        </w:tc>
        <w:tc>
          <w:tcPr>
            <w:tcW w:w="1907" w:type="dxa"/>
            <w:vAlign w:val="center"/>
          </w:tcPr>
          <w:p w14:paraId="5E1EDBEA">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信息系统项目管理师（高级）资格证书优先考虑</w:t>
            </w:r>
          </w:p>
        </w:tc>
        <w:tc>
          <w:tcPr>
            <w:tcW w:w="1180" w:type="dxa"/>
            <w:shd w:val="clear" w:color="auto" w:fill="auto"/>
            <w:noWrap/>
            <w:vAlign w:val="center"/>
          </w:tcPr>
          <w:p w14:paraId="60E7915F">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驻场</w:t>
            </w:r>
          </w:p>
        </w:tc>
      </w:tr>
      <w:tr w14:paraId="7A41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top"/>
          </w:tcPr>
          <w:p w14:paraId="38CD4EEC">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产品经理</w:t>
            </w:r>
          </w:p>
        </w:tc>
        <w:tc>
          <w:tcPr>
            <w:tcW w:w="2619" w:type="dxa"/>
            <w:shd w:val="clear" w:color="auto" w:fill="auto"/>
            <w:vAlign w:val="top"/>
          </w:tcPr>
          <w:p w14:paraId="37598482">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负责项目需求评估与产品设计</w:t>
            </w:r>
          </w:p>
        </w:tc>
        <w:tc>
          <w:tcPr>
            <w:tcW w:w="1180" w:type="dxa"/>
            <w:shd w:val="clear" w:color="auto" w:fill="auto"/>
            <w:noWrap/>
            <w:vAlign w:val="center"/>
          </w:tcPr>
          <w:p w14:paraId="003D41BA">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3人</w:t>
            </w:r>
          </w:p>
        </w:tc>
        <w:tc>
          <w:tcPr>
            <w:tcW w:w="1907" w:type="dxa"/>
            <w:vAlign w:val="center"/>
          </w:tcPr>
          <w:p w14:paraId="490F2F85">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具有系统分析师（高级）或软件设计师（中级）资格证书优先考虑</w:t>
            </w:r>
          </w:p>
        </w:tc>
        <w:tc>
          <w:tcPr>
            <w:tcW w:w="1180" w:type="dxa"/>
            <w:shd w:val="clear" w:color="auto" w:fill="auto"/>
            <w:noWrap/>
            <w:vAlign w:val="center"/>
          </w:tcPr>
          <w:p w14:paraId="669EEEF0">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不驻场</w:t>
            </w:r>
          </w:p>
        </w:tc>
      </w:tr>
      <w:tr w14:paraId="04F4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top"/>
          </w:tcPr>
          <w:p w14:paraId="35F84196">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技术负责人</w:t>
            </w:r>
          </w:p>
        </w:tc>
        <w:tc>
          <w:tcPr>
            <w:tcW w:w="2619" w:type="dxa"/>
            <w:shd w:val="clear" w:color="auto" w:fill="auto"/>
            <w:vAlign w:val="top"/>
          </w:tcPr>
          <w:p w14:paraId="0FF8E3FF">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负责技术实现</w:t>
            </w:r>
          </w:p>
        </w:tc>
        <w:tc>
          <w:tcPr>
            <w:tcW w:w="1180" w:type="dxa"/>
            <w:shd w:val="clear" w:color="auto" w:fill="auto"/>
            <w:noWrap/>
            <w:vAlign w:val="center"/>
          </w:tcPr>
          <w:p w14:paraId="5A4F7292">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2人</w:t>
            </w:r>
          </w:p>
        </w:tc>
        <w:tc>
          <w:tcPr>
            <w:tcW w:w="1907" w:type="dxa"/>
            <w:vAlign w:val="center"/>
          </w:tcPr>
          <w:p w14:paraId="34EB2913">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具有计算机技术与软件专业相关证书优先考虑</w:t>
            </w:r>
          </w:p>
        </w:tc>
        <w:tc>
          <w:tcPr>
            <w:tcW w:w="1180" w:type="dxa"/>
            <w:shd w:val="clear" w:color="auto" w:fill="auto"/>
            <w:noWrap/>
            <w:vAlign w:val="center"/>
          </w:tcPr>
          <w:p w14:paraId="3C93962B">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不驻场</w:t>
            </w:r>
          </w:p>
        </w:tc>
      </w:tr>
      <w:tr w14:paraId="0296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3DB9475A">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研发</w:t>
            </w:r>
          </w:p>
        </w:tc>
        <w:tc>
          <w:tcPr>
            <w:tcW w:w="2619" w:type="dxa"/>
            <w:shd w:val="clear" w:color="auto" w:fill="auto"/>
            <w:noWrap/>
            <w:vAlign w:val="center"/>
          </w:tcPr>
          <w:p w14:paraId="07F30E0F">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负责项目具体开发</w:t>
            </w:r>
          </w:p>
        </w:tc>
        <w:tc>
          <w:tcPr>
            <w:tcW w:w="1180" w:type="dxa"/>
            <w:shd w:val="clear" w:color="auto" w:fill="auto"/>
            <w:noWrap/>
            <w:vAlign w:val="center"/>
          </w:tcPr>
          <w:p w14:paraId="126EF812">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6人</w:t>
            </w:r>
          </w:p>
        </w:tc>
        <w:tc>
          <w:tcPr>
            <w:tcW w:w="1907" w:type="dxa"/>
            <w:vAlign w:val="center"/>
          </w:tcPr>
          <w:p w14:paraId="462F7ADE">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具有相关工作经验优先考虑</w:t>
            </w:r>
          </w:p>
        </w:tc>
        <w:tc>
          <w:tcPr>
            <w:tcW w:w="1180" w:type="dxa"/>
            <w:shd w:val="clear" w:color="auto" w:fill="auto"/>
            <w:noWrap/>
            <w:vAlign w:val="center"/>
          </w:tcPr>
          <w:p w14:paraId="2689768F">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不驻场</w:t>
            </w:r>
          </w:p>
        </w:tc>
      </w:tr>
      <w:tr w14:paraId="64E6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5254A929">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实施</w:t>
            </w:r>
          </w:p>
        </w:tc>
        <w:tc>
          <w:tcPr>
            <w:tcW w:w="2619" w:type="dxa"/>
            <w:shd w:val="clear" w:color="auto" w:fill="auto"/>
            <w:noWrap/>
            <w:vAlign w:val="center"/>
          </w:tcPr>
          <w:p w14:paraId="14EA7679">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负责项目具体实施</w:t>
            </w:r>
          </w:p>
        </w:tc>
        <w:tc>
          <w:tcPr>
            <w:tcW w:w="1180" w:type="dxa"/>
            <w:shd w:val="clear" w:color="auto" w:fill="auto"/>
            <w:noWrap/>
            <w:vAlign w:val="center"/>
          </w:tcPr>
          <w:p w14:paraId="01CFABA5">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3人</w:t>
            </w:r>
          </w:p>
        </w:tc>
        <w:tc>
          <w:tcPr>
            <w:tcW w:w="1907" w:type="dxa"/>
            <w:vAlign w:val="center"/>
          </w:tcPr>
          <w:p w14:paraId="16F88873">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具有相关工作经验优先考虑</w:t>
            </w:r>
          </w:p>
        </w:tc>
        <w:tc>
          <w:tcPr>
            <w:tcW w:w="1180" w:type="dxa"/>
            <w:shd w:val="clear" w:color="auto" w:fill="auto"/>
            <w:noWrap/>
            <w:vAlign w:val="center"/>
          </w:tcPr>
          <w:p w14:paraId="57975D66">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rPr>
            </w:pPr>
            <w:r>
              <w:rPr>
                <w:rFonts w:hint="eastAsia" w:ascii="宋体" w:hAnsi="宋体" w:eastAsia="宋体" w:cs="宋体"/>
                <w:kern w:val="2"/>
                <w:sz w:val="24"/>
                <w:szCs w:val="24"/>
                <w:lang w:val="en-US" w:eastAsia="zh-CN" w:bidi="ar"/>
              </w:rPr>
              <w:t>驻场</w:t>
            </w:r>
          </w:p>
        </w:tc>
      </w:tr>
    </w:tbl>
    <w:p w14:paraId="0B926F3E">
      <w:pPr>
        <w:rPr>
          <w:rFonts w:hint="eastAsia"/>
        </w:rPr>
      </w:pPr>
      <w:r>
        <w:t>2）投标人应针对本项目提供不少于2人的质保期间支撑团队（其中技术经理1人，技术工程师不少于1人）；投标人的相关服务人员需具备相应的服务能力，需提供相关证明（最近一个季度依法缴纳社保费的证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362"/>
        <w:gridCol w:w="1180"/>
        <w:gridCol w:w="1434"/>
        <w:gridCol w:w="2136"/>
      </w:tblGrid>
      <w:tr w14:paraId="3BFE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BC264EF">
            <w:pPr>
              <w:keepNext w:val="0"/>
              <w:keepLines w:val="0"/>
              <w:widowControl/>
              <w:suppressLineNumbers w:val="0"/>
              <w:spacing w:before="0" w:beforeAutospacing="0" w:after="0" w:afterAutospacing="0" w:line="240" w:lineRule="auto"/>
              <w:ind w:left="0" w:right="0" w:firstLine="0" w:firstLineChars="0"/>
              <w:jc w:val="center"/>
              <w:rPr>
                <w:rFonts w:hint="eastAsia"/>
                <w:b/>
              </w:rPr>
            </w:pPr>
            <w:r>
              <w:rPr>
                <w:rFonts w:hint="eastAsia"/>
                <w:b/>
              </w:rPr>
              <w:t>角色</w:t>
            </w:r>
          </w:p>
        </w:tc>
        <w:tc>
          <w:tcPr>
            <w:tcW w:w="0" w:type="auto"/>
            <w:shd w:val="clear" w:color="auto" w:fill="auto"/>
            <w:noWrap/>
            <w:vAlign w:val="center"/>
          </w:tcPr>
          <w:p w14:paraId="3BA6DC46">
            <w:pPr>
              <w:keepNext w:val="0"/>
              <w:keepLines w:val="0"/>
              <w:widowControl/>
              <w:suppressLineNumbers w:val="0"/>
              <w:spacing w:before="0" w:beforeAutospacing="0" w:after="0" w:afterAutospacing="0" w:line="240" w:lineRule="auto"/>
              <w:ind w:left="0" w:right="0" w:firstLine="0" w:firstLineChars="0"/>
              <w:jc w:val="center"/>
              <w:rPr>
                <w:rFonts w:hint="eastAsia"/>
                <w:b/>
              </w:rPr>
            </w:pPr>
            <w:r>
              <w:rPr>
                <w:rFonts w:hint="eastAsia"/>
                <w:b/>
              </w:rPr>
              <w:t>主要职责</w:t>
            </w:r>
          </w:p>
        </w:tc>
        <w:tc>
          <w:tcPr>
            <w:tcW w:w="0" w:type="auto"/>
            <w:shd w:val="clear" w:color="auto" w:fill="auto"/>
            <w:noWrap/>
            <w:vAlign w:val="center"/>
          </w:tcPr>
          <w:p w14:paraId="0B5D2CCB">
            <w:pPr>
              <w:keepNext w:val="0"/>
              <w:keepLines w:val="0"/>
              <w:widowControl/>
              <w:suppressLineNumbers w:val="0"/>
              <w:spacing w:before="0" w:beforeAutospacing="0" w:after="0" w:afterAutospacing="0" w:line="240" w:lineRule="auto"/>
              <w:ind w:left="0" w:right="0" w:firstLine="0" w:firstLineChars="0"/>
              <w:jc w:val="center"/>
              <w:rPr>
                <w:rFonts w:hint="eastAsia"/>
                <w:b/>
              </w:rPr>
            </w:pPr>
            <w:r>
              <w:rPr>
                <w:rFonts w:hint="eastAsia"/>
                <w:b/>
              </w:rPr>
              <w:t>人员数量</w:t>
            </w:r>
          </w:p>
        </w:tc>
        <w:tc>
          <w:tcPr>
            <w:tcW w:w="0" w:type="auto"/>
            <w:vAlign w:val="center"/>
          </w:tcPr>
          <w:p w14:paraId="108C268A">
            <w:pPr>
              <w:keepNext w:val="0"/>
              <w:keepLines w:val="0"/>
              <w:widowControl/>
              <w:suppressLineNumbers w:val="0"/>
              <w:spacing w:before="0" w:beforeAutospacing="0" w:after="0" w:afterAutospacing="0" w:line="240" w:lineRule="auto"/>
              <w:ind w:left="0" w:right="0" w:firstLine="0" w:firstLineChars="0"/>
              <w:jc w:val="center"/>
              <w:rPr>
                <w:rFonts w:hint="eastAsia"/>
                <w:b/>
              </w:rPr>
            </w:pPr>
            <w:r>
              <w:rPr>
                <w:rFonts w:hint="eastAsia"/>
                <w:b/>
              </w:rPr>
              <w:t>人员要求</w:t>
            </w:r>
          </w:p>
        </w:tc>
        <w:tc>
          <w:tcPr>
            <w:tcW w:w="0" w:type="auto"/>
            <w:shd w:val="clear" w:color="auto" w:fill="auto"/>
            <w:noWrap/>
            <w:vAlign w:val="center"/>
          </w:tcPr>
          <w:p w14:paraId="6BAF37D9">
            <w:pPr>
              <w:keepNext w:val="0"/>
              <w:keepLines w:val="0"/>
              <w:widowControl/>
              <w:suppressLineNumbers w:val="0"/>
              <w:spacing w:before="0" w:beforeAutospacing="0" w:after="0" w:afterAutospacing="0" w:line="240" w:lineRule="auto"/>
              <w:ind w:left="0" w:right="0" w:firstLine="0" w:firstLineChars="0"/>
              <w:jc w:val="center"/>
              <w:rPr>
                <w:rFonts w:hint="eastAsia"/>
                <w:b/>
              </w:rPr>
            </w:pPr>
            <w:r>
              <w:rPr>
                <w:rFonts w:hint="eastAsia"/>
                <w:b/>
              </w:rPr>
              <w:t>驻场要求</w:t>
            </w:r>
          </w:p>
        </w:tc>
      </w:tr>
      <w:tr w14:paraId="49BC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C2C9A55">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技术经理</w:t>
            </w:r>
          </w:p>
        </w:tc>
        <w:tc>
          <w:tcPr>
            <w:tcW w:w="0" w:type="auto"/>
            <w:shd w:val="clear" w:color="auto" w:fill="auto"/>
            <w:vAlign w:val="center"/>
          </w:tcPr>
          <w:p w14:paraId="46297FF4">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负责项目质量和进度控制</w:t>
            </w:r>
          </w:p>
        </w:tc>
        <w:tc>
          <w:tcPr>
            <w:tcW w:w="0" w:type="auto"/>
            <w:shd w:val="clear" w:color="auto" w:fill="auto"/>
            <w:noWrap/>
            <w:vAlign w:val="center"/>
          </w:tcPr>
          <w:p w14:paraId="411E7BA6">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1人</w:t>
            </w:r>
          </w:p>
        </w:tc>
        <w:tc>
          <w:tcPr>
            <w:tcW w:w="0" w:type="auto"/>
            <w:vAlign w:val="center"/>
          </w:tcPr>
          <w:p w14:paraId="497A5822">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具备相关项目管理资质优先考虑</w:t>
            </w:r>
          </w:p>
        </w:tc>
        <w:tc>
          <w:tcPr>
            <w:tcW w:w="0" w:type="auto"/>
            <w:shd w:val="clear" w:color="auto" w:fill="auto"/>
            <w:noWrap/>
            <w:vAlign w:val="center"/>
          </w:tcPr>
          <w:p w14:paraId="7593FF78">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不驻场</w:t>
            </w:r>
          </w:p>
        </w:tc>
      </w:tr>
      <w:tr w14:paraId="6C07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08A1371">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技术工程师</w:t>
            </w:r>
          </w:p>
        </w:tc>
        <w:tc>
          <w:tcPr>
            <w:tcW w:w="0" w:type="auto"/>
            <w:shd w:val="clear" w:color="auto" w:fill="auto"/>
            <w:noWrap/>
            <w:vAlign w:val="center"/>
          </w:tcPr>
          <w:p w14:paraId="2C18CFE3">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负责项目运行维护</w:t>
            </w:r>
          </w:p>
        </w:tc>
        <w:tc>
          <w:tcPr>
            <w:tcW w:w="0" w:type="auto"/>
            <w:shd w:val="clear" w:color="auto" w:fill="auto"/>
            <w:noWrap/>
            <w:vAlign w:val="center"/>
          </w:tcPr>
          <w:p w14:paraId="4EEBF847">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rPr>
              <w:t>1人</w:t>
            </w:r>
          </w:p>
        </w:tc>
        <w:tc>
          <w:tcPr>
            <w:tcW w:w="0" w:type="auto"/>
            <w:vAlign w:val="center"/>
          </w:tcPr>
          <w:p w14:paraId="4DA09A34">
            <w:pPr>
              <w:keepNext w:val="0"/>
              <w:keepLines w:val="0"/>
              <w:widowControl/>
              <w:suppressLineNumbers w:val="0"/>
              <w:spacing w:before="0" w:beforeAutospacing="0" w:after="0" w:afterAutospacing="0" w:line="240" w:lineRule="auto"/>
              <w:ind w:left="0" w:right="0" w:firstLine="0" w:firstLineChars="0"/>
              <w:jc w:val="center"/>
              <w:rPr>
                <w:rFonts w:hint="eastAsia"/>
              </w:rPr>
            </w:pPr>
          </w:p>
        </w:tc>
        <w:tc>
          <w:tcPr>
            <w:tcW w:w="0" w:type="auto"/>
            <w:shd w:val="clear" w:color="auto" w:fill="auto"/>
            <w:noWrap/>
            <w:vAlign w:val="center"/>
          </w:tcPr>
          <w:p w14:paraId="254891A3">
            <w:pPr>
              <w:keepNext w:val="0"/>
              <w:keepLines w:val="0"/>
              <w:widowControl/>
              <w:suppressLineNumbers w:val="0"/>
              <w:spacing w:before="0" w:beforeAutospacing="0" w:after="0" w:afterAutospacing="0" w:line="240" w:lineRule="auto"/>
              <w:ind w:left="0" w:right="0" w:firstLine="0" w:firstLineChars="0"/>
              <w:jc w:val="center"/>
              <w:rPr>
                <w:rFonts w:hint="eastAsia"/>
              </w:rPr>
            </w:pPr>
            <w:r>
              <w:rPr>
                <w:rFonts w:hint="eastAsia"/>
                <w:lang w:eastAsia="zh-CN"/>
              </w:rPr>
              <w:t>质保期</w:t>
            </w:r>
            <w:r>
              <w:rPr>
                <w:rFonts w:hint="eastAsia"/>
                <w:lang w:val="en-US" w:eastAsia="zh-CN"/>
              </w:rPr>
              <w:t>1年内</w:t>
            </w:r>
            <w:r>
              <w:rPr>
                <w:rFonts w:hint="eastAsia"/>
              </w:rPr>
              <w:t>驻场</w:t>
            </w:r>
          </w:p>
        </w:tc>
      </w:tr>
      <w:bookmarkEnd w:id="33"/>
    </w:tbl>
    <w:p w14:paraId="0C7C0C5E">
      <w:pPr>
        <w:pStyle w:val="3"/>
        <w:rPr>
          <w:rFonts w:hint="eastAsia"/>
        </w:rPr>
      </w:pPr>
      <w:r>
        <w:rPr>
          <w:rFonts w:hint="eastAsia"/>
        </w:rPr>
        <w:t>网络安全</w:t>
      </w:r>
      <w:r>
        <w:t>要求</w:t>
      </w:r>
    </w:p>
    <w:p w14:paraId="0DF31A9D">
      <w:pPr>
        <w:widowControl/>
        <w:jc w:val="left"/>
        <w:rPr>
          <w:rFonts w:hint="eastAsia"/>
        </w:rPr>
      </w:pPr>
      <w:r>
        <w:rPr>
          <w:rFonts w:hint="eastAsia" w:cs="宋体"/>
        </w:rPr>
        <w:t>本项目按照信息系统网络安全等级保护三级建设。</w:t>
      </w:r>
      <w:r>
        <w:rPr>
          <w:rFonts w:hint="eastAsia"/>
          <w:lang w:bidi="ar"/>
        </w:rPr>
        <w:t>整体安全管控要求需依据国家相关法律规定标准、国家医疗卫生机构网络安全管理办法、中心网络安全管理制度、个案数据使用管理制度、中心安全稳定工作须知和密评方案落实实施。</w:t>
      </w:r>
      <w:r>
        <w:rPr>
          <w:rFonts w:hint="eastAsia" w:cs="宋体"/>
          <w:lang w:bidi="ar"/>
        </w:rPr>
        <w:t xml:space="preserve"> </w:t>
      </w:r>
    </w:p>
    <w:p w14:paraId="0D1FD8FC">
      <w:pPr>
        <w:pStyle w:val="3"/>
        <w:rPr>
          <w:rFonts w:hint="eastAsia"/>
        </w:rPr>
      </w:pPr>
      <w:r>
        <w:rPr>
          <w:rFonts w:hint="eastAsia"/>
        </w:rPr>
        <w:t>商业密码应用需求</w:t>
      </w:r>
    </w:p>
    <w:p w14:paraId="19D3EEE0">
      <w:pPr>
        <w:rPr>
          <w:rFonts w:hint="eastAsia"/>
        </w:rPr>
      </w:pPr>
      <w:r>
        <w:rPr>
          <w:rFonts w:hint="eastAsia"/>
        </w:rPr>
        <w:t>本项目应按照国家商用密码第三级的相关要求进行建设</w:t>
      </w:r>
      <w:r>
        <w:rPr>
          <w:rFonts w:hint="eastAsia" w:ascii="仿宋_GB2312" w:eastAsia="仿宋_GB2312" w:cs="仿宋_GB2312"/>
          <w:kern w:val="0"/>
          <w:sz w:val="28"/>
          <w:szCs w:val="28"/>
        </w:rPr>
        <w:t>。</w:t>
      </w:r>
    </w:p>
    <w:p w14:paraId="5ACE198B">
      <w:pPr>
        <w:rPr>
          <w:rFonts w:hint="eastAsia"/>
        </w:rPr>
      </w:pPr>
    </w:p>
    <w:p w14:paraId="2FB6C9EE">
      <w:pPr>
        <w:pStyle w:val="3"/>
        <w:rPr>
          <w:rFonts w:hint="eastAsia"/>
        </w:rPr>
      </w:pPr>
      <w:bookmarkStart w:id="34" w:name="_Toc63785512"/>
      <w:r>
        <w:rPr>
          <w:rFonts w:hint="eastAsia"/>
        </w:rPr>
        <w:t>技术文件要求</w:t>
      </w:r>
    </w:p>
    <w:p w14:paraId="126D8089">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0DE8CFC7">
      <w:pPr>
        <w:rPr>
          <w:rFonts w:hint="eastAsia"/>
        </w:rPr>
      </w:pPr>
      <w:r>
        <w:rPr>
          <w:rFonts w:hint="eastAsia"/>
        </w:rPr>
        <w:t>－</w:t>
      </w:r>
      <w:r>
        <w:t xml:space="preserve"> 系统说明文件； </w:t>
      </w:r>
    </w:p>
    <w:p w14:paraId="3777CE20">
      <w:pPr>
        <w:rPr>
          <w:rFonts w:hint="eastAsia"/>
        </w:rPr>
      </w:pPr>
      <w:r>
        <w:rPr>
          <w:rFonts w:hint="eastAsia"/>
        </w:rPr>
        <w:t>－</w:t>
      </w:r>
      <w:r>
        <w:t xml:space="preserve"> 技术手册(安装、测试、操作、维护、故障排除等)； </w:t>
      </w:r>
    </w:p>
    <w:p w14:paraId="0A2B6A62">
      <w:pPr>
        <w:rPr>
          <w:rFonts w:hint="eastAsia"/>
        </w:rPr>
      </w:pPr>
      <w:r>
        <w:rPr>
          <w:rFonts w:hint="eastAsia"/>
        </w:rPr>
        <w:t>－</w:t>
      </w:r>
      <w:r>
        <w:t xml:space="preserve"> 项目文档，应该包括：</w:t>
      </w:r>
    </w:p>
    <w:p w14:paraId="3E9CF364">
      <w:pPr>
        <w:ind w:left="360"/>
        <w:rPr>
          <w:rFonts w:hint="eastAsia"/>
        </w:rPr>
      </w:pPr>
      <w:r>
        <w:t>(1)软件需求说明书</w:t>
      </w:r>
    </w:p>
    <w:p w14:paraId="2632093D">
      <w:pPr>
        <w:ind w:left="360"/>
        <w:rPr>
          <w:rFonts w:hint="eastAsia"/>
        </w:rPr>
      </w:pPr>
      <w:r>
        <w:t>(2)</w:t>
      </w:r>
      <w:r>
        <w:tab/>
      </w:r>
      <w:r>
        <w:t>系统总体设计说明书</w:t>
      </w:r>
    </w:p>
    <w:p w14:paraId="68992EB1">
      <w:pPr>
        <w:ind w:left="360"/>
        <w:rPr>
          <w:rFonts w:hint="eastAsia"/>
        </w:rPr>
      </w:pPr>
      <w:r>
        <w:t>(3)</w:t>
      </w:r>
      <w:r>
        <w:tab/>
      </w:r>
      <w:r>
        <w:t>应用软件功能清单</w:t>
      </w:r>
    </w:p>
    <w:p w14:paraId="6670F28D">
      <w:r>
        <w:rPr>
          <w:rFonts w:hint="eastAsia"/>
        </w:rPr>
        <w:t>提供全套技术文件纸介质</w:t>
      </w:r>
      <w:r>
        <w:t>3套以及电子文件1套。</w:t>
      </w:r>
    </w:p>
    <w:p w14:paraId="57A12BB8">
      <w:pPr>
        <w:rPr>
          <w:rFonts w:hint="eastAsia"/>
        </w:rPr>
      </w:pPr>
      <w:r>
        <w:rPr>
          <w:rFonts w:hint="eastAsia"/>
        </w:rPr>
        <w:t>承诺知识产权归采购人所有的优先考虑。</w:t>
      </w:r>
    </w:p>
    <w:p w14:paraId="5D170F81">
      <w:pPr>
        <w:pStyle w:val="2"/>
        <w:rPr>
          <w:rFonts w:hint="eastAsia"/>
        </w:rPr>
      </w:pPr>
      <w:r>
        <w:rPr>
          <w:rFonts w:hint="eastAsia"/>
        </w:rPr>
        <w:t>供应商</w:t>
      </w:r>
      <w:r>
        <w:rPr>
          <w:rFonts w:hint="eastAsia"/>
          <w:lang w:eastAsia="zh-CN"/>
        </w:rPr>
        <w:t>能力</w:t>
      </w:r>
      <w:r>
        <w:rPr>
          <w:rFonts w:hint="eastAsia"/>
        </w:rPr>
        <w:t>要求</w:t>
      </w:r>
    </w:p>
    <w:p w14:paraId="44979E3F">
      <w:pPr>
        <w:rPr>
          <w:rFonts w:hint="eastAsia"/>
        </w:rPr>
      </w:pPr>
      <w:r>
        <w:rPr>
          <w:rFonts w:hint="eastAsia"/>
        </w:rPr>
        <w:t>供应商具有软件企业证书、ISO9001质量管理体系认证证书、ISO20000信息服务管理体系认证证书、ISO27001信息安全管理体系认证证书、CCRC信息安全服务资质认证证书优先考虑。</w:t>
      </w:r>
    </w:p>
    <w:p w14:paraId="079EA44B">
      <w:pPr>
        <w:pStyle w:val="2"/>
        <w:rPr>
          <w:rFonts w:hint="eastAsia"/>
        </w:rPr>
      </w:pPr>
      <w:r>
        <w:rPr>
          <w:rFonts w:hint="eastAsia"/>
        </w:rPr>
        <w:t>供应商管理要求</w:t>
      </w:r>
      <w:bookmarkEnd w:id="34"/>
    </w:p>
    <w:p w14:paraId="6C1176B5">
      <w:pPr>
        <w:pStyle w:val="82"/>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7503F70F">
      <w:pPr>
        <w:pStyle w:val="82"/>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3429FDA6">
      <w:pPr>
        <w:pStyle w:val="82"/>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49F4A53E">
      <w:pPr>
        <w:pStyle w:val="82"/>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4974107E">
      <w:pPr>
        <w:pStyle w:val="82"/>
        <w:ind w:firstLine="480"/>
        <w:rPr>
          <w:rFonts w:hint="eastAsia"/>
          <w:sz w:val="24"/>
          <w:szCs w:val="24"/>
        </w:rPr>
      </w:pPr>
      <w:r>
        <w:rPr>
          <w:rFonts w:hint="eastAsia"/>
          <w:sz w:val="24"/>
          <w:szCs w:val="24"/>
        </w:rPr>
        <w:t>5.中标人在项目实施期间必须遵守采购人的规章制度并提供实施人员名单。</w:t>
      </w:r>
    </w:p>
    <w:p w14:paraId="04A98ADE">
      <w:pPr>
        <w:pStyle w:val="82"/>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774118FF">
      <w:pPr>
        <w:pStyle w:val="82"/>
        <w:ind w:firstLine="480"/>
        <w:rPr>
          <w:rFonts w:hint="eastAsia"/>
        </w:rPr>
      </w:pPr>
      <w:r>
        <w:rPr>
          <w:rFonts w:hint="eastAsia"/>
          <w:sz w:val="24"/>
          <w:szCs w:val="24"/>
        </w:rPr>
        <w:t>7.本项目软件开发及调试将纳入采购人的管理范围，中标人在此过程中须服从上述单位的管理协调。</w:t>
      </w:r>
    </w:p>
    <w:p w14:paraId="06F577D2">
      <w:pPr>
        <w:ind w:firstLine="0" w:firstLineChars="0"/>
        <w:jc w:val="left"/>
        <w:rPr>
          <w:rFonts w:hint="eastAsia"/>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3B36">
    <w:pPr>
      <w:ind w:firstLine="0" w:firstLineChars="0"/>
      <w:jc w:val="center"/>
      <w:rPr>
        <w:rFonts w:hint="eastAsia"/>
      </w:rPr>
    </w:pPr>
    <w:r>
      <w:fldChar w:fldCharType="begin"/>
    </w:r>
    <w:r>
      <w:instrText xml:space="preserve">PAGE   \* MERGEFORMAT</w:instrText>
    </w:r>
    <w:r>
      <w:fldChar w:fldCharType="separate"/>
    </w:r>
    <w:r>
      <w:rPr>
        <w:lang w:val="zh-CN"/>
      </w:rPr>
      <w:t>20</w:t>
    </w:r>
    <w:r>
      <w:rPr>
        <w:lang w:val="zh-CN"/>
      </w:rPr>
      <w:fldChar w:fldCharType="end"/>
    </w:r>
  </w:p>
  <w:p w14:paraId="59915178">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A45F">
    <w:pPr>
      <w:rPr>
        <w:rFonts w:hint="eastAsia"/>
      </w:rPr>
    </w:pPr>
  </w:p>
  <w:p w14:paraId="41B9D0DD">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DF6B">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764C8">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2E21962">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DD04">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38DE">
    <w:pPr>
      <w:rPr>
        <w:rFonts w:hint="eastAsia"/>
      </w:rPr>
    </w:pPr>
  </w:p>
  <w:p w14:paraId="000E4736">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EF9B">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01455"/>
    <w:multiLevelType w:val="multilevel"/>
    <w:tmpl w:val="04001455"/>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1287" w:hanging="720"/>
      </w:pPr>
      <w:rPr>
        <w:rFonts w:hint="eastAsia"/>
      </w:rPr>
    </w:lvl>
    <w:lvl w:ilvl="3" w:tentative="0">
      <w:start w:val="1"/>
      <w:numFmt w:val="decimal"/>
      <w:isLgl/>
      <w:lvlText w:val="%1.%2.%3.%4"/>
      <w:lvlJc w:val="left"/>
      <w:pPr>
        <w:ind w:left="1572" w:hanging="864"/>
      </w:pPr>
      <w:rPr>
        <w:rFonts w:hint="eastAsia"/>
      </w:rPr>
    </w:lvl>
    <w:lvl w:ilvl="4" w:tentative="0">
      <w:start w:val="1"/>
      <w:numFmt w:val="decimal"/>
      <w:pStyle w:val="138"/>
      <w:isLgl/>
      <w:lvlText w:val="%1.%2.%3.%4.%5"/>
      <w:lvlJc w:val="left"/>
      <w:pPr>
        <w:ind w:left="1008" w:hanging="1008"/>
      </w:pPr>
      <w:rPr>
        <w:rFonts w:hint="eastAsia"/>
      </w:rPr>
    </w:lvl>
    <w:lvl w:ilvl="5" w:tentative="0">
      <w:start w:val="1"/>
      <w:numFmt w:val="decimal"/>
      <w:isLgl/>
      <w:lvlText w:val="%1.%2.%3.%4.%5.%6"/>
      <w:lvlJc w:val="left"/>
      <w:pPr>
        <w:ind w:left="4554" w:hanging="1152"/>
      </w:pPr>
      <w:rPr>
        <w:rFonts w:hint="eastAsia"/>
      </w:rPr>
    </w:lvl>
    <w:lvl w:ilvl="6" w:tentative="0">
      <w:start w:val="1"/>
      <w:numFmt w:val="decimal"/>
      <w:isLgl/>
      <w:lvlText w:val="%1.%2.%3.%4.%5.%6.%7"/>
      <w:lvlJc w:val="left"/>
      <w:pPr>
        <w:ind w:left="2004"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1">
    <w:nsid w:val="6350366A"/>
    <w:multiLevelType w:val="multilevel"/>
    <w:tmpl w:val="6350366A"/>
    <w:lvl w:ilvl="0" w:tentative="0">
      <w:start w:val="1"/>
      <w:numFmt w:val="none"/>
      <w:pStyle w:val="11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2487"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6F15F57C"/>
    <w:multiLevelType w:val="singleLevel"/>
    <w:tmpl w:val="6F15F57C"/>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MTcyOTAwYTViNTYwMjdjZjIwZGJjMjgwNTJmOGUifQ=="/>
  </w:docVars>
  <w:rsids>
    <w:rsidRoot w:val="006910C0"/>
    <w:rsid w:val="0000005A"/>
    <w:rsid w:val="00000AED"/>
    <w:rsid w:val="00003516"/>
    <w:rsid w:val="0000380E"/>
    <w:rsid w:val="00005AFD"/>
    <w:rsid w:val="00006563"/>
    <w:rsid w:val="000074F1"/>
    <w:rsid w:val="00007A41"/>
    <w:rsid w:val="00007DA7"/>
    <w:rsid w:val="00010660"/>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4E67"/>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2EA0"/>
    <w:rsid w:val="000C3F3C"/>
    <w:rsid w:val="000C5A75"/>
    <w:rsid w:val="000C75F7"/>
    <w:rsid w:val="000D0630"/>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5382"/>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4D8"/>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03EB"/>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E02"/>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173"/>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00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4979"/>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B7A0A"/>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403"/>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051D"/>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33D7"/>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85B"/>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2EF9"/>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66B5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28B1"/>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367F6"/>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5DE1"/>
    <w:rsid w:val="00816586"/>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2B67"/>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5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07EC"/>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1BAA"/>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3EA4"/>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C7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0C9B"/>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019"/>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6B2"/>
    <w:rsid w:val="00C50E1F"/>
    <w:rsid w:val="00C51C09"/>
    <w:rsid w:val="00C52BB6"/>
    <w:rsid w:val="00C53471"/>
    <w:rsid w:val="00C54FD4"/>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D4C01"/>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164"/>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63FAD"/>
    <w:rsid w:val="00D70F55"/>
    <w:rsid w:val="00D70FA5"/>
    <w:rsid w:val="00D732CB"/>
    <w:rsid w:val="00D74171"/>
    <w:rsid w:val="00D7474C"/>
    <w:rsid w:val="00D8032C"/>
    <w:rsid w:val="00D80CE2"/>
    <w:rsid w:val="00D83080"/>
    <w:rsid w:val="00D84D5F"/>
    <w:rsid w:val="00D851E2"/>
    <w:rsid w:val="00D87FFA"/>
    <w:rsid w:val="00D91419"/>
    <w:rsid w:val="00D91F66"/>
    <w:rsid w:val="00D92A09"/>
    <w:rsid w:val="00D92D2A"/>
    <w:rsid w:val="00D92EEC"/>
    <w:rsid w:val="00D93470"/>
    <w:rsid w:val="00D9395F"/>
    <w:rsid w:val="00D93D55"/>
    <w:rsid w:val="00D941FA"/>
    <w:rsid w:val="00D94B59"/>
    <w:rsid w:val="00D95315"/>
    <w:rsid w:val="00D95EAB"/>
    <w:rsid w:val="00D96B8C"/>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DF61F6"/>
    <w:rsid w:val="00E00F8F"/>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08F"/>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3831"/>
    <w:rsid w:val="00FA0109"/>
    <w:rsid w:val="00FA458B"/>
    <w:rsid w:val="00FA5EC5"/>
    <w:rsid w:val="00FA69A5"/>
    <w:rsid w:val="00FA6BA5"/>
    <w:rsid w:val="00FA7016"/>
    <w:rsid w:val="00FA7174"/>
    <w:rsid w:val="00FA793D"/>
    <w:rsid w:val="00FB020E"/>
    <w:rsid w:val="00FB0F17"/>
    <w:rsid w:val="00FB4B9D"/>
    <w:rsid w:val="00FB50ED"/>
    <w:rsid w:val="00FB6E18"/>
    <w:rsid w:val="00FC144B"/>
    <w:rsid w:val="00FC2169"/>
    <w:rsid w:val="00FC28E2"/>
    <w:rsid w:val="00FC3743"/>
    <w:rsid w:val="00FC3BF6"/>
    <w:rsid w:val="00FC3D22"/>
    <w:rsid w:val="00FC6FE1"/>
    <w:rsid w:val="00FD0C3D"/>
    <w:rsid w:val="00FD2F6B"/>
    <w:rsid w:val="00FD3AB0"/>
    <w:rsid w:val="00FE064A"/>
    <w:rsid w:val="00FE0B55"/>
    <w:rsid w:val="00FE1E98"/>
    <w:rsid w:val="00FE2452"/>
    <w:rsid w:val="00FE5469"/>
    <w:rsid w:val="00FE66C2"/>
    <w:rsid w:val="00FE684A"/>
    <w:rsid w:val="00FE6F23"/>
    <w:rsid w:val="00FF0F8C"/>
    <w:rsid w:val="00FF408B"/>
    <w:rsid w:val="00FF43E1"/>
    <w:rsid w:val="017B3FF0"/>
    <w:rsid w:val="01AC3A93"/>
    <w:rsid w:val="020E2058"/>
    <w:rsid w:val="02775E4F"/>
    <w:rsid w:val="030D297A"/>
    <w:rsid w:val="03430854"/>
    <w:rsid w:val="039F5FA6"/>
    <w:rsid w:val="03A569EC"/>
    <w:rsid w:val="05DE1A14"/>
    <w:rsid w:val="05F31C91"/>
    <w:rsid w:val="06386D73"/>
    <w:rsid w:val="07F9606D"/>
    <w:rsid w:val="080623A4"/>
    <w:rsid w:val="08376C95"/>
    <w:rsid w:val="09305ADA"/>
    <w:rsid w:val="098929AD"/>
    <w:rsid w:val="0AF26D2D"/>
    <w:rsid w:val="0B4E1717"/>
    <w:rsid w:val="0BD00287"/>
    <w:rsid w:val="0C7C37E1"/>
    <w:rsid w:val="0CBF3A4F"/>
    <w:rsid w:val="0E8013B7"/>
    <w:rsid w:val="10D604C6"/>
    <w:rsid w:val="11B515E0"/>
    <w:rsid w:val="12AF091F"/>
    <w:rsid w:val="12C35BA0"/>
    <w:rsid w:val="130F4A91"/>
    <w:rsid w:val="13A53267"/>
    <w:rsid w:val="13F970D2"/>
    <w:rsid w:val="14AA4136"/>
    <w:rsid w:val="163A420B"/>
    <w:rsid w:val="17936E30"/>
    <w:rsid w:val="19413B26"/>
    <w:rsid w:val="1C6D3688"/>
    <w:rsid w:val="1CC63D0A"/>
    <w:rsid w:val="1DC2081A"/>
    <w:rsid w:val="1DD94266"/>
    <w:rsid w:val="1E780B2E"/>
    <w:rsid w:val="1F9D0947"/>
    <w:rsid w:val="1FFB29C6"/>
    <w:rsid w:val="21EF66E7"/>
    <w:rsid w:val="22AF3620"/>
    <w:rsid w:val="22E70AD4"/>
    <w:rsid w:val="24F1508D"/>
    <w:rsid w:val="264B6B28"/>
    <w:rsid w:val="266F634F"/>
    <w:rsid w:val="27466466"/>
    <w:rsid w:val="27A26C1B"/>
    <w:rsid w:val="28861EB3"/>
    <w:rsid w:val="28927185"/>
    <w:rsid w:val="291059EA"/>
    <w:rsid w:val="2ACD1576"/>
    <w:rsid w:val="2BBF12EC"/>
    <w:rsid w:val="2BC649D9"/>
    <w:rsid w:val="2C371D0F"/>
    <w:rsid w:val="2C596FCF"/>
    <w:rsid w:val="2C8C39F6"/>
    <w:rsid w:val="2D465B1D"/>
    <w:rsid w:val="30264F9C"/>
    <w:rsid w:val="308D6AF5"/>
    <w:rsid w:val="31291D49"/>
    <w:rsid w:val="31321BF6"/>
    <w:rsid w:val="31517FA2"/>
    <w:rsid w:val="32EC2577"/>
    <w:rsid w:val="33194D3D"/>
    <w:rsid w:val="34BB59DD"/>
    <w:rsid w:val="3515160D"/>
    <w:rsid w:val="35696FCA"/>
    <w:rsid w:val="36564959"/>
    <w:rsid w:val="384A4E91"/>
    <w:rsid w:val="387D60DC"/>
    <w:rsid w:val="38F6684A"/>
    <w:rsid w:val="3ADE6664"/>
    <w:rsid w:val="3B382630"/>
    <w:rsid w:val="3C7D00D8"/>
    <w:rsid w:val="3CA06C0C"/>
    <w:rsid w:val="3D0C0513"/>
    <w:rsid w:val="3D98669F"/>
    <w:rsid w:val="3EA25851"/>
    <w:rsid w:val="3F6C3757"/>
    <w:rsid w:val="405D6A10"/>
    <w:rsid w:val="411F0144"/>
    <w:rsid w:val="4199190B"/>
    <w:rsid w:val="41DA6594"/>
    <w:rsid w:val="43100A85"/>
    <w:rsid w:val="43F735BB"/>
    <w:rsid w:val="444C1A75"/>
    <w:rsid w:val="44937BC0"/>
    <w:rsid w:val="44A3526F"/>
    <w:rsid w:val="44B032F4"/>
    <w:rsid w:val="455B7A11"/>
    <w:rsid w:val="457D25F7"/>
    <w:rsid w:val="46165550"/>
    <w:rsid w:val="465515D1"/>
    <w:rsid w:val="468341CD"/>
    <w:rsid w:val="470B67E5"/>
    <w:rsid w:val="472C2589"/>
    <w:rsid w:val="48E37D1B"/>
    <w:rsid w:val="4A760AEB"/>
    <w:rsid w:val="4BDEA31B"/>
    <w:rsid w:val="4D1E7C86"/>
    <w:rsid w:val="4D5F67CA"/>
    <w:rsid w:val="4F3162CA"/>
    <w:rsid w:val="4F586DEA"/>
    <w:rsid w:val="4FC82E13"/>
    <w:rsid w:val="4FDA66A3"/>
    <w:rsid w:val="4FF1A75A"/>
    <w:rsid w:val="50D95873"/>
    <w:rsid w:val="511B3417"/>
    <w:rsid w:val="51D503D5"/>
    <w:rsid w:val="51D65FE7"/>
    <w:rsid w:val="52213CDE"/>
    <w:rsid w:val="526102AF"/>
    <w:rsid w:val="528444DA"/>
    <w:rsid w:val="52AC6580"/>
    <w:rsid w:val="537745D5"/>
    <w:rsid w:val="53E84E1B"/>
    <w:rsid w:val="54530EF2"/>
    <w:rsid w:val="54CE3606"/>
    <w:rsid w:val="552306F6"/>
    <w:rsid w:val="55635CE5"/>
    <w:rsid w:val="56690780"/>
    <w:rsid w:val="5699274E"/>
    <w:rsid w:val="56E352D5"/>
    <w:rsid w:val="56FA587C"/>
    <w:rsid w:val="57855A59"/>
    <w:rsid w:val="57E435FE"/>
    <w:rsid w:val="582D0655"/>
    <w:rsid w:val="5951205C"/>
    <w:rsid w:val="59D079E8"/>
    <w:rsid w:val="59D40847"/>
    <w:rsid w:val="5AE37F25"/>
    <w:rsid w:val="5B8A3673"/>
    <w:rsid w:val="5CB23D47"/>
    <w:rsid w:val="5CC22998"/>
    <w:rsid w:val="5D1F603D"/>
    <w:rsid w:val="5FAF09C4"/>
    <w:rsid w:val="5FB82473"/>
    <w:rsid w:val="60785451"/>
    <w:rsid w:val="608C4642"/>
    <w:rsid w:val="60D235C8"/>
    <w:rsid w:val="62161700"/>
    <w:rsid w:val="62795572"/>
    <w:rsid w:val="63971B3E"/>
    <w:rsid w:val="64342D5D"/>
    <w:rsid w:val="64DD6417"/>
    <w:rsid w:val="64E21E2A"/>
    <w:rsid w:val="65183F52"/>
    <w:rsid w:val="66004745"/>
    <w:rsid w:val="6A567F20"/>
    <w:rsid w:val="6A9B048D"/>
    <w:rsid w:val="6B500D32"/>
    <w:rsid w:val="6CD97953"/>
    <w:rsid w:val="6ED30FD7"/>
    <w:rsid w:val="6F477AF3"/>
    <w:rsid w:val="6F616041"/>
    <w:rsid w:val="6F7F24EC"/>
    <w:rsid w:val="6FDD66CE"/>
    <w:rsid w:val="7028329E"/>
    <w:rsid w:val="71D21478"/>
    <w:rsid w:val="727D78FD"/>
    <w:rsid w:val="728D0A5C"/>
    <w:rsid w:val="734B4327"/>
    <w:rsid w:val="73CC655F"/>
    <w:rsid w:val="73DC4C67"/>
    <w:rsid w:val="75957445"/>
    <w:rsid w:val="75C8390F"/>
    <w:rsid w:val="75D01AE1"/>
    <w:rsid w:val="76164029"/>
    <w:rsid w:val="76F2314F"/>
    <w:rsid w:val="77312257"/>
    <w:rsid w:val="77524363"/>
    <w:rsid w:val="77A4062A"/>
    <w:rsid w:val="77B917B5"/>
    <w:rsid w:val="783D6867"/>
    <w:rsid w:val="78703975"/>
    <w:rsid w:val="78BF79C0"/>
    <w:rsid w:val="795E2969"/>
    <w:rsid w:val="7A993117"/>
    <w:rsid w:val="7BE420FD"/>
    <w:rsid w:val="7CC50D2F"/>
    <w:rsid w:val="7D0D296B"/>
    <w:rsid w:val="7D4E0B54"/>
    <w:rsid w:val="7D503E78"/>
    <w:rsid w:val="7E0160D4"/>
    <w:rsid w:val="7EEF71C5"/>
    <w:rsid w:val="7F7D84B1"/>
    <w:rsid w:val="97F3BD21"/>
    <w:rsid w:val="9DF9EF03"/>
    <w:rsid w:val="BF5FBAF8"/>
    <w:rsid w:val="BFFDB3B4"/>
    <w:rsid w:val="F5D778A0"/>
    <w:rsid w:val="FFF59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90"/>
    <w:qFormat/>
    <w:uiPriority w:val="9"/>
    <w:pPr>
      <w:keepNext/>
      <w:keepLines/>
      <w:numPr>
        <w:ilvl w:val="1"/>
        <w:numId w:val="1"/>
      </w:numPr>
      <w:spacing w:before="120" w:after="120"/>
      <w:ind w:firstLineChars="0"/>
      <w:outlineLvl w:val="1"/>
    </w:pPr>
    <w:rPr>
      <w:b/>
      <w:bCs/>
      <w:sz w:val="30"/>
      <w:szCs w:val="32"/>
    </w:rPr>
  </w:style>
  <w:style w:type="paragraph" w:styleId="4">
    <w:name w:val="heading 3"/>
    <w:basedOn w:val="1"/>
    <w:next w:val="1"/>
    <w:link w:val="83"/>
    <w:qFormat/>
    <w:uiPriority w:val="9"/>
    <w:pPr>
      <w:keepNext/>
      <w:keepLines/>
      <w:numPr>
        <w:ilvl w:val="2"/>
        <w:numId w:val="1"/>
      </w:numPr>
      <w:spacing w:before="120" w:after="120"/>
      <w:ind w:left="1069" w:firstLine="0" w:firstLineChars="0"/>
      <w:outlineLvl w:val="2"/>
    </w:pPr>
    <w:rPr>
      <w:b/>
      <w:bCs/>
      <w:sz w:val="28"/>
      <w:szCs w:val="28"/>
    </w:rPr>
  </w:style>
  <w:style w:type="paragraph" w:styleId="5">
    <w:name w:val="heading 4"/>
    <w:basedOn w:val="4"/>
    <w:next w:val="1"/>
    <w:link w:val="60"/>
    <w:qFormat/>
    <w:uiPriority w:val="9"/>
    <w:pPr>
      <w:numPr>
        <w:ilvl w:val="3"/>
      </w:numPr>
      <w:ind w:left="851" w:firstLine="0"/>
      <w:outlineLvl w:val="3"/>
    </w:pPr>
    <w:rPr>
      <w:sz w:val="30"/>
      <w:szCs w:val="30"/>
    </w:rPr>
  </w:style>
  <w:style w:type="paragraph" w:styleId="6">
    <w:name w:val="heading 5"/>
    <w:basedOn w:val="1"/>
    <w:next w:val="1"/>
    <w:link w:val="88"/>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101"/>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4"/>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00"/>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9">
    <w:name w:val="Default Paragraph Font"/>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Document Map"/>
    <w:basedOn w:val="1"/>
    <w:link w:val="93"/>
    <w:qFormat/>
    <w:uiPriority w:val="0"/>
    <w:rPr>
      <w:rFonts w:hAnsi="Times New Roman"/>
      <w:sz w:val="18"/>
      <w:szCs w:val="18"/>
    </w:rPr>
  </w:style>
  <w:style w:type="paragraph" w:styleId="15">
    <w:name w:val="annotation text"/>
    <w:basedOn w:val="1"/>
    <w:link w:val="47"/>
    <w:qFormat/>
    <w:uiPriority w:val="99"/>
    <w:pPr>
      <w:ind w:firstLine="420"/>
      <w:jc w:val="left"/>
    </w:pPr>
    <w:rPr>
      <w:rFonts w:ascii="Times New Roman" w:hAnsi="Times New Roman" w:eastAsia="仿宋"/>
      <w:sz w:val="28"/>
    </w:rPr>
  </w:style>
  <w:style w:type="paragraph" w:styleId="16">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7"/>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8"/>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9"/>
    <w:qFormat/>
    <w:uiPriority w:val="0"/>
    <w:pPr>
      <w:ind w:left="100" w:leftChars="2500"/>
    </w:pPr>
    <w:rPr>
      <w:rFonts w:ascii="Times New Roman" w:hAnsi="Times New Roman"/>
      <w:sz w:val="21"/>
    </w:rPr>
  </w:style>
  <w:style w:type="paragraph" w:styleId="23">
    <w:name w:val="Balloon Text"/>
    <w:basedOn w:val="1"/>
    <w:link w:val="98"/>
    <w:qFormat/>
    <w:uiPriority w:val="0"/>
    <w:rPr>
      <w:rFonts w:ascii="Times New Roman" w:hAnsi="Times New Roman"/>
      <w:sz w:val="18"/>
      <w:szCs w:val="18"/>
    </w:rPr>
  </w:style>
  <w:style w:type="paragraph" w:styleId="24">
    <w:name w:val="footer"/>
    <w:basedOn w:val="1"/>
    <w:link w:val="91"/>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9"/>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9"/>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7"/>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5"/>
    <w:qFormat/>
    <w:uiPriority w:val="0"/>
    <w:rPr>
      <w:b/>
      <w:bCs/>
      <w:sz w:val="21"/>
    </w:rPr>
  </w:style>
  <w:style w:type="paragraph" w:styleId="35">
    <w:name w:val="Body Text First Indent"/>
    <w:basedOn w:val="16"/>
    <w:qFormat/>
    <w:uiPriority w:val="0"/>
    <w:pPr>
      <w:ind w:firstLine="420" w:firstLineChars="100"/>
    </w:pPr>
  </w:style>
  <w:style w:type="paragraph" w:styleId="36">
    <w:name w:val="Body Text First Indent 2"/>
    <w:basedOn w:val="17"/>
    <w:qFormat/>
    <w:uiPriority w:val="0"/>
    <w:pPr>
      <w:ind w:firstLine="420"/>
    </w:pPr>
  </w:style>
  <w:style w:type="table" w:styleId="38">
    <w:name w:val="Table Grid"/>
    <w:basedOn w:val="3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qFormat/>
    <w:uiPriority w:val="0"/>
  </w:style>
  <w:style w:type="character" w:styleId="41">
    <w:name w:val="FollowedHyperlink"/>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标题 3 字符1"/>
    <w:qFormat/>
    <w:uiPriority w:val="0"/>
    <w:rPr>
      <w:rFonts w:ascii="宋体" w:hAnsi="宋体"/>
      <w:b/>
      <w:bCs/>
      <w:kern w:val="2"/>
      <w:sz w:val="28"/>
      <w:szCs w:val="28"/>
    </w:rPr>
  </w:style>
  <w:style w:type="character" w:customStyle="1" w:styleId="45">
    <w:name w:val="首行缩进正文 Char"/>
    <w:link w:val="46"/>
    <w:qFormat/>
    <w:uiPriority w:val="0"/>
    <w:rPr>
      <w:kern w:val="2"/>
      <w:sz w:val="24"/>
    </w:rPr>
  </w:style>
  <w:style w:type="paragraph" w:customStyle="1" w:styleId="46">
    <w:name w:val="首行缩进正文"/>
    <w:basedOn w:val="1"/>
    <w:link w:val="45"/>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7">
    <w:name w:val="批注文字 字符1"/>
    <w:link w:val="15"/>
    <w:qFormat/>
    <w:uiPriority w:val="99"/>
    <w:rPr>
      <w:rFonts w:eastAsia="仿宋"/>
      <w:kern w:val="2"/>
      <w:sz w:val="28"/>
      <w:szCs w:val="24"/>
    </w:rPr>
  </w:style>
  <w:style w:type="character" w:customStyle="1" w:styleId="48">
    <w:name w:val="日期 字符"/>
    <w:semiHidden/>
    <w:qFormat/>
    <w:uiPriority w:val="99"/>
    <w:rPr>
      <w:rFonts w:ascii="宋体" w:hAnsi="宋体"/>
      <w:kern w:val="2"/>
      <w:sz w:val="24"/>
      <w:szCs w:val="24"/>
    </w:rPr>
  </w:style>
  <w:style w:type="character" w:customStyle="1" w:styleId="49">
    <w:name w:val="日期 字符1"/>
    <w:link w:val="22"/>
    <w:qFormat/>
    <w:uiPriority w:val="0"/>
    <w:rPr>
      <w:kern w:val="2"/>
      <w:sz w:val="21"/>
      <w:szCs w:val="24"/>
    </w:rPr>
  </w:style>
  <w:style w:type="character" w:customStyle="1" w:styleId="50">
    <w:name w:val="标题 9 字符"/>
    <w:link w:val="10"/>
    <w:qFormat/>
    <w:uiPriority w:val="9"/>
    <w:rPr>
      <w:rFonts w:ascii="Cambria" w:hAnsi="Cambria"/>
      <w:kern w:val="2"/>
      <w:sz w:val="21"/>
      <w:szCs w:val="21"/>
    </w:rPr>
  </w:style>
  <w:style w:type="character" w:customStyle="1" w:styleId="51">
    <w:name w:val="未处理的提及1"/>
    <w:unhideWhenUsed/>
    <w:qFormat/>
    <w:uiPriority w:val="99"/>
    <w:rPr>
      <w:color w:val="605E5C"/>
      <w:shd w:val="clear" w:color="auto" w:fill="E1DFDD"/>
    </w:rPr>
  </w:style>
  <w:style w:type="character" w:customStyle="1" w:styleId="52">
    <w:name w:val="标题 1 字符"/>
    <w:qFormat/>
    <w:uiPriority w:val="9"/>
    <w:rPr>
      <w:rFonts w:ascii="宋体" w:hAnsi="宋体"/>
      <w:b/>
      <w:bCs/>
      <w:kern w:val="44"/>
      <w:sz w:val="44"/>
      <w:szCs w:val="44"/>
    </w:rPr>
  </w:style>
  <w:style w:type="character" w:customStyle="1" w:styleId="53">
    <w:name w:val="标题 3 字符"/>
    <w:semiHidden/>
    <w:qFormat/>
    <w:uiPriority w:val="9"/>
    <w:rPr>
      <w:rFonts w:ascii="宋体" w:hAnsi="宋体"/>
      <w:b/>
      <w:bCs/>
      <w:kern w:val="2"/>
      <w:sz w:val="32"/>
      <w:szCs w:val="32"/>
    </w:rPr>
  </w:style>
  <w:style w:type="character" w:customStyle="1" w:styleId="54">
    <w:name w:val="页脚 字符"/>
    <w:qFormat/>
    <w:uiPriority w:val="99"/>
  </w:style>
  <w:style w:type="character" w:customStyle="1" w:styleId="55">
    <w:name w:val="标题 5 字符"/>
    <w:semiHidden/>
    <w:qFormat/>
    <w:uiPriority w:val="9"/>
    <w:rPr>
      <w:rFonts w:ascii="宋体" w:hAnsi="宋体"/>
      <w:b/>
      <w:bCs/>
      <w:kern w:val="2"/>
      <w:sz w:val="28"/>
      <w:szCs w:val="28"/>
    </w:rPr>
  </w:style>
  <w:style w:type="character" w:customStyle="1" w:styleId="56">
    <w:name w:val="题注 字符"/>
    <w:link w:val="13"/>
    <w:qFormat/>
    <w:locked/>
    <w:uiPriority w:val="0"/>
    <w:rPr>
      <w:rFonts w:ascii="Arial" w:hAnsi="Arial" w:eastAsia="黑体"/>
      <w:kern w:val="2"/>
    </w:rPr>
  </w:style>
  <w:style w:type="character" w:customStyle="1" w:styleId="57">
    <w:name w:val="标题 2 字符"/>
    <w:semiHidden/>
    <w:qFormat/>
    <w:uiPriority w:val="9"/>
    <w:rPr>
      <w:rFonts w:ascii="等线 Light" w:hAnsi="等线 Light" w:eastAsia="等线 Light" w:cs="Times New Roman"/>
      <w:b/>
      <w:bCs/>
      <w:kern w:val="2"/>
      <w:sz w:val="32"/>
      <w:szCs w:val="3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字符1"/>
    <w:link w:val="5"/>
    <w:qFormat/>
    <w:uiPriority w:val="0"/>
    <w:rPr>
      <w:rFonts w:ascii="宋体" w:hAnsi="宋体"/>
      <w:b/>
      <w:bCs/>
      <w:kern w:val="2"/>
      <w:sz w:val="30"/>
      <w:szCs w:val="30"/>
    </w:rPr>
  </w:style>
  <w:style w:type="character" w:customStyle="1" w:styleId="61">
    <w:name w:val="正文文本 字符"/>
    <w:link w:val="16"/>
    <w:qFormat/>
    <w:uiPriority w:val="0"/>
    <w:rPr>
      <w:kern w:val="2"/>
      <w:sz w:val="21"/>
      <w:szCs w:val="24"/>
    </w:rPr>
  </w:style>
  <w:style w:type="character" w:customStyle="1" w:styleId="62">
    <w:name w:val="列表段落 字符1"/>
    <w:link w:val="63"/>
    <w:qFormat/>
    <w:uiPriority w:val="34"/>
    <w:rPr>
      <w:kern w:val="2"/>
      <w:sz w:val="21"/>
      <w:szCs w:val="24"/>
    </w:rPr>
  </w:style>
  <w:style w:type="paragraph"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66"/>
    <w:qFormat/>
    <w:uiPriority w:val="0"/>
    <w:rPr>
      <w:rFonts w:ascii="time" w:hAnsi="time"/>
      <w:sz w:val="24"/>
      <w:szCs w:val="24"/>
      <w:lang w:bidi="en-US"/>
    </w:rPr>
  </w:style>
  <w:style w:type="paragraph" w:customStyle="1" w:styleId="66">
    <w:name w:val="*正文"/>
    <w:basedOn w:val="1"/>
    <w:link w:val="65"/>
    <w:qFormat/>
    <w:uiPriority w:val="0"/>
    <w:pPr>
      <w:widowControl/>
      <w:ind w:firstLine="200"/>
      <w:contextualSpacing/>
    </w:pPr>
    <w:rPr>
      <w:rFonts w:ascii="time" w:hAnsi="time"/>
      <w:kern w:val="0"/>
      <w:lang w:bidi="en-US"/>
    </w:rPr>
  </w:style>
  <w:style w:type="character" w:customStyle="1" w:styleId="67">
    <w:name w:val="正文文本缩进 字符"/>
    <w:semiHidden/>
    <w:qFormat/>
    <w:uiPriority w:val="99"/>
    <w:rPr>
      <w:rFonts w:ascii="宋体" w:hAnsi="宋体"/>
      <w:kern w:val="2"/>
      <w:sz w:val="24"/>
      <w:szCs w:val="24"/>
    </w:rPr>
  </w:style>
  <w:style w:type="character" w:customStyle="1" w:styleId="68">
    <w:name w:val="纯文本 字符1"/>
    <w:link w:val="20"/>
    <w:qFormat/>
    <w:locked/>
    <w:uiPriority w:val="0"/>
    <w:rPr>
      <w:rFonts w:ascii="宋体" w:hAnsi="Courier New"/>
      <w:kern w:val="2"/>
      <w:sz w:val="21"/>
    </w:rPr>
  </w:style>
  <w:style w:type="character" w:customStyle="1" w:styleId="69">
    <w:name w:val="my正文 Char"/>
    <w:link w:val="70"/>
    <w:qFormat/>
    <w:uiPriority w:val="0"/>
    <w:rPr>
      <w:kern w:val="2"/>
      <w:sz w:val="21"/>
      <w:szCs w:val="24"/>
    </w:rPr>
  </w:style>
  <w:style w:type="paragraph" w:customStyle="1" w:styleId="70">
    <w:name w:val="my正文"/>
    <w:basedOn w:val="1"/>
    <w:link w:val="69"/>
    <w:qFormat/>
    <w:uiPriority w:val="0"/>
    <w:pPr>
      <w:spacing w:line="240" w:lineRule="auto"/>
      <w:ind w:firstLine="0" w:firstLineChars="0"/>
    </w:pPr>
    <w:rPr>
      <w:rFonts w:ascii="Times New Roman" w:hAnsi="Times New Roman"/>
      <w:sz w:val="21"/>
    </w:rPr>
  </w:style>
  <w:style w:type="character" w:customStyle="1" w:styleId="71">
    <w:name w:val="正文2 字符"/>
    <w:link w:val="72"/>
    <w:qFormat/>
    <w:uiPriority w:val="0"/>
    <w:rPr>
      <w:kern w:val="2"/>
      <w:sz w:val="21"/>
      <w:szCs w:val="24"/>
    </w:rPr>
  </w:style>
  <w:style w:type="paragraph" w:customStyle="1" w:styleId="72">
    <w:name w:val="正文2"/>
    <w:basedOn w:val="1"/>
    <w:link w:val="71"/>
    <w:qFormat/>
    <w:uiPriority w:val="0"/>
    <w:pPr>
      <w:ind w:firstLine="420"/>
    </w:pPr>
    <w:rPr>
      <w:rFonts w:ascii="Times New Roman" w:hAnsi="Times New Roman"/>
      <w:sz w:val="21"/>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标题 7 字符"/>
    <w:link w:val="8"/>
    <w:qFormat/>
    <w:uiPriority w:val="9"/>
    <w:rPr>
      <w:b/>
      <w:bCs/>
      <w:kern w:val="2"/>
      <w:sz w:val="21"/>
      <w:szCs w:val="24"/>
    </w:rPr>
  </w:style>
  <w:style w:type="character" w:customStyle="1" w:styleId="75">
    <w:name w:val="批注框文本 字符"/>
    <w:semiHidden/>
    <w:qFormat/>
    <w:uiPriority w:val="99"/>
    <w:rPr>
      <w:rFonts w:ascii="宋体" w:hAnsi="宋体"/>
      <w:kern w:val="2"/>
      <w:sz w:val="18"/>
      <w:szCs w:val="18"/>
    </w:rPr>
  </w:style>
  <w:style w:type="character" w:customStyle="1" w:styleId="76">
    <w:name w:val="副标题 Char1"/>
    <w:qFormat/>
    <w:uiPriority w:val="0"/>
    <w:rPr>
      <w:rFonts w:ascii="Calibri Light" w:hAnsi="Calibri Light" w:cs="Times New Roman"/>
      <w:b/>
      <w:bCs/>
      <w:kern w:val="28"/>
      <w:sz w:val="32"/>
      <w:szCs w:val="32"/>
    </w:rPr>
  </w:style>
  <w:style w:type="character" w:customStyle="1" w:styleId="77">
    <w:name w:val="标题 1 字符1"/>
    <w:link w:val="2"/>
    <w:qFormat/>
    <w:uiPriority w:val="0"/>
    <w:rPr>
      <w:rFonts w:ascii="宋体" w:hAnsi="宋体" w:eastAsia="黑体"/>
      <w:b/>
      <w:bCs/>
      <w:kern w:val="44"/>
      <w:sz w:val="32"/>
      <w:szCs w:val="28"/>
    </w:rPr>
  </w:style>
  <w:style w:type="character" w:customStyle="1" w:styleId="78">
    <w:name w:val="批注文字 字符"/>
    <w:qFormat/>
    <w:uiPriority w:val="99"/>
    <w:rPr>
      <w:rFonts w:ascii="宋体" w:hAnsi="宋体"/>
      <w:kern w:val="2"/>
      <w:sz w:val="24"/>
      <w:szCs w:val="24"/>
    </w:rPr>
  </w:style>
  <w:style w:type="character" w:customStyle="1" w:styleId="79">
    <w:name w:val="文档结构图 字符"/>
    <w:semiHidden/>
    <w:qFormat/>
    <w:uiPriority w:val="99"/>
    <w:rPr>
      <w:rFonts w:ascii="Microsoft YaHei UI" w:hAnsi="宋体" w:eastAsia="Microsoft YaHei UI"/>
      <w:kern w:val="2"/>
      <w:sz w:val="18"/>
      <w:szCs w:val="18"/>
    </w:rPr>
  </w:style>
  <w:style w:type="character" w:customStyle="1" w:styleId="80">
    <w:name w:val="标题 6 字符"/>
    <w:semiHidden/>
    <w:qFormat/>
    <w:uiPriority w:val="9"/>
    <w:rPr>
      <w:rFonts w:ascii="等线 Light" w:hAnsi="等线 Light" w:eastAsia="等线 Light" w:cs="Times New Roman"/>
      <w:b/>
      <w:bCs/>
      <w:kern w:val="2"/>
      <w:sz w:val="24"/>
      <w:szCs w:val="24"/>
    </w:rPr>
  </w:style>
  <w:style w:type="character" w:customStyle="1" w:styleId="81">
    <w:name w:val="正文正文2 Char"/>
    <w:link w:val="82"/>
    <w:qFormat/>
    <w:uiPriority w:val="0"/>
    <w:rPr>
      <w:rFonts w:ascii="宋体" w:hAnsi="宋体"/>
      <w:kern w:val="2"/>
      <w:sz w:val="21"/>
      <w:szCs w:val="21"/>
    </w:rPr>
  </w:style>
  <w:style w:type="paragraph" w:customStyle="1" w:styleId="82">
    <w:name w:val="正文正文2"/>
    <w:basedOn w:val="1"/>
    <w:link w:val="81"/>
    <w:qFormat/>
    <w:uiPriority w:val="0"/>
    <w:pPr>
      <w:ind w:firstLine="460"/>
    </w:pPr>
    <w:rPr>
      <w:sz w:val="21"/>
      <w:szCs w:val="21"/>
    </w:rPr>
  </w:style>
  <w:style w:type="character" w:customStyle="1" w:styleId="83">
    <w:name w:val="标题 3 字符2"/>
    <w:link w:val="4"/>
    <w:qFormat/>
    <w:uiPriority w:val="0"/>
    <w:rPr>
      <w:rFonts w:ascii="宋体" w:hAnsi="宋体"/>
      <w:b/>
      <w:bCs/>
      <w:kern w:val="2"/>
      <w:sz w:val="28"/>
      <w:szCs w:val="28"/>
    </w:rPr>
  </w:style>
  <w:style w:type="character" w:customStyle="1" w:styleId="84">
    <w:name w:val="标题 4 字符"/>
    <w:semiHidden/>
    <w:qFormat/>
    <w:uiPriority w:val="9"/>
    <w:rPr>
      <w:rFonts w:ascii="等线 Light" w:hAnsi="等线 Light" w:eastAsia="等线 Light" w:cs="Times New Roman"/>
      <w:b/>
      <w:bCs/>
      <w:kern w:val="2"/>
      <w:sz w:val="28"/>
      <w:szCs w:val="28"/>
    </w:rPr>
  </w:style>
  <w:style w:type="character" w:customStyle="1" w:styleId="85">
    <w:name w:val="批注主题 字符1"/>
    <w:link w:val="34"/>
    <w:qFormat/>
    <w:uiPriority w:val="0"/>
    <w:rPr>
      <w:rFonts w:eastAsia="仿宋"/>
      <w:b/>
      <w:bCs/>
      <w:kern w:val="2"/>
      <w:sz w:val="21"/>
      <w:szCs w:val="24"/>
    </w:rPr>
  </w:style>
  <w:style w:type="character" w:customStyle="1" w:styleId="86">
    <w:name w:val="页眉 字符"/>
    <w:semiHidden/>
    <w:qFormat/>
    <w:uiPriority w:val="99"/>
    <w:rPr>
      <w:rFonts w:ascii="宋体" w:hAnsi="宋体"/>
      <w:kern w:val="2"/>
      <w:sz w:val="18"/>
      <w:szCs w:val="18"/>
    </w:rPr>
  </w:style>
  <w:style w:type="character" w:customStyle="1" w:styleId="87">
    <w:name w:val="正文文本缩进 字符1"/>
    <w:link w:val="17"/>
    <w:qFormat/>
    <w:uiPriority w:val="0"/>
    <w:rPr>
      <w:kern w:val="2"/>
      <w:sz w:val="21"/>
    </w:rPr>
  </w:style>
  <w:style w:type="character" w:customStyle="1" w:styleId="88">
    <w:name w:val="标题 5 字符1"/>
    <w:link w:val="6"/>
    <w:qFormat/>
    <w:uiPriority w:val="0"/>
    <w:rPr>
      <w:rFonts w:ascii="宋体" w:hAnsi="宋体"/>
      <w:b/>
      <w:bCs/>
      <w:kern w:val="2"/>
      <w:sz w:val="24"/>
      <w:szCs w:val="28"/>
    </w:rPr>
  </w:style>
  <w:style w:type="character" w:customStyle="1" w:styleId="89">
    <w:name w:val="副标题 字符1"/>
    <w:link w:val="28"/>
    <w:qFormat/>
    <w:uiPriority w:val="0"/>
    <w:rPr>
      <w:rFonts w:ascii="Calibri Light" w:hAnsi="Calibri Light"/>
      <w:b/>
      <w:bCs/>
      <w:kern w:val="28"/>
      <w:sz w:val="32"/>
      <w:szCs w:val="32"/>
    </w:rPr>
  </w:style>
  <w:style w:type="character" w:customStyle="1" w:styleId="90">
    <w:name w:val="标题 2 字符1"/>
    <w:link w:val="3"/>
    <w:qFormat/>
    <w:uiPriority w:val="9"/>
    <w:rPr>
      <w:rFonts w:ascii="宋体" w:hAnsi="宋体"/>
      <w:b/>
      <w:bCs/>
      <w:kern w:val="2"/>
      <w:sz w:val="30"/>
      <w:szCs w:val="32"/>
    </w:rPr>
  </w:style>
  <w:style w:type="character" w:customStyle="1" w:styleId="91">
    <w:name w:val="页脚 字符1"/>
    <w:link w:val="24"/>
    <w:qFormat/>
    <w:uiPriority w:val="99"/>
    <w:rPr>
      <w:kern w:val="2"/>
      <w:sz w:val="18"/>
      <w:szCs w:val="18"/>
    </w:rPr>
  </w:style>
  <w:style w:type="character" w:customStyle="1" w:styleId="92">
    <w:name w:val="批注主题 字符"/>
    <w:semiHidden/>
    <w:qFormat/>
    <w:uiPriority w:val="99"/>
    <w:rPr>
      <w:rFonts w:ascii="宋体" w:hAnsi="宋体"/>
      <w:b/>
      <w:bCs/>
      <w:kern w:val="2"/>
      <w:sz w:val="24"/>
      <w:szCs w:val="24"/>
    </w:rPr>
  </w:style>
  <w:style w:type="character" w:customStyle="1" w:styleId="93">
    <w:name w:val="文档结构图 字符1"/>
    <w:link w:val="14"/>
    <w:qFormat/>
    <w:uiPriority w:val="0"/>
    <w:rPr>
      <w:rFonts w:ascii="宋体"/>
      <w:kern w:val="2"/>
      <w:sz w:val="18"/>
      <w:szCs w:val="18"/>
    </w:rPr>
  </w:style>
  <w:style w:type="character" w:customStyle="1" w:styleId="94">
    <w:name w:val="font31"/>
    <w:qFormat/>
    <w:uiPriority w:val="0"/>
    <w:rPr>
      <w:rFonts w:hint="eastAsia" w:ascii="宋体" w:hAnsi="宋体" w:eastAsia="宋体" w:cs="宋体"/>
      <w:color w:val="000000"/>
      <w:sz w:val="21"/>
      <w:szCs w:val="21"/>
      <w:u w:val="none"/>
    </w:rPr>
  </w:style>
  <w:style w:type="character" w:customStyle="1" w:styleId="95">
    <w:name w:val="标准正文 Char"/>
    <w:link w:val="96"/>
    <w:qFormat/>
    <w:uiPriority w:val="0"/>
    <w:rPr>
      <w:rFonts w:ascii="Arial" w:hAnsi="Arial"/>
      <w:kern w:val="2"/>
      <w:sz w:val="24"/>
    </w:rPr>
  </w:style>
  <w:style w:type="paragraph" w:customStyle="1" w:styleId="96">
    <w:name w:val="标准正文"/>
    <w:basedOn w:val="17"/>
    <w:link w:val="95"/>
    <w:qFormat/>
    <w:uiPriority w:val="0"/>
    <w:pPr>
      <w:spacing w:before="60" w:after="60"/>
      <w:ind w:firstLine="482" w:firstLineChars="0"/>
    </w:pPr>
    <w:rPr>
      <w:rFonts w:ascii="Arial" w:hAnsi="Arial"/>
      <w:sz w:val="24"/>
    </w:rPr>
  </w:style>
  <w:style w:type="character" w:customStyle="1" w:styleId="97">
    <w:name w:val="标题 字符1"/>
    <w:link w:val="33"/>
    <w:qFormat/>
    <w:uiPriority w:val="0"/>
    <w:rPr>
      <w:rFonts w:ascii="Cambria" w:hAnsi="Cambria" w:eastAsia="黑体"/>
      <w:b/>
      <w:bCs/>
      <w:kern w:val="2"/>
      <w:sz w:val="52"/>
      <w:szCs w:val="32"/>
    </w:rPr>
  </w:style>
  <w:style w:type="character" w:customStyle="1" w:styleId="98">
    <w:name w:val="批注框文本 字符1"/>
    <w:link w:val="23"/>
    <w:qFormat/>
    <w:uiPriority w:val="0"/>
    <w:rPr>
      <w:kern w:val="2"/>
      <w:sz w:val="18"/>
      <w:szCs w:val="18"/>
    </w:rPr>
  </w:style>
  <w:style w:type="character" w:customStyle="1" w:styleId="99">
    <w:name w:val="页眉 字符1"/>
    <w:link w:val="25"/>
    <w:qFormat/>
    <w:uiPriority w:val="99"/>
    <w:rPr>
      <w:kern w:val="2"/>
      <w:sz w:val="18"/>
      <w:szCs w:val="18"/>
    </w:rPr>
  </w:style>
  <w:style w:type="character" w:customStyle="1" w:styleId="100">
    <w:name w:val="标题 8 字符"/>
    <w:link w:val="9"/>
    <w:qFormat/>
    <w:uiPriority w:val="9"/>
    <w:rPr>
      <w:rFonts w:ascii="Cambria" w:hAnsi="Cambria"/>
      <w:kern w:val="2"/>
      <w:sz w:val="21"/>
      <w:szCs w:val="24"/>
    </w:rPr>
  </w:style>
  <w:style w:type="character" w:customStyle="1" w:styleId="101">
    <w:name w:val="标题 6 字符1"/>
    <w:link w:val="7"/>
    <w:qFormat/>
    <w:uiPriority w:val="0"/>
    <w:rPr>
      <w:rFonts w:ascii="Cambria" w:hAnsi="Cambria"/>
      <w:b/>
      <w:bCs/>
      <w:kern w:val="2"/>
      <w:sz w:val="24"/>
      <w:szCs w:val="24"/>
    </w:rPr>
  </w:style>
  <w:style w:type="character" w:customStyle="1" w:styleId="102">
    <w:name w:val="标题 字符"/>
    <w:qFormat/>
    <w:uiPriority w:val="10"/>
    <w:rPr>
      <w:rFonts w:ascii="等线 Light" w:hAnsi="等线 Light" w:eastAsia="等线 Light" w:cs="Times New Roman"/>
      <w:b/>
      <w:bCs/>
      <w:kern w:val="2"/>
      <w:sz w:val="32"/>
      <w:szCs w:val="32"/>
    </w:rPr>
  </w:style>
  <w:style w:type="character" w:customStyle="1" w:styleId="103">
    <w:name w:val="副标题 字符"/>
    <w:qFormat/>
    <w:uiPriority w:val="11"/>
    <w:rPr>
      <w:rFonts w:ascii="等线" w:hAnsi="等线" w:eastAsia="等线" w:cs="Times New Roman"/>
      <w:b/>
      <w:bCs/>
      <w:kern w:val="28"/>
      <w:sz w:val="32"/>
      <w:szCs w:val="32"/>
    </w:rPr>
  </w:style>
  <w:style w:type="paragraph" w:customStyle="1" w:styleId="104">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5">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6">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7">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8">
    <w:name w:val="正文缩进1"/>
    <w:basedOn w:val="1"/>
    <w:qFormat/>
    <w:uiPriority w:val="0"/>
    <w:pPr>
      <w:spacing w:line="240" w:lineRule="auto"/>
      <w:ind w:firstLine="420"/>
    </w:pPr>
    <w:rPr>
      <w:rFonts w:ascii="Times New Roman" w:hAnsi="Times New Roman"/>
      <w:sz w:val="21"/>
      <w:szCs w:val="20"/>
    </w:rPr>
  </w:style>
  <w:style w:type="paragraph" w:customStyle="1" w:styleId="109">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0">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1">
    <w:name w:val="Indent Normal"/>
    <w:basedOn w:val="1"/>
    <w:qFormat/>
    <w:uiPriority w:val="0"/>
    <w:pPr>
      <w:ind w:firstLine="150" w:firstLineChars="150"/>
    </w:pPr>
  </w:style>
  <w:style w:type="paragraph" w:customStyle="1" w:styleId="112">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3">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4">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5">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7">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9">
    <w:name w:val="Char Char Char Char Char Char1 Char"/>
    <w:basedOn w:val="1"/>
    <w:qFormat/>
    <w:uiPriority w:val="0"/>
    <w:pPr>
      <w:widowControl/>
      <w:spacing w:after="160" w:line="240" w:lineRule="exact"/>
      <w:jc w:val="left"/>
    </w:pPr>
  </w:style>
  <w:style w:type="paragraph" w:customStyle="1" w:styleId="120">
    <w:name w:val="PM_Body"/>
    <w:basedOn w:val="1"/>
    <w:qFormat/>
    <w:locked/>
    <w:uiPriority w:val="0"/>
    <w:rPr>
      <w:szCs w:val="21"/>
    </w:rPr>
  </w:style>
  <w:style w:type="paragraph" w:customStyle="1" w:styleId="121">
    <w:name w:val="Char Char1"/>
    <w:basedOn w:val="1"/>
    <w:qFormat/>
    <w:uiPriority w:val="0"/>
    <w:pPr>
      <w:widowControl/>
      <w:spacing w:before="120" w:after="120"/>
    </w:pPr>
    <w:rPr>
      <w:rFonts w:ascii="Times New Roman" w:hAnsi="Times New Roman" w:cs="宋体"/>
    </w:rPr>
  </w:style>
  <w:style w:type="paragraph" w:customStyle="1" w:styleId="122">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3">
    <w:name w:val="修订1"/>
    <w:unhideWhenUsed/>
    <w:qFormat/>
    <w:uiPriority w:val="99"/>
    <w:rPr>
      <w:rFonts w:ascii="宋体" w:hAnsi="宋体" w:eastAsia="宋体" w:cs="Times New Roman"/>
      <w:kern w:val="2"/>
      <w:sz w:val="24"/>
      <w:szCs w:val="24"/>
      <w:lang w:val="en-US" w:eastAsia="zh-CN" w:bidi="ar-SA"/>
    </w:rPr>
  </w:style>
  <w:style w:type="paragraph" w:customStyle="1" w:styleId="124">
    <w:name w:val="列出段落2"/>
    <w:basedOn w:val="1"/>
    <w:qFormat/>
    <w:uiPriority w:val="0"/>
    <w:pPr>
      <w:spacing w:line="240" w:lineRule="auto"/>
      <w:ind w:firstLine="420"/>
    </w:pPr>
    <w:rPr>
      <w:rFonts w:ascii="等线" w:hAnsi="等线" w:eastAsia="等线" w:cs="等线"/>
      <w:sz w:val="21"/>
      <w:szCs w:val="21"/>
    </w:rPr>
  </w:style>
  <w:style w:type="paragraph" w:customStyle="1" w:styleId="125">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7">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8">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9">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0">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1">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2">
    <w:name w:val="!我的表格1"/>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
    <w:basedOn w:val="37"/>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1 Char"/>
    <w:qFormat/>
    <w:uiPriority w:val="0"/>
    <w:rPr>
      <w:rFonts w:ascii="宋体" w:hAnsi="宋体" w:eastAsia="黑体"/>
      <w:b/>
      <w:bCs/>
      <w:kern w:val="44"/>
      <w:sz w:val="32"/>
      <w:szCs w:val="28"/>
    </w:rPr>
  </w:style>
  <w:style w:type="character" w:customStyle="1" w:styleId="135">
    <w:name w:val="纯文本 Char2"/>
    <w:qFormat/>
    <w:uiPriority w:val="0"/>
    <w:rPr>
      <w:rFonts w:ascii="宋体" w:hAnsi="宋体" w:eastAsia="宋体" w:cs="Times New Roman"/>
      <w:color w:val="000000"/>
      <w:kern w:val="0"/>
      <w:sz w:val="24"/>
      <w:szCs w:val="24"/>
    </w:rPr>
  </w:style>
  <w:style w:type="paragraph" w:customStyle="1" w:styleId="136">
    <w:name w:val="修订2"/>
    <w:hidden/>
    <w:unhideWhenUsed/>
    <w:qFormat/>
    <w:uiPriority w:val="99"/>
    <w:rPr>
      <w:rFonts w:ascii="宋体" w:hAnsi="宋体" w:eastAsia="宋体" w:cs="Times New Roman"/>
      <w:kern w:val="2"/>
      <w:sz w:val="24"/>
      <w:szCs w:val="24"/>
      <w:lang w:val="en-US" w:eastAsia="zh-CN" w:bidi="ar-SA"/>
    </w:rPr>
  </w:style>
  <w:style w:type="paragraph" w:customStyle="1" w:styleId="137">
    <w:name w:val="!BECC正文"/>
    <w:basedOn w:val="1"/>
    <w:qFormat/>
    <w:uiPriority w:val="0"/>
    <w:pPr>
      <w:tabs>
        <w:tab w:val="left" w:pos="0"/>
      </w:tabs>
      <w:spacing w:beforeLines="50" w:afterLines="50"/>
      <w:ind w:firstLine="200"/>
    </w:pPr>
    <w:rPr>
      <w:rFonts w:asciiTheme="minorHAnsi" w:hAnsiTheme="minorHAnsi" w:eastAsiaTheme="minorEastAsia" w:cstheme="minorBidi"/>
    </w:rPr>
  </w:style>
  <w:style w:type="paragraph" w:customStyle="1" w:styleId="138">
    <w:name w:val="5级标题"/>
    <w:basedOn w:val="6"/>
    <w:qFormat/>
    <w:uiPriority w:val="0"/>
    <w:pPr>
      <w:keepNext w:val="0"/>
      <w:numPr>
        <w:numId w:val="3"/>
      </w:numPr>
      <w:tabs>
        <w:tab w:val="left" w:pos="312"/>
      </w:tabs>
      <w:spacing w:line="372" w:lineRule="auto"/>
    </w:pPr>
    <w:rPr>
      <w:rFonts w:ascii="Times New Roman" w:hAnsi="Times New Roman"/>
      <w:b w:val="0"/>
      <w:szCs w:val="21"/>
    </w:rPr>
  </w:style>
  <w:style w:type="paragraph" w:customStyle="1" w:styleId="139">
    <w:name w:val="可研正文"/>
    <w:basedOn w:val="1"/>
    <w:qFormat/>
    <w:uiPriority w:val="0"/>
    <w:pPr>
      <w:ind w:firstLine="200"/>
    </w:pPr>
    <w:rPr>
      <w:rFonts w:ascii="仿宋" w:hAnsi="仿宋" w:eastAsia="仿宋"/>
      <w:sz w:val="28"/>
      <w:szCs w:val="28"/>
    </w:rPr>
  </w:style>
  <w:style w:type="paragraph" w:customStyle="1" w:styleId="140">
    <w:name w:val="!DSJ_正文"/>
    <w:basedOn w:val="1"/>
    <w:qFormat/>
    <w:uiPriority w:val="0"/>
    <w:rPr>
      <w:rFonts w:asciiTheme="minorHAnsi" w:hAnsiTheme="minorHAnsi" w:cstheme="minorBidi"/>
    </w:rPr>
  </w:style>
  <w:style w:type="character" w:customStyle="1" w:styleId="141">
    <w:name w:val="ne-text"/>
    <w:basedOn w:val="39"/>
    <w:qFormat/>
    <w:uiPriority w:val="0"/>
  </w:style>
  <w:style w:type="paragraph" w:customStyle="1" w:styleId="142">
    <w:name w:val="!DSJ_图片"/>
    <w:basedOn w:val="140"/>
    <w:qFormat/>
    <w:uiPriority w:val="0"/>
    <w:pPr>
      <w:spacing w:line="240" w:lineRule="auto"/>
      <w:ind w:firstLine="0" w:firstLineChars="0"/>
      <w:jc w:val="center"/>
    </w:pPr>
  </w:style>
  <w:style w:type="paragraph" w:customStyle="1" w:styleId="143">
    <w:name w:val="首行缩进:  0.85 厘米"/>
    <w:basedOn w:val="1"/>
    <w:qFormat/>
    <w:uiPriority w:val="0"/>
    <w:pPr>
      <w:ind w:firstLine="482"/>
      <w:jc w:val="left"/>
    </w:pPr>
    <w:rPr>
      <w:rFonts w:ascii="Times New Roman" w:hAnsi="Times New Roman" w:eastAsia="仿宋_GB2312" w:cs="宋体"/>
      <w:kern w:val="0"/>
      <w:sz w:val="28"/>
      <w:szCs w:val="20"/>
      <w:lang w:eastAsia="en-US" w:bidi="en-US"/>
    </w:rPr>
  </w:style>
  <w:style w:type="paragraph" w:customStyle="1" w:styleId="144">
    <w:name w:val="正文1"/>
    <w:basedOn w:val="145"/>
    <w:next w:val="145"/>
    <w:qFormat/>
    <w:uiPriority w:val="0"/>
    <w:pPr>
      <w:widowControl/>
    </w:pPr>
    <w:rPr>
      <w:rFonts w:ascii="黑体" w:eastAsia="黑体" w:cs="Times New Roman"/>
      <w:color w:val="auto"/>
      <w:sz w:val="20"/>
      <w:lang w:eastAsia="en-US"/>
    </w:rPr>
  </w:style>
  <w:style w:type="paragraph" w:customStyle="1" w:styleId="145">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4BE6F3C-D29A-4038-8C75-1E72B8E32967}">
  <ds:schemaRefs/>
</ds:datastoreItem>
</file>

<file path=docProps/app.xml><?xml version="1.0" encoding="utf-8"?>
<Properties xmlns="http://schemas.openxmlformats.org/officeDocument/2006/extended-properties" xmlns:vt="http://schemas.openxmlformats.org/officeDocument/2006/docPropsVTypes">
  <Template>Normal</Template>
  <Pages>24</Pages>
  <Words>2100</Words>
  <Characters>11975</Characters>
  <Lines>1</Lines>
  <Paragraphs>1</Paragraphs>
  <TotalTime>9</TotalTime>
  <ScaleCrop>false</ScaleCrop>
  <LinksUpToDate>false</LinksUpToDate>
  <CharactersWithSpaces>14047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2025-04-09T08:45:00Z</dcterms:created>
  <dc:creator>gtig_tzb</dc:creator>
  <cp:lastModifiedBy>user</cp:lastModifiedBy>
  <cp:lastPrinted>2020-08-07T20:08:00Z</cp:lastPrinted>
  <dcterms:modified xsi:type="dcterms:W3CDTF">2025-06-11T08:38:20Z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F9F7A26FB4364EA39133D1F99C57A349_13</vt:lpwstr>
  </property>
  <property fmtid="{D5CDD505-2E9C-101B-9397-08002B2CF9AE}" pid="4" name="KSOTemplateDocerSaveRecord">
    <vt:lpwstr>eyJoZGlkIjoiYWRlMTcyOTAwYTViNTYwMjdjZjIwZGJjMjgwNTJmOGUiLCJ1c2VySWQiOiIyOTk2NTM5MzkifQ==</vt:lpwstr>
  </property>
</Properties>
</file>