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A9833">
      <w:pPr>
        <w:pStyle w:val="2"/>
        <w:numPr>
          <w:ilvl w:val="0"/>
          <w:numId w:val="0"/>
        </w:numPr>
        <w:ind w:left="425" w:leftChars="0"/>
        <w:jc w:val="center"/>
        <w:rPr>
          <w:rFonts w:hint="eastAsia"/>
          <w:lang w:eastAsia="zh-CN"/>
        </w:rPr>
      </w:pPr>
      <w:bookmarkStart w:id="0" w:name="_Toc63785461"/>
      <w:r>
        <w:rPr>
          <w:rFonts w:hint="eastAsia"/>
          <w:lang w:val="en-US" w:eastAsia="zh-CN"/>
        </w:rPr>
        <w:t>上海市水闸运行监督管理子系统建设</w:t>
      </w:r>
      <w:r>
        <w:rPr>
          <w:rFonts w:hint="eastAsia"/>
          <w:lang w:eastAsia="zh-CN"/>
        </w:rPr>
        <w:t>项目采购需求</w:t>
      </w:r>
    </w:p>
    <w:p w14:paraId="7FBB31EC">
      <w:pPr>
        <w:jc w:val="center"/>
        <w:rPr>
          <w:rFonts w:hint="eastAsia"/>
          <w:b/>
          <w:bCs/>
          <w:lang w:eastAsia="zh-CN"/>
        </w:rPr>
      </w:pPr>
    </w:p>
    <w:p w14:paraId="0C9E444D">
      <w:pPr>
        <w:pStyle w:val="2"/>
      </w:pPr>
      <w:r>
        <w:rPr>
          <w:rFonts w:hint="eastAsia"/>
        </w:rPr>
        <w:t>项目概况</w:t>
      </w:r>
      <w:bookmarkEnd w:id="0"/>
    </w:p>
    <w:p w14:paraId="3CB582B5">
      <w:pPr>
        <w:spacing w:line="560" w:lineRule="exact"/>
        <w:rPr>
          <w:rFonts w:hint="eastAsia"/>
          <w:color w:val="auto"/>
        </w:rPr>
      </w:pPr>
      <w:r>
        <w:rPr>
          <w:rFonts w:hint="eastAsia"/>
          <w:color w:val="auto"/>
        </w:rPr>
        <w:t>项目背景</w:t>
      </w:r>
      <w:r>
        <w:rPr>
          <w:rFonts w:hint="eastAsia"/>
          <w:color w:val="auto"/>
          <w:lang w:eastAsia="zh-CN"/>
        </w:rPr>
        <w:t>及</w:t>
      </w:r>
      <w:r>
        <w:rPr>
          <w:rFonts w:hint="eastAsia"/>
          <w:color w:val="auto"/>
        </w:rPr>
        <w:t>现状：</w:t>
      </w:r>
    </w:p>
    <w:p w14:paraId="5733A0C7">
      <w:pPr>
        <w:ind w:firstLine="560"/>
        <w:rPr>
          <w:rFonts w:hint="eastAsia"/>
          <w:lang w:val="en-US" w:eastAsia="zh-CN"/>
        </w:rPr>
      </w:pPr>
      <w:r>
        <w:rPr>
          <w:rFonts w:hint="eastAsia"/>
          <w:lang w:val="en-US" w:eastAsia="zh-CN"/>
        </w:rPr>
        <w:t>目前，上海市水利管理事务中心建设有1套上海市水闸泵站自动监测系统。该系统于2004年投入运行，并于2016年进行改建，已运行近20年，是本市实时掌握水利控制片外围主要水闸泵站运行调度的重要载体，为本市防汛排涝、水资源调度和水闸行业监管提供了有效的技术支撑。现有的上海市水闸泵站自动监测系统提供了市级管理水闸的日常运行监控及管理服务。包含水闸信息可视化、水闸运行实时管控、基本资料在线管理以及水闸查询统计功能。系统年限较久，业务监管需求增多无法满足实际使用需求，因此需要新增水闸信息动态管理子系统、水闸调度智能监管子系统、大数据分析与智能报表、平台大屏可视化以及平台移动端应用建设。</w:t>
      </w:r>
    </w:p>
    <w:p w14:paraId="145775C5">
      <w:pPr>
        <w:rPr>
          <w:color w:val="FF0000"/>
        </w:rPr>
      </w:pPr>
      <w:r>
        <w:rPr>
          <w:color w:val="FF0000"/>
        </w:rPr>
        <w:t>是否按信创要求建设：是</w:t>
      </w:r>
    </w:p>
    <w:p w14:paraId="4A91FDC5">
      <w:pPr>
        <w:pStyle w:val="2"/>
        <w:rPr>
          <w:rFonts w:hint="eastAsia"/>
        </w:rPr>
      </w:pPr>
      <w:bookmarkStart w:id="1" w:name="_Toc47537134"/>
      <w:bookmarkEnd w:id="1"/>
      <w:bookmarkStart w:id="2" w:name="_Toc47531634"/>
      <w:bookmarkEnd w:id="2"/>
      <w:bookmarkStart w:id="3" w:name="_Toc47539070"/>
      <w:bookmarkEnd w:id="3"/>
      <w:bookmarkStart w:id="4" w:name="_Toc47532891"/>
      <w:bookmarkEnd w:id="4"/>
      <w:bookmarkStart w:id="5" w:name="_Toc47536272"/>
      <w:bookmarkEnd w:id="5"/>
      <w:bookmarkStart w:id="6" w:name="_Toc47532255"/>
      <w:bookmarkEnd w:id="6"/>
      <w:bookmarkStart w:id="7" w:name="_Toc47536644"/>
      <w:bookmarkEnd w:id="7"/>
      <w:bookmarkStart w:id="8" w:name="_Toc47533256"/>
      <w:bookmarkEnd w:id="8"/>
      <w:bookmarkStart w:id="9" w:name="_Toc63785463"/>
      <w:bookmarkStart w:id="10" w:name="_Toc48223882"/>
      <w:r>
        <w:rPr>
          <w:rFonts w:hint="eastAsia"/>
        </w:rPr>
        <w:t>建设目标</w:t>
      </w:r>
      <w:bookmarkEnd w:id="9"/>
      <w:bookmarkEnd w:id="10"/>
    </w:p>
    <w:p w14:paraId="710DC5E0">
      <w:pPr>
        <w:pStyle w:val="4"/>
        <w:rPr>
          <w:rFonts w:hint="eastAsia"/>
          <w:lang w:val="en-US" w:eastAsia="zh-CN"/>
        </w:rPr>
      </w:pPr>
      <w:r>
        <w:rPr>
          <w:rFonts w:hint="eastAsia"/>
          <w:lang w:val="en-US" w:eastAsia="zh-CN"/>
        </w:rPr>
        <w:t>为切实提升全市水闸运行监督管理的现代化水平，本项目旨在通过两大核心工作内容实现全面升级：</w:t>
      </w:r>
    </w:p>
    <w:p w14:paraId="2919E185">
      <w:pPr>
        <w:pStyle w:val="4"/>
        <w:rPr>
          <w:rFonts w:hint="eastAsia"/>
          <w:lang w:val="en-US" w:eastAsia="zh-CN"/>
        </w:rPr>
      </w:pPr>
      <w:r>
        <w:rPr>
          <w:rFonts w:hint="eastAsia"/>
          <w:lang w:val="en-US" w:eastAsia="zh-CN"/>
        </w:rPr>
        <w:t>1.信创改造，对现有水闸信息化监管平台进行全面国产化适配与自主创新改造，确保系统自主可控、安全可靠；</w:t>
      </w:r>
    </w:p>
    <w:p w14:paraId="7351163B">
      <w:pPr>
        <w:pStyle w:val="4"/>
        <w:rPr>
          <w:rFonts w:hint="eastAsia"/>
          <w:lang w:val="en-US" w:eastAsia="zh-CN"/>
        </w:rPr>
      </w:pPr>
      <w:r>
        <w:rPr>
          <w:rFonts w:hint="eastAsia"/>
          <w:lang w:val="en-US" w:eastAsia="zh-CN"/>
        </w:rPr>
        <w:t>2.功能完善，在优化现有功能的基础上，增加智能化监管、数据可视化等先进功能，并引入符合国家密码管理要求的加密技术，保障数据传输和存储的安全性。通过以上措施，我们将构建一个集标准化、数字化、智能化于一体的水闸设施管理体系，全面提升水闸运行的安全性、效率和管理水平，推动全市水闸管理进入数字化、智能化的新时代。</w:t>
      </w:r>
    </w:p>
    <w:p w14:paraId="310BAAD3">
      <w:pPr>
        <w:pStyle w:val="2"/>
      </w:pPr>
      <w:bookmarkStart w:id="11" w:name="_Toc47537166"/>
      <w:bookmarkEnd w:id="11"/>
      <w:bookmarkStart w:id="12" w:name="_Toc47536676"/>
      <w:bookmarkEnd w:id="12"/>
      <w:bookmarkStart w:id="13" w:name="_Toc47532923"/>
      <w:bookmarkEnd w:id="13"/>
      <w:bookmarkStart w:id="14" w:name="_Toc47539102"/>
      <w:bookmarkEnd w:id="14"/>
      <w:bookmarkStart w:id="15" w:name="_Toc47536304"/>
      <w:bookmarkEnd w:id="15"/>
      <w:bookmarkStart w:id="16" w:name="_Toc47533288"/>
      <w:bookmarkEnd w:id="16"/>
      <w:r>
        <w:rPr>
          <w:rFonts w:hint="eastAsia"/>
        </w:rPr>
        <w:t>项目建设内容</w:t>
      </w:r>
    </w:p>
    <w:p w14:paraId="58680553">
      <w:pPr>
        <w:pStyle w:val="3"/>
        <w:bidi w:val="0"/>
        <w:ind w:left="15" w:leftChars="0" w:firstLine="465" w:firstLineChars="155"/>
        <w:rPr>
          <w:rFonts w:hint="default"/>
          <w:lang w:val="en-US" w:eastAsia="zh-CN"/>
        </w:rPr>
      </w:pPr>
      <w:r>
        <w:rPr>
          <w:rFonts w:hint="eastAsia"/>
          <w:lang w:val="en-US" w:eastAsia="zh-CN"/>
        </w:rPr>
        <w:t>工作内容</w:t>
      </w:r>
    </w:p>
    <w:p w14:paraId="1309D7D9">
      <w:pPr>
        <w:rPr>
          <w:rFonts w:hint="eastAsia"/>
        </w:rPr>
      </w:pPr>
      <w:r>
        <w:rPr>
          <w:rFonts w:hint="eastAsia"/>
        </w:rPr>
        <w:t>根据国家水利部《水利业务“四预”基本技术要求（试行）》及《大力推进智慧水利建设的指导意见》与《上海市水务海洋管理“十四五”规划》，项目旨在以智慧水利建设作为推动新阶段水利高质量发展的最显著标志和六条实施路径之一，构建具有‘四预’（预报、预警、预演、预案）功能的智慧水利体系，通过应用现代信息技术提升水利管理的智能化水平规划强调了推进“一网统管”建设，提升水闸监管智能化与精细化水平。</w:t>
      </w:r>
    </w:p>
    <w:p w14:paraId="6EF8C627">
      <w:pPr>
        <w:rPr>
          <w:rFonts w:hint="eastAsia"/>
        </w:rPr>
      </w:pPr>
      <w:r>
        <w:rPr>
          <w:rFonts w:hint="eastAsia"/>
          <w:lang w:val="en-US" w:eastAsia="zh-CN"/>
        </w:rPr>
        <w:t>本项目</w:t>
      </w:r>
      <w:r>
        <w:rPr>
          <w:rFonts w:hint="eastAsia"/>
        </w:rPr>
        <w:t>主要</w:t>
      </w:r>
      <w:r>
        <w:rPr>
          <w:rFonts w:hint="eastAsia"/>
          <w:lang w:val="en-US" w:eastAsia="zh-CN"/>
        </w:rPr>
        <w:t>建设</w:t>
      </w:r>
      <w:r>
        <w:rPr>
          <w:rFonts w:hint="eastAsia"/>
        </w:rPr>
        <w:t>内容包括原系统信创改造及数据迁移、系统PC端应用建设、系统移动端应用建设、系统可视化大屏端应用建设、系统数据库与数据治理建设、应用支撑建设以及安全相关建设内容。</w:t>
      </w:r>
    </w:p>
    <w:p w14:paraId="587C5952">
      <w:pPr>
        <w:rPr>
          <w:rFonts w:hint="eastAsia"/>
        </w:rPr>
      </w:pPr>
      <w:r>
        <w:rPr>
          <w:rFonts w:hint="eastAsia"/>
          <w:lang w:val="en-US" w:eastAsia="zh-CN"/>
        </w:rPr>
        <w:t>1.</w:t>
      </w:r>
      <w:r>
        <w:rPr>
          <w:rFonts w:hint="eastAsia"/>
        </w:rPr>
        <w:t>原系统信创改造及数据迁移</w:t>
      </w:r>
    </w:p>
    <w:p w14:paraId="510F7D44">
      <w:pPr>
        <w:rPr>
          <w:rFonts w:hint="eastAsia"/>
        </w:rPr>
      </w:pPr>
      <w:r>
        <w:rPr>
          <w:rFonts w:hint="eastAsia"/>
        </w:rPr>
        <w:t>本项目需对现有的上海市水闸泵站自动监测系统进行信创改造，并将2004年至今历史积累的水闸运行数据进行整体迁移并适配至本次新建子系统建设中。</w:t>
      </w:r>
    </w:p>
    <w:p w14:paraId="7B858020">
      <w:pPr>
        <w:rPr>
          <w:rFonts w:hint="eastAsia"/>
        </w:rPr>
      </w:pPr>
      <w:r>
        <w:rPr>
          <w:rFonts w:hint="eastAsia"/>
        </w:rPr>
        <w:t>本次项目系统功能建设应覆盖原有系统，并按照信创要求及数据安全标准，集成原系统历史水闸运行数据。</w:t>
      </w:r>
    </w:p>
    <w:p w14:paraId="0AE64834">
      <w:pPr>
        <w:rPr>
          <w:rFonts w:hint="default" w:eastAsia="宋体"/>
          <w:lang w:val="en-US" w:eastAsia="zh-CN"/>
        </w:rPr>
      </w:pPr>
      <w:r>
        <w:rPr>
          <w:rFonts w:hint="eastAsia"/>
          <w:lang w:val="en-US" w:eastAsia="zh-CN"/>
        </w:rPr>
        <w:t>2.系统PC端应用建设</w:t>
      </w:r>
    </w:p>
    <w:p w14:paraId="63A6DC1F">
      <w:pPr>
        <w:rPr>
          <w:rFonts w:hint="eastAsia"/>
        </w:rPr>
      </w:pPr>
      <w:r>
        <w:rPr>
          <w:rFonts w:hint="eastAsia"/>
        </w:rPr>
        <w:t>围绕以全市水闸运行监管为对象主体，聚合基础空间、属性信息、实时运行、业务管理等各类数据，实现对水闸运性的数字化与智能化监管应用。</w:t>
      </w:r>
    </w:p>
    <w:p w14:paraId="1BCDE345">
      <w:pPr>
        <w:rPr>
          <w:rFonts w:hint="eastAsia"/>
        </w:rPr>
      </w:pPr>
      <w:r>
        <w:rPr>
          <w:rFonts w:hint="eastAsia"/>
        </w:rPr>
        <w:t>从用户交互层面，将本项目划分为PC业务应用端建设、可视化大屏端建设与移动应用端建设。PC业务应用端建设方面，包含水闸信息动态管理应用、水闸调度智能监管应用、大数据分析与智能报表子系统应用。</w:t>
      </w:r>
    </w:p>
    <w:p w14:paraId="02685CD4">
      <w:pPr>
        <w:rPr>
          <w:rFonts w:hint="eastAsia"/>
        </w:rPr>
      </w:pPr>
      <w:r>
        <w:rPr>
          <w:rFonts w:hint="eastAsia"/>
          <w:lang w:val="en-US" w:eastAsia="zh-CN"/>
        </w:rPr>
        <w:t>3.</w:t>
      </w:r>
      <w:r>
        <w:rPr>
          <w:rFonts w:hint="eastAsia"/>
        </w:rPr>
        <w:t>系统移动端应用建设</w:t>
      </w:r>
    </w:p>
    <w:p w14:paraId="68AAAD9F">
      <w:pPr>
        <w:rPr>
          <w:rFonts w:hint="eastAsia"/>
        </w:rPr>
      </w:pPr>
      <w:r>
        <w:rPr>
          <w:rFonts w:hint="eastAsia"/>
        </w:rPr>
        <w:t>移动端，即通过移动化界面设计，为相关人员提供水闸运行监管的“口袋化”管理模式。主要建设水闸运行一张图、运行异常告警、专项巡查管理以及运维养护管理应用。</w:t>
      </w:r>
    </w:p>
    <w:p w14:paraId="2D9C1B21">
      <w:pPr>
        <w:rPr>
          <w:rFonts w:hint="eastAsia"/>
        </w:rPr>
      </w:pPr>
      <w:r>
        <w:rPr>
          <w:rFonts w:hint="eastAsia"/>
        </w:rPr>
        <w:t>4.系统可视化大屏端应用建设</w:t>
      </w:r>
    </w:p>
    <w:p w14:paraId="120B0332">
      <w:pPr>
        <w:rPr>
          <w:rFonts w:hint="eastAsia"/>
        </w:rPr>
      </w:pPr>
      <w:r>
        <w:rPr>
          <w:rFonts w:hint="eastAsia"/>
        </w:rPr>
        <w:t>可视化大屏端，为管理决策者提供全市水闸运行监管的全景“一张图”。将全市水闸监管中核心管理信息、运行指标、统计数据、预警\告警状态信息等进行提炼，并按照专题场景化形式与子系统地图层进行关联可视化展示，便于从不同管理尺度掌握全市水闸运行态势，为关键决策与指挥提供数据支撑。</w:t>
      </w:r>
    </w:p>
    <w:p w14:paraId="36F9F5D0">
      <w:pPr>
        <w:rPr>
          <w:rFonts w:hint="eastAsia"/>
        </w:rPr>
      </w:pPr>
      <w:r>
        <w:rPr>
          <w:rFonts w:hint="eastAsia"/>
        </w:rPr>
        <w:t>大屏端可视化界面将作为市级智慧水务子系统的二级子页面，系针对水闸调度的场景，如防汛调度等，进行专题化展示，为应急场景下管理者用户快速掌握水闸防汛调度运行态势，为全市防汛应急决策提供信息支持。主要开发水闸运行一张图、调度运行异常告警、日常监管以及防汛防台场景应用。</w:t>
      </w:r>
    </w:p>
    <w:p w14:paraId="1AE24A85">
      <w:pPr>
        <w:rPr>
          <w:rFonts w:hint="eastAsia"/>
        </w:rPr>
      </w:pPr>
      <w:r>
        <w:rPr>
          <w:rFonts w:hint="eastAsia"/>
          <w:lang w:val="en-US" w:eastAsia="zh-CN"/>
        </w:rPr>
        <w:t>5.</w:t>
      </w:r>
      <w:r>
        <w:rPr>
          <w:rFonts w:hint="eastAsia"/>
        </w:rPr>
        <w:t>统数据库与数据治理建设需求</w:t>
      </w:r>
    </w:p>
    <w:p w14:paraId="20CC343D">
      <w:pPr>
        <w:rPr>
          <w:rFonts w:hint="eastAsia"/>
        </w:rPr>
      </w:pPr>
      <w:r>
        <w:rPr>
          <w:rFonts w:hint="eastAsia"/>
        </w:rPr>
        <w:t>围绕水闸运行监管，完成水闸全量全要素数据聚合，并形成统一数据体系标准建设，包括需与外部系统打通的数据接口，以及供子系统应用调用的空间专题图层建设。</w:t>
      </w:r>
    </w:p>
    <w:p w14:paraId="13996D03">
      <w:pPr>
        <w:rPr>
          <w:rFonts w:hint="eastAsia"/>
        </w:rPr>
      </w:pPr>
      <w:r>
        <w:rPr>
          <w:rFonts w:hint="eastAsia"/>
        </w:rPr>
        <w:t>建设内容包括：对本次运行监督管理子系统的数据库与数据规范标准建设、聚合市、区级水闸运行数据、运维养护业务管理数据、安全生产信息数据、水利建设信息数据、市防汛防台信息、市已建相关地图服务以及行业相关水文气象等数据接口的建设。</w:t>
      </w:r>
    </w:p>
    <w:p w14:paraId="1DAF59D8">
      <w:pPr>
        <w:rPr>
          <w:rFonts w:hint="eastAsia"/>
        </w:rPr>
      </w:pPr>
      <w:r>
        <w:rPr>
          <w:rFonts w:hint="eastAsia"/>
          <w:lang w:val="en-US" w:eastAsia="zh-CN"/>
        </w:rPr>
        <w:t>6.</w:t>
      </w:r>
      <w:r>
        <w:rPr>
          <w:rFonts w:hint="eastAsia"/>
        </w:rPr>
        <w:t>信创安全保障体系建设需求</w:t>
      </w:r>
    </w:p>
    <w:p w14:paraId="2A70CDE5">
      <w:pPr>
        <w:rPr>
          <w:rFonts w:hint="eastAsia"/>
        </w:rPr>
      </w:pPr>
      <w:r>
        <w:rPr>
          <w:rFonts w:hint="eastAsia"/>
        </w:rPr>
        <w:t>根据国家信创要求、国家信息系统安全等级保护相关要求、国家涉密信息系统分级保护的相关要求及《水利网络与信息安全体系建设基本技术要求》、《水利网络安全顶层设计》、《水利网络安全事件应急预案》、《国家网络安全事件应急预案》、《国家电子政务外网网络及信息安全管理办法》等文件相关要求，对数据采集、数据接口、支撑应用软件、业务应用部署、信息系统安全等级测试、密码应用安全等相关保障体系建设。</w:t>
      </w:r>
    </w:p>
    <w:p w14:paraId="0137C1CB">
      <w:pPr>
        <w:ind w:firstLine="482"/>
        <w:rPr>
          <w:b/>
        </w:rPr>
      </w:pPr>
      <w:r>
        <w:rPr>
          <w:rFonts w:hint="eastAsia"/>
          <w:b/>
        </w:rPr>
        <w:t>1、软件开发清单（示例）：</w:t>
      </w:r>
    </w:p>
    <w:tbl>
      <w:tblPr>
        <w:tblStyle w:val="6"/>
        <w:tblW w:w="5000" w:type="pct"/>
        <w:jc w:val="center"/>
        <w:tblLayout w:type="fixed"/>
        <w:tblCellMar>
          <w:top w:w="0" w:type="dxa"/>
          <w:left w:w="108" w:type="dxa"/>
          <w:bottom w:w="0" w:type="dxa"/>
          <w:right w:w="108" w:type="dxa"/>
        </w:tblCellMar>
      </w:tblPr>
      <w:tblGrid>
        <w:gridCol w:w="657"/>
        <w:gridCol w:w="1102"/>
        <w:gridCol w:w="1556"/>
        <w:gridCol w:w="5213"/>
      </w:tblGrid>
      <w:tr w14:paraId="0885D5DD">
        <w:tblPrEx>
          <w:tblCellMar>
            <w:top w:w="0" w:type="dxa"/>
            <w:left w:w="108" w:type="dxa"/>
            <w:bottom w:w="0" w:type="dxa"/>
            <w:right w:w="108" w:type="dxa"/>
          </w:tblCellMar>
        </w:tblPrEx>
        <w:trPr>
          <w:trHeight w:val="270" w:hRule="atLeast"/>
          <w:jc w:val="center"/>
        </w:trPr>
        <w:tc>
          <w:tcPr>
            <w:tcW w:w="385" w:type="pct"/>
            <w:tcBorders>
              <w:top w:val="single" w:color="auto" w:sz="4" w:space="0"/>
              <w:left w:val="single" w:color="auto" w:sz="4" w:space="0"/>
              <w:bottom w:val="single" w:color="auto" w:sz="4" w:space="0"/>
              <w:right w:val="single" w:color="auto" w:sz="4" w:space="0"/>
            </w:tcBorders>
            <w:shd w:val="clear" w:color="000000" w:fill="F3F8FC"/>
            <w:noWrap/>
            <w:vAlign w:val="center"/>
          </w:tcPr>
          <w:p w14:paraId="14A05B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序号</w:t>
            </w:r>
          </w:p>
        </w:tc>
        <w:tc>
          <w:tcPr>
            <w:tcW w:w="646" w:type="pct"/>
            <w:tcBorders>
              <w:top w:val="single" w:color="auto" w:sz="4" w:space="0"/>
              <w:left w:val="nil"/>
              <w:bottom w:val="single" w:color="auto" w:sz="4" w:space="0"/>
              <w:right w:val="single" w:color="auto" w:sz="4" w:space="0"/>
            </w:tcBorders>
            <w:shd w:val="clear" w:color="000000" w:fill="F3F8FC"/>
            <w:noWrap/>
            <w:vAlign w:val="center"/>
          </w:tcPr>
          <w:p w14:paraId="307DC3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应用系统</w:t>
            </w:r>
          </w:p>
        </w:tc>
        <w:tc>
          <w:tcPr>
            <w:tcW w:w="912" w:type="pct"/>
            <w:tcBorders>
              <w:top w:val="single" w:color="auto" w:sz="4" w:space="0"/>
              <w:left w:val="nil"/>
              <w:bottom w:val="single" w:color="auto" w:sz="4" w:space="0"/>
              <w:right w:val="single" w:color="auto" w:sz="4" w:space="0"/>
            </w:tcBorders>
            <w:shd w:val="clear" w:color="000000" w:fill="F3F8FC"/>
            <w:noWrap/>
            <w:vAlign w:val="center"/>
          </w:tcPr>
          <w:p w14:paraId="527506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模块名称</w:t>
            </w:r>
          </w:p>
        </w:tc>
        <w:tc>
          <w:tcPr>
            <w:tcW w:w="3056" w:type="pct"/>
            <w:tcBorders>
              <w:top w:val="single" w:color="auto" w:sz="4" w:space="0"/>
              <w:left w:val="nil"/>
              <w:bottom w:val="single" w:color="auto" w:sz="4" w:space="0"/>
              <w:right w:val="single" w:color="auto" w:sz="4" w:space="0"/>
            </w:tcBorders>
            <w:shd w:val="clear" w:color="000000" w:fill="F3F8FC"/>
            <w:vAlign w:val="center"/>
          </w:tcPr>
          <w:p w14:paraId="1E3432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模块描述</w:t>
            </w:r>
          </w:p>
        </w:tc>
      </w:tr>
      <w:tr w14:paraId="75C20177">
        <w:tblPrEx>
          <w:tblCellMar>
            <w:top w:w="0" w:type="dxa"/>
            <w:left w:w="108" w:type="dxa"/>
            <w:bottom w:w="0" w:type="dxa"/>
            <w:right w:w="108" w:type="dxa"/>
          </w:tblCellMar>
        </w:tblPrEx>
        <w:trPr>
          <w:trHeight w:val="1140"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731D58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646" w:type="pct"/>
            <w:vMerge w:val="restart"/>
            <w:tcBorders>
              <w:top w:val="single" w:color="auto" w:sz="4" w:space="0"/>
              <w:left w:val="nil"/>
              <w:right w:val="single" w:color="auto" w:sz="4" w:space="0"/>
            </w:tcBorders>
            <w:shd w:val="clear" w:color="auto" w:fill="FFFFFF"/>
            <w:vAlign w:val="center"/>
          </w:tcPr>
          <w:p w14:paraId="55EDED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水闸信息动态管理</w:t>
            </w:r>
          </w:p>
        </w:tc>
        <w:tc>
          <w:tcPr>
            <w:tcW w:w="912" w:type="pct"/>
            <w:tcBorders>
              <w:top w:val="single" w:color="auto" w:sz="4" w:space="0"/>
              <w:left w:val="nil"/>
              <w:bottom w:val="single" w:color="auto" w:sz="4" w:space="0"/>
              <w:right w:val="single" w:color="auto" w:sz="4" w:space="0"/>
            </w:tcBorders>
            <w:shd w:val="clear" w:color="auto" w:fill="FFFFFF"/>
            <w:vAlign w:val="center"/>
          </w:tcPr>
          <w:p w14:paraId="59AD01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一闸一档一码管理</w:t>
            </w:r>
          </w:p>
        </w:tc>
        <w:tc>
          <w:tcPr>
            <w:tcW w:w="3056" w:type="pct"/>
            <w:tcBorders>
              <w:top w:val="single" w:color="auto" w:sz="4" w:space="0"/>
              <w:left w:val="nil"/>
              <w:bottom w:val="single" w:color="auto" w:sz="4" w:space="0"/>
              <w:right w:val="single" w:color="auto" w:sz="4" w:space="0"/>
            </w:tcBorders>
            <w:shd w:val="clear" w:color="auto" w:fill="FFFFFF"/>
            <w:vAlign w:val="center"/>
          </w:tcPr>
          <w:p w14:paraId="4E72B747">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增删改查全市各级闸站基础信息</w:t>
            </w:r>
            <w:r>
              <w:rPr>
                <w:rFonts w:hint="eastAsia" w:cs="宋体"/>
                <w:color w:val="000000"/>
                <w:kern w:val="0"/>
                <w:sz w:val="22"/>
                <w:szCs w:val="22"/>
                <w:lang w:eastAsia="zh-CN"/>
              </w:rPr>
              <w:t>，</w:t>
            </w:r>
            <w:r>
              <w:rPr>
                <w:rFonts w:hint="eastAsia" w:ascii="宋体" w:hAnsi="宋体" w:eastAsia="宋体" w:cs="宋体"/>
                <w:color w:val="000000"/>
                <w:kern w:val="0"/>
                <w:sz w:val="22"/>
                <w:szCs w:val="22"/>
              </w:rPr>
              <w:t>并可对每一闸站生成唯一二维码。</w:t>
            </w:r>
          </w:p>
        </w:tc>
      </w:tr>
      <w:tr w14:paraId="04DC24C9">
        <w:tblPrEx>
          <w:tblCellMar>
            <w:top w:w="0" w:type="dxa"/>
            <w:left w:w="108" w:type="dxa"/>
            <w:bottom w:w="0" w:type="dxa"/>
            <w:right w:w="108" w:type="dxa"/>
          </w:tblCellMar>
        </w:tblPrEx>
        <w:trPr>
          <w:trHeight w:val="1140"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20EC04C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w:t>
            </w:r>
          </w:p>
        </w:tc>
        <w:tc>
          <w:tcPr>
            <w:tcW w:w="646" w:type="pct"/>
            <w:vMerge w:val="continue"/>
            <w:tcBorders>
              <w:left w:val="nil"/>
              <w:right w:val="single" w:color="auto" w:sz="4" w:space="0"/>
            </w:tcBorders>
            <w:shd w:val="clear" w:color="auto" w:fill="FFFFFF"/>
            <w:vAlign w:val="center"/>
          </w:tcPr>
          <w:p w14:paraId="32004F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rPr>
            </w:pPr>
          </w:p>
        </w:tc>
        <w:tc>
          <w:tcPr>
            <w:tcW w:w="912" w:type="pct"/>
            <w:tcBorders>
              <w:top w:val="single" w:color="auto" w:sz="4" w:space="0"/>
              <w:left w:val="nil"/>
              <w:bottom w:val="single" w:color="auto" w:sz="4" w:space="0"/>
              <w:right w:val="single" w:color="auto" w:sz="4" w:space="0"/>
            </w:tcBorders>
            <w:shd w:val="clear" w:color="auto" w:fill="FFFFFF"/>
            <w:vAlign w:val="center"/>
          </w:tcPr>
          <w:p w14:paraId="3075DB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安全生产信息监管</w:t>
            </w:r>
          </w:p>
        </w:tc>
        <w:tc>
          <w:tcPr>
            <w:tcW w:w="3056" w:type="pct"/>
            <w:tcBorders>
              <w:top w:val="single" w:color="auto" w:sz="4" w:space="0"/>
              <w:left w:val="nil"/>
              <w:bottom w:val="single" w:color="auto" w:sz="4" w:space="0"/>
              <w:right w:val="single" w:color="auto" w:sz="4" w:space="0"/>
            </w:tcBorders>
            <w:shd w:val="clear" w:color="auto" w:fill="FFFFFF"/>
            <w:vAlign w:val="center"/>
          </w:tcPr>
          <w:p w14:paraId="4952513E">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定期按季度、年度更新检索查看各区闸站安全生产上报信息及历史记录；管理用户可对相应问题通告至相关水闸管理责任主体，以实现监管督办。</w:t>
            </w:r>
          </w:p>
        </w:tc>
      </w:tr>
      <w:tr w14:paraId="206D829C">
        <w:tblPrEx>
          <w:tblCellMar>
            <w:top w:w="0" w:type="dxa"/>
            <w:left w:w="108" w:type="dxa"/>
            <w:bottom w:w="0" w:type="dxa"/>
            <w:right w:w="108" w:type="dxa"/>
          </w:tblCellMar>
        </w:tblPrEx>
        <w:trPr>
          <w:trHeight w:val="1140"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04AE64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w:t>
            </w:r>
          </w:p>
        </w:tc>
        <w:tc>
          <w:tcPr>
            <w:tcW w:w="646" w:type="pct"/>
            <w:vMerge w:val="continue"/>
            <w:tcBorders>
              <w:left w:val="nil"/>
              <w:right w:val="single" w:color="auto" w:sz="4" w:space="0"/>
            </w:tcBorders>
            <w:shd w:val="clear" w:color="auto" w:fill="FFFFFF"/>
            <w:vAlign w:val="center"/>
          </w:tcPr>
          <w:p w14:paraId="40A3F8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rPr>
            </w:pPr>
          </w:p>
        </w:tc>
        <w:tc>
          <w:tcPr>
            <w:tcW w:w="912" w:type="pct"/>
            <w:tcBorders>
              <w:top w:val="single" w:color="auto" w:sz="4" w:space="0"/>
              <w:left w:val="nil"/>
              <w:bottom w:val="single" w:color="auto" w:sz="4" w:space="0"/>
              <w:right w:val="single" w:color="auto" w:sz="4" w:space="0"/>
            </w:tcBorders>
            <w:shd w:val="clear" w:color="auto" w:fill="FFFFFF"/>
            <w:vAlign w:val="center"/>
          </w:tcPr>
          <w:p w14:paraId="7C1249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运维养护信息监管</w:t>
            </w:r>
          </w:p>
        </w:tc>
        <w:tc>
          <w:tcPr>
            <w:tcW w:w="3056" w:type="pct"/>
            <w:tcBorders>
              <w:top w:val="single" w:color="auto" w:sz="4" w:space="0"/>
              <w:left w:val="nil"/>
              <w:bottom w:val="single" w:color="auto" w:sz="4" w:space="0"/>
              <w:right w:val="single" w:color="auto" w:sz="4" w:space="0"/>
            </w:tcBorders>
            <w:shd w:val="clear" w:color="auto" w:fill="FFFFFF"/>
            <w:vAlign w:val="center"/>
          </w:tcPr>
          <w:p w14:paraId="1C5D922A">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定期更新养护记录信息，并自动汇总统计，便于管理用户信息检索与回溯。</w:t>
            </w:r>
          </w:p>
        </w:tc>
      </w:tr>
      <w:tr w14:paraId="7FD6F7C4">
        <w:tblPrEx>
          <w:tblCellMar>
            <w:top w:w="0" w:type="dxa"/>
            <w:left w:w="108" w:type="dxa"/>
            <w:bottom w:w="0" w:type="dxa"/>
            <w:right w:w="108" w:type="dxa"/>
          </w:tblCellMar>
        </w:tblPrEx>
        <w:trPr>
          <w:trHeight w:val="1140"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06C4C7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4</w:t>
            </w:r>
          </w:p>
        </w:tc>
        <w:tc>
          <w:tcPr>
            <w:tcW w:w="646" w:type="pct"/>
            <w:vMerge w:val="continue"/>
            <w:tcBorders>
              <w:left w:val="nil"/>
              <w:right w:val="single" w:color="auto" w:sz="4" w:space="0"/>
            </w:tcBorders>
            <w:shd w:val="clear" w:color="auto" w:fill="FFFFFF"/>
            <w:vAlign w:val="center"/>
          </w:tcPr>
          <w:p w14:paraId="182374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rPr>
            </w:pPr>
          </w:p>
        </w:tc>
        <w:tc>
          <w:tcPr>
            <w:tcW w:w="912" w:type="pct"/>
            <w:tcBorders>
              <w:top w:val="single" w:color="auto" w:sz="4" w:space="0"/>
              <w:left w:val="nil"/>
              <w:bottom w:val="single" w:color="auto" w:sz="4" w:space="0"/>
              <w:right w:val="single" w:color="auto" w:sz="4" w:space="0"/>
            </w:tcBorders>
            <w:shd w:val="clear" w:color="auto" w:fill="FFFFFF"/>
            <w:vAlign w:val="center"/>
          </w:tcPr>
          <w:p w14:paraId="0D38CB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建设项目信息监管</w:t>
            </w:r>
          </w:p>
        </w:tc>
        <w:tc>
          <w:tcPr>
            <w:tcW w:w="3056" w:type="pct"/>
            <w:tcBorders>
              <w:top w:val="single" w:color="auto" w:sz="4" w:space="0"/>
              <w:left w:val="nil"/>
              <w:bottom w:val="single" w:color="auto" w:sz="4" w:space="0"/>
              <w:right w:val="single" w:color="auto" w:sz="4" w:space="0"/>
            </w:tcBorders>
            <w:shd w:val="clear" w:color="auto" w:fill="FFFFFF"/>
            <w:vAlign w:val="center"/>
          </w:tcPr>
          <w:p w14:paraId="3953EB6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定期更新水利专项与非专项设施建设信息，并自动关联地图空间分布及项目状态与进度，便于管理用户可地图与图表联动查询与展示新建项目管理信息</w:t>
            </w:r>
          </w:p>
        </w:tc>
      </w:tr>
      <w:tr w14:paraId="53082B3F">
        <w:tblPrEx>
          <w:tblCellMar>
            <w:top w:w="0" w:type="dxa"/>
            <w:left w:w="108" w:type="dxa"/>
            <w:bottom w:w="0" w:type="dxa"/>
            <w:right w:w="108" w:type="dxa"/>
          </w:tblCellMar>
        </w:tblPrEx>
        <w:trPr>
          <w:trHeight w:val="564"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30B358A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w:t>
            </w:r>
          </w:p>
        </w:tc>
        <w:tc>
          <w:tcPr>
            <w:tcW w:w="646" w:type="pct"/>
            <w:vMerge w:val="continue"/>
            <w:tcBorders>
              <w:left w:val="nil"/>
              <w:right w:val="single" w:color="auto" w:sz="4" w:space="0"/>
            </w:tcBorders>
            <w:shd w:val="clear" w:color="auto" w:fill="FFFFFF"/>
            <w:vAlign w:val="center"/>
          </w:tcPr>
          <w:p w14:paraId="0E5C13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rPr>
            </w:pPr>
          </w:p>
        </w:tc>
        <w:tc>
          <w:tcPr>
            <w:tcW w:w="912" w:type="pct"/>
            <w:tcBorders>
              <w:top w:val="single" w:color="auto" w:sz="4" w:space="0"/>
              <w:left w:val="nil"/>
              <w:bottom w:val="single" w:color="auto" w:sz="4" w:space="0"/>
              <w:right w:val="single" w:color="auto" w:sz="4" w:space="0"/>
            </w:tcBorders>
            <w:shd w:val="clear" w:color="auto" w:fill="FFFFFF"/>
            <w:vAlign w:val="center"/>
          </w:tcPr>
          <w:p w14:paraId="2699EF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专项排查信息管理</w:t>
            </w:r>
          </w:p>
        </w:tc>
        <w:tc>
          <w:tcPr>
            <w:tcW w:w="3056" w:type="pct"/>
            <w:tcBorders>
              <w:top w:val="single" w:color="auto" w:sz="4" w:space="0"/>
              <w:left w:val="nil"/>
              <w:bottom w:val="single" w:color="auto" w:sz="4" w:space="0"/>
              <w:right w:val="single" w:color="auto" w:sz="4" w:space="0"/>
            </w:tcBorders>
            <w:shd w:val="clear" w:color="auto" w:fill="FFFFFF"/>
            <w:vAlign w:val="center"/>
          </w:tcPr>
          <w:p w14:paraId="3BA13B1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用户可直接建立排查专项任务并建立任务计划，并与相关水利片区、行政区域、一闸一档一码进行关联；自动汇总形成任务清单，并可由管理用户发布至相关执行用户；历次专项任务、排查反馈情况在该模块自动汇总与统计，管理用户可对执行反馈异常问题通告至对应片区与闸站责任管理单位督办整改</w:t>
            </w:r>
          </w:p>
        </w:tc>
      </w:tr>
      <w:tr w14:paraId="68611AB9">
        <w:tblPrEx>
          <w:tblCellMar>
            <w:top w:w="0" w:type="dxa"/>
            <w:left w:w="108" w:type="dxa"/>
            <w:bottom w:w="0" w:type="dxa"/>
            <w:right w:w="108" w:type="dxa"/>
          </w:tblCellMar>
        </w:tblPrEx>
        <w:trPr>
          <w:trHeight w:val="1140"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389A9E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6</w:t>
            </w:r>
          </w:p>
        </w:tc>
        <w:tc>
          <w:tcPr>
            <w:tcW w:w="646" w:type="pct"/>
            <w:vMerge w:val="continue"/>
            <w:tcBorders>
              <w:left w:val="nil"/>
              <w:bottom w:val="single" w:color="auto" w:sz="4" w:space="0"/>
              <w:right w:val="single" w:color="auto" w:sz="4" w:space="0"/>
            </w:tcBorders>
            <w:shd w:val="clear" w:color="auto" w:fill="FFFFFF"/>
            <w:vAlign w:val="center"/>
          </w:tcPr>
          <w:p w14:paraId="03AEBC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rPr>
            </w:pPr>
          </w:p>
        </w:tc>
        <w:tc>
          <w:tcPr>
            <w:tcW w:w="912" w:type="pct"/>
            <w:tcBorders>
              <w:top w:val="single" w:color="auto" w:sz="4" w:space="0"/>
              <w:left w:val="nil"/>
              <w:bottom w:val="single" w:color="auto" w:sz="4" w:space="0"/>
              <w:right w:val="single" w:color="auto" w:sz="4" w:space="0"/>
            </w:tcBorders>
            <w:shd w:val="clear" w:color="auto" w:fill="FFFFFF"/>
            <w:vAlign w:val="center"/>
          </w:tcPr>
          <w:p w14:paraId="69FF74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调度知识库管理</w:t>
            </w:r>
          </w:p>
        </w:tc>
        <w:tc>
          <w:tcPr>
            <w:tcW w:w="3056" w:type="pct"/>
            <w:tcBorders>
              <w:top w:val="single" w:color="auto" w:sz="4" w:space="0"/>
              <w:left w:val="nil"/>
              <w:bottom w:val="single" w:color="auto" w:sz="4" w:space="0"/>
              <w:right w:val="single" w:color="auto" w:sz="4" w:space="0"/>
            </w:tcBorders>
            <w:shd w:val="clear" w:color="auto" w:fill="FFFFFF"/>
            <w:vAlign w:val="center"/>
          </w:tcPr>
          <w:p w14:paraId="409D88F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根据《上海市水利控制片水资源调度方案》，将各片区、闸站，针对防汛调度、活水畅流调度水位控制要求、调度规则、汛期调度预案相关知识进行</w:t>
            </w:r>
            <w:r>
              <w:rPr>
                <w:rFonts w:hint="eastAsia" w:cs="宋体"/>
                <w:color w:val="000000"/>
                <w:kern w:val="0"/>
                <w:sz w:val="22"/>
                <w:szCs w:val="22"/>
                <w:lang w:val="en-US" w:eastAsia="zh-CN"/>
              </w:rPr>
              <w:t>知识库</w:t>
            </w:r>
            <w:r>
              <w:rPr>
                <w:rFonts w:hint="eastAsia" w:ascii="宋体" w:hAnsi="宋体" w:eastAsia="宋体" w:cs="宋体"/>
                <w:color w:val="000000"/>
                <w:kern w:val="0"/>
                <w:sz w:val="22"/>
                <w:szCs w:val="22"/>
                <w:lang w:val="en-US" w:eastAsia="zh-CN"/>
              </w:rPr>
              <w:t>建设，通过可视化展示，并同时与空间地图拓扑关联展示，便于管理用户可直观快捷查询调度知识与预案规则。</w:t>
            </w:r>
          </w:p>
        </w:tc>
      </w:tr>
      <w:tr w14:paraId="121C5D91">
        <w:tblPrEx>
          <w:tblCellMar>
            <w:top w:w="0" w:type="dxa"/>
            <w:left w:w="108" w:type="dxa"/>
            <w:bottom w:w="0" w:type="dxa"/>
            <w:right w:w="108" w:type="dxa"/>
          </w:tblCellMar>
        </w:tblPrEx>
        <w:trPr>
          <w:trHeight w:val="1710"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534C86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val="en-US" w:eastAsia="zh-CN"/>
              </w:rPr>
              <w:t>7</w:t>
            </w:r>
          </w:p>
        </w:tc>
        <w:tc>
          <w:tcPr>
            <w:tcW w:w="646" w:type="pct"/>
            <w:vMerge w:val="restart"/>
            <w:tcBorders>
              <w:top w:val="single" w:color="auto" w:sz="4" w:space="0"/>
              <w:left w:val="nil"/>
              <w:right w:val="single" w:color="auto" w:sz="4" w:space="0"/>
            </w:tcBorders>
            <w:shd w:val="clear" w:color="auto" w:fill="FFFFFF"/>
            <w:vAlign w:val="center"/>
          </w:tcPr>
          <w:p w14:paraId="457C3D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水闸调度智能监管</w:t>
            </w:r>
          </w:p>
        </w:tc>
        <w:tc>
          <w:tcPr>
            <w:tcW w:w="912" w:type="pct"/>
            <w:tcBorders>
              <w:top w:val="single" w:color="auto" w:sz="4" w:space="0"/>
              <w:left w:val="nil"/>
              <w:bottom w:val="single" w:color="auto" w:sz="4" w:space="0"/>
              <w:right w:val="single" w:color="auto" w:sz="4" w:space="0"/>
            </w:tcBorders>
            <w:shd w:val="clear" w:color="auto" w:fill="FFFFFF"/>
            <w:vAlign w:val="center"/>
          </w:tcPr>
          <w:p w14:paraId="0B510C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水闸运行实时监测与预警</w:t>
            </w:r>
          </w:p>
        </w:tc>
        <w:tc>
          <w:tcPr>
            <w:tcW w:w="3056" w:type="pct"/>
            <w:tcBorders>
              <w:top w:val="single" w:color="auto" w:sz="4" w:space="0"/>
              <w:left w:val="nil"/>
              <w:bottom w:val="single" w:color="auto" w:sz="4" w:space="0"/>
              <w:right w:val="single" w:color="auto" w:sz="4" w:space="0"/>
            </w:tcBorders>
            <w:shd w:val="clear" w:color="auto" w:fill="FFFFFF"/>
            <w:vAlign w:val="center"/>
          </w:tcPr>
          <w:p w14:paraId="2CA7A39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空间地图及图表关联实时展示全市水闸运行工况，并根据调度知识库中控制水位要求、最高水位要求，对临将\已超出要求或最高水位的片区与闸站进行预\告警。</w:t>
            </w:r>
          </w:p>
        </w:tc>
      </w:tr>
      <w:tr w14:paraId="5DB57A3F">
        <w:tblPrEx>
          <w:tblCellMar>
            <w:top w:w="0" w:type="dxa"/>
            <w:left w:w="108" w:type="dxa"/>
            <w:bottom w:w="0" w:type="dxa"/>
            <w:right w:w="108" w:type="dxa"/>
          </w:tblCellMar>
        </w:tblPrEx>
        <w:trPr>
          <w:trHeight w:val="90"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622246E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8</w:t>
            </w:r>
          </w:p>
        </w:tc>
        <w:tc>
          <w:tcPr>
            <w:tcW w:w="646" w:type="pct"/>
            <w:vMerge w:val="continue"/>
            <w:tcBorders>
              <w:left w:val="nil"/>
              <w:right w:val="single" w:color="auto" w:sz="4" w:space="0"/>
            </w:tcBorders>
            <w:shd w:val="clear" w:color="auto" w:fill="FFFFFF"/>
            <w:vAlign w:val="center"/>
          </w:tcPr>
          <w:p w14:paraId="7D98A0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rPr>
            </w:pPr>
          </w:p>
        </w:tc>
        <w:tc>
          <w:tcPr>
            <w:tcW w:w="912" w:type="pct"/>
            <w:tcBorders>
              <w:top w:val="single" w:color="auto" w:sz="4" w:space="0"/>
              <w:left w:val="nil"/>
              <w:bottom w:val="single" w:color="auto" w:sz="4" w:space="0"/>
              <w:right w:val="single" w:color="auto" w:sz="4" w:space="0"/>
            </w:tcBorders>
            <w:shd w:val="clear" w:color="auto" w:fill="FFFFFF"/>
            <w:vAlign w:val="center"/>
          </w:tcPr>
          <w:p w14:paraId="3BC763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日常调度异常识别</w:t>
            </w:r>
          </w:p>
        </w:tc>
        <w:tc>
          <w:tcPr>
            <w:tcW w:w="3056" w:type="pct"/>
            <w:tcBorders>
              <w:top w:val="single" w:color="auto" w:sz="4" w:space="0"/>
              <w:left w:val="nil"/>
              <w:bottom w:val="single" w:color="auto" w:sz="4" w:space="0"/>
              <w:right w:val="single" w:color="auto" w:sz="4" w:space="0"/>
            </w:tcBorders>
            <w:shd w:val="clear" w:color="auto" w:fill="FFFFFF"/>
            <w:vAlign w:val="center"/>
          </w:tcPr>
          <w:p w14:paraId="536AF30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系统通过调用调度知识库，</w:t>
            </w:r>
            <w:r>
              <w:rPr>
                <w:rFonts w:hint="eastAsia" w:cs="宋体"/>
                <w:color w:val="000000"/>
                <w:kern w:val="0"/>
                <w:sz w:val="22"/>
                <w:szCs w:val="22"/>
                <w:lang w:val="en-US" w:eastAsia="zh-CN"/>
              </w:rPr>
              <w:t>可</w:t>
            </w:r>
            <w:r>
              <w:rPr>
                <w:rFonts w:hint="eastAsia" w:ascii="宋体" w:hAnsi="宋体" w:eastAsia="宋体" w:cs="宋体"/>
                <w:color w:val="000000"/>
                <w:kern w:val="0"/>
                <w:sz w:val="22"/>
                <w:szCs w:val="22"/>
                <w:lang w:val="en-US" w:eastAsia="zh-CN"/>
              </w:rPr>
              <w:t>识别未按照调度规则要求执行的片区与闸站，并对异常运行闸站提供高亮展示，将相关异常信息推送至管理用户进行监管参考。</w:t>
            </w:r>
          </w:p>
        </w:tc>
      </w:tr>
      <w:tr w14:paraId="0517C7B2">
        <w:tblPrEx>
          <w:tblCellMar>
            <w:top w:w="0" w:type="dxa"/>
            <w:left w:w="108" w:type="dxa"/>
            <w:bottom w:w="0" w:type="dxa"/>
            <w:right w:w="108" w:type="dxa"/>
          </w:tblCellMar>
        </w:tblPrEx>
        <w:trPr>
          <w:trHeight w:val="952"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2BF192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w:t>
            </w:r>
          </w:p>
        </w:tc>
        <w:tc>
          <w:tcPr>
            <w:tcW w:w="646" w:type="pct"/>
            <w:vMerge w:val="continue"/>
            <w:tcBorders>
              <w:left w:val="nil"/>
              <w:right w:val="single" w:color="auto" w:sz="4" w:space="0"/>
            </w:tcBorders>
            <w:shd w:val="clear" w:color="auto" w:fill="FFFFFF"/>
            <w:vAlign w:val="center"/>
          </w:tcPr>
          <w:p w14:paraId="0DE715B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rPr>
            </w:pPr>
          </w:p>
        </w:tc>
        <w:tc>
          <w:tcPr>
            <w:tcW w:w="912" w:type="pct"/>
            <w:tcBorders>
              <w:top w:val="single" w:color="auto" w:sz="4" w:space="0"/>
              <w:left w:val="nil"/>
              <w:bottom w:val="single" w:color="auto" w:sz="4" w:space="0"/>
              <w:right w:val="single" w:color="auto" w:sz="4" w:space="0"/>
            </w:tcBorders>
            <w:shd w:val="clear" w:color="auto" w:fill="FFFFFF"/>
            <w:vAlign w:val="center"/>
          </w:tcPr>
          <w:p w14:paraId="146588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防汛防台调度专题</w:t>
            </w:r>
          </w:p>
        </w:tc>
        <w:tc>
          <w:tcPr>
            <w:tcW w:w="3056" w:type="pct"/>
            <w:tcBorders>
              <w:top w:val="single" w:color="auto" w:sz="4" w:space="0"/>
              <w:left w:val="nil"/>
              <w:bottom w:val="single" w:color="auto" w:sz="4" w:space="0"/>
              <w:right w:val="single" w:color="auto" w:sz="4" w:space="0"/>
            </w:tcBorders>
            <w:shd w:val="clear" w:color="auto" w:fill="FFFFFF"/>
            <w:vAlign w:val="center"/>
          </w:tcPr>
          <w:p w14:paraId="01ECA41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汛期展示风暴潮洪预报预警等级、雨量、潮位、洪水位、人力、防汛物资信息，并对防汛防台工况要求下未按照调度方案与规则执行的闸站进行异常高亮显示</w:t>
            </w:r>
          </w:p>
        </w:tc>
      </w:tr>
      <w:tr w14:paraId="3C5866CD">
        <w:tblPrEx>
          <w:tblCellMar>
            <w:top w:w="0" w:type="dxa"/>
            <w:left w:w="108" w:type="dxa"/>
            <w:bottom w:w="0" w:type="dxa"/>
            <w:right w:w="108" w:type="dxa"/>
          </w:tblCellMar>
        </w:tblPrEx>
        <w:trPr>
          <w:trHeight w:val="619"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0077E5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w:t>
            </w:r>
          </w:p>
        </w:tc>
        <w:tc>
          <w:tcPr>
            <w:tcW w:w="646" w:type="pct"/>
            <w:vMerge w:val="continue"/>
            <w:tcBorders>
              <w:left w:val="nil"/>
              <w:right w:val="single" w:color="auto" w:sz="4" w:space="0"/>
            </w:tcBorders>
            <w:shd w:val="clear" w:color="auto" w:fill="FFFFFF"/>
            <w:vAlign w:val="center"/>
          </w:tcPr>
          <w:p w14:paraId="289694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rPr>
            </w:pPr>
          </w:p>
        </w:tc>
        <w:tc>
          <w:tcPr>
            <w:tcW w:w="912" w:type="pct"/>
            <w:tcBorders>
              <w:top w:val="single" w:color="auto" w:sz="4" w:space="0"/>
              <w:left w:val="nil"/>
              <w:bottom w:val="single" w:color="auto" w:sz="4" w:space="0"/>
              <w:right w:val="single" w:color="auto" w:sz="4" w:space="0"/>
            </w:tcBorders>
            <w:shd w:val="clear" w:color="auto" w:fill="FFFFFF"/>
            <w:vAlign w:val="center"/>
          </w:tcPr>
          <w:p w14:paraId="610441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通告与指令下发</w:t>
            </w:r>
          </w:p>
        </w:tc>
        <w:tc>
          <w:tcPr>
            <w:tcW w:w="3056" w:type="pct"/>
            <w:tcBorders>
              <w:top w:val="single" w:color="auto" w:sz="4" w:space="0"/>
              <w:left w:val="nil"/>
              <w:bottom w:val="single" w:color="auto" w:sz="4" w:space="0"/>
              <w:right w:val="single" w:color="auto" w:sz="4" w:space="0"/>
            </w:tcBorders>
            <w:shd w:val="clear" w:color="auto" w:fill="FFFFFF"/>
            <w:vAlign w:val="center"/>
          </w:tcPr>
          <w:p w14:paraId="5ED5B187">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管理用户可针对异常信息通告相关联的片区或水闸责任管理单位，督办相关单位按照调度方案与规则要求执行调度；在特殊调度场景下，管理者用户可在该模块新建调度指令，并下发至指定相关管理单位执行，系统将自动记录相关信息并可回溯查看相关执行情况；任何接收并执行新调度指令的管理单位，若与调度预案有冲突，在指令指定时间段内，系统不再按照原调度知识管理库规则进行研判。</w:t>
            </w:r>
          </w:p>
        </w:tc>
      </w:tr>
      <w:tr w14:paraId="7E3F0FA4">
        <w:tblPrEx>
          <w:tblCellMar>
            <w:top w:w="0" w:type="dxa"/>
            <w:left w:w="108" w:type="dxa"/>
            <w:bottom w:w="0" w:type="dxa"/>
            <w:right w:w="108" w:type="dxa"/>
          </w:tblCellMar>
        </w:tblPrEx>
        <w:trPr>
          <w:trHeight w:val="1053"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21C7C88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11</w:t>
            </w:r>
          </w:p>
        </w:tc>
        <w:tc>
          <w:tcPr>
            <w:tcW w:w="646" w:type="pct"/>
            <w:vMerge w:val="continue"/>
            <w:tcBorders>
              <w:left w:val="nil"/>
              <w:bottom w:val="single" w:color="auto" w:sz="4" w:space="0"/>
              <w:right w:val="single" w:color="auto" w:sz="4" w:space="0"/>
            </w:tcBorders>
            <w:shd w:val="clear" w:color="auto" w:fill="FFFFFF"/>
            <w:vAlign w:val="center"/>
          </w:tcPr>
          <w:p w14:paraId="5FBE35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rPr>
            </w:pPr>
          </w:p>
        </w:tc>
        <w:tc>
          <w:tcPr>
            <w:tcW w:w="912" w:type="pct"/>
            <w:tcBorders>
              <w:top w:val="single" w:color="auto" w:sz="4" w:space="0"/>
              <w:left w:val="nil"/>
              <w:bottom w:val="single" w:color="auto" w:sz="4" w:space="0"/>
              <w:right w:val="single" w:color="auto" w:sz="4" w:space="0"/>
            </w:tcBorders>
            <w:shd w:val="clear" w:color="auto" w:fill="FFFFFF"/>
            <w:vAlign w:val="center"/>
          </w:tcPr>
          <w:p w14:paraId="24EDA5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预报预演</w:t>
            </w:r>
          </w:p>
        </w:tc>
        <w:tc>
          <w:tcPr>
            <w:tcW w:w="3056" w:type="pct"/>
            <w:tcBorders>
              <w:top w:val="single" w:color="auto" w:sz="4" w:space="0"/>
              <w:left w:val="nil"/>
              <w:bottom w:val="single" w:color="auto" w:sz="4" w:space="0"/>
              <w:right w:val="single" w:color="auto" w:sz="4" w:space="0"/>
            </w:tcBorders>
            <w:shd w:val="clear" w:color="auto" w:fill="FFFFFF"/>
            <w:vAlign w:val="center"/>
          </w:tcPr>
          <w:p w14:paraId="32569A21">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2"/>
                <w:szCs w:val="22"/>
              </w:rPr>
            </w:pPr>
            <w:r>
              <w:rPr>
                <w:rFonts w:hint="eastAsia" w:cs="宋体"/>
                <w:color w:val="000000"/>
                <w:kern w:val="0"/>
                <w:sz w:val="22"/>
                <w:szCs w:val="22"/>
                <w:lang w:val="en-US" w:eastAsia="zh-CN"/>
              </w:rPr>
              <w:t>需</w:t>
            </w:r>
            <w:r>
              <w:rPr>
                <w:rFonts w:hint="eastAsia" w:ascii="宋体" w:hAnsi="宋体" w:eastAsia="宋体" w:cs="宋体"/>
                <w:color w:val="000000"/>
                <w:kern w:val="0"/>
                <w:sz w:val="22"/>
                <w:szCs w:val="22"/>
                <w:lang w:val="en-US" w:eastAsia="zh-CN"/>
              </w:rPr>
              <w:t>针对不同调度方案对水位变化影响进行测试，预演各类调度方案下的水位变化是否能满足控住要求。</w:t>
            </w:r>
          </w:p>
        </w:tc>
      </w:tr>
      <w:tr w14:paraId="4AD82069">
        <w:tblPrEx>
          <w:tblCellMar>
            <w:top w:w="0" w:type="dxa"/>
            <w:left w:w="108" w:type="dxa"/>
            <w:bottom w:w="0" w:type="dxa"/>
            <w:right w:w="108" w:type="dxa"/>
          </w:tblCellMar>
        </w:tblPrEx>
        <w:trPr>
          <w:trHeight w:val="1710"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101166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12</w:t>
            </w:r>
          </w:p>
        </w:tc>
        <w:tc>
          <w:tcPr>
            <w:tcW w:w="646" w:type="pct"/>
            <w:vMerge w:val="restart"/>
            <w:tcBorders>
              <w:top w:val="single" w:color="auto" w:sz="4" w:space="0"/>
              <w:left w:val="nil"/>
              <w:right w:val="single" w:color="auto" w:sz="4" w:space="0"/>
            </w:tcBorders>
            <w:shd w:val="clear" w:color="auto" w:fill="FFFFFF"/>
            <w:vAlign w:val="center"/>
          </w:tcPr>
          <w:p w14:paraId="599A21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大数据分析与智能报表</w:t>
            </w:r>
          </w:p>
        </w:tc>
        <w:tc>
          <w:tcPr>
            <w:tcW w:w="912" w:type="pct"/>
            <w:tcBorders>
              <w:top w:val="single" w:color="auto" w:sz="4" w:space="0"/>
              <w:left w:val="nil"/>
              <w:bottom w:val="single" w:color="auto" w:sz="4" w:space="0"/>
              <w:right w:val="single" w:color="auto" w:sz="4" w:space="0"/>
            </w:tcBorders>
            <w:shd w:val="clear" w:color="auto" w:fill="FFFFFF"/>
            <w:vAlign w:val="center"/>
          </w:tcPr>
          <w:p w14:paraId="0C95DD9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水闸安全画像</w:t>
            </w:r>
          </w:p>
        </w:tc>
        <w:tc>
          <w:tcPr>
            <w:tcW w:w="3056" w:type="pct"/>
            <w:tcBorders>
              <w:top w:val="single" w:color="auto" w:sz="4" w:space="0"/>
              <w:left w:val="nil"/>
              <w:bottom w:val="single" w:color="auto" w:sz="4" w:space="0"/>
              <w:right w:val="single" w:color="auto" w:sz="4" w:space="0"/>
            </w:tcBorders>
            <w:shd w:val="clear" w:color="auto" w:fill="FFFFFF"/>
            <w:vAlign w:val="center"/>
          </w:tcPr>
          <w:p w14:paraId="29186A9C">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结合闸站各类分析指标，进行权重</w:t>
            </w:r>
            <w:r>
              <w:rPr>
                <w:rFonts w:hint="eastAsia" w:cs="宋体"/>
                <w:color w:val="000000"/>
                <w:kern w:val="0"/>
                <w:sz w:val="22"/>
                <w:szCs w:val="22"/>
                <w:lang w:val="en-US" w:eastAsia="zh-CN"/>
              </w:rPr>
              <w:t>分配</w:t>
            </w:r>
            <w:r>
              <w:rPr>
                <w:rFonts w:hint="eastAsia" w:ascii="宋体" w:hAnsi="宋体" w:eastAsia="宋体" w:cs="宋体"/>
                <w:color w:val="000000"/>
                <w:kern w:val="0"/>
                <w:sz w:val="22"/>
                <w:szCs w:val="22"/>
                <w:lang w:val="en-US" w:eastAsia="zh-CN"/>
              </w:rPr>
              <w:t>，</w:t>
            </w:r>
            <w:r>
              <w:rPr>
                <w:rFonts w:hint="eastAsia" w:cs="宋体"/>
                <w:color w:val="000000"/>
                <w:kern w:val="0"/>
                <w:sz w:val="22"/>
                <w:szCs w:val="22"/>
                <w:lang w:val="en-US" w:eastAsia="zh-CN"/>
              </w:rPr>
              <w:t>可提炼</w:t>
            </w:r>
            <w:r>
              <w:rPr>
                <w:rFonts w:hint="eastAsia" w:ascii="宋体" w:hAnsi="宋体" w:eastAsia="宋体" w:cs="宋体"/>
                <w:color w:val="000000"/>
                <w:kern w:val="0"/>
                <w:sz w:val="22"/>
                <w:szCs w:val="22"/>
                <w:lang w:val="en-US" w:eastAsia="zh-CN"/>
              </w:rPr>
              <w:t>各级水闸安全</w:t>
            </w:r>
            <w:r>
              <w:rPr>
                <w:rFonts w:hint="eastAsia" w:cs="宋体"/>
                <w:color w:val="000000"/>
                <w:kern w:val="0"/>
                <w:sz w:val="22"/>
                <w:szCs w:val="22"/>
                <w:lang w:val="en-US" w:eastAsia="zh-CN"/>
              </w:rPr>
              <w:t>运行特征</w:t>
            </w:r>
            <w:r>
              <w:rPr>
                <w:rFonts w:hint="eastAsia" w:ascii="宋体" w:hAnsi="宋体" w:eastAsia="宋体" w:cs="宋体"/>
                <w:color w:val="000000"/>
                <w:kern w:val="0"/>
                <w:sz w:val="22"/>
                <w:szCs w:val="22"/>
                <w:lang w:val="en-US" w:eastAsia="zh-CN"/>
              </w:rPr>
              <w:t>，便于管理者用户更直观的洞悉水闸安全及运行稳定情况，以定量化辅助水闸设施监管</w:t>
            </w:r>
          </w:p>
        </w:tc>
      </w:tr>
      <w:tr w14:paraId="6E8A5F65">
        <w:tblPrEx>
          <w:tblCellMar>
            <w:top w:w="0" w:type="dxa"/>
            <w:left w:w="108" w:type="dxa"/>
            <w:bottom w:w="0" w:type="dxa"/>
            <w:right w:w="108" w:type="dxa"/>
          </w:tblCellMar>
        </w:tblPrEx>
        <w:trPr>
          <w:trHeight w:val="1710"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2F9485A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13</w:t>
            </w:r>
          </w:p>
        </w:tc>
        <w:tc>
          <w:tcPr>
            <w:tcW w:w="646" w:type="pct"/>
            <w:vMerge w:val="continue"/>
            <w:tcBorders>
              <w:left w:val="nil"/>
              <w:right w:val="single" w:color="auto" w:sz="4" w:space="0"/>
            </w:tcBorders>
            <w:shd w:val="clear" w:color="auto" w:fill="FFFFFF"/>
            <w:vAlign w:val="center"/>
          </w:tcPr>
          <w:p w14:paraId="1554B2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rPr>
            </w:pPr>
          </w:p>
        </w:tc>
        <w:tc>
          <w:tcPr>
            <w:tcW w:w="912" w:type="pct"/>
            <w:tcBorders>
              <w:top w:val="single" w:color="auto" w:sz="4" w:space="0"/>
              <w:left w:val="nil"/>
              <w:bottom w:val="single" w:color="auto" w:sz="4" w:space="0"/>
              <w:right w:val="single" w:color="auto" w:sz="4" w:space="0"/>
            </w:tcBorders>
            <w:shd w:val="clear" w:color="auto" w:fill="FFFFFF"/>
            <w:vAlign w:val="center"/>
          </w:tcPr>
          <w:p w14:paraId="1BA91E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统计分析展示</w:t>
            </w:r>
          </w:p>
        </w:tc>
        <w:tc>
          <w:tcPr>
            <w:tcW w:w="3056" w:type="pct"/>
            <w:tcBorders>
              <w:top w:val="single" w:color="auto" w:sz="4" w:space="0"/>
              <w:left w:val="nil"/>
              <w:bottom w:val="single" w:color="auto" w:sz="4" w:space="0"/>
              <w:right w:val="single" w:color="auto" w:sz="4" w:space="0"/>
            </w:tcBorders>
            <w:shd w:val="clear" w:color="auto" w:fill="FFFFFF"/>
            <w:vAlign w:val="center"/>
          </w:tcPr>
          <w:p w14:paraId="7C6FC21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以定期图表可视化形式展示各项统计分析数据，并可按照水闸类型、等级、水利片区、行政区划、重要河道等不同层级下钻查看。</w:t>
            </w:r>
          </w:p>
        </w:tc>
      </w:tr>
      <w:tr w14:paraId="5041FE65">
        <w:tblPrEx>
          <w:tblCellMar>
            <w:top w:w="0" w:type="dxa"/>
            <w:left w:w="108" w:type="dxa"/>
            <w:bottom w:w="0" w:type="dxa"/>
            <w:right w:w="108" w:type="dxa"/>
          </w:tblCellMar>
        </w:tblPrEx>
        <w:trPr>
          <w:trHeight w:val="1034"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5B9D0E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14</w:t>
            </w:r>
          </w:p>
        </w:tc>
        <w:tc>
          <w:tcPr>
            <w:tcW w:w="646" w:type="pct"/>
            <w:vMerge w:val="continue"/>
            <w:tcBorders>
              <w:left w:val="nil"/>
              <w:bottom w:val="single" w:color="auto" w:sz="4" w:space="0"/>
              <w:right w:val="single" w:color="auto" w:sz="4" w:space="0"/>
            </w:tcBorders>
            <w:shd w:val="clear" w:color="auto" w:fill="FFFFFF"/>
            <w:vAlign w:val="center"/>
          </w:tcPr>
          <w:p w14:paraId="57664A1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rPr>
            </w:pPr>
          </w:p>
        </w:tc>
        <w:tc>
          <w:tcPr>
            <w:tcW w:w="912" w:type="pct"/>
            <w:tcBorders>
              <w:top w:val="single" w:color="auto" w:sz="4" w:space="0"/>
              <w:left w:val="nil"/>
              <w:bottom w:val="single" w:color="auto" w:sz="4" w:space="0"/>
              <w:right w:val="single" w:color="auto" w:sz="4" w:space="0"/>
            </w:tcBorders>
            <w:shd w:val="clear" w:color="auto" w:fill="FFFFFF"/>
            <w:vAlign w:val="center"/>
          </w:tcPr>
          <w:p w14:paraId="455AE0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智能报表</w:t>
            </w:r>
          </w:p>
        </w:tc>
        <w:tc>
          <w:tcPr>
            <w:tcW w:w="3056" w:type="pct"/>
            <w:tcBorders>
              <w:top w:val="single" w:color="auto" w:sz="4" w:space="0"/>
              <w:left w:val="nil"/>
              <w:bottom w:val="single" w:color="auto" w:sz="4" w:space="0"/>
              <w:right w:val="single" w:color="auto" w:sz="4" w:space="0"/>
            </w:tcBorders>
            <w:shd w:val="clear" w:color="auto" w:fill="FFFFFF"/>
            <w:vAlign w:val="center"/>
          </w:tcPr>
          <w:p w14:paraId="657EDF3A">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管理者用户可按照不同需求定制报表；用户可自由选取统计字段、时间段、指标计算规则等形式，按照特定周期频率自动生成报表，并推送至相关指定用户查看</w:t>
            </w:r>
          </w:p>
        </w:tc>
      </w:tr>
      <w:tr w14:paraId="7F52DFBB">
        <w:tblPrEx>
          <w:tblCellMar>
            <w:top w:w="0" w:type="dxa"/>
            <w:left w:w="108" w:type="dxa"/>
            <w:bottom w:w="0" w:type="dxa"/>
            <w:right w:w="108" w:type="dxa"/>
          </w:tblCellMar>
        </w:tblPrEx>
        <w:trPr>
          <w:trHeight w:val="1155"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2FEFB4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15</w:t>
            </w:r>
          </w:p>
        </w:tc>
        <w:tc>
          <w:tcPr>
            <w:tcW w:w="646" w:type="pct"/>
            <w:vMerge w:val="restart"/>
            <w:tcBorders>
              <w:top w:val="single" w:color="auto" w:sz="4" w:space="0"/>
              <w:left w:val="nil"/>
              <w:right w:val="single" w:color="auto" w:sz="4" w:space="0"/>
            </w:tcBorders>
            <w:shd w:val="clear" w:color="auto" w:fill="FFFFFF"/>
            <w:vAlign w:val="center"/>
          </w:tcPr>
          <w:p w14:paraId="1CFFA1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水闸调度运行全景（大屏端）</w:t>
            </w:r>
          </w:p>
        </w:tc>
        <w:tc>
          <w:tcPr>
            <w:tcW w:w="912" w:type="pct"/>
            <w:tcBorders>
              <w:top w:val="single" w:color="auto" w:sz="4" w:space="0"/>
              <w:left w:val="nil"/>
              <w:bottom w:val="single" w:color="auto" w:sz="4" w:space="0"/>
              <w:right w:val="single" w:color="auto" w:sz="4" w:space="0"/>
            </w:tcBorders>
            <w:shd w:val="clear" w:color="auto" w:fill="FFFFFF"/>
            <w:vAlign w:val="center"/>
          </w:tcPr>
          <w:p w14:paraId="2A1159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水闸运行一张图</w:t>
            </w:r>
          </w:p>
        </w:tc>
        <w:tc>
          <w:tcPr>
            <w:tcW w:w="3056" w:type="pct"/>
            <w:tcBorders>
              <w:top w:val="single" w:color="auto" w:sz="4" w:space="0"/>
              <w:left w:val="nil"/>
              <w:bottom w:val="single" w:color="auto" w:sz="4" w:space="0"/>
              <w:right w:val="single" w:color="auto" w:sz="4" w:space="0"/>
            </w:tcBorders>
            <w:shd w:val="clear" w:color="auto" w:fill="FFFFFF"/>
            <w:vAlign w:val="center"/>
          </w:tcPr>
          <w:p w14:paraId="0E0CEC07">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汇总展示全市水闸设施数量，并在地图空间上关联交互展示水闸运行实时工况、各自调度规则、预案、异常状态、安全画像等信息</w:t>
            </w:r>
          </w:p>
        </w:tc>
      </w:tr>
      <w:tr w14:paraId="64ABA6B7">
        <w:tblPrEx>
          <w:tblCellMar>
            <w:top w:w="0" w:type="dxa"/>
            <w:left w:w="108" w:type="dxa"/>
            <w:bottom w:w="0" w:type="dxa"/>
            <w:right w:w="108" w:type="dxa"/>
          </w:tblCellMar>
        </w:tblPrEx>
        <w:trPr>
          <w:trHeight w:val="649"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3F8154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16</w:t>
            </w:r>
          </w:p>
        </w:tc>
        <w:tc>
          <w:tcPr>
            <w:tcW w:w="646" w:type="pct"/>
            <w:vMerge w:val="continue"/>
            <w:tcBorders>
              <w:left w:val="nil"/>
              <w:right w:val="single" w:color="auto" w:sz="4" w:space="0"/>
            </w:tcBorders>
            <w:shd w:val="clear" w:color="auto" w:fill="FFFFFF"/>
            <w:vAlign w:val="center"/>
          </w:tcPr>
          <w:p w14:paraId="1C6E6C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rPr>
            </w:pPr>
          </w:p>
        </w:tc>
        <w:tc>
          <w:tcPr>
            <w:tcW w:w="912" w:type="pct"/>
            <w:tcBorders>
              <w:top w:val="single" w:color="auto" w:sz="4" w:space="0"/>
              <w:left w:val="nil"/>
              <w:bottom w:val="single" w:color="auto" w:sz="4" w:space="0"/>
              <w:right w:val="single" w:color="auto" w:sz="4" w:space="0"/>
            </w:tcBorders>
            <w:shd w:val="clear" w:color="auto" w:fill="FFFFFF"/>
            <w:vAlign w:val="center"/>
          </w:tcPr>
          <w:p w14:paraId="314916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调度运行异常告警</w:t>
            </w:r>
          </w:p>
        </w:tc>
        <w:tc>
          <w:tcPr>
            <w:tcW w:w="3056" w:type="pct"/>
            <w:tcBorders>
              <w:top w:val="single" w:color="auto" w:sz="4" w:space="0"/>
              <w:left w:val="nil"/>
              <w:bottom w:val="single" w:color="auto" w:sz="4" w:space="0"/>
              <w:right w:val="single" w:color="auto" w:sz="4" w:space="0"/>
            </w:tcBorders>
            <w:shd w:val="clear" w:color="auto" w:fill="FFFFFF"/>
            <w:vAlign w:val="center"/>
          </w:tcPr>
          <w:p w14:paraId="41C6411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对未按照调度规则和预案要求执行的水利片区及水闸进行异常告警，在地图上进行高亮显示，并按时间链展示通告督办及反馈信息</w:t>
            </w:r>
          </w:p>
        </w:tc>
      </w:tr>
      <w:tr w14:paraId="20FE1CC4">
        <w:tblPrEx>
          <w:tblCellMar>
            <w:top w:w="0" w:type="dxa"/>
            <w:left w:w="108" w:type="dxa"/>
            <w:bottom w:w="0" w:type="dxa"/>
            <w:right w:w="108" w:type="dxa"/>
          </w:tblCellMar>
        </w:tblPrEx>
        <w:trPr>
          <w:trHeight w:val="1034"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4AA322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17</w:t>
            </w:r>
          </w:p>
        </w:tc>
        <w:tc>
          <w:tcPr>
            <w:tcW w:w="646" w:type="pct"/>
            <w:vMerge w:val="continue"/>
            <w:tcBorders>
              <w:left w:val="nil"/>
              <w:right w:val="single" w:color="auto" w:sz="4" w:space="0"/>
            </w:tcBorders>
            <w:shd w:val="clear" w:color="auto" w:fill="FFFFFF"/>
            <w:vAlign w:val="center"/>
          </w:tcPr>
          <w:p w14:paraId="2E6CCC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rPr>
            </w:pPr>
          </w:p>
        </w:tc>
        <w:tc>
          <w:tcPr>
            <w:tcW w:w="912" w:type="pct"/>
            <w:tcBorders>
              <w:top w:val="single" w:color="auto" w:sz="4" w:space="0"/>
              <w:left w:val="nil"/>
              <w:bottom w:val="single" w:color="auto" w:sz="4" w:space="0"/>
              <w:right w:val="single" w:color="auto" w:sz="4" w:space="0"/>
            </w:tcBorders>
            <w:shd w:val="clear" w:color="auto" w:fill="FFFFFF"/>
            <w:vAlign w:val="center"/>
          </w:tcPr>
          <w:p w14:paraId="2BD914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日常监管</w:t>
            </w:r>
          </w:p>
        </w:tc>
        <w:tc>
          <w:tcPr>
            <w:tcW w:w="3056" w:type="pct"/>
            <w:tcBorders>
              <w:top w:val="single" w:color="auto" w:sz="4" w:space="0"/>
              <w:left w:val="nil"/>
              <w:bottom w:val="single" w:color="auto" w:sz="4" w:space="0"/>
              <w:right w:val="single" w:color="auto" w:sz="4" w:space="0"/>
            </w:tcBorders>
            <w:shd w:val="clear" w:color="auto" w:fill="FFFFFF"/>
            <w:vAlign w:val="center"/>
          </w:tcPr>
          <w:p w14:paraId="5C8416E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展示各级水闸运维养护完成度、专项排查问题上报及反馈闭环情况、各区安全生产上报信息完整度、危险源及隐患上报量及对应处置状态等，以数据管理指标进行展示</w:t>
            </w:r>
          </w:p>
        </w:tc>
      </w:tr>
      <w:tr w14:paraId="34D45AF4">
        <w:tblPrEx>
          <w:tblCellMar>
            <w:top w:w="0" w:type="dxa"/>
            <w:left w:w="108" w:type="dxa"/>
            <w:bottom w:w="0" w:type="dxa"/>
            <w:right w:w="108" w:type="dxa"/>
          </w:tblCellMar>
        </w:tblPrEx>
        <w:trPr>
          <w:trHeight w:val="821"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57C415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18</w:t>
            </w:r>
          </w:p>
        </w:tc>
        <w:tc>
          <w:tcPr>
            <w:tcW w:w="646" w:type="pct"/>
            <w:vMerge w:val="continue"/>
            <w:tcBorders>
              <w:left w:val="nil"/>
              <w:bottom w:val="single" w:color="auto" w:sz="4" w:space="0"/>
              <w:right w:val="single" w:color="auto" w:sz="4" w:space="0"/>
            </w:tcBorders>
            <w:shd w:val="clear" w:color="auto" w:fill="FFFFFF"/>
            <w:vAlign w:val="center"/>
          </w:tcPr>
          <w:p w14:paraId="414B0E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rPr>
            </w:pPr>
          </w:p>
        </w:tc>
        <w:tc>
          <w:tcPr>
            <w:tcW w:w="912" w:type="pct"/>
            <w:tcBorders>
              <w:top w:val="single" w:color="auto" w:sz="4" w:space="0"/>
              <w:left w:val="nil"/>
              <w:bottom w:val="single" w:color="auto" w:sz="4" w:space="0"/>
              <w:right w:val="single" w:color="auto" w:sz="4" w:space="0"/>
            </w:tcBorders>
            <w:shd w:val="clear" w:color="auto" w:fill="FFFFFF"/>
            <w:vAlign w:val="center"/>
          </w:tcPr>
          <w:p w14:paraId="3923E7A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防汛防台场景</w:t>
            </w:r>
          </w:p>
        </w:tc>
        <w:tc>
          <w:tcPr>
            <w:tcW w:w="3056" w:type="pct"/>
            <w:tcBorders>
              <w:top w:val="single" w:color="auto" w:sz="4" w:space="0"/>
              <w:left w:val="nil"/>
              <w:bottom w:val="single" w:color="auto" w:sz="4" w:space="0"/>
              <w:right w:val="single" w:color="auto" w:sz="4" w:space="0"/>
            </w:tcBorders>
            <w:shd w:val="clear" w:color="auto" w:fill="FFFFFF"/>
            <w:vAlign w:val="center"/>
          </w:tcPr>
          <w:p w14:paraId="5127A12E">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展示风暴潮红等预警信息，并关联展示未按防汛预案要求执行的异常水闸情况，进行高亮展示</w:t>
            </w:r>
          </w:p>
        </w:tc>
      </w:tr>
      <w:tr w14:paraId="40F954F7">
        <w:tblPrEx>
          <w:tblCellMar>
            <w:top w:w="0" w:type="dxa"/>
            <w:left w:w="108" w:type="dxa"/>
            <w:bottom w:w="0" w:type="dxa"/>
            <w:right w:w="108" w:type="dxa"/>
          </w:tblCellMar>
        </w:tblPrEx>
        <w:trPr>
          <w:trHeight w:val="90"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2B98D9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19</w:t>
            </w:r>
          </w:p>
        </w:tc>
        <w:tc>
          <w:tcPr>
            <w:tcW w:w="646" w:type="pct"/>
            <w:vMerge w:val="restart"/>
            <w:tcBorders>
              <w:top w:val="single" w:color="auto" w:sz="4" w:space="0"/>
              <w:left w:val="nil"/>
              <w:right w:val="single" w:color="auto" w:sz="4" w:space="0"/>
            </w:tcBorders>
            <w:shd w:val="clear" w:color="auto" w:fill="FFFFFF"/>
            <w:vAlign w:val="center"/>
          </w:tcPr>
          <w:p w14:paraId="20F388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移动端应用</w:t>
            </w:r>
          </w:p>
        </w:tc>
        <w:tc>
          <w:tcPr>
            <w:tcW w:w="912" w:type="pct"/>
            <w:tcBorders>
              <w:top w:val="single" w:color="auto" w:sz="4" w:space="0"/>
              <w:left w:val="nil"/>
              <w:bottom w:val="single" w:color="auto" w:sz="4" w:space="0"/>
              <w:right w:val="single" w:color="auto" w:sz="4" w:space="0"/>
            </w:tcBorders>
            <w:shd w:val="clear" w:color="auto" w:fill="FFFFFF"/>
            <w:vAlign w:val="center"/>
          </w:tcPr>
          <w:p w14:paraId="157DCF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水闸运行一张图</w:t>
            </w:r>
          </w:p>
        </w:tc>
        <w:tc>
          <w:tcPr>
            <w:tcW w:w="3056" w:type="pct"/>
            <w:tcBorders>
              <w:top w:val="single" w:color="auto" w:sz="4" w:space="0"/>
              <w:left w:val="nil"/>
              <w:bottom w:val="single" w:color="auto" w:sz="4" w:space="0"/>
              <w:right w:val="single" w:color="auto" w:sz="4" w:space="0"/>
            </w:tcBorders>
            <w:shd w:val="clear" w:color="auto" w:fill="FFFFFF"/>
            <w:vAlign w:val="center"/>
          </w:tcPr>
          <w:p w14:paraId="783E9BC9">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移动端交互地图查看全市水闸运行工况，可按不同等级、类型、片区、行政范围情况进行筛选查看，并可通过点击单个水闸下钻至当前启闭泵机情况、历史启闭记录、闸内外水位情况与要求控制水位对比等信息</w:t>
            </w:r>
          </w:p>
        </w:tc>
      </w:tr>
      <w:tr w14:paraId="1E701E79">
        <w:tblPrEx>
          <w:tblCellMar>
            <w:top w:w="0" w:type="dxa"/>
            <w:left w:w="108" w:type="dxa"/>
            <w:bottom w:w="0" w:type="dxa"/>
            <w:right w:w="108" w:type="dxa"/>
          </w:tblCellMar>
        </w:tblPrEx>
        <w:trPr>
          <w:trHeight w:val="528"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41816A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20</w:t>
            </w:r>
          </w:p>
        </w:tc>
        <w:tc>
          <w:tcPr>
            <w:tcW w:w="646" w:type="pct"/>
            <w:vMerge w:val="continue"/>
            <w:tcBorders>
              <w:left w:val="nil"/>
              <w:right w:val="single" w:color="auto" w:sz="4" w:space="0"/>
            </w:tcBorders>
            <w:shd w:val="clear" w:color="auto" w:fill="FFFFFF"/>
            <w:vAlign w:val="center"/>
          </w:tcPr>
          <w:p w14:paraId="07419E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rPr>
            </w:pPr>
          </w:p>
        </w:tc>
        <w:tc>
          <w:tcPr>
            <w:tcW w:w="912" w:type="pct"/>
            <w:tcBorders>
              <w:top w:val="single" w:color="auto" w:sz="4" w:space="0"/>
              <w:left w:val="nil"/>
              <w:bottom w:val="single" w:color="auto" w:sz="4" w:space="0"/>
              <w:right w:val="single" w:color="auto" w:sz="4" w:space="0"/>
            </w:tcBorders>
            <w:shd w:val="clear" w:color="auto" w:fill="FFFFFF"/>
            <w:vAlign w:val="center"/>
          </w:tcPr>
          <w:p w14:paraId="36B251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运行异常告警</w:t>
            </w:r>
          </w:p>
        </w:tc>
        <w:tc>
          <w:tcPr>
            <w:tcW w:w="3056" w:type="pct"/>
            <w:tcBorders>
              <w:top w:val="single" w:color="auto" w:sz="4" w:space="0"/>
              <w:left w:val="nil"/>
              <w:bottom w:val="single" w:color="auto" w:sz="4" w:space="0"/>
              <w:right w:val="single" w:color="auto" w:sz="4" w:space="0"/>
            </w:tcBorders>
            <w:shd w:val="clear" w:color="auto" w:fill="FFFFFF"/>
            <w:vAlign w:val="center"/>
          </w:tcPr>
          <w:p w14:paraId="48B30FA9">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移动端展示异常告警信息，对未按照调度规则和预案要求执行的水利片区及水闸进行异常告警，在地图上进行高亮显示，并按时间链展示通告督办及反馈信息</w:t>
            </w:r>
          </w:p>
        </w:tc>
      </w:tr>
      <w:tr w14:paraId="257E910D">
        <w:tblPrEx>
          <w:tblCellMar>
            <w:top w:w="0" w:type="dxa"/>
            <w:left w:w="108" w:type="dxa"/>
            <w:bottom w:w="0" w:type="dxa"/>
            <w:right w:w="108" w:type="dxa"/>
          </w:tblCellMar>
        </w:tblPrEx>
        <w:trPr>
          <w:trHeight w:val="892"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0CD48E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21</w:t>
            </w:r>
          </w:p>
        </w:tc>
        <w:tc>
          <w:tcPr>
            <w:tcW w:w="646" w:type="pct"/>
            <w:vMerge w:val="continue"/>
            <w:tcBorders>
              <w:left w:val="nil"/>
              <w:right w:val="single" w:color="auto" w:sz="4" w:space="0"/>
            </w:tcBorders>
            <w:shd w:val="clear" w:color="auto" w:fill="FFFFFF"/>
            <w:vAlign w:val="center"/>
          </w:tcPr>
          <w:p w14:paraId="79E867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rPr>
            </w:pPr>
          </w:p>
        </w:tc>
        <w:tc>
          <w:tcPr>
            <w:tcW w:w="912" w:type="pct"/>
            <w:tcBorders>
              <w:top w:val="single" w:color="auto" w:sz="4" w:space="0"/>
              <w:left w:val="nil"/>
              <w:bottom w:val="single" w:color="auto" w:sz="4" w:space="0"/>
              <w:right w:val="single" w:color="auto" w:sz="4" w:space="0"/>
            </w:tcBorders>
            <w:shd w:val="clear" w:color="auto" w:fill="FFFFFF"/>
            <w:vAlign w:val="center"/>
          </w:tcPr>
          <w:p w14:paraId="3DDDE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专项巡查管理</w:t>
            </w:r>
          </w:p>
        </w:tc>
        <w:tc>
          <w:tcPr>
            <w:tcW w:w="3056" w:type="pct"/>
            <w:tcBorders>
              <w:top w:val="single" w:color="auto" w:sz="4" w:space="0"/>
              <w:left w:val="nil"/>
              <w:bottom w:val="single" w:color="auto" w:sz="4" w:space="0"/>
              <w:right w:val="single" w:color="auto" w:sz="4" w:space="0"/>
            </w:tcBorders>
            <w:shd w:val="clear" w:color="auto" w:fill="FFFFFF"/>
            <w:vAlign w:val="center"/>
          </w:tcPr>
          <w:p w14:paraId="52781CDE">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移动端接收与查看任务清单，并可在现场根据排查识别的问题进行填报与照片上传，并提供整治措施反馈等闭环流程，可按照问题类型、片区、闸站、时间等统计查询问题信息及整治反馈情况</w:t>
            </w:r>
          </w:p>
        </w:tc>
      </w:tr>
      <w:tr w14:paraId="4E2D8D67">
        <w:tblPrEx>
          <w:tblCellMar>
            <w:top w:w="0" w:type="dxa"/>
            <w:left w:w="108" w:type="dxa"/>
            <w:bottom w:w="0" w:type="dxa"/>
            <w:right w:w="108" w:type="dxa"/>
          </w:tblCellMar>
        </w:tblPrEx>
        <w:trPr>
          <w:trHeight w:val="1023"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14:paraId="2433FC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22</w:t>
            </w:r>
          </w:p>
        </w:tc>
        <w:tc>
          <w:tcPr>
            <w:tcW w:w="646" w:type="pct"/>
            <w:vMerge w:val="continue"/>
            <w:tcBorders>
              <w:left w:val="nil"/>
              <w:bottom w:val="single" w:color="auto" w:sz="4" w:space="0"/>
              <w:right w:val="single" w:color="auto" w:sz="4" w:space="0"/>
            </w:tcBorders>
            <w:shd w:val="clear" w:color="auto" w:fill="FFFFFF"/>
            <w:vAlign w:val="center"/>
          </w:tcPr>
          <w:p w14:paraId="3A6762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rPr>
            </w:pPr>
          </w:p>
        </w:tc>
        <w:tc>
          <w:tcPr>
            <w:tcW w:w="912" w:type="pct"/>
            <w:tcBorders>
              <w:top w:val="single" w:color="auto" w:sz="4" w:space="0"/>
              <w:left w:val="nil"/>
              <w:bottom w:val="single" w:color="auto" w:sz="4" w:space="0"/>
              <w:right w:val="single" w:color="auto" w:sz="4" w:space="0"/>
            </w:tcBorders>
            <w:shd w:val="clear" w:color="auto" w:fill="FFFFFF"/>
            <w:vAlign w:val="center"/>
          </w:tcPr>
          <w:p w14:paraId="2A8EED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运维养护管理</w:t>
            </w:r>
          </w:p>
        </w:tc>
        <w:tc>
          <w:tcPr>
            <w:tcW w:w="3056" w:type="pct"/>
            <w:tcBorders>
              <w:top w:val="single" w:color="auto" w:sz="4" w:space="0"/>
              <w:left w:val="nil"/>
              <w:bottom w:val="single" w:color="auto" w:sz="4" w:space="0"/>
              <w:right w:val="single" w:color="auto" w:sz="4" w:space="0"/>
            </w:tcBorders>
            <w:shd w:val="clear" w:color="auto" w:fill="FFFFFF"/>
            <w:vAlign w:val="center"/>
          </w:tcPr>
          <w:p w14:paraId="099EA857">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移动端提供设置运维养护清单，并按照运维养护责任制定任务计划、任务分配、现场任务填报、任务审核、并最终可按照时间、类型、闸站查看运维养护工作量进行统计分析、查询等功能</w:t>
            </w:r>
          </w:p>
        </w:tc>
      </w:tr>
    </w:tbl>
    <w:p w14:paraId="6D938039">
      <w:pPr>
        <w:rPr>
          <w:rFonts w:hint="default" w:eastAsia="宋体"/>
          <w:color w:val="auto"/>
          <w:lang w:val="en-US" w:eastAsia="zh-CN"/>
        </w:rPr>
      </w:pPr>
      <w:r>
        <w:rPr>
          <w:rFonts w:hint="eastAsia"/>
          <w:color w:val="auto"/>
          <w:lang w:val="en-US" w:eastAsia="zh-CN"/>
        </w:rPr>
        <w:t>本项目中无硬件、产品软件以及安全产品购置，均由大数据中心提供。</w:t>
      </w:r>
    </w:p>
    <w:p w14:paraId="30CB9BEA">
      <w:pPr>
        <w:pStyle w:val="3"/>
        <w:bidi w:val="0"/>
        <w:ind w:left="15" w:leftChars="0" w:firstLine="465" w:firstLineChars="155"/>
        <w:rPr>
          <w:rFonts w:hint="default"/>
          <w:lang w:val="en-US" w:eastAsia="zh-CN"/>
        </w:rPr>
      </w:pPr>
      <w:r>
        <w:rPr>
          <w:rFonts w:hint="eastAsia"/>
          <w:lang w:val="en-US" w:eastAsia="zh-CN"/>
        </w:rPr>
        <w:t>建设要求</w:t>
      </w:r>
    </w:p>
    <w:p w14:paraId="589E7621">
      <w:pPr>
        <w:numPr>
          <w:ilvl w:val="0"/>
          <w:numId w:val="2"/>
        </w:numPr>
        <w:ind w:firstLine="480"/>
        <w:rPr>
          <w:rFonts w:cs="宋体"/>
        </w:rPr>
      </w:pPr>
      <w:r>
        <w:rPr>
          <w:rFonts w:hint="eastAsia" w:cs="宋体"/>
        </w:rPr>
        <w:t>基础信息化资源要求</w:t>
      </w:r>
    </w:p>
    <w:p w14:paraId="34D3779D">
      <w:pPr>
        <w:rPr>
          <w:rFonts w:ascii="Times New Roman" w:hAnsi="Times New Roman"/>
          <w:strike/>
        </w:rPr>
      </w:pPr>
      <w:r>
        <w:rPr>
          <w:rFonts w:hint="eastAsia" w:cs="宋体"/>
        </w:rPr>
        <w:t>本项目系统部署在云上，要求按照国企信创和三级等保及以上的标准进行建设。需基于应用系统建设内容合理规划</w:t>
      </w:r>
      <w:r>
        <w:rPr>
          <w:rFonts w:hint="eastAsia" w:cs="宋体"/>
          <w:lang w:eastAsia="zh-CN"/>
        </w:rPr>
        <w:t>，</w:t>
      </w:r>
      <w:r>
        <w:rPr>
          <w:rFonts w:hint="eastAsia" w:cs="宋体"/>
          <w:lang w:val="en-US" w:eastAsia="zh-CN"/>
        </w:rPr>
        <w:t>基础环境资源由大数据中心</w:t>
      </w:r>
      <w:r>
        <w:rPr>
          <w:rFonts w:hint="eastAsia" w:cs="宋体"/>
        </w:rPr>
        <w:t>提供</w:t>
      </w:r>
      <w:r>
        <w:rPr>
          <w:rFonts w:hint="eastAsia" w:cs="宋体"/>
          <w:lang w:eastAsia="zh-CN"/>
        </w:rPr>
        <w:t>，</w:t>
      </w:r>
      <w:r>
        <w:rPr>
          <w:rFonts w:hint="eastAsia" w:cs="宋体"/>
          <w:lang w:val="en-US" w:eastAsia="zh-CN"/>
        </w:rPr>
        <w:t>主要包含</w:t>
      </w:r>
      <w:r>
        <w:rPr>
          <w:rFonts w:hint="eastAsia" w:cs="宋体"/>
        </w:rPr>
        <w:t>云网资源，包括专线、云主机、</w:t>
      </w:r>
      <w:r>
        <w:rPr>
          <w:rFonts w:ascii="Times New Roman" w:hAnsi="Times New Roman"/>
        </w:rPr>
        <w:t>IP</w:t>
      </w:r>
      <w:r>
        <w:rPr>
          <w:rFonts w:hint="eastAsia" w:cs="宋体"/>
        </w:rPr>
        <w:t>地址、云安全服务等，同时提供系统所需的国产操作系统、国产数据库、国产中间件等资源，并提供日常运维服务</w:t>
      </w:r>
      <w:r>
        <w:rPr>
          <w:rFonts w:hint="eastAsia" w:cs="宋体"/>
          <w:lang w:eastAsia="zh-CN"/>
        </w:rPr>
        <w:t>，</w:t>
      </w:r>
      <w:r>
        <w:rPr>
          <w:rFonts w:hint="eastAsia" w:cs="宋体"/>
          <w:lang w:val="en-US" w:eastAsia="zh-CN"/>
        </w:rPr>
        <w:t>本项目中无需支付该部分费用</w:t>
      </w:r>
      <w:r>
        <w:rPr>
          <w:rFonts w:hint="eastAsia" w:cs="宋体"/>
        </w:rPr>
        <w:t>。</w:t>
      </w:r>
    </w:p>
    <w:p w14:paraId="2E864563">
      <w:pPr>
        <w:numPr>
          <w:ilvl w:val="0"/>
          <w:numId w:val="2"/>
        </w:numPr>
        <w:ind w:firstLine="480"/>
        <w:rPr>
          <w:rFonts w:cs="宋体"/>
        </w:rPr>
      </w:pPr>
      <w:r>
        <w:rPr>
          <w:rFonts w:hint="eastAsia" w:cs="宋体"/>
        </w:rPr>
        <w:t>系统支撑要求</w:t>
      </w:r>
    </w:p>
    <w:p w14:paraId="65F3613A">
      <w:pPr>
        <w:rPr>
          <w:rFonts w:ascii="Times New Roman" w:hAnsi="Times New Roman"/>
        </w:rPr>
      </w:pPr>
      <w:r>
        <w:rPr>
          <w:rFonts w:hint="eastAsia" w:cs="宋体"/>
        </w:rPr>
        <w:t>本项目系统开发所使用的基础软件应具备开放性，能支撑后续应用的快速迭代开发，对于标准化接口，后期不再收取对接费；同时系统需符合信创要求，</w:t>
      </w:r>
      <w:r>
        <w:rPr>
          <w:rFonts w:hint="eastAsia" w:cs="宋体"/>
          <w:lang w:val="en-US" w:eastAsia="zh-CN"/>
        </w:rPr>
        <w:t>本项目中的支撑产品软件由大数据中心提供，</w:t>
      </w:r>
      <w:r>
        <w:rPr>
          <w:rFonts w:hint="eastAsia" w:cs="宋体"/>
        </w:rPr>
        <w:t>包括不限于操作系统、数据库、中间件等，并在上线前进行严格的测试，确保应用系统可以在信创环境中稳定的运行。</w:t>
      </w:r>
    </w:p>
    <w:p w14:paraId="14860A4B">
      <w:pPr>
        <w:numPr>
          <w:ilvl w:val="0"/>
          <w:numId w:val="2"/>
        </w:numPr>
        <w:ind w:firstLine="480"/>
        <w:rPr>
          <w:rFonts w:cs="宋体"/>
        </w:rPr>
      </w:pPr>
      <w:r>
        <w:rPr>
          <w:rFonts w:hint="eastAsia" w:cs="宋体"/>
        </w:rPr>
        <w:t>系统部署要求</w:t>
      </w:r>
    </w:p>
    <w:p w14:paraId="2B060B01">
      <w:pPr>
        <w:rPr>
          <w:rFonts w:ascii="Times New Roman" w:hAnsi="Times New Roman"/>
        </w:rPr>
      </w:pPr>
      <w:r>
        <w:rPr>
          <w:rFonts w:hint="eastAsia" w:cs="宋体"/>
        </w:rPr>
        <w:t>本项目系统将部署在云上，依托信创云环境进行开发和部署。</w:t>
      </w:r>
    </w:p>
    <w:p w14:paraId="0E88F2AD">
      <w:pPr>
        <w:numPr>
          <w:ilvl w:val="0"/>
          <w:numId w:val="2"/>
        </w:numPr>
        <w:ind w:firstLine="480"/>
        <w:rPr>
          <w:rFonts w:cs="宋体"/>
        </w:rPr>
      </w:pPr>
      <w:r>
        <w:rPr>
          <w:rFonts w:hint="eastAsia" w:cs="宋体"/>
        </w:rPr>
        <w:t>安全设计要求</w:t>
      </w:r>
    </w:p>
    <w:p w14:paraId="6C22ACEA">
      <w:pPr>
        <w:rPr>
          <w:rFonts w:ascii="Times New Roman" w:hAnsi="Times New Roman"/>
        </w:rPr>
      </w:pPr>
      <w:r>
        <w:rPr>
          <w:rFonts w:hint="eastAsia" w:cs="宋体"/>
        </w:rPr>
        <w:t>本项目需要从物理安全、应用安全、系统安全、网络安全、数据安全、密码应用安全等方面进行系统安全的综合考虑和设计。</w:t>
      </w:r>
    </w:p>
    <w:p w14:paraId="0C1E2D89">
      <w:pPr>
        <w:numPr>
          <w:ilvl w:val="0"/>
          <w:numId w:val="2"/>
        </w:numPr>
        <w:ind w:firstLine="480"/>
        <w:rPr>
          <w:rFonts w:cs="宋体"/>
        </w:rPr>
      </w:pPr>
      <w:r>
        <w:rPr>
          <w:rFonts w:hint="eastAsia" w:cs="宋体"/>
        </w:rPr>
        <w:t>系统性能要求</w:t>
      </w:r>
    </w:p>
    <w:p w14:paraId="31197E47">
      <w:pPr>
        <w:rPr>
          <w:rFonts w:ascii="Times New Roman" w:hAnsi="Times New Roman"/>
        </w:rPr>
      </w:pPr>
      <w:r>
        <w:rPr>
          <w:rFonts w:hint="eastAsia" w:cs="宋体"/>
        </w:rPr>
        <w:t>（</w:t>
      </w:r>
      <w:r>
        <w:rPr>
          <w:rFonts w:ascii="Times New Roman" w:hAnsi="Times New Roman"/>
        </w:rPr>
        <w:t>1</w:t>
      </w:r>
      <w:r>
        <w:rPr>
          <w:rFonts w:hint="eastAsia" w:cs="宋体"/>
        </w:rPr>
        <w:t>）技术的先进性</w:t>
      </w:r>
    </w:p>
    <w:p w14:paraId="6D5E5F4A">
      <w:pPr>
        <w:rPr>
          <w:rFonts w:ascii="Times New Roman" w:hAnsi="Times New Roman"/>
        </w:rPr>
      </w:pPr>
      <w:r>
        <w:rPr>
          <w:rFonts w:hint="eastAsia" w:cs="宋体"/>
        </w:rPr>
        <w:t>平台应采用先进成熟的技术，以保证投资的有效性和延续性。</w:t>
      </w:r>
    </w:p>
    <w:p w14:paraId="5D5D9E5D">
      <w:pPr>
        <w:rPr>
          <w:rFonts w:ascii="Times New Roman" w:hAnsi="Times New Roman"/>
        </w:rPr>
      </w:pPr>
      <w:r>
        <w:rPr>
          <w:rFonts w:hint="eastAsia" w:cs="宋体"/>
        </w:rPr>
        <w:t>（</w:t>
      </w:r>
      <w:r>
        <w:rPr>
          <w:rFonts w:ascii="Times New Roman" w:hAnsi="Times New Roman"/>
        </w:rPr>
        <w:t>2</w:t>
      </w:r>
      <w:r>
        <w:rPr>
          <w:rFonts w:hint="eastAsia" w:cs="宋体"/>
        </w:rPr>
        <w:t>）平台的稳定性</w:t>
      </w:r>
    </w:p>
    <w:p w14:paraId="524E6140">
      <w:pPr>
        <w:rPr>
          <w:rFonts w:ascii="Times New Roman" w:hAnsi="Times New Roman"/>
        </w:rPr>
      </w:pPr>
      <w:r>
        <w:rPr>
          <w:rFonts w:hint="eastAsia" w:cs="宋体"/>
        </w:rPr>
        <w:t>保证平台能够正常运作。</w:t>
      </w:r>
    </w:p>
    <w:p w14:paraId="34883815">
      <w:pPr>
        <w:rPr>
          <w:rFonts w:ascii="Times New Roman" w:hAnsi="Times New Roman"/>
        </w:rPr>
      </w:pPr>
      <w:r>
        <w:rPr>
          <w:rFonts w:hint="eastAsia" w:cs="宋体"/>
        </w:rPr>
        <w:t>软件版本升级或改造应在不影响业务的情况下进行，升级前应在测试环境中进行测试，测试通过之后才能上线运行。</w:t>
      </w:r>
    </w:p>
    <w:p w14:paraId="1135ACD2">
      <w:pPr>
        <w:rPr>
          <w:rFonts w:ascii="Times New Roman" w:hAnsi="Times New Roman"/>
        </w:rPr>
      </w:pPr>
      <w:r>
        <w:rPr>
          <w:rFonts w:hint="eastAsia" w:cs="宋体"/>
        </w:rPr>
        <w:t>（</w:t>
      </w:r>
      <w:r>
        <w:rPr>
          <w:rFonts w:ascii="Times New Roman" w:hAnsi="Times New Roman"/>
        </w:rPr>
        <w:t>3</w:t>
      </w:r>
      <w:r>
        <w:rPr>
          <w:rFonts w:hint="eastAsia" w:cs="宋体"/>
        </w:rPr>
        <w:t>）平台的可维护性</w:t>
      </w:r>
    </w:p>
    <w:p w14:paraId="02725911">
      <w:pPr>
        <w:rPr>
          <w:rFonts w:ascii="Times New Roman" w:hAnsi="Times New Roman"/>
        </w:rPr>
      </w:pPr>
      <w:r>
        <w:rPr>
          <w:rFonts w:hint="eastAsia" w:cs="宋体"/>
        </w:rPr>
        <w:t>该平台应能使用户根据权限对数据进行查询及下载操作，同时方便平台管理员集中对用户进行配置和管理。</w:t>
      </w:r>
    </w:p>
    <w:p w14:paraId="48C44DB2">
      <w:pPr>
        <w:rPr>
          <w:rFonts w:ascii="Times New Roman" w:hAnsi="Times New Roman"/>
        </w:rPr>
      </w:pPr>
      <w:r>
        <w:rPr>
          <w:rFonts w:hint="eastAsia" w:cs="宋体"/>
        </w:rPr>
        <w:t>（</w:t>
      </w:r>
      <w:r>
        <w:rPr>
          <w:rFonts w:ascii="Times New Roman" w:hAnsi="Times New Roman"/>
        </w:rPr>
        <w:t>4</w:t>
      </w:r>
      <w:r>
        <w:rPr>
          <w:rFonts w:hint="eastAsia" w:cs="宋体"/>
        </w:rPr>
        <w:t>）压力性能要求</w:t>
      </w:r>
    </w:p>
    <w:p w14:paraId="5E4D800F">
      <w:pPr>
        <w:rPr>
          <w:rFonts w:ascii="Times New Roman" w:hAnsi="Times New Roman"/>
        </w:rPr>
      </w:pPr>
      <w:r>
        <w:rPr>
          <w:rFonts w:hint="eastAsia" w:cs="宋体"/>
        </w:rPr>
        <w:t>系统应能承受大量基础数据加载，具备较快的反应速度。系统应支持同时在线用户量</w:t>
      </w:r>
      <w:r>
        <w:rPr>
          <w:rFonts w:hint="eastAsia" w:cs="宋体"/>
          <w:lang w:val="en-US" w:eastAsia="zh-CN"/>
        </w:rPr>
        <w:t>不少于100</w:t>
      </w:r>
      <w:r>
        <w:rPr>
          <w:rFonts w:hint="eastAsia" w:cs="宋体"/>
        </w:rPr>
        <w:t>人，支持并发用户量</w:t>
      </w:r>
      <w:r>
        <w:rPr>
          <w:rFonts w:hint="eastAsia" w:cs="宋体"/>
          <w:lang w:val="en-US" w:eastAsia="zh-CN"/>
        </w:rPr>
        <w:t>不少于</w:t>
      </w:r>
      <w:r>
        <w:rPr>
          <w:rFonts w:ascii="Times New Roman" w:hAnsi="Times New Roman"/>
        </w:rPr>
        <w:t>50</w:t>
      </w:r>
      <w:r>
        <w:rPr>
          <w:rFonts w:hint="eastAsia" w:cs="宋体"/>
        </w:rPr>
        <w:t>人。</w:t>
      </w:r>
    </w:p>
    <w:p w14:paraId="063C31B6">
      <w:pPr>
        <w:rPr>
          <w:rFonts w:ascii="Times New Roman" w:hAnsi="Times New Roman"/>
        </w:rPr>
      </w:pPr>
      <w:r>
        <w:rPr>
          <w:rFonts w:hint="eastAsia" w:cs="宋体"/>
        </w:rPr>
        <w:t>（</w:t>
      </w:r>
      <w:r>
        <w:rPr>
          <w:rFonts w:ascii="Times New Roman" w:hAnsi="Times New Roman"/>
        </w:rPr>
        <w:t>6</w:t>
      </w:r>
      <w:r>
        <w:rPr>
          <w:rFonts w:hint="eastAsia" w:cs="宋体"/>
        </w:rPr>
        <w:t>）平台的兼容性</w:t>
      </w:r>
    </w:p>
    <w:p w14:paraId="5CD13CA1">
      <w:pPr>
        <w:rPr>
          <w:rFonts w:ascii="Times New Roman" w:hAnsi="Times New Roman"/>
        </w:rPr>
      </w:pPr>
      <w:r>
        <w:rPr>
          <w:rFonts w:hint="eastAsia" w:cs="宋体"/>
        </w:rPr>
        <w:t>平台系统需要有较高的兼容性，可以运行在目前主流的国产浏览器上。</w:t>
      </w:r>
    </w:p>
    <w:p w14:paraId="5D6F0DEC">
      <w:pPr>
        <w:rPr>
          <w:rFonts w:ascii="Times New Roman" w:hAnsi="Times New Roman"/>
        </w:rPr>
      </w:pPr>
      <w:r>
        <w:rPr>
          <w:rFonts w:hint="eastAsia" w:cs="宋体"/>
        </w:rPr>
        <w:t>（</w:t>
      </w:r>
      <w:r>
        <w:rPr>
          <w:rFonts w:ascii="Times New Roman" w:hAnsi="Times New Roman"/>
        </w:rPr>
        <w:t>7</w:t>
      </w:r>
      <w:r>
        <w:rPr>
          <w:rFonts w:hint="eastAsia" w:cs="宋体"/>
        </w:rPr>
        <w:t>）平台的可扩展性</w:t>
      </w:r>
    </w:p>
    <w:p w14:paraId="75213E9B">
      <w:pPr>
        <w:rPr>
          <w:rFonts w:ascii="Times New Roman" w:hAnsi="Times New Roman"/>
        </w:rPr>
      </w:pPr>
      <w:r>
        <w:rPr>
          <w:rFonts w:hint="eastAsia" w:cs="宋体"/>
        </w:rPr>
        <w:t>平台预留接口，支持二次开发，方便系统扩展新的功能。</w:t>
      </w:r>
    </w:p>
    <w:p w14:paraId="270BBCF2">
      <w:pPr>
        <w:rPr>
          <w:rFonts w:ascii="Times New Roman" w:hAnsi="Times New Roman"/>
        </w:rPr>
      </w:pPr>
      <w:r>
        <w:rPr>
          <w:rFonts w:hint="eastAsia" w:cs="宋体"/>
        </w:rPr>
        <w:t>（</w:t>
      </w:r>
      <w:r>
        <w:rPr>
          <w:rFonts w:ascii="Times New Roman" w:hAnsi="Times New Roman"/>
        </w:rPr>
        <w:t>8</w:t>
      </w:r>
      <w:r>
        <w:rPr>
          <w:rFonts w:hint="eastAsia" w:cs="宋体"/>
        </w:rPr>
        <w:t>）平台数据安全性</w:t>
      </w:r>
    </w:p>
    <w:p w14:paraId="612D8130">
      <w:r>
        <w:rPr>
          <w:rFonts w:hint="eastAsia" w:cs="宋体"/>
        </w:rPr>
        <w:t>对系统中的部分敏感数据进行加密存储，确保数据的安全性。</w:t>
      </w:r>
    </w:p>
    <w:p w14:paraId="510A7444">
      <w:pPr>
        <w:pStyle w:val="2"/>
      </w:pPr>
      <w:bookmarkStart w:id="17" w:name="_Toc63785502"/>
      <w:r>
        <w:rPr>
          <w:rFonts w:hint="eastAsia"/>
        </w:rPr>
        <w:t>电子政务云资源需求</w:t>
      </w:r>
      <w:bookmarkEnd w:id="17"/>
    </w:p>
    <w:p w14:paraId="4A0EF008">
      <w:r>
        <w:rPr>
          <w:rFonts w:hint="eastAsia"/>
        </w:rPr>
        <w:t>本项目申请政务云服务器及存储资源，用于各业务系统数据采集、存储与全生命周期管理及应用系统部署运行，利用政务云安全体系为本项目提供信息化安全保障。电子政务云资源由采购方负责提供，供应商无需支付相关费用。根据项目前期资源现状，本次建设根据估算拟向电子政务云申请</w:t>
      </w:r>
      <w:r>
        <w:rPr>
          <w:rFonts w:hint="eastAsia"/>
          <w:lang w:val="en-US" w:eastAsia="zh-CN"/>
        </w:rPr>
        <w:t>13</w:t>
      </w:r>
      <w:r>
        <w:rPr>
          <w:rFonts w:hint="eastAsia"/>
        </w:rPr>
        <w:t>台服务器资源CPU</w:t>
      </w:r>
      <w:r>
        <w:rPr>
          <w:rFonts w:hint="eastAsia"/>
          <w:lang w:val="en-US" w:eastAsia="zh-CN"/>
        </w:rPr>
        <w:t>80</w:t>
      </w:r>
      <w:r>
        <w:rPr>
          <w:rFonts w:hint="eastAsia"/>
        </w:rPr>
        <w:t>核、内存</w:t>
      </w:r>
      <w:r>
        <w:rPr>
          <w:rFonts w:hint="eastAsia"/>
          <w:lang w:val="en-US" w:eastAsia="zh-CN"/>
        </w:rPr>
        <w:t>160</w:t>
      </w:r>
      <w:r>
        <w:rPr>
          <w:rFonts w:hint="eastAsia"/>
        </w:rPr>
        <w:t>G、存储</w:t>
      </w:r>
      <w:r>
        <w:rPr>
          <w:rFonts w:hint="eastAsia"/>
          <w:lang w:val="en-US" w:eastAsia="zh-CN"/>
        </w:rPr>
        <w:t>4100GB</w:t>
      </w:r>
      <w:r>
        <w:rPr>
          <w:rFonts w:hint="eastAsia"/>
        </w:rPr>
        <w:t>，其中虚拟机</w:t>
      </w:r>
      <w:r>
        <w:rPr>
          <w:rFonts w:hint="eastAsia"/>
          <w:lang w:val="en-US" w:eastAsia="zh-CN"/>
        </w:rPr>
        <w:t>13</w:t>
      </w:r>
      <w:r>
        <w:rPr>
          <w:rFonts w:hint="eastAsia"/>
        </w:rPr>
        <w:t>台，物理机</w:t>
      </w:r>
      <w:r>
        <w:rPr>
          <w:rFonts w:hint="eastAsia"/>
          <w:lang w:val="en-US" w:eastAsia="zh-CN"/>
        </w:rPr>
        <w:t>0</w:t>
      </w:r>
      <w:r>
        <w:rPr>
          <w:rFonts w:hint="eastAsia"/>
        </w:rPr>
        <w:t>台。</w:t>
      </w:r>
    </w:p>
    <w:p w14:paraId="4D962B87">
      <w:pPr>
        <w:pStyle w:val="2"/>
      </w:pPr>
      <w:bookmarkStart w:id="18" w:name="_Toc63785503"/>
      <w:r>
        <w:rPr>
          <w:rFonts w:hint="eastAsia"/>
        </w:rPr>
        <w:t>其他工作要求</w:t>
      </w:r>
      <w:bookmarkEnd w:id="18"/>
    </w:p>
    <w:p w14:paraId="7687063C">
      <w:pPr>
        <w:pStyle w:val="3"/>
        <w:ind w:left="0" w:leftChars="0" w:firstLine="480" w:firstLineChars="160"/>
      </w:pPr>
      <w:bookmarkStart w:id="19" w:name="_Toc61968111"/>
      <w:bookmarkEnd w:id="19"/>
      <w:bookmarkStart w:id="20" w:name="_Toc63585480"/>
      <w:bookmarkEnd w:id="20"/>
      <w:bookmarkStart w:id="21" w:name="_Toc63151871"/>
      <w:bookmarkEnd w:id="21"/>
      <w:bookmarkStart w:id="22" w:name="_Toc63785504"/>
      <w:bookmarkEnd w:id="22"/>
      <w:bookmarkStart w:id="23" w:name="_Toc62219358"/>
      <w:bookmarkEnd w:id="23"/>
      <w:bookmarkStart w:id="24" w:name="_Toc63762370"/>
      <w:bookmarkEnd w:id="24"/>
      <w:bookmarkStart w:id="25" w:name="_Toc63785439"/>
      <w:bookmarkEnd w:id="25"/>
      <w:bookmarkStart w:id="26" w:name="_Toc62209488"/>
      <w:bookmarkEnd w:id="26"/>
      <w:bookmarkStart w:id="27" w:name="_Toc63785505"/>
      <w:r>
        <w:rPr>
          <w:rFonts w:hint="eastAsia"/>
        </w:rPr>
        <w:t>售后服务要求</w:t>
      </w:r>
      <w:bookmarkEnd w:id="27"/>
    </w:p>
    <w:p w14:paraId="2524F88C">
      <w:pPr>
        <w:pStyle w:val="9"/>
        <w:snapToGrid w:val="0"/>
        <w:spacing w:line="360" w:lineRule="auto"/>
        <w:ind w:firstLine="480"/>
        <w:rPr>
          <w:rFonts w:ascii="宋体" w:hAnsi="宋体"/>
          <w:sz w:val="24"/>
          <w:szCs w:val="24"/>
        </w:rPr>
      </w:pPr>
      <w:r>
        <w:rPr>
          <w:rFonts w:hint="eastAsia" w:ascii="宋体" w:hAnsi="宋体"/>
          <w:sz w:val="24"/>
          <w:szCs w:val="24"/>
        </w:rPr>
        <w:t>本项目从系统验收通过之日起1年内提供</w:t>
      </w:r>
      <w:r>
        <w:rPr>
          <w:rFonts w:ascii="宋体" w:hAnsi="宋体"/>
          <w:sz w:val="24"/>
          <w:szCs w:val="24"/>
        </w:rPr>
        <w:t>7*24小时免费技术支持</w:t>
      </w:r>
      <w:r>
        <w:rPr>
          <w:rFonts w:hint="eastAsia" w:ascii="宋体" w:hAnsi="宋体"/>
          <w:sz w:val="24"/>
          <w:szCs w:val="24"/>
        </w:rPr>
        <w:t>和售后服务，1年后进入有偿维护期。</w:t>
      </w:r>
    </w:p>
    <w:p w14:paraId="2A7685DA">
      <w:pPr>
        <w:pStyle w:val="9"/>
        <w:snapToGrid w:val="0"/>
        <w:spacing w:line="360" w:lineRule="auto"/>
        <w:ind w:firstLine="480"/>
        <w:rPr>
          <w:rFonts w:ascii="宋体" w:hAnsi="宋体"/>
          <w:sz w:val="24"/>
          <w:szCs w:val="24"/>
        </w:rPr>
      </w:pPr>
      <w:r>
        <w:rPr>
          <w:rFonts w:hint="eastAsia" w:ascii="宋体" w:hAnsi="宋体"/>
          <w:sz w:val="24"/>
          <w:szCs w:val="24"/>
        </w:rPr>
        <w:t>在质量保证期内，供应商将按照售后服务的承诺提供保修和运行维护服务，如果厂商对信息系统中软件设备等产品中的部分保修期超过上述期限的，则按照厂商的规定进行免费保修。</w:t>
      </w:r>
    </w:p>
    <w:p w14:paraId="53F8121E">
      <w:pPr>
        <w:pStyle w:val="9"/>
        <w:snapToGrid w:val="0"/>
        <w:spacing w:line="360" w:lineRule="auto"/>
        <w:ind w:firstLine="480"/>
        <w:rPr>
          <w:rFonts w:ascii="宋体" w:hAnsi="宋体"/>
          <w:sz w:val="24"/>
          <w:szCs w:val="24"/>
        </w:rPr>
      </w:pPr>
      <w:r>
        <w:rPr>
          <w:rFonts w:hint="eastAsia" w:ascii="宋体" w:hAnsi="宋体"/>
          <w:sz w:val="24"/>
          <w:szCs w:val="24"/>
        </w:rPr>
        <w:t>在质量保证期内，供应商负责信息系统的运行维护工作，确</w:t>
      </w:r>
      <w:r>
        <w:rPr>
          <w:rFonts w:hint="eastAsia" w:ascii="宋体" w:hAnsi="宋体"/>
          <w:sz w:val="24"/>
          <w:szCs w:val="24"/>
          <w:lang w:val="en-US" w:eastAsia="zh-CN"/>
        </w:rPr>
        <w:t xml:space="preserve"> </w:t>
      </w:r>
      <w:r>
        <w:rPr>
          <w:rFonts w:hint="eastAsia" w:ascii="宋体" w:hAnsi="宋体"/>
          <w:sz w:val="24"/>
          <w:szCs w:val="24"/>
        </w:rPr>
        <w:t>保信息系统安全、稳定、可靠地运行。本项目涉及的运行维护工作范围为：数据库更新维护、数据库备份、用户维护、系统更新维护。</w:t>
      </w:r>
    </w:p>
    <w:p w14:paraId="476E12CA">
      <w:pPr>
        <w:pStyle w:val="3"/>
        <w:ind w:left="15" w:leftChars="0" w:firstLine="465" w:firstLineChars="155"/>
      </w:pPr>
      <w:bookmarkStart w:id="28" w:name="_Toc63785506"/>
      <w:r>
        <w:rPr>
          <w:rFonts w:hint="eastAsia"/>
        </w:rPr>
        <w:t>应急响应要求</w:t>
      </w:r>
      <w:bookmarkEnd w:id="28"/>
    </w:p>
    <w:p w14:paraId="64CF70FA">
      <w:pPr>
        <w:pStyle w:val="9"/>
        <w:snapToGrid w:val="0"/>
        <w:spacing w:line="360" w:lineRule="auto"/>
        <w:ind w:firstLine="480"/>
        <w:rPr>
          <w:rFonts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30分钟之内响应，专业工程师2小时内到达现场</w:t>
      </w:r>
      <w:r>
        <w:rPr>
          <w:rFonts w:hint="eastAsia" w:ascii="宋体" w:hAnsi="宋体"/>
          <w:sz w:val="24"/>
          <w:szCs w:val="24"/>
        </w:rPr>
        <w:t>。特殊故障与客户沟通协商后，按照协商的方式制定解决方案并进行处理。</w:t>
      </w:r>
    </w:p>
    <w:p w14:paraId="23E197B0">
      <w:pPr>
        <w:pStyle w:val="9"/>
        <w:snapToGrid w:val="0"/>
        <w:spacing w:line="360" w:lineRule="auto"/>
        <w:ind w:firstLine="480"/>
        <w:rPr>
          <w:rFonts w:ascii="宋体" w:hAnsi="宋体"/>
          <w:sz w:val="24"/>
          <w:szCs w:val="24"/>
        </w:rPr>
      </w:pPr>
      <w:r>
        <w:rPr>
          <w:rFonts w:hint="eastAsia" w:ascii="宋体" w:hAnsi="宋体"/>
          <w:sz w:val="24"/>
          <w:szCs w:val="24"/>
        </w:rPr>
        <w:t>具体故障级别及对应的应急响应要求如下：</w:t>
      </w:r>
    </w:p>
    <w:p w14:paraId="757D8BD5">
      <w:pPr>
        <w:pStyle w:val="9"/>
        <w:snapToGrid w:val="0"/>
        <w:spacing w:line="360" w:lineRule="auto"/>
        <w:ind w:firstLine="480"/>
        <w:rPr>
          <w:rFonts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14:paraId="5AF6BA89">
      <w:pPr>
        <w:pStyle w:val="9"/>
        <w:snapToGrid w:val="0"/>
        <w:spacing w:line="360" w:lineRule="auto"/>
        <w:ind w:firstLine="480"/>
        <w:rPr>
          <w:rFonts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2小时内确诊，并在4小时内由专家到达现场确诊并解决，总故障解决时间不超过8小时；</w:t>
      </w:r>
    </w:p>
    <w:p w14:paraId="74BAE321">
      <w:pPr>
        <w:pStyle w:val="9"/>
        <w:snapToGrid w:val="0"/>
        <w:spacing w:line="360" w:lineRule="auto"/>
        <w:ind w:firstLine="480"/>
        <w:rPr>
          <w:rFonts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14:paraId="10797131">
      <w:pPr>
        <w:pStyle w:val="3"/>
        <w:ind w:left="0" w:leftChars="0" w:firstLine="480" w:firstLineChars="160"/>
      </w:pPr>
      <w:bookmarkStart w:id="29" w:name="_Toc63785507"/>
      <w:r>
        <w:rPr>
          <w:rFonts w:hint="eastAsia"/>
        </w:rPr>
        <w:t>培训要求</w:t>
      </w:r>
      <w:bookmarkEnd w:id="29"/>
    </w:p>
    <w:p w14:paraId="47DC5A44">
      <w:r>
        <w:rPr>
          <w:rFonts w:hint="eastAsia"/>
        </w:rPr>
        <w:t>对系统使用单位提供业务操作培训，应提供详细培训方案。</w:t>
      </w:r>
    </w:p>
    <w:p w14:paraId="34898232">
      <w:r>
        <w:rPr>
          <w:rFonts w:hint="eastAsia"/>
        </w:rPr>
        <w:t>(1)在12个月的质量保证期内，提供2次与项目相关的必要培训。</w:t>
      </w:r>
    </w:p>
    <w:p w14:paraId="17D827CC">
      <w:r>
        <w:rPr>
          <w:rFonts w:hint="eastAsia"/>
        </w:rPr>
        <w:t>(2)供应商需要开展分层次的人员培训工作，每次培训后应对参加培训人员进行测试，评估培训成果。培训应具有培训教材、培训环境和高水平的培训讲师。</w:t>
      </w:r>
    </w:p>
    <w:p w14:paraId="11B5AB70">
      <w:pPr>
        <w:rPr>
          <w:strike/>
          <w:szCs w:val="21"/>
        </w:rPr>
      </w:pPr>
      <w:r>
        <w:rPr>
          <w:rFonts w:hint="eastAsia"/>
        </w:rPr>
        <w:t>(3)供应商应提供一般用户的基础操作培训和部门信息管理员的日常应用维护的培训，确保用户对象能够掌握对应的操作技能。</w:t>
      </w:r>
    </w:p>
    <w:p w14:paraId="049E9F13">
      <w:pPr>
        <w:pStyle w:val="3"/>
        <w:ind w:left="0" w:leftChars="0" w:firstLine="480" w:firstLineChars="160"/>
      </w:pPr>
      <w:bookmarkStart w:id="30" w:name="_Toc63785509"/>
      <w:r>
        <w:rPr>
          <w:rFonts w:hint="eastAsia"/>
        </w:rPr>
        <w:t>进度要求</w:t>
      </w:r>
      <w:bookmarkEnd w:id="30"/>
    </w:p>
    <w:p w14:paraId="27BF0772">
      <w:pPr>
        <w:pStyle w:val="4"/>
        <w:rPr>
          <w:rFonts w:hint="eastAsia"/>
        </w:rPr>
      </w:pPr>
      <w:r>
        <w:rPr>
          <w:rFonts w:hint="eastAsia"/>
        </w:rPr>
        <w:t>项目建设周期为自合同签订之日起至202</w:t>
      </w:r>
      <w:r>
        <w:rPr>
          <w:rFonts w:hint="eastAsia"/>
          <w:lang w:val="en-US" w:eastAsia="zh-CN"/>
        </w:rPr>
        <w:t>5</w:t>
      </w:r>
      <w:r>
        <w:rPr>
          <w:rFonts w:hint="eastAsia"/>
        </w:rPr>
        <w:t>年12月31日，供应商应根据建设内容，分阶段制定合理的时间进度，并且应根据采购方要求进行调整和细化。实施进度分为5个阶段（具体可根据项目实际情况调整）。</w:t>
      </w:r>
    </w:p>
    <w:p w14:paraId="7D318EDD">
      <w:pPr>
        <w:pStyle w:val="4"/>
        <w:rPr>
          <w:rFonts w:hint="eastAsia"/>
        </w:rPr>
      </w:pPr>
      <w:r>
        <w:rPr>
          <w:rFonts w:hint="eastAsia"/>
        </w:rPr>
        <w:t>第一阶段，项目启动，</w:t>
      </w:r>
      <w:r>
        <w:rPr>
          <w:rFonts w:hint="eastAsia"/>
          <w:lang w:val="en-US" w:eastAsia="zh-CN"/>
        </w:rPr>
        <w:t>需求沟通，</w:t>
      </w:r>
      <w:r>
        <w:rPr>
          <w:rFonts w:hint="eastAsia"/>
        </w:rPr>
        <w:t>合同签订。周期约为15天。</w:t>
      </w:r>
    </w:p>
    <w:p w14:paraId="639B4EC8">
      <w:pPr>
        <w:pStyle w:val="4"/>
        <w:rPr>
          <w:rFonts w:hint="eastAsia"/>
        </w:rPr>
      </w:pPr>
      <w:r>
        <w:rPr>
          <w:rFonts w:hint="eastAsia"/>
        </w:rPr>
        <w:t>第二阶段，完成系统设计。周期约为</w:t>
      </w:r>
      <w:r>
        <w:rPr>
          <w:rFonts w:hint="eastAsia"/>
          <w:lang w:val="en-US" w:eastAsia="zh-CN"/>
        </w:rPr>
        <w:t>30</w:t>
      </w:r>
      <w:r>
        <w:rPr>
          <w:rFonts w:hint="eastAsia"/>
        </w:rPr>
        <w:t>天。</w:t>
      </w:r>
    </w:p>
    <w:p w14:paraId="1D61BDD4">
      <w:pPr>
        <w:pStyle w:val="4"/>
        <w:rPr>
          <w:rFonts w:hint="eastAsia"/>
        </w:rPr>
      </w:pPr>
      <w:r>
        <w:rPr>
          <w:rFonts w:hint="eastAsia"/>
        </w:rPr>
        <w:t>第三阶段，完成系统建设。周期约为180天。</w:t>
      </w:r>
    </w:p>
    <w:p w14:paraId="369CACB8">
      <w:pPr>
        <w:pStyle w:val="4"/>
        <w:rPr>
          <w:rFonts w:hint="eastAsia"/>
        </w:rPr>
      </w:pPr>
      <w:r>
        <w:rPr>
          <w:rFonts w:hint="eastAsia"/>
        </w:rPr>
        <w:t>第四阶段，完成系统测试。周期约为10天。</w:t>
      </w:r>
    </w:p>
    <w:p w14:paraId="0047C4D9">
      <w:pPr>
        <w:pStyle w:val="4"/>
      </w:pPr>
      <w:r>
        <w:rPr>
          <w:rFonts w:hint="eastAsia"/>
        </w:rPr>
        <w:t>第五阶段，完成系统试运行。周期约为30天。试运行期间同步开展项目验收相关工作，试运行期结束后进行项目验收。</w:t>
      </w:r>
    </w:p>
    <w:p w14:paraId="1AC762B8">
      <w:pPr>
        <w:pStyle w:val="3"/>
        <w:ind w:left="0" w:leftChars="0" w:firstLine="480" w:firstLineChars="160"/>
      </w:pPr>
      <w:bookmarkStart w:id="31" w:name="_Toc63785510"/>
      <w:r>
        <w:rPr>
          <w:rFonts w:hint="eastAsia"/>
        </w:rPr>
        <w:t>项目团队及驻场人员要求</w:t>
      </w:r>
      <w:bookmarkEnd w:id="31"/>
    </w:p>
    <w:p w14:paraId="2DD9E4E0">
      <w:r>
        <w:t>1）投标人须具有稳定的在职技术保障力量，能够提供及时的技术支援或服务，应针对本项目提供不少于</w:t>
      </w:r>
      <w:r>
        <w:rPr>
          <w:rFonts w:hint="eastAsia"/>
          <w:lang w:val="en-US" w:eastAsia="zh-CN"/>
        </w:rPr>
        <w:t>15</w:t>
      </w:r>
      <w:r>
        <w:t>人的项目服务团队（包括项目经理、产品经理、技术负责人、研发等），投标单位的相关服务人员需具备相应的服务能力，需提供相关证明（最近一个季度依法缴纳社保费的证明）。</w:t>
      </w:r>
    </w:p>
    <w:tbl>
      <w:tblPr>
        <w:tblStyle w:val="6"/>
        <w:tblW w:w="8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2690"/>
        <w:gridCol w:w="1065"/>
        <w:gridCol w:w="2159"/>
        <w:gridCol w:w="1478"/>
      </w:tblGrid>
      <w:tr w14:paraId="70CC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2" w:type="dxa"/>
            <w:shd w:val="clear" w:color="auto" w:fill="auto"/>
            <w:noWrap/>
            <w:vAlign w:val="center"/>
          </w:tcPr>
          <w:p w14:paraId="407259A1">
            <w:pPr>
              <w:widowControl/>
              <w:spacing w:line="240" w:lineRule="auto"/>
              <w:ind w:firstLine="0" w:firstLineChars="0"/>
              <w:jc w:val="center"/>
              <w:rPr>
                <w:b/>
              </w:rPr>
            </w:pPr>
            <w:r>
              <w:rPr>
                <w:rFonts w:hint="eastAsia"/>
                <w:b/>
              </w:rPr>
              <w:t>角色</w:t>
            </w:r>
          </w:p>
        </w:tc>
        <w:tc>
          <w:tcPr>
            <w:tcW w:w="2690" w:type="dxa"/>
            <w:shd w:val="clear" w:color="auto" w:fill="auto"/>
            <w:noWrap/>
            <w:vAlign w:val="center"/>
          </w:tcPr>
          <w:p w14:paraId="78F152EC">
            <w:pPr>
              <w:widowControl/>
              <w:spacing w:line="240" w:lineRule="auto"/>
              <w:ind w:firstLine="0" w:firstLineChars="0"/>
              <w:jc w:val="center"/>
              <w:rPr>
                <w:b/>
              </w:rPr>
            </w:pPr>
            <w:r>
              <w:rPr>
                <w:rFonts w:hint="eastAsia"/>
                <w:b/>
              </w:rPr>
              <w:t>主要职责</w:t>
            </w:r>
          </w:p>
        </w:tc>
        <w:tc>
          <w:tcPr>
            <w:tcW w:w="1065" w:type="dxa"/>
            <w:shd w:val="clear" w:color="auto" w:fill="auto"/>
            <w:noWrap/>
            <w:vAlign w:val="center"/>
          </w:tcPr>
          <w:p w14:paraId="55870961">
            <w:pPr>
              <w:widowControl/>
              <w:spacing w:line="240" w:lineRule="auto"/>
              <w:ind w:firstLine="0" w:firstLineChars="0"/>
              <w:jc w:val="center"/>
              <w:rPr>
                <w:b/>
              </w:rPr>
            </w:pPr>
            <w:r>
              <w:rPr>
                <w:rFonts w:hint="eastAsia"/>
                <w:b/>
              </w:rPr>
              <w:t>人员数量</w:t>
            </w:r>
          </w:p>
        </w:tc>
        <w:tc>
          <w:tcPr>
            <w:tcW w:w="2159" w:type="dxa"/>
            <w:vAlign w:val="center"/>
          </w:tcPr>
          <w:p w14:paraId="68D13CC9">
            <w:pPr>
              <w:widowControl/>
              <w:spacing w:line="240" w:lineRule="auto"/>
              <w:ind w:firstLine="0" w:firstLineChars="0"/>
              <w:jc w:val="center"/>
              <w:rPr>
                <w:b/>
              </w:rPr>
            </w:pPr>
            <w:r>
              <w:rPr>
                <w:rFonts w:hint="eastAsia"/>
                <w:b/>
              </w:rPr>
              <w:t>人员要求</w:t>
            </w:r>
          </w:p>
        </w:tc>
        <w:tc>
          <w:tcPr>
            <w:tcW w:w="1478" w:type="dxa"/>
            <w:shd w:val="clear" w:color="auto" w:fill="auto"/>
            <w:noWrap/>
            <w:vAlign w:val="center"/>
          </w:tcPr>
          <w:p w14:paraId="1E1D6065">
            <w:pPr>
              <w:widowControl/>
              <w:spacing w:line="240" w:lineRule="auto"/>
              <w:ind w:firstLine="0" w:firstLineChars="0"/>
              <w:jc w:val="center"/>
              <w:rPr>
                <w:b/>
              </w:rPr>
            </w:pPr>
            <w:r>
              <w:rPr>
                <w:rFonts w:hint="eastAsia"/>
                <w:b/>
              </w:rPr>
              <w:t>驻场要求</w:t>
            </w:r>
          </w:p>
        </w:tc>
      </w:tr>
      <w:tr w14:paraId="3E577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2" w:type="dxa"/>
            <w:shd w:val="clear" w:color="auto" w:fill="auto"/>
            <w:noWrap/>
            <w:vAlign w:val="center"/>
          </w:tcPr>
          <w:p w14:paraId="482CCD45">
            <w:pPr>
              <w:widowControl/>
              <w:spacing w:line="240" w:lineRule="auto"/>
              <w:ind w:firstLine="0" w:firstLineChars="0"/>
              <w:jc w:val="center"/>
            </w:pPr>
            <w:r>
              <w:rPr>
                <w:rFonts w:hint="eastAsia"/>
              </w:rPr>
              <w:t>项目经理</w:t>
            </w:r>
          </w:p>
        </w:tc>
        <w:tc>
          <w:tcPr>
            <w:tcW w:w="2690" w:type="dxa"/>
            <w:shd w:val="clear" w:color="auto" w:fill="auto"/>
            <w:vAlign w:val="center"/>
          </w:tcPr>
          <w:p w14:paraId="4BAE188F">
            <w:pPr>
              <w:widowControl/>
              <w:spacing w:line="240" w:lineRule="auto"/>
              <w:ind w:firstLine="0" w:firstLineChars="0"/>
              <w:jc w:val="center"/>
            </w:pPr>
            <w:r>
              <w:rPr>
                <w:rFonts w:hint="eastAsia"/>
              </w:rPr>
              <w:t>负责项目质量和进度控制</w:t>
            </w:r>
          </w:p>
        </w:tc>
        <w:tc>
          <w:tcPr>
            <w:tcW w:w="1065" w:type="dxa"/>
            <w:shd w:val="clear" w:color="auto" w:fill="auto"/>
            <w:noWrap/>
            <w:vAlign w:val="center"/>
          </w:tcPr>
          <w:p w14:paraId="24DFBEAF">
            <w:pPr>
              <w:widowControl/>
              <w:spacing w:line="240" w:lineRule="auto"/>
              <w:ind w:firstLine="0" w:firstLineChars="0"/>
              <w:jc w:val="center"/>
            </w:pPr>
            <w:r>
              <w:rPr>
                <w:rFonts w:hint="eastAsia"/>
                <w:lang w:val="en-US" w:eastAsia="zh-CN"/>
              </w:rPr>
              <w:t>1</w:t>
            </w:r>
            <w:r>
              <w:rPr>
                <w:rFonts w:hint="eastAsia"/>
              </w:rPr>
              <w:t>人</w:t>
            </w:r>
          </w:p>
        </w:tc>
        <w:tc>
          <w:tcPr>
            <w:tcW w:w="2159" w:type="dxa"/>
            <w:vAlign w:val="center"/>
          </w:tcPr>
          <w:p w14:paraId="649835B0">
            <w:pPr>
              <w:widowControl/>
              <w:spacing w:line="240" w:lineRule="auto"/>
              <w:ind w:firstLine="0" w:firstLineChars="0"/>
              <w:jc w:val="center"/>
              <w:rPr>
                <w:rFonts w:hint="default" w:eastAsia="宋体"/>
                <w:lang w:val="en-US" w:eastAsia="zh-CN"/>
              </w:rPr>
            </w:pPr>
            <w:r>
              <w:rPr>
                <w:rFonts w:hint="eastAsia"/>
              </w:rPr>
              <w:t>本科及以上学历，具备信息系统项目管理师(高级)证书</w:t>
            </w:r>
          </w:p>
        </w:tc>
        <w:tc>
          <w:tcPr>
            <w:tcW w:w="1478" w:type="dxa"/>
            <w:shd w:val="clear" w:color="auto" w:fill="auto"/>
            <w:noWrap/>
            <w:vAlign w:val="center"/>
          </w:tcPr>
          <w:p w14:paraId="13C253A3">
            <w:pPr>
              <w:widowControl/>
              <w:spacing w:line="240" w:lineRule="auto"/>
              <w:ind w:firstLine="0" w:firstLineChars="0"/>
              <w:jc w:val="center"/>
            </w:pPr>
            <w:r>
              <w:rPr>
                <w:rFonts w:hint="eastAsia"/>
              </w:rPr>
              <w:t>不驻场</w:t>
            </w:r>
          </w:p>
        </w:tc>
      </w:tr>
      <w:tr w14:paraId="2068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2" w:type="dxa"/>
            <w:shd w:val="clear" w:color="auto" w:fill="auto"/>
            <w:noWrap/>
            <w:vAlign w:val="center"/>
          </w:tcPr>
          <w:p w14:paraId="76A06C86">
            <w:pPr>
              <w:widowControl/>
              <w:spacing w:line="240" w:lineRule="auto"/>
              <w:ind w:firstLine="0" w:firstLineChars="0"/>
              <w:jc w:val="center"/>
            </w:pPr>
            <w:r>
              <w:rPr>
                <w:rFonts w:hint="eastAsia"/>
              </w:rPr>
              <w:t>产品经理</w:t>
            </w:r>
          </w:p>
        </w:tc>
        <w:tc>
          <w:tcPr>
            <w:tcW w:w="2690" w:type="dxa"/>
            <w:shd w:val="clear" w:color="auto" w:fill="auto"/>
            <w:vAlign w:val="center"/>
          </w:tcPr>
          <w:p w14:paraId="71CCB170">
            <w:pPr>
              <w:widowControl/>
              <w:spacing w:line="240" w:lineRule="auto"/>
              <w:ind w:firstLine="0" w:firstLineChars="0"/>
              <w:jc w:val="center"/>
            </w:pPr>
            <w:r>
              <w:rPr>
                <w:rFonts w:hint="eastAsia"/>
              </w:rPr>
              <w:t>负责项目需求评估与产品设计</w:t>
            </w:r>
          </w:p>
        </w:tc>
        <w:tc>
          <w:tcPr>
            <w:tcW w:w="1065" w:type="dxa"/>
            <w:shd w:val="clear" w:color="auto" w:fill="auto"/>
            <w:noWrap/>
            <w:vAlign w:val="center"/>
          </w:tcPr>
          <w:p w14:paraId="41D2D5D0">
            <w:pPr>
              <w:widowControl/>
              <w:spacing w:line="240" w:lineRule="auto"/>
              <w:ind w:firstLine="0" w:firstLineChars="0"/>
              <w:jc w:val="center"/>
            </w:pPr>
            <w:r>
              <w:rPr>
                <w:rFonts w:hint="eastAsia"/>
                <w:lang w:val="en-US" w:eastAsia="zh-CN"/>
              </w:rPr>
              <w:t>2</w:t>
            </w:r>
            <w:r>
              <w:rPr>
                <w:rFonts w:hint="eastAsia"/>
              </w:rPr>
              <w:t>人</w:t>
            </w:r>
          </w:p>
        </w:tc>
        <w:tc>
          <w:tcPr>
            <w:tcW w:w="2159" w:type="dxa"/>
            <w:vAlign w:val="center"/>
          </w:tcPr>
          <w:p w14:paraId="415732DF">
            <w:pPr>
              <w:widowControl/>
              <w:spacing w:line="240" w:lineRule="auto"/>
              <w:ind w:firstLine="0" w:firstLineChars="0"/>
              <w:jc w:val="center"/>
              <w:rPr>
                <w:rFonts w:hint="eastAsia" w:eastAsia="宋体"/>
                <w:lang w:eastAsia="zh-CN"/>
              </w:rPr>
            </w:pPr>
            <w:r>
              <w:rPr>
                <w:rFonts w:hint="eastAsia"/>
              </w:rPr>
              <w:t>本科及以上学历</w:t>
            </w:r>
            <w:r>
              <w:rPr>
                <w:rFonts w:hint="eastAsia"/>
                <w:lang w:eastAsia="zh-CN"/>
              </w:rPr>
              <w:t>。</w:t>
            </w:r>
          </w:p>
        </w:tc>
        <w:tc>
          <w:tcPr>
            <w:tcW w:w="1478" w:type="dxa"/>
            <w:shd w:val="clear" w:color="auto" w:fill="auto"/>
            <w:noWrap/>
            <w:vAlign w:val="center"/>
          </w:tcPr>
          <w:p w14:paraId="16304D01">
            <w:pPr>
              <w:widowControl/>
              <w:spacing w:line="240" w:lineRule="auto"/>
              <w:ind w:firstLine="0" w:firstLineChars="0"/>
              <w:jc w:val="center"/>
            </w:pPr>
            <w:r>
              <w:rPr>
                <w:rFonts w:hint="eastAsia"/>
              </w:rPr>
              <w:t>不驻场</w:t>
            </w:r>
          </w:p>
        </w:tc>
      </w:tr>
      <w:tr w14:paraId="5204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2" w:type="dxa"/>
            <w:shd w:val="clear" w:color="auto" w:fill="auto"/>
            <w:noWrap/>
            <w:vAlign w:val="center"/>
          </w:tcPr>
          <w:p w14:paraId="5BB1E054">
            <w:pPr>
              <w:widowControl/>
              <w:spacing w:line="240" w:lineRule="auto"/>
              <w:ind w:firstLine="0" w:firstLineChars="0"/>
              <w:jc w:val="center"/>
              <w:rPr>
                <w:rFonts w:hint="eastAsia" w:eastAsia="宋体"/>
                <w:lang w:val="en-US" w:eastAsia="zh-CN"/>
              </w:rPr>
            </w:pPr>
            <w:r>
              <w:rPr>
                <w:rFonts w:hint="eastAsia"/>
              </w:rPr>
              <w:t>研发</w:t>
            </w:r>
            <w:r>
              <w:rPr>
                <w:rFonts w:hint="eastAsia"/>
                <w:lang w:val="en-US" w:eastAsia="zh-CN"/>
              </w:rPr>
              <w:t>人员</w:t>
            </w:r>
          </w:p>
        </w:tc>
        <w:tc>
          <w:tcPr>
            <w:tcW w:w="2690" w:type="dxa"/>
            <w:shd w:val="clear" w:color="auto" w:fill="auto"/>
            <w:noWrap/>
            <w:vAlign w:val="center"/>
          </w:tcPr>
          <w:p w14:paraId="49D245CB">
            <w:pPr>
              <w:widowControl/>
              <w:spacing w:line="240" w:lineRule="auto"/>
              <w:ind w:firstLine="0" w:firstLineChars="0"/>
              <w:jc w:val="center"/>
            </w:pPr>
            <w:r>
              <w:rPr>
                <w:rFonts w:hint="eastAsia"/>
              </w:rPr>
              <w:t>负责项目具体开发与实施</w:t>
            </w:r>
          </w:p>
        </w:tc>
        <w:tc>
          <w:tcPr>
            <w:tcW w:w="1065" w:type="dxa"/>
            <w:shd w:val="clear" w:color="auto" w:fill="auto"/>
            <w:noWrap/>
            <w:vAlign w:val="center"/>
          </w:tcPr>
          <w:p w14:paraId="2BDFE51F">
            <w:pPr>
              <w:widowControl/>
              <w:spacing w:line="240" w:lineRule="auto"/>
              <w:ind w:firstLine="0" w:firstLineChars="0"/>
              <w:jc w:val="center"/>
            </w:pPr>
            <w:r>
              <w:rPr>
                <w:rFonts w:hint="eastAsia"/>
                <w:lang w:val="en-US" w:eastAsia="zh-CN"/>
              </w:rPr>
              <w:t>至少11</w:t>
            </w:r>
            <w:r>
              <w:rPr>
                <w:rFonts w:hint="eastAsia"/>
              </w:rPr>
              <w:t>人</w:t>
            </w:r>
          </w:p>
        </w:tc>
        <w:tc>
          <w:tcPr>
            <w:tcW w:w="2159" w:type="dxa"/>
            <w:vAlign w:val="center"/>
          </w:tcPr>
          <w:p w14:paraId="7EE316AA">
            <w:pPr>
              <w:widowControl/>
              <w:spacing w:line="240" w:lineRule="auto"/>
              <w:ind w:firstLine="0" w:firstLineChars="0"/>
              <w:jc w:val="center"/>
            </w:pPr>
            <w:r>
              <w:rPr>
                <w:rFonts w:hint="eastAsia"/>
              </w:rPr>
              <w:t>本科及以上学历。</w:t>
            </w:r>
          </w:p>
        </w:tc>
        <w:tc>
          <w:tcPr>
            <w:tcW w:w="1478" w:type="dxa"/>
            <w:shd w:val="clear" w:color="auto" w:fill="auto"/>
            <w:noWrap/>
            <w:vAlign w:val="center"/>
          </w:tcPr>
          <w:p w14:paraId="3EA1F76F">
            <w:pPr>
              <w:widowControl/>
              <w:spacing w:line="240" w:lineRule="auto"/>
              <w:ind w:firstLine="0" w:firstLineChars="0"/>
              <w:jc w:val="center"/>
            </w:pPr>
            <w:r>
              <w:rPr>
                <w:rFonts w:hint="eastAsia"/>
              </w:rPr>
              <w:t>不驻场</w:t>
            </w:r>
          </w:p>
        </w:tc>
      </w:tr>
      <w:tr w14:paraId="199CD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2" w:type="dxa"/>
            <w:shd w:val="clear" w:color="auto" w:fill="auto"/>
            <w:noWrap/>
            <w:vAlign w:val="center"/>
          </w:tcPr>
          <w:p w14:paraId="2112E558">
            <w:pPr>
              <w:widowControl/>
              <w:spacing w:line="240" w:lineRule="auto"/>
              <w:ind w:firstLine="0" w:firstLineChars="0"/>
              <w:jc w:val="center"/>
              <w:rPr>
                <w:rFonts w:hint="default" w:eastAsia="宋体"/>
                <w:lang w:val="en-US" w:eastAsia="zh-CN"/>
              </w:rPr>
            </w:pPr>
            <w:r>
              <w:rPr>
                <w:rFonts w:hint="eastAsia"/>
                <w:lang w:val="en-US" w:eastAsia="zh-CN"/>
              </w:rPr>
              <w:t>技术负责人</w:t>
            </w:r>
          </w:p>
        </w:tc>
        <w:tc>
          <w:tcPr>
            <w:tcW w:w="2690" w:type="dxa"/>
            <w:shd w:val="clear" w:color="auto" w:fill="auto"/>
            <w:noWrap/>
            <w:vAlign w:val="center"/>
          </w:tcPr>
          <w:p w14:paraId="1B6BF513">
            <w:pPr>
              <w:widowControl/>
              <w:spacing w:line="240" w:lineRule="auto"/>
              <w:ind w:firstLine="0" w:firstLineChars="0"/>
              <w:jc w:val="center"/>
              <w:rPr>
                <w:rFonts w:hint="eastAsia"/>
              </w:rPr>
            </w:pPr>
            <w:r>
              <w:rPr>
                <w:rFonts w:hint="eastAsia"/>
              </w:rPr>
              <w:t>负责统筹资源与建立标准规范，保证产品上线</w:t>
            </w:r>
          </w:p>
        </w:tc>
        <w:tc>
          <w:tcPr>
            <w:tcW w:w="1065" w:type="dxa"/>
            <w:shd w:val="clear" w:color="auto" w:fill="auto"/>
            <w:noWrap/>
            <w:vAlign w:val="center"/>
          </w:tcPr>
          <w:p w14:paraId="40B2BC5C">
            <w:pPr>
              <w:widowControl/>
              <w:spacing w:line="240" w:lineRule="auto"/>
              <w:ind w:firstLine="0" w:firstLineChars="0"/>
              <w:jc w:val="center"/>
            </w:pPr>
            <w:r>
              <w:rPr>
                <w:rFonts w:hint="eastAsia"/>
              </w:rPr>
              <w:t>1人</w:t>
            </w:r>
          </w:p>
        </w:tc>
        <w:tc>
          <w:tcPr>
            <w:tcW w:w="2159" w:type="dxa"/>
            <w:vAlign w:val="center"/>
          </w:tcPr>
          <w:p w14:paraId="3D14BFFF">
            <w:pPr>
              <w:widowControl/>
              <w:spacing w:line="240" w:lineRule="auto"/>
              <w:ind w:firstLine="0" w:firstLineChars="0"/>
              <w:jc w:val="center"/>
            </w:pPr>
            <w:r>
              <w:rPr>
                <w:rFonts w:hint="eastAsia"/>
              </w:rPr>
              <w:t>本科及以上学历，具备信息化相关专业中级及以上职称</w:t>
            </w:r>
          </w:p>
        </w:tc>
        <w:tc>
          <w:tcPr>
            <w:tcW w:w="1478" w:type="dxa"/>
            <w:shd w:val="clear" w:color="auto" w:fill="auto"/>
            <w:noWrap/>
            <w:vAlign w:val="center"/>
          </w:tcPr>
          <w:p w14:paraId="36170417">
            <w:pPr>
              <w:widowControl/>
              <w:spacing w:line="240" w:lineRule="auto"/>
              <w:ind w:firstLine="0" w:firstLineChars="0"/>
              <w:jc w:val="center"/>
              <w:rPr>
                <w:rFonts w:hint="eastAsia"/>
              </w:rPr>
            </w:pPr>
            <w:r>
              <w:rPr>
                <w:rFonts w:hint="eastAsia"/>
              </w:rPr>
              <w:t>不驻场</w:t>
            </w:r>
          </w:p>
        </w:tc>
      </w:tr>
    </w:tbl>
    <w:p w14:paraId="700C489D">
      <w:r>
        <w:t>2）投标人应针对本项目提供不少于</w:t>
      </w:r>
      <w:r>
        <w:rPr>
          <w:rFonts w:hint="eastAsia"/>
          <w:lang w:val="en-US" w:eastAsia="zh-CN"/>
        </w:rPr>
        <w:t>3</w:t>
      </w:r>
      <w:r>
        <w:t>人的质保期间支撑团队（其中技术经理</w:t>
      </w:r>
      <w:r>
        <w:rPr>
          <w:rFonts w:hint="eastAsia"/>
          <w:lang w:val="en-US" w:eastAsia="zh-CN"/>
        </w:rPr>
        <w:t>1</w:t>
      </w:r>
      <w:r>
        <w:t>人，产品经理</w:t>
      </w:r>
      <w:r>
        <w:rPr>
          <w:rFonts w:hint="eastAsia"/>
          <w:lang w:val="en-US" w:eastAsia="zh-CN"/>
        </w:rPr>
        <w:t>1</w:t>
      </w:r>
      <w:r>
        <w:t>人，技术工程师不少于</w:t>
      </w:r>
      <w:r>
        <w:rPr>
          <w:rFonts w:hint="eastAsia"/>
          <w:lang w:val="en-US" w:eastAsia="zh-CN"/>
        </w:rPr>
        <w:t>1</w:t>
      </w:r>
      <w:r>
        <w:t>人）；投标人的相关服务人员需具备相应的服务能力，需提供相关证明（最近一个季度依法缴纳社保费的证明）。</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492"/>
        <w:gridCol w:w="1180"/>
        <w:gridCol w:w="2260"/>
        <w:gridCol w:w="1180"/>
      </w:tblGrid>
      <w:tr w14:paraId="06D20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5A99699E">
            <w:pPr>
              <w:widowControl/>
              <w:spacing w:line="240" w:lineRule="auto"/>
              <w:ind w:firstLine="0" w:firstLineChars="0"/>
              <w:jc w:val="center"/>
              <w:rPr>
                <w:b/>
              </w:rPr>
            </w:pPr>
            <w:r>
              <w:rPr>
                <w:rFonts w:hint="eastAsia"/>
                <w:b/>
              </w:rPr>
              <w:t>角色</w:t>
            </w:r>
          </w:p>
        </w:tc>
        <w:tc>
          <w:tcPr>
            <w:tcW w:w="0" w:type="auto"/>
            <w:shd w:val="clear" w:color="auto" w:fill="auto"/>
            <w:noWrap/>
            <w:vAlign w:val="center"/>
          </w:tcPr>
          <w:p w14:paraId="6AECBA7C">
            <w:pPr>
              <w:widowControl/>
              <w:spacing w:line="240" w:lineRule="auto"/>
              <w:ind w:firstLine="0" w:firstLineChars="0"/>
              <w:jc w:val="center"/>
              <w:rPr>
                <w:b/>
              </w:rPr>
            </w:pPr>
            <w:r>
              <w:rPr>
                <w:rFonts w:hint="eastAsia"/>
                <w:b/>
              </w:rPr>
              <w:t>主要职责</w:t>
            </w:r>
          </w:p>
        </w:tc>
        <w:tc>
          <w:tcPr>
            <w:tcW w:w="0" w:type="auto"/>
            <w:shd w:val="clear" w:color="auto" w:fill="auto"/>
            <w:noWrap/>
            <w:vAlign w:val="center"/>
          </w:tcPr>
          <w:p w14:paraId="1BD80730">
            <w:pPr>
              <w:widowControl/>
              <w:spacing w:line="240" w:lineRule="auto"/>
              <w:ind w:firstLine="0" w:firstLineChars="0"/>
              <w:jc w:val="center"/>
              <w:rPr>
                <w:b/>
              </w:rPr>
            </w:pPr>
            <w:r>
              <w:rPr>
                <w:rFonts w:hint="eastAsia"/>
                <w:b/>
              </w:rPr>
              <w:t>人员数量</w:t>
            </w:r>
          </w:p>
        </w:tc>
        <w:tc>
          <w:tcPr>
            <w:tcW w:w="0" w:type="auto"/>
            <w:vAlign w:val="center"/>
          </w:tcPr>
          <w:p w14:paraId="5744879D">
            <w:pPr>
              <w:widowControl/>
              <w:spacing w:line="240" w:lineRule="auto"/>
              <w:ind w:firstLine="0" w:firstLineChars="0"/>
              <w:jc w:val="center"/>
              <w:rPr>
                <w:b/>
              </w:rPr>
            </w:pPr>
            <w:r>
              <w:rPr>
                <w:rFonts w:hint="eastAsia"/>
                <w:b/>
              </w:rPr>
              <w:t>人员要求</w:t>
            </w:r>
          </w:p>
        </w:tc>
        <w:tc>
          <w:tcPr>
            <w:tcW w:w="0" w:type="auto"/>
            <w:shd w:val="clear" w:color="auto" w:fill="auto"/>
            <w:noWrap/>
            <w:vAlign w:val="center"/>
          </w:tcPr>
          <w:p w14:paraId="3190CC03">
            <w:pPr>
              <w:widowControl/>
              <w:spacing w:line="240" w:lineRule="auto"/>
              <w:ind w:firstLine="0" w:firstLineChars="0"/>
              <w:jc w:val="center"/>
              <w:rPr>
                <w:b/>
              </w:rPr>
            </w:pPr>
            <w:r>
              <w:rPr>
                <w:rFonts w:hint="eastAsia"/>
                <w:b/>
              </w:rPr>
              <w:t>驻场要求</w:t>
            </w:r>
          </w:p>
        </w:tc>
      </w:tr>
      <w:tr w14:paraId="10EEB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742814CC">
            <w:pPr>
              <w:widowControl/>
              <w:spacing w:line="240" w:lineRule="auto"/>
              <w:ind w:firstLine="0" w:firstLineChars="0"/>
              <w:jc w:val="both"/>
              <w:rPr>
                <w:rFonts w:hint="default" w:eastAsia="宋体"/>
                <w:lang w:val="en-US" w:eastAsia="zh-CN"/>
              </w:rPr>
            </w:pPr>
            <w:r>
              <w:rPr>
                <w:rFonts w:hint="eastAsia"/>
                <w:lang w:val="en-US" w:eastAsia="zh-CN"/>
              </w:rPr>
              <w:t>技术经理</w:t>
            </w:r>
          </w:p>
        </w:tc>
        <w:tc>
          <w:tcPr>
            <w:tcW w:w="0" w:type="auto"/>
            <w:shd w:val="clear" w:color="auto" w:fill="auto"/>
            <w:vAlign w:val="center"/>
          </w:tcPr>
          <w:p w14:paraId="7ED96D2E">
            <w:pPr>
              <w:widowControl/>
              <w:spacing w:line="240" w:lineRule="auto"/>
              <w:ind w:firstLine="0" w:firstLineChars="0"/>
              <w:jc w:val="center"/>
            </w:pPr>
            <w:r>
              <w:rPr>
                <w:rFonts w:hint="eastAsia"/>
              </w:rPr>
              <w:t>负责产品运维及应急保障工作</w:t>
            </w:r>
          </w:p>
        </w:tc>
        <w:tc>
          <w:tcPr>
            <w:tcW w:w="0" w:type="auto"/>
            <w:shd w:val="clear" w:color="auto" w:fill="auto"/>
            <w:noWrap/>
            <w:vAlign w:val="center"/>
          </w:tcPr>
          <w:p w14:paraId="349DE7A6">
            <w:pPr>
              <w:widowControl/>
              <w:spacing w:line="240" w:lineRule="auto"/>
              <w:ind w:firstLine="0" w:firstLineChars="0"/>
              <w:jc w:val="center"/>
            </w:pPr>
            <w:r>
              <w:rPr>
                <w:rFonts w:hint="eastAsia"/>
                <w:lang w:val="en-US" w:eastAsia="zh-CN"/>
              </w:rPr>
              <w:t>1</w:t>
            </w:r>
            <w:r>
              <w:rPr>
                <w:rFonts w:hint="eastAsia"/>
              </w:rPr>
              <w:t>人</w:t>
            </w:r>
          </w:p>
        </w:tc>
        <w:tc>
          <w:tcPr>
            <w:tcW w:w="0" w:type="auto"/>
            <w:vAlign w:val="center"/>
          </w:tcPr>
          <w:p w14:paraId="35565AF4">
            <w:pPr>
              <w:widowControl/>
              <w:spacing w:line="240" w:lineRule="auto"/>
              <w:ind w:firstLine="0" w:firstLineChars="0"/>
              <w:jc w:val="center"/>
            </w:pPr>
            <w:r>
              <w:rPr>
                <w:rFonts w:hint="eastAsia"/>
              </w:rPr>
              <w:t>本科及以上学历，具备信息化相关专业中级及以上职称</w:t>
            </w:r>
          </w:p>
        </w:tc>
        <w:tc>
          <w:tcPr>
            <w:tcW w:w="0" w:type="auto"/>
            <w:shd w:val="clear" w:color="auto" w:fill="auto"/>
            <w:noWrap/>
            <w:vAlign w:val="center"/>
          </w:tcPr>
          <w:p w14:paraId="2A4CCF55">
            <w:pPr>
              <w:widowControl/>
              <w:spacing w:line="240" w:lineRule="auto"/>
              <w:ind w:firstLine="0" w:firstLineChars="0"/>
              <w:jc w:val="center"/>
            </w:pPr>
            <w:r>
              <w:rPr>
                <w:rFonts w:hint="eastAsia"/>
              </w:rPr>
              <w:t>不驻场</w:t>
            </w:r>
          </w:p>
        </w:tc>
      </w:tr>
      <w:tr w14:paraId="7B2A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220F1970">
            <w:pPr>
              <w:widowControl/>
              <w:spacing w:line="240" w:lineRule="auto"/>
              <w:ind w:firstLine="0" w:firstLineChars="0"/>
              <w:jc w:val="center"/>
            </w:pPr>
            <w:r>
              <w:rPr>
                <w:rFonts w:hint="eastAsia"/>
              </w:rPr>
              <w:t>产品经理</w:t>
            </w:r>
          </w:p>
        </w:tc>
        <w:tc>
          <w:tcPr>
            <w:tcW w:w="0" w:type="auto"/>
            <w:shd w:val="clear" w:color="auto" w:fill="auto"/>
            <w:vAlign w:val="center"/>
          </w:tcPr>
          <w:p w14:paraId="54C9E7CE">
            <w:pPr>
              <w:widowControl/>
              <w:spacing w:line="240" w:lineRule="auto"/>
              <w:ind w:firstLine="0" w:firstLineChars="0"/>
              <w:jc w:val="center"/>
            </w:pPr>
            <w:r>
              <w:rPr>
                <w:rFonts w:hint="eastAsia"/>
              </w:rPr>
              <w:t>负责项目需求评估与产品设计</w:t>
            </w:r>
          </w:p>
        </w:tc>
        <w:tc>
          <w:tcPr>
            <w:tcW w:w="0" w:type="auto"/>
            <w:shd w:val="clear" w:color="auto" w:fill="auto"/>
            <w:noWrap/>
            <w:vAlign w:val="center"/>
          </w:tcPr>
          <w:p w14:paraId="1528C0DB">
            <w:pPr>
              <w:widowControl/>
              <w:spacing w:line="240" w:lineRule="auto"/>
              <w:ind w:firstLine="0" w:firstLineChars="0"/>
              <w:jc w:val="center"/>
            </w:pPr>
            <w:r>
              <w:rPr>
                <w:rFonts w:hint="eastAsia"/>
                <w:lang w:val="en-US" w:eastAsia="zh-CN"/>
              </w:rPr>
              <w:t>1</w:t>
            </w:r>
            <w:r>
              <w:rPr>
                <w:rFonts w:hint="eastAsia"/>
              </w:rPr>
              <w:t>人</w:t>
            </w:r>
          </w:p>
        </w:tc>
        <w:tc>
          <w:tcPr>
            <w:tcW w:w="0" w:type="auto"/>
            <w:vAlign w:val="center"/>
          </w:tcPr>
          <w:p w14:paraId="0E703880">
            <w:pPr>
              <w:widowControl/>
              <w:spacing w:line="240" w:lineRule="auto"/>
              <w:ind w:firstLine="0" w:firstLineChars="0"/>
              <w:jc w:val="center"/>
            </w:pPr>
            <w:r>
              <w:rPr>
                <w:rFonts w:hint="eastAsia"/>
              </w:rPr>
              <w:t>本科及以上学历</w:t>
            </w:r>
          </w:p>
        </w:tc>
        <w:tc>
          <w:tcPr>
            <w:tcW w:w="0" w:type="auto"/>
            <w:shd w:val="clear" w:color="auto" w:fill="auto"/>
            <w:noWrap/>
            <w:vAlign w:val="center"/>
          </w:tcPr>
          <w:p w14:paraId="29E59AFE">
            <w:pPr>
              <w:widowControl/>
              <w:spacing w:line="240" w:lineRule="auto"/>
              <w:ind w:firstLine="0" w:firstLineChars="0"/>
              <w:jc w:val="center"/>
            </w:pPr>
            <w:r>
              <w:rPr>
                <w:rFonts w:hint="eastAsia"/>
              </w:rPr>
              <w:t>不驻场</w:t>
            </w:r>
          </w:p>
        </w:tc>
      </w:tr>
      <w:tr w14:paraId="3F589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266C2AA1">
            <w:pPr>
              <w:widowControl/>
              <w:spacing w:line="240" w:lineRule="auto"/>
              <w:ind w:firstLine="0" w:firstLineChars="0"/>
              <w:jc w:val="center"/>
            </w:pPr>
            <w:r>
              <w:rPr>
                <w:rFonts w:hint="eastAsia"/>
              </w:rPr>
              <w:t>技术工程师</w:t>
            </w:r>
          </w:p>
        </w:tc>
        <w:tc>
          <w:tcPr>
            <w:tcW w:w="0" w:type="auto"/>
            <w:shd w:val="clear" w:color="auto" w:fill="auto"/>
            <w:noWrap/>
            <w:vAlign w:val="center"/>
          </w:tcPr>
          <w:p w14:paraId="7EDE06FA">
            <w:pPr>
              <w:widowControl/>
              <w:spacing w:line="240" w:lineRule="auto"/>
              <w:ind w:firstLine="0" w:firstLineChars="0"/>
              <w:jc w:val="center"/>
            </w:pPr>
            <w:r>
              <w:rPr>
                <w:rFonts w:hint="eastAsia"/>
              </w:rPr>
              <w:t>负责项目运行维护</w:t>
            </w:r>
          </w:p>
        </w:tc>
        <w:tc>
          <w:tcPr>
            <w:tcW w:w="0" w:type="auto"/>
            <w:shd w:val="clear" w:color="auto" w:fill="auto"/>
            <w:noWrap/>
            <w:vAlign w:val="center"/>
          </w:tcPr>
          <w:p w14:paraId="401A5BBA">
            <w:pPr>
              <w:widowControl/>
              <w:spacing w:line="240" w:lineRule="auto"/>
              <w:ind w:firstLine="0" w:firstLineChars="0"/>
              <w:jc w:val="center"/>
            </w:pPr>
            <w:r>
              <w:rPr>
                <w:rFonts w:hint="eastAsia"/>
                <w:lang w:val="en-US" w:eastAsia="zh-CN"/>
              </w:rPr>
              <w:t>1</w:t>
            </w:r>
            <w:r>
              <w:rPr>
                <w:rFonts w:hint="eastAsia"/>
              </w:rPr>
              <w:t>人</w:t>
            </w:r>
          </w:p>
        </w:tc>
        <w:tc>
          <w:tcPr>
            <w:tcW w:w="0" w:type="auto"/>
            <w:vAlign w:val="center"/>
          </w:tcPr>
          <w:p w14:paraId="6B150345">
            <w:pPr>
              <w:widowControl/>
              <w:spacing w:line="240" w:lineRule="auto"/>
              <w:ind w:firstLine="0" w:firstLineChars="0"/>
              <w:jc w:val="center"/>
            </w:pPr>
            <w:r>
              <w:rPr>
                <w:rFonts w:hint="eastAsia"/>
              </w:rPr>
              <w:t>本科及以上学历</w:t>
            </w:r>
          </w:p>
        </w:tc>
        <w:tc>
          <w:tcPr>
            <w:tcW w:w="0" w:type="auto"/>
            <w:shd w:val="clear" w:color="auto" w:fill="auto"/>
            <w:noWrap/>
            <w:vAlign w:val="center"/>
          </w:tcPr>
          <w:p w14:paraId="0B5DCD92">
            <w:pPr>
              <w:widowControl/>
              <w:spacing w:line="240" w:lineRule="auto"/>
              <w:ind w:firstLine="0" w:firstLineChars="0"/>
              <w:jc w:val="center"/>
            </w:pPr>
            <w:r>
              <w:rPr>
                <w:rFonts w:hint="eastAsia"/>
              </w:rPr>
              <w:t>不驻场</w:t>
            </w:r>
          </w:p>
        </w:tc>
      </w:tr>
    </w:tbl>
    <w:p w14:paraId="4C0CE51D">
      <w:pPr>
        <w:pStyle w:val="3"/>
        <w:ind w:left="15" w:leftChars="0" w:firstLine="465" w:firstLineChars="155"/>
      </w:pPr>
      <w:bookmarkStart w:id="32" w:name="_Toc63785511"/>
      <w:r>
        <w:t>等级保护要求</w:t>
      </w:r>
      <w:bookmarkEnd w:id="32"/>
    </w:p>
    <w:p w14:paraId="4B8A9B1F">
      <w:r>
        <w:t>本项目等级保护要求：</w:t>
      </w:r>
    </w:p>
    <w:p w14:paraId="42AF099F">
      <w:pPr>
        <w:ind w:firstLine="560"/>
        <w:rPr>
          <w:rFonts w:ascii="仿宋_GB2312" w:eastAsia="仿宋_GB2312" w:cs="仿宋_GB2312"/>
          <w:color w:val="000000"/>
          <w:kern w:val="0"/>
          <w:sz w:val="28"/>
          <w:szCs w:val="28"/>
        </w:rPr>
      </w:pPr>
      <w:r>
        <w:rPr>
          <w:rFonts w:hint="eastAsia" w:ascii="宋体" w:hAnsi="宋体" w:eastAsia="宋体" w:cs="Times New Roman"/>
        </w:rPr>
        <w:t>根据《信息系统安全等级保护基本要求》，通过定级、备案、整改、测评、检查等流程，对上海市水闸运行监督管理子系统系统进行评测整改，使其符合三级等保要求。</w:t>
      </w:r>
    </w:p>
    <w:p w14:paraId="5AEE1C4E">
      <w:pPr>
        <w:pStyle w:val="3"/>
        <w:ind w:left="15" w:leftChars="0" w:firstLine="465" w:firstLineChars="155"/>
      </w:pPr>
      <w:r>
        <w:rPr>
          <w:rFonts w:hint="eastAsia"/>
        </w:rPr>
        <w:t>商业密码应用需求</w:t>
      </w:r>
    </w:p>
    <w:p w14:paraId="28EF43FD">
      <w:pPr>
        <w:ind w:firstLine="560"/>
        <w:rPr>
          <w:rFonts w:hint="eastAsia" w:ascii="宋体" w:hAnsi="宋体" w:eastAsia="宋体" w:cs="Times New Roman"/>
        </w:rPr>
      </w:pPr>
      <w:r>
        <w:rPr>
          <w:rFonts w:hint="eastAsia" w:ascii="宋体" w:hAnsi="宋体" w:eastAsia="宋体" w:cs="Times New Roman"/>
        </w:rPr>
        <w:t>依据GB/T39786—2021《信息安全技术信息系统密码应用基本要求》，实现信息系统与商用密码应用的对接。本系统部署在市大数中心，物理机房基于指纹识别技术对进入人员进行身份鉴别，同时配备专人值守并进行登记，且采用视频监控系统进行实时监控，因此在物理和环境安全层面身份鉴别所涉及的安全风险相对可控，因此物理和环境安全暂不纳入本次密码应用改造范围。</w:t>
      </w:r>
    </w:p>
    <w:p w14:paraId="34527E72">
      <w:pPr>
        <w:pStyle w:val="3"/>
        <w:ind w:left="15" w:leftChars="0" w:firstLine="465" w:firstLineChars="155"/>
      </w:pPr>
      <w:bookmarkStart w:id="33" w:name="_Toc63785512"/>
      <w:r>
        <w:rPr>
          <w:rFonts w:hint="eastAsia"/>
        </w:rPr>
        <w:t>技术文件要求</w:t>
      </w:r>
    </w:p>
    <w:p w14:paraId="79B9091F">
      <w:r>
        <w:rPr>
          <w:rFonts w:hint="eastAsia"/>
        </w:rPr>
        <w:t>投标人提供的书面技术资料应能确保系统正常运行所需的管理、运营及维护有关的全套文件。技术文件应该全面、完整、详细。投标人提供的技术文件至少应包括：</w:t>
      </w:r>
    </w:p>
    <w:p w14:paraId="405AF600">
      <w:pPr>
        <w:rPr>
          <w:rFonts w:hint="eastAsia" w:ascii="宋体" w:hAnsi="宋体" w:eastAsia="宋体" w:cs="Times New Roman"/>
        </w:rPr>
      </w:pPr>
      <w:r>
        <w:rPr>
          <w:rFonts w:hint="eastAsia" w:ascii="宋体" w:hAnsi="宋体" w:eastAsia="宋体" w:cs="Times New Roman"/>
        </w:rPr>
        <w:t>1）软件系统平台说明书；</w:t>
      </w:r>
    </w:p>
    <w:p w14:paraId="4663A8DF">
      <w:pPr>
        <w:rPr>
          <w:rFonts w:hint="eastAsia" w:ascii="宋体" w:hAnsi="宋体" w:eastAsia="宋体" w:cs="Times New Roman"/>
        </w:rPr>
      </w:pPr>
      <w:r>
        <w:rPr>
          <w:rFonts w:hint="eastAsia" w:ascii="宋体" w:hAnsi="宋体" w:eastAsia="宋体" w:cs="Times New Roman"/>
        </w:rPr>
        <w:t>2）产品开发技术文档；</w:t>
      </w:r>
    </w:p>
    <w:p w14:paraId="3170C721">
      <w:pPr>
        <w:rPr>
          <w:rFonts w:hint="eastAsia" w:ascii="宋体" w:hAnsi="宋体" w:eastAsia="宋体" w:cs="Times New Roman"/>
        </w:rPr>
      </w:pPr>
      <w:r>
        <w:rPr>
          <w:rFonts w:hint="eastAsia" w:ascii="宋体" w:hAnsi="宋体" w:eastAsia="宋体" w:cs="Times New Roman"/>
        </w:rPr>
        <w:t>3）系统详细设计说明书；</w:t>
      </w:r>
    </w:p>
    <w:p w14:paraId="55479922">
      <w:pPr>
        <w:rPr>
          <w:rFonts w:hint="eastAsia" w:ascii="宋体" w:hAnsi="宋体" w:eastAsia="宋体" w:cs="Times New Roman"/>
        </w:rPr>
      </w:pPr>
      <w:r>
        <w:rPr>
          <w:rFonts w:hint="eastAsia" w:ascii="宋体" w:hAnsi="宋体" w:eastAsia="宋体" w:cs="Times New Roman"/>
        </w:rPr>
        <w:t>4）系统操作说明书；</w:t>
      </w:r>
    </w:p>
    <w:p w14:paraId="13FCEAB3">
      <w:pPr>
        <w:rPr>
          <w:rFonts w:hint="eastAsia" w:ascii="宋体" w:hAnsi="宋体" w:eastAsia="宋体" w:cs="Times New Roman"/>
        </w:rPr>
      </w:pPr>
      <w:r>
        <w:rPr>
          <w:rFonts w:hint="eastAsia" w:ascii="宋体" w:hAnsi="宋体" w:eastAsia="宋体" w:cs="Times New Roman"/>
        </w:rPr>
        <w:t>5）系统测试报告；</w:t>
      </w:r>
    </w:p>
    <w:p w14:paraId="1A756748">
      <w:pPr>
        <w:rPr>
          <w:rFonts w:hint="eastAsia" w:ascii="宋体" w:hAnsi="宋体" w:eastAsia="宋体" w:cs="Times New Roman"/>
        </w:rPr>
      </w:pPr>
      <w:r>
        <w:rPr>
          <w:rFonts w:hint="eastAsia" w:ascii="宋体" w:hAnsi="宋体" w:eastAsia="宋体" w:cs="Times New Roman"/>
        </w:rPr>
        <w:t>6）系统安装部署手册；</w:t>
      </w:r>
    </w:p>
    <w:p w14:paraId="4B940A97">
      <w:pPr>
        <w:rPr>
          <w:rFonts w:hint="eastAsia" w:ascii="宋体" w:hAnsi="宋体" w:eastAsia="宋体" w:cs="Times New Roman"/>
        </w:rPr>
      </w:pPr>
      <w:r>
        <w:rPr>
          <w:rFonts w:hint="eastAsia" w:ascii="宋体" w:hAnsi="宋体" w:eastAsia="宋体" w:cs="Times New Roman"/>
        </w:rPr>
        <w:t>7）项目总结报告；</w:t>
      </w:r>
    </w:p>
    <w:p w14:paraId="2E84451A">
      <w:pPr>
        <w:rPr>
          <w:rFonts w:hint="eastAsia" w:ascii="宋体" w:hAnsi="宋体" w:eastAsia="宋体" w:cs="Times New Roman"/>
        </w:rPr>
      </w:pPr>
      <w:r>
        <w:rPr>
          <w:rFonts w:hint="eastAsia" w:ascii="宋体" w:hAnsi="宋体" w:eastAsia="宋体" w:cs="Times New Roman"/>
        </w:rPr>
        <w:t>提供全套技术文件纸介质3套以及电子文件1套。</w:t>
      </w:r>
      <w:bookmarkEnd w:id="33"/>
      <w:bookmarkStart w:id="34" w:name="_GoBack"/>
      <w:bookmarkEnd w:id="34"/>
    </w:p>
    <w:sectPr>
      <w:footerReference r:id="rId5"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88"/>
    <w:family w:val="moder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00D11">
    <w:pPr>
      <w:ind w:firstLine="0" w:firstLineChars="0"/>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4274260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5F4449"/>
    <w:multiLevelType w:val="multilevel"/>
    <w:tmpl w:val="565F4449"/>
    <w:lvl w:ilvl="0" w:tentative="0">
      <w:start w:val="1"/>
      <w:numFmt w:val="decimalEnclosedCircleChinese"/>
      <w:suff w:val="space"/>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isLgl/>
      <w:suff w:val="nothing"/>
      <w:lvlText w:val="%1.%2.%3、"/>
      <w:lvlJc w:val="left"/>
      <w:pPr>
        <w:ind w:left="1069" w:hanging="1069"/>
      </w:pPr>
      <w:rPr>
        <w:rFonts w:hint="default" w:ascii="宋体" w:hAnsi="宋体" w:eastAsia="宋体" w:cs="Arial"/>
      </w:rPr>
    </w:lvl>
    <w:lvl w:ilvl="3" w:tentative="0">
      <w:start w:val="1"/>
      <w:numFmt w:val="decimal"/>
      <w:isLgl/>
      <w:suff w:val="nothing"/>
      <w:lvlText w:val="%1.%2.%3.%4、"/>
      <w:lvlJc w:val="left"/>
      <w:pPr>
        <w:ind w:left="3403" w:hanging="851"/>
      </w:p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M2NmOWViMzgzYjA3YmI3NTY5ZWFiNzdiOWNiZTEifQ=="/>
  </w:docVars>
  <w:rsids>
    <w:rsidRoot w:val="00000000"/>
    <w:rsid w:val="068362A7"/>
    <w:rsid w:val="0E2C514F"/>
    <w:rsid w:val="23EE6B06"/>
    <w:rsid w:val="36883F94"/>
    <w:rsid w:val="3DDF37F6"/>
    <w:rsid w:val="3EF7C86B"/>
    <w:rsid w:val="3EFD80E0"/>
    <w:rsid w:val="645D785C"/>
    <w:rsid w:val="6A3A657B"/>
    <w:rsid w:val="AFFE5C29"/>
    <w:rsid w:val="FCFFEFAD"/>
    <w:rsid w:val="FDF35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qFormat/>
    <w:uiPriority w:val="9"/>
    <w:pPr>
      <w:keepNext/>
      <w:keepLines/>
      <w:numPr>
        <w:ilvl w:val="1"/>
        <w:numId w:val="1"/>
      </w:numPr>
      <w:spacing w:before="120" w:after="120"/>
      <w:ind w:firstLine="0" w:firstLineChars="0"/>
      <w:outlineLvl w:val="1"/>
    </w:pPr>
    <w:rPr>
      <w:b/>
      <w:bCs/>
      <w:sz w:val="30"/>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ind w:firstLine="200" w:firstLineChars="200"/>
      <w:jc w:val="both"/>
    </w:pPr>
    <w:rPr>
      <w:rFonts w:ascii="宋体" w:hAnsi="宋体" w:cs="宋体"/>
      <w:szCs w:val="24"/>
      <w:lang w:val="zh-CN"/>
    </w:rPr>
  </w:style>
  <w:style w:type="paragraph" w:styleId="5">
    <w:name w:val="header"/>
    <w:basedOn w:val="1"/>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table" w:styleId="7">
    <w:name w:val="Table Grid"/>
    <w:basedOn w:val="6"/>
    <w:qFormat/>
    <w:uiPriority w:val="3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9">
    <w:name w:val="正文缩进1"/>
    <w:basedOn w:val="1"/>
    <w:autoRedefine/>
    <w:qFormat/>
    <w:uiPriority w:val="0"/>
    <w:pPr>
      <w:spacing w:line="240" w:lineRule="auto"/>
      <w:ind w:firstLine="420"/>
    </w:pPr>
    <w:rPr>
      <w:rFonts w:ascii="Times New Roman" w:hAnsi="Times New Roman"/>
      <w:sz w:val="21"/>
      <w:szCs w:val="20"/>
    </w:rPr>
  </w:style>
  <w:style w:type="paragraph" w:customStyle="1" w:styleId="10">
    <w:name w:val="正文正文2"/>
    <w:basedOn w:val="1"/>
    <w:autoRedefine/>
    <w:qFormat/>
    <w:uiPriority w:val="0"/>
    <w:pPr>
      <w:ind w:firstLine="460"/>
    </w:pPr>
    <w:rPr>
      <w:sz w:val="21"/>
      <w:szCs w:val="21"/>
    </w:rPr>
  </w:style>
  <w:style w:type="paragraph" w:customStyle="1" w:styleId="11">
    <w:name w:val="B-表正文"/>
    <w:qFormat/>
    <w:uiPriority w:val="0"/>
    <w:rPr>
      <w:rFonts w:ascii="Times New Roman" w:hAnsi="Times New Roman" w:eastAsia="仿宋"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7550</Words>
  <Characters>7654</Characters>
  <Lines>0</Lines>
  <Paragraphs>0</Paragraphs>
  <TotalTime>1</TotalTime>
  <ScaleCrop>false</ScaleCrop>
  <LinksUpToDate>false</LinksUpToDate>
  <CharactersWithSpaces>7655</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2024-05-14T07:04:00Z</dcterms:created>
  <dc:creator>user</dc:creator>
  <cp:lastModifiedBy>乐乐乐</cp:lastModifiedBy>
  <dcterms:modified xsi:type="dcterms:W3CDTF">2025-03-18T09:11:20Z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C7773CC513E7BA74A882D767AC4F4EAE_43</vt:lpwstr>
  </property>
  <property fmtid="{D5CDD505-2E9C-101B-9397-08002B2CF9AE}" pid="4" name="KSOTemplateDocerSaveRecord">
    <vt:lpwstr>eyJoZGlkIjoiOGE2ZWQwNjQzYmJiNDUzNTI4NDhkMDhiMDM2ZTk2MTIiLCJ1c2VySWQiOiIyMTYwOTEyNzMifQ==</vt:lpwstr>
  </property>
</Properties>
</file>