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08F05">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上海大学实验室家具采购需求</w:t>
      </w:r>
    </w:p>
    <w:p w14:paraId="2583AE12">
      <w:pPr>
        <w:numPr>
          <w:ilvl w:val="0"/>
          <w:numId w:val="3"/>
        </w:numPr>
        <w:spacing w:line="360" w:lineRule="auto"/>
        <w:ind w:left="442" w:firstLine="255"/>
        <w:outlineLvl w:val="0"/>
        <w:rPr>
          <w:rFonts w:ascii="微软雅黑" w:hAnsi="微软雅黑" w:eastAsia="微软雅黑" w:cs="微软雅黑"/>
          <w:b/>
          <w:bCs/>
          <w:szCs w:val="21"/>
        </w:rPr>
      </w:pPr>
      <w:r>
        <w:rPr>
          <w:rFonts w:hint="eastAsia" w:ascii="微软雅黑" w:hAnsi="微软雅黑" w:eastAsia="微软雅黑" w:cs="微软雅黑"/>
          <w:b/>
          <w:bCs/>
          <w:szCs w:val="21"/>
        </w:rPr>
        <w:t>项目背景情况</w:t>
      </w:r>
    </w:p>
    <w:p w14:paraId="29514392">
      <w:pPr>
        <w:spacing w:line="360"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项目为上海大学医学院宝山校区医学实验教学综合楼中的基础医学科研实验中心建设项目。基础医学科研实验中心建筑面积为173871.8平方米，地下一层、地上七层，包括药物研究实验用房，医用机器人研发实验用房，系统生物学实验用房，智能医学检验实验用房，智能医学院影像用房等5个实验教学平台。</w:t>
      </w:r>
    </w:p>
    <w:p w14:paraId="1C4596B4">
      <w:pPr>
        <w:spacing w:line="360"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上海大学生物医工实验平台旨在建设国内一流的示范性生物医工多学科交叉平台，以支撑上海大学医学学科建设及医学相关学科的交叉融合。平台的建成填补了上海大学在生物医工方向缺乏大型科研教学平台的空白，并可与生命科学、材料科学、计算科学及其他工科学科的教研平台形成互补与支撑，共同助力上海大学高水平医学学科建设。该实验平台服务全校相关学科需求，实现大型仪器的资源共享，支撑生物医工实验与基础科研及教学工作，包括药物研究实验用房，医用机器人研发实验用房，系统生物学实验用房，智能医学检验实验用房，智能医学院影像用房等5个科研教学子平台。</w:t>
      </w:r>
    </w:p>
    <w:p w14:paraId="242EC38E">
      <w:pPr>
        <w:numPr>
          <w:ilvl w:val="0"/>
          <w:numId w:val="3"/>
        </w:numPr>
        <w:spacing w:line="360" w:lineRule="auto"/>
        <w:ind w:left="442" w:firstLine="255"/>
        <w:outlineLvl w:val="0"/>
        <w:rPr>
          <w:rFonts w:ascii="微软雅黑" w:hAnsi="微软雅黑" w:eastAsia="微软雅黑" w:cs="微软雅黑"/>
          <w:b/>
          <w:bCs/>
          <w:szCs w:val="21"/>
        </w:rPr>
      </w:pPr>
      <w:r>
        <w:rPr>
          <w:rFonts w:hint="eastAsia" w:ascii="微软雅黑" w:hAnsi="微软雅黑" w:eastAsia="微软雅黑" w:cs="微软雅黑"/>
          <w:b/>
          <w:bCs/>
          <w:szCs w:val="21"/>
        </w:rPr>
        <w:t>需执行的国家相关标准、行业标准或其他标准、规范：</w:t>
      </w:r>
    </w:p>
    <w:p w14:paraId="44B8333A">
      <w:pPr>
        <w:pStyle w:val="8"/>
        <w:ind w:left="0" w:leftChars="0" w:firstLine="422" w:firstLineChars="200"/>
        <w:rPr>
          <w:rFonts w:ascii="宋体" w:hAnsi="宋体" w:eastAsia="宋体" w:cs="宋体"/>
          <w:b/>
          <w:bCs/>
          <w:sz w:val="21"/>
          <w:szCs w:val="21"/>
        </w:rPr>
      </w:pPr>
      <w:r>
        <w:rPr>
          <w:rFonts w:hint="eastAsia" w:ascii="宋体" w:hAnsi="宋体" w:eastAsia="宋体" w:cs="宋体"/>
          <w:b/>
          <w:bCs/>
          <w:sz w:val="21"/>
          <w:szCs w:val="21"/>
        </w:rPr>
        <w:t>（一）强制性标准</w:t>
      </w:r>
    </w:p>
    <w:p w14:paraId="75ECCA65">
      <w:pPr>
        <w:pStyle w:val="8"/>
        <w:ind w:left="0" w:leftChars="0" w:firstLine="420" w:firstLineChars="200"/>
        <w:rPr>
          <w:rFonts w:ascii="宋体" w:hAnsi="宋体" w:eastAsia="宋体" w:cs="宋体"/>
          <w:sz w:val="21"/>
          <w:szCs w:val="21"/>
        </w:rPr>
      </w:pPr>
      <w:r>
        <w:rPr>
          <w:rFonts w:ascii="宋体" w:hAnsi="宋体" w:eastAsia="宋体" w:cs="宋体"/>
          <w:sz w:val="21"/>
          <w:szCs w:val="21"/>
        </w:rPr>
        <w:t>GB 18584-2024《家具中有害物质限量》（强制标准，2025年7月1日实施）</w:t>
      </w:r>
    </w:p>
    <w:p w14:paraId="6F15716F">
      <w:pPr>
        <w:pStyle w:val="8"/>
        <w:ind w:left="0" w:leftChars="0" w:firstLine="420" w:firstLineChars="200"/>
        <w:rPr>
          <w:rFonts w:ascii="宋体" w:hAnsi="宋体" w:eastAsia="宋体" w:cs="宋体"/>
          <w:sz w:val="21"/>
          <w:szCs w:val="21"/>
        </w:rPr>
      </w:pPr>
      <w:r>
        <w:rPr>
          <w:rFonts w:ascii="宋体" w:hAnsi="宋体" w:eastAsia="宋体" w:cs="宋体"/>
          <w:sz w:val="21"/>
          <w:szCs w:val="21"/>
        </w:rPr>
        <w:t>GB 28008-2024《家具结构安全技术规范》（强制标准，2025年7月1日实施）</w:t>
      </w:r>
    </w:p>
    <w:p w14:paraId="4D4E7BF3">
      <w:pPr>
        <w:pStyle w:val="8"/>
        <w:ind w:left="0" w:leftChars="0" w:firstLine="420" w:firstLineChars="200"/>
        <w:rPr>
          <w:rFonts w:ascii="宋体" w:hAnsi="宋体" w:eastAsia="宋体" w:cs="宋体"/>
        </w:rPr>
      </w:pPr>
      <w:r>
        <w:rPr>
          <w:rFonts w:ascii="宋体" w:hAnsi="宋体" w:eastAsia="宋体" w:cs="宋体"/>
          <w:sz w:val="21"/>
          <w:szCs w:val="21"/>
        </w:rPr>
        <w:t>GB 17927-2024《家具阻燃性能安全技术规范》（强制标准，2025年9月1日实施）</w:t>
      </w:r>
    </w:p>
    <w:p w14:paraId="743C32A4">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18583-2008 《室内装饰装修材料 胶粘剂中有害物质限量》；</w:t>
      </w:r>
    </w:p>
    <w:p w14:paraId="3B0E9265">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6566-2010 《建筑材料放射性核素限量》；</w:t>
      </w:r>
    </w:p>
    <w:p w14:paraId="12B84ACA">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18584-2001《室内装饰装修材料木家具中有害物质限量》；</w:t>
      </w:r>
    </w:p>
    <w:p w14:paraId="3127901C">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18580-2017 《室内装饰装修材料人造板及其制品中甲醛释放限量》；</w:t>
      </w:r>
    </w:p>
    <w:p w14:paraId="2D24C8F6">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18581-2020《木器涂料中有害物质限量》；</w:t>
      </w:r>
    </w:p>
    <w:p w14:paraId="16B62362">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18581-2009《室内装饰装修材料溶剂型木器涂料中有害物质限量》；</w:t>
      </w:r>
    </w:p>
    <w:p w14:paraId="6422B52C">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18401-2010《国家纺织产品基本安全技术规范》；</w:t>
      </w:r>
    </w:p>
    <w:p w14:paraId="2A1EA0AC">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 16799-2018《家具用皮革》；</w:t>
      </w:r>
    </w:p>
    <w:p w14:paraId="14D8C98E">
      <w:pPr>
        <w:pStyle w:val="8"/>
        <w:ind w:left="0" w:leftChars="0" w:firstLine="422" w:firstLineChars="200"/>
        <w:rPr>
          <w:rFonts w:ascii="宋体" w:hAnsi="宋体" w:eastAsia="宋体" w:cs="宋体"/>
          <w:b/>
          <w:bCs/>
          <w:sz w:val="21"/>
          <w:szCs w:val="21"/>
        </w:rPr>
      </w:pPr>
      <w:bookmarkStart w:id="0" w:name="_Toc16007"/>
      <w:bookmarkStart w:id="1" w:name="_Toc227555682"/>
      <w:bookmarkStart w:id="2" w:name="_Toc25730_WPSOffice_Level2"/>
      <w:r>
        <w:rPr>
          <w:rFonts w:hint="eastAsia" w:ascii="宋体" w:hAnsi="宋体" w:eastAsia="宋体" w:cs="宋体"/>
          <w:b/>
          <w:bCs/>
          <w:sz w:val="21"/>
          <w:szCs w:val="21"/>
        </w:rPr>
        <w:t>（二）质量及技术标准</w:t>
      </w:r>
      <w:bookmarkEnd w:id="0"/>
      <w:bookmarkEnd w:id="1"/>
      <w:bookmarkEnd w:id="2"/>
    </w:p>
    <w:p w14:paraId="03EDF1E9">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重要标准：</w:t>
      </w:r>
    </w:p>
    <w:p w14:paraId="15446B56">
      <w:pPr>
        <w:pStyle w:val="8"/>
        <w:ind w:left="0" w:leftChars="0" w:firstLine="420" w:firstLineChars="200"/>
        <w:rPr>
          <w:rFonts w:ascii="宋体" w:hAnsi="宋体" w:eastAsia="宋体" w:cs="宋体"/>
          <w:sz w:val="21"/>
          <w:szCs w:val="21"/>
        </w:rPr>
      </w:pPr>
      <w:r>
        <w:rPr>
          <w:rFonts w:ascii="宋体" w:hAnsi="宋体" w:eastAsia="宋体" w:cs="宋体"/>
          <w:sz w:val="21"/>
          <w:szCs w:val="21"/>
        </w:rPr>
        <w:t>GB/T 35607-2024《绿色产品评价家具》；</w:t>
      </w:r>
    </w:p>
    <w:p w14:paraId="5214ED3B">
      <w:pPr>
        <w:pStyle w:val="8"/>
        <w:ind w:left="0" w:leftChars="0" w:firstLine="420" w:firstLineChars="200"/>
        <w:rPr>
          <w:rFonts w:ascii="宋体" w:hAnsi="宋体" w:eastAsia="宋体" w:cs="宋体"/>
          <w:sz w:val="21"/>
          <w:szCs w:val="21"/>
        </w:rPr>
      </w:pPr>
      <w:r>
        <w:rPr>
          <w:rFonts w:ascii="宋体" w:hAnsi="宋体" w:eastAsia="宋体" w:cs="宋体"/>
          <w:sz w:val="21"/>
          <w:szCs w:val="21"/>
        </w:rPr>
        <w:t>GB/T 3325-2024《金属家具通用技术条件》；</w:t>
      </w:r>
    </w:p>
    <w:p w14:paraId="22E41BB5">
      <w:pPr>
        <w:pStyle w:val="8"/>
        <w:ind w:left="0" w:leftChars="0" w:firstLine="420" w:firstLineChars="200"/>
        <w:rPr>
          <w:rFonts w:ascii="宋体" w:hAnsi="宋体" w:eastAsia="宋体" w:cs="宋体"/>
          <w:sz w:val="21"/>
          <w:szCs w:val="21"/>
        </w:rPr>
      </w:pPr>
      <w:r>
        <w:rPr>
          <w:rFonts w:ascii="宋体" w:hAnsi="宋体" w:eastAsia="宋体" w:cs="宋体"/>
          <w:sz w:val="21"/>
          <w:szCs w:val="21"/>
        </w:rPr>
        <w:t>GB/T 3324-2024《木家具通用技术条件》；</w:t>
      </w:r>
    </w:p>
    <w:p w14:paraId="6BE4931D">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其他标准：</w:t>
      </w:r>
    </w:p>
    <w:p w14:paraId="2EFAD304">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GB/T 15102-2017《浸渍胶膜纸饰面纤维板和刨花板》；</w:t>
      </w:r>
    </w:p>
    <w:p w14:paraId="7C7DE349">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GB/T 29525-2013《座椅升降气弹簧技术条件》；</w:t>
      </w:r>
    </w:p>
    <w:p w14:paraId="01937DE3">
      <w:pPr>
        <w:pStyle w:val="8"/>
        <w:ind w:left="0" w:leftChars="0" w:firstLine="420" w:firstLineChars="200"/>
        <w:rPr>
          <w:rFonts w:ascii="宋体" w:hAnsi="宋体" w:eastAsia="宋体" w:cs="宋体"/>
          <w:sz w:val="21"/>
          <w:szCs w:val="21"/>
        </w:rPr>
      </w:pPr>
      <w:r>
        <w:rPr>
          <w:rFonts w:ascii="宋体" w:hAnsi="宋体" w:eastAsia="宋体" w:cs="宋体"/>
          <w:sz w:val="21"/>
          <w:szCs w:val="21"/>
        </w:rPr>
        <w:t>GB/T 10802-2023《通用软质聚氨酯泡沫塑料》；</w:t>
      </w:r>
    </w:p>
    <w:p w14:paraId="43A10CD5">
      <w:pPr>
        <w:pStyle w:val="8"/>
        <w:ind w:left="0" w:leftChars="0" w:firstLine="420" w:firstLineChars="200"/>
        <w:rPr>
          <w:rFonts w:ascii="宋体" w:hAnsi="宋体" w:eastAsia="宋体" w:cs="宋体"/>
          <w:sz w:val="21"/>
          <w:szCs w:val="21"/>
        </w:rPr>
      </w:pPr>
      <w:r>
        <w:rPr>
          <w:rFonts w:ascii="宋体" w:hAnsi="宋体" w:eastAsia="宋体" w:cs="宋体"/>
          <w:sz w:val="21"/>
          <w:szCs w:val="21"/>
        </w:rPr>
        <w:t>GB/T 35601-2024《绿色产品评价</w:t>
      </w:r>
      <w:r>
        <w:rPr>
          <w:rFonts w:hint="eastAsia" w:ascii="宋体" w:hAnsi="宋体" w:eastAsia="宋体" w:cs="宋体"/>
          <w:sz w:val="21"/>
          <w:szCs w:val="21"/>
        </w:rPr>
        <w:t>人造板和木质地板》；</w:t>
      </w:r>
    </w:p>
    <w:p w14:paraId="45C3227C">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QB/T 2189-2013《家具五金杯状暗铰链》；</w:t>
      </w:r>
    </w:p>
    <w:p w14:paraId="047E843C">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GB/T 11718-2021 《中密度纤维板》；</w:t>
      </w:r>
    </w:p>
    <w:p w14:paraId="681766E9">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QB/T 1621-2015 《家具锁》；</w:t>
      </w:r>
    </w:p>
    <w:p w14:paraId="5E78962E">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GB/T 2454-2013 《家具五金抽屉导轨》；</w:t>
      </w:r>
    </w:p>
    <w:p w14:paraId="679F0116">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GB/T 4765-2014 《家具用脚轮》；</w:t>
      </w:r>
    </w:p>
    <w:p w14:paraId="7B50A2C2">
      <w:pPr>
        <w:pStyle w:val="8"/>
        <w:ind w:left="0" w:leftChars="0" w:firstLine="420" w:firstLineChars="200"/>
        <w:rPr>
          <w:rFonts w:ascii="宋体" w:hAnsi="宋体" w:eastAsia="宋体" w:cs="宋体"/>
          <w:sz w:val="21"/>
          <w:szCs w:val="21"/>
        </w:rPr>
      </w:pPr>
      <w:r>
        <w:rPr>
          <w:rFonts w:hint="eastAsia" w:ascii="宋体" w:hAnsi="宋体" w:eastAsia="宋体" w:cs="宋体"/>
          <w:sz w:val="21"/>
          <w:szCs w:val="21"/>
        </w:rPr>
        <w:t>QB/T 2280-2016《办公家具办公椅》；</w:t>
      </w:r>
    </w:p>
    <w:p w14:paraId="6411CE59">
      <w:pPr>
        <w:pStyle w:val="8"/>
        <w:ind w:left="0" w:leftChars="0" w:firstLine="420" w:firstLineChars="200"/>
        <w:rPr>
          <w:rFonts w:ascii="宋体" w:hAnsi="宋体" w:eastAsia="宋体" w:cs="宋体"/>
          <w:sz w:val="21"/>
          <w:szCs w:val="21"/>
        </w:rPr>
      </w:pPr>
      <w:r>
        <w:rPr>
          <w:rFonts w:ascii="宋体" w:hAnsi="宋体" w:eastAsia="宋体" w:cs="宋体"/>
          <w:sz w:val="21"/>
          <w:szCs w:val="21"/>
        </w:rPr>
        <w:t>QB/T 1952.1-2023《软体家具</w:t>
      </w:r>
      <w:r>
        <w:rPr>
          <w:rFonts w:hint="eastAsia" w:ascii="宋体" w:hAnsi="宋体" w:eastAsia="宋体" w:cs="宋体"/>
          <w:sz w:val="21"/>
          <w:szCs w:val="21"/>
        </w:rPr>
        <w:t>沙发》。</w:t>
      </w:r>
    </w:p>
    <w:p w14:paraId="474146F9">
      <w:pPr>
        <w:pStyle w:val="8"/>
        <w:ind w:left="0" w:leftChars="0" w:firstLine="482" w:firstLineChars="200"/>
        <w:rPr>
          <w:rFonts w:ascii="宋体" w:hAnsi="宋体" w:eastAsia="宋体" w:cs="宋体"/>
          <w:sz w:val="21"/>
          <w:szCs w:val="21"/>
        </w:rPr>
      </w:pPr>
      <w:r>
        <w:rPr>
          <w:rFonts w:hint="eastAsia" w:ascii="宋体" w:hAnsi="宋体" w:eastAsia="宋体" w:cs="宋体"/>
          <w:b/>
          <w:bCs/>
        </w:rPr>
        <w:t>及其他与本次采购的家具相关的现行最新标准；采购需求内所涉及到的标准若与现行标准冲突，均以现行的最新版本为准。</w:t>
      </w:r>
    </w:p>
    <w:p w14:paraId="72FC9179">
      <w:pPr>
        <w:widowControl/>
        <w:jc w:val="left"/>
        <w:rPr>
          <w:rFonts w:ascii="微软雅黑" w:hAnsi="微软雅黑" w:eastAsia="微软雅黑" w:cs="微软雅黑"/>
          <w:szCs w:val="21"/>
          <w14:ligatures w14:val="none"/>
        </w:rPr>
      </w:pPr>
      <w:r>
        <w:rPr>
          <w:rFonts w:hint="eastAsia" w:ascii="微软雅黑" w:hAnsi="微软雅黑" w:eastAsia="微软雅黑" w:cs="微软雅黑"/>
          <w:szCs w:val="21"/>
          <w14:ligatures w14:val="none"/>
        </w:rPr>
        <w:br w:type="page"/>
      </w:r>
    </w:p>
    <w:p w14:paraId="07004AFE">
      <w:pPr>
        <w:spacing w:line="360" w:lineRule="auto"/>
        <w:outlineLvl w:val="0"/>
        <w:rPr>
          <w:rFonts w:ascii="微软雅黑" w:hAnsi="微软雅黑" w:eastAsia="微软雅黑" w:cs="微软雅黑"/>
          <w:b/>
          <w:bCs/>
          <w:szCs w:val="21"/>
        </w:rPr>
      </w:pPr>
      <w:r>
        <w:rPr>
          <w:rFonts w:hint="eastAsia" w:ascii="微软雅黑" w:hAnsi="微软雅黑" w:eastAsia="微软雅黑" w:cs="微软雅黑"/>
          <w:b/>
          <w:bCs/>
          <w:szCs w:val="21"/>
        </w:rPr>
        <w:t>三、空间设计要求：</w:t>
      </w:r>
    </w:p>
    <w:p w14:paraId="4B59B983">
      <w:pPr>
        <w:pStyle w:val="7"/>
        <w:ind w:left="0"/>
        <w:rPr>
          <w:rFonts w:ascii="微软雅黑" w:hAnsi="微软雅黑" w:eastAsia="微软雅黑" w:cs="微软雅黑"/>
          <w:b/>
          <w:bCs/>
          <w:spacing w:val="-6"/>
          <w:sz w:val="22"/>
          <w:szCs w:val="22"/>
        </w:rPr>
      </w:pPr>
      <w:r>
        <w:rPr>
          <w:rFonts w:hint="eastAsia" w:ascii="微软雅黑" w:hAnsi="微软雅黑" w:eastAsia="微软雅黑" w:cs="微软雅黑"/>
          <w:b/>
          <w:bCs/>
          <w:sz w:val="22"/>
          <w:szCs w:val="22"/>
        </w:rPr>
        <w:t>按提供的如下平面图做出</w:t>
      </w:r>
      <w:r>
        <w:rPr>
          <w:rFonts w:hint="eastAsia" w:ascii="微软雅黑" w:hAnsi="微软雅黑" w:eastAsia="微软雅黑" w:cs="微软雅黑"/>
          <w:b/>
          <w:bCs/>
          <w:spacing w:val="-3"/>
          <w:sz w:val="22"/>
          <w:szCs w:val="22"/>
        </w:rPr>
        <w:t>实验室</w:t>
      </w:r>
      <w:r>
        <w:rPr>
          <w:rFonts w:hint="eastAsia" w:ascii="微软雅黑" w:hAnsi="微软雅黑" w:eastAsia="微软雅黑" w:cs="微软雅黑"/>
          <w:b/>
          <w:bCs/>
          <w:spacing w:val="-1"/>
          <w:sz w:val="22"/>
          <w:szCs w:val="22"/>
        </w:rPr>
        <w:t>空间布局图与实验室家具配</w:t>
      </w:r>
      <w:r>
        <w:rPr>
          <w:rFonts w:hint="eastAsia" w:ascii="微软雅黑" w:hAnsi="微软雅黑" w:eastAsia="微软雅黑" w:cs="微软雅黑"/>
          <w:b/>
          <w:bCs/>
          <w:spacing w:val="-2"/>
          <w:sz w:val="22"/>
          <w:szCs w:val="22"/>
        </w:rPr>
        <w:t>置</w:t>
      </w:r>
      <w:r>
        <w:rPr>
          <w:rFonts w:hint="eastAsia" w:ascii="微软雅黑" w:hAnsi="微软雅黑" w:eastAsia="微软雅黑" w:cs="微软雅黑"/>
          <w:b/>
          <w:bCs/>
          <w:spacing w:val="-1"/>
          <w:sz w:val="22"/>
          <w:szCs w:val="22"/>
        </w:rPr>
        <w:t>图、制作相应的</w:t>
      </w:r>
      <w:r>
        <w:rPr>
          <w:rFonts w:hint="eastAsia" w:ascii="微软雅黑" w:hAnsi="微软雅黑" w:eastAsia="微软雅黑" w:cs="微软雅黑"/>
          <w:b/>
          <w:bCs/>
          <w:spacing w:val="-2"/>
          <w:sz w:val="22"/>
          <w:szCs w:val="22"/>
        </w:rPr>
        <w:t>设</w:t>
      </w:r>
      <w:r>
        <w:rPr>
          <w:rFonts w:hint="eastAsia" w:ascii="微软雅黑" w:hAnsi="微软雅黑" w:eastAsia="微软雅黑" w:cs="微软雅黑"/>
          <w:b/>
          <w:bCs/>
          <w:spacing w:val="-6"/>
          <w:sz w:val="22"/>
          <w:szCs w:val="22"/>
        </w:rPr>
        <w:t>计效果图</w:t>
      </w:r>
    </w:p>
    <w:p w14:paraId="286CC76E">
      <w:pPr>
        <w:pStyle w:val="7"/>
        <w:ind w:left="0"/>
        <w:rPr>
          <w:rFonts w:ascii="微软雅黑" w:hAnsi="微软雅黑" w:eastAsia="微软雅黑"/>
          <w:sz w:val="22"/>
          <w:szCs w:val="22"/>
        </w:rPr>
      </w:pPr>
      <w:r>
        <w:rPr>
          <w:rFonts w:hint="eastAsia" w:ascii="微软雅黑" w:hAnsi="微软雅黑" w:eastAsia="微软雅黑" w:cs="微软雅黑"/>
          <w:spacing w:val="-6"/>
          <w:sz w:val="22"/>
          <w:szCs w:val="22"/>
        </w:rPr>
        <w:t>1、七层</w:t>
      </w:r>
      <w:r>
        <w:rPr>
          <w:rFonts w:hint="eastAsia" w:ascii="微软雅黑" w:hAnsi="微软雅黑" w:eastAsia="微软雅黑" w:cs="微软雅黑"/>
          <w:sz w:val="20"/>
          <w:szCs w:val="20"/>
        </w:rPr>
        <w:t>实验室</w:t>
      </w:r>
      <w:r>
        <w:rPr>
          <w:rFonts w:hint="eastAsia" w:ascii="微软雅黑" w:hAnsi="微软雅黑" w:eastAsia="微软雅黑" w:cs="微软雅黑"/>
          <w:spacing w:val="-6"/>
          <w:sz w:val="22"/>
          <w:szCs w:val="22"/>
        </w:rPr>
        <w:t>：</w:t>
      </w:r>
      <w:r>
        <w:rPr>
          <w:rFonts w:hint="eastAsia" w:ascii="微软雅黑" w:hAnsi="微软雅黑" w:eastAsia="微软雅黑"/>
          <w:sz w:val="22"/>
          <w:szCs w:val="22"/>
        </w:rPr>
        <w:t>对以下房间功能合理设计布置实验室家具平面图整体三维图、三维渲染效果图（一种或多种），同时充分考虑该类型实验室相关设备的预留空间。房间家具需求：实验台、试剂架、药品柜、万向罩、水龙头、水槽、洗眼器、功能柱、电源插座。</w:t>
      </w:r>
    </w:p>
    <w:p w14:paraId="040BB0D8">
      <w:pPr>
        <w:pStyle w:val="7"/>
        <w:ind w:left="50"/>
        <w:jc w:val="center"/>
        <w:rPr>
          <w:rFonts w:ascii="微软雅黑" w:hAnsi="微软雅黑" w:eastAsia="微软雅黑" w:cs="微软雅黑"/>
          <w:spacing w:val="-6"/>
          <w:sz w:val="24"/>
          <w:szCs w:val="24"/>
        </w:rPr>
      </w:pPr>
      <w:r>
        <w:drawing>
          <wp:anchor distT="0" distB="0" distL="114300" distR="114300" simplePos="0" relativeHeight="251659264" behindDoc="1" locked="0" layoutInCell="1" allowOverlap="1">
            <wp:simplePos x="0" y="0"/>
            <wp:positionH relativeFrom="column">
              <wp:posOffset>906780</wp:posOffset>
            </wp:positionH>
            <wp:positionV relativeFrom="paragraph">
              <wp:posOffset>95885</wp:posOffset>
            </wp:positionV>
            <wp:extent cx="6456680" cy="4013200"/>
            <wp:effectExtent l="0" t="0" r="0" b="0"/>
            <wp:wrapNone/>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7"/>
                    <a:srcRect t="5375"/>
                    <a:stretch>
                      <a:fillRect/>
                    </a:stretch>
                  </pic:blipFill>
                  <pic:spPr>
                    <a:xfrm>
                      <a:off x="0" y="0"/>
                      <a:ext cx="6456680" cy="4013200"/>
                    </a:xfrm>
                    <a:prstGeom prst="rect">
                      <a:avLst/>
                    </a:prstGeom>
                    <a:noFill/>
                    <a:ln>
                      <a:noFill/>
                    </a:ln>
                  </pic:spPr>
                </pic:pic>
              </a:graphicData>
            </a:graphic>
          </wp:anchor>
        </w:drawing>
      </w:r>
      <w:r>
        <w:rPr>
          <w:rFonts w:hint="eastAsia" w:ascii="微软雅黑" w:hAnsi="微软雅黑" w:eastAsia="微软雅黑" w:cs="微软雅黑"/>
          <w:spacing w:val="-6"/>
          <w:sz w:val="24"/>
          <w:szCs w:val="24"/>
        </w:rPr>
        <w:t xml:space="preserve"> </w:t>
      </w:r>
    </w:p>
    <w:p w14:paraId="2A987B47">
      <w:pPr>
        <w:pStyle w:val="7"/>
      </w:pPr>
      <w:r>
        <w:rPr>
          <w:rFonts w:hint="eastAsia"/>
        </w:rPr>
        <w:br w:type="page"/>
      </w:r>
    </w:p>
    <w:p w14:paraId="3F607EEA">
      <w:pPr>
        <w:pStyle w:val="7"/>
        <w:ind w:left="50"/>
        <w:rPr>
          <w:rFonts w:ascii="微软雅黑" w:hAnsi="微软雅黑" w:eastAsia="微软雅黑"/>
          <w:sz w:val="24"/>
          <w:szCs w:val="24"/>
        </w:rPr>
      </w:pPr>
      <w:r>
        <w:rPr>
          <w:rFonts w:hint="eastAsia" w:ascii="微软雅黑" w:hAnsi="微软雅黑" w:eastAsia="微软雅黑"/>
          <w:sz w:val="24"/>
          <w:szCs w:val="24"/>
        </w:rPr>
        <w:t>2、六层实验室：对以下房间功能合理设计布置实验室家具平面图、整体三维图、三维渲染效果图（一种或多种），同时充分考虑该类型实验室相关设备的预留空间。房间家具需求：实验台、试剂架、药品柜、万向罩、水龙头、水槽、洗眼器、功能柱、电源插座。</w:t>
      </w:r>
    </w:p>
    <w:p w14:paraId="470AFB9D">
      <w:pPr>
        <w:pStyle w:val="7"/>
        <w:ind w:left="770"/>
        <w:rPr>
          <w:rFonts w:ascii="微软雅黑" w:hAnsi="微软雅黑" w:eastAsia="微软雅黑" w:cs="微软雅黑"/>
          <w:spacing w:val="-6"/>
          <w:sz w:val="24"/>
          <w:szCs w:val="24"/>
        </w:rPr>
      </w:pPr>
      <w:r>
        <w:drawing>
          <wp:anchor distT="0" distB="0" distL="114300" distR="114300" simplePos="0" relativeHeight="251660288" behindDoc="0" locked="0" layoutInCell="1" allowOverlap="1">
            <wp:simplePos x="0" y="0"/>
            <wp:positionH relativeFrom="column">
              <wp:posOffset>1005840</wp:posOffset>
            </wp:positionH>
            <wp:positionV relativeFrom="paragraph">
              <wp:posOffset>47625</wp:posOffset>
            </wp:positionV>
            <wp:extent cx="7046595" cy="4834255"/>
            <wp:effectExtent l="0" t="0" r="9525" b="12065"/>
            <wp:wrapNone/>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8"/>
                    <a:stretch>
                      <a:fillRect/>
                    </a:stretch>
                  </pic:blipFill>
                  <pic:spPr>
                    <a:xfrm>
                      <a:off x="0" y="0"/>
                      <a:ext cx="7046595" cy="4834255"/>
                    </a:xfrm>
                    <a:prstGeom prst="rect">
                      <a:avLst/>
                    </a:prstGeom>
                    <a:noFill/>
                    <a:ln>
                      <a:noFill/>
                    </a:ln>
                  </pic:spPr>
                </pic:pic>
              </a:graphicData>
            </a:graphic>
          </wp:anchor>
        </w:drawing>
      </w:r>
    </w:p>
    <w:p w14:paraId="05D3146E">
      <w:pPr>
        <w:spacing w:line="360" w:lineRule="auto"/>
        <w:jc w:val="center"/>
        <w:rPr>
          <w:rFonts w:ascii="微软雅黑" w:hAnsi="微软雅黑" w:eastAsia="微软雅黑" w:cs="微软雅黑"/>
          <w:szCs w:val="21"/>
          <w14:ligatures w14:val="none"/>
        </w:rPr>
      </w:pPr>
    </w:p>
    <w:p w14:paraId="69DF90BD">
      <w:pPr>
        <w:pStyle w:val="7"/>
        <w:rPr>
          <w:rFonts w:ascii="微软雅黑" w:hAnsi="微软雅黑" w:eastAsia="微软雅黑" w:cs="微软雅黑"/>
          <w14:ligatures w14:val="none"/>
        </w:rPr>
      </w:pPr>
    </w:p>
    <w:p w14:paraId="594DE660">
      <w:pPr>
        <w:pStyle w:val="7"/>
        <w:rPr>
          <w:rFonts w:ascii="微软雅黑" w:hAnsi="微软雅黑" w:eastAsia="微软雅黑" w:cs="微软雅黑"/>
          <w14:ligatures w14:val="none"/>
        </w:rPr>
      </w:pPr>
    </w:p>
    <w:p w14:paraId="1C8DCA62">
      <w:pPr>
        <w:pStyle w:val="7"/>
        <w:rPr>
          <w:rFonts w:ascii="微软雅黑" w:hAnsi="微软雅黑" w:eastAsia="微软雅黑" w:cs="微软雅黑"/>
          <w14:ligatures w14:val="none"/>
        </w:rPr>
      </w:pPr>
    </w:p>
    <w:p w14:paraId="51D4E636">
      <w:pPr>
        <w:pStyle w:val="7"/>
        <w:rPr>
          <w:rFonts w:ascii="微软雅黑" w:hAnsi="微软雅黑" w:eastAsia="微软雅黑" w:cs="微软雅黑"/>
          <w14:ligatures w14:val="none"/>
        </w:rPr>
      </w:pPr>
    </w:p>
    <w:p w14:paraId="31DA5541">
      <w:pPr>
        <w:pStyle w:val="7"/>
        <w:rPr>
          <w:rFonts w:ascii="微软雅黑" w:hAnsi="微软雅黑" w:eastAsia="微软雅黑" w:cs="微软雅黑"/>
          <w14:ligatures w14:val="none"/>
        </w:rPr>
      </w:pPr>
    </w:p>
    <w:p w14:paraId="319B8B33">
      <w:pPr>
        <w:pStyle w:val="7"/>
        <w:rPr>
          <w:rFonts w:ascii="微软雅黑" w:hAnsi="微软雅黑" w:eastAsia="微软雅黑" w:cs="微软雅黑"/>
          <w14:ligatures w14:val="none"/>
        </w:rPr>
      </w:pPr>
    </w:p>
    <w:p w14:paraId="78C37433">
      <w:pPr>
        <w:pStyle w:val="7"/>
        <w:rPr>
          <w:rFonts w:ascii="微软雅黑" w:hAnsi="微软雅黑" w:eastAsia="微软雅黑" w:cs="微软雅黑"/>
          <w14:ligatures w14:val="none"/>
        </w:rPr>
      </w:pPr>
    </w:p>
    <w:p w14:paraId="42F6D1E2">
      <w:pPr>
        <w:pStyle w:val="7"/>
        <w:rPr>
          <w:rFonts w:ascii="微软雅黑" w:hAnsi="微软雅黑" w:eastAsia="微软雅黑" w:cs="微软雅黑"/>
          <w14:ligatures w14:val="none"/>
        </w:rPr>
      </w:pPr>
    </w:p>
    <w:p w14:paraId="66E1B89D">
      <w:pPr>
        <w:pStyle w:val="7"/>
        <w:rPr>
          <w:rFonts w:ascii="微软雅黑" w:hAnsi="微软雅黑" w:eastAsia="微软雅黑" w:cs="微软雅黑"/>
          <w14:ligatures w14:val="none"/>
        </w:rPr>
      </w:pPr>
    </w:p>
    <w:p w14:paraId="3B4A9D86">
      <w:pPr>
        <w:pStyle w:val="7"/>
        <w:rPr>
          <w:rFonts w:ascii="微软雅黑" w:hAnsi="微软雅黑" w:eastAsia="微软雅黑" w:cs="微软雅黑"/>
          <w14:ligatures w14:val="none"/>
        </w:rPr>
      </w:pPr>
    </w:p>
    <w:p w14:paraId="1F5D9AF0">
      <w:pPr>
        <w:pStyle w:val="7"/>
        <w:rPr>
          <w:rFonts w:ascii="微软雅黑" w:hAnsi="微软雅黑" w:eastAsia="微软雅黑" w:cs="微软雅黑"/>
          <w14:ligatures w14:val="none"/>
        </w:rPr>
      </w:pPr>
    </w:p>
    <w:p w14:paraId="7137B718">
      <w:pPr>
        <w:rPr>
          <w:rFonts w:ascii="微软雅黑" w:hAnsi="微软雅黑" w:eastAsia="微软雅黑" w:cs="微软雅黑"/>
          <w:szCs w:val="21"/>
          <w14:ligatures w14:val="none"/>
        </w:rPr>
      </w:pPr>
      <w:r>
        <w:rPr>
          <w:rFonts w:hint="eastAsia" w:ascii="微软雅黑" w:hAnsi="微软雅黑" w:eastAsia="微软雅黑" w:cs="微软雅黑"/>
          <w:szCs w:val="21"/>
          <w14:ligatures w14:val="none"/>
        </w:rPr>
        <w:br w:type="page"/>
      </w:r>
    </w:p>
    <w:p w14:paraId="611533CB">
      <w:pPr>
        <w:pStyle w:val="7"/>
        <w:ind w:left="50"/>
        <w:rPr>
          <w:rFonts w:ascii="微软雅黑" w:hAnsi="微软雅黑" w:eastAsia="微软雅黑"/>
          <w:sz w:val="24"/>
          <w:szCs w:val="24"/>
        </w:rPr>
      </w:pPr>
      <w:r>
        <w:rPr>
          <w:rFonts w:hint="eastAsia" w:ascii="微软雅黑" w:hAnsi="微软雅黑" w:eastAsia="微软雅黑"/>
          <w:sz w:val="24"/>
          <w:szCs w:val="24"/>
        </w:rPr>
        <w:t>3、五层实验室：对以下房间功能合理设计布置实验室家具平面图、整体三维图、三维渲染效果图（一种或多种），同时充分考虑该类型实验室相关设备的预留空间。房间家具需求：实验台、试剂架、超净工作台、万向罩、水龙头、水槽、洗眼器、功能柱、电源插座。</w:t>
      </w:r>
    </w:p>
    <w:p w14:paraId="2FAC1A05">
      <w:pPr>
        <w:rPr>
          <w:rFonts w:ascii="微软雅黑" w:hAnsi="微软雅黑" w:eastAsia="微软雅黑" w:cs="微软雅黑"/>
          <w:szCs w:val="21"/>
          <w14:ligatures w14:val="none"/>
        </w:rPr>
      </w:pPr>
      <w:r>
        <w:drawing>
          <wp:anchor distT="0" distB="0" distL="114300" distR="114300" simplePos="0" relativeHeight="251661312" behindDoc="0" locked="0" layoutInCell="1" allowOverlap="1">
            <wp:simplePos x="0" y="0"/>
            <wp:positionH relativeFrom="column">
              <wp:posOffset>1325880</wp:posOffset>
            </wp:positionH>
            <wp:positionV relativeFrom="paragraph">
              <wp:posOffset>31115</wp:posOffset>
            </wp:positionV>
            <wp:extent cx="6153785" cy="4744720"/>
            <wp:effectExtent l="0" t="0" r="3175" b="10160"/>
            <wp:wrapNone/>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9"/>
                    <a:stretch>
                      <a:fillRect/>
                    </a:stretch>
                  </pic:blipFill>
                  <pic:spPr>
                    <a:xfrm>
                      <a:off x="0" y="0"/>
                      <a:ext cx="6153785" cy="4744720"/>
                    </a:xfrm>
                    <a:prstGeom prst="rect">
                      <a:avLst/>
                    </a:prstGeom>
                    <a:noFill/>
                    <a:ln>
                      <a:noFill/>
                    </a:ln>
                  </pic:spPr>
                </pic:pic>
              </a:graphicData>
            </a:graphic>
          </wp:anchor>
        </w:drawing>
      </w:r>
      <w:r>
        <w:rPr>
          <w:rFonts w:hint="eastAsia" w:ascii="微软雅黑" w:hAnsi="微软雅黑" w:eastAsia="微软雅黑"/>
          <w:sz w:val="24"/>
          <w:szCs w:val="24"/>
        </w:rPr>
        <w:br w:type="page"/>
      </w:r>
    </w:p>
    <w:p w14:paraId="4B3A9D69">
      <w:pPr>
        <w:pStyle w:val="7"/>
        <w:ind w:left="50"/>
        <w:rPr>
          <w:rFonts w:ascii="微软雅黑" w:hAnsi="微软雅黑" w:eastAsia="微软雅黑"/>
          <w:sz w:val="24"/>
          <w:szCs w:val="24"/>
        </w:rPr>
      </w:pPr>
      <w:r>
        <w:rPr>
          <w:rFonts w:hint="eastAsia" w:ascii="微软雅黑" w:hAnsi="微软雅黑" w:eastAsia="微软雅黑"/>
          <w:sz w:val="24"/>
          <w:szCs w:val="24"/>
        </w:rPr>
        <w:t>4、四层实验室：对以下开放区功能合理设计布置实验室家具平面图、整体三维图、三维渲染效果图（一种或多种），同时充分考虑该类型区域相关设备的预留空间。房间家具需求：实验台、试剂架、超净工作台、万向罩、水龙头、水槽、洗眼器、功能柱、电源插座。</w:t>
      </w:r>
    </w:p>
    <w:p w14:paraId="79A04802">
      <w:pPr>
        <w:pStyle w:val="7"/>
      </w:pPr>
      <w:r>
        <w:drawing>
          <wp:anchor distT="0" distB="0" distL="114300" distR="114300" simplePos="0" relativeHeight="251662336" behindDoc="0" locked="0" layoutInCell="1" allowOverlap="1">
            <wp:simplePos x="0" y="0"/>
            <wp:positionH relativeFrom="column">
              <wp:posOffset>1356360</wp:posOffset>
            </wp:positionH>
            <wp:positionV relativeFrom="paragraph">
              <wp:posOffset>62230</wp:posOffset>
            </wp:positionV>
            <wp:extent cx="6197600" cy="4739640"/>
            <wp:effectExtent l="0" t="0" r="5080" b="0"/>
            <wp:wrapNone/>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10"/>
                    <a:stretch>
                      <a:fillRect/>
                    </a:stretch>
                  </pic:blipFill>
                  <pic:spPr>
                    <a:xfrm>
                      <a:off x="0" y="0"/>
                      <a:ext cx="6197600" cy="4739640"/>
                    </a:xfrm>
                    <a:prstGeom prst="rect">
                      <a:avLst/>
                    </a:prstGeom>
                    <a:noFill/>
                    <a:ln>
                      <a:noFill/>
                    </a:ln>
                  </pic:spPr>
                </pic:pic>
              </a:graphicData>
            </a:graphic>
          </wp:anchor>
        </w:drawing>
      </w:r>
    </w:p>
    <w:p w14:paraId="6ABD409C">
      <w:pPr>
        <w:pStyle w:val="7"/>
        <w:jc w:val="center"/>
      </w:pPr>
    </w:p>
    <w:p w14:paraId="6A8568FB">
      <w:pPr>
        <w:pStyle w:val="7"/>
      </w:pPr>
      <w:r>
        <w:rPr>
          <w:rFonts w:hint="eastAsia"/>
        </w:rPr>
        <w:br w:type="page"/>
      </w:r>
    </w:p>
    <w:p w14:paraId="1F7D4379">
      <w:pPr>
        <w:pStyle w:val="7"/>
        <w:ind w:left="50"/>
        <w:rPr>
          <w:rFonts w:ascii="微软雅黑" w:hAnsi="微软雅黑" w:eastAsia="微软雅黑"/>
          <w:sz w:val="24"/>
          <w:szCs w:val="24"/>
        </w:rPr>
      </w:pPr>
      <w:r>
        <w:rPr>
          <w:rFonts w:hint="eastAsia" w:ascii="微软雅黑" w:hAnsi="微软雅黑" w:eastAsia="微软雅黑"/>
          <w:sz w:val="24"/>
          <w:szCs w:val="24"/>
        </w:rPr>
        <w:t>5、三层实验室：对以下房间功能合理设计布置实验室家具平面图、整体三维图、三维渲染效果图（一种或多种），同时充分考虑该类型实验室相关设备的预留空间。房间家具需求：实验台、试剂架、超净工作台、万向罩、水龙头、水槽、洗眼器、功能柱、电源插座。</w:t>
      </w:r>
    </w:p>
    <w:p w14:paraId="52869630">
      <w:pPr>
        <w:pStyle w:val="7"/>
        <w:ind w:left="770"/>
        <w:rPr>
          <w:rFonts w:ascii="微软雅黑" w:hAnsi="微软雅黑" w:eastAsia="微软雅黑"/>
          <w:sz w:val="24"/>
          <w:szCs w:val="24"/>
        </w:rPr>
      </w:pPr>
      <w:r>
        <w:drawing>
          <wp:anchor distT="0" distB="0" distL="114300" distR="114300" simplePos="0" relativeHeight="251663360" behindDoc="0" locked="0" layoutInCell="1" allowOverlap="1">
            <wp:simplePos x="0" y="0"/>
            <wp:positionH relativeFrom="column">
              <wp:posOffset>868680</wp:posOffset>
            </wp:positionH>
            <wp:positionV relativeFrom="paragraph">
              <wp:posOffset>22225</wp:posOffset>
            </wp:positionV>
            <wp:extent cx="6725285" cy="4726940"/>
            <wp:effectExtent l="0" t="0" r="10795" b="12700"/>
            <wp:wrapNone/>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11"/>
                    <a:stretch>
                      <a:fillRect/>
                    </a:stretch>
                  </pic:blipFill>
                  <pic:spPr>
                    <a:xfrm>
                      <a:off x="0" y="0"/>
                      <a:ext cx="6725285" cy="4726940"/>
                    </a:xfrm>
                    <a:prstGeom prst="rect">
                      <a:avLst/>
                    </a:prstGeom>
                    <a:noFill/>
                    <a:ln>
                      <a:noFill/>
                    </a:ln>
                  </pic:spPr>
                </pic:pic>
              </a:graphicData>
            </a:graphic>
          </wp:anchor>
        </w:drawing>
      </w:r>
    </w:p>
    <w:p w14:paraId="07F54F2B">
      <w:pPr>
        <w:rPr>
          <w:rFonts w:ascii="微软雅黑" w:hAnsi="微软雅黑" w:eastAsia="微软雅黑" w:cs="微软雅黑"/>
          <w:szCs w:val="21"/>
          <w14:ligatures w14:val="none"/>
        </w:rPr>
      </w:pPr>
      <w:r>
        <w:rPr>
          <w:rFonts w:hint="eastAsia" w:ascii="微软雅黑" w:hAnsi="微软雅黑" w:eastAsia="微软雅黑"/>
          <w:sz w:val="24"/>
          <w:szCs w:val="24"/>
        </w:rPr>
        <w:br w:type="page"/>
      </w:r>
    </w:p>
    <w:p w14:paraId="134CBFE6">
      <w:pPr>
        <w:pStyle w:val="7"/>
        <w:ind w:left="50"/>
        <w:rPr>
          <w:rFonts w:ascii="微软雅黑" w:hAnsi="微软雅黑" w:eastAsia="微软雅黑"/>
          <w:sz w:val="24"/>
          <w:szCs w:val="24"/>
        </w:rPr>
      </w:pPr>
      <w:r>
        <w:rPr>
          <w:rFonts w:hint="eastAsia" w:ascii="微软雅黑" w:hAnsi="微软雅黑" w:eastAsia="微软雅黑"/>
          <w:sz w:val="24"/>
          <w:szCs w:val="24"/>
        </w:rPr>
        <w:t>6、二层实验室：对以下房间功能合理设计布置实验室家具平面图、整体三维图、三维渲染效果图（一种或多种），同时充分考虑该类型实验室相关设备的预留空间。房间家具需求：实验台、万向罩、功能柱、电源插座。</w:t>
      </w:r>
    </w:p>
    <w:p w14:paraId="2F26B3B0">
      <w:pPr>
        <w:spacing w:line="360" w:lineRule="auto"/>
        <w:jc w:val="center"/>
        <w:rPr>
          <w:rFonts w:ascii="微软雅黑" w:hAnsi="微软雅黑" w:eastAsia="微软雅黑" w:cs="微软雅黑"/>
          <w:szCs w:val="21"/>
          <w14:ligatures w14:val="none"/>
        </w:rPr>
      </w:pPr>
      <w:r>
        <w:drawing>
          <wp:anchor distT="0" distB="0" distL="114300" distR="114300" simplePos="0" relativeHeight="251664384" behindDoc="0" locked="0" layoutInCell="1" allowOverlap="1">
            <wp:simplePos x="0" y="0"/>
            <wp:positionH relativeFrom="column">
              <wp:posOffset>716280</wp:posOffset>
            </wp:positionH>
            <wp:positionV relativeFrom="paragraph">
              <wp:posOffset>62230</wp:posOffset>
            </wp:positionV>
            <wp:extent cx="7042785" cy="4483100"/>
            <wp:effectExtent l="0" t="0" r="13335" b="12700"/>
            <wp:wrapNone/>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12"/>
                    <a:stretch>
                      <a:fillRect/>
                    </a:stretch>
                  </pic:blipFill>
                  <pic:spPr>
                    <a:xfrm>
                      <a:off x="0" y="0"/>
                      <a:ext cx="7042785" cy="4483100"/>
                    </a:xfrm>
                    <a:prstGeom prst="rect">
                      <a:avLst/>
                    </a:prstGeom>
                    <a:noFill/>
                    <a:ln>
                      <a:noFill/>
                    </a:ln>
                  </pic:spPr>
                </pic:pic>
              </a:graphicData>
            </a:graphic>
          </wp:anchor>
        </w:drawing>
      </w:r>
    </w:p>
    <w:p w14:paraId="524D3972">
      <w:pPr>
        <w:pStyle w:val="7"/>
        <w:ind w:left="0"/>
        <w:sectPr>
          <w:footerReference r:id="rId3" w:type="default"/>
          <w:pgSz w:w="16840" w:h="11907" w:orient="landscape"/>
          <w:pgMar w:top="1800" w:right="1440" w:bottom="1800" w:left="1440" w:header="567" w:footer="567" w:gutter="0"/>
          <w:cols w:space="720" w:num="1"/>
          <w:docGrid w:linePitch="286" w:charSpace="0"/>
        </w:sectPr>
      </w:pPr>
    </w:p>
    <w:p w14:paraId="23E61007">
      <w:pPr>
        <w:numPr>
          <w:ilvl w:val="0"/>
          <w:numId w:val="3"/>
        </w:numPr>
        <w:spacing w:line="360" w:lineRule="auto"/>
        <w:ind w:left="-91" w:firstLine="255"/>
        <w:outlineLvl w:val="0"/>
        <w:rPr>
          <w:rFonts w:ascii="微软雅黑" w:hAnsi="微软雅黑" w:eastAsia="微软雅黑" w:cs="微软雅黑"/>
          <w:b/>
          <w:bCs/>
          <w:szCs w:val="21"/>
        </w:rPr>
      </w:pPr>
      <w:r>
        <w:rPr>
          <w:rFonts w:hint="eastAsia" w:ascii="微软雅黑" w:hAnsi="微软雅黑" w:eastAsia="微软雅黑" w:cs="微软雅黑"/>
          <w:b/>
          <w:bCs/>
          <w:szCs w:val="21"/>
        </w:rPr>
        <w:t>采购品目分类、参考样式、规格、基本组成、质量标准等要求</w:t>
      </w:r>
    </w:p>
    <w:p w14:paraId="7B49BABD">
      <w:pPr>
        <w:pStyle w:val="21"/>
        <w:rPr>
          <w:rFonts w:ascii="微软雅黑" w:hAnsi="微软雅黑" w:eastAsia="微软雅黑" w:cs="微软雅黑"/>
          <w:sz w:val="21"/>
          <w:szCs w:val="21"/>
        </w:rPr>
      </w:pPr>
      <w:r>
        <w:rPr>
          <w:rFonts w:hint="eastAsia" w:ascii="微软雅黑" w:hAnsi="微软雅黑" w:eastAsia="微软雅黑" w:cs="微软雅黑"/>
          <w:sz w:val="21"/>
          <w:szCs w:val="21"/>
        </w:rPr>
        <w:t>实验家具部分</w:t>
      </w:r>
    </w:p>
    <w:tbl>
      <w:tblPr>
        <w:tblStyle w:val="13"/>
        <w:tblW w:w="14094" w:type="dxa"/>
        <w:jc w:val="center"/>
        <w:tblLayout w:type="fixed"/>
        <w:tblCellMar>
          <w:top w:w="0" w:type="dxa"/>
          <w:left w:w="108" w:type="dxa"/>
          <w:bottom w:w="0" w:type="dxa"/>
          <w:right w:w="108" w:type="dxa"/>
        </w:tblCellMar>
      </w:tblPr>
      <w:tblGrid>
        <w:gridCol w:w="762"/>
        <w:gridCol w:w="1056"/>
        <w:gridCol w:w="1320"/>
        <w:gridCol w:w="888"/>
        <w:gridCol w:w="972"/>
        <w:gridCol w:w="3852"/>
        <w:gridCol w:w="1248"/>
        <w:gridCol w:w="3996"/>
      </w:tblGrid>
      <w:tr w14:paraId="108021DF">
        <w:tblPrEx>
          <w:tblCellMar>
            <w:top w:w="0" w:type="dxa"/>
            <w:left w:w="108" w:type="dxa"/>
            <w:bottom w:w="0" w:type="dxa"/>
            <w:right w:w="108" w:type="dxa"/>
          </w:tblCellMar>
        </w:tblPrEx>
        <w:trPr>
          <w:trHeight w:val="28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C685">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序号</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5921">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产品名称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D4EA">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规格型号</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6015">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单位</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1424">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数量</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3849">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参考样式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5886">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基本组成</w:t>
            </w:r>
          </w:p>
        </w:tc>
        <w:tc>
          <w:tcPr>
            <w:tcW w:w="3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8DF1">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t>基本材质</w:t>
            </w:r>
          </w:p>
        </w:tc>
      </w:tr>
      <w:tr w14:paraId="5021FD97">
        <w:tblPrEx>
          <w:tblCellMar>
            <w:top w:w="0" w:type="dxa"/>
            <w:left w:w="108" w:type="dxa"/>
            <w:bottom w:w="0" w:type="dxa"/>
            <w:right w:w="108" w:type="dxa"/>
          </w:tblCellMar>
        </w:tblPrEx>
        <w:trPr>
          <w:trHeight w:val="264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06C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BDCC">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3E24">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L*750*850mm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EDC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420A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1120.00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0877">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2447925" cy="2095500"/>
                  <wp:effectExtent l="0" t="0" r="5715" b="7620"/>
                  <wp:docPr id="5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IMG_256"/>
                          <pic:cNvPicPr>
                            <a:picLocks noChangeAspect="1"/>
                          </pic:cNvPicPr>
                        </pic:nvPicPr>
                        <pic:blipFill>
                          <a:blip r:embed="rId13"/>
                          <a:stretch>
                            <a:fillRect/>
                          </a:stretch>
                        </pic:blipFill>
                        <pic:spPr>
                          <a:xfrm>
                            <a:off x="0" y="0"/>
                            <a:ext cx="2447925" cy="20955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E024">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≥16mm厚实心理化板；≥1.0mm厚冷轧钢板</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484E">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1.柜体：采用≥1.0mm厚冷轧钢板制作，表面环氧树脂粉末静电喷涂，耐酸碱、耐腐蚀。定制满柜。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2.台面：采用≥16mm厚实心理化板台面，耐酸碱、耐腐蚀。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3.导轨：采用≥16寸三节静音阻尼导轨。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4.合页：采用316#不锈钢材质。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6.地脚：采用隐藏式地脚，高度可调至少包含0-15㎜，方便实用。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7.实验台需满足GB 24820-2024《实验室家具通用技术条件》。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8.台面四角倒圆角。</w:t>
            </w:r>
          </w:p>
          <w:p w14:paraId="30FC4186">
            <w:pPr>
              <w:pStyle w:val="7"/>
              <w:numPr>
                <w:ilvl w:val="0"/>
                <w:numId w:val="4"/>
              </w:numPr>
              <w:ind w:left="0"/>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含中水盆500*400*330mm；82件。</w:t>
            </w:r>
          </w:p>
          <w:p w14:paraId="44546D09">
            <w:pPr>
              <w:pStyle w:val="7"/>
              <w:numPr>
                <w:ilvl w:val="0"/>
                <w:numId w:val="4"/>
              </w:numPr>
              <w:ind w:left="0"/>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含滴水架550*400mm；82件。</w:t>
            </w:r>
          </w:p>
          <w:p w14:paraId="2033D39B">
            <w:pPr>
              <w:pStyle w:val="7"/>
              <w:numPr>
                <w:ilvl w:val="0"/>
                <w:numId w:val="4"/>
              </w:numPr>
              <w:ind w:left="0"/>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三水水龙头82件。</w:t>
            </w:r>
          </w:p>
        </w:tc>
      </w:tr>
      <w:tr w14:paraId="36F5142C">
        <w:tblPrEx>
          <w:tblCellMar>
            <w:top w:w="0" w:type="dxa"/>
            <w:left w:w="108" w:type="dxa"/>
            <w:bottom w:w="0" w:type="dxa"/>
            <w:right w:w="108" w:type="dxa"/>
          </w:tblCellMar>
        </w:tblPrEx>
        <w:trPr>
          <w:trHeight w:val="9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1B1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F6E7">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90F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L*900*850mm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646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47E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260.00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E62C">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2790825" cy="1885950"/>
                  <wp:effectExtent l="0" t="0" r="13335" b="3810"/>
                  <wp:docPr id="2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7"/>
                          <pic:cNvPicPr>
                            <a:picLocks noChangeAspect="1"/>
                          </pic:cNvPicPr>
                        </pic:nvPicPr>
                        <pic:blipFill>
                          <a:blip r:embed="rId14"/>
                          <a:stretch>
                            <a:fillRect/>
                          </a:stretch>
                        </pic:blipFill>
                        <pic:spPr>
                          <a:xfrm>
                            <a:off x="0" y="0"/>
                            <a:ext cx="2790825" cy="188595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1591">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≥19mm厚实心理化板；≥1.0mm厚冷轧钢板</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8F68">
            <w:pPr>
              <w:pStyle w:val="7"/>
              <w:numPr>
                <w:ilvl w:val="0"/>
                <w:numId w:val="5"/>
              </w:num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1.柜体：采用≥1.0mm厚冷轧钢板制作，表面环氧树脂粉末静电喷涂，耐酸碱、耐腐蚀。定制满柜。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2.台面：采用≥19mm厚实心理化板台面，耐酸碱、耐腐蚀。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3.导轨：采用≥16寸三节静音阻尼导轨。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4.合页：采用316#不锈钢材质。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6.地脚：采用隐藏式地脚，高度可调至少包含0-15㎜，方便实用。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7.实验台需满足GB 24820-2024《实验室家具通用技术条件》。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8.台面四角倒圆角。</w:t>
            </w:r>
          </w:p>
          <w:p w14:paraId="7C41D486">
            <w:pPr>
              <w:pStyle w:val="7"/>
              <w:numPr>
                <w:ilvl w:val="255"/>
                <w:numId w:val="0"/>
              </w:num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9.含PVC线槽148米，10A 220V 86型插座602个。</w:t>
            </w:r>
          </w:p>
        </w:tc>
      </w:tr>
      <w:tr w14:paraId="11BC4ED1">
        <w:tblPrEx>
          <w:tblCellMar>
            <w:top w:w="0" w:type="dxa"/>
            <w:left w:w="108" w:type="dxa"/>
            <w:bottom w:w="0" w:type="dxa"/>
            <w:right w:w="108" w:type="dxa"/>
          </w:tblCellMar>
        </w:tblPrEx>
        <w:trPr>
          <w:trHeight w:val="20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CEBB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DFCF">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C4DC">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L*600*850mm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774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1A7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099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876425" cy="1600200"/>
                  <wp:effectExtent l="0" t="0" r="13335" b="0"/>
                  <wp:docPr id="2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8"/>
                          <pic:cNvPicPr>
                            <a:picLocks noChangeAspect="1"/>
                          </pic:cNvPicPr>
                        </pic:nvPicPr>
                        <pic:blipFill>
                          <a:blip r:embed="rId15"/>
                          <a:stretch>
                            <a:fillRect/>
                          </a:stretch>
                        </pic:blipFill>
                        <pic:spPr>
                          <a:xfrm>
                            <a:off x="0" y="0"/>
                            <a:ext cx="1876425" cy="16002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A21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≥1.2mm厚304不锈钢台面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C86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全304#不锈钢结构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1.柜体：采用≥1.2mm厚304不锈钢钢板制作。定制满柜。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2.台面：采用≥1.2mm厚304不锈钢钢板制作，基材采用≥25mm厚三聚氰胺板上下双面不锈钢包裹。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3.导轨：采用≥16寸三节静音导轨。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4.合页：采用316不锈钢材质。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6.地脚：采用隐藏式地脚，高度可调至少包含0-15㎜，方便实用。</w:t>
            </w:r>
          </w:p>
        </w:tc>
      </w:tr>
      <w:tr w14:paraId="42C3B517">
        <w:tblPrEx>
          <w:tblCellMar>
            <w:top w:w="0" w:type="dxa"/>
            <w:left w:w="108" w:type="dxa"/>
            <w:bottom w:w="0" w:type="dxa"/>
            <w:right w:w="108" w:type="dxa"/>
          </w:tblCellMar>
        </w:tblPrEx>
        <w:trPr>
          <w:trHeight w:val="128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979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6A3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不锈钢可移动架台（双层）</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B05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EFB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36F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16.00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A96F7">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609725" cy="1009650"/>
                  <wp:effectExtent l="0" t="0" r="5715" b="11430"/>
                  <wp:docPr id="2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59"/>
                          <pic:cNvPicPr>
                            <a:picLocks noChangeAspect="1"/>
                          </pic:cNvPicPr>
                        </pic:nvPicPr>
                        <pic:blipFill>
                          <a:blip r:embed="rId16"/>
                          <a:stretch>
                            <a:fillRect/>
                          </a:stretch>
                        </pic:blipFill>
                        <pic:spPr>
                          <a:xfrm>
                            <a:off x="0" y="0"/>
                            <a:ext cx="1609725" cy="100965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53D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≥1.2mm厚304不锈钢材质</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2806">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面板：≥1.2mm厚304不锈钢材质，基材采用≥25mm厚三聚氰胺板上下双面不锈钢包裹。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立柱：采用≥38*38mm方型不锈钢材质</w:t>
            </w:r>
          </w:p>
        </w:tc>
      </w:tr>
      <w:tr w14:paraId="52782B2F">
        <w:tblPrEx>
          <w:tblCellMar>
            <w:top w:w="0" w:type="dxa"/>
            <w:left w:w="108" w:type="dxa"/>
            <w:bottom w:w="0" w:type="dxa"/>
            <w:right w:w="108" w:type="dxa"/>
          </w:tblCellMar>
        </w:tblPrEx>
        <w:trPr>
          <w:trHeight w:val="61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DBF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421B">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药品柜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7DD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900*500*1900mm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01C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90E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9EFF">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685800" cy="1295400"/>
                  <wp:effectExtent l="0" t="0" r="0" b="0"/>
                  <wp:docPr id="2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60"/>
                          <pic:cNvPicPr>
                            <a:picLocks noChangeAspect="1"/>
                          </pic:cNvPicPr>
                        </pic:nvPicPr>
                        <pic:blipFill>
                          <a:blip r:embed="rId17"/>
                          <a:stretch>
                            <a:fillRect/>
                          </a:stretch>
                        </pic:blipFill>
                        <pic:spPr>
                          <a:xfrm>
                            <a:off x="0" y="0"/>
                            <a:ext cx="685800" cy="12954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326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柜体、钢化玻璃、合页、拉手、调整脚</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CA7E">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1.柜体：全钢结构，采用≥1.0mm厚冷轧钢板制作，表面环氧树脂粉末静电喷涂，耐酸碱、耐腐蚀；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2.合页：364不锈钢材质。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4.玻璃：上柜门视窗玻璃采用符合3C标识的钢化玻璃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5.层板：采用采用≥1.0mm厚冷轧钢板制作，底部配置加固梁保障承重需求。表面环氧树脂粉末静电喷涂，耐酸碱、耐腐蚀；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5.地脚：隐藏式地脚，高度可调至少包含0-15㎜，方便实用。</w:t>
            </w:r>
          </w:p>
        </w:tc>
      </w:tr>
      <w:tr w14:paraId="76DEFA55">
        <w:tblPrEx>
          <w:tblCellMar>
            <w:top w:w="0" w:type="dxa"/>
            <w:left w:w="108" w:type="dxa"/>
            <w:bottom w:w="0" w:type="dxa"/>
            <w:right w:w="108" w:type="dxa"/>
          </w:tblCellMar>
        </w:tblPrEx>
        <w:trPr>
          <w:trHeight w:val="238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015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532F">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排风药品柜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1CC5">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900*500*1900mm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AC0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68A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144B">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1466850" cy="1885950"/>
                  <wp:effectExtent l="0" t="0" r="11430" b="3810"/>
                  <wp:docPr id="2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61"/>
                          <pic:cNvPicPr>
                            <a:picLocks noChangeAspect="1"/>
                          </pic:cNvPicPr>
                        </pic:nvPicPr>
                        <pic:blipFill>
                          <a:blip r:embed="rId18"/>
                          <a:stretch>
                            <a:fillRect/>
                          </a:stretch>
                        </pic:blipFill>
                        <pic:spPr>
                          <a:xfrm>
                            <a:off x="0" y="0"/>
                            <a:ext cx="1466850" cy="188595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D97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柜体、钢化玻璃、合页、拉手、调整脚</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5178">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1.柜体：全钢结构，采用≥1.0mm厚冷轧钢板制作，表面环氧树脂粉末静电喷涂，耐酸碱、耐腐蚀；顶部带抽风口。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2.合页：364不锈钢材质。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4.玻璃：上柜门视窗玻璃采用符合3C标识的钢化玻璃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5.层板：采用采用≥1.0mm厚冷轧钢板制作带排风孔，底部配置加固梁保障承重需求。表面环氧树脂粉末静电喷涂，耐酸碱、耐腐蚀；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5.地脚：隐藏式地脚，高度可调至少包含0-15㎜，方便实用。</w:t>
            </w:r>
          </w:p>
        </w:tc>
      </w:tr>
      <w:tr w14:paraId="4A903918">
        <w:tblPrEx>
          <w:tblCellMar>
            <w:top w:w="0" w:type="dxa"/>
            <w:left w:w="108" w:type="dxa"/>
            <w:bottom w:w="0" w:type="dxa"/>
            <w:right w:w="108" w:type="dxa"/>
          </w:tblCellMar>
        </w:tblPrEx>
        <w:trPr>
          <w:trHeight w:val="168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BAE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31C5">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气瓶柜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4FF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900*500*1900mm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5C6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52A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EFC8">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981075" cy="1333500"/>
                  <wp:effectExtent l="0" t="0" r="9525" b="7620"/>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19"/>
                          <a:stretch>
                            <a:fillRect/>
                          </a:stretch>
                        </pic:blipFill>
                        <pic:spPr>
                          <a:xfrm>
                            <a:off x="0" y="0"/>
                            <a:ext cx="981075" cy="13335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107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柜体、钢化玻璃、合页、拉手、调整脚</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19E7">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(1)柜体：≥1.2mm优质冷轧钢板材质，经酸洗磷化处理厚表面静电粉末喷涂；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(2)门板：≥1.0mm优质双层冷轧钢板材质，可脱卸式铰链，正面带透明视窗；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(3)视窗：钢化玻璃视窗；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(4)PASS孔：柜体侧面设有PASS孔；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(5)活动式固定装置：固定式304不锈钢链条式固定；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(6)踏板：柜体底部设有可调节不锈钢印花踏板</w:t>
            </w:r>
          </w:p>
        </w:tc>
      </w:tr>
      <w:tr w14:paraId="42A4913C">
        <w:tblPrEx>
          <w:tblCellMar>
            <w:top w:w="0" w:type="dxa"/>
            <w:left w:w="108" w:type="dxa"/>
            <w:bottom w:w="0" w:type="dxa"/>
            <w:right w:w="108" w:type="dxa"/>
          </w:tblCellMar>
        </w:tblPrEx>
        <w:trPr>
          <w:trHeight w:val="42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BF1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7A36">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更衣柜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0D0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900*500*1900mm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FB0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C49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549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009650" cy="1143000"/>
                  <wp:effectExtent l="0" t="0" r="11430" b="0"/>
                  <wp:docPr id="2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IMG_263"/>
                          <pic:cNvPicPr>
                            <a:picLocks noChangeAspect="1"/>
                          </pic:cNvPicPr>
                        </pic:nvPicPr>
                        <pic:blipFill>
                          <a:blip r:embed="rId20"/>
                          <a:stretch>
                            <a:fillRect/>
                          </a:stretch>
                        </pic:blipFill>
                        <pic:spPr>
                          <a:xfrm>
                            <a:off x="0" y="0"/>
                            <a:ext cx="1009650" cy="11430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BEF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柜体、合页、拉手、调整脚</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C19E">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1.柜体：全钢结构，采用≥1.0mm厚冷轧钢板制作，表面环氧树脂粉末静电喷涂，耐酸碱、耐腐蚀；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2.合页：316不锈钢材质；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4.地脚：隐藏式地脚，高度可调至少包含0-15㎜，方便实用。</w:t>
            </w:r>
          </w:p>
        </w:tc>
      </w:tr>
      <w:tr w14:paraId="7BA45D0D">
        <w:tblPrEx>
          <w:tblCellMar>
            <w:top w:w="0" w:type="dxa"/>
            <w:left w:w="108" w:type="dxa"/>
            <w:bottom w:w="0" w:type="dxa"/>
            <w:right w:w="108" w:type="dxa"/>
          </w:tblCellMar>
        </w:tblPrEx>
        <w:trPr>
          <w:trHeight w:val="9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4E4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9EF4">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超净工作台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7A1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1338*740*1940mm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1F5D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239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17.00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455B">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2237105" cy="2983865"/>
                  <wp:effectExtent l="0" t="0" r="3175" b="3175"/>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21"/>
                          <a:stretch>
                            <a:fillRect/>
                          </a:stretch>
                        </pic:blipFill>
                        <pic:spPr>
                          <a:xfrm>
                            <a:off x="0" y="0"/>
                            <a:ext cx="2237105" cy="298386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8DF4">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静音风机、高效过滤器、不锈钢操作面、福马轮、上下提拉钢化玻璃视窗</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A54F">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垂直送风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1.洁净度ISO5级（100级），噪音≤62dB，照度≥300Lu，平均风速0.20~0.50m/s可调节，沉降菌浓度≤0.5CFU/皿·0.5h（直径90mm培养平皿）；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2.高效离心风机，长寿命、免维护、震动小、6段调速系统、薄膜按键控制、液晶指示系统、风机动画显示模式，风机成套组合，高动态平衡；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3.柜体顶部标配预过滤器；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4.微皱褶无间隔HEPA高效过滤器，过滤效率99.995%（≥0.3μm颗粒）；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5.操作前窗倾斜式设计；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6.重力平衡式滑动前窗，升降平稳可随意定位；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7.柜体主材料采用优质冷轧钢板，表面抗菌涂层；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8.304不锈钢操作台面，栅格式设计；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9.两侧透明钢化玻璃；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10.全钢框架结构，内壁、内顶板无缝隙、无螺丝；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11.垂直层流气流设计；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12.85%洁净风循环；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13.工作区带紫外线杀菌灯，荧光灯紫外灯互锁并可设定预约开关机时间，带备用插座，可实现断电保护；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14.内嵌式荧光灯管，采用电子镇流器，无闪烁启动；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15.彩色大屏LCD液晶图文显示，轻触按键操作，具有时钟显示功能，实时显示风速、温度、高效过滤器寿命等性能指标，可设置紫外灯预约开启和关闭及风机预约开启和关闭；</w:t>
            </w:r>
          </w:p>
        </w:tc>
      </w:tr>
      <w:tr w14:paraId="44BC0384">
        <w:tblPrEx>
          <w:tblCellMar>
            <w:top w:w="0" w:type="dxa"/>
            <w:left w:w="108" w:type="dxa"/>
            <w:bottom w:w="0" w:type="dxa"/>
            <w:right w:w="108" w:type="dxa"/>
          </w:tblCellMar>
        </w:tblPrEx>
        <w:trPr>
          <w:trHeight w:val="343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717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5C8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高温台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9165">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L*800*850mm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58A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73E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19.00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5F8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628775" cy="1019175"/>
                  <wp:effectExtent l="0" t="0" r="1905" b="1905"/>
                  <wp:docPr id="3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IMG_265"/>
                          <pic:cNvPicPr>
                            <a:picLocks noChangeAspect="1"/>
                          </pic:cNvPicPr>
                        </pic:nvPicPr>
                        <pic:blipFill>
                          <a:blip r:embed="rId22"/>
                          <a:stretch>
                            <a:fillRect/>
                          </a:stretch>
                        </pic:blipFill>
                        <pic:spPr>
                          <a:xfrm>
                            <a:off x="0" y="0"/>
                            <a:ext cx="1628775" cy="101917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B22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台面：≥40mm陶瓷材质；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柜体：≥1.0mm厚冷轧钢板</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F264">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1.柜体：采用≥1.0mm厚冷轧钢板制作，表面环氧树脂粉末静电喷涂，耐酸碱、耐腐蚀。定制满柜。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2.台面：采用≥40mm厚陶瓷台面，耐酸碱、耐腐蚀。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3.导轨：采用≥16寸三节静音阻尼导轨。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4.合页：采用316#不锈钢材质。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6.地脚：采用隐藏式地脚，高度可调至少包含0-15㎜，方便实用。</w:t>
            </w:r>
          </w:p>
        </w:tc>
      </w:tr>
      <w:tr w14:paraId="6AD1799D">
        <w:tblPrEx>
          <w:tblCellMar>
            <w:top w:w="0" w:type="dxa"/>
            <w:left w:w="108" w:type="dxa"/>
            <w:bottom w:w="0" w:type="dxa"/>
            <w:right w:w="108" w:type="dxa"/>
          </w:tblCellMar>
        </w:tblPrEx>
        <w:trPr>
          <w:trHeight w:val="16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555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381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857A">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L*400*1000mm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A717">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5F96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312.00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A4AB">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2390775" cy="1266825"/>
                  <wp:effectExtent l="0" t="0" r="1905" b="13335"/>
                  <wp:docPr id="2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IMG_266"/>
                          <pic:cNvPicPr>
                            <a:picLocks noChangeAspect="1"/>
                          </pic:cNvPicPr>
                        </pic:nvPicPr>
                        <pic:blipFill>
                          <a:blip r:embed="rId23"/>
                          <a:stretch>
                            <a:fillRect/>
                          </a:stretch>
                        </pic:blipFill>
                        <pic:spPr>
                          <a:xfrm>
                            <a:off x="0" y="0"/>
                            <a:ext cx="2390775" cy="126682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32A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立柱、托盘架、乳化玻璃、铝合金挡边+PVC饰条</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4E83">
            <w:pPr>
              <w:pStyle w:val="7"/>
              <w:numPr>
                <w:ilvl w:val="255"/>
                <w:numId w:val="0"/>
              </w:num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立柱：采用方形柱≥100*40*2.0mm优质冷扎钢板经折弯、焊接、冲孔及表面经酸洗、磷化、抛光等处理后环氧树脂喷塑；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2.层板：双层≥8mm乳化玻璃层板，层板可上下调节，铝合金护栏内嵌PVC饰条，饰条颜色根据用户要求选择。</w:t>
            </w:r>
          </w:p>
          <w:p w14:paraId="0321B2ED">
            <w:pPr>
              <w:pStyle w:val="7"/>
              <w:numPr>
                <w:ilvl w:val="255"/>
                <w:numId w:val="0"/>
              </w:num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3.含钢制线槽624米，10A 220V 86型插座1248个。</w:t>
            </w:r>
          </w:p>
        </w:tc>
      </w:tr>
      <w:tr w14:paraId="41ADC25A">
        <w:tblPrEx>
          <w:tblCellMar>
            <w:top w:w="0" w:type="dxa"/>
            <w:left w:w="108" w:type="dxa"/>
            <w:bottom w:w="0" w:type="dxa"/>
            <w:right w:w="108" w:type="dxa"/>
          </w:tblCellMar>
        </w:tblPrEx>
        <w:trPr>
          <w:trHeight w:val="11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0975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321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天平台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456E">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900*600*850mm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F86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7A3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7591">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990600" cy="914400"/>
                  <wp:effectExtent l="0" t="0" r="0" b="0"/>
                  <wp:docPr id="3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67"/>
                          <pic:cNvPicPr>
                            <a:picLocks noChangeAspect="1"/>
                          </pic:cNvPicPr>
                        </pic:nvPicPr>
                        <pic:blipFill>
                          <a:blip r:embed="rId24"/>
                          <a:stretch>
                            <a:fillRect/>
                          </a:stretch>
                        </pic:blipFill>
                        <pic:spPr>
                          <a:xfrm>
                            <a:off x="0" y="0"/>
                            <a:ext cx="990600" cy="9144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65A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钢架、台面、减震装置组成</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94EF">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1.十万分之一级别。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2.核心材质：台面由两块独立材质组成，称量部位台面采用≥40mm大理石台面，其余部位台面采用≥19mm厚理化板台面，具备高强度、抗腐蚀、低形变特性，避免因材质自身伸缩或化学反应影响称量。</w:t>
            </w:r>
          </w:p>
        </w:tc>
      </w:tr>
      <w:tr w14:paraId="14A21CE7">
        <w:tblPrEx>
          <w:tblCellMar>
            <w:top w:w="0" w:type="dxa"/>
            <w:left w:w="108" w:type="dxa"/>
            <w:bottom w:w="0" w:type="dxa"/>
            <w:right w:w="108" w:type="dxa"/>
          </w:tblCellMar>
        </w:tblPrEx>
        <w:trPr>
          <w:trHeight w:val="16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F5B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85EA">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BE3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400*150*2150mm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0A3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84D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99.00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027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695325" cy="1247775"/>
                  <wp:effectExtent l="0" t="0" r="5715" b="1905"/>
                  <wp:docPr id="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71"/>
                          <pic:cNvPicPr>
                            <a:picLocks noChangeAspect="1"/>
                          </pic:cNvPicPr>
                        </pic:nvPicPr>
                        <pic:blipFill>
                          <a:blip r:embed="rId25"/>
                          <a:stretch>
                            <a:fillRect/>
                          </a:stretch>
                        </pic:blipFill>
                        <pic:spPr>
                          <a:xfrm>
                            <a:off x="0" y="0"/>
                            <a:ext cx="695325" cy="124777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2B20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钢材</w:t>
            </w:r>
          </w:p>
        </w:tc>
        <w:tc>
          <w:tcPr>
            <w:tcW w:w="3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1369">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材质：≥1.0mm厚钢板粉末喷涂、带检修口</w:t>
            </w:r>
          </w:p>
        </w:tc>
      </w:tr>
      <w:tr w14:paraId="24B15ABD">
        <w:tblPrEx>
          <w:tblCellMar>
            <w:top w:w="0" w:type="dxa"/>
            <w:left w:w="108" w:type="dxa"/>
            <w:bottom w:w="0" w:type="dxa"/>
            <w:right w:w="108" w:type="dxa"/>
          </w:tblCellMar>
        </w:tblPrEx>
        <w:trPr>
          <w:trHeight w:val="27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CB3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571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万向罩</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8308">
            <w:pPr>
              <w:jc w:val="left"/>
              <w:rPr>
                <w:rFonts w:ascii="微软雅黑" w:hAnsi="微软雅黑" w:eastAsia="微软雅黑" w:cs="微软雅黑"/>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EAA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BAA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3E0A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657350" cy="2143125"/>
                  <wp:effectExtent l="0" t="0" r="3810" b="5715"/>
                  <wp:docPr id="4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descr="IMG_275"/>
                          <pic:cNvPicPr>
                            <a:picLocks noChangeAspect="1"/>
                          </pic:cNvPicPr>
                        </pic:nvPicPr>
                        <pic:blipFill>
                          <a:blip r:embed="rId26"/>
                          <a:stretch>
                            <a:fillRect/>
                          </a:stretch>
                        </pic:blipFill>
                        <pic:spPr>
                          <a:xfrm>
                            <a:off x="0" y="0"/>
                            <a:ext cx="1657350" cy="214312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768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罩口、力臂、钢制底座</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17EB">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(1)主体：铝合金材质；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(2)关节：高密度PP材质，可360°旋转调节方向，易拆卸、重组及清洗；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(3)关节密封圈：不易老化之高密度橡胶；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(4)关节连接杆：304不锈钢；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(5)关节松紧旋钮：全铜材质，内嵌不锈钢轴承，与关节连接杆锁合；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(6)气流调节阀：手动调节外部阀门旋钮，控制进入之气流量；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(7)铝合金360°旋转装置：以固定架为中心最大活动半径≥1200mm；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(8)集气罩：高密度PC材质，圆形半碗状；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(9)固定底座：钢制材质，牢度强，不脱底。安装更方便，且安装后外观平整度高，光滑无凹凸，不易变形；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(10)集气罩耐高温性能：经≥110℃、≥1小时高温后，表面应无皱纹、收缩、裂纹等产品劣化现象。</w:t>
            </w:r>
          </w:p>
        </w:tc>
      </w:tr>
      <w:tr w14:paraId="62FEF6F6">
        <w:tblPrEx>
          <w:tblCellMar>
            <w:top w:w="0" w:type="dxa"/>
            <w:left w:w="108" w:type="dxa"/>
            <w:bottom w:w="0" w:type="dxa"/>
            <w:right w:w="108" w:type="dxa"/>
          </w:tblCellMar>
        </w:tblPrEx>
        <w:trPr>
          <w:trHeight w:val="11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9D7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3F78">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洗眼器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6497">
            <w:pPr>
              <w:jc w:val="left"/>
              <w:rPr>
                <w:rFonts w:ascii="微软雅黑" w:hAnsi="微软雅黑" w:eastAsia="微软雅黑" w:cs="微软雅黑"/>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1609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7E4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82.00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780C">
            <w:pPr>
              <w:widowControl/>
              <w:jc w:val="center"/>
              <w:textAlignment w:val="center"/>
              <w:rPr>
                <w:rFonts w:ascii="华文宋体" w:hAnsi="华文宋体" w:eastAsia="华文宋体" w:cs="华文宋体"/>
                <w:color w:val="000000"/>
                <w:sz w:val="20"/>
                <w:szCs w:val="20"/>
              </w:rPr>
            </w:pPr>
            <w:r>
              <w:rPr>
                <w:rFonts w:hint="eastAsia" w:ascii="华文宋体" w:hAnsi="华文宋体" w:eastAsia="华文宋体" w:cs="华文宋体"/>
                <w:color w:val="000000"/>
                <w:kern w:val="0"/>
                <w:sz w:val="20"/>
                <w:szCs w:val="20"/>
                <w:lang w:bidi="ar"/>
              </w:rPr>
              <w:drawing>
                <wp:inline distT="0" distB="0" distL="114300" distR="114300">
                  <wp:extent cx="504825" cy="914400"/>
                  <wp:effectExtent l="0" t="0" r="13335" b="0"/>
                  <wp:docPr id="3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IMG_276"/>
                          <pic:cNvPicPr>
                            <a:picLocks noChangeAspect="1"/>
                          </pic:cNvPicPr>
                        </pic:nvPicPr>
                        <pic:blipFill>
                          <a:blip r:embed="rId27"/>
                          <a:stretch>
                            <a:fillRect/>
                          </a:stretch>
                        </pic:blipFill>
                        <pic:spPr>
                          <a:xfrm>
                            <a:off x="0" y="0"/>
                            <a:ext cx="504825" cy="9144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A44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金属管、螺纹管，铜芯阀体</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C5FF">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(1)主体:高度240mm H59-1加厚铜质，符合YS/T910-2013黄铜中铜量的测定碘量法，铜含量≥59%。在压力0.20MPa下，时间3min/次，冲洗液流量：大于6.9L/min，能保持洗眼时间：≥15min。</w:t>
            </w:r>
          </w:p>
        </w:tc>
      </w:tr>
      <w:tr w14:paraId="2938C86C">
        <w:tblPrEx>
          <w:tblCellMar>
            <w:top w:w="0" w:type="dxa"/>
            <w:left w:w="108" w:type="dxa"/>
            <w:bottom w:w="0" w:type="dxa"/>
            <w:right w:w="108" w:type="dxa"/>
          </w:tblCellMar>
        </w:tblPrEx>
        <w:trPr>
          <w:trHeight w:val="18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86B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4FAF">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A553">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900*450*2000mm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226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97C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8BB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819150" cy="1438275"/>
                  <wp:effectExtent l="0" t="0" r="3810" b="9525"/>
                  <wp:docPr id="4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IMG_277"/>
                          <pic:cNvPicPr>
                            <a:picLocks noChangeAspect="1"/>
                          </pic:cNvPicPr>
                        </pic:nvPicPr>
                        <pic:blipFill>
                          <a:blip r:embed="rId28"/>
                          <a:stretch>
                            <a:fillRect/>
                          </a:stretch>
                        </pic:blipFill>
                        <pic:spPr>
                          <a:xfrm>
                            <a:off x="0" y="0"/>
                            <a:ext cx="819150" cy="143827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E089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AF3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1.材质：全304#不锈钢结构，≥1.2mm厚。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2.合页：316不锈钢材质。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3.拉手：采用不锈钢拉手，表面经化学处理，耐腐蚀，外形美观，设计人性化。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4.地脚：隐藏式地脚，高度可调至少包含0-15㎜，方便实用</w:t>
            </w:r>
          </w:p>
        </w:tc>
      </w:tr>
      <w:tr w14:paraId="3D791FEB">
        <w:tblPrEx>
          <w:tblCellMar>
            <w:top w:w="0" w:type="dxa"/>
            <w:left w:w="108" w:type="dxa"/>
            <w:bottom w:w="0" w:type="dxa"/>
            <w:right w:w="108" w:type="dxa"/>
          </w:tblCellMar>
        </w:tblPrEx>
        <w:trPr>
          <w:trHeight w:val="18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03A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0626">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不锈钢书写台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765C">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900*300*300mm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D28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9F6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8812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2206625" cy="1177925"/>
                  <wp:effectExtent l="0" t="0" r="3175" b="10795"/>
                  <wp:docPr id="4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descr="IMG_278"/>
                          <pic:cNvPicPr>
                            <a:picLocks noChangeAspect="1"/>
                          </pic:cNvPicPr>
                        </pic:nvPicPr>
                        <pic:blipFill>
                          <a:blip r:embed="rId29"/>
                          <a:stretch>
                            <a:fillRect/>
                          </a:stretch>
                        </pic:blipFill>
                        <pic:spPr>
                          <a:xfrm>
                            <a:off x="0" y="0"/>
                            <a:ext cx="2206625" cy="117792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2F5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3B38">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1.材质：全304#不锈钢结构，≥1.2mm厚。</w:t>
            </w:r>
          </w:p>
        </w:tc>
      </w:tr>
      <w:tr w14:paraId="3E17AF87">
        <w:tblPrEx>
          <w:tblCellMar>
            <w:top w:w="0" w:type="dxa"/>
            <w:left w:w="108" w:type="dxa"/>
            <w:bottom w:w="0" w:type="dxa"/>
            <w:right w:w="108" w:type="dxa"/>
          </w:tblCellMar>
        </w:tblPrEx>
        <w:trPr>
          <w:trHeight w:val="129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CCF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6FAE">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手术室吊塔钢吊支架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695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600*600mm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E01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39F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A01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029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槽钢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EA61">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材质：支架采用8#槽钢、L40*4角钢斜撑和10mm厚钢板焊接制作而成，支架用M10高强度螺栓与钢筋砼板固定；吊塔基板与支架下部连接</w:t>
            </w:r>
          </w:p>
        </w:tc>
      </w:tr>
      <w:tr w14:paraId="6AC5988A">
        <w:tblPrEx>
          <w:tblCellMar>
            <w:top w:w="0" w:type="dxa"/>
            <w:left w:w="108" w:type="dxa"/>
            <w:bottom w:w="0" w:type="dxa"/>
            <w:right w:w="108" w:type="dxa"/>
          </w:tblCellMar>
        </w:tblPrEx>
        <w:trPr>
          <w:trHeight w:val="14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063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9DD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无影灯钢吊支架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BDA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定做</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E92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2D0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EE6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095375" cy="1152525"/>
                  <wp:effectExtent l="0" t="0" r="1905" b="5715"/>
                  <wp:docPr id="3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79"/>
                          <pic:cNvPicPr>
                            <a:picLocks noChangeAspect="1"/>
                          </pic:cNvPicPr>
                        </pic:nvPicPr>
                        <pic:blipFill>
                          <a:blip r:embed="rId30"/>
                          <a:stretch>
                            <a:fillRect/>
                          </a:stretch>
                        </pic:blipFill>
                        <pic:spPr>
                          <a:xfrm>
                            <a:off x="0" y="0"/>
                            <a:ext cx="1095375" cy="115252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C9B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镀锌钢管</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98DD">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材质：支架采用DN100镀锌钢管与10mm厚钢板焊接制作而成，支架用M10高强度螺栓与钢筋砼板固定；吊塔基板与支架下部连接</w:t>
            </w:r>
          </w:p>
        </w:tc>
      </w:tr>
      <w:tr w14:paraId="60ABC808">
        <w:tblPrEx>
          <w:tblCellMar>
            <w:top w:w="0" w:type="dxa"/>
            <w:left w:w="108" w:type="dxa"/>
            <w:bottom w:w="0" w:type="dxa"/>
            <w:right w:w="108" w:type="dxa"/>
          </w:tblCellMar>
        </w:tblPrEx>
        <w:trPr>
          <w:trHeight w:val="19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CC2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AEE3">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软水机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408A">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产水量：2T/h</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C07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8D0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5AE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400175" cy="1504950"/>
                  <wp:effectExtent l="0" t="0" r="1905" b="3810"/>
                  <wp:docPr id="4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descr="IMG_280"/>
                          <pic:cNvPicPr>
                            <a:picLocks noChangeAspect="1"/>
                          </pic:cNvPicPr>
                        </pic:nvPicPr>
                        <pic:blipFill>
                          <a:blip r:embed="rId31"/>
                          <a:stretch>
                            <a:fillRect/>
                          </a:stretch>
                        </pic:blipFill>
                        <pic:spPr>
                          <a:xfrm>
                            <a:off x="0" y="0"/>
                            <a:ext cx="1400175" cy="150495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DD6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智能控制屏幕</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2F67">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1.用途：制取软水，用于笼具的清洗，灭菌器的使用等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2.产水量：2T/h</w:t>
            </w:r>
          </w:p>
        </w:tc>
      </w:tr>
      <w:tr w14:paraId="352395B7">
        <w:tblPrEx>
          <w:tblCellMar>
            <w:top w:w="0" w:type="dxa"/>
            <w:left w:w="108" w:type="dxa"/>
            <w:bottom w:w="0" w:type="dxa"/>
            <w:right w:w="108" w:type="dxa"/>
          </w:tblCellMar>
        </w:tblPrEx>
        <w:trPr>
          <w:trHeight w:val="18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C7C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2CE9">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不锈钢货架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EFC4">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1200*500*1900mm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FAF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C47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AF7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133475" cy="1476375"/>
                  <wp:effectExtent l="0" t="0" r="9525" b="1905"/>
                  <wp:docPr id="5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IMG_281"/>
                          <pic:cNvPicPr>
                            <a:picLocks noChangeAspect="1"/>
                          </pic:cNvPicPr>
                        </pic:nvPicPr>
                        <pic:blipFill>
                          <a:blip r:embed="rId32"/>
                          <a:stretch>
                            <a:fillRect/>
                          </a:stretch>
                        </pic:blipFill>
                        <pic:spPr>
                          <a:xfrm>
                            <a:off x="0" y="0"/>
                            <a:ext cx="1133475" cy="147637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174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6ED7">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材质：≥1.2mm304不锈钢材质；层板上下可调，层板数量4块</w:t>
            </w:r>
          </w:p>
        </w:tc>
      </w:tr>
      <w:tr w14:paraId="2601ABD2">
        <w:tblPrEx>
          <w:tblCellMar>
            <w:top w:w="0" w:type="dxa"/>
            <w:left w:w="108" w:type="dxa"/>
            <w:bottom w:w="0" w:type="dxa"/>
            <w:right w:w="108" w:type="dxa"/>
          </w:tblCellMar>
        </w:tblPrEx>
        <w:trPr>
          <w:trHeight w:val="15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7F3E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B52C">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不锈钢鞋凳</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C82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2600*350*500mm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4BE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618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745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2237105" cy="984885"/>
                  <wp:effectExtent l="0" t="0" r="3175" b="5715"/>
                  <wp:docPr id="1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IMG_282"/>
                          <pic:cNvPicPr>
                            <a:picLocks noChangeAspect="1"/>
                          </pic:cNvPicPr>
                        </pic:nvPicPr>
                        <pic:blipFill>
                          <a:blip r:embed="rId33"/>
                          <a:stretch>
                            <a:fillRect/>
                          </a:stretch>
                        </pic:blipFill>
                        <pic:spPr>
                          <a:xfrm>
                            <a:off x="0" y="0"/>
                            <a:ext cx="2237105" cy="984885"/>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3EB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8116">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面板：采用≥1.2mm厚304不锈钢钢板制作，基材采用≥25mm厚三聚氰胺板上下双面不锈钢包裹.</w:t>
            </w:r>
          </w:p>
        </w:tc>
      </w:tr>
      <w:tr w14:paraId="6D4DBDA1">
        <w:tblPrEx>
          <w:tblCellMar>
            <w:top w:w="0" w:type="dxa"/>
            <w:left w:w="108" w:type="dxa"/>
            <w:bottom w:w="0" w:type="dxa"/>
            <w:right w:w="108" w:type="dxa"/>
          </w:tblCellMar>
        </w:tblPrEx>
        <w:trPr>
          <w:trHeight w:val="18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6E3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26F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不锈钢水槽台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2A30">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650*500*850mm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0F8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F68E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ACA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1257300" cy="1428750"/>
                  <wp:effectExtent l="0" t="0" r="7620" b="3810"/>
                  <wp:docPr id="1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IMG_283"/>
                          <pic:cNvPicPr>
                            <a:picLocks noChangeAspect="1"/>
                          </pic:cNvPicPr>
                        </pic:nvPicPr>
                        <pic:blipFill>
                          <a:blip r:embed="rId34"/>
                          <a:stretch>
                            <a:fillRect/>
                          </a:stretch>
                        </pic:blipFill>
                        <pic:spPr>
                          <a:xfrm>
                            <a:off x="0" y="0"/>
                            <a:ext cx="1257300" cy="142875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3BC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796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1.材质：全SUS304#不锈钢结构，≥1.0mm厚SUS304#钢板制作。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2.台面：≥1.0mm厚SUS304#钢板制作。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3.合页：304不锈钢材质。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4.拉手：采用不锈钢拉手或一字折弯拉手。模具成型，表面经化学处理，耐腐蚀，外形美观，设计人性化。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5.地脚：隐藏式地脚，高度可调至少包含0-15㎜，方便实用。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6.含感应水龙头</w:t>
            </w:r>
          </w:p>
        </w:tc>
      </w:tr>
      <w:tr w14:paraId="64470E05">
        <w:tblPrEx>
          <w:tblCellMar>
            <w:top w:w="0" w:type="dxa"/>
            <w:left w:w="108" w:type="dxa"/>
            <w:bottom w:w="0" w:type="dxa"/>
            <w:right w:w="108" w:type="dxa"/>
          </w:tblCellMar>
        </w:tblPrEx>
        <w:trPr>
          <w:trHeight w:val="14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279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A358">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钢质气密门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9822">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1000*2300mm</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B23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樘</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75F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50.00 </w:t>
            </w:r>
          </w:p>
        </w:tc>
        <w:tc>
          <w:tcPr>
            <w:tcW w:w="3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63FC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drawing>
                <wp:inline distT="0" distB="0" distL="114300" distR="114300">
                  <wp:extent cx="733425" cy="1104900"/>
                  <wp:effectExtent l="0" t="0" r="13335" b="7620"/>
                  <wp:docPr id="2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4"/>
                          <pic:cNvPicPr>
                            <a:picLocks noChangeAspect="1"/>
                          </pic:cNvPicPr>
                        </pic:nvPicPr>
                        <pic:blipFill>
                          <a:blip r:embed="rId35"/>
                          <a:stretch>
                            <a:fillRect/>
                          </a:stretch>
                        </pic:blipFill>
                        <pic:spPr>
                          <a:xfrm>
                            <a:off x="0" y="0"/>
                            <a:ext cx="733425" cy="1104900"/>
                          </a:xfrm>
                          <a:prstGeom prst="rect">
                            <a:avLst/>
                          </a:prstGeom>
                          <a:noFill/>
                          <a:ln w="9525">
                            <a:noFill/>
                          </a:ln>
                        </pic:spPr>
                      </pic:pic>
                    </a:graphicData>
                  </a:graphic>
                </wp:inline>
              </w:drawing>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2BB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锁、门把手、观察窗</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86B6">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1、门板：采用成品钢质气密门，表面静电喷涂。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2、门框：门框均为钢制门框，门框宽度与墙体配套。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3、视窗：钢化玻璃，满足防火要求。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4、附件：配套五金件、门锁、执手、闭门器，电子锁部位加补强板，带密封条和可调节扫地条。</w:t>
            </w:r>
          </w:p>
        </w:tc>
      </w:tr>
    </w:tbl>
    <w:p w14:paraId="35B13908">
      <w:pPr>
        <w:pStyle w:val="21"/>
        <w:numPr>
          <w:ilvl w:val="0"/>
          <w:numId w:val="0"/>
        </w:numPr>
        <w:rPr>
          <w:rFonts w:ascii="微软雅黑" w:hAnsi="微软雅黑" w:eastAsia="微软雅黑" w:cs="微软雅黑"/>
          <w:sz w:val="21"/>
          <w:szCs w:val="21"/>
        </w:rPr>
      </w:pPr>
    </w:p>
    <w:p w14:paraId="2B73C630">
      <w:pPr>
        <w:pStyle w:val="21"/>
        <w:numPr>
          <w:ilvl w:val="0"/>
          <w:numId w:val="0"/>
        </w:numPr>
        <w:rPr>
          <w:rFonts w:ascii="微软雅黑" w:hAnsi="微软雅黑" w:eastAsia="微软雅黑" w:cs="微软雅黑"/>
          <w:sz w:val="21"/>
          <w:szCs w:val="21"/>
        </w:rPr>
      </w:pPr>
    </w:p>
    <w:p w14:paraId="38CC5981">
      <w:pPr>
        <w:pStyle w:val="4"/>
        <w:rPr>
          <w:rFonts w:ascii="宋体" w:hAnsi="宋体" w:eastAsia="宋体" w:cs="宋体"/>
          <w:b w:val="0"/>
          <w:sz w:val="21"/>
        </w:rPr>
      </w:pPr>
      <w:r>
        <w:rPr>
          <w:rFonts w:hint="eastAsia" w:ascii="宋体" w:hAnsi="宋体" w:eastAsia="宋体" w:cs="宋体"/>
          <w:b w:val="0"/>
          <w:sz w:val="21"/>
        </w:rPr>
        <w:t>注：</w:t>
      </w:r>
    </w:p>
    <w:p w14:paraId="5E003C36">
      <w:pPr>
        <w:pStyle w:val="4"/>
        <w:rPr>
          <w:rFonts w:ascii="宋体" w:hAnsi="宋体" w:eastAsia="宋体" w:cs="宋体"/>
          <w:b w:val="0"/>
          <w:sz w:val="21"/>
        </w:rPr>
      </w:pPr>
      <w:r>
        <w:rPr>
          <w:rFonts w:hint="eastAsia" w:ascii="宋体" w:hAnsi="宋体" w:eastAsia="宋体" w:cs="宋体"/>
          <w:b w:val="0"/>
          <w:sz w:val="21"/>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5FBA6DE5">
      <w:pPr>
        <w:pStyle w:val="4"/>
        <w:rPr>
          <w:rFonts w:ascii="宋体" w:hAnsi="宋体" w:eastAsia="宋体" w:cs="宋体"/>
          <w:b w:val="0"/>
          <w:sz w:val="21"/>
        </w:rPr>
      </w:pPr>
      <w:r>
        <w:rPr>
          <w:rFonts w:hint="eastAsia" w:ascii="宋体" w:hAnsi="宋体" w:eastAsia="宋体" w:cs="宋体"/>
          <w:b w:val="0"/>
          <w:sz w:val="21"/>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66A12C71">
      <w:pPr>
        <w:pStyle w:val="4"/>
        <w:rPr>
          <w:rFonts w:ascii="宋体" w:hAnsi="宋体" w:eastAsia="宋体" w:cs="宋体"/>
          <w:b w:val="0"/>
          <w:sz w:val="21"/>
        </w:rPr>
      </w:pPr>
      <w:r>
        <w:rPr>
          <w:rFonts w:hint="eastAsia" w:ascii="宋体" w:hAnsi="宋体" w:eastAsia="宋体" w:cs="宋体"/>
          <w:b w:val="0"/>
          <w:sz w:val="21"/>
        </w:rPr>
        <w:t>3）项目需求中指出的技术标准与规范如有更新，应以最新的标准规范实施。</w:t>
      </w:r>
    </w:p>
    <w:p w14:paraId="5763E963">
      <w:pPr>
        <w:pStyle w:val="4"/>
        <w:rPr>
          <w:rFonts w:ascii="宋体" w:hAnsi="宋体" w:eastAsia="宋体" w:cs="宋体"/>
          <w:b w:val="0"/>
          <w:sz w:val="21"/>
        </w:rPr>
      </w:pPr>
      <w:r>
        <w:rPr>
          <w:rFonts w:hint="eastAsia" w:ascii="宋体" w:hAnsi="宋体" w:eastAsia="宋体" w:cs="宋体"/>
          <w:b w:val="0"/>
          <w:sz w:val="21"/>
        </w:rPr>
        <w:t>4）所有采购家具产品，均需经使用方确认最终的色样方可采购或制作。</w:t>
      </w:r>
    </w:p>
    <w:p w14:paraId="58EC54D0">
      <w:pPr>
        <w:pStyle w:val="21"/>
        <w:numPr>
          <w:ilvl w:val="0"/>
          <w:numId w:val="0"/>
        </w:numPr>
        <w:rPr>
          <w:rFonts w:ascii="微软雅黑" w:hAnsi="微软雅黑" w:eastAsia="微软雅黑" w:cs="微软雅黑"/>
          <w:sz w:val="21"/>
          <w:szCs w:val="21"/>
        </w:rPr>
      </w:pPr>
    </w:p>
    <w:p w14:paraId="41DE5FCF">
      <w:pPr>
        <w:widowControl/>
        <w:jc w:val="left"/>
      </w:pPr>
      <w:r>
        <w:rPr>
          <w:rFonts w:hint="eastAsia" w:ascii="微软雅黑" w:hAnsi="微软雅黑" w:eastAsia="微软雅黑" w:cs="微软雅黑"/>
          <w:b/>
          <w:bCs/>
          <w:szCs w:val="21"/>
        </w:rPr>
        <w:br w:type="page"/>
      </w:r>
    </w:p>
    <w:p w14:paraId="687FF5EE">
      <w:pPr>
        <w:numPr>
          <w:ilvl w:val="0"/>
          <w:numId w:val="3"/>
        </w:numPr>
        <w:spacing w:line="360" w:lineRule="auto"/>
        <w:ind w:left="442" w:hanging="442"/>
        <w:outlineLvl w:val="0"/>
        <w:rPr>
          <w:rFonts w:ascii="微软雅黑" w:hAnsi="微软雅黑" w:eastAsia="微软雅黑" w:cs="微软雅黑"/>
          <w:b/>
          <w:bCs/>
          <w:szCs w:val="21"/>
        </w:rPr>
      </w:pPr>
      <w:r>
        <w:rPr>
          <w:rFonts w:hint="eastAsia" w:ascii="微软雅黑" w:hAnsi="微软雅黑" w:eastAsia="微软雅黑" w:cs="微软雅黑"/>
          <w:b/>
          <w:bCs/>
          <w:szCs w:val="21"/>
        </w:rPr>
        <w:t>材料要求</w:t>
      </w:r>
    </w:p>
    <w:p w14:paraId="5ABBA04E">
      <w:pPr>
        <w:pStyle w:val="21"/>
        <w:numPr>
          <w:ilvl w:val="0"/>
          <w:numId w:val="6"/>
        </w:numPr>
        <w:jc w:val="left"/>
        <w:rPr>
          <w:rFonts w:ascii="微软雅黑" w:hAnsi="微软雅黑" w:eastAsia="微软雅黑" w:cs="微软雅黑"/>
          <w:b/>
          <w:bCs/>
          <w:sz w:val="21"/>
          <w:szCs w:val="21"/>
        </w:rPr>
      </w:pPr>
      <w:r>
        <w:rPr>
          <w:rFonts w:hint="eastAsia" w:ascii="微软雅黑" w:hAnsi="微软雅黑" w:eastAsia="微软雅黑" w:cs="微软雅黑"/>
          <w:b/>
          <w:bCs/>
          <w:sz w:val="21"/>
          <w:szCs w:val="21"/>
        </w:rPr>
        <w:t>提供以下原材料的检测报告用作评分及验收：</w:t>
      </w:r>
    </w:p>
    <w:p w14:paraId="5604DA31">
      <w:pPr>
        <w:pStyle w:val="21"/>
        <w:numPr>
          <w:ilvl w:val="0"/>
          <w:numId w:val="7"/>
        </w:numPr>
        <w:jc w:val="left"/>
        <w:rPr>
          <w:rFonts w:ascii="微软雅黑" w:hAnsi="微软雅黑" w:eastAsia="微软雅黑" w:cs="微软雅黑"/>
          <w:kern w:val="0"/>
          <w:sz w:val="21"/>
          <w:szCs w:val="21"/>
        </w:rPr>
      </w:pPr>
      <w:r>
        <w:rPr>
          <w:rFonts w:hint="eastAsia" w:ascii="微软雅黑" w:hAnsi="微软雅黑" w:eastAsia="微软雅黑" w:cs="微软雅黑"/>
          <w:kern w:val="0"/>
          <w:sz w:val="21"/>
          <w:szCs w:val="21"/>
        </w:rPr>
        <w:t>理化板台面：</w:t>
      </w:r>
    </w:p>
    <w:p w14:paraId="6E3A153A">
      <w:pPr>
        <w:numPr>
          <w:ilvl w:val="0"/>
          <w:numId w:val="8"/>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化学性能：检测报告需符合GB/T 17657-2022耐化学腐蚀-氢氟酸40%、硫酸98%、盐酸37%、硝酸65%、氢氧化钠40%、氯化铁10%、凡士林、王水等77种常见化学试剂，检验结果均为“无明显变化”，分级结果为“5级”。</w:t>
      </w:r>
    </w:p>
    <w:p w14:paraId="060F722B">
      <w:pPr>
        <w:numPr>
          <w:ilvl w:val="0"/>
          <w:numId w:val="8"/>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理化性能：检测报告需符合GB/T 17657-2022物理安全性-静曲强度≥144.2Mpa，弹性模量≥13583Mpa，24h吸水率 ≤0.1%，浸渍剥离性能，检测结果无剥离，无分层；</w:t>
      </w:r>
    </w:p>
    <w:p w14:paraId="0DA9F64C">
      <w:pPr>
        <w:numPr>
          <w:ilvl w:val="0"/>
          <w:numId w:val="8"/>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燃烧性能：检测报告需符合GB8624-2012标准中难燃B1（C-s1,d0,t0）级，烟气毒性等级为ZA1级；</w:t>
      </w:r>
    </w:p>
    <w:p w14:paraId="1BF46660">
      <w:pPr>
        <w:numPr>
          <w:ilvl w:val="0"/>
          <w:numId w:val="8"/>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耐黄变色牢度：检测报告需符合GB/T17657-2022检测结果为灰色样卡5级；</w:t>
      </w:r>
    </w:p>
    <w:p w14:paraId="778B68F7">
      <w:pPr>
        <w:numPr>
          <w:ilvl w:val="0"/>
          <w:numId w:val="8"/>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重金属：检测报告需符合GB 18586-2001重金属可溶性铅、可溶性镉未检出。</w:t>
      </w:r>
    </w:p>
    <w:p w14:paraId="4D5FB828">
      <w:pPr>
        <w:widowControl/>
        <w:numPr>
          <w:ilvl w:val="0"/>
          <w:numId w:val="8"/>
        </w:numPr>
        <w:jc w:val="left"/>
      </w:pPr>
      <w:r>
        <w:rPr>
          <w:rFonts w:hint="eastAsia" w:ascii="思源黑体" w:hAnsi="思源黑体" w:eastAsia="思源黑体" w:cs="思源黑体"/>
          <w:snapToGrid w:val="0"/>
          <w:szCs w:val="21"/>
        </w:rPr>
        <w:t>绿色环保性能：检测报告需符合GB/T 39600-2021甲醛释放量≦0.020mg/m³；三聚氰胺迁移量符合GB 31604.15-2016，三聚氰胺迁移量≤</w:t>
      </w:r>
      <w:r>
        <w:rPr>
          <w:rFonts w:ascii="思源黑体" w:hAnsi="思源黑体" w:eastAsia="思源黑体" w:cs="思源黑体"/>
          <w:snapToGrid w:val="0"/>
          <w:szCs w:val="21"/>
        </w:rPr>
        <w:t>0.2MG/KG</w:t>
      </w:r>
      <w:r>
        <w:rPr>
          <w:rFonts w:hint="eastAsia" w:ascii="思源黑体" w:hAnsi="思源黑体" w:eastAsia="思源黑体" w:cs="思源黑体"/>
          <w:snapToGrid w:val="0"/>
          <w:szCs w:val="21"/>
        </w:rPr>
        <w:t>。</w:t>
      </w:r>
    </w:p>
    <w:p w14:paraId="6F602959">
      <w:pPr>
        <w:numPr>
          <w:ilvl w:val="0"/>
          <w:numId w:val="8"/>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抗菌性能：需提供第三方检测机构出具的检测报告内容包括不限于大肠杆菌、金黄色葡萄球菌、肺炎克雷伯氏菌、表皮葡萄球菌抗菌率、宋内氏志贺氏菌（宋氏志贺氏菌）抗菌率均能达到≥92%。</w:t>
      </w:r>
    </w:p>
    <w:p w14:paraId="5A4EE447">
      <w:pPr>
        <w:pStyle w:val="7"/>
      </w:pPr>
    </w:p>
    <w:p w14:paraId="5BB52788">
      <w:pPr>
        <w:pStyle w:val="21"/>
        <w:numPr>
          <w:ilvl w:val="0"/>
          <w:numId w:val="7"/>
        </w:numPr>
        <w:jc w:val="left"/>
        <w:rPr>
          <w:rFonts w:ascii="思源黑体" w:hAnsi="思源黑体" w:eastAsia="思源黑体" w:cs="思源黑体"/>
          <w:kern w:val="0"/>
          <w:sz w:val="21"/>
          <w:szCs w:val="21"/>
        </w:rPr>
      </w:pPr>
      <w:r>
        <w:rPr>
          <w:rFonts w:hint="eastAsia" w:ascii="思源黑体" w:hAnsi="思源黑体" w:eastAsia="思源黑体" w:cs="思源黑体"/>
          <w:kern w:val="0"/>
          <w:sz w:val="21"/>
          <w:szCs w:val="21"/>
        </w:rPr>
        <w:t>陶瓷板：</w:t>
      </w:r>
    </w:p>
    <w:p w14:paraId="6091D85A">
      <w:pPr>
        <w:numPr>
          <w:ilvl w:val="0"/>
          <w:numId w:val="9"/>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抗老化测试：检测报告需符合ISO 4892-3：2016、GB/T 1766-2008通过紫外老化测试（灯型：UVA-340，辐照度：0.76W·m-2·nm-1，暴露方式：60℃辐照8h+50℃无辐照冷凝4h，试验时长：≥500h），色牢度等级≥3级。</w:t>
      </w:r>
    </w:p>
    <w:p w14:paraId="50DA9890">
      <w:pPr>
        <w:numPr>
          <w:ilvl w:val="0"/>
          <w:numId w:val="9"/>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抗冲击性：检测报告需符合GB/T 3810.5-2016结果值≥0.91。</w:t>
      </w:r>
    </w:p>
    <w:p w14:paraId="6AC4410D">
      <w:pPr>
        <w:numPr>
          <w:ilvl w:val="0"/>
          <w:numId w:val="9"/>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落球冲击：检测报告需符合JG/T 463-2014结果≥4.0J。</w:t>
      </w:r>
    </w:p>
    <w:p w14:paraId="49050BEF">
      <w:pPr>
        <w:numPr>
          <w:ilvl w:val="0"/>
          <w:numId w:val="9"/>
        </w:numPr>
        <w:rPr>
          <w:rFonts w:ascii="思源黑体" w:hAnsi="思源黑体" w:eastAsia="思源黑体" w:cs="思源黑体"/>
          <w:snapToGrid w:val="0"/>
          <w:szCs w:val="21"/>
        </w:rPr>
      </w:pPr>
      <w:r>
        <w:rPr>
          <w:rFonts w:hint="eastAsia" w:ascii="思源黑体" w:hAnsi="思源黑体" w:eastAsia="思源黑体" w:cs="思源黑体"/>
          <w:snapToGrid w:val="0"/>
          <w:szCs w:val="21"/>
        </w:rPr>
        <w:t>压缩强度：检测报告需符合GB/T 9966.1-2020结果≥512MPa。</w:t>
      </w:r>
    </w:p>
    <w:p w14:paraId="2F7FB01C">
      <w:pPr>
        <w:spacing w:line="360" w:lineRule="auto"/>
        <w:rPr>
          <w:rFonts w:ascii="微软雅黑" w:hAnsi="微软雅黑" w:eastAsia="微软雅黑" w:cs="微软雅黑"/>
          <w:szCs w:val="21"/>
        </w:rPr>
      </w:pPr>
    </w:p>
    <w:p w14:paraId="4300C158">
      <w:pPr>
        <w:spacing w:line="360" w:lineRule="auto"/>
        <w:rPr>
          <w:rFonts w:ascii="微软雅黑" w:hAnsi="微软雅黑" w:eastAsia="微软雅黑" w:cs="微软雅黑"/>
          <w:szCs w:val="21"/>
        </w:rPr>
      </w:pPr>
    </w:p>
    <w:p w14:paraId="4805ABC1">
      <w:pPr>
        <w:spacing w:line="360" w:lineRule="auto"/>
        <w:rPr>
          <w:rFonts w:ascii="微软雅黑" w:hAnsi="微软雅黑" w:eastAsia="微软雅黑" w:cs="微软雅黑"/>
          <w:szCs w:val="21"/>
        </w:rPr>
      </w:pPr>
      <w:r>
        <w:rPr>
          <w:rFonts w:hint="eastAsia" w:ascii="微软雅黑" w:hAnsi="微软雅黑" w:eastAsia="微软雅黑" w:cs="微软雅黑"/>
          <w:szCs w:val="21"/>
        </w:rPr>
        <w:t>（二）说明：</w:t>
      </w:r>
    </w:p>
    <w:p w14:paraId="0DF9DCAA">
      <w:pPr>
        <w:spacing w:line="360" w:lineRule="auto"/>
        <w:rPr>
          <w:rFonts w:ascii="微软雅黑" w:hAnsi="微软雅黑" w:eastAsia="微软雅黑" w:cs="微软雅黑"/>
          <w:szCs w:val="21"/>
        </w:rPr>
      </w:pPr>
      <w:r>
        <w:rPr>
          <w:rFonts w:hint="eastAsia" w:ascii="微软雅黑" w:hAnsi="微软雅黑" w:eastAsia="微软雅黑" w:cs="微软雅黑"/>
          <w:szCs w:val="21"/>
        </w:rPr>
        <w:t>1、上述原材料要求如与“</w:t>
      </w:r>
      <w:r>
        <w:rPr>
          <w:rFonts w:hint="eastAsia" w:ascii="微软雅黑" w:hAnsi="微软雅黑" w:eastAsia="微软雅黑" w:cs="微软雅黑"/>
          <w:szCs w:val="21"/>
          <w:lang w:eastAsia="zh-CN"/>
        </w:rPr>
        <w:t>三</w:t>
      </w:r>
      <w:r>
        <w:rPr>
          <w:rFonts w:hint="eastAsia" w:ascii="微软雅黑" w:hAnsi="微软雅黑" w:eastAsia="微软雅黑" w:cs="微软雅黑"/>
          <w:szCs w:val="21"/>
        </w:rPr>
        <w:t>、采购品目分类、参考样式、规格、基本组成、质量标准等要求”不一致，以上述要求为准，检测报告原件备查；</w:t>
      </w:r>
    </w:p>
    <w:p w14:paraId="15450BAD">
      <w:pPr>
        <w:spacing w:line="360" w:lineRule="auto"/>
        <w:rPr>
          <w:rFonts w:ascii="微软雅黑" w:hAnsi="微软雅黑" w:eastAsia="微软雅黑" w:cs="微软雅黑"/>
          <w:szCs w:val="21"/>
        </w:rPr>
      </w:pPr>
      <w:r>
        <w:rPr>
          <w:rFonts w:hint="eastAsia" w:ascii="微软雅黑" w:hAnsi="微软雅黑" w:eastAsia="微软雅黑" w:cs="微软雅黑"/>
          <w:szCs w:val="21"/>
        </w:rPr>
        <w:t>2、针对不同叫法的同一原材料，其检测报告均予认可（如名称不一致，需注明需求中对应的原材料名称）。</w:t>
      </w:r>
    </w:p>
    <w:p w14:paraId="6F41E43B">
      <w:pPr>
        <w:spacing w:line="360" w:lineRule="auto"/>
        <w:rPr>
          <w:rFonts w:ascii="微软雅黑" w:hAnsi="微软雅黑" w:eastAsia="微软雅黑" w:cs="微软雅黑"/>
          <w:szCs w:val="21"/>
        </w:rPr>
      </w:pPr>
      <w:r>
        <w:rPr>
          <w:rFonts w:hint="eastAsia" w:ascii="微软雅黑" w:hAnsi="微软雅黑" w:eastAsia="微软雅黑" w:cs="微软雅黑"/>
          <w:szCs w:val="21"/>
        </w:rPr>
        <w:t>3、检测报告上的委托单位(受检单位)名称必须与投标人或投标产品的生产厂家或原材料生产厂家一致。每份检测报告均需带有CMA标识。报告签发时间不早于2023年1月1日。</w:t>
      </w:r>
    </w:p>
    <w:p w14:paraId="5CF5E261">
      <w:pPr>
        <w:spacing w:line="360" w:lineRule="auto"/>
        <w:rPr>
          <w:rFonts w:ascii="微软雅黑" w:hAnsi="微软雅黑" w:eastAsia="微软雅黑" w:cs="微软雅黑"/>
          <w:b/>
          <w:bCs/>
          <w:szCs w:val="21"/>
        </w:rPr>
      </w:pPr>
      <w:r>
        <w:rPr>
          <w:rFonts w:hint="eastAsia" w:ascii="微软雅黑" w:hAnsi="微软雅黑" w:eastAsia="微软雅黑" w:cs="微软雅黑"/>
          <w:b/>
          <w:bCs/>
          <w:szCs w:val="21"/>
        </w:rPr>
        <w:t>4、投标人需提供承诺函，承诺货物生产过程中，拟投入的原材料不低于上述检测报告结果，未提供承诺函及相应检测报告者不得分。</w:t>
      </w:r>
    </w:p>
    <w:p w14:paraId="38207E15">
      <w:pPr>
        <w:spacing w:line="360" w:lineRule="auto"/>
        <w:rPr>
          <w:rFonts w:ascii="微软雅黑" w:hAnsi="微软雅黑" w:eastAsia="微软雅黑" w:cs="微软雅黑"/>
          <w:szCs w:val="21"/>
        </w:rPr>
      </w:pPr>
    </w:p>
    <w:p w14:paraId="5B9B4D1E">
      <w:pPr>
        <w:widowControl/>
        <w:jc w:val="left"/>
        <w:rPr>
          <w:rFonts w:ascii="微软雅黑" w:hAnsi="微软雅黑" w:eastAsia="微软雅黑" w:cs="微软雅黑"/>
          <w:szCs w:val="21"/>
          <w14:ligatures w14:val="none"/>
        </w:rPr>
      </w:pPr>
    </w:p>
    <w:p w14:paraId="0AFDBFF8">
      <w:pPr>
        <w:numPr>
          <w:ilvl w:val="0"/>
          <w:numId w:val="3"/>
        </w:numPr>
        <w:spacing w:line="360" w:lineRule="auto"/>
        <w:ind w:left="442" w:hanging="442"/>
        <w:outlineLvl w:val="0"/>
        <w:rPr>
          <w:rFonts w:ascii="微软雅黑" w:hAnsi="微软雅黑" w:eastAsia="微软雅黑" w:cs="微软雅黑"/>
          <w:b/>
          <w:bCs/>
          <w:szCs w:val="21"/>
        </w:rPr>
      </w:pPr>
      <w:r>
        <w:rPr>
          <w:rFonts w:hint="eastAsia" w:ascii="微软雅黑" w:hAnsi="微软雅黑" w:eastAsia="微软雅黑" w:cs="微软雅黑"/>
          <w:b/>
          <w:bCs/>
          <w:szCs w:val="21"/>
        </w:rPr>
        <w:t>颜色要求</w:t>
      </w:r>
    </w:p>
    <w:p w14:paraId="4E48F43C">
      <w:pPr>
        <w:spacing w:line="360" w:lineRule="auto"/>
        <w:ind w:firstLine="426" w:firstLineChars="202"/>
        <w:rPr>
          <w:rFonts w:ascii="微软雅黑" w:hAnsi="微软雅黑" w:eastAsia="微软雅黑" w:cs="微软雅黑"/>
          <w:b/>
          <w:bCs/>
          <w:szCs w:val="21"/>
        </w:rPr>
      </w:pPr>
      <w:r>
        <w:rPr>
          <w:rFonts w:hint="eastAsia" w:ascii="微软雅黑" w:hAnsi="微软雅黑" w:eastAsia="微软雅黑" w:cs="微软雅黑"/>
          <w:b/>
          <w:bCs/>
          <w:szCs w:val="21"/>
        </w:rPr>
        <w:t>实验家具颜色应与建筑内装饰风格相适应，以单色为主，不宜过于鲜艳，主体颜色投标时暂按以下要求考虑，中标后具体颜色须待采购人明确后方可下单制作。（请投标方注意，中标后价格不因具体颜色的调整而改变，报价时应综合考虑该因素）</w:t>
      </w:r>
    </w:p>
    <w:tbl>
      <w:tblPr>
        <w:tblStyle w:val="13"/>
        <w:tblpPr w:leftFromText="180" w:rightFromText="180" w:vertAnchor="text" w:horzAnchor="page" w:tblpX="1152" w:tblpY="674"/>
        <w:tblOverlap w:val="never"/>
        <w:tblW w:w="45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16"/>
        <w:gridCol w:w="8703"/>
      </w:tblGrid>
      <w:tr w14:paraId="66BCA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trPr>
        <w:tc>
          <w:tcPr>
            <w:tcW w:w="1757" w:type="pct"/>
            <w:vAlign w:val="center"/>
          </w:tcPr>
          <w:p w14:paraId="643860DF">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分类</w:t>
            </w:r>
          </w:p>
        </w:tc>
        <w:tc>
          <w:tcPr>
            <w:tcW w:w="3242" w:type="pct"/>
            <w:vAlign w:val="center"/>
          </w:tcPr>
          <w:p w14:paraId="1A3D31B4">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主体颜色</w:t>
            </w:r>
          </w:p>
        </w:tc>
      </w:tr>
      <w:tr w14:paraId="07691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trPr>
        <w:tc>
          <w:tcPr>
            <w:tcW w:w="1757" w:type="pct"/>
            <w:vAlign w:val="center"/>
          </w:tcPr>
          <w:p w14:paraId="0D212B56">
            <w:pPr>
              <w:spacing w:line="360" w:lineRule="auto"/>
              <w:rPr>
                <w:rFonts w:ascii="微软雅黑" w:hAnsi="微软雅黑" w:eastAsia="微软雅黑" w:cs="微软雅黑"/>
                <w:szCs w:val="21"/>
              </w:rPr>
            </w:pPr>
            <w:r>
              <w:rPr>
                <w:rFonts w:hint="eastAsia" w:ascii="微软雅黑" w:hAnsi="微软雅黑" w:eastAsia="微软雅黑" w:cs="微软雅黑"/>
                <w:szCs w:val="21"/>
              </w:rPr>
              <w:t>钢制（实验家具）</w:t>
            </w:r>
          </w:p>
        </w:tc>
        <w:tc>
          <w:tcPr>
            <w:tcW w:w="3242" w:type="pct"/>
            <w:vAlign w:val="center"/>
          </w:tcPr>
          <w:p w14:paraId="648C5717">
            <w:pPr>
              <w:spacing w:line="360" w:lineRule="auto"/>
              <w:rPr>
                <w:rFonts w:ascii="微软雅黑" w:hAnsi="微软雅黑" w:eastAsia="微软雅黑" w:cs="微软雅黑"/>
                <w:szCs w:val="21"/>
              </w:rPr>
            </w:pPr>
            <w:r>
              <w:rPr>
                <w:rFonts w:hint="eastAsia" w:ascii="微软雅黑" w:hAnsi="微软雅黑" w:eastAsia="微软雅黑" w:cs="微软雅黑"/>
                <w:szCs w:val="21"/>
              </w:rPr>
              <w:t>颜色：白色、灰色、蓝色。</w:t>
            </w:r>
          </w:p>
        </w:tc>
      </w:tr>
      <w:tr w14:paraId="407E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757" w:type="pct"/>
            <w:vAlign w:val="center"/>
          </w:tcPr>
          <w:p w14:paraId="42E19B9D">
            <w:pPr>
              <w:spacing w:line="360" w:lineRule="auto"/>
              <w:rPr>
                <w:rFonts w:ascii="微软雅黑" w:hAnsi="微软雅黑" w:eastAsia="微软雅黑" w:cs="微软雅黑"/>
                <w:szCs w:val="21"/>
              </w:rPr>
            </w:pPr>
            <w:r>
              <w:rPr>
                <w:rFonts w:hint="eastAsia" w:ascii="微软雅黑" w:hAnsi="微软雅黑" w:eastAsia="微软雅黑" w:cs="微软雅黑"/>
                <w:szCs w:val="21"/>
              </w:rPr>
              <w:t>不锈钢（实验家具）</w:t>
            </w:r>
          </w:p>
        </w:tc>
        <w:tc>
          <w:tcPr>
            <w:tcW w:w="3242" w:type="pct"/>
            <w:vAlign w:val="center"/>
          </w:tcPr>
          <w:p w14:paraId="23A77A3C">
            <w:pPr>
              <w:spacing w:line="360" w:lineRule="auto"/>
              <w:rPr>
                <w:rFonts w:ascii="微软雅黑" w:hAnsi="微软雅黑" w:eastAsia="微软雅黑" w:cs="微软雅黑"/>
                <w:szCs w:val="21"/>
              </w:rPr>
            </w:pPr>
            <w:r>
              <w:rPr>
                <w:rFonts w:hint="eastAsia" w:ascii="微软雅黑" w:hAnsi="微软雅黑" w:eastAsia="微软雅黑" w:cs="微软雅黑"/>
                <w:szCs w:val="21"/>
              </w:rPr>
              <w:t>颜色：不锈钢本色</w:t>
            </w:r>
          </w:p>
        </w:tc>
      </w:tr>
    </w:tbl>
    <w:p w14:paraId="6802D674">
      <w:pPr>
        <w:spacing w:line="360" w:lineRule="auto"/>
        <w:rPr>
          <w:rFonts w:ascii="微软雅黑" w:hAnsi="微软雅黑" w:eastAsia="微软雅黑" w:cs="微软雅黑"/>
          <w:szCs w:val="21"/>
        </w:rPr>
        <w:sectPr>
          <w:pgSz w:w="16840" w:h="11907" w:orient="landscape"/>
          <w:pgMar w:top="1021" w:right="1134" w:bottom="1021" w:left="1134" w:header="567" w:footer="567" w:gutter="0"/>
          <w:cols w:space="720" w:num="1"/>
          <w:docGrid w:linePitch="286" w:charSpace="0"/>
        </w:sectPr>
      </w:pPr>
    </w:p>
    <w:p w14:paraId="16B76ADE">
      <w:pPr>
        <w:numPr>
          <w:ilvl w:val="0"/>
          <w:numId w:val="3"/>
        </w:numPr>
        <w:spacing w:line="360" w:lineRule="auto"/>
        <w:ind w:left="442" w:hanging="442"/>
        <w:outlineLvl w:val="0"/>
        <w:rPr>
          <w:rFonts w:ascii="微软雅黑" w:hAnsi="微软雅黑" w:eastAsia="微软雅黑" w:cs="微软雅黑"/>
          <w:b/>
          <w:bCs/>
          <w:szCs w:val="21"/>
        </w:rPr>
      </w:pPr>
      <w:r>
        <w:rPr>
          <w:rFonts w:hint="eastAsia" w:ascii="微软雅黑" w:hAnsi="微软雅黑" w:eastAsia="微软雅黑" w:cs="微软雅黑"/>
          <w:b/>
          <w:bCs/>
          <w:szCs w:val="21"/>
        </w:rPr>
        <w:t>样品要求</w:t>
      </w:r>
    </w:p>
    <w:p w14:paraId="05FA2702">
      <w:pPr>
        <w:numPr>
          <w:ilvl w:val="255"/>
          <w:numId w:val="0"/>
        </w:numPr>
        <w:ind w:firstLine="240" w:firstLineChars="100"/>
        <w:rPr>
          <w:rFonts w:ascii="微软雅黑" w:hAnsi="微软雅黑" w:eastAsia="微软雅黑" w:cs="微软雅黑"/>
          <w:sz w:val="24"/>
          <w:szCs w:val="24"/>
        </w:rPr>
      </w:pPr>
      <w:r>
        <w:rPr>
          <w:rFonts w:hint="eastAsia" w:ascii="微软雅黑" w:hAnsi="微软雅黑" w:eastAsia="微软雅黑" w:cs="微软雅黑"/>
          <w:sz w:val="24"/>
          <w:szCs w:val="24"/>
        </w:rPr>
        <w:t>投标方需要按以下要求提交样品，中标样品交由采购人作为履约验收参考，最终产品使用的原辅材料不得低于样品的标准。</w:t>
      </w:r>
    </w:p>
    <w:tbl>
      <w:tblPr>
        <w:tblStyle w:val="13"/>
        <w:tblW w:w="48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9"/>
        <w:gridCol w:w="2649"/>
        <w:gridCol w:w="6339"/>
        <w:gridCol w:w="1104"/>
        <w:gridCol w:w="3212"/>
      </w:tblGrid>
      <w:tr w14:paraId="360F2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359" w:type="pct"/>
            <w:tcBorders>
              <w:top w:val="single" w:color="000000" w:sz="4" w:space="0"/>
              <w:left w:val="single" w:color="000000" w:sz="4" w:space="0"/>
              <w:bottom w:val="single" w:color="000000" w:sz="4" w:space="0"/>
              <w:right w:val="single" w:color="000000" w:sz="4" w:space="0"/>
            </w:tcBorders>
            <w:vAlign w:val="center"/>
          </w:tcPr>
          <w:p w14:paraId="7FA31B40">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924" w:type="pct"/>
            <w:tcBorders>
              <w:top w:val="single" w:color="000000" w:sz="4" w:space="0"/>
              <w:left w:val="single" w:color="000000" w:sz="4" w:space="0"/>
              <w:bottom w:val="single" w:color="000000" w:sz="4" w:space="0"/>
              <w:right w:val="single" w:color="000000" w:sz="4" w:space="0"/>
            </w:tcBorders>
            <w:vAlign w:val="center"/>
          </w:tcPr>
          <w:p w14:paraId="0DD95DF7">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名称</w:t>
            </w:r>
          </w:p>
        </w:tc>
        <w:tc>
          <w:tcPr>
            <w:tcW w:w="2211" w:type="pct"/>
            <w:tcBorders>
              <w:top w:val="single" w:color="000000" w:sz="4" w:space="0"/>
              <w:left w:val="single" w:color="000000" w:sz="4" w:space="0"/>
              <w:bottom w:val="single" w:color="000000" w:sz="4" w:space="0"/>
              <w:right w:val="single" w:color="000000" w:sz="4" w:space="0"/>
            </w:tcBorders>
            <w:vAlign w:val="center"/>
          </w:tcPr>
          <w:p w14:paraId="7E96904A">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小样样品要求</w:t>
            </w:r>
          </w:p>
        </w:tc>
        <w:tc>
          <w:tcPr>
            <w:tcW w:w="385" w:type="pct"/>
            <w:tcBorders>
              <w:top w:val="single" w:color="000000" w:sz="4" w:space="0"/>
              <w:left w:val="single" w:color="000000" w:sz="4" w:space="0"/>
              <w:bottom w:val="single" w:color="000000" w:sz="4" w:space="0"/>
              <w:right w:val="single" w:color="000000" w:sz="4" w:space="0"/>
            </w:tcBorders>
            <w:vAlign w:val="center"/>
          </w:tcPr>
          <w:p w14:paraId="34FCE7B4">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数量</w:t>
            </w:r>
          </w:p>
        </w:tc>
        <w:tc>
          <w:tcPr>
            <w:tcW w:w="1120" w:type="pct"/>
            <w:tcBorders>
              <w:top w:val="single" w:color="000000" w:sz="4" w:space="0"/>
              <w:left w:val="single" w:color="000000" w:sz="4" w:space="0"/>
              <w:bottom w:val="single" w:color="000000" w:sz="4" w:space="0"/>
              <w:right w:val="single" w:color="000000" w:sz="4" w:space="0"/>
            </w:tcBorders>
            <w:vAlign w:val="center"/>
          </w:tcPr>
          <w:p w14:paraId="62B03FC1">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参考尺寸W*D</w:t>
            </w:r>
          </w:p>
          <w:p w14:paraId="0DA0D362">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(单位mm)</w:t>
            </w:r>
          </w:p>
        </w:tc>
      </w:tr>
      <w:tr w14:paraId="338F4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F0CE7">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DA5AB">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理化板台面-实验台</w:t>
            </w:r>
          </w:p>
        </w:tc>
        <w:tc>
          <w:tcPr>
            <w:tcW w:w="2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9B931">
            <w:pPr>
              <w:spacing w:line="360" w:lineRule="auto"/>
              <w:jc w:val="left"/>
              <w:rPr>
                <w:rFonts w:ascii="微软雅黑" w:hAnsi="微软雅黑" w:eastAsia="微软雅黑" w:cs="微软雅黑"/>
                <w:szCs w:val="21"/>
              </w:rPr>
            </w:pPr>
            <w:r>
              <w:rPr>
                <w:rFonts w:hint="eastAsia" w:ascii="微软雅黑" w:hAnsi="微软雅黑" w:eastAsia="微软雅黑" w:cs="微软雅黑"/>
                <w:sz w:val="20"/>
                <w:szCs w:val="20"/>
              </w:rPr>
              <w:t>参照“需求 实验家具部分 序号1实验台”要求</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0CDE9">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1组</w:t>
            </w: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2AD83">
            <w:pPr>
              <w:pStyle w:val="7"/>
              <w:ind w:left="0"/>
            </w:pPr>
            <w:r>
              <w:rPr>
                <w:rFonts w:hint="eastAsia" w:ascii="微软雅黑" w:hAnsi="微软雅黑" w:eastAsia="微软雅黑" w:cs="微软雅黑"/>
                <w:kern w:val="0"/>
                <w14:ligatures w14:val="none"/>
              </w:rPr>
              <w:t>400*400</w:t>
            </w:r>
          </w:p>
        </w:tc>
      </w:tr>
      <w:tr w14:paraId="515E9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359" w:type="pct"/>
            <w:tcBorders>
              <w:top w:val="single" w:color="000000" w:sz="4" w:space="0"/>
              <w:left w:val="single" w:color="000000" w:sz="4" w:space="0"/>
              <w:bottom w:val="single" w:color="000000" w:sz="4" w:space="0"/>
              <w:right w:val="single" w:color="000000" w:sz="4" w:space="0"/>
            </w:tcBorders>
            <w:vAlign w:val="center"/>
          </w:tcPr>
          <w:p w14:paraId="3B66D072">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924" w:type="pct"/>
            <w:tcBorders>
              <w:top w:val="single" w:color="000000" w:sz="4" w:space="0"/>
              <w:left w:val="single" w:color="000000" w:sz="4" w:space="0"/>
              <w:bottom w:val="single" w:color="000000" w:sz="4" w:space="0"/>
              <w:right w:val="single" w:color="000000" w:sz="4" w:space="0"/>
            </w:tcBorders>
            <w:vAlign w:val="center"/>
          </w:tcPr>
          <w:p w14:paraId="211FC82D">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理化板台面-仪器台</w:t>
            </w:r>
          </w:p>
        </w:tc>
        <w:tc>
          <w:tcPr>
            <w:tcW w:w="2211" w:type="pct"/>
            <w:tcBorders>
              <w:top w:val="single" w:color="000000" w:sz="4" w:space="0"/>
              <w:left w:val="single" w:color="000000" w:sz="4" w:space="0"/>
              <w:bottom w:val="single" w:color="000000" w:sz="4" w:space="0"/>
              <w:right w:val="single" w:color="000000" w:sz="4" w:space="0"/>
            </w:tcBorders>
            <w:vAlign w:val="center"/>
          </w:tcPr>
          <w:p w14:paraId="1942CDE0">
            <w:pPr>
              <w:spacing w:line="360" w:lineRule="auto"/>
              <w:jc w:val="left"/>
              <w:rPr>
                <w:rFonts w:ascii="微软雅黑" w:hAnsi="微软雅黑" w:eastAsia="微软雅黑" w:cs="微软雅黑"/>
                <w:szCs w:val="21"/>
              </w:rPr>
            </w:pPr>
            <w:r>
              <w:rPr>
                <w:rFonts w:hint="eastAsia" w:ascii="微软雅黑" w:hAnsi="微软雅黑" w:eastAsia="微软雅黑" w:cs="微软雅黑"/>
                <w:sz w:val="20"/>
                <w:szCs w:val="20"/>
              </w:rPr>
              <w:t>参照“需求 实验家具部分 序号2仪器台”要求</w:t>
            </w:r>
          </w:p>
        </w:tc>
        <w:tc>
          <w:tcPr>
            <w:tcW w:w="385" w:type="pct"/>
            <w:tcBorders>
              <w:top w:val="single" w:color="000000" w:sz="4" w:space="0"/>
              <w:left w:val="single" w:color="000000" w:sz="4" w:space="0"/>
              <w:bottom w:val="single" w:color="000000" w:sz="4" w:space="0"/>
              <w:right w:val="single" w:color="000000" w:sz="4" w:space="0"/>
            </w:tcBorders>
            <w:vAlign w:val="center"/>
          </w:tcPr>
          <w:p w14:paraId="03296A82">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1组</w:t>
            </w:r>
          </w:p>
        </w:tc>
        <w:tc>
          <w:tcPr>
            <w:tcW w:w="1120" w:type="pct"/>
            <w:tcBorders>
              <w:top w:val="single" w:color="000000" w:sz="4" w:space="0"/>
              <w:left w:val="single" w:color="000000" w:sz="4" w:space="0"/>
              <w:bottom w:val="single" w:color="000000" w:sz="4" w:space="0"/>
              <w:right w:val="single" w:color="000000" w:sz="4" w:space="0"/>
            </w:tcBorders>
            <w:vAlign w:val="center"/>
          </w:tcPr>
          <w:p w14:paraId="5CFDD2B3">
            <w:pPr>
              <w:pStyle w:val="7"/>
              <w:ind w:left="0"/>
            </w:pPr>
            <w:r>
              <w:rPr>
                <w:rFonts w:hint="eastAsia" w:ascii="微软雅黑" w:hAnsi="微软雅黑" w:eastAsia="微软雅黑" w:cs="微软雅黑"/>
                <w:kern w:val="0"/>
                <w14:ligatures w14:val="none"/>
              </w:rPr>
              <w:t>400*400</w:t>
            </w:r>
          </w:p>
        </w:tc>
      </w:tr>
      <w:tr w14:paraId="082C0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3" w:hRule="atLeast"/>
          <w:jc w:val="center"/>
        </w:trPr>
        <w:tc>
          <w:tcPr>
            <w:tcW w:w="359" w:type="pct"/>
            <w:tcBorders>
              <w:top w:val="single" w:color="000000" w:sz="4" w:space="0"/>
              <w:left w:val="single" w:color="000000" w:sz="4" w:space="0"/>
              <w:bottom w:val="single" w:color="000000" w:sz="4" w:space="0"/>
              <w:right w:val="single" w:color="000000" w:sz="4" w:space="0"/>
            </w:tcBorders>
            <w:vAlign w:val="center"/>
          </w:tcPr>
          <w:p w14:paraId="61A08504">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924" w:type="pct"/>
            <w:tcBorders>
              <w:top w:val="single" w:color="000000" w:sz="4" w:space="0"/>
              <w:left w:val="single" w:color="000000" w:sz="4" w:space="0"/>
              <w:bottom w:val="single" w:color="000000" w:sz="4" w:space="0"/>
              <w:right w:val="single" w:color="000000" w:sz="4" w:space="0"/>
            </w:tcBorders>
            <w:vAlign w:val="center"/>
          </w:tcPr>
          <w:p w14:paraId="01F7E4DC">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陶瓷台面</w:t>
            </w:r>
          </w:p>
        </w:tc>
        <w:tc>
          <w:tcPr>
            <w:tcW w:w="2211" w:type="pct"/>
            <w:tcBorders>
              <w:top w:val="single" w:color="000000" w:sz="4" w:space="0"/>
              <w:left w:val="single" w:color="000000" w:sz="4" w:space="0"/>
              <w:bottom w:val="single" w:color="000000" w:sz="4" w:space="0"/>
              <w:right w:val="single" w:color="000000" w:sz="4" w:space="0"/>
            </w:tcBorders>
            <w:vAlign w:val="center"/>
          </w:tcPr>
          <w:p w14:paraId="21F121BA">
            <w:pPr>
              <w:spacing w:line="360" w:lineRule="auto"/>
              <w:jc w:val="left"/>
              <w:rPr>
                <w:rFonts w:ascii="微软雅黑" w:hAnsi="微软雅黑" w:eastAsia="微软雅黑" w:cs="微软雅黑"/>
                <w:szCs w:val="21"/>
              </w:rPr>
            </w:pPr>
            <w:r>
              <w:rPr>
                <w:rFonts w:hint="eastAsia" w:ascii="微软雅黑" w:hAnsi="微软雅黑" w:eastAsia="微软雅黑" w:cs="微软雅黑"/>
                <w:sz w:val="20"/>
                <w:szCs w:val="20"/>
              </w:rPr>
              <w:t>参照“需求 实验家具部分 序号10</w:t>
            </w:r>
            <w:r>
              <w:rPr>
                <w:rFonts w:hint="eastAsia" w:ascii="微软雅黑" w:hAnsi="微软雅黑" w:eastAsia="微软雅黑" w:cs="微软雅黑"/>
                <w:kern w:val="0"/>
                <w:szCs w:val="21"/>
                <w14:ligatures w14:val="none"/>
              </w:rPr>
              <w:t>高温台</w:t>
            </w:r>
            <w:r>
              <w:rPr>
                <w:rFonts w:hint="eastAsia" w:ascii="微软雅黑" w:hAnsi="微软雅黑" w:eastAsia="微软雅黑" w:cs="微软雅黑"/>
                <w:sz w:val="20"/>
                <w:szCs w:val="20"/>
              </w:rPr>
              <w:t>”要求</w:t>
            </w:r>
          </w:p>
        </w:tc>
        <w:tc>
          <w:tcPr>
            <w:tcW w:w="385" w:type="pct"/>
            <w:tcBorders>
              <w:top w:val="single" w:color="000000" w:sz="4" w:space="0"/>
              <w:left w:val="single" w:color="000000" w:sz="4" w:space="0"/>
              <w:bottom w:val="single" w:color="000000" w:sz="4" w:space="0"/>
              <w:right w:val="single" w:color="000000" w:sz="4" w:space="0"/>
            </w:tcBorders>
            <w:vAlign w:val="center"/>
          </w:tcPr>
          <w:p w14:paraId="07ECA5C0">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1个</w:t>
            </w:r>
          </w:p>
        </w:tc>
        <w:tc>
          <w:tcPr>
            <w:tcW w:w="1120" w:type="pct"/>
            <w:tcBorders>
              <w:top w:val="single" w:color="000000" w:sz="4" w:space="0"/>
              <w:left w:val="single" w:color="000000" w:sz="4" w:space="0"/>
              <w:bottom w:val="single" w:color="000000" w:sz="4" w:space="0"/>
              <w:right w:val="single" w:color="000000" w:sz="4" w:space="0"/>
            </w:tcBorders>
            <w:vAlign w:val="center"/>
          </w:tcPr>
          <w:p w14:paraId="7E0F7293">
            <w:pPr>
              <w:spacing w:line="360" w:lineRule="auto"/>
              <w:jc w:val="left"/>
              <w:rPr>
                <w:rFonts w:ascii="微软雅黑" w:hAnsi="微软雅黑" w:eastAsia="微软雅黑" w:cs="微软雅黑"/>
                <w:szCs w:val="21"/>
              </w:rPr>
            </w:pPr>
            <w:r>
              <w:rPr>
                <w:rFonts w:hint="eastAsia" w:ascii="微软雅黑" w:hAnsi="微软雅黑" w:eastAsia="微软雅黑" w:cs="微软雅黑"/>
                <w:szCs w:val="21"/>
              </w:rPr>
              <w:t xml:space="preserve">200*200 </w:t>
            </w:r>
          </w:p>
        </w:tc>
      </w:tr>
      <w:tr w14:paraId="75636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jc w:val="center"/>
        </w:trPr>
        <w:tc>
          <w:tcPr>
            <w:tcW w:w="359" w:type="pct"/>
            <w:tcBorders>
              <w:top w:val="single" w:color="000000" w:sz="4" w:space="0"/>
              <w:left w:val="single" w:color="000000" w:sz="4" w:space="0"/>
              <w:bottom w:val="single" w:color="000000" w:sz="4" w:space="0"/>
              <w:right w:val="single" w:color="000000" w:sz="4" w:space="0"/>
            </w:tcBorders>
            <w:vAlign w:val="center"/>
          </w:tcPr>
          <w:p w14:paraId="32B38C7D">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924" w:type="pct"/>
            <w:tcBorders>
              <w:top w:val="single" w:color="000000" w:sz="4" w:space="0"/>
              <w:left w:val="single" w:color="000000" w:sz="4" w:space="0"/>
              <w:bottom w:val="single" w:color="000000" w:sz="4" w:space="0"/>
              <w:right w:val="single" w:color="000000" w:sz="4" w:space="0"/>
            </w:tcBorders>
            <w:vAlign w:val="center"/>
          </w:tcPr>
          <w:p w14:paraId="03BF8887">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导轨、合页</w:t>
            </w:r>
          </w:p>
        </w:tc>
        <w:tc>
          <w:tcPr>
            <w:tcW w:w="2211" w:type="pct"/>
            <w:tcBorders>
              <w:top w:val="single" w:color="000000" w:sz="4" w:space="0"/>
              <w:left w:val="single" w:color="000000" w:sz="4" w:space="0"/>
              <w:bottom w:val="single" w:color="000000" w:sz="4" w:space="0"/>
              <w:right w:val="single" w:color="000000" w:sz="4" w:space="0"/>
            </w:tcBorders>
            <w:vAlign w:val="center"/>
          </w:tcPr>
          <w:p w14:paraId="6F4474F3">
            <w:pPr>
              <w:spacing w:line="360" w:lineRule="auto"/>
              <w:jc w:val="left"/>
              <w:rPr>
                <w:rFonts w:ascii="微软雅黑" w:hAnsi="微软雅黑" w:eastAsia="微软雅黑" w:cs="微软雅黑"/>
                <w:szCs w:val="21"/>
              </w:rPr>
            </w:pPr>
            <w:r>
              <w:rPr>
                <w:rFonts w:hint="eastAsia" w:ascii="微软雅黑" w:hAnsi="微软雅黑" w:eastAsia="微软雅黑" w:cs="微软雅黑"/>
                <w:sz w:val="20"/>
                <w:szCs w:val="20"/>
              </w:rPr>
              <w:t>参照“需求 实验家具部分 序号1 实验台”要求</w:t>
            </w:r>
          </w:p>
        </w:tc>
        <w:tc>
          <w:tcPr>
            <w:tcW w:w="385" w:type="pct"/>
            <w:tcBorders>
              <w:top w:val="single" w:color="000000" w:sz="4" w:space="0"/>
              <w:left w:val="single" w:color="000000" w:sz="4" w:space="0"/>
              <w:bottom w:val="single" w:color="000000" w:sz="4" w:space="0"/>
              <w:right w:val="single" w:color="000000" w:sz="4" w:space="0"/>
            </w:tcBorders>
            <w:vAlign w:val="center"/>
          </w:tcPr>
          <w:p w14:paraId="6AA2FD75">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1套</w:t>
            </w:r>
          </w:p>
        </w:tc>
        <w:tc>
          <w:tcPr>
            <w:tcW w:w="1120" w:type="pct"/>
            <w:tcBorders>
              <w:top w:val="single" w:color="000000" w:sz="4" w:space="0"/>
              <w:left w:val="single" w:color="000000" w:sz="4" w:space="0"/>
              <w:bottom w:val="single" w:color="000000" w:sz="4" w:space="0"/>
              <w:right w:val="single" w:color="000000" w:sz="4" w:space="0"/>
            </w:tcBorders>
            <w:vAlign w:val="center"/>
          </w:tcPr>
          <w:p w14:paraId="4A7E70C2">
            <w:pPr>
              <w:spacing w:line="360" w:lineRule="auto"/>
              <w:jc w:val="left"/>
              <w:rPr>
                <w:rFonts w:ascii="微软雅黑" w:hAnsi="微软雅黑" w:eastAsia="微软雅黑" w:cs="微软雅黑"/>
                <w:szCs w:val="21"/>
              </w:rPr>
            </w:pPr>
          </w:p>
        </w:tc>
      </w:tr>
    </w:tbl>
    <w:p w14:paraId="0CAE155E">
      <w:pPr>
        <w:spacing w:line="360" w:lineRule="auto"/>
        <w:rPr>
          <w:rFonts w:hint="eastAsia" w:ascii="微软雅黑" w:hAnsi="微软雅黑" w:eastAsia="微软雅黑" w:cs="微软雅黑"/>
          <w:szCs w:val="21"/>
        </w:rPr>
      </w:pPr>
    </w:p>
    <w:p w14:paraId="5BEF3745">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1、投标人需在标书中提供样品清单（格式自拟）：列出此次样品涉及的材料品牌、五金配件品牌、型号、制造厂商。</w:t>
      </w:r>
    </w:p>
    <w:p w14:paraId="08E31540">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、尺寸和规格可根据情况合理波动。投标人中标后需按照采购需求中要求的规格尺寸生产，不得影响交付正常使用。</w:t>
      </w:r>
    </w:p>
    <w:p w14:paraId="60871D9A">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投标实样送达地点：上海市宝山区锦秋路716号，医学院213会议室，联系人：李娜，联系电话：13167137980。样品接受时间：所有实样在投标截止前2天内的每天9点-16点送达并完成现场搭样，逾期不再接受任何实样。实样上应注明投标人的名称。</w:t>
      </w:r>
    </w:p>
    <w:p w14:paraId="47CF9833">
      <w:pPr>
        <w:rPr>
          <w:rFonts w:ascii="微软雅黑" w:hAnsi="微软雅黑" w:eastAsia="微软雅黑" w:cs="微软雅黑"/>
          <w:sz w:val="24"/>
        </w:rPr>
      </w:pPr>
    </w:p>
    <w:p w14:paraId="20B40104">
      <w:pPr>
        <w:spacing w:line="360" w:lineRule="auto"/>
        <w:rPr>
          <w:rFonts w:ascii="微软雅黑" w:hAnsi="微软雅黑" w:eastAsia="微软雅黑" w:cs="微软雅黑"/>
          <w:szCs w:val="21"/>
        </w:rPr>
        <w:sectPr>
          <w:type w:val="nextColumn"/>
          <w:pgSz w:w="16840" w:h="11907" w:orient="landscape"/>
          <w:pgMar w:top="1021" w:right="1134" w:bottom="1021" w:left="1134" w:header="567" w:footer="567" w:gutter="0"/>
          <w:cols w:space="720" w:num="1"/>
          <w:docGrid w:linePitch="286" w:charSpace="0"/>
        </w:sectPr>
      </w:pPr>
      <w:bookmarkStart w:id="3" w:name="_GoBack"/>
      <w:bookmarkEnd w:id="3"/>
    </w:p>
    <w:p w14:paraId="47F70DBF">
      <w:pPr>
        <w:numPr>
          <w:ilvl w:val="0"/>
          <w:numId w:val="3"/>
        </w:numPr>
        <w:spacing w:line="360" w:lineRule="auto"/>
        <w:ind w:left="442" w:hanging="442"/>
        <w:outlineLvl w:val="0"/>
        <w:rPr>
          <w:rFonts w:ascii="微软雅黑" w:hAnsi="微软雅黑" w:eastAsia="微软雅黑" w:cs="微软雅黑"/>
          <w:b/>
          <w:bCs/>
          <w:szCs w:val="21"/>
        </w:rPr>
      </w:pPr>
      <w:r>
        <w:rPr>
          <w:rFonts w:hint="eastAsia" w:ascii="微软雅黑" w:hAnsi="微软雅黑" w:eastAsia="微软雅黑" w:cs="微软雅黑"/>
          <w:b/>
          <w:bCs/>
          <w:szCs w:val="21"/>
        </w:rPr>
        <w:t>供货及验收</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56"/>
        <w:gridCol w:w="11132"/>
      </w:tblGrid>
      <w:tr w14:paraId="2592D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1236" w:type="pct"/>
            <w:vAlign w:val="center"/>
          </w:tcPr>
          <w:p w14:paraId="2AFB72D0">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分类</w:t>
            </w:r>
          </w:p>
        </w:tc>
        <w:tc>
          <w:tcPr>
            <w:tcW w:w="3764" w:type="pct"/>
            <w:vAlign w:val="center"/>
          </w:tcPr>
          <w:p w14:paraId="2C6DAC0B">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内容</w:t>
            </w:r>
          </w:p>
        </w:tc>
      </w:tr>
      <w:tr w14:paraId="3B025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3" w:hRule="atLeast"/>
        </w:trPr>
        <w:tc>
          <w:tcPr>
            <w:tcW w:w="1236" w:type="pct"/>
            <w:vAlign w:val="center"/>
          </w:tcPr>
          <w:p w14:paraId="50266F59">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供货要求</w:t>
            </w:r>
          </w:p>
        </w:tc>
        <w:tc>
          <w:tcPr>
            <w:tcW w:w="3764" w:type="pct"/>
            <w:vAlign w:val="center"/>
          </w:tcPr>
          <w:p w14:paraId="647FBD9B">
            <w:pPr>
              <w:numPr>
                <w:ilvl w:val="0"/>
                <w:numId w:val="10"/>
              </w:numPr>
              <w:rPr>
                <w:rFonts w:ascii="微软雅黑" w:hAnsi="微软雅黑" w:eastAsia="微软雅黑" w:cs="微软雅黑"/>
                <w:szCs w:val="21"/>
              </w:rPr>
            </w:pPr>
            <w:r>
              <w:rPr>
                <w:rFonts w:hint="eastAsia" w:ascii="微软雅黑" w:hAnsi="微软雅黑" w:eastAsia="微软雅黑" w:cs="微软雅黑"/>
                <w:szCs w:val="21"/>
              </w:rPr>
              <w:t>自采购人通知之日起，60天内完成生产交付。中标人所提供的货物应符合国家相关质量标准。货物名称、型号规格、数量、颜色、外观等符合采购人要求，不得有损毁或损坏。</w:t>
            </w:r>
          </w:p>
          <w:p w14:paraId="16E8F206">
            <w:pPr>
              <w:rPr>
                <w:rFonts w:ascii="微软雅黑" w:hAnsi="微软雅黑" w:eastAsia="微软雅黑" w:cs="微软雅黑"/>
                <w:szCs w:val="21"/>
              </w:rPr>
            </w:pPr>
            <w:r>
              <w:rPr>
                <w:rFonts w:hint="eastAsia" w:ascii="微软雅黑" w:hAnsi="微软雅黑" w:eastAsia="微软雅黑" w:cs="微软雅黑"/>
                <w:szCs w:val="21"/>
              </w:rPr>
              <w:t>2、投标人需要承担安装过程中与工程相关费用：电路材料、电源配件（需要3C认证）、耗材等费用。投标人需提供电路安装人员的电工证明文件。</w:t>
            </w:r>
          </w:p>
          <w:p w14:paraId="745221FA">
            <w:pPr>
              <w:rPr>
                <w:rFonts w:ascii="微软雅黑" w:hAnsi="微软雅黑" w:eastAsia="微软雅黑" w:cs="微软雅黑"/>
                <w:szCs w:val="21"/>
              </w:rPr>
            </w:pPr>
            <w:r>
              <w:rPr>
                <w:rFonts w:hint="eastAsia" w:ascii="微软雅黑" w:hAnsi="微软雅黑" w:eastAsia="微软雅黑" w:cs="微软雅黑"/>
                <w:szCs w:val="21"/>
              </w:rPr>
              <w:t>3、投标人需要考虑现场能源使用、水电对接、路面运输、垃圾外运、垂直运输、房屋成品保护、安保仓储、现场综合协调、外部检查协调等费用。</w:t>
            </w:r>
          </w:p>
          <w:p w14:paraId="6F0E223E">
            <w:pPr>
              <w:spacing w:line="360" w:lineRule="auto"/>
              <w:rPr>
                <w:rFonts w:ascii="微软雅黑" w:hAnsi="微软雅黑" w:eastAsia="微软雅黑" w:cs="微软雅黑"/>
                <w:szCs w:val="21"/>
              </w:rPr>
            </w:pPr>
            <w:r>
              <w:rPr>
                <w:rFonts w:hint="eastAsia" w:ascii="微软雅黑" w:hAnsi="微软雅黑" w:eastAsia="微软雅黑" w:cs="微软雅黑"/>
                <w:szCs w:val="21"/>
              </w:rPr>
              <w:t>4、投标方须自行承担安全责任，在此期间发生的任何安全事故由其自行负责。</w:t>
            </w:r>
          </w:p>
        </w:tc>
      </w:tr>
      <w:tr w14:paraId="081D0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8" w:hRule="atLeast"/>
        </w:trPr>
        <w:tc>
          <w:tcPr>
            <w:tcW w:w="1236" w:type="pct"/>
            <w:vAlign w:val="center"/>
          </w:tcPr>
          <w:p w14:paraId="072CD152">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包装要求</w:t>
            </w:r>
          </w:p>
        </w:tc>
        <w:tc>
          <w:tcPr>
            <w:tcW w:w="3764" w:type="pct"/>
            <w:vAlign w:val="center"/>
          </w:tcPr>
          <w:p w14:paraId="229AE7F7">
            <w:pPr>
              <w:spacing w:line="360" w:lineRule="auto"/>
              <w:rPr>
                <w:rFonts w:ascii="微软雅黑" w:hAnsi="微软雅黑" w:eastAsia="微软雅黑" w:cs="微软雅黑"/>
                <w:szCs w:val="21"/>
              </w:rPr>
            </w:pPr>
            <w:r>
              <w:rPr>
                <w:rFonts w:hint="eastAsia" w:ascii="微软雅黑" w:hAnsi="微软雅黑" w:eastAsia="微软雅黑" w:cs="微软雅黑"/>
                <w:szCs w:val="21"/>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65717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trPr>
        <w:tc>
          <w:tcPr>
            <w:tcW w:w="1236" w:type="pct"/>
            <w:vAlign w:val="center"/>
          </w:tcPr>
          <w:p w14:paraId="57EC89AB">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验收要求</w:t>
            </w:r>
          </w:p>
        </w:tc>
        <w:tc>
          <w:tcPr>
            <w:tcW w:w="3764" w:type="pct"/>
            <w:vAlign w:val="center"/>
          </w:tcPr>
          <w:p w14:paraId="203B6110">
            <w:pPr>
              <w:spacing w:line="360" w:lineRule="auto"/>
              <w:rPr>
                <w:rFonts w:ascii="微软雅黑" w:hAnsi="微软雅黑" w:eastAsia="微软雅黑" w:cs="微软雅黑"/>
                <w:szCs w:val="21"/>
              </w:rPr>
            </w:pPr>
            <w:r>
              <w:rPr>
                <w:rFonts w:hint="eastAsia" w:ascii="微软雅黑" w:hAnsi="微软雅黑" w:eastAsia="微软雅黑" w:cs="微软雅黑"/>
                <w:szCs w:val="21"/>
              </w:rPr>
              <w:t>实验家具类安装、调试后，由供、需双方按照合同约定对家具进行验收。验收包括清点型号、数量、检查外观等，供应商应当提供家具清单(各类家具分项开立并标注详细数量)、原产地证明、具出厂日期证明、家具环保证明等文件。</w:t>
            </w:r>
          </w:p>
        </w:tc>
      </w:tr>
      <w:tr w14:paraId="2CCDB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4" w:hRule="atLeast"/>
        </w:trPr>
        <w:tc>
          <w:tcPr>
            <w:tcW w:w="1236" w:type="pct"/>
            <w:vAlign w:val="center"/>
          </w:tcPr>
          <w:p w14:paraId="6C87DCCC">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检测要求</w:t>
            </w:r>
          </w:p>
        </w:tc>
        <w:tc>
          <w:tcPr>
            <w:tcW w:w="3764" w:type="pct"/>
            <w:vAlign w:val="center"/>
          </w:tcPr>
          <w:p w14:paraId="35334C69">
            <w:pPr>
              <w:spacing w:line="360" w:lineRule="auto"/>
              <w:rPr>
                <w:rFonts w:ascii="微软雅黑" w:hAnsi="微软雅黑" w:eastAsia="微软雅黑" w:cs="微软雅黑"/>
                <w:szCs w:val="21"/>
              </w:rPr>
            </w:pPr>
            <w:r>
              <w:rPr>
                <w:rFonts w:hint="eastAsia" w:ascii="微软雅黑" w:hAnsi="微软雅黑" w:eastAsia="微软雅黑" w:cs="微软雅黑"/>
                <w:szCs w:val="21"/>
              </w:rPr>
              <w:t>1.正式验收前，中标人须委托第三方机构对家具进行质量和环保相关检测，检验不合格不予验收,验收检测费用将由中标单位承担。</w:t>
            </w:r>
          </w:p>
          <w:p w14:paraId="1647804C">
            <w:pPr>
              <w:spacing w:line="360" w:lineRule="auto"/>
              <w:rPr>
                <w:rFonts w:ascii="微软雅黑" w:hAnsi="微软雅黑" w:eastAsia="微软雅黑" w:cs="微软雅黑"/>
                <w:szCs w:val="21"/>
              </w:rPr>
            </w:pPr>
            <w:r>
              <w:rPr>
                <w:rFonts w:hint="eastAsia" w:ascii="微软雅黑" w:hAnsi="微软雅黑" w:eastAsia="微软雅黑" w:cs="微软雅黑"/>
                <w:szCs w:val="21"/>
              </w:rPr>
              <w:t>2.具体检测范围:由采购人随机抽取本项目的实验家具</w:t>
            </w:r>
            <w:r>
              <w:rPr>
                <w:rFonts w:ascii="微软雅黑" w:hAnsi="微软雅黑" w:eastAsia="微软雅黑" w:cs="微软雅黑"/>
                <w:szCs w:val="21"/>
              </w:rPr>
              <w:t>(包含柜体、柜门、合页、拉手、台面)</w:t>
            </w:r>
            <w:r>
              <w:rPr>
                <w:rFonts w:hint="eastAsia" w:ascii="微软雅黑" w:hAnsi="微软雅黑" w:eastAsia="微软雅黑" w:cs="微软雅黑"/>
                <w:szCs w:val="21"/>
              </w:rPr>
              <w:t>，总数量不超过</w:t>
            </w:r>
            <w:r>
              <w:rPr>
                <w:rFonts w:ascii="微软雅黑" w:hAnsi="微软雅黑" w:eastAsia="微软雅黑" w:cs="微软雅黑"/>
                <w:szCs w:val="21"/>
              </w:rPr>
              <w:t>3</w:t>
            </w:r>
            <w:r>
              <w:rPr>
                <w:rFonts w:hint="eastAsia" w:ascii="微软雅黑" w:hAnsi="微软雅黑" w:eastAsia="微软雅黑" w:cs="微软雅黑"/>
                <w:szCs w:val="21"/>
              </w:rPr>
              <w:t>件套。</w:t>
            </w:r>
          </w:p>
        </w:tc>
      </w:tr>
    </w:tbl>
    <w:p w14:paraId="47EA3862">
      <w:pPr>
        <w:spacing w:line="360" w:lineRule="auto"/>
        <w:rPr>
          <w:rFonts w:ascii="微软雅黑" w:hAnsi="微软雅黑" w:eastAsia="微软雅黑" w:cs="微软雅黑"/>
          <w:szCs w:val="21"/>
        </w:rPr>
        <w:sectPr>
          <w:footerReference r:id="rId4" w:type="default"/>
          <w:type w:val="nextColumn"/>
          <w:pgSz w:w="16840" w:h="11907" w:orient="landscape"/>
          <w:pgMar w:top="1021" w:right="1134" w:bottom="1021" w:left="1134" w:header="567" w:footer="567" w:gutter="0"/>
          <w:cols w:space="720" w:num="1"/>
          <w:docGrid w:linePitch="286" w:charSpace="0"/>
        </w:sectPr>
      </w:pPr>
    </w:p>
    <w:p w14:paraId="346A81A1">
      <w:pPr>
        <w:numPr>
          <w:ilvl w:val="0"/>
          <w:numId w:val="3"/>
        </w:numPr>
        <w:spacing w:line="360" w:lineRule="auto"/>
        <w:ind w:left="442" w:hanging="442"/>
        <w:outlineLvl w:val="0"/>
        <w:rPr>
          <w:rFonts w:ascii="微软雅黑" w:hAnsi="微软雅黑" w:eastAsia="微软雅黑" w:cs="微软雅黑"/>
          <w:b/>
          <w:bCs/>
          <w:szCs w:val="21"/>
        </w:rPr>
      </w:pPr>
      <w:r>
        <w:rPr>
          <w:rFonts w:hint="eastAsia" w:ascii="微软雅黑" w:hAnsi="微软雅黑" w:eastAsia="微软雅黑" w:cs="微软雅黑"/>
          <w:b/>
          <w:bCs/>
          <w:szCs w:val="21"/>
        </w:rPr>
        <w:t>服务要求</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56"/>
        <w:gridCol w:w="11132"/>
      </w:tblGrid>
      <w:tr w14:paraId="73957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1236" w:type="pct"/>
            <w:vAlign w:val="center"/>
          </w:tcPr>
          <w:p w14:paraId="0BE2747C">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分类</w:t>
            </w:r>
          </w:p>
        </w:tc>
        <w:tc>
          <w:tcPr>
            <w:tcW w:w="3764" w:type="pct"/>
            <w:vAlign w:val="center"/>
          </w:tcPr>
          <w:p w14:paraId="64130A3B">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内容</w:t>
            </w:r>
          </w:p>
        </w:tc>
      </w:tr>
      <w:tr w14:paraId="595C6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6" w:hRule="atLeast"/>
        </w:trPr>
        <w:tc>
          <w:tcPr>
            <w:tcW w:w="1236" w:type="pct"/>
            <w:vAlign w:val="center"/>
          </w:tcPr>
          <w:p w14:paraId="3E6140C7">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保修服务</w:t>
            </w:r>
          </w:p>
        </w:tc>
        <w:tc>
          <w:tcPr>
            <w:tcW w:w="3764" w:type="pct"/>
            <w:vAlign w:val="center"/>
          </w:tcPr>
          <w:p w14:paraId="0428166C">
            <w:pPr>
              <w:spacing w:line="360" w:lineRule="auto"/>
              <w:rPr>
                <w:rFonts w:ascii="微软雅黑" w:hAnsi="微软雅黑" w:eastAsia="微软雅黑" w:cs="微软雅黑"/>
                <w:szCs w:val="21"/>
              </w:rPr>
            </w:pPr>
            <w:r>
              <w:rPr>
                <w:rFonts w:hint="eastAsia" w:ascii="微软雅黑" w:hAnsi="微软雅黑" w:eastAsia="微软雅黑" w:cs="微软雅黑"/>
                <w:szCs w:val="21"/>
              </w:rPr>
              <w:t>免费保修期</w:t>
            </w:r>
            <w:r>
              <w:rPr>
                <w:rFonts w:hint="eastAsia" w:ascii="微软雅黑" w:hAnsi="微软雅黑" w:eastAsia="微软雅黑" w:cs="微软雅黑"/>
                <w:szCs w:val="21"/>
                <w14:ligatures w14:val="none"/>
              </w:rPr>
              <w:t>≥</w:t>
            </w:r>
            <w:r>
              <w:rPr>
                <w:rFonts w:hint="eastAsia" w:ascii="微软雅黑" w:hAnsi="微软雅黑" w:eastAsia="微软雅黑" w:cs="微软雅黑"/>
                <w:szCs w:val="21"/>
              </w:rPr>
              <w:t>5年。免费保修期内，除采购人因非正常使用造成的损坏外，家具的损坏维修或换新所涉及的运输、材料、配件、人工等所有费用由中标供应商承担，中标供应商应当承诺每年对所供家具进行巡检。免费保修期满后，以成本价格提供家具所需零配件和维修服务。</w:t>
            </w:r>
          </w:p>
        </w:tc>
      </w:tr>
      <w:tr w14:paraId="6A261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4" w:hRule="atLeast"/>
        </w:trPr>
        <w:tc>
          <w:tcPr>
            <w:tcW w:w="1236" w:type="pct"/>
            <w:vAlign w:val="center"/>
          </w:tcPr>
          <w:p w14:paraId="6877A483">
            <w:pPr>
              <w:spacing w:line="360" w:lineRule="auto"/>
              <w:jc w:val="center"/>
              <w:rPr>
                <w:rFonts w:ascii="微软雅黑" w:hAnsi="微软雅黑" w:eastAsia="微软雅黑" w:cs="微软雅黑"/>
                <w:szCs w:val="21"/>
              </w:rPr>
            </w:pPr>
            <w:r>
              <w:rPr>
                <w:rFonts w:hint="eastAsia" w:ascii="微软雅黑" w:hAnsi="微软雅黑" w:eastAsia="微软雅黑" w:cs="微软雅黑"/>
                <w:szCs w:val="21"/>
              </w:rPr>
              <w:t>应急能力</w:t>
            </w:r>
          </w:p>
        </w:tc>
        <w:tc>
          <w:tcPr>
            <w:tcW w:w="3764" w:type="pct"/>
            <w:vAlign w:val="center"/>
          </w:tcPr>
          <w:p w14:paraId="20FDB5E7">
            <w:pPr>
              <w:spacing w:line="360" w:lineRule="auto"/>
              <w:rPr>
                <w:rFonts w:ascii="微软雅黑" w:hAnsi="微软雅黑" w:eastAsia="微软雅黑" w:cs="微软雅黑"/>
                <w:szCs w:val="21"/>
              </w:rPr>
            </w:pPr>
            <w:r>
              <w:rPr>
                <w:rFonts w:hint="eastAsia" w:ascii="微软雅黑" w:hAnsi="微软雅黑" w:eastAsia="微软雅黑" w:cs="微软雅黑"/>
                <w:szCs w:val="21"/>
              </w:rPr>
              <w:t>供应商应当在采购人单位所在区域拥有维修服务能力，提供售后服务支持。如遇质量问题，供应商应当在接到通知2小时内予以响应，并于8小时内解决完毕或提供代用产品。</w:t>
            </w:r>
          </w:p>
        </w:tc>
      </w:tr>
    </w:tbl>
    <w:p w14:paraId="03416CD5">
      <w:pPr>
        <w:spacing w:line="360" w:lineRule="auto"/>
        <w:outlineLvl w:val="0"/>
        <w:rPr>
          <w:rFonts w:ascii="微软雅黑" w:hAnsi="微软雅黑" w:eastAsia="微软雅黑" w:cs="微软雅黑"/>
          <w:szCs w:val="21"/>
        </w:rPr>
      </w:pPr>
    </w:p>
    <w:sectPr>
      <w:headerReference r:id="rId5" w:type="default"/>
      <w:type w:val="nextColumn"/>
      <w:pgSz w:w="16840" w:h="11907" w:orient="landscape"/>
      <w:pgMar w:top="1021" w:right="1134" w:bottom="1021" w:left="113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华文宋体">
    <w:altName w:val="方正书宋_GBK"/>
    <w:panose1 w:val="02010600040101010101"/>
    <w:charset w:val="86"/>
    <w:family w:val="auto"/>
    <w:pitch w:val="default"/>
    <w:sig w:usb0="00000000" w:usb1="00000000" w:usb2="00000010" w:usb3="00000000" w:csb0="0004009F" w:csb1="00000000"/>
  </w:font>
  <w:font w:name="思源黑体">
    <w:panose1 w:val="020B0500000000000000"/>
    <w:charset w:val="86"/>
    <w:family w:val="auto"/>
    <w:pitch w:val="default"/>
    <w:sig w:usb0="30000083" w:usb1="2BDF3C10" w:usb2="00000016" w:usb3="00000000" w:csb0="602E0107" w:csb1="00000000"/>
  </w:font>
  <w:font w:name="GWZT-EN">
    <w:panose1 w:val="02020400000000000000"/>
    <w:charset w:val="86"/>
    <w:family w:val="auto"/>
    <w:pitch w:val="default"/>
    <w:sig w:usb0="A00002BF" w:usb1="38CF7CFA" w:usb2="00082016" w:usb3="00000000" w:csb0="00040001" w:csb1="00000000"/>
  </w:font>
  <w:font w:name="等线">
    <w:altName w:val="Noto Sans CJK SC"/>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sdt>
        <w:sdtPr>
          <w:id w:val="1728636285"/>
        </w:sdtPr>
        <w:sdtContent>
          <w:p w14:paraId="485DB5C8">
            <w:pPr>
              <w:pStyle w:val="10"/>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57</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62</w:t>
            </w:r>
            <w:r>
              <w:rPr>
                <w:b/>
                <w:bCs/>
                <w:sz w:val="24"/>
                <w:szCs w:val="24"/>
              </w:rPr>
              <w:fldChar w:fldCharType="end"/>
            </w:r>
          </w:p>
        </w:sdtContent>
      </w:sdt>
    </w:sdtContent>
  </w:sdt>
  <w:p w14:paraId="511515D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6114"/>
    </w:sdtPr>
    <w:sdtContent>
      <w:sdt>
        <w:sdtPr>
          <w:id w:val="147463639"/>
        </w:sdtPr>
        <w:sdtContent>
          <w:p w14:paraId="3A2D9E7E">
            <w:pPr>
              <w:pStyle w:val="10"/>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61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62</w:t>
            </w:r>
            <w:r>
              <w:rPr>
                <w:b/>
                <w:bCs/>
                <w:sz w:val="24"/>
                <w:szCs w:val="24"/>
              </w:rPr>
              <w:fldChar w:fldCharType="end"/>
            </w:r>
          </w:p>
        </w:sdtContent>
      </w:sdt>
    </w:sdtContent>
  </w:sdt>
  <w:p w14:paraId="663802D9">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73BDC">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16B62"/>
    <w:multiLevelType w:val="singleLevel"/>
    <w:tmpl w:val="80316B62"/>
    <w:lvl w:ilvl="0" w:tentative="0">
      <w:start w:val="1"/>
      <w:numFmt w:val="decimal"/>
      <w:suff w:val="nothing"/>
      <w:lvlText w:val="%1、"/>
      <w:lvlJc w:val="left"/>
    </w:lvl>
  </w:abstractNum>
  <w:abstractNum w:abstractNumId="1">
    <w:nsid w:val="89274E28"/>
    <w:multiLevelType w:val="singleLevel"/>
    <w:tmpl w:val="89274E28"/>
    <w:lvl w:ilvl="0" w:tentative="0">
      <w:start w:val="1"/>
      <w:numFmt w:val="decimal"/>
      <w:lvlText w:val="(%1)"/>
      <w:lvlJc w:val="left"/>
      <w:pPr>
        <w:ind w:left="425" w:hanging="425"/>
      </w:pPr>
      <w:rPr>
        <w:rFonts w:hint="default" w:ascii="宋体" w:hAnsi="宋体" w:eastAsia="宋体" w:cs="宋体"/>
      </w:rPr>
    </w:lvl>
  </w:abstractNum>
  <w:abstractNum w:abstractNumId="2">
    <w:nsid w:val="C96E986F"/>
    <w:multiLevelType w:val="singleLevel"/>
    <w:tmpl w:val="C96E986F"/>
    <w:lvl w:ilvl="0" w:tentative="0">
      <w:start w:val="1"/>
      <w:numFmt w:val="chineseCountingThousand"/>
      <w:lvlText w:val="%1."/>
      <w:lvlJc w:val="left"/>
      <w:pPr>
        <w:ind w:left="582" w:hanging="440"/>
      </w:pPr>
      <w:rPr>
        <w:rFonts w:hint="eastAsia"/>
      </w:rPr>
    </w:lvl>
  </w:abstractNum>
  <w:abstractNum w:abstractNumId="3">
    <w:nsid w:val="FFFFFF89"/>
    <w:multiLevelType w:val="singleLevel"/>
    <w:tmpl w:val="FFFFFF89"/>
    <w:lvl w:ilvl="0" w:tentative="0">
      <w:start w:val="1"/>
      <w:numFmt w:val="bullet"/>
      <w:pStyle w:val="5"/>
      <w:lvlText w:val=""/>
      <w:lvlJc w:val="left"/>
      <w:pPr>
        <w:tabs>
          <w:tab w:val="left" w:pos="360"/>
        </w:tabs>
        <w:ind w:left="360" w:hanging="360" w:hangingChars="200"/>
      </w:pPr>
      <w:rPr>
        <w:rFonts w:hint="default" w:ascii="Wingdings" w:hAnsi="Wingdings"/>
      </w:rPr>
    </w:lvl>
  </w:abstractNum>
  <w:abstractNum w:abstractNumId="4">
    <w:nsid w:val="125D043A"/>
    <w:multiLevelType w:val="singleLevel"/>
    <w:tmpl w:val="125D043A"/>
    <w:lvl w:ilvl="0" w:tentative="0">
      <w:start w:val="1"/>
      <w:numFmt w:val="decimal"/>
      <w:suff w:val="space"/>
      <w:lvlText w:val="%1."/>
      <w:lvlJc w:val="left"/>
      <w:pPr>
        <w:ind w:left="0" w:firstLine="0"/>
      </w:pPr>
      <w:rPr>
        <w:rFonts w:hint="eastAsia"/>
        <w:b w:val="0"/>
        <w:bCs w:val="0"/>
        <w:color w:val="auto"/>
      </w:rPr>
    </w:lvl>
  </w:abstractNum>
  <w:abstractNum w:abstractNumId="5">
    <w:nsid w:val="323D1498"/>
    <w:multiLevelType w:val="multilevel"/>
    <w:tmpl w:val="323D1498"/>
    <w:lvl w:ilvl="0" w:tentative="0">
      <w:start w:val="1"/>
      <w:numFmt w:val="chineseCountingThousand"/>
      <w:lvlText w:val="(%1)"/>
      <w:lvlJc w:val="left"/>
      <w:pPr>
        <w:ind w:left="0" w:firstLine="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6">
    <w:nsid w:val="33EB91B0"/>
    <w:multiLevelType w:val="singleLevel"/>
    <w:tmpl w:val="33EB91B0"/>
    <w:lvl w:ilvl="0" w:tentative="0">
      <w:start w:val="1"/>
      <w:numFmt w:val="decimal"/>
      <w:lvlText w:val="(%1)"/>
      <w:lvlJc w:val="left"/>
      <w:pPr>
        <w:ind w:left="425" w:hanging="425"/>
      </w:pPr>
      <w:rPr>
        <w:rFonts w:hint="default" w:ascii="宋体" w:hAnsi="宋体" w:eastAsia="宋体" w:cs="宋体"/>
      </w:rPr>
    </w:lvl>
  </w:abstractNum>
  <w:abstractNum w:abstractNumId="7">
    <w:nsid w:val="3EC4CFFB"/>
    <w:multiLevelType w:val="singleLevel"/>
    <w:tmpl w:val="3EC4CFFB"/>
    <w:lvl w:ilvl="0" w:tentative="0">
      <w:start w:val="9"/>
      <w:numFmt w:val="decimal"/>
      <w:lvlText w:val="%1."/>
      <w:lvlJc w:val="left"/>
      <w:pPr>
        <w:tabs>
          <w:tab w:val="left" w:pos="312"/>
        </w:tabs>
      </w:pPr>
    </w:lvl>
  </w:abstractNum>
  <w:abstractNum w:abstractNumId="8">
    <w:nsid w:val="65288CA7"/>
    <w:multiLevelType w:val="singleLevel"/>
    <w:tmpl w:val="65288CA7"/>
    <w:lvl w:ilvl="0" w:tentative="0">
      <w:start w:val="9"/>
      <w:numFmt w:val="decimal"/>
      <w:lvlText w:val="%1."/>
      <w:lvlJc w:val="left"/>
      <w:pPr>
        <w:tabs>
          <w:tab w:val="left" w:pos="312"/>
        </w:tabs>
      </w:pPr>
    </w:lvl>
  </w:abstractNum>
  <w:num w:numId="1">
    <w:abstractNumId w:val="3"/>
  </w:num>
  <w:num w:numId="2">
    <w:abstractNumId w:val="5"/>
    <w:lvlOverride w:ilvl="0">
      <w:lvl w:ilvl="0" w:tentative="1">
        <w:start w:val="1"/>
        <w:numFmt w:val="chineseCountingThousand"/>
        <w:pStyle w:val="21"/>
        <w:lvlText w:val="(%1)"/>
        <w:lvlJc w:val="left"/>
        <w:pPr>
          <w:ind w:left="0" w:firstLine="0"/>
        </w:pPr>
        <w:rPr>
          <w:rFonts w:hint="eastAsia"/>
        </w:rPr>
      </w:lvl>
    </w:lvlOverride>
    <w:lvlOverride w:ilvl="1">
      <w:lvl w:ilvl="1" w:tentative="1">
        <w:start w:val="1"/>
        <w:numFmt w:val="lowerLetter"/>
        <w:lvlText w:val="%2)"/>
        <w:lvlJc w:val="left"/>
        <w:pPr>
          <w:ind w:left="0" w:firstLine="0"/>
        </w:pPr>
        <w:rPr>
          <w:rFonts w:hint="eastAsia"/>
        </w:rPr>
      </w:lvl>
    </w:lvlOverride>
    <w:lvlOverride w:ilvl="2">
      <w:lvl w:ilvl="2" w:tentative="1">
        <w:start w:val="1"/>
        <w:numFmt w:val="lowerRoman"/>
        <w:lvlText w:val="%3."/>
        <w:lvlJc w:val="right"/>
        <w:pPr>
          <w:ind w:left="0" w:firstLine="0"/>
        </w:pPr>
        <w:rPr>
          <w:rFonts w:hint="eastAsia"/>
        </w:rPr>
      </w:lvl>
    </w:lvlOverride>
    <w:lvlOverride w:ilvl="3">
      <w:lvl w:ilvl="3" w:tentative="1">
        <w:start w:val="1"/>
        <w:numFmt w:val="decimal"/>
        <w:lvlText w:val="%4."/>
        <w:lvlJc w:val="left"/>
        <w:pPr>
          <w:ind w:left="0" w:firstLine="0"/>
        </w:pPr>
        <w:rPr>
          <w:rFonts w:hint="eastAsia"/>
        </w:rPr>
      </w:lvl>
    </w:lvlOverride>
    <w:lvlOverride w:ilvl="4">
      <w:lvl w:ilvl="4" w:tentative="1">
        <w:start w:val="1"/>
        <w:numFmt w:val="lowerLetter"/>
        <w:lvlText w:val="%5)"/>
        <w:lvlJc w:val="left"/>
        <w:pPr>
          <w:ind w:left="0" w:firstLine="0"/>
        </w:pPr>
        <w:rPr>
          <w:rFonts w:hint="eastAsia"/>
        </w:rPr>
      </w:lvl>
    </w:lvlOverride>
    <w:lvlOverride w:ilvl="5">
      <w:lvl w:ilvl="5" w:tentative="1">
        <w:start w:val="1"/>
        <w:numFmt w:val="lowerRoman"/>
        <w:lvlText w:val="%6."/>
        <w:lvlJc w:val="right"/>
        <w:pPr>
          <w:ind w:left="0" w:firstLine="0"/>
        </w:pPr>
        <w:rPr>
          <w:rFonts w:hint="eastAsia"/>
        </w:rPr>
      </w:lvl>
    </w:lvlOverride>
    <w:lvlOverride w:ilvl="6">
      <w:lvl w:ilvl="6" w:tentative="1">
        <w:start w:val="1"/>
        <w:numFmt w:val="decimal"/>
        <w:lvlText w:val="%7."/>
        <w:lvlJc w:val="left"/>
        <w:pPr>
          <w:ind w:left="0" w:firstLine="0"/>
        </w:pPr>
        <w:rPr>
          <w:rFonts w:hint="eastAsia"/>
        </w:rPr>
      </w:lvl>
    </w:lvlOverride>
    <w:lvlOverride w:ilvl="7">
      <w:lvl w:ilvl="7" w:tentative="1">
        <w:start w:val="1"/>
        <w:numFmt w:val="lowerLetter"/>
        <w:lvlText w:val="%8)"/>
        <w:lvlJc w:val="left"/>
        <w:pPr>
          <w:ind w:left="0" w:firstLine="0"/>
        </w:pPr>
        <w:rPr>
          <w:rFonts w:hint="eastAsia"/>
        </w:rPr>
      </w:lvl>
    </w:lvlOverride>
    <w:lvlOverride w:ilvl="8">
      <w:lvl w:ilvl="8" w:tentative="1">
        <w:start w:val="1"/>
        <w:numFmt w:val="lowerRoman"/>
        <w:lvlText w:val="%9."/>
        <w:lvlJc w:val="right"/>
        <w:pPr>
          <w:ind w:left="0" w:firstLine="0"/>
        </w:pPr>
        <w:rPr>
          <w:rFonts w:hint="eastAsia"/>
        </w:rPr>
      </w:lvl>
    </w:lvlOverride>
  </w:num>
  <w:num w:numId="3">
    <w:abstractNumId w:val="2"/>
  </w:num>
  <w:num w:numId="4">
    <w:abstractNumId w:val="7"/>
  </w:num>
  <w:num w:numId="5">
    <w:abstractNumId w:val="8"/>
  </w:num>
  <w:num w:numId="6">
    <w:abstractNumId w:val="5"/>
    <w:lvlOverride w:ilvl="0">
      <w:startOverride w:val="1"/>
      <w:lvl w:ilvl="0" w:tentative="1">
        <w:start w:val="1"/>
        <w:numFmt w:val="chineseCountingThousand"/>
        <w:lvlText w:val="(%1)"/>
        <w:lvlJc w:val="left"/>
        <w:pPr>
          <w:ind w:left="0" w:firstLine="0"/>
        </w:pPr>
        <w:rPr>
          <w:rFonts w:hint="eastAsia"/>
        </w:rPr>
      </w:lvl>
    </w:lvlOverride>
    <w:lvlOverride w:ilvl="1">
      <w:startOverride w:val="1"/>
      <w:lvl w:ilvl="1" w:tentative="1">
        <w:start w:val="1"/>
        <w:numFmt w:val="lowerLetter"/>
        <w:lvlText w:val="%2)"/>
        <w:lvlJc w:val="left"/>
        <w:pPr>
          <w:ind w:left="0" w:firstLine="0"/>
        </w:pPr>
        <w:rPr>
          <w:rFonts w:hint="eastAsia"/>
        </w:rPr>
      </w:lvl>
    </w:lvlOverride>
    <w:lvlOverride w:ilvl="2">
      <w:startOverride w:val="1"/>
      <w:lvl w:ilvl="2" w:tentative="1">
        <w:start w:val="1"/>
        <w:numFmt w:val="lowerRoman"/>
        <w:lvlText w:val="%3."/>
        <w:lvlJc w:val="right"/>
        <w:pPr>
          <w:ind w:left="0" w:firstLine="0"/>
        </w:pPr>
        <w:rPr>
          <w:rFonts w:hint="eastAsia"/>
        </w:rPr>
      </w:lvl>
    </w:lvlOverride>
    <w:lvlOverride w:ilvl="3">
      <w:startOverride w:val="1"/>
      <w:lvl w:ilvl="3" w:tentative="1">
        <w:start w:val="1"/>
        <w:numFmt w:val="decimal"/>
        <w:lvlText w:val="%4."/>
        <w:lvlJc w:val="left"/>
        <w:pPr>
          <w:ind w:left="0" w:firstLine="0"/>
        </w:pPr>
        <w:rPr>
          <w:rFonts w:hint="eastAsia"/>
        </w:rPr>
      </w:lvl>
    </w:lvlOverride>
    <w:lvlOverride w:ilvl="4">
      <w:startOverride w:val="1"/>
      <w:lvl w:ilvl="4" w:tentative="1">
        <w:start w:val="1"/>
        <w:numFmt w:val="lowerLetter"/>
        <w:lvlText w:val="%5)"/>
        <w:lvlJc w:val="left"/>
        <w:pPr>
          <w:ind w:left="0" w:firstLine="0"/>
        </w:pPr>
        <w:rPr>
          <w:rFonts w:hint="eastAsia"/>
        </w:rPr>
      </w:lvl>
    </w:lvlOverride>
    <w:lvlOverride w:ilvl="5">
      <w:startOverride w:val="1"/>
      <w:lvl w:ilvl="5" w:tentative="1">
        <w:start w:val="1"/>
        <w:numFmt w:val="lowerRoman"/>
        <w:lvlText w:val="%6."/>
        <w:lvlJc w:val="right"/>
        <w:pPr>
          <w:ind w:left="0" w:firstLine="0"/>
        </w:pPr>
        <w:rPr>
          <w:rFonts w:hint="eastAsia"/>
        </w:rPr>
      </w:lvl>
    </w:lvlOverride>
    <w:lvlOverride w:ilvl="6">
      <w:startOverride w:val="1"/>
      <w:lvl w:ilvl="6" w:tentative="1">
        <w:start w:val="1"/>
        <w:numFmt w:val="decimal"/>
        <w:lvlText w:val="%7."/>
        <w:lvlJc w:val="left"/>
        <w:pPr>
          <w:ind w:left="0" w:firstLine="0"/>
        </w:pPr>
        <w:rPr>
          <w:rFonts w:hint="eastAsia"/>
        </w:rPr>
      </w:lvl>
    </w:lvlOverride>
    <w:lvlOverride w:ilvl="7">
      <w:startOverride w:val="1"/>
      <w:lvl w:ilvl="7" w:tentative="1">
        <w:start w:val="1"/>
        <w:numFmt w:val="lowerLetter"/>
        <w:lvlText w:val="%8)"/>
        <w:lvlJc w:val="left"/>
        <w:pPr>
          <w:ind w:left="0" w:firstLine="0"/>
        </w:pPr>
        <w:rPr>
          <w:rFonts w:hint="eastAsia"/>
        </w:rPr>
      </w:lvl>
    </w:lvlOverride>
    <w:lvlOverride w:ilvl="8">
      <w:startOverride w:val="1"/>
      <w:lvl w:ilvl="8" w:tentative="1">
        <w:start w:val="1"/>
        <w:numFmt w:val="lowerRoman"/>
        <w:lvlText w:val="%9."/>
        <w:lvlJc w:val="right"/>
        <w:pPr>
          <w:ind w:left="0" w:firstLine="0"/>
        </w:pPr>
        <w:rPr>
          <w:rFonts w:hint="eastAsia"/>
        </w:rPr>
      </w:lvl>
    </w:lvlOverride>
  </w:num>
  <w:num w:numId="7">
    <w:abstractNumId w:val="4"/>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00AB1D7F"/>
    <w:rsid w:val="000058FE"/>
    <w:rsid w:val="00014F64"/>
    <w:rsid w:val="00022D03"/>
    <w:rsid w:val="00023591"/>
    <w:rsid w:val="000256E7"/>
    <w:rsid w:val="00026C88"/>
    <w:rsid w:val="000275EC"/>
    <w:rsid w:val="0003128C"/>
    <w:rsid w:val="00032E62"/>
    <w:rsid w:val="0003432A"/>
    <w:rsid w:val="000378C6"/>
    <w:rsid w:val="00043672"/>
    <w:rsid w:val="00043C30"/>
    <w:rsid w:val="00046182"/>
    <w:rsid w:val="0005028D"/>
    <w:rsid w:val="00052A36"/>
    <w:rsid w:val="00056CCA"/>
    <w:rsid w:val="00056D25"/>
    <w:rsid w:val="00063604"/>
    <w:rsid w:val="000667C5"/>
    <w:rsid w:val="00072DE9"/>
    <w:rsid w:val="0007403D"/>
    <w:rsid w:val="00074603"/>
    <w:rsid w:val="00074DA3"/>
    <w:rsid w:val="00074DD2"/>
    <w:rsid w:val="00075B11"/>
    <w:rsid w:val="00081D07"/>
    <w:rsid w:val="000859F9"/>
    <w:rsid w:val="00085AA4"/>
    <w:rsid w:val="000921AF"/>
    <w:rsid w:val="00093A27"/>
    <w:rsid w:val="000945ED"/>
    <w:rsid w:val="0009615E"/>
    <w:rsid w:val="00096522"/>
    <w:rsid w:val="000A0297"/>
    <w:rsid w:val="000A05F6"/>
    <w:rsid w:val="000A0E8D"/>
    <w:rsid w:val="000A235D"/>
    <w:rsid w:val="000A47A7"/>
    <w:rsid w:val="000A48C0"/>
    <w:rsid w:val="000A574B"/>
    <w:rsid w:val="000A7C52"/>
    <w:rsid w:val="000B02AF"/>
    <w:rsid w:val="000B0727"/>
    <w:rsid w:val="000B07C8"/>
    <w:rsid w:val="000B17AB"/>
    <w:rsid w:val="000B2AD9"/>
    <w:rsid w:val="000B51A4"/>
    <w:rsid w:val="000B7B88"/>
    <w:rsid w:val="000C24FE"/>
    <w:rsid w:val="000C3047"/>
    <w:rsid w:val="000C35A9"/>
    <w:rsid w:val="000C42B7"/>
    <w:rsid w:val="000C726B"/>
    <w:rsid w:val="000C7CA0"/>
    <w:rsid w:val="000D226D"/>
    <w:rsid w:val="000D233D"/>
    <w:rsid w:val="000D3738"/>
    <w:rsid w:val="000D4124"/>
    <w:rsid w:val="000D67B1"/>
    <w:rsid w:val="000E7113"/>
    <w:rsid w:val="000E7C4A"/>
    <w:rsid w:val="000F3548"/>
    <w:rsid w:val="00102E52"/>
    <w:rsid w:val="001067A8"/>
    <w:rsid w:val="00111AF9"/>
    <w:rsid w:val="00112669"/>
    <w:rsid w:val="001127A6"/>
    <w:rsid w:val="001178CA"/>
    <w:rsid w:val="00121547"/>
    <w:rsid w:val="00125949"/>
    <w:rsid w:val="00126378"/>
    <w:rsid w:val="00130890"/>
    <w:rsid w:val="001317F1"/>
    <w:rsid w:val="001342DD"/>
    <w:rsid w:val="001363A5"/>
    <w:rsid w:val="001409C5"/>
    <w:rsid w:val="001438A1"/>
    <w:rsid w:val="00144F85"/>
    <w:rsid w:val="0014771A"/>
    <w:rsid w:val="00147A6E"/>
    <w:rsid w:val="00151A0D"/>
    <w:rsid w:val="001539DF"/>
    <w:rsid w:val="00160548"/>
    <w:rsid w:val="00170611"/>
    <w:rsid w:val="0017208B"/>
    <w:rsid w:val="001770F0"/>
    <w:rsid w:val="00177202"/>
    <w:rsid w:val="0018331C"/>
    <w:rsid w:val="00183707"/>
    <w:rsid w:val="001850DD"/>
    <w:rsid w:val="00190369"/>
    <w:rsid w:val="00192589"/>
    <w:rsid w:val="00197D38"/>
    <w:rsid w:val="001A709B"/>
    <w:rsid w:val="001B3252"/>
    <w:rsid w:val="001B3769"/>
    <w:rsid w:val="001B4123"/>
    <w:rsid w:val="001B43B5"/>
    <w:rsid w:val="001B4688"/>
    <w:rsid w:val="001B6421"/>
    <w:rsid w:val="001B7599"/>
    <w:rsid w:val="001C077F"/>
    <w:rsid w:val="001C11A9"/>
    <w:rsid w:val="001C4266"/>
    <w:rsid w:val="001C5029"/>
    <w:rsid w:val="001C55CC"/>
    <w:rsid w:val="001C62EA"/>
    <w:rsid w:val="001D2216"/>
    <w:rsid w:val="001D233D"/>
    <w:rsid w:val="001D2C30"/>
    <w:rsid w:val="001E70C9"/>
    <w:rsid w:val="001E7235"/>
    <w:rsid w:val="001F1B8C"/>
    <w:rsid w:val="002034B6"/>
    <w:rsid w:val="00205FA6"/>
    <w:rsid w:val="0021036A"/>
    <w:rsid w:val="0021279C"/>
    <w:rsid w:val="00213DCD"/>
    <w:rsid w:val="00214540"/>
    <w:rsid w:val="00221EEE"/>
    <w:rsid w:val="0022715D"/>
    <w:rsid w:val="00227E37"/>
    <w:rsid w:val="00227E72"/>
    <w:rsid w:val="00232115"/>
    <w:rsid w:val="0023461C"/>
    <w:rsid w:val="002353CC"/>
    <w:rsid w:val="0023671C"/>
    <w:rsid w:val="00236AAD"/>
    <w:rsid w:val="0024403D"/>
    <w:rsid w:val="0024656F"/>
    <w:rsid w:val="00246F5C"/>
    <w:rsid w:val="00247011"/>
    <w:rsid w:val="002500FC"/>
    <w:rsid w:val="0025068E"/>
    <w:rsid w:val="00250B8F"/>
    <w:rsid w:val="00252B71"/>
    <w:rsid w:val="00254128"/>
    <w:rsid w:val="002559AC"/>
    <w:rsid w:val="00256BFD"/>
    <w:rsid w:val="002621B5"/>
    <w:rsid w:val="00265E52"/>
    <w:rsid w:val="0027199D"/>
    <w:rsid w:val="00280D2D"/>
    <w:rsid w:val="00283325"/>
    <w:rsid w:val="00284C9C"/>
    <w:rsid w:val="00284DAE"/>
    <w:rsid w:val="00286AA3"/>
    <w:rsid w:val="00290195"/>
    <w:rsid w:val="00291463"/>
    <w:rsid w:val="00292204"/>
    <w:rsid w:val="002A0FE6"/>
    <w:rsid w:val="002A20A4"/>
    <w:rsid w:val="002A562A"/>
    <w:rsid w:val="002A60C7"/>
    <w:rsid w:val="002B0D9A"/>
    <w:rsid w:val="002B34F6"/>
    <w:rsid w:val="002B647C"/>
    <w:rsid w:val="002B71DC"/>
    <w:rsid w:val="002B7F6E"/>
    <w:rsid w:val="002C21E1"/>
    <w:rsid w:val="002C66ED"/>
    <w:rsid w:val="002C73D8"/>
    <w:rsid w:val="002D01FB"/>
    <w:rsid w:val="002D0CFC"/>
    <w:rsid w:val="002D48A6"/>
    <w:rsid w:val="002D6939"/>
    <w:rsid w:val="002E319D"/>
    <w:rsid w:val="002E6340"/>
    <w:rsid w:val="002F0DC4"/>
    <w:rsid w:val="002F3C1B"/>
    <w:rsid w:val="002F6577"/>
    <w:rsid w:val="00306CCF"/>
    <w:rsid w:val="00312B26"/>
    <w:rsid w:val="00313396"/>
    <w:rsid w:val="003142BD"/>
    <w:rsid w:val="00320874"/>
    <w:rsid w:val="00323045"/>
    <w:rsid w:val="00324CC4"/>
    <w:rsid w:val="00327955"/>
    <w:rsid w:val="003330E4"/>
    <w:rsid w:val="003342C3"/>
    <w:rsid w:val="0033713A"/>
    <w:rsid w:val="00337E64"/>
    <w:rsid w:val="00341633"/>
    <w:rsid w:val="00343D2A"/>
    <w:rsid w:val="00346DF0"/>
    <w:rsid w:val="003532FE"/>
    <w:rsid w:val="00353816"/>
    <w:rsid w:val="00357664"/>
    <w:rsid w:val="00363110"/>
    <w:rsid w:val="00363638"/>
    <w:rsid w:val="00363A72"/>
    <w:rsid w:val="0036478B"/>
    <w:rsid w:val="00364B7B"/>
    <w:rsid w:val="0036643E"/>
    <w:rsid w:val="0036649D"/>
    <w:rsid w:val="00371AFE"/>
    <w:rsid w:val="00374897"/>
    <w:rsid w:val="003749C4"/>
    <w:rsid w:val="00374EC2"/>
    <w:rsid w:val="00377FA4"/>
    <w:rsid w:val="0038309C"/>
    <w:rsid w:val="003874E2"/>
    <w:rsid w:val="00393397"/>
    <w:rsid w:val="0039343E"/>
    <w:rsid w:val="00395420"/>
    <w:rsid w:val="003972D5"/>
    <w:rsid w:val="0039750D"/>
    <w:rsid w:val="003A2871"/>
    <w:rsid w:val="003A49EC"/>
    <w:rsid w:val="003B1682"/>
    <w:rsid w:val="003B3023"/>
    <w:rsid w:val="003B3BCF"/>
    <w:rsid w:val="003B41E8"/>
    <w:rsid w:val="003B4CC3"/>
    <w:rsid w:val="003B5135"/>
    <w:rsid w:val="003B51A4"/>
    <w:rsid w:val="003B6C7C"/>
    <w:rsid w:val="003B7F99"/>
    <w:rsid w:val="003C01B0"/>
    <w:rsid w:val="003C3FF1"/>
    <w:rsid w:val="003C40AC"/>
    <w:rsid w:val="003C5F0A"/>
    <w:rsid w:val="003D13B0"/>
    <w:rsid w:val="003D16D0"/>
    <w:rsid w:val="003D3226"/>
    <w:rsid w:val="003D49FC"/>
    <w:rsid w:val="003D51FD"/>
    <w:rsid w:val="003D6E3C"/>
    <w:rsid w:val="003E359E"/>
    <w:rsid w:val="003E6FAE"/>
    <w:rsid w:val="003F0013"/>
    <w:rsid w:val="003F3DD3"/>
    <w:rsid w:val="003F7A84"/>
    <w:rsid w:val="0040350F"/>
    <w:rsid w:val="00405F65"/>
    <w:rsid w:val="00406761"/>
    <w:rsid w:val="00406BB2"/>
    <w:rsid w:val="00411F08"/>
    <w:rsid w:val="00415812"/>
    <w:rsid w:val="00417062"/>
    <w:rsid w:val="00420751"/>
    <w:rsid w:val="00422C15"/>
    <w:rsid w:val="004230AB"/>
    <w:rsid w:val="004254F7"/>
    <w:rsid w:val="00426DEE"/>
    <w:rsid w:val="00430E9F"/>
    <w:rsid w:val="00432B1C"/>
    <w:rsid w:val="00433218"/>
    <w:rsid w:val="004349A8"/>
    <w:rsid w:val="004368BA"/>
    <w:rsid w:val="00437B7B"/>
    <w:rsid w:val="00444317"/>
    <w:rsid w:val="0045506D"/>
    <w:rsid w:val="00455247"/>
    <w:rsid w:val="00463B82"/>
    <w:rsid w:val="004642E6"/>
    <w:rsid w:val="004743D5"/>
    <w:rsid w:val="0047548C"/>
    <w:rsid w:val="00475518"/>
    <w:rsid w:val="00475E41"/>
    <w:rsid w:val="004808E3"/>
    <w:rsid w:val="0048095D"/>
    <w:rsid w:val="00484EFB"/>
    <w:rsid w:val="004905CD"/>
    <w:rsid w:val="004907E0"/>
    <w:rsid w:val="00490CAE"/>
    <w:rsid w:val="00490F6B"/>
    <w:rsid w:val="004A2C00"/>
    <w:rsid w:val="004A48F8"/>
    <w:rsid w:val="004A55E3"/>
    <w:rsid w:val="004A7BFF"/>
    <w:rsid w:val="004B0BC1"/>
    <w:rsid w:val="004B0D73"/>
    <w:rsid w:val="004B166A"/>
    <w:rsid w:val="004B4112"/>
    <w:rsid w:val="004B59C5"/>
    <w:rsid w:val="004B7377"/>
    <w:rsid w:val="004B73A3"/>
    <w:rsid w:val="004C138F"/>
    <w:rsid w:val="004C13F3"/>
    <w:rsid w:val="004C1E52"/>
    <w:rsid w:val="004C4539"/>
    <w:rsid w:val="004C4B92"/>
    <w:rsid w:val="004C6177"/>
    <w:rsid w:val="004D3B67"/>
    <w:rsid w:val="004D6C84"/>
    <w:rsid w:val="004E3033"/>
    <w:rsid w:val="004E3628"/>
    <w:rsid w:val="004E5F02"/>
    <w:rsid w:val="004E65C7"/>
    <w:rsid w:val="004E7FA9"/>
    <w:rsid w:val="004F268C"/>
    <w:rsid w:val="004F73FD"/>
    <w:rsid w:val="005015A7"/>
    <w:rsid w:val="00501F8B"/>
    <w:rsid w:val="00510AF8"/>
    <w:rsid w:val="00511BFF"/>
    <w:rsid w:val="0051453E"/>
    <w:rsid w:val="00516BD1"/>
    <w:rsid w:val="00517EE8"/>
    <w:rsid w:val="0052014A"/>
    <w:rsid w:val="00521CA5"/>
    <w:rsid w:val="00522100"/>
    <w:rsid w:val="00526A43"/>
    <w:rsid w:val="0052772C"/>
    <w:rsid w:val="0053274C"/>
    <w:rsid w:val="00535973"/>
    <w:rsid w:val="00537C5A"/>
    <w:rsid w:val="00542A1A"/>
    <w:rsid w:val="00554486"/>
    <w:rsid w:val="00555AC4"/>
    <w:rsid w:val="0055648D"/>
    <w:rsid w:val="00565193"/>
    <w:rsid w:val="005739B8"/>
    <w:rsid w:val="00575D56"/>
    <w:rsid w:val="005808FB"/>
    <w:rsid w:val="0058096C"/>
    <w:rsid w:val="00581B33"/>
    <w:rsid w:val="00583523"/>
    <w:rsid w:val="005903DC"/>
    <w:rsid w:val="00590B36"/>
    <w:rsid w:val="00591A24"/>
    <w:rsid w:val="00592CD7"/>
    <w:rsid w:val="0059546F"/>
    <w:rsid w:val="0059583B"/>
    <w:rsid w:val="005A4190"/>
    <w:rsid w:val="005B28EF"/>
    <w:rsid w:val="005B4ECB"/>
    <w:rsid w:val="005B5046"/>
    <w:rsid w:val="005B541B"/>
    <w:rsid w:val="005B647E"/>
    <w:rsid w:val="005C1039"/>
    <w:rsid w:val="005C1846"/>
    <w:rsid w:val="005C2C95"/>
    <w:rsid w:val="005C65BE"/>
    <w:rsid w:val="005D044C"/>
    <w:rsid w:val="005D17BA"/>
    <w:rsid w:val="005E3037"/>
    <w:rsid w:val="005E70CC"/>
    <w:rsid w:val="005E7ECB"/>
    <w:rsid w:val="005F205C"/>
    <w:rsid w:val="005F7BAB"/>
    <w:rsid w:val="00600135"/>
    <w:rsid w:val="0060183C"/>
    <w:rsid w:val="006029D2"/>
    <w:rsid w:val="00606D5D"/>
    <w:rsid w:val="006071C7"/>
    <w:rsid w:val="006103BC"/>
    <w:rsid w:val="00613513"/>
    <w:rsid w:val="00616BA5"/>
    <w:rsid w:val="00617029"/>
    <w:rsid w:val="006172EE"/>
    <w:rsid w:val="006213E0"/>
    <w:rsid w:val="006226EA"/>
    <w:rsid w:val="00622E80"/>
    <w:rsid w:val="006233E7"/>
    <w:rsid w:val="00623E6F"/>
    <w:rsid w:val="00627BF6"/>
    <w:rsid w:val="006325E7"/>
    <w:rsid w:val="006328C7"/>
    <w:rsid w:val="00637C4D"/>
    <w:rsid w:val="006408BB"/>
    <w:rsid w:val="00642A91"/>
    <w:rsid w:val="00643583"/>
    <w:rsid w:val="0064608D"/>
    <w:rsid w:val="006502C7"/>
    <w:rsid w:val="00651AB3"/>
    <w:rsid w:val="00654D4E"/>
    <w:rsid w:val="00660CA7"/>
    <w:rsid w:val="00661E66"/>
    <w:rsid w:val="006620EB"/>
    <w:rsid w:val="006623C4"/>
    <w:rsid w:val="00663561"/>
    <w:rsid w:val="006642AD"/>
    <w:rsid w:val="00664629"/>
    <w:rsid w:val="00664637"/>
    <w:rsid w:val="006664CB"/>
    <w:rsid w:val="00667630"/>
    <w:rsid w:val="00671BE8"/>
    <w:rsid w:val="00675D9D"/>
    <w:rsid w:val="0068187D"/>
    <w:rsid w:val="0068255B"/>
    <w:rsid w:val="0068509D"/>
    <w:rsid w:val="006903AE"/>
    <w:rsid w:val="00691DAD"/>
    <w:rsid w:val="006925DE"/>
    <w:rsid w:val="006925F5"/>
    <w:rsid w:val="00694B66"/>
    <w:rsid w:val="006A1AC5"/>
    <w:rsid w:val="006A403F"/>
    <w:rsid w:val="006A5D3A"/>
    <w:rsid w:val="006A68C8"/>
    <w:rsid w:val="006A78E3"/>
    <w:rsid w:val="006B548B"/>
    <w:rsid w:val="006B65A1"/>
    <w:rsid w:val="006C07C3"/>
    <w:rsid w:val="006C1173"/>
    <w:rsid w:val="006C49CB"/>
    <w:rsid w:val="006C79DA"/>
    <w:rsid w:val="006D2265"/>
    <w:rsid w:val="006D2BF8"/>
    <w:rsid w:val="006D4E6F"/>
    <w:rsid w:val="006D5390"/>
    <w:rsid w:val="006D7600"/>
    <w:rsid w:val="006E03BC"/>
    <w:rsid w:val="006E10EB"/>
    <w:rsid w:val="006E52DD"/>
    <w:rsid w:val="006F2D52"/>
    <w:rsid w:val="006F575C"/>
    <w:rsid w:val="006F7B5F"/>
    <w:rsid w:val="00700421"/>
    <w:rsid w:val="00710376"/>
    <w:rsid w:val="00713480"/>
    <w:rsid w:val="00713C3E"/>
    <w:rsid w:val="0071701C"/>
    <w:rsid w:val="007176F4"/>
    <w:rsid w:val="007234FF"/>
    <w:rsid w:val="00723537"/>
    <w:rsid w:val="007246A2"/>
    <w:rsid w:val="00726F8F"/>
    <w:rsid w:val="007304B8"/>
    <w:rsid w:val="00733AEF"/>
    <w:rsid w:val="0073422E"/>
    <w:rsid w:val="00735D87"/>
    <w:rsid w:val="00737652"/>
    <w:rsid w:val="00737A39"/>
    <w:rsid w:val="00740079"/>
    <w:rsid w:val="00740CDB"/>
    <w:rsid w:val="007424DB"/>
    <w:rsid w:val="007502B5"/>
    <w:rsid w:val="00757977"/>
    <w:rsid w:val="00760E37"/>
    <w:rsid w:val="00761D7E"/>
    <w:rsid w:val="007636E4"/>
    <w:rsid w:val="00764A26"/>
    <w:rsid w:val="00765CBC"/>
    <w:rsid w:val="00770B57"/>
    <w:rsid w:val="00770FA7"/>
    <w:rsid w:val="007766EB"/>
    <w:rsid w:val="00781A4F"/>
    <w:rsid w:val="007822F0"/>
    <w:rsid w:val="007842A4"/>
    <w:rsid w:val="00784444"/>
    <w:rsid w:val="00785393"/>
    <w:rsid w:val="007867B5"/>
    <w:rsid w:val="0078703D"/>
    <w:rsid w:val="00787E8E"/>
    <w:rsid w:val="00787EB4"/>
    <w:rsid w:val="007A0733"/>
    <w:rsid w:val="007A2696"/>
    <w:rsid w:val="007A3C16"/>
    <w:rsid w:val="007A4B76"/>
    <w:rsid w:val="007A7EC6"/>
    <w:rsid w:val="007B0105"/>
    <w:rsid w:val="007B4B98"/>
    <w:rsid w:val="007B7C75"/>
    <w:rsid w:val="007C14BC"/>
    <w:rsid w:val="007C198E"/>
    <w:rsid w:val="007C1C08"/>
    <w:rsid w:val="007C5097"/>
    <w:rsid w:val="007C73B4"/>
    <w:rsid w:val="007D0740"/>
    <w:rsid w:val="007D0841"/>
    <w:rsid w:val="007D4062"/>
    <w:rsid w:val="007D54A2"/>
    <w:rsid w:val="007D7BF4"/>
    <w:rsid w:val="007E5C91"/>
    <w:rsid w:val="007F129B"/>
    <w:rsid w:val="007F33A2"/>
    <w:rsid w:val="007F5093"/>
    <w:rsid w:val="007F5A4B"/>
    <w:rsid w:val="007F5BC1"/>
    <w:rsid w:val="007F63EB"/>
    <w:rsid w:val="007F78AD"/>
    <w:rsid w:val="00802EAD"/>
    <w:rsid w:val="008102D8"/>
    <w:rsid w:val="00810E14"/>
    <w:rsid w:val="008236CF"/>
    <w:rsid w:val="00830A3B"/>
    <w:rsid w:val="008331FB"/>
    <w:rsid w:val="00833341"/>
    <w:rsid w:val="00833B68"/>
    <w:rsid w:val="00833B74"/>
    <w:rsid w:val="00837493"/>
    <w:rsid w:val="0083774A"/>
    <w:rsid w:val="00840A23"/>
    <w:rsid w:val="0084531B"/>
    <w:rsid w:val="008456E8"/>
    <w:rsid w:val="00845F37"/>
    <w:rsid w:val="00850176"/>
    <w:rsid w:val="00850DBD"/>
    <w:rsid w:val="00852BDE"/>
    <w:rsid w:val="008554D2"/>
    <w:rsid w:val="00855F9C"/>
    <w:rsid w:val="00856CEA"/>
    <w:rsid w:val="00857BBD"/>
    <w:rsid w:val="00865AB8"/>
    <w:rsid w:val="008672CD"/>
    <w:rsid w:val="00870147"/>
    <w:rsid w:val="0088170C"/>
    <w:rsid w:val="00883B36"/>
    <w:rsid w:val="00883FEC"/>
    <w:rsid w:val="008850D2"/>
    <w:rsid w:val="008867A8"/>
    <w:rsid w:val="00887C62"/>
    <w:rsid w:val="008A0BA5"/>
    <w:rsid w:val="008B4BA3"/>
    <w:rsid w:val="008B5CB6"/>
    <w:rsid w:val="008B5DFF"/>
    <w:rsid w:val="008B633E"/>
    <w:rsid w:val="008C2D53"/>
    <w:rsid w:val="008C6E01"/>
    <w:rsid w:val="008D0A65"/>
    <w:rsid w:val="008D2F83"/>
    <w:rsid w:val="008D3D29"/>
    <w:rsid w:val="008D57CC"/>
    <w:rsid w:val="008D6737"/>
    <w:rsid w:val="008D7532"/>
    <w:rsid w:val="008E1D92"/>
    <w:rsid w:val="008E2FF3"/>
    <w:rsid w:val="008E59E3"/>
    <w:rsid w:val="008F0681"/>
    <w:rsid w:val="008F2AF6"/>
    <w:rsid w:val="008F45ED"/>
    <w:rsid w:val="008F68F5"/>
    <w:rsid w:val="00902370"/>
    <w:rsid w:val="00904F34"/>
    <w:rsid w:val="0090513B"/>
    <w:rsid w:val="00907D11"/>
    <w:rsid w:val="00910847"/>
    <w:rsid w:val="00916508"/>
    <w:rsid w:val="00916822"/>
    <w:rsid w:val="00920750"/>
    <w:rsid w:val="009208B4"/>
    <w:rsid w:val="00921807"/>
    <w:rsid w:val="009252A7"/>
    <w:rsid w:val="0094339D"/>
    <w:rsid w:val="00943C36"/>
    <w:rsid w:val="0094508D"/>
    <w:rsid w:val="009514E1"/>
    <w:rsid w:val="009538CC"/>
    <w:rsid w:val="009644F9"/>
    <w:rsid w:val="00965315"/>
    <w:rsid w:val="00966AE3"/>
    <w:rsid w:val="0097052B"/>
    <w:rsid w:val="009733BA"/>
    <w:rsid w:val="009820A4"/>
    <w:rsid w:val="009836E6"/>
    <w:rsid w:val="009844C5"/>
    <w:rsid w:val="00984D94"/>
    <w:rsid w:val="00985923"/>
    <w:rsid w:val="00993F67"/>
    <w:rsid w:val="009A2189"/>
    <w:rsid w:val="009A2AF7"/>
    <w:rsid w:val="009A4FF5"/>
    <w:rsid w:val="009B09A9"/>
    <w:rsid w:val="009B0EC2"/>
    <w:rsid w:val="009B1702"/>
    <w:rsid w:val="009B17C8"/>
    <w:rsid w:val="009B695D"/>
    <w:rsid w:val="009B6A5F"/>
    <w:rsid w:val="009C1F89"/>
    <w:rsid w:val="009C2CA4"/>
    <w:rsid w:val="009C474B"/>
    <w:rsid w:val="009C5BBE"/>
    <w:rsid w:val="009D45D3"/>
    <w:rsid w:val="009D55F6"/>
    <w:rsid w:val="009D5D16"/>
    <w:rsid w:val="009D7FC2"/>
    <w:rsid w:val="009E05FD"/>
    <w:rsid w:val="009E0FD2"/>
    <w:rsid w:val="009E1519"/>
    <w:rsid w:val="009E1EB7"/>
    <w:rsid w:val="009E2BFE"/>
    <w:rsid w:val="009F0D8B"/>
    <w:rsid w:val="009F31BD"/>
    <w:rsid w:val="009F34FA"/>
    <w:rsid w:val="009F4896"/>
    <w:rsid w:val="009F4BE5"/>
    <w:rsid w:val="009F7970"/>
    <w:rsid w:val="00A06943"/>
    <w:rsid w:val="00A07E5E"/>
    <w:rsid w:val="00A12F97"/>
    <w:rsid w:val="00A21B68"/>
    <w:rsid w:val="00A21DC7"/>
    <w:rsid w:val="00A2553D"/>
    <w:rsid w:val="00A2659C"/>
    <w:rsid w:val="00A30E1A"/>
    <w:rsid w:val="00A30FD9"/>
    <w:rsid w:val="00A341B7"/>
    <w:rsid w:val="00A35C5C"/>
    <w:rsid w:val="00A409FD"/>
    <w:rsid w:val="00A4317B"/>
    <w:rsid w:val="00A433F9"/>
    <w:rsid w:val="00A47844"/>
    <w:rsid w:val="00A50A4C"/>
    <w:rsid w:val="00A517A8"/>
    <w:rsid w:val="00A52864"/>
    <w:rsid w:val="00A55F9E"/>
    <w:rsid w:val="00A571D6"/>
    <w:rsid w:val="00A6157F"/>
    <w:rsid w:val="00A65B28"/>
    <w:rsid w:val="00A75EDC"/>
    <w:rsid w:val="00A80697"/>
    <w:rsid w:val="00A812ED"/>
    <w:rsid w:val="00A914EA"/>
    <w:rsid w:val="00A92858"/>
    <w:rsid w:val="00A92C01"/>
    <w:rsid w:val="00A93BF9"/>
    <w:rsid w:val="00A949A3"/>
    <w:rsid w:val="00A97E11"/>
    <w:rsid w:val="00AA3699"/>
    <w:rsid w:val="00AA59F0"/>
    <w:rsid w:val="00AA5FE7"/>
    <w:rsid w:val="00AB07C7"/>
    <w:rsid w:val="00AB1D7F"/>
    <w:rsid w:val="00AB3207"/>
    <w:rsid w:val="00AB485C"/>
    <w:rsid w:val="00AB72E8"/>
    <w:rsid w:val="00AB787B"/>
    <w:rsid w:val="00AC18BD"/>
    <w:rsid w:val="00AC23FE"/>
    <w:rsid w:val="00AC285A"/>
    <w:rsid w:val="00AC418B"/>
    <w:rsid w:val="00AD3524"/>
    <w:rsid w:val="00AD6CFD"/>
    <w:rsid w:val="00AE1C48"/>
    <w:rsid w:val="00AE2B75"/>
    <w:rsid w:val="00AE3FB4"/>
    <w:rsid w:val="00AE56F0"/>
    <w:rsid w:val="00AE691A"/>
    <w:rsid w:val="00AF1913"/>
    <w:rsid w:val="00AF2EF1"/>
    <w:rsid w:val="00AF366B"/>
    <w:rsid w:val="00B033E4"/>
    <w:rsid w:val="00B058C6"/>
    <w:rsid w:val="00B06361"/>
    <w:rsid w:val="00B077AF"/>
    <w:rsid w:val="00B07FAC"/>
    <w:rsid w:val="00B104E3"/>
    <w:rsid w:val="00B15296"/>
    <w:rsid w:val="00B15E29"/>
    <w:rsid w:val="00B165BB"/>
    <w:rsid w:val="00B206D5"/>
    <w:rsid w:val="00B21459"/>
    <w:rsid w:val="00B23779"/>
    <w:rsid w:val="00B278D9"/>
    <w:rsid w:val="00B27ADD"/>
    <w:rsid w:val="00B30234"/>
    <w:rsid w:val="00B30416"/>
    <w:rsid w:val="00B4225A"/>
    <w:rsid w:val="00B42F00"/>
    <w:rsid w:val="00B43527"/>
    <w:rsid w:val="00B64BCA"/>
    <w:rsid w:val="00B72AEB"/>
    <w:rsid w:val="00B7305A"/>
    <w:rsid w:val="00B74E4F"/>
    <w:rsid w:val="00B74E6E"/>
    <w:rsid w:val="00B756FF"/>
    <w:rsid w:val="00B762E4"/>
    <w:rsid w:val="00B76426"/>
    <w:rsid w:val="00B77E7C"/>
    <w:rsid w:val="00B8022E"/>
    <w:rsid w:val="00B8052E"/>
    <w:rsid w:val="00B865BF"/>
    <w:rsid w:val="00B9241D"/>
    <w:rsid w:val="00B959B9"/>
    <w:rsid w:val="00B96912"/>
    <w:rsid w:val="00BA059F"/>
    <w:rsid w:val="00BA2A47"/>
    <w:rsid w:val="00BA38E0"/>
    <w:rsid w:val="00BA75CE"/>
    <w:rsid w:val="00BA7E86"/>
    <w:rsid w:val="00BB0FBC"/>
    <w:rsid w:val="00BB2BD7"/>
    <w:rsid w:val="00BB4D56"/>
    <w:rsid w:val="00BB597E"/>
    <w:rsid w:val="00BB7DFC"/>
    <w:rsid w:val="00BC1305"/>
    <w:rsid w:val="00BC1FE9"/>
    <w:rsid w:val="00BC2201"/>
    <w:rsid w:val="00BC507C"/>
    <w:rsid w:val="00BC6F07"/>
    <w:rsid w:val="00BD10F4"/>
    <w:rsid w:val="00BD3229"/>
    <w:rsid w:val="00BD3921"/>
    <w:rsid w:val="00BD5D8C"/>
    <w:rsid w:val="00BE0253"/>
    <w:rsid w:val="00BE2A29"/>
    <w:rsid w:val="00BE31C5"/>
    <w:rsid w:val="00BE5348"/>
    <w:rsid w:val="00BE67A8"/>
    <w:rsid w:val="00BE71C4"/>
    <w:rsid w:val="00BF5CE8"/>
    <w:rsid w:val="00BF64F1"/>
    <w:rsid w:val="00BF779D"/>
    <w:rsid w:val="00BF7882"/>
    <w:rsid w:val="00BF7926"/>
    <w:rsid w:val="00C01097"/>
    <w:rsid w:val="00C029BD"/>
    <w:rsid w:val="00C02AB6"/>
    <w:rsid w:val="00C0744F"/>
    <w:rsid w:val="00C14BE3"/>
    <w:rsid w:val="00C159F1"/>
    <w:rsid w:val="00C21E3B"/>
    <w:rsid w:val="00C22599"/>
    <w:rsid w:val="00C25AB9"/>
    <w:rsid w:val="00C2757C"/>
    <w:rsid w:val="00C31817"/>
    <w:rsid w:val="00C344D0"/>
    <w:rsid w:val="00C3638F"/>
    <w:rsid w:val="00C36DC6"/>
    <w:rsid w:val="00C41BE9"/>
    <w:rsid w:val="00C42767"/>
    <w:rsid w:val="00C43C60"/>
    <w:rsid w:val="00C46259"/>
    <w:rsid w:val="00C50584"/>
    <w:rsid w:val="00C5509A"/>
    <w:rsid w:val="00C55742"/>
    <w:rsid w:val="00C614FE"/>
    <w:rsid w:val="00C65DA3"/>
    <w:rsid w:val="00C705AC"/>
    <w:rsid w:val="00C73364"/>
    <w:rsid w:val="00C765CA"/>
    <w:rsid w:val="00C8321E"/>
    <w:rsid w:val="00C851AD"/>
    <w:rsid w:val="00C8605A"/>
    <w:rsid w:val="00C861CA"/>
    <w:rsid w:val="00C86D4A"/>
    <w:rsid w:val="00C87ABE"/>
    <w:rsid w:val="00C92FF1"/>
    <w:rsid w:val="00C958E5"/>
    <w:rsid w:val="00C95ED7"/>
    <w:rsid w:val="00C97693"/>
    <w:rsid w:val="00CA16D4"/>
    <w:rsid w:val="00CA259F"/>
    <w:rsid w:val="00CA4C5C"/>
    <w:rsid w:val="00CA704C"/>
    <w:rsid w:val="00CB11D8"/>
    <w:rsid w:val="00CB2281"/>
    <w:rsid w:val="00CB250E"/>
    <w:rsid w:val="00CB259D"/>
    <w:rsid w:val="00CB4D78"/>
    <w:rsid w:val="00CB5AC8"/>
    <w:rsid w:val="00CB708B"/>
    <w:rsid w:val="00CC2AA9"/>
    <w:rsid w:val="00CC5216"/>
    <w:rsid w:val="00CC5766"/>
    <w:rsid w:val="00CC6AB6"/>
    <w:rsid w:val="00CD0434"/>
    <w:rsid w:val="00CD06A6"/>
    <w:rsid w:val="00CD342A"/>
    <w:rsid w:val="00CD7186"/>
    <w:rsid w:val="00CE16E3"/>
    <w:rsid w:val="00CE2961"/>
    <w:rsid w:val="00CE5128"/>
    <w:rsid w:val="00CE6E1E"/>
    <w:rsid w:val="00CE79CF"/>
    <w:rsid w:val="00CF4C5E"/>
    <w:rsid w:val="00D02815"/>
    <w:rsid w:val="00D052B9"/>
    <w:rsid w:val="00D15065"/>
    <w:rsid w:val="00D16868"/>
    <w:rsid w:val="00D17C9B"/>
    <w:rsid w:val="00D20C3A"/>
    <w:rsid w:val="00D238BF"/>
    <w:rsid w:val="00D2609A"/>
    <w:rsid w:val="00D304D4"/>
    <w:rsid w:val="00D30865"/>
    <w:rsid w:val="00D332BF"/>
    <w:rsid w:val="00D33F6A"/>
    <w:rsid w:val="00D35D90"/>
    <w:rsid w:val="00D3688C"/>
    <w:rsid w:val="00D375E1"/>
    <w:rsid w:val="00D403C0"/>
    <w:rsid w:val="00D41C97"/>
    <w:rsid w:val="00D424C6"/>
    <w:rsid w:val="00D470D4"/>
    <w:rsid w:val="00D476C5"/>
    <w:rsid w:val="00D54BE4"/>
    <w:rsid w:val="00D57313"/>
    <w:rsid w:val="00D60C33"/>
    <w:rsid w:val="00D61F6F"/>
    <w:rsid w:val="00D64072"/>
    <w:rsid w:val="00D656CF"/>
    <w:rsid w:val="00D673E3"/>
    <w:rsid w:val="00D67F15"/>
    <w:rsid w:val="00D7086B"/>
    <w:rsid w:val="00D70A07"/>
    <w:rsid w:val="00D72A2E"/>
    <w:rsid w:val="00D81EFE"/>
    <w:rsid w:val="00D87A53"/>
    <w:rsid w:val="00D90368"/>
    <w:rsid w:val="00D93552"/>
    <w:rsid w:val="00D94057"/>
    <w:rsid w:val="00D956C2"/>
    <w:rsid w:val="00D969F5"/>
    <w:rsid w:val="00DA1832"/>
    <w:rsid w:val="00DB26FB"/>
    <w:rsid w:val="00DB2C06"/>
    <w:rsid w:val="00DB47EE"/>
    <w:rsid w:val="00DB4CC1"/>
    <w:rsid w:val="00DB5ADF"/>
    <w:rsid w:val="00DB67A8"/>
    <w:rsid w:val="00DB6B52"/>
    <w:rsid w:val="00DC07A2"/>
    <w:rsid w:val="00DC15BA"/>
    <w:rsid w:val="00DC16DC"/>
    <w:rsid w:val="00DD1453"/>
    <w:rsid w:val="00DE1E3E"/>
    <w:rsid w:val="00DE3E96"/>
    <w:rsid w:val="00DE4DCF"/>
    <w:rsid w:val="00DE6981"/>
    <w:rsid w:val="00DF1D52"/>
    <w:rsid w:val="00DF7318"/>
    <w:rsid w:val="00E0175B"/>
    <w:rsid w:val="00E0466B"/>
    <w:rsid w:val="00E10E20"/>
    <w:rsid w:val="00E1177B"/>
    <w:rsid w:val="00E25E17"/>
    <w:rsid w:val="00E2622F"/>
    <w:rsid w:val="00E267B9"/>
    <w:rsid w:val="00E3016B"/>
    <w:rsid w:val="00E31B8F"/>
    <w:rsid w:val="00E32627"/>
    <w:rsid w:val="00E37802"/>
    <w:rsid w:val="00E4564E"/>
    <w:rsid w:val="00E45660"/>
    <w:rsid w:val="00E52357"/>
    <w:rsid w:val="00E57A92"/>
    <w:rsid w:val="00E6006C"/>
    <w:rsid w:val="00E62AF7"/>
    <w:rsid w:val="00E63B7F"/>
    <w:rsid w:val="00E67062"/>
    <w:rsid w:val="00E67DAF"/>
    <w:rsid w:val="00E73BA6"/>
    <w:rsid w:val="00E748C8"/>
    <w:rsid w:val="00E76201"/>
    <w:rsid w:val="00E76A54"/>
    <w:rsid w:val="00E81671"/>
    <w:rsid w:val="00E84774"/>
    <w:rsid w:val="00E847D9"/>
    <w:rsid w:val="00E86994"/>
    <w:rsid w:val="00E94233"/>
    <w:rsid w:val="00E966F5"/>
    <w:rsid w:val="00E96A59"/>
    <w:rsid w:val="00E96C8C"/>
    <w:rsid w:val="00E9776B"/>
    <w:rsid w:val="00EA28B6"/>
    <w:rsid w:val="00EA42AC"/>
    <w:rsid w:val="00EB0F07"/>
    <w:rsid w:val="00EB16C1"/>
    <w:rsid w:val="00EB1E58"/>
    <w:rsid w:val="00EB281D"/>
    <w:rsid w:val="00EB30D1"/>
    <w:rsid w:val="00EB6BB8"/>
    <w:rsid w:val="00EB6F2F"/>
    <w:rsid w:val="00EC0C1C"/>
    <w:rsid w:val="00EC19EE"/>
    <w:rsid w:val="00EC3242"/>
    <w:rsid w:val="00EC5B37"/>
    <w:rsid w:val="00EC5F98"/>
    <w:rsid w:val="00ED0E39"/>
    <w:rsid w:val="00ED5D57"/>
    <w:rsid w:val="00ED72FF"/>
    <w:rsid w:val="00EE0587"/>
    <w:rsid w:val="00EE05E4"/>
    <w:rsid w:val="00EE103A"/>
    <w:rsid w:val="00EE28FB"/>
    <w:rsid w:val="00EE3DFD"/>
    <w:rsid w:val="00EE57FB"/>
    <w:rsid w:val="00EE5B76"/>
    <w:rsid w:val="00EE7505"/>
    <w:rsid w:val="00EF24A3"/>
    <w:rsid w:val="00EF3D40"/>
    <w:rsid w:val="00EF655D"/>
    <w:rsid w:val="00F04439"/>
    <w:rsid w:val="00F05052"/>
    <w:rsid w:val="00F10622"/>
    <w:rsid w:val="00F15FD2"/>
    <w:rsid w:val="00F1710A"/>
    <w:rsid w:val="00F179FC"/>
    <w:rsid w:val="00F20919"/>
    <w:rsid w:val="00F23221"/>
    <w:rsid w:val="00F27588"/>
    <w:rsid w:val="00F30FBE"/>
    <w:rsid w:val="00F32EA6"/>
    <w:rsid w:val="00F35659"/>
    <w:rsid w:val="00F365E5"/>
    <w:rsid w:val="00F37D64"/>
    <w:rsid w:val="00F41ACD"/>
    <w:rsid w:val="00F43D45"/>
    <w:rsid w:val="00F44F8B"/>
    <w:rsid w:val="00F456A1"/>
    <w:rsid w:val="00F47B98"/>
    <w:rsid w:val="00F52104"/>
    <w:rsid w:val="00F56EDF"/>
    <w:rsid w:val="00F61DC9"/>
    <w:rsid w:val="00F674F3"/>
    <w:rsid w:val="00F724A1"/>
    <w:rsid w:val="00F80599"/>
    <w:rsid w:val="00F80F8E"/>
    <w:rsid w:val="00F8301E"/>
    <w:rsid w:val="00F96317"/>
    <w:rsid w:val="00F97C46"/>
    <w:rsid w:val="00FA025C"/>
    <w:rsid w:val="00FA2BA0"/>
    <w:rsid w:val="00FA4FC8"/>
    <w:rsid w:val="00FA6202"/>
    <w:rsid w:val="00FA719C"/>
    <w:rsid w:val="00FB4585"/>
    <w:rsid w:val="00FB59BE"/>
    <w:rsid w:val="00FC68F1"/>
    <w:rsid w:val="00FD1519"/>
    <w:rsid w:val="00FD58B4"/>
    <w:rsid w:val="00FD704C"/>
    <w:rsid w:val="00FD7064"/>
    <w:rsid w:val="00FF147F"/>
    <w:rsid w:val="00FF7063"/>
    <w:rsid w:val="00FF73C9"/>
    <w:rsid w:val="010016D4"/>
    <w:rsid w:val="011217E0"/>
    <w:rsid w:val="012F7E6B"/>
    <w:rsid w:val="01341807"/>
    <w:rsid w:val="014C3C58"/>
    <w:rsid w:val="017A279B"/>
    <w:rsid w:val="018E00B7"/>
    <w:rsid w:val="01921AA3"/>
    <w:rsid w:val="01C34939"/>
    <w:rsid w:val="01C72F1A"/>
    <w:rsid w:val="01CC7CF9"/>
    <w:rsid w:val="01D74468"/>
    <w:rsid w:val="01F255B3"/>
    <w:rsid w:val="02252E8F"/>
    <w:rsid w:val="028B40B2"/>
    <w:rsid w:val="02B471C5"/>
    <w:rsid w:val="02B74FA5"/>
    <w:rsid w:val="02EFF596"/>
    <w:rsid w:val="03095F80"/>
    <w:rsid w:val="03AF786B"/>
    <w:rsid w:val="03C25208"/>
    <w:rsid w:val="03C50E3C"/>
    <w:rsid w:val="03CF56C5"/>
    <w:rsid w:val="04025BED"/>
    <w:rsid w:val="042E6EAE"/>
    <w:rsid w:val="042F5658"/>
    <w:rsid w:val="043F498B"/>
    <w:rsid w:val="04727D76"/>
    <w:rsid w:val="048A3752"/>
    <w:rsid w:val="04901320"/>
    <w:rsid w:val="04A44EF6"/>
    <w:rsid w:val="04BE5608"/>
    <w:rsid w:val="057C19CF"/>
    <w:rsid w:val="05C61D89"/>
    <w:rsid w:val="067A5F0E"/>
    <w:rsid w:val="06905732"/>
    <w:rsid w:val="06C57CB5"/>
    <w:rsid w:val="06CF16A8"/>
    <w:rsid w:val="06F32700"/>
    <w:rsid w:val="07774E31"/>
    <w:rsid w:val="07890F47"/>
    <w:rsid w:val="07AD5E6F"/>
    <w:rsid w:val="07C5765D"/>
    <w:rsid w:val="082159B4"/>
    <w:rsid w:val="08272B5A"/>
    <w:rsid w:val="08844E22"/>
    <w:rsid w:val="08874C36"/>
    <w:rsid w:val="08B25CA5"/>
    <w:rsid w:val="08B31715"/>
    <w:rsid w:val="08D625C2"/>
    <w:rsid w:val="08FA6E92"/>
    <w:rsid w:val="090A1BD0"/>
    <w:rsid w:val="09171D92"/>
    <w:rsid w:val="091C4A6B"/>
    <w:rsid w:val="097E1588"/>
    <w:rsid w:val="09DE4896"/>
    <w:rsid w:val="09E24753"/>
    <w:rsid w:val="09F4428C"/>
    <w:rsid w:val="09F54AC8"/>
    <w:rsid w:val="09F558AC"/>
    <w:rsid w:val="09FF35C8"/>
    <w:rsid w:val="0A5502DA"/>
    <w:rsid w:val="0A7F7F97"/>
    <w:rsid w:val="0AAE2997"/>
    <w:rsid w:val="0AB3202E"/>
    <w:rsid w:val="0B62591C"/>
    <w:rsid w:val="0B637EDE"/>
    <w:rsid w:val="0B66170E"/>
    <w:rsid w:val="0BA31A63"/>
    <w:rsid w:val="0BAD6BEB"/>
    <w:rsid w:val="0BBB283E"/>
    <w:rsid w:val="0BD240F7"/>
    <w:rsid w:val="0BDC75F0"/>
    <w:rsid w:val="0BFA6917"/>
    <w:rsid w:val="0C2C57A6"/>
    <w:rsid w:val="0C2F779B"/>
    <w:rsid w:val="0C5D3516"/>
    <w:rsid w:val="0C86447E"/>
    <w:rsid w:val="0C926B01"/>
    <w:rsid w:val="0CDE358F"/>
    <w:rsid w:val="0CE16DFB"/>
    <w:rsid w:val="0D2712A1"/>
    <w:rsid w:val="0D367B98"/>
    <w:rsid w:val="0D7C07BE"/>
    <w:rsid w:val="0D9C51CC"/>
    <w:rsid w:val="0DA5747B"/>
    <w:rsid w:val="0DD04E06"/>
    <w:rsid w:val="0DD05C38"/>
    <w:rsid w:val="0DD16295"/>
    <w:rsid w:val="0E3B52DE"/>
    <w:rsid w:val="0E3C3BC2"/>
    <w:rsid w:val="0E3F16BD"/>
    <w:rsid w:val="0E481276"/>
    <w:rsid w:val="0E651122"/>
    <w:rsid w:val="0ECF29CC"/>
    <w:rsid w:val="0EF937E4"/>
    <w:rsid w:val="0F136F01"/>
    <w:rsid w:val="0F3D0D9C"/>
    <w:rsid w:val="0F872F52"/>
    <w:rsid w:val="0F8C0912"/>
    <w:rsid w:val="0F9F0794"/>
    <w:rsid w:val="10007F81"/>
    <w:rsid w:val="100163A3"/>
    <w:rsid w:val="10081FF0"/>
    <w:rsid w:val="1063737E"/>
    <w:rsid w:val="109D1177"/>
    <w:rsid w:val="10B65D81"/>
    <w:rsid w:val="10EB1134"/>
    <w:rsid w:val="11031AB0"/>
    <w:rsid w:val="11172333"/>
    <w:rsid w:val="11477335"/>
    <w:rsid w:val="115A7FA7"/>
    <w:rsid w:val="11AF1F30"/>
    <w:rsid w:val="11D5049D"/>
    <w:rsid w:val="121D1CC7"/>
    <w:rsid w:val="128909D3"/>
    <w:rsid w:val="128B14A3"/>
    <w:rsid w:val="128C3B6C"/>
    <w:rsid w:val="12A065A0"/>
    <w:rsid w:val="12F61FCC"/>
    <w:rsid w:val="1319085D"/>
    <w:rsid w:val="137076A4"/>
    <w:rsid w:val="13776E4F"/>
    <w:rsid w:val="13F35552"/>
    <w:rsid w:val="13F50A1C"/>
    <w:rsid w:val="140F0221"/>
    <w:rsid w:val="141A6F2A"/>
    <w:rsid w:val="14655628"/>
    <w:rsid w:val="148A2369"/>
    <w:rsid w:val="148B5245"/>
    <w:rsid w:val="14E15DE6"/>
    <w:rsid w:val="15193D3F"/>
    <w:rsid w:val="154B76EF"/>
    <w:rsid w:val="15540D33"/>
    <w:rsid w:val="157606D6"/>
    <w:rsid w:val="15AF240B"/>
    <w:rsid w:val="15DB763A"/>
    <w:rsid w:val="15E038B4"/>
    <w:rsid w:val="15FD119C"/>
    <w:rsid w:val="160C6475"/>
    <w:rsid w:val="161C0D90"/>
    <w:rsid w:val="16232874"/>
    <w:rsid w:val="16261491"/>
    <w:rsid w:val="16477E6D"/>
    <w:rsid w:val="164B51D1"/>
    <w:rsid w:val="16846935"/>
    <w:rsid w:val="16AD19E8"/>
    <w:rsid w:val="16DA7315"/>
    <w:rsid w:val="16E030CD"/>
    <w:rsid w:val="16FB526D"/>
    <w:rsid w:val="17550823"/>
    <w:rsid w:val="175B20F3"/>
    <w:rsid w:val="178A6C8A"/>
    <w:rsid w:val="17BB0135"/>
    <w:rsid w:val="181368DB"/>
    <w:rsid w:val="1824413E"/>
    <w:rsid w:val="182E6B59"/>
    <w:rsid w:val="18457233"/>
    <w:rsid w:val="18552337"/>
    <w:rsid w:val="18810CE5"/>
    <w:rsid w:val="188303D9"/>
    <w:rsid w:val="18AC2EB8"/>
    <w:rsid w:val="18EB2C9C"/>
    <w:rsid w:val="18F00FE9"/>
    <w:rsid w:val="18F54063"/>
    <w:rsid w:val="192F31A2"/>
    <w:rsid w:val="195D1DA8"/>
    <w:rsid w:val="19850F2B"/>
    <w:rsid w:val="19A50B7A"/>
    <w:rsid w:val="19BB49FD"/>
    <w:rsid w:val="19CC710F"/>
    <w:rsid w:val="1A053DFA"/>
    <w:rsid w:val="1A3A2B37"/>
    <w:rsid w:val="1A6335D5"/>
    <w:rsid w:val="1A9E092D"/>
    <w:rsid w:val="1AC35C7E"/>
    <w:rsid w:val="1AD37E23"/>
    <w:rsid w:val="1AF46FA5"/>
    <w:rsid w:val="1AF51027"/>
    <w:rsid w:val="1AFA4C5B"/>
    <w:rsid w:val="1B084043"/>
    <w:rsid w:val="1B15702A"/>
    <w:rsid w:val="1B2E51D6"/>
    <w:rsid w:val="1B324BB2"/>
    <w:rsid w:val="1B4516FC"/>
    <w:rsid w:val="1B584B4A"/>
    <w:rsid w:val="1B8C5DFE"/>
    <w:rsid w:val="1B9C06F7"/>
    <w:rsid w:val="1BEF2AA3"/>
    <w:rsid w:val="1C487D57"/>
    <w:rsid w:val="1C4C2FE1"/>
    <w:rsid w:val="1C4F52EF"/>
    <w:rsid w:val="1C6C1490"/>
    <w:rsid w:val="1C9C3DB5"/>
    <w:rsid w:val="1CB95F87"/>
    <w:rsid w:val="1CC01BC3"/>
    <w:rsid w:val="1CC1108E"/>
    <w:rsid w:val="1CCF586B"/>
    <w:rsid w:val="1CDC1A1B"/>
    <w:rsid w:val="1CEA59CE"/>
    <w:rsid w:val="1D04257E"/>
    <w:rsid w:val="1D0936F0"/>
    <w:rsid w:val="1D0D0CEA"/>
    <w:rsid w:val="1D2D0DEE"/>
    <w:rsid w:val="1D3F35B6"/>
    <w:rsid w:val="1D4E78DE"/>
    <w:rsid w:val="1D5801D4"/>
    <w:rsid w:val="1D8D0A02"/>
    <w:rsid w:val="1D9B60A9"/>
    <w:rsid w:val="1DCA21E4"/>
    <w:rsid w:val="1DCF000D"/>
    <w:rsid w:val="1DD94C53"/>
    <w:rsid w:val="1DDD1F7A"/>
    <w:rsid w:val="1E2C47E9"/>
    <w:rsid w:val="1E537319"/>
    <w:rsid w:val="1E7022E9"/>
    <w:rsid w:val="1E8C751D"/>
    <w:rsid w:val="1EDE5B09"/>
    <w:rsid w:val="1EE12B77"/>
    <w:rsid w:val="1EE3280D"/>
    <w:rsid w:val="1EFFAFC4"/>
    <w:rsid w:val="1F1C7005"/>
    <w:rsid w:val="1F2627B2"/>
    <w:rsid w:val="1F3E6AB1"/>
    <w:rsid w:val="1F4C3626"/>
    <w:rsid w:val="1F5A5454"/>
    <w:rsid w:val="1F65080A"/>
    <w:rsid w:val="1F8033EC"/>
    <w:rsid w:val="1FA94B74"/>
    <w:rsid w:val="1FC731F9"/>
    <w:rsid w:val="1FD56743"/>
    <w:rsid w:val="1FFB1A16"/>
    <w:rsid w:val="2019665C"/>
    <w:rsid w:val="205F6C5D"/>
    <w:rsid w:val="20847C5E"/>
    <w:rsid w:val="208A431B"/>
    <w:rsid w:val="208F32DC"/>
    <w:rsid w:val="2095676C"/>
    <w:rsid w:val="20983709"/>
    <w:rsid w:val="21563841"/>
    <w:rsid w:val="21582E98"/>
    <w:rsid w:val="21941D35"/>
    <w:rsid w:val="21C916A0"/>
    <w:rsid w:val="21D13A10"/>
    <w:rsid w:val="21D20335"/>
    <w:rsid w:val="21D62ACC"/>
    <w:rsid w:val="221227B9"/>
    <w:rsid w:val="221D5089"/>
    <w:rsid w:val="22482F0D"/>
    <w:rsid w:val="224F4B19"/>
    <w:rsid w:val="2263220B"/>
    <w:rsid w:val="22AC2466"/>
    <w:rsid w:val="22AE6042"/>
    <w:rsid w:val="22B8416B"/>
    <w:rsid w:val="230B6414"/>
    <w:rsid w:val="23105AD0"/>
    <w:rsid w:val="23194FC8"/>
    <w:rsid w:val="23643472"/>
    <w:rsid w:val="23E31DA1"/>
    <w:rsid w:val="240370EB"/>
    <w:rsid w:val="24235710"/>
    <w:rsid w:val="244648AF"/>
    <w:rsid w:val="244A1911"/>
    <w:rsid w:val="247104F9"/>
    <w:rsid w:val="24861ACA"/>
    <w:rsid w:val="249271CF"/>
    <w:rsid w:val="24BB1150"/>
    <w:rsid w:val="24C02F2F"/>
    <w:rsid w:val="24F4407A"/>
    <w:rsid w:val="24FA0F4C"/>
    <w:rsid w:val="250338A6"/>
    <w:rsid w:val="25406175"/>
    <w:rsid w:val="254A2FF8"/>
    <w:rsid w:val="25512561"/>
    <w:rsid w:val="256E0D95"/>
    <w:rsid w:val="257E2EBD"/>
    <w:rsid w:val="259C73F2"/>
    <w:rsid w:val="25AD37B3"/>
    <w:rsid w:val="25C868B7"/>
    <w:rsid w:val="25D6438C"/>
    <w:rsid w:val="25EC1B46"/>
    <w:rsid w:val="25ED49DE"/>
    <w:rsid w:val="26265F93"/>
    <w:rsid w:val="2637307C"/>
    <w:rsid w:val="26556CDB"/>
    <w:rsid w:val="269240F4"/>
    <w:rsid w:val="26C55046"/>
    <w:rsid w:val="26EC33EE"/>
    <w:rsid w:val="26F374A9"/>
    <w:rsid w:val="271A6137"/>
    <w:rsid w:val="27427A5B"/>
    <w:rsid w:val="277F2241"/>
    <w:rsid w:val="2784752D"/>
    <w:rsid w:val="27B3534B"/>
    <w:rsid w:val="27B84691"/>
    <w:rsid w:val="27D17500"/>
    <w:rsid w:val="27F356C9"/>
    <w:rsid w:val="27F669BB"/>
    <w:rsid w:val="287247C4"/>
    <w:rsid w:val="28924EE2"/>
    <w:rsid w:val="28E94047"/>
    <w:rsid w:val="28FA3D43"/>
    <w:rsid w:val="290B62B4"/>
    <w:rsid w:val="2927387C"/>
    <w:rsid w:val="293B2AC5"/>
    <w:rsid w:val="29622844"/>
    <w:rsid w:val="29B916C7"/>
    <w:rsid w:val="29CF54DD"/>
    <w:rsid w:val="29D96174"/>
    <w:rsid w:val="2A591F9A"/>
    <w:rsid w:val="2A7E47B1"/>
    <w:rsid w:val="2A8F0CE2"/>
    <w:rsid w:val="2ABD45AE"/>
    <w:rsid w:val="2AC72DF9"/>
    <w:rsid w:val="2ACC6C52"/>
    <w:rsid w:val="2AF66BE4"/>
    <w:rsid w:val="2B03773B"/>
    <w:rsid w:val="2B497B83"/>
    <w:rsid w:val="2B6C62CF"/>
    <w:rsid w:val="2B9845BD"/>
    <w:rsid w:val="2BE532F5"/>
    <w:rsid w:val="2C1125C1"/>
    <w:rsid w:val="2C6874AE"/>
    <w:rsid w:val="2C792FC3"/>
    <w:rsid w:val="2CCA2E9C"/>
    <w:rsid w:val="2CE657FC"/>
    <w:rsid w:val="2D044A95"/>
    <w:rsid w:val="2D110DC7"/>
    <w:rsid w:val="2D47614A"/>
    <w:rsid w:val="2D9B65E7"/>
    <w:rsid w:val="2DA764B2"/>
    <w:rsid w:val="2DED76F1"/>
    <w:rsid w:val="2DFFEE96"/>
    <w:rsid w:val="2E2C5897"/>
    <w:rsid w:val="2E551F27"/>
    <w:rsid w:val="2EAB0AAB"/>
    <w:rsid w:val="2EAC1807"/>
    <w:rsid w:val="2EBB5BE4"/>
    <w:rsid w:val="2EC93AF9"/>
    <w:rsid w:val="2ED4580F"/>
    <w:rsid w:val="2ED83420"/>
    <w:rsid w:val="2F340AA1"/>
    <w:rsid w:val="2F36359D"/>
    <w:rsid w:val="2F5F621E"/>
    <w:rsid w:val="2F620255"/>
    <w:rsid w:val="2F6426EC"/>
    <w:rsid w:val="2F9D1B17"/>
    <w:rsid w:val="2F9D672D"/>
    <w:rsid w:val="2FE41154"/>
    <w:rsid w:val="2FEE5A49"/>
    <w:rsid w:val="302B2641"/>
    <w:rsid w:val="302D728F"/>
    <w:rsid w:val="31172428"/>
    <w:rsid w:val="317D56DD"/>
    <w:rsid w:val="31813D45"/>
    <w:rsid w:val="318955FC"/>
    <w:rsid w:val="32024492"/>
    <w:rsid w:val="325154C6"/>
    <w:rsid w:val="32875C7C"/>
    <w:rsid w:val="328A3D24"/>
    <w:rsid w:val="32EB5D92"/>
    <w:rsid w:val="32EE540A"/>
    <w:rsid w:val="33004BF1"/>
    <w:rsid w:val="33016EEC"/>
    <w:rsid w:val="330E0BC3"/>
    <w:rsid w:val="331E46C7"/>
    <w:rsid w:val="333165DB"/>
    <w:rsid w:val="333C43C8"/>
    <w:rsid w:val="33464F76"/>
    <w:rsid w:val="338E5D76"/>
    <w:rsid w:val="341345ED"/>
    <w:rsid w:val="341C3674"/>
    <w:rsid w:val="344C778E"/>
    <w:rsid w:val="34702E3D"/>
    <w:rsid w:val="3482765D"/>
    <w:rsid w:val="348958EC"/>
    <w:rsid w:val="3491604D"/>
    <w:rsid w:val="34957860"/>
    <w:rsid w:val="34CE1050"/>
    <w:rsid w:val="34D91C84"/>
    <w:rsid w:val="34E63301"/>
    <w:rsid w:val="35090301"/>
    <w:rsid w:val="351D62DF"/>
    <w:rsid w:val="355359F9"/>
    <w:rsid w:val="355A1EFC"/>
    <w:rsid w:val="35617823"/>
    <w:rsid w:val="35E623C9"/>
    <w:rsid w:val="35F441C7"/>
    <w:rsid w:val="36173B85"/>
    <w:rsid w:val="36341386"/>
    <w:rsid w:val="36372C24"/>
    <w:rsid w:val="364A7BE6"/>
    <w:rsid w:val="3659703F"/>
    <w:rsid w:val="368670A0"/>
    <w:rsid w:val="36A75FFC"/>
    <w:rsid w:val="36AE0BF8"/>
    <w:rsid w:val="36AF510A"/>
    <w:rsid w:val="36B246CB"/>
    <w:rsid w:val="371F6248"/>
    <w:rsid w:val="373B6744"/>
    <w:rsid w:val="374D4EA9"/>
    <w:rsid w:val="375C4CE7"/>
    <w:rsid w:val="3775243D"/>
    <w:rsid w:val="379670D7"/>
    <w:rsid w:val="37B57243"/>
    <w:rsid w:val="37BC2C9B"/>
    <w:rsid w:val="37C812AE"/>
    <w:rsid w:val="37F7BEB9"/>
    <w:rsid w:val="382973FB"/>
    <w:rsid w:val="383375B1"/>
    <w:rsid w:val="384A4E91"/>
    <w:rsid w:val="3851621F"/>
    <w:rsid w:val="38745D02"/>
    <w:rsid w:val="3878695F"/>
    <w:rsid w:val="38972269"/>
    <w:rsid w:val="389B0EAF"/>
    <w:rsid w:val="38EA6674"/>
    <w:rsid w:val="38F4304F"/>
    <w:rsid w:val="38F7166B"/>
    <w:rsid w:val="39683253"/>
    <w:rsid w:val="39A47CE4"/>
    <w:rsid w:val="39D92970"/>
    <w:rsid w:val="39EF7455"/>
    <w:rsid w:val="3A085004"/>
    <w:rsid w:val="3A0F1F57"/>
    <w:rsid w:val="3A6B683A"/>
    <w:rsid w:val="3AB058EB"/>
    <w:rsid w:val="3ABE5D62"/>
    <w:rsid w:val="3AEE41FA"/>
    <w:rsid w:val="3B174396"/>
    <w:rsid w:val="3BBA7DC9"/>
    <w:rsid w:val="3BCB5836"/>
    <w:rsid w:val="3BD85D6F"/>
    <w:rsid w:val="3C0579E6"/>
    <w:rsid w:val="3C2D1185"/>
    <w:rsid w:val="3C463CE1"/>
    <w:rsid w:val="3C555670"/>
    <w:rsid w:val="3C6145EA"/>
    <w:rsid w:val="3C65448E"/>
    <w:rsid w:val="3C6C4158"/>
    <w:rsid w:val="3CC201B1"/>
    <w:rsid w:val="3CF33D49"/>
    <w:rsid w:val="3D3F19E9"/>
    <w:rsid w:val="3D421927"/>
    <w:rsid w:val="3D545EF7"/>
    <w:rsid w:val="3D7B2E94"/>
    <w:rsid w:val="3DDD2303"/>
    <w:rsid w:val="3DEA50F2"/>
    <w:rsid w:val="3E2D328B"/>
    <w:rsid w:val="3E5171A5"/>
    <w:rsid w:val="3E533FB2"/>
    <w:rsid w:val="3E6D0578"/>
    <w:rsid w:val="3E776BC6"/>
    <w:rsid w:val="3EAD617A"/>
    <w:rsid w:val="3EC3599D"/>
    <w:rsid w:val="3F327D40"/>
    <w:rsid w:val="3F56236D"/>
    <w:rsid w:val="3F6B3B3F"/>
    <w:rsid w:val="3F824816"/>
    <w:rsid w:val="3F895A47"/>
    <w:rsid w:val="3FB77387"/>
    <w:rsid w:val="40183275"/>
    <w:rsid w:val="406754B0"/>
    <w:rsid w:val="40833636"/>
    <w:rsid w:val="4084399C"/>
    <w:rsid w:val="40A65428"/>
    <w:rsid w:val="40B942E2"/>
    <w:rsid w:val="40D1249B"/>
    <w:rsid w:val="40D53766"/>
    <w:rsid w:val="41E027B8"/>
    <w:rsid w:val="41F4455F"/>
    <w:rsid w:val="42227C1F"/>
    <w:rsid w:val="423D5A66"/>
    <w:rsid w:val="4275526E"/>
    <w:rsid w:val="4276548B"/>
    <w:rsid w:val="428D1F02"/>
    <w:rsid w:val="42B01875"/>
    <w:rsid w:val="42B715AB"/>
    <w:rsid w:val="42BF647C"/>
    <w:rsid w:val="43237605"/>
    <w:rsid w:val="433141CB"/>
    <w:rsid w:val="43326C4D"/>
    <w:rsid w:val="438878FF"/>
    <w:rsid w:val="439244AD"/>
    <w:rsid w:val="43AB4FB2"/>
    <w:rsid w:val="43AC2EA4"/>
    <w:rsid w:val="43B75896"/>
    <w:rsid w:val="43CF0940"/>
    <w:rsid w:val="44062C4A"/>
    <w:rsid w:val="443D3AFC"/>
    <w:rsid w:val="448B0EA8"/>
    <w:rsid w:val="44953322"/>
    <w:rsid w:val="44BA339E"/>
    <w:rsid w:val="44E4175E"/>
    <w:rsid w:val="44ED1023"/>
    <w:rsid w:val="45255501"/>
    <w:rsid w:val="453B569E"/>
    <w:rsid w:val="45632A49"/>
    <w:rsid w:val="456D0411"/>
    <w:rsid w:val="45726AC1"/>
    <w:rsid w:val="45883BE2"/>
    <w:rsid w:val="45927E77"/>
    <w:rsid w:val="46050A06"/>
    <w:rsid w:val="46223D00"/>
    <w:rsid w:val="4628510B"/>
    <w:rsid w:val="462F1280"/>
    <w:rsid w:val="46597525"/>
    <w:rsid w:val="466E61EE"/>
    <w:rsid w:val="467D2315"/>
    <w:rsid w:val="46920BC3"/>
    <w:rsid w:val="46AA5C90"/>
    <w:rsid w:val="46BC1650"/>
    <w:rsid w:val="46FC7C9E"/>
    <w:rsid w:val="47101C5A"/>
    <w:rsid w:val="47106F59"/>
    <w:rsid w:val="47357467"/>
    <w:rsid w:val="473A6169"/>
    <w:rsid w:val="47436E73"/>
    <w:rsid w:val="474F3AC7"/>
    <w:rsid w:val="477B179A"/>
    <w:rsid w:val="47BA2864"/>
    <w:rsid w:val="47E80417"/>
    <w:rsid w:val="47F40F55"/>
    <w:rsid w:val="480E45EC"/>
    <w:rsid w:val="48127ADC"/>
    <w:rsid w:val="481A313C"/>
    <w:rsid w:val="482E13BD"/>
    <w:rsid w:val="484560AB"/>
    <w:rsid w:val="485B54E9"/>
    <w:rsid w:val="487B6DC2"/>
    <w:rsid w:val="490E401E"/>
    <w:rsid w:val="4926692E"/>
    <w:rsid w:val="492A15D1"/>
    <w:rsid w:val="492B32F1"/>
    <w:rsid w:val="494245AF"/>
    <w:rsid w:val="495E0722"/>
    <w:rsid w:val="496E4D55"/>
    <w:rsid w:val="497870B7"/>
    <w:rsid w:val="498B57D8"/>
    <w:rsid w:val="498F5A56"/>
    <w:rsid w:val="49C73C8F"/>
    <w:rsid w:val="4A094BA5"/>
    <w:rsid w:val="4A0F396F"/>
    <w:rsid w:val="4A242765"/>
    <w:rsid w:val="4A40575B"/>
    <w:rsid w:val="4A554129"/>
    <w:rsid w:val="4A6C19D6"/>
    <w:rsid w:val="4A79304A"/>
    <w:rsid w:val="4A9A1CA8"/>
    <w:rsid w:val="4AA50FB5"/>
    <w:rsid w:val="4ABD5996"/>
    <w:rsid w:val="4AF43BD0"/>
    <w:rsid w:val="4B0864F1"/>
    <w:rsid w:val="4B121CEC"/>
    <w:rsid w:val="4B125CE2"/>
    <w:rsid w:val="4B2D4BBE"/>
    <w:rsid w:val="4B3B2E1A"/>
    <w:rsid w:val="4B412124"/>
    <w:rsid w:val="4B533C05"/>
    <w:rsid w:val="4B6C0954"/>
    <w:rsid w:val="4B792C7B"/>
    <w:rsid w:val="4B902DCB"/>
    <w:rsid w:val="4BB943B0"/>
    <w:rsid w:val="4BDC1E4C"/>
    <w:rsid w:val="4BEC1A5B"/>
    <w:rsid w:val="4BEE63C0"/>
    <w:rsid w:val="4C063546"/>
    <w:rsid w:val="4C065EF4"/>
    <w:rsid w:val="4C2D2906"/>
    <w:rsid w:val="4C3103DC"/>
    <w:rsid w:val="4C5E4BE4"/>
    <w:rsid w:val="4C6A5906"/>
    <w:rsid w:val="4C6D7AF0"/>
    <w:rsid w:val="4C76404F"/>
    <w:rsid w:val="4CA800E7"/>
    <w:rsid w:val="4CAB1D98"/>
    <w:rsid w:val="4CEA3D22"/>
    <w:rsid w:val="4CEF3DD2"/>
    <w:rsid w:val="4D0754CB"/>
    <w:rsid w:val="4D381851"/>
    <w:rsid w:val="4D7C1641"/>
    <w:rsid w:val="4D885C1C"/>
    <w:rsid w:val="4DAA6C99"/>
    <w:rsid w:val="4DBD398B"/>
    <w:rsid w:val="4DFC67D6"/>
    <w:rsid w:val="4E0B07C7"/>
    <w:rsid w:val="4E25617A"/>
    <w:rsid w:val="4E2570D1"/>
    <w:rsid w:val="4E474CC6"/>
    <w:rsid w:val="4E5A3FA2"/>
    <w:rsid w:val="4E842E65"/>
    <w:rsid w:val="4EB42C0C"/>
    <w:rsid w:val="4EB77BC6"/>
    <w:rsid w:val="4EFF4D0D"/>
    <w:rsid w:val="4F154D9A"/>
    <w:rsid w:val="4F1B2C8C"/>
    <w:rsid w:val="4F1D5EC1"/>
    <w:rsid w:val="4F2511E2"/>
    <w:rsid w:val="4F6A392D"/>
    <w:rsid w:val="4F794D2E"/>
    <w:rsid w:val="4FA04497"/>
    <w:rsid w:val="4FA85DF9"/>
    <w:rsid w:val="4FC0330D"/>
    <w:rsid w:val="4FF52D6F"/>
    <w:rsid w:val="50053139"/>
    <w:rsid w:val="50125A54"/>
    <w:rsid w:val="501F435C"/>
    <w:rsid w:val="502D7657"/>
    <w:rsid w:val="50566671"/>
    <w:rsid w:val="505947E3"/>
    <w:rsid w:val="50784664"/>
    <w:rsid w:val="50C7131D"/>
    <w:rsid w:val="50CD00D4"/>
    <w:rsid w:val="50D8300E"/>
    <w:rsid w:val="50F95004"/>
    <w:rsid w:val="51080891"/>
    <w:rsid w:val="510A2FB8"/>
    <w:rsid w:val="511B2441"/>
    <w:rsid w:val="51426BF5"/>
    <w:rsid w:val="515F1555"/>
    <w:rsid w:val="51811938"/>
    <w:rsid w:val="518615E5"/>
    <w:rsid w:val="51990256"/>
    <w:rsid w:val="519D5B7D"/>
    <w:rsid w:val="51A55D1B"/>
    <w:rsid w:val="51C067BC"/>
    <w:rsid w:val="51C4585C"/>
    <w:rsid w:val="51D230C3"/>
    <w:rsid w:val="52011FBB"/>
    <w:rsid w:val="52272466"/>
    <w:rsid w:val="522A0C67"/>
    <w:rsid w:val="52375ECE"/>
    <w:rsid w:val="525A0439"/>
    <w:rsid w:val="525D7F57"/>
    <w:rsid w:val="529D3D17"/>
    <w:rsid w:val="52B07A0E"/>
    <w:rsid w:val="52F410A5"/>
    <w:rsid w:val="53270E81"/>
    <w:rsid w:val="53295D4D"/>
    <w:rsid w:val="532A0F4E"/>
    <w:rsid w:val="535B2EAF"/>
    <w:rsid w:val="535D7D17"/>
    <w:rsid w:val="538A779B"/>
    <w:rsid w:val="53AF71B1"/>
    <w:rsid w:val="540208BE"/>
    <w:rsid w:val="54123015"/>
    <w:rsid w:val="54273422"/>
    <w:rsid w:val="54523C35"/>
    <w:rsid w:val="54646E83"/>
    <w:rsid w:val="54774E08"/>
    <w:rsid w:val="547956DD"/>
    <w:rsid w:val="548A3EC7"/>
    <w:rsid w:val="54A237BE"/>
    <w:rsid w:val="54AA4ADE"/>
    <w:rsid w:val="54EB3100"/>
    <w:rsid w:val="54F60B03"/>
    <w:rsid w:val="55042152"/>
    <w:rsid w:val="55397649"/>
    <w:rsid w:val="559D6C11"/>
    <w:rsid w:val="55B22D74"/>
    <w:rsid w:val="55C0458D"/>
    <w:rsid w:val="55D83684"/>
    <w:rsid w:val="55EA4968"/>
    <w:rsid w:val="56223420"/>
    <w:rsid w:val="56467810"/>
    <w:rsid w:val="5667011F"/>
    <w:rsid w:val="56777E97"/>
    <w:rsid w:val="567E1248"/>
    <w:rsid w:val="568C7D85"/>
    <w:rsid w:val="56A56346"/>
    <w:rsid w:val="56B7773E"/>
    <w:rsid w:val="572D714A"/>
    <w:rsid w:val="57446475"/>
    <w:rsid w:val="578E6678"/>
    <w:rsid w:val="57987005"/>
    <w:rsid w:val="57BD06EF"/>
    <w:rsid w:val="57C15A78"/>
    <w:rsid w:val="57FFB77E"/>
    <w:rsid w:val="582C3207"/>
    <w:rsid w:val="5841294A"/>
    <w:rsid w:val="5846521D"/>
    <w:rsid w:val="58690F0C"/>
    <w:rsid w:val="58704D36"/>
    <w:rsid w:val="587B479B"/>
    <w:rsid w:val="589F0CE8"/>
    <w:rsid w:val="58AC590B"/>
    <w:rsid w:val="58B0109C"/>
    <w:rsid w:val="58BC103B"/>
    <w:rsid w:val="58D01745"/>
    <w:rsid w:val="58EA204C"/>
    <w:rsid w:val="58FB2DCB"/>
    <w:rsid w:val="59172F13"/>
    <w:rsid w:val="591C1ADA"/>
    <w:rsid w:val="59331B2D"/>
    <w:rsid w:val="59464965"/>
    <w:rsid w:val="594F27D7"/>
    <w:rsid w:val="59517F98"/>
    <w:rsid w:val="59576FB6"/>
    <w:rsid w:val="597063C0"/>
    <w:rsid w:val="59821B46"/>
    <w:rsid w:val="598C2123"/>
    <w:rsid w:val="5999415E"/>
    <w:rsid w:val="59A73A9A"/>
    <w:rsid w:val="59C51ACE"/>
    <w:rsid w:val="59CD16F1"/>
    <w:rsid w:val="59D57F7D"/>
    <w:rsid w:val="59DB3E06"/>
    <w:rsid w:val="59EA7E2A"/>
    <w:rsid w:val="5AC20713"/>
    <w:rsid w:val="5ADC2C4D"/>
    <w:rsid w:val="5AF54CD9"/>
    <w:rsid w:val="5B292CDF"/>
    <w:rsid w:val="5B2F1F99"/>
    <w:rsid w:val="5B364BE2"/>
    <w:rsid w:val="5B454CC2"/>
    <w:rsid w:val="5B5B7A8E"/>
    <w:rsid w:val="5B7802A0"/>
    <w:rsid w:val="5B7B644F"/>
    <w:rsid w:val="5B7B69D6"/>
    <w:rsid w:val="5B8B7C16"/>
    <w:rsid w:val="5BD65775"/>
    <w:rsid w:val="5BEF797A"/>
    <w:rsid w:val="5C074DE0"/>
    <w:rsid w:val="5C081364"/>
    <w:rsid w:val="5C4B47FF"/>
    <w:rsid w:val="5C4E46A0"/>
    <w:rsid w:val="5C4F791D"/>
    <w:rsid w:val="5C69772C"/>
    <w:rsid w:val="5C6E231E"/>
    <w:rsid w:val="5C746033"/>
    <w:rsid w:val="5C8137DA"/>
    <w:rsid w:val="5CCD3A22"/>
    <w:rsid w:val="5D0734A6"/>
    <w:rsid w:val="5D321105"/>
    <w:rsid w:val="5D534D0D"/>
    <w:rsid w:val="5D59669F"/>
    <w:rsid w:val="5D7B49AE"/>
    <w:rsid w:val="5D9A56C3"/>
    <w:rsid w:val="5DE61889"/>
    <w:rsid w:val="5E58722E"/>
    <w:rsid w:val="5E693A13"/>
    <w:rsid w:val="5E712CBB"/>
    <w:rsid w:val="5E740C71"/>
    <w:rsid w:val="5E7C3F41"/>
    <w:rsid w:val="5E890E48"/>
    <w:rsid w:val="5EC17164"/>
    <w:rsid w:val="5ECE7D1A"/>
    <w:rsid w:val="5F0722E5"/>
    <w:rsid w:val="5F332DD3"/>
    <w:rsid w:val="5F3835AD"/>
    <w:rsid w:val="5F3F5CF5"/>
    <w:rsid w:val="5F5C509F"/>
    <w:rsid w:val="5F655FF1"/>
    <w:rsid w:val="5F677827"/>
    <w:rsid w:val="5F722AD1"/>
    <w:rsid w:val="5F7432E1"/>
    <w:rsid w:val="600D572A"/>
    <w:rsid w:val="6014175D"/>
    <w:rsid w:val="60326087"/>
    <w:rsid w:val="60377F79"/>
    <w:rsid w:val="60414FE4"/>
    <w:rsid w:val="604C0D0F"/>
    <w:rsid w:val="60571C20"/>
    <w:rsid w:val="6073668C"/>
    <w:rsid w:val="609C282B"/>
    <w:rsid w:val="60EF5D26"/>
    <w:rsid w:val="61225741"/>
    <w:rsid w:val="612E5CAE"/>
    <w:rsid w:val="612F5A6A"/>
    <w:rsid w:val="6133538F"/>
    <w:rsid w:val="61630BEE"/>
    <w:rsid w:val="619312DD"/>
    <w:rsid w:val="619D460A"/>
    <w:rsid w:val="61B87B88"/>
    <w:rsid w:val="61BC6176"/>
    <w:rsid w:val="61BD775D"/>
    <w:rsid w:val="61D255BD"/>
    <w:rsid w:val="61E64C2D"/>
    <w:rsid w:val="625642AF"/>
    <w:rsid w:val="626D122C"/>
    <w:rsid w:val="628155A5"/>
    <w:rsid w:val="62E460A8"/>
    <w:rsid w:val="63055B6B"/>
    <w:rsid w:val="633804BD"/>
    <w:rsid w:val="633D3015"/>
    <w:rsid w:val="637259FB"/>
    <w:rsid w:val="63780DEF"/>
    <w:rsid w:val="63B2213D"/>
    <w:rsid w:val="63B935D2"/>
    <w:rsid w:val="63C87192"/>
    <w:rsid w:val="63D4081B"/>
    <w:rsid w:val="63F9BC1C"/>
    <w:rsid w:val="64061DB6"/>
    <w:rsid w:val="642C4818"/>
    <w:rsid w:val="6440456B"/>
    <w:rsid w:val="644F7208"/>
    <w:rsid w:val="64565E9A"/>
    <w:rsid w:val="646833CB"/>
    <w:rsid w:val="64790324"/>
    <w:rsid w:val="649A06C4"/>
    <w:rsid w:val="64A43F17"/>
    <w:rsid w:val="64AA5C1F"/>
    <w:rsid w:val="650A07D2"/>
    <w:rsid w:val="652F4AE6"/>
    <w:rsid w:val="65414924"/>
    <w:rsid w:val="65554CF2"/>
    <w:rsid w:val="65660D60"/>
    <w:rsid w:val="65A672FB"/>
    <w:rsid w:val="65AB66C0"/>
    <w:rsid w:val="65BA2DA7"/>
    <w:rsid w:val="65F75DA9"/>
    <w:rsid w:val="6603474E"/>
    <w:rsid w:val="660F1689"/>
    <w:rsid w:val="669C3EEE"/>
    <w:rsid w:val="66D24327"/>
    <w:rsid w:val="66E1236E"/>
    <w:rsid w:val="66E26723"/>
    <w:rsid w:val="670029FC"/>
    <w:rsid w:val="6752403D"/>
    <w:rsid w:val="67584625"/>
    <w:rsid w:val="675C23A7"/>
    <w:rsid w:val="678243B9"/>
    <w:rsid w:val="67A63433"/>
    <w:rsid w:val="67AB36D7"/>
    <w:rsid w:val="67B6134C"/>
    <w:rsid w:val="67BE03B2"/>
    <w:rsid w:val="67E773FA"/>
    <w:rsid w:val="680E73DA"/>
    <w:rsid w:val="681D18FC"/>
    <w:rsid w:val="68311CB5"/>
    <w:rsid w:val="683D2936"/>
    <w:rsid w:val="68900DC3"/>
    <w:rsid w:val="689E075E"/>
    <w:rsid w:val="68A714F7"/>
    <w:rsid w:val="68E24AEE"/>
    <w:rsid w:val="691F2638"/>
    <w:rsid w:val="69396495"/>
    <w:rsid w:val="696A2F1B"/>
    <w:rsid w:val="69731BEA"/>
    <w:rsid w:val="6981390F"/>
    <w:rsid w:val="69901C48"/>
    <w:rsid w:val="69C74077"/>
    <w:rsid w:val="6A2D0389"/>
    <w:rsid w:val="6A5276F3"/>
    <w:rsid w:val="6A5E4E3D"/>
    <w:rsid w:val="6A8C225B"/>
    <w:rsid w:val="6AA87C08"/>
    <w:rsid w:val="6AAD4D6B"/>
    <w:rsid w:val="6AC1262D"/>
    <w:rsid w:val="6B225676"/>
    <w:rsid w:val="6B26743B"/>
    <w:rsid w:val="6B341A17"/>
    <w:rsid w:val="6B6162D1"/>
    <w:rsid w:val="6B6A4354"/>
    <w:rsid w:val="6BA442DD"/>
    <w:rsid w:val="6C18028D"/>
    <w:rsid w:val="6C231A88"/>
    <w:rsid w:val="6C3118E9"/>
    <w:rsid w:val="6C412B0E"/>
    <w:rsid w:val="6C533FA3"/>
    <w:rsid w:val="6C5871A6"/>
    <w:rsid w:val="6C5F19BA"/>
    <w:rsid w:val="6C682522"/>
    <w:rsid w:val="6C7D68DC"/>
    <w:rsid w:val="6CB06F0E"/>
    <w:rsid w:val="6CEA0744"/>
    <w:rsid w:val="6CF02868"/>
    <w:rsid w:val="6CF53286"/>
    <w:rsid w:val="6CF7668E"/>
    <w:rsid w:val="6D1519B6"/>
    <w:rsid w:val="6D3A28CA"/>
    <w:rsid w:val="6D4D0824"/>
    <w:rsid w:val="6D534B12"/>
    <w:rsid w:val="6D783BC9"/>
    <w:rsid w:val="6D871FFC"/>
    <w:rsid w:val="6D9A20D5"/>
    <w:rsid w:val="6DB3282B"/>
    <w:rsid w:val="6DDB5FB0"/>
    <w:rsid w:val="6DF632C2"/>
    <w:rsid w:val="6E1312A6"/>
    <w:rsid w:val="6E176F37"/>
    <w:rsid w:val="6E787DA6"/>
    <w:rsid w:val="6E851103"/>
    <w:rsid w:val="6E9C4D00"/>
    <w:rsid w:val="6EC02FD8"/>
    <w:rsid w:val="6EE60768"/>
    <w:rsid w:val="6EE6783C"/>
    <w:rsid w:val="6F2D6FAF"/>
    <w:rsid w:val="6F3164C1"/>
    <w:rsid w:val="6F5E35E2"/>
    <w:rsid w:val="6FA52FF8"/>
    <w:rsid w:val="6FC97DC2"/>
    <w:rsid w:val="6FFE7C4C"/>
    <w:rsid w:val="700E7DB2"/>
    <w:rsid w:val="70120C20"/>
    <w:rsid w:val="70142643"/>
    <w:rsid w:val="701D57C1"/>
    <w:rsid w:val="703F09D9"/>
    <w:rsid w:val="70560071"/>
    <w:rsid w:val="705B4ACA"/>
    <w:rsid w:val="70716758"/>
    <w:rsid w:val="70775EA0"/>
    <w:rsid w:val="70BE2BDB"/>
    <w:rsid w:val="70DF104C"/>
    <w:rsid w:val="712D0801"/>
    <w:rsid w:val="715C2F37"/>
    <w:rsid w:val="7161210C"/>
    <w:rsid w:val="71793B16"/>
    <w:rsid w:val="718F4E34"/>
    <w:rsid w:val="719E43C3"/>
    <w:rsid w:val="71EA4355"/>
    <w:rsid w:val="721D0945"/>
    <w:rsid w:val="721F618D"/>
    <w:rsid w:val="723634AF"/>
    <w:rsid w:val="72604B61"/>
    <w:rsid w:val="72616DCA"/>
    <w:rsid w:val="72887F0A"/>
    <w:rsid w:val="728B608B"/>
    <w:rsid w:val="72B11873"/>
    <w:rsid w:val="72BF1613"/>
    <w:rsid w:val="72C24771"/>
    <w:rsid w:val="73062D09"/>
    <w:rsid w:val="732134E6"/>
    <w:rsid w:val="73257E81"/>
    <w:rsid w:val="73562B54"/>
    <w:rsid w:val="738665A0"/>
    <w:rsid w:val="739F6D3B"/>
    <w:rsid w:val="73A537A5"/>
    <w:rsid w:val="73A81F05"/>
    <w:rsid w:val="73BE506A"/>
    <w:rsid w:val="73FD3988"/>
    <w:rsid w:val="740D5202"/>
    <w:rsid w:val="744E53F7"/>
    <w:rsid w:val="7462748A"/>
    <w:rsid w:val="74654825"/>
    <w:rsid w:val="747405C4"/>
    <w:rsid w:val="749339F3"/>
    <w:rsid w:val="749C2625"/>
    <w:rsid w:val="74B7034B"/>
    <w:rsid w:val="74F6361A"/>
    <w:rsid w:val="75026AFF"/>
    <w:rsid w:val="751458D3"/>
    <w:rsid w:val="752F4330"/>
    <w:rsid w:val="7532080C"/>
    <w:rsid w:val="753A6D9B"/>
    <w:rsid w:val="755429E8"/>
    <w:rsid w:val="7557233A"/>
    <w:rsid w:val="756236D2"/>
    <w:rsid w:val="756E6C7B"/>
    <w:rsid w:val="75C630A2"/>
    <w:rsid w:val="75C971DA"/>
    <w:rsid w:val="75CA7E1A"/>
    <w:rsid w:val="75D05CCE"/>
    <w:rsid w:val="75D752AF"/>
    <w:rsid w:val="75E24E8A"/>
    <w:rsid w:val="75E35A02"/>
    <w:rsid w:val="75EC7674"/>
    <w:rsid w:val="75F3306E"/>
    <w:rsid w:val="76015841"/>
    <w:rsid w:val="762357F5"/>
    <w:rsid w:val="76283D5C"/>
    <w:rsid w:val="76755954"/>
    <w:rsid w:val="76C2068F"/>
    <w:rsid w:val="76CB1B79"/>
    <w:rsid w:val="76E0724A"/>
    <w:rsid w:val="76E420DF"/>
    <w:rsid w:val="76F13AC7"/>
    <w:rsid w:val="77044E51"/>
    <w:rsid w:val="77077AF2"/>
    <w:rsid w:val="7718627D"/>
    <w:rsid w:val="771B4244"/>
    <w:rsid w:val="77400C32"/>
    <w:rsid w:val="774155C3"/>
    <w:rsid w:val="7774EE99"/>
    <w:rsid w:val="77970121"/>
    <w:rsid w:val="77B238DE"/>
    <w:rsid w:val="77C477EF"/>
    <w:rsid w:val="77F4714E"/>
    <w:rsid w:val="77FA3C5D"/>
    <w:rsid w:val="78034139"/>
    <w:rsid w:val="78123A61"/>
    <w:rsid w:val="781E1B9A"/>
    <w:rsid w:val="78232A2D"/>
    <w:rsid w:val="78385F41"/>
    <w:rsid w:val="783A1761"/>
    <w:rsid w:val="78755C87"/>
    <w:rsid w:val="78A969ED"/>
    <w:rsid w:val="78B21082"/>
    <w:rsid w:val="78F470EA"/>
    <w:rsid w:val="790B2D8C"/>
    <w:rsid w:val="79630E5B"/>
    <w:rsid w:val="797B5395"/>
    <w:rsid w:val="79B24069"/>
    <w:rsid w:val="79CA4AB4"/>
    <w:rsid w:val="79EA789A"/>
    <w:rsid w:val="79EB072F"/>
    <w:rsid w:val="79F23681"/>
    <w:rsid w:val="79F521A7"/>
    <w:rsid w:val="7A272C79"/>
    <w:rsid w:val="7A4A21C5"/>
    <w:rsid w:val="7A516828"/>
    <w:rsid w:val="7A645EC6"/>
    <w:rsid w:val="7A8F37D9"/>
    <w:rsid w:val="7AAF7C5D"/>
    <w:rsid w:val="7AB1119A"/>
    <w:rsid w:val="7AC8601E"/>
    <w:rsid w:val="7ACB26AA"/>
    <w:rsid w:val="7AD26953"/>
    <w:rsid w:val="7AE33D34"/>
    <w:rsid w:val="7B3C0800"/>
    <w:rsid w:val="7B4A1DF2"/>
    <w:rsid w:val="7B4A4B18"/>
    <w:rsid w:val="7B7F22FE"/>
    <w:rsid w:val="7B802C3D"/>
    <w:rsid w:val="7B9E4A69"/>
    <w:rsid w:val="7BBF2DF9"/>
    <w:rsid w:val="7C207B5A"/>
    <w:rsid w:val="7C2C5717"/>
    <w:rsid w:val="7C430FB7"/>
    <w:rsid w:val="7C48752B"/>
    <w:rsid w:val="7C7973F5"/>
    <w:rsid w:val="7D2D6657"/>
    <w:rsid w:val="7D380D29"/>
    <w:rsid w:val="7D753449"/>
    <w:rsid w:val="7D7B6755"/>
    <w:rsid w:val="7D9C12B8"/>
    <w:rsid w:val="7DBB09EA"/>
    <w:rsid w:val="7DC73AB5"/>
    <w:rsid w:val="7DE60785"/>
    <w:rsid w:val="7E0545A0"/>
    <w:rsid w:val="7E1A121E"/>
    <w:rsid w:val="7E34791B"/>
    <w:rsid w:val="7E3A3236"/>
    <w:rsid w:val="7E4A05ED"/>
    <w:rsid w:val="7E6F6167"/>
    <w:rsid w:val="7E7456DA"/>
    <w:rsid w:val="7E7B7B8B"/>
    <w:rsid w:val="7EA83B29"/>
    <w:rsid w:val="7EC03F24"/>
    <w:rsid w:val="7ED21F55"/>
    <w:rsid w:val="7EDA65C9"/>
    <w:rsid w:val="7EF15EA9"/>
    <w:rsid w:val="7F0864D9"/>
    <w:rsid w:val="7F136AB5"/>
    <w:rsid w:val="7F3F4844"/>
    <w:rsid w:val="7F483E7F"/>
    <w:rsid w:val="7F4F1D18"/>
    <w:rsid w:val="7F771683"/>
    <w:rsid w:val="7F954211"/>
    <w:rsid w:val="7FC73BB3"/>
    <w:rsid w:val="7FCA1230"/>
    <w:rsid w:val="7FD6234A"/>
    <w:rsid w:val="7FDC1EAC"/>
    <w:rsid w:val="7FF97787"/>
    <w:rsid w:val="7FFA439E"/>
    <w:rsid w:val="9DEF2E55"/>
    <w:rsid w:val="9FEF823D"/>
    <w:rsid w:val="B713175B"/>
    <w:rsid w:val="B7EFF206"/>
    <w:rsid w:val="BB772A13"/>
    <w:rsid w:val="BFFEF8EF"/>
    <w:rsid w:val="C56E9175"/>
    <w:rsid w:val="CECFD63F"/>
    <w:rsid w:val="CEFF9100"/>
    <w:rsid w:val="D3CD2F69"/>
    <w:rsid w:val="DBA3DC08"/>
    <w:rsid w:val="DBBAAC9C"/>
    <w:rsid w:val="DF3C4803"/>
    <w:rsid w:val="E77921D2"/>
    <w:rsid w:val="F57F528D"/>
    <w:rsid w:val="F795EEEF"/>
    <w:rsid w:val="FB7E7425"/>
    <w:rsid w:val="FBF7C9D3"/>
    <w:rsid w:val="FC12C484"/>
    <w:rsid w:val="FD7FB68A"/>
    <w:rsid w:val="FEFE9502"/>
    <w:rsid w:val="FF9940FF"/>
    <w:rsid w:val="FFE47765"/>
    <w:rsid w:val="FFEB3B3B"/>
    <w:rsid w:val="FFFF1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6"/>
    <w:basedOn w:val="1"/>
    <w:next w:val="1"/>
    <w:qFormat/>
    <w:uiPriority w:val="0"/>
    <w:pPr>
      <w:keepNext/>
      <w:keepLines/>
      <w:spacing w:before="240" w:after="64" w:line="317" w:lineRule="auto"/>
      <w:outlineLvl w:val="5"/>
    </w:pPr>
    <w:rPr>
      <w:rFonts w:eastAsia="黑体"/>
      <w:b/>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List Bullet"/>
    <w:basedOn w:val="1"/>
    <w:unhideWhenUsed/>
    <w:qFormat/>
    <w:uiPriority w:val="99"/>
    <w:pPr>
      <w:numPr>
        <w:ilvl w:val="0"/>
        <w:numId w:val="1"/>
      </w:numPr>
      <w:contextualSpacing/>
    </w:pPr>
  </w:style>
  <w:style w:type="paragraph" w:styleId="6">
    <w:name w:val="annotation text"/>
    <w:basedOn w:val="1"/>
    <w:link w:val="43"/>
    <w:semiHidden/>
    <w:unhideWhenUsed/>
    <w:qFormat/>
    <w:uiPriority w:val="99"/>
    <w:pPr>
      <w:jc w:val="left"/>
    </w:pPr>
  </w:style>
  <w:style w:type="paragraph" w:styleId="7">
    <w:name w:val="Body Text"/>
    <w:basedOn w:val="1"/>
    <w:qFormat/>
    <w:uiPriority w:val="1"/>
    <w:pPr>
      <w:ind w:left="120"/>
    </w:pPr>
    <w:rPr>
      <w:rFonts w:ascii="宋体" w:hAnsi="宋体" w:eastAsia="宋体"/>
      <w:szCs w:val="21"/>
    </w:rPr>
  </w:style>
  <w:style w:type="paragraph" w:styleId="8">
    <w:name w:val="index 4"/>
    <w:basedOn w:val="1"/>
    <w:next w:val="1"/>
    <w:qFormat/>
    <w:uiPriority w:val="0"/>
    <w:pPr>
      <w:spacing w:line="360" w:lineRule="auto"/>
      <w:ind w:left="600" w:leftChars="600"/>
    </w:pPr>
    <w:rPr>
      <w:sz w:val="24"/>
      <w:szCs w:val="24"/>
    </w:rPr>
  </w:style>
  <w:style w:type="paragraph" w:styleId="9">
    <w:name w:val="Balloon Text"/>
    <w:basedOn w:val="1"/>
    <w:link w:val="46"/>
    <w:semiHidden/>
    <w:unhideWhenUsed/>
    <w:qFormat/>
    <w:uiPriority w:val="99"/>
    <w:rPr>
      <w:sz w:val="18"/>
      <w:szCs w:val="18"/>
    </w:rPr>
  </w:style>
  <w:style w:type="paragraph" w:styleId="10">
    <w:name w:val="footer"/>
    <w:basedOn w:val="1"/>
    <w:link w:val="20"/>
    <w:qFormat/>
    <w:uiPriority w:val="99"/>
    <w:pPr>
      <w:widowControl/>
      <w:tabs>
        <w:tab w:val="center" w:pos="4153"/>
        <w:tab w:val="right" w:pos="8306"/>
      </w:tabs>
      <w:kinsoku w:val="0"/>
      <w:autoSpaceDE w:val="0"/>
      <w:autoSpaceDN w:val="0"/>
      <w:adjustRightInd w:val="0"/>
      <w:snapToGrid w:val="0"/>
      <w:jc w:val="left"/>
      <w:textAlignment w:val="baseline"/>
    </w:pPr>
    <w:rPr>
      <w:rFonts w:ascii="Arial" w:hAnsi="Arial" w:cs="Arial"/>
      <w:snapToGrid w:val="0"/>
      <w:color w:val="000000"/>
      <w:kern w:val="0"/>
      <w:sz w:val="18"/>
      <w:szCs w:val="18"/>
      <w:lang w:eastAsia="en-US"/>
      <w14:ligatures w14:val="none"/>
    </w:rPr>
  </w:style>
  <w:style w:type="paragraph" w:styleId="11">
    <w:name w:val="header"/>
    <w:basedOn w:val="1"/>
    <w:link w:val="19"/>
    <w:unhideWhenUsed/>
    <w:qFormat/>
    <w:uiPriority w:val="99"/>
    <w:pPr>
      <w:tabs>
        <w:tab w:val="center" w:pos="4153"/>
        <w:tab w:val="right" w:pos="8306"/>
      </w:tabs>
      <w:snapToGrid w:val="0"/>
      <w:jc w:val="center"/>
    </w:pPr>
    <w:rPr>
      <w:sz w:val="18"/>
      <w:szCs w:val="18"/>
    </w:rPr>
  </w:style>
  <w:style w:type="paragraph" w:styleId="12">
    <w:name w:val="annotation subject"/>
    <w:basedOn w:val="6"/>
    <w:next w:val="6"/>
    <w:link w:val="44"/>
    <w:semiHidden/>
    <w:unhideWhenUsed/>
    <w:qFormat/>
    <w:uiPriority w:val="99"/>
    <w:rPr>
      <w:b/>
      <w:bCs/>
    </w:rPr>
  </w:style>
  <w:style w:type="character" w:styleId="15">
    <w:name w:val="Strong"/>
    <w:basedOn w:val="14"/>
    <w:qFormat/>
    <w:uiPriority w:val="22"/>
    <w:rPr>
      <w:b/>
    </w:rPr>
  </w:style>
  <w:style w:type="character" w:styleId="16">
    <w:name w:val="FollowedHyperlink"/>
    <w:basedOn w:val="14"/>
    <w:semiHidden/>
    <w:unhideWhenUsed/>
    <w:qFormat/>
    <w:uiPriority w:val="99"/>
    <w:rPr>
      <w:color w:val="800080"/>
      <w:u w:val="single"/>
    </w:rPr>
  </w:style>
  <w:style w:type="character" w:styleId="17">
    <w:name w:val="Hyperlink"/>
    <w:basedOn w:val="14"/>
    <w:semiHidden/>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字符"/>
    <w:basedOn w:val="14"/>
    <w:link w:val="11"/>
    <w:qFormat/>
    <w:uiPriority w:val="99"/>
    <w:rPr>
      <w:sz w:val="18"/>
      <w:szCs w:val="18"/>
    </w:rPr>
  </w:style>
  <w:style w:type="character" w:customStyle="1" w:styleId="20">
    <w:name w:val="页脚 字符"/>
    <w:basedOn w:val="14"/>
    <w:link w:val="10"/>
    <w:qFormat/>
    <w:uiPriority w:val="99"/>
    <w:rPr>
      <w:rFonts w:ascii="Arial" w:hAnsi="Arial" w:cs="Arial"/>
      <w:snapToGrid w:val="0"/>
      <w:color w:val="000000"/>
      <w:kern w:val="0"/>
      <w:sz w:val="18"/>
      <w:szCs w:val="18"/>
      <w:lang w:eastAsia="en-US"/>
      <w14:ligatures w14:val="none"/>
    </w:rPr>
  </w:style>
  <w:style w:type="paragraph" w:styleId="21">
    <w:name w:val="List Paragraph"/>
    <w:basedOn w:val="1"/>
    <w:link w:val="22"/>
    <w:qFormat/>
    <w:uiPriority w:val="34"/>
    <w:pPr>
      <w:numPr>
        <w:ilvl w:val="0"/>
        <w:numId w:val="2"/>
      </w:numPr>
      <w:tabs>
        <w:tab w:val="left" w:pos="567"/>
        <w:tab w:val="left" w:pos="6379"/>
      </w:tabs>
      <w:spacing w:line="360" w:lineRule="auto"/>
      <w:ind w:right="491" w:rightChars="234"/>
    </w:pPr>
    <w:rPr>
      <w:sz w:val="28"/>
      <w:szCs w:val="28"/>
      <w14:ligatures w14:val="none"/>
    </w:rPr>
  </w:style>
  <w:style w:type="character" w:customStyle="1" w:styleId="22">
    <w:name w:val="列表段落 字符"/>
    <w:link w:val="21"/>
    <w:qFormat/>
    <w:uiPriority w:val="34"/>
    <w:rPr>
      <w:rFonts w:asciiTheme="minorHAnsi" w:hAnsiTheme="minorHAnsi" w:eastAsiaTheme="minorEastAsia" w:cstheme="minorBidi"/>
      <w:kern w:val="2"/>
      <w:sz w:val="28"/>
      <w:szCs w:val="28"/>
    </w:rPr>
  </w:style>
  <w:style w:type="paragraph" w:customStyle="1" w:styleId="23">
    <w:name w:val="msonormal"/>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24">
    <w:name w:val="font5"/>
    <w:basedOn w:val="1"/>
    <w:qFormat/>
    <w:uiPriority w:val="0"/>
    <w:pPr>
      <w:widowControl/>
      <w:spacing w:before="100" w:beforeAutospacing="1" w:after="100" w:afterAutospacing="1"/>
      <w:jc w:val="left"/>
    </w:pPr>
    <w:rPr>
      <w:rFonts w:ascii="宋体" w:hAnsi="宋体" w:eastAsia="宋体" w:cs="宋体"/>
      <w:kern w:val="0"/>
      <w:sz w:val="18"/>
      <w:szCs w:val="18"/>
      <w14:ligatures w14:val="none"/>
    </w:rPr>
  </w:style>
  <w:style w:type="paragraph" w:customStyle="1" w:styleId="25">
    <w:name w:val="font6"/>
    <w:basedOn w:val="1"/>
    <w:qFormat/>
    <w:uiPriority w:val="0"/>
    <w:pPr>
      <w:widowControl/>
      <w:spacing w:before="100" w:beforeAutospacing="1" w:after="100" w:afterAutospacing="1"/>
      <w:jc w:val="left"/>
    </w:pPr>
    <w:rPr>
      <w:rFonts w:ascii="宋体" w:hAnsi="宋体" w:eastAsia="宋体" w:cs="宋体"/>
      <w:kern w:val="0"/>
      <w:sz w:val="18"/>
      <w:szCs w:val="18"/>
      <w14:ligatures w14:val="none"/>
    </w:rPr>
  </w:style>
  <w:style w:type="paragraph" w:customStyle="1" w:styleId="26">
    <w:name w:val="font7"/>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27">
    <w:name w:val="font8"/>
    <w:basedOn w:val="1"/>
    <w:qFormat/>
    <w:uiPriority w:val="0"/>
    <w:pPr>
      <w:widowControl/>
      <w:spacing w:before="100" w:beforeAutospacing="1" w:after="100" w:afterAutospacing="1"/>
      <w:jc w:val="left"/>
    </w:pPr>
    <w:rPr>
      <w:rFonts w:ascii="Calibri" w:hAnsi="Calibri" w:eastAsia="宋体" w:cs="Calibri"/>
      <w:kern w:val="0"/>
      <w:sz w:val="24"/>
      <w:szCs w:val="24"/>
      <w14:ligatures w14:val="none"/>
    </w:rPr>
  </w:style>
  <w:style w:type="paragraph" w:customStyle="1" w:styleId="28">
    <w:name w:val="xl85"/>
    <w:basedOn w:val="1"/>
    <w:qFormat/>
    <w:uiPriority w:val="0"/>
    <w:pPr>
      <w:widowControl/>
      <w:spacing w:before="100" w:beforeAutospacing="1" w:after="100" w:afterAutospacing="1"/>
      <w:jc w:val="center"/>
    </w:pPr>
    <w:rPr>
      <w:rFonts w:ascii="宋体" w:hAnsi="宋体" w:eastAsia="宋体" w:cs="宋体"/>
      <w:kern w:val="0"/>
      <w:sz w:val="24"/>
      <w:szCs w:val="24"/>
      <w14:ligatures w14:val="none"/>
    </w:rPr>
  </w:style>
  <w:style w:type="paragraph" w:customStyle="1" w:styleId="29">
    <w:name w:val="xl86"/>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3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14:ligatures w14:val="none"/>
    </w:rPr>
  </w:style>
  <w:style w:type="paragraph" w:customStyle="1" w:styleId="3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14:ligatures w14:val="none"/>
    </w:rPr>
  </w:style>
  <w:style w:type="paragraph" w:customStyle="1" w:styleId="3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14:ligatures w14:val="none"/>
    </w:rPr>
  </w:style>
  <w:style w:type="paragraph" w:customStyle="1" w:styleId="3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14:ligatures w14:val="none"/>
    </w:rPr>
  </w:style>
  <w:style w:type="paragraph" w:customStyle="1" w:styleId="34">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14:ligatures w14:val="none"/>
    </w:rPr>
  </w:style>
  <w:style w:type="paragraph" w:customStyle="1" w:styleId="3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14:ligatures w14:val="none"/>
    </w:rPr>
  </w:style>
  <w:style w:type="paragraph" w:customStyle="1" w:styleId="3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14:ligatures w14:val="none"/>
    </w:rPr>
  </w:style>
  <w:style w:type="paragraph" w:customStyle="1" w:styleId="37">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14:ligatures w14:val="none"/>
    </w:rPr>
  </w:style>
  <w:style w:type="paragraph" w:customStyle="1" w:styleId="38">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szCs w:val="24"/>
      <w14:ligatures w14:val="none"/>
    </w:rPr>
  </w:style>
  <w:style w:type="paragraph" w:customStyle="1" w:styleId="39">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szCs w:val="24"/>
      <w14:ligatures w14:val="none"/>
    </w:rPr>
  </w:style>
  <w:style w:type="paragraph" w:customStyle="1" w:styleId="40">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szCs w:val="24"/>
      <w14:ligatures w14:val="none"/>
    </w:rPr>
  </w:style>
  <w:style w:type="paragraph" w:customStyle="1" w:styleId="41">
    <w:name w:val="xl83"/>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42">
    <w:name w:val="xl84"/>
    <w:basedOn w:val="1"/>
    <w:qFormat/>
    <w:uiPriority w:val="0"/>
    <w:pPr>
      <w:widowControl/>
      <w:spacing w:before="100" w:beforeAutospacing="1" w:after="100" w:afterAutospacing="1"/>
      <w:jc w:val="center"/>
    </w:pPr>
    <w:rPr>
      <w:rFonts w:ascii="宋体" w:hAnsi="宋体" w:eastAsia="宋体" w:cs="宋体"/>
      <w:kern w:val="0"/>
      <w:sz w:val="24"/>
      <w:szCs w:val="24"/>
      <w14:ligatures w14:val="none"/>
    </w:rPr>
  </w:style>
  <w:style w:type="character" w:customStyle="1" w:styleId="43">
    <w:name w:val="批注文字 字符"/>
    <w:basedOn w:val="14"/>
    <w:link w:val="6"/>
    <w:semiHidden/>
    <w:qFormat/>
    <w:uiPriority w:val="99"/>
    <w:rPr>
      <w:kern w:val="2"/>
      <w:sz w:val="21"/>
      <w:szCs w:val="22"/>
      <w14:ligatures w14:val="standardContextual"/>
    </w:rPr>
  </w:style>
  <w:style w:type="character" w:customStyle="1" w:styleId="44">
    <w:name w:val="批注主题 字符"/>
    <w:basedOn w:val="43"/>
    <w:link w:val="12"/>
    <w:semiHidden/>
    <w:qFormat/>
    <w:uiPriority w:val="99"/>
    <w:rPr>
      <w:b/>
      <w:bCs/>
      <w:kern w:val="2"/>
      <w:sz w:val="21"/>
      <w:szCs w:val="22"/>
      <w14:ligatures w14:val="standardContextual"/>
    </w:rPr>
  </w:style>
  <w:style w:type="character" w:customStyle="1" w:styleId="45">
    <w:name w:val="text_rubyg"/>
    <w:basedOn w:val="14"/>
    <w:qFormat/>
    <w:uiPriority w:val="0"/>
  </w:style>
  <w:style w:type="character" w:customStyle="1" w:styleId="46">
    <w:name w:val="批注框文本 字符"/>
    <w:basedOn w:val="14"/>
    <w:link w:val="9"/>
    <w:semiHidden/>
    <w:qFormat/>
    <w:uiPriority w:val="99"/>
    <w:rPr>
      <w:kern w:val="2"/>
      <w:sz w:val="18"/>
      <w:szCs w:val="18"/>
      <w14:ligatures w14:val="standardContextual"/>
    </w:rPr>
  </w:style>
  <w:style w:type="character" w:customStyle="1" w:styleId="47">
    <w:name w:val="标题 1 字符"/>
    <w:basedOn w:val="14"/>
    <w:link w:val="2"/>
    <w:qFormat/>
    <w:uiPriority w:val="9"/>
    <w:rPr>
      <w:b/>
      <w:bCs/>
      <w:kern w:val="44"/>
      <w:sz w:val="44"/>
      <w:szCs w:val="44"/>
      <w14:ligatures w14:val="standardContextual"/>
    </w:rPr>
  </w:style>
  <w:style w:type="paragraph" w:customStyle="1" w:styleId="48">
    <w:name w:val="font9"/>
    <w:basedOn w:val="1"/>
    <w:qFormat/>
    <w:uiPriority w:val="0"/>
    <w:pPr>
      <w:widowControl/>
      <w:spacing w:before="100" w:beforeAutospacing="1" w:after="100" w:afterAutospacing="1"/>
      <w:jc w:val="left"/>
    </w:pPr>
    <w:rPr>
      <w:rFonts w:ascii="等线" w:hAnsi="等线" w:eastAsia="等线" w:cs="宋体"/>
      <w:kern w:val="0"/>
      <w:sz w:val="22"/>
      <w14:ligatures w14:val="none"/>
    </w:rPr>
  </w:style>
  <w:style w:type="paragraph" w:customStyle="1" w:styleId="49">
    <w:name w:val="font10"/>
    <w:basedOn w:val="1"/>
    <w:qFormat/>
    <w:uiPriority w:val="0"/>
    <w:pPr>
      <w:widowControl/>
      <w:spacing w:before="100" w:beforeAutospacing="1" w:after="100" w:afterAutospacing="1"/>
      <w:jc w:val="left"/>
    </w:pPr>
    <w:rPr>
      <w:rFonts w:ascii="等线" w:hAnsi="等线" w:eastAsia="等线" w:cs="宋体"/>
      <w:kern w:val="0"/>
      <w:sz w:val="19"/>
      <w:szCs w:val="19"/>
      <w14:ligatures w14:val="none"/>
    </w:rPr>
  </w:style>
  <w:style w:type="paragraph" w:customStyle="1" w:styleId="50">
    <w:name w:val="font11"/>
    <w:basedOn w:val="1"/>
    <w:qFormat/>
    <w:uiPriority w:val="0"/>
    <w:pPr>
      <w:widowControl/>
      <w:spacing w:before="100" w:beforeAutospacing="1" w:after="100" w:afterAutospacing="1"/>
      <w:jc w:val="left"/>
    </w:pPr>
    <w:rPr>
      <w:rFonts w:ascii="等线" w:hAnsi="等线" w:eastAsia="等线" w:cs="宋体"/>
      <w:kern w:val="0"/>
      <w:sz w:val="19"/>
      <w:szCs w:val="19"/>
      <w14:ligatures w14:val="none"/>
    </w:rPr>
  </w:style>
  <w:style w:type="paragraph" w:customStyle="1" w:styleId="51">
    <w:name w:val="font12"/>
    <w:basedOn w:val="1"/>
    <w:qFormat/>
    <w:uiPriority w:val="0"/>
    <w:pPr>
      <w:widowControl/>
      <w:spacing w:before="100" w:beforeAutospacing="1" w:after="100" w:afterAutospacing="1"/>
      <w:jc w:val="left"/>
    </w:pPr>
    <w:rPr>
      <w:rFonts w:ascii="等线" w:hAnsi="等线" w:eastAsia="等线" w:cs="宋体"/>
      <w:kern w:val="0"/>
      <w:sz w:val="19"/>
      <w:szCs w:val="19"/>
      <w14:ligatures w14:val="none"/>
    </w:rPr>
  </w:style>
  <w:style w:type="paragraph" w:customStyle="1" w:styleId="52">
    <w:name w:val="font13"/>
    <w:basedOn w:val="1"/>
    <w:qFormat/>
    <w:uiPriority w:val="0"/>
    <w:pPr>
      <w:widowControl/>
      <w:spacing w:before="100" w:beforeAutospacing="1" w:after="100" w:afterAutospacing="1"/>
      <w:jc w:val="left"/>
    </w:pPr>
    <w:rPr>
      <w:rFonts w:ascii="等线" w:hAnsi="等线" w:eastAsia="等线" w:cs="宋体"/>
      <w:kern w:val="0"/>
      <w:sz w:val="22"/>
      <w14:ligatures w14:val="none"/>
    </w:rPr>
  </w:style>
  <w:style w:type="paragraph" w:customStyle="1" w:styleId="53">
    <w:name w:val="font14"/>
    <w:basedOn w:val="1"/>
    <w:qFormat/>
    <w:uiPriority w:val="0"/>
    <w:pPr>
      <w:widowControl/>
      <w:spacing w:before="100" w:beforeAutospacing="1" w:after="100" w:afterAutospacing="1"/>
      <w:jc w:val="left"/>
    </w:pPr>
    <w:rPr>
      <w:rFonts w:ascii="等线" w:hAnsi="等线" w:eastAsia="等线" w:cs="宋体"/>
      <w:kern w:val="0"/>
      <w:sz w:val="16"/>
      <w:szCs w:val="16"/>
      <w14:ligatures w14:val="none"/>
    </w:rPr>
  </w:style>
  <w:style w:type="paragraph" w:customStyle="1" w:styleId="54">
    <w:name w:val="font15"/>
    <w:basedOn w:val="1"/>
    <w:qFormat/>
    <w:uiPriority w:val="0"/>
    <w:pPr>
      <w:widowControl/>
      <w:spacing w:before="100" w:beforeAutospacing="1" w:after="100" w:afterAutospacing="1"/>
      <w:jc w:val="left"/>
    </w:pPr>
    <w:rPr>
      <w:rFonts w:ascii="等线" w:hAnsi="等线" w:eastAsia="等线" w:cs="宋体"/>
      <w:kern w:val="0"/>
      <w:sz w:val="22"/>
      <w14:ligatures w14:val="none"/>
    </w:rPr>
  </w:style>
  <w:style w:type="paragraph" w:customStyle="1" w:styleId="5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5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57">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58">
    <w:name w:val="xl6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5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Cs w:val="21"/>
      <w14:ligatures w14:val="none"/>
    </w:rPr>
  </w:style>
  <w:style w:type="paragraph" w:customStyle="1" w:styleId="60">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61">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62">
    <w:name w:val="xl7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63">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64">
    <w:name w:val="xl72"/>
    <w:basedOn w:val="1"/>
    <w:qFormat/>
    <w:uiPriority w:val="0"/>
    <w:pPr>
      <w:widowControl/>
      <w:pBdr>
        <w:bottom w:val="single" w:color="auto" w:sz="4" w:space="0"/>
      </w:pBdr>
      <w:spacing w:before="100" w:beforeAutospacing="1" w:after="100" w:afterAutospacing="1"/>
      <w:jc w:val="center"/>
    </w:pPr>
    <w:rPr>
      <w:rFonts w:ascii="宋体" w:hAnsi="宋体" w:eastAsia="宋体" w:cs="宋体"/>
      <w:kern w:val="0"/>
      <w:sz w:val="32"/>
      <w:szCs w:val="32"/>
      <w14:ligatures w14:val="none"/>
    </w:rPr>
  </w:style>
  <w:style w:type="paragraph" w:customStyle="1" w:styleId="65">
    <w:name w:val="xl73"/>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6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6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14:ligatures w14:val="none"/>
    </w:rPr>
  </w:style>
  <w:style w:type="paragraph" w:customStyle="1" w:styleId="6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14:ligatures w14:val="none"/>
    </w:rPr>
  </w:style>
  <w:style w:type="paragraph" w:customStyle="1" w:styleId="69">
    <w:name w:val="xl77"/>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14:ligatures w14:val="none"/>
    </w:rPr>
  </w:style>
  <w:style w:type="paragraph" w:customStyle="1" w:styleId="70">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14:ligatures w14:val="none"/>
    </w:rPr>
  </w:style>
  <w:style w:type="paragraph" w:customStyle="1" w:styleId="7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72">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73">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74">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75">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14:ligatures w14:val="none"/>
    </w:rPr>
  </w:style>
  <w:style w:type="paragraph" w:customStyle="1" w:styleId="7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14:ligatures w14:val="none"/>
    </w:rPr>
  </w:style>
  <w:style w:type="paragraph" w:customStyle="1" w:styleId="77">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78">
    <w:name w:val="xl101"/>
    <w:basedOn w:val="1"/>
    <w:qFormat/>
    <w:uiPriority w:val="0"/>
    <w:pPr>
      <w:widowControl/>
      <w:pBdr>
        <w:top w:val="single" w:color="auto" w:sz="4" w:space="0"/>
        <w:left w:val="single" w:color="auto" w:sz="4" w:space="0"/>
        <w:bottom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14:ligatures w14:val="none"/>
    </w:rPr>
  </w:style>
  <w:style w:type="paragraph" w:customStyle="1" w:styleId="79">
    <w:name w:val="xl102"/>
    <w:basedOn w:val="1"/>
    <w:qFormat/>
    <w:uiPriority w:val="0"/>
    <w:pPr>
      <w:widowControl/>
      <w:pBdr>
        <w:top w:val="single" w:color="auto" w:sz="4" w:space="0"/>
        <w:bottom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14:ligatures w14:val="none"/>
    </w:rPr>
  </w:style>
  <w:style w:type="paragraph" w:customStyle="1" w:styleId="80">
    <w:name w:val="xl103"/>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14:ligatures w14:val="none"/>
    </w:rPr>
  </w:style>
  <w:style w:type="paragraph" w:customStyle="1" w:styleId="81">
    <w:name w:val="xl104"/>
    <w:basedOn w:val="1"/>
    <w:qFormat/>
    <w:uiPriority w:val="0"/>
    <w:pPr>
      <w:widowControl/>
      <w:pBdr>
        <w:top w:val="single" w:color="auto" w:sz="4" w:space="0"/>
        <w:left w:val="single" w:color="auto" w:sz="4" w:space="0"/>
        <w:bottom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14:ligatures w14:val="none"/>
    </w:rPr>
  </w:style>
  <w:style w:type="paragraph" w:customStyle="1" w:styleId="82">
    <w:name w:val="xl105"/>
    <w:basedOn w:val="1"/>
    <w:qFormat/>
    <w:uiPriority w:val="0"/>
    <w:pPr>
      <w:widowControl/>
      <w:pBdr>
        <w:top w:val="single" w:color="auto" w:sz="4" w:space="0"/>
        <w:bottom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14:ligatures w14:val="none"/>
    </w:rPr>
  </w:style>
  <w:style w:type="paragraph" w:customStyle="1" w:styleId="83">
    <w:name w:val="xl106"/>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14:ligatures w14:val="none"/>
    </w:rPr>
  </w:style>
  <w:style w:type="paragraph" w:customStyle="1" w:styleId="84">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85">
    <w:name w:val="xl10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86">
    <w:name w:val="xl10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87">
    <w:name w:val="xl11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88">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14:ligatures w14:val="none"/>
    </w:rPr>
  </w:style>
  <w:style w:type="table" w:customStyle="1" w:styleId="89">
    <w:name w:val="Table Normal"/>
    <w:semiHidden/>
    <w:unhideWhenUsed/>
    <w:qFormat/>
    <w:uiPriority w:val="0"/>
    <w:tblPr>
      <w:tblCellMar>
        <w:top w:w="0" w:type="dxa"/>
        <w:left w:w="0" w:type="dxa"/>
        <w:bottom w:w="0" w:type="dxa"/>
        <w:right w:w="0" w:type="dxa"/>
      </w:tblCellMar>
    </w:tblPr>
  </w:style>
  <w:style w:type="paragraph" w:customStyle="1" w:styleId="90">
    <w:name w:val="Table Text"/>
    <w:basedOn w:val="1"/>
    <w:semiHidden/>
    <w:qFormat/>
    <w:uiPriority w:val="0"/>
    <w:rPr>
      <w:rFonts w:ascii="宋体" w:hAnsi="宋体" w:eastAsia="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7A4C0C5-5BEA-451D-A435-66A9EFE13BD5}">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1488</Words>
  <Characters>8488</Characters>
  <Lines>70</Lines>
  <Paragraphs>19</Paragraphs>
  <TotalTime>0</TotalTime>
  <ScaleCrop>false</ScaleCrop>
  <LinksUpToDate>false</LinksUpToDate>
  <CharactersWithSpaces>9957</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2024-09-05T13:50:00Z</dcterms:created>
  <dc:creator>zhang</dc:creator>
  <cp:lastModifiedBy>王国林</cp:lastModifiedBy>
  <cp:lastPrinted>2024-09-05T13:50:00Z</cp:lastPrinted>
  <dcterms:modified xsi:type="dcterms:W3CDTF">2025-09-25T13:40:25Z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1D79653CAEE79F55B60FD2689A43EE27_43</vt:lpwstr>
  </property>
  <property fmtid="{D5CDD505-2E9C-101B-9397-08002B2CF9AE}" pid="4" name="KSOTemplateDocerSaveRecord">
    <vt:lpwstr>eyJoZGlkIjoiZjIwNWVhZTAzNDA3MzQwZWUxNjk2YTFjY2U3M2E2N2YiLCJ1c2VySWQiOiIyMjc0MjQ2OTMifQ==</vt:lpwstr>
  </property>
</Properties>
</file>