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思源宋体" w:hAnsi="思源宋体" w:eastAsia="思源宋体" w:cs="思源宋体"/>
          <w:color w:val="auto"/>
          <w:sz w:val="44"/>
          <w:szCs w:val="44"/>
          <w:highlight w:val="none"/>
        </w:rPr>
      </w:pPr>
      <w:r>
        <w:rPr>
          <w:rFonts w:hint="eastAsia" w:ascii="思源宋体" w:hAnsi="思源宋体" w:eastAsia="思源宋体" w:cs="思源宋体"/>
          <w:color w:val="auto"/>
          <w:sz w:val="44"/>
          <w:szCs w:val="44"/>
          <w:highlight w:val="none"/>
        </w:rPr>
        <w:t>上海大学学生公寓</w:t>
      </w:r>
      <w:r>
        <w:rPr>
          <w:rFonts w:ascii="思源宋体" w:hAnsi="思源宋体" w:eastAsia="思源宋体" w:cs="思源宋体"/>
          <w:color w:val="auto"/>
          <w:sz w:val="44"/>
          <w:szCs w:val="44"/>
          <w:highlight w:val="none"/>
        </w:rPr>
        <w:t>OI楼</w:t>
      </w:r>
      <w:r>
        <w:rPr>
          <w:rFonts w:hint="eastAsia" w:ascii="思源宋体" w:hAnsi="思源宋体" w:eastAsia="思源宋体" w:cs="思源宋体"/>
          <w:color w:val="auto"/>
          <w:sz w:val="44"/>
          <w:szCs w:val="44"/>
          <w:highlight w:val="none"/>
        </w:rPr>
        <w:t>家具招标需求</w:t>
      </w:r>
    </w:p>
    <w:p>
      <w:pPr>
        <w:pStyle w:val="16"/>
        <w:rPr>
          <w:color w:val="auto"/>
          <w:highlight w:val="none"/>
        </w:rPr>
      </w:pPr>
      <w:r>
        <w:rPr>
          <w:rFonts w:hint="eastAsia"/>
          <w:color w:val="auto"/>
          <w:highlight w:val="none"/>
        </w:rPr>
        <w:t>一、项目概述</w:t>
      </w:r>
    </w:p>
    <w:p>
      <w:pPr>
        <w:pStyle w:val="16"/>
        <w:rPr>
          <w:color w:val="auto"/>
          <w:highlight w:val="none"/>
        </w:rPr>
      </w:pPr>
      <w:r>
        <w:rPr>
          <w:rFonts w:hint="eastAsia"/>
          <w:color w:val="auto"/>
          <w:highlight w:val="none"/>
        </w:rPr>
        <w:t>1、项目地址：上海大学（上海市宝山区上大路99号）</w:t>
      </w:r>
    </w:p>
    <w:p>
      <w:pPr>
        <w:pStyle w:val="16"/>
        <w:rPr>
          <w:color w:val="auto"/>
          <w:highlight w:val="none"/>
        </w:rPr>
      </w:pPr>
      <w:r>
        <w:rPr>
          <w:rFonts w:hint="eastAsia"/>
          <w:color w:val="auto"/>
          <w:highlight w:val="none"/>
        </w:rPr>
        <w:t>2.本项目专门面向中小企业采购。采购项目涉及多个采购标的(不包括配件、辅料等)且由不同制造商制造的，应当在《中小企业声明函》中逐一填报每个采购标的的制造商及企业属性。</w:t>
      </w:r>
    </w:p>
    <w:p>
      <w:pPr>
        <w:pStyle w:val="16"/>
        <w:rPr>
          <w:color w:val="auto"/>
          <w:highlight w:val="none"/>
        </w:rPr>
      </w:pPr>
      <w:r>
        <w:rPr>
          <w:rFonts w:hint="eastAsia"/>
          <w:color w:val="auto"/>
          <w:highlight w:val="none"/>
        </w:rPr>
        <w:t>3．项目预算：</w:t>
      </w:r>
      <w:r>
        <w:rPr>
          <w:color w:val="auto"/>
          <w:highlight w:val="none"/>
        </w:rPr>
        <w:t>3,049,9</w:t>
      </w:r>
      <w:r>
        <w:rPr>
          <w:rFonts w:hint="eastAsia"/>
          <w:color w:val="auto"/>
          <w:highlight w:val="none"/>
        </w:rPr>
        <w:t>11</w:t>
      </w:r>
      <w:r>
        <w:rPr>
          <w:color w:val="auto"/>
          <w:highlight w:val="none"/>
        </w:rPr>
        <w:t>.00</w:t>
      </w:r>
      <w:r>
        <w:rPr>
          <w:rFonts w:hint="eastAsia"/>
          <w:color w:val="auto"/>
          <w:highlight w:val="none"/>
        </w:rPr>
        <w:t>元</w:t>
      </w:r>
    </w:p>
    <w:p>
      <w:pPr>
        <w:pStyle w:val="16"/>
        <w:numPr>
          <w:ilvl w:val="0"/>
          <w:numId w:val="2"/>
        </w:numPr>
        <w:ind w:firstLineChars="0"/>
        <w:rPr>
          <w:color w:val="auto"/>
          <w:highlight w:val="none"/>
        </w:rPr>
      </w:pPr>
      <w:r>
        <w:rPr>
          <w:rFonts w:hint="eastAsia"/>
          <w:color w:val="auto"/>
          <w:highlight w:val="none"/>
        </w:rPr>
        <w:t>最高限价：本项目最高限价为</w:t>
      </w:r>
      <w:r>
        <w:rPr>
          <w:color w:val="auto"/>
          <w:highlight w:val="none"/>
        </w:rPr>
        <w:t>2</w:t>
      </w:r>
      <w:r>
        <w:rPr>
          <w:rFonts w:hint="eastAsia"/>
          <w:color w:val="auto"/>
          <w:highlight w:val="none"/>
        </w:rPr>
        <w:t>,850,000</w:t>
      </w:r>
      <w:r>
        <w:rPr>
          <w:color w:val="auto"/>
          <w:highlight w:val="none"/>
        </w:rPr>
        <w:t>.00</w:t>
      </w:r>
      <w:r>
        <w:rPr>
          <w:rFonts w:hint="eastAsia"/>
          <w:color w:val="auto"/>
          <w:highlight w:val="none"/>
        </w:rPr>
        <w:t>元</w:t>
      </w:r>
    </w:p>
    <w:p>
      <w:pPr>
        <w:pStyle w:val="16"/>
        <w:rPr>
          <w:color w:val="auto"/>
          <w:highlight w:val="none"/>
        </w:rPr>
      </w:pPr>
      <w:r>
        <w:rPr>
          <w:rFonts w:hint="eastAsia"/>
          <w:color w:val="auto"/>
          <w:highlight w:val="none"/>
        </w:rPr>
        <w:t>二、家具种类、规格、数量及技术要求</w:t>
      </w:r>
    </w:p>
    <w:p>
      <w:pPr>
        <w:pStyle w:val="16"/>
        <w:rPr>
          <w:color w:val="auto"/>
          <w:highlight w:val="none"/>
        </w:rPr>
      </w:pPr>
      <w:r>
        <w:rPr>
          <w:rFonts w:hint="eastAsia"/>
          <w:color w:val="auto"/>
          <w:highlight w:val="none"/>
        </w:rPr>
        <w:t>见附件表格</w:t>
      </w:r>
    </w:p>
    <w:p>
      <w:pPr>
        <w:pStyle w:val="16"/>
        <w:rPr>
          <w:color w:val="auto"/>
          <w:highlight w:val="none"/>
        </w:rPr>
      </w:pPr>
      <w:r>
        <w:rPr>
          <w:rFonts w:hint="eastAsia"/>
          <w:color w:val="auto"/>
          <w:highlight w:val="none"/>
        </w:rPr>
        <w:t>三、出样要求</w:t>
      </w:r>
    </w:p>
    <w:p>
      <w:pPr>
        <w:pStyle w:val="16"/>
        <w:rPr>
          <w:color w:val="auto"/>
          <w:highlight w:val="none"/>
        </w:rPr>
      </w:pPr>
      <w:r>
        <w:rPr>
          <w:rFonts w:hint="eastAsia"/>
          <w:color w:val="auto"/>
          <w:highlight w:val="none"/>
        </w:rPr>
        <w:t>1.投标实样送达地点：上大路99号，联系人：徐老师，联系电话：18918279381</w:t>
      </w:r>
    </w:p>
    <w:p>
      <w:pPr>
        <w:pStyle w:val="16"/>
        <w:rPr>
          <w:color w:val="auto"/>
          <w:highlight w:val="none"/>
        </w:rPr>
      </w:pPr>
      <w:r>
        <w:rPr>
          <w:rFonts w:hint="eastAsia"/>
          <w:color w:val="auto"/>
          <w:highlight w:val="none"/>
        </w:rPr>
        <w:t>2.实样接收时间：投标截止之日前3个工作日内的每天9点-16点间，完成实样送达及现场搭样，逾期不再接受任何实样。实样上应注明投标人的名称。</w:t>
      </w:r>
    </w:p>
    <w:p>
      <w:pPr>
        <w:pStyle w:val="16"/>
        <w:rPr>
          <w:color w:val="auto"/>
          <w:highlight w:val="none"/>
        </w:rPr>
      </w:pPr>
      <w:r>
        <w:rPr>
          <w:rFonts w:hint="eastAsia"/>
          <w:color w:val="auto"/>
          <w:highlight w:val="none"/>
        </w:rPr>
        <w:t>3. 投标实样内容及制作要求见上海大学学生公寓 OI楼家具采购需求。</w:t>
      </w:r>
    </w:p>
    <w:p>
      <w:pPr>
        <w:pStyle w:val="16"/>
        <w:rPr>
          <w:color w:val="auto"/>
          <w:highlight w:val="none"/>
        </w:rPr>
      </w:pPr>
      <w:r>
        <w:rPr>
          <w:rFonts w:hint="eastAsia"/>
          <w:color w:val="auto"/>
          <w:highlight w:val="none"/>
        </w:rPr>
        <w:t>中标样品交由采购人作为履约验收参考，最终产品使用的原辅材料不得低于样品的标准。</w:t>
      </w:r>
    </w:p>
    <w:p>
      <w:pPr>
        <w:pStyle w:val="16"/>
        <w:rPr>
          <w:color w:val="auto"/>
          <w:highlight w:val="none"/>
        </w:rPr>
      </w:pPr>
      <w:r>
        <w:rPr>
          <w:rFonts w:hint="eastAsia"/>
          <w:color w:val="auto"/>
          <w:highlight w:val="none"/>
        </w:rPr>
        <w:t>尺寸和规格可根据情况合理波动。投标人中标后需按照采购需求中要求的规格尺寸生产，不得影响交付正常使用</w:t>
      </w:r>
    </w:p>
    <w:p>
      <w:pPr>
        <w:pStyle w:val="16"/>
        <w:rPr>
          <w:color w:val="auto"/>
          <w:highlight w:val="none"/>
        </w:rPr>
      </w:pPr>
      <w:r>
        <w:rPr>
          <w:rFonts w:hint="eastAsia"/>
          <w:color w:val="auto"/>
          <w:highlight w:val="none"/>
        </w:rPr>
        <w:t>四、商务需求</w:t>
      </w:r>
    </w:p>
    <w:p>
      <w:pPr>
        <w:pStyle w:val="16"/>
        <w:rPr>
          <w:color w:val="auto"/>
          <w:highlight w:val="none"/>
        </w:rPr>
      </w:pPr>
      <w:r>
        <w:rPr>
          <w:rFonts w:hint="eastAsia"/>
          <w:color w:val="auto"/>
          <w:highlight w:val="none"/>
        </w:rPr>
        <w:t>1、验收要求：办公家具安装、调试后，由供、需双方按照合同约定对家具进行验收。验收包括清点型号、数量、检查外观等，供应商应当提供家具清单(各类家具分项开立并标注详细数量)、原产地证明、具出厂日期证明、家具环保证明等文件。</w:t>
      </w:r>
    </w:p>
    <w:p>
      <w:pPr>
        <w:pStyle w:val="16"/>
        <w:rPr>
          <w:color w:val="auto"/>
          <w:highlight w:val="none"/>
        </w:rPr>
      </w:pPr>
      <w:r>
        <w:rPr>
          <w:rFonts w:hint="eastAsia"/>
          <w:color w:val="auto"/>
          <w:highlight w:val="none"/>
        </w:rPr>
        <w:t>2、检测要求：正式验收前，采购人将委托第三方具有CMA资质的机构对家具进行质量和环保相关检测，抽样房间数量不低于19间寝室,若检测结果不合格，未达到国家标准，责成供货方于10个工作日内调换整改，直至检验合格为止，检测结果合格后开始正式验收，相关检测费用均由供货方承担，请供应商在报价时统一考虑。</w:t>
      </w:r>
    </w:p>
    <w:p>
      <w:pPr>
        <w:pStyle w:val="16"/>
        <w:rPr>
          <w:color w:val="auto"/>
          <w:highlight w:val="none"/>
        </w:rPr>
      </w:pPr>
      <w:r>
        <w:rPr>
          <w:rFonts w:hint="eastAsia"/>
          <w:color w:val="auto"/>
          <w:highlight w:val="none"/>
        </w:rPr>
        <w:t>3、质保维护要求：货物自验收合格之日起质保期不得低于120个月，投标单位可在满足以上要求的基础上自报质量保证期。保修期限自安装验收合格之日起开始计算。免费保修期内，除采购人因非正常使用造成家具损坏外，损坏维修以及所涉及的零部件更换，应当由供应商免费提供，供应商应当承诺每年对所供办公家具进行巡检。超过质保期后，收取成本费，免收服务费。对因人为损坏的产品保修，校方承担材料费，供货方负责修理。</w:t>
      </w:r>
    </w:p>
    <w:p>
      <w:pPr>
        <w:pStyle w:val="16"/>
        <w:rPr>
          <w:color w:val="auto"/>
          <w:highlight w:val="none"/>
        </w:rPr>
      </w:pPr>
      <w:bookmarkStart w:id="11" w:name="_GoBack"/>
      <w:bookmarkEnd w:id="11"/>
      <w:r>
        <w:rPr>
          <w:rFonts w:hint="eastAsia"/>
          <w:color w:val="auto"/>
          <w:highlight w:val="none"/>
        </w:rPr>
        <w:t>五、需执行的国家相关标准、行业标准或其他标准、规范</w:t>
      </w:r>
    </w:p>
    <w:p>
      <w:pPr>
        <w:pStyle w:val="16"/>
        <w:rPr>
          <w:color w:val="auto"/>
          <w:highlight w:val="none"/>
        </w:rPr>
      </w:pPr>
      <w:bookmarkStart w:id="0" w:name="_Toc8379"/>
      <w:bookmarkStart w:id="1" w:name="_Toc25898_WPSOffice_Level2"/>
      <w:r>
        <w:rPr>
          <w:rFonts w:hint="eastAsia"/>
          <w:color w:val="auto"/>
          <w:highlight w:val="none"/>
        </w:rPr>
        <w:t>（一）强制性标准</w:t>
      </w:r>
      <w:bookmarkEnd w:id="0"/>
      <w:bookmarkEnd w:id="1"/>
    </w:p>
    <w:p>
      <w:pPr>
        <w:pStyle w:val="16"/>
        <w:rPr>
          <w:color w:val="auto"/>
          <w:highlight w:val="none"/>
        </w:rPr>
      </w:pPr>
      <w:r>
        <w:rPr>
          <w:rFonts w:hint="eastAsia"/>
          <w:color w:val="auto"/>
          <w:highlight w:val="none"/>
        </w:rPr>
        <w:t>GB/T 3325《金属家具通用技术条件》；</w:t>
      </w:r>
    </w:p>
    <w:p>
      <w:pPr>
        <w:pStyle w:val="16"/>
        <w:rPr>
          <w:color w:val="auto"/>
          <w:highlight w:val="none"/>
        </w:rPr>
      </w:pPr>
      <w:r>
        <w:rPr>
          <w:rFonts w:hint="eastAsia"/>
          <w:color w:val="auto"/>
          <w:highlight w:val="none"/>
        </w:rPr>
        <w:t>GB 18583《室内装饰装修材料 胶粘剂中有害物质限量》；</w:t>
      </w:r>
    </w:p>
    <w:p>
      <w:pPr>
        <w:pStyle w:val="16"/>
        <w:rPr>
          <w:color w:val="auto"/>
          <w:highlight w:val="none"/>
        </w:rPr>
      </w:pPr>
      <w:r>
        <w:rPr>
          <w:rFonts w:hint="eastAsia"/>
          <w:color w:val="auto"/>
          <w:highlight w:val="none"/>
        </w:rPr>
        <w:t>GB 6566 《建筑材料放射性核素限量》；</w:t>
      </w:r>
    </w:p>
    <w:p>
      <w:pPr>
        <w:pStyle w:val="16"/>
        <w:rPr>
          <w:color w:val="auto"/>
          <w:highlight w:val="none"/>
        </w:rPr>
      </w:pPr>
      <w:r>
        <w:rPr>
          <w:rFonts w:hint="eastAsia"/>
          <w:color w:val="auto"/>
          <w:highlight w:val="none"/>
        </w:rPr>
        <w:t>GB 18584《室内装饰装修材料木家具中有害物质限量》；</w:t>
      </w:r>
    </w:p>
    <w:p>
      <w:pPr>
        <w:pStyle w:val="16"/>
        <w:rPr>
          <w:color w:val="auto"/>
          <w:highlight w:val="none"/>
        </w:rPr>
      </w:pPr>
      <w:r>
        <w:rPr>
          <w:rFonts w:hint="eastAsia"/>
          <w:color w:val="auto"/>
          <w:highlight w:val="none"/>
        </w:rPr>
        <w:t>GB 18580 《室内装饰装修材料人造板及其制品中甲醛释放限量》；</w:t>
      </w:r>
    </w:p>
    <w:p>
      <w:pPr>
        <w:pStyle w:val="16"/>
        <w:rPr>
          <w:color w:val="auto"/>
          <w:highlight w:val="none"/>
        </w:rPr>
      </w:pPr>
      <w:r>
        <w:rPr>
          <w:rFonts w:hint="eastAsia"/>
          <w:color w:val="auto"/>
          <w:highlight w:val="none"/>
        </w:rPr>
        <w:t>GB 18581《木器涂料中有害物质限量》；</w:t>
      </w:r>
    </w:p>
    <w:p>
      <w:pPr>
        <w:pStyle w:val="16"/>
        <w:rPr>
          <w:color w:val="auto"/>
          <w:highlight w:val="none"/>
        </w:rPr>
      </w:pPr>
      <w:r>
        <w:rPr>
          <w:rFonts w:hint="eastAsia"/>
          <w:color w:val="auto"/>
          <w:highlight w:val="none"/>
        </w:rPr>
        <w:t>GB18581《室内装饰装修材料溶剂型木器涂料中有害物质限量》；</w:t>
      </w:r>
    </w:p>
    <w:p>
      <w:pPr>
        <w:pStyle w:val="16"/>
        <w:rPr>
          <w:color w:val="auto"/>
          <w:highlight w:val="none"/>
        </w:rPr>
      </w:pPr>
      <w:r>
        <w:rPr>
          <w:rFonts w:hint="eastAsia"/>
          <w:color w:val="auto"/>
          <w:highlight w:val="none"/>
        </w:rPr>
        <w:t>GB 18401《国家纺织产品基本安全技术规范》；</w:t>
      </w:r>
    </w:p>
    <w:p>
      <w:pPr>
        <w:pStyle w:val="16"/>
        <w:rPr>
          <w:color w:val="auto"/>
          <w:highlight w:val="none"/>
        </w:rPr>
      </w:pPr>
      <w:r>
        <w:rPr>
          <w:rFonts w:hint="eastAsia"/>
          <w:color w:val="auto"/>
          <w:highlight w:val="none"/>
        </w:rPr>
        <w:t>GB 16799《家具用皮革》；</w:t>
      </w:r>
    </w:p>
    <w:p>
      <w:pPr>
        <w:pStyle w:val="16"/>
        <w:rPr>
          <w:color w:val="auto"/>
          <w:highlight w:val="none"/>
        </w:rPr>
      </w:pPr>
      <w:r>
        <w:rPr>
          <w:rFonts w:hint="eastAsia"/>
          <w:color w:val="auto"/>
          <w:highlight w:val="none"/>
        </w:rPr>
        <w:t>GB 28481《塑料家具中有害物质限量》。</w:t>
      </w:r>
    </w:p>
    <w:p>
      <w:pPr>
        <w:pStyle w:val="16"/>
        <w:rPr>
          <w:color w:val="auto"/>
          <w:highlight w:val="none"/>
        </w:rPr>
      </w:pPr>
      <w:bookmarkStart w:id="2" w:name="_Toc25730_WPSOffice_Level2"/>
      <w:bookmarkStart w:id="3" w:name="_Toc227555682"/>
      <w:bookmarkStart w:id="4" w:name="_Toc16007"/>
      <w:r>
        <w:rPr>
          <w:rFonts w:hint="eastAsia"/>
          <w:color w:val="auto"/>
          <w:highlight w:val="none"/>
        </w:rPr>
        <w:t>（二）质量及技术标准</w:t>
      </w:r>
      <w:bookmarkEnd w:id="2"/>
      <w:bookmarkEnd w:id="3"/>
      <w:bookmarkEnd w:id="4"/>
    </w:p>
    <w:p>
      <w:pPr>
        <w:pStyle w:val="16"/>
        <w:rPr>
          <w:color w:val="auto"/>
          <w:highlight w:val="none"/>
        </w:rPr>
      </w:pPr>
      <w:r>
        <w:rPr>
          <w:rFonts w:hint="eastAsia"/>
          <w:color w:val="auto"/>
          <w:highlight w:val="none"/>
        </w:rPr>
        <w:t>GB/T 39600 《浸渍胶膜纸饰面纤维板和刨花板》；</w:t>
      </w:r>
    </w:p>
    <w:p>
      <w:pPr>
        <w:pStyle w:val="16"/>
        <w:rPr>
          <w:color w:val="auto"/>
          <w:highlight w:val="none"/>
        </w:rPr>
      </w:pPr>
      <w:r>
        <w:rPr>
          <w:rFonts w:hint="eastAsia"/>
          <w:color w:val="auto"/>
          <w:highlight w:val="none"/>
        </w:rPr>
        <w:t xml:space="preserve">GB/T 35601《绿色产品评价 人造板和木质地板》；               </w:t>
      </w:r>
    </w:p>
    <w:p>
      <w:pPr>
        <w:pStyle w:val="16"/>
        <w:rPr>
          <w:color w:val="auto"/>
          <w:highlight w:val="none"/>
        </w:rPr>
      </w:pPr>
      <w:r>
        <w:rPr>
          <w:rFonts w:hint="eastAsia"/>
          <w:color w:val="auto"/>
          <w:highlight w:val="none"/>
        </w:rPr>
        <w:t>GB/T 17657 《人造板及饰面人造板理化性能试验方法》</w:t>
      </w:r>
    </w:p>
    <w:p>
      <w:pPr>
        <w:pStyle w:val="16"/>
        <w:rPr>
          <w:color w:val="auto"/>
          <w:highlight w:val="none"/>
        </w:rPr>
      </w:pPr>
      <w:r>
        <w:rPr>
          <w:rFonts w:hint="eastAsia"/>
          <w:color w:val="auto"/>
          <w:highlight w:val="none"/>
        </w:rPr>
        <w:t>GB/T 28481《塑料家具中有害物质限量》</w:t>
      </w:r>
    </w:p>
    <w:p>
      <w:pPr>
        <w:pStyle w:val="16"/>
        <w:rPr>
          <w:color w:val="auto"/>
          <w:highlight w:val="none"/>
        </w:rPr>
      </w:pPr>
      <w:r>
        <w:rPr>
          <w:rFonts w:hint="eastAsia"/>
          <w:color w:val="auto"/>
          <w:highlight w:val="none"/>
        </w:rPr>
        <w:t>GB/T 35601《绿色产品评价 人造板和木质地板》；</w:t>
      </w:r>
    </w:p>
    <w:p>
      <w:pPr>
        <w:pStyle w:val="16"/>
        <w:rPr>
          <w:color w:val="auto"/>
          <w:highlight w:val="none"/>
        </w:rPr>
      </w:pPr>
      <w:r>
        <w:rPr>
          <w:rFonts w:hint="eastAsia"/>
          <w:color w:val="auto"/>
          <w:highlight w:val="none"/>
        </w:rPr>
        <w:t>QB/T2454《家具五金 杯状暗铰链》；</w:t>
      </w:r>
    </w:p>
    <w:p>
      <w:pPr>
        <w:pStyle w:val="16"/>
        <w:rPr>
          <w:color w:val="auto"/>
          <w:highlight w:val="none"/>
        </w:rPr>
      </w:pPr>
      <w:r>
        <w:rPr>
          <w:rFonts w:hint="eastAsia"/>
          <w:color w:val="auto"/>
          <w:highlight w:val="none"/>
        </w:rPr>
        <w:t>GB/T 1621《家具锁》；</w:t>
      </w:r>
    </w:p>
    <w:p>
      <w:pPr>
        <w:pStyle w:val="16"/>
        <w:rPr>
          <w:color w:val="auto"/>
          <w:highlight w:val="none"/>
        </w:rPr>
      </w:pPr>
      <w:r>
        <w:rPr>
          <w:rFonts w:hint="eastAsia"/>
          <w:color w:val="auto"/>
          <w:highlight w:val="none"/>
        </w:rPr>
        <w:t>GB/T 2454 《家具五金 抽屉导轨》；</w:t>
      </w:r>
    </w:p>
    <w:p>
      <w:pPr>
        <w:pStyle w:val="16"/>
        <w:rPr>
          <w:color w:val="auto"/>
          <w:highlight w:val="none"/>
        </w:rPr>
      </w:pPr>
      <w:r>
        <w:rPr>
          <w:rFonts w:hint="eastAsia"/>
          <w:color w:val="auto"/>
          <w:highlight w:val="none"/>
        </w:rPr>
        <w:t>GB/T 3325 《金属家具通用技术条件》；</w:t>
      </w:r>
    </w:p>
    <w:p>
      <w:pPr>
        <w:pStyle w:val="16"/>
        <w:rPr>
          <w:color w:val="auto"/>
          <w:highlight w:val="none"/>
        </w:rPr>
      </w:pPr>
      <w:r>
        <w:rPr>
          <w:rFonts w:hint="eastAsia"/>
          <w:color w:val="auto"/>
          <w:highlight w:val="none"/>
        </w:rPr>
        <w:t>GB/T 35607《绿色产品评价 家具》；</w:t>
      </w:r>
    </w:p>
    <w:p>
      <w:pPr>
        <w:pStyle w:val="16"/>
        <w:rPr>
          <w:color w:val="auto"/>
          <w:highlight w:val="none"/>
        </w:rPr>
      </w:pPr>
      <w:r>
        <w:rPr>
          <w:rFonts w:hint="eastAsia"/>
          <w:color w:val="auto"/>
          <w:highlight w:val="none"/>
        </w:rPr>
        <w:t>GB/T 3324《木家具通用技术条件》；</w:t>
      </w:r>
    </w:p>
    <w:p>
      <w:pPr>
        <w:pStyle w:val="16"/>
        <w:rPr>
          <w:color w:val="auto"/>
          <w:highlight w:val="none"/>
        </w:rPr>
      </w:pPr>
      <w:r>
        <w:rPr>
          <w:rFonts w:hint="eastAsia"/>
          <w:color w:val="auto"/>
          <w:highlight w:val="none"/>
        </w:rPr>
        <w:t>QB/T 4463《家具用封边条技术要求》</w:t>
      </w:r>
    </w:p>
    <w:p>
      <w:pPr>
        <w:pStyle w:val="16"/>
        <w:rPr>
          <w:color w:val="auto"/>
          <w:highlight w:val="none"/>
        </w:rPr>
      </w:pPr>
      <w:r>
        <w:rPr>
          <w:rFonts w:hint="eastAsia"/>
          <w:color w:val="auto"/>
          <w:highlight w:val="none"/>
        </w:rPr>
        <w:t>QB/T 1952.1《软体家具 沙发》</w:t>
      </w:r>
    </w:p>
    <w:p>
      <w:pPr>
        <w:pStyle w:val="5"/>
        <w:ind w:left="1470" w:leftChars="200" w:hanging="1050" w:hangingChars="500"/>
        <w:rPr>
          <w:rFonts w:ascii="宋体" w:hAnsi="宋体" w:eastAsia="宋体" w:cstheme="minorEastAsia"/>
          <w:color w:val="auto"/>
          <w:sz w:val="21"/>
          <w:szCs w:val="21"/>
          <w:highlight w:val="none"/>
        </w:rPr>
      </w:pPr>
      <w:r>
        <w:rPr>
          <w:rFonts w:hint="eastAsia" w:ascii="宋体" w:hAnsi="宋体" w:eastAsia="宋体" w:cstheme="minorEastAsia"/>
          <w:color w:val="auto"/>
          <w:sz w:val="21"/>
          <w:szCs w:val="21"/>
          <w:highlight w:val="none"/>
        </w:rPr>
        <w:t xml:space="preserve">QB/T 2280 《办公家具办公椅》                                      </w:t>
      </w:r>
    </w:p>
    <w:p>
      <w:pPr>
        <w:pStyle w:val="5"/>
        <w:ind w:left="0" w:leftChars="0" w:firstLine="420" w:firstLineChars="200"/>
        <w:rPr>
          <w:rFonts w:ascii="宋体" w:hAnsi="宋体" w:eastAsia="宋体" w:cstheme="minorEastAsia"/>
          <w:color w:val="auto"/>
          <w:sz w:val="21"/>
          <w:szCs w:val="21"/>
          <w:highlight w:val="none"/>
        </w:rPr>
      </w:pPr>
      <w:r>
        <w:rPr>
          <w:rFonts w:hint="eastAsia" w:ascii="宋体" w:hAnsi="宋体" w:eastAsia="宋体" w:cstheme="minorEastAsia"/>
          <w:color w:val="auto"/>
          <w:sz w:val="21"/>
          <w:szCs w:val="21"/>
          <w:highlight w:val="none"/>
        </w:rPr>
        <w:t>GB/T 4670 《吧椅》；</w:t>
      </w:r>
    </w:p>
    <w:p>
      <w:pPr>
        <w:pStyle w:val="5"/>
        <w:ind w:left="0" w:leftChars="0" w:firstLine="420" w:firstLineChars="200"/>
        <w:rPr>
          <w:rFonts w:ascii="宋体" w:hAnsi="宋体" w:eastAsia="宋体" w:cstheme="minorEastAsia"/>
          <w:color w:val="auto"/>
          <w:sz w:val="21"/>
          <w:szCs w:val="21"/>
          <w:highlight w:val="none"/>
        </w:rPr>
      </w:pPr>
      <w:r>
        <w:rPr>
          <w:rFonts w:hint="eastAsia" w:ascii="宋体" w:hAnsi="宋体" w:eastAsia="宋体" w:cstheme="minorEastAsia"/>
          <w:color w:val="auto"/>
          <w:sz w:val="21"/>
          <w:szCs w:val="21"/>
          <w:highlight w:val="none"/>
        </w:rPr>
        <w:t>GB/T 16799《家具用皮革》。</w:t>
      </w:r>
    </w:p>
    <w:p>
      <w:pPr>
        <w:pStyle w:val="16"/>
        <w:rPr>
          <w:color w:val="auto"/>
          <w:highlight w:val="none"/>
        </w:rPr>
      </w:pPr>
      <w:r>
        <w:rPr>
          <w:rFonts w:hint="eastAsia"/>
          <w:color w:val="auto"/>
          <w:highlight w:val="none"/>
        </w:rPr>
        <w:t>HG/T2006</w:t>
      </w:r>
      <w:r>
        <w:rPr>
          <w:rFonts w:hint="eastAsia" w:cstheme="minorEastAsia"/>
          <w:color w:val="auto"/>
          <w:sz w:val="21"/>
          <w:szCs w:val="21"/>
          <w:highlight w:val="none"/>
        </w:rPr>
        <w:t>《</w:t>
      </w:r>
      <w:r>
        <w:rPr>
          <w:rFonts w:hint="eastAsia"/>
          <w:color w:val="auto"/>
          <w:highlight w:val="none"/>
        </w:rPr>
        <w:t>热固性粉末涂料检测项目</w:t>
      </w:r>
      <w:r>
        <w:rPr>
          <w:rFonts w:hint="eastAsia" w:cstheme="minorEastAsia"/>
          <w:color w:val="auto"/>
          <w:sz w:val="21"/>
          <w:szCs w:val="21"/>
          <w:highlight w:val="none"/>
        </w:rPr>
        <w:t>》</w:t>
      </w:r>
    </w:p>
    <w:p>
      <w:pPr>
        <w:pStyle w:val="16"/>
        <w:rPr>
          <w:color w:val="auto"/>
          <w:highlight w:val="none"/>
        </w:rPr>
      </w:pPr>
      <w:r>
        <w:rPr>
          <w:rFonts w:hint="eastAsia"/>
          <w:color w:val="auto"/>
          <w:highlight w:val="none"/>
        </w:rPr>
        <w:t>GB/T33372《胶粘剂挥发性有机化合物限量标准》</w:t>
      </w:r>
      <w:r>
        <w:rPr>
          <w:rFonts w:hint="eastAsia"/>
          <w:color w:val="auto"/>
          <w:highlight w:val="none"/>
        </w:rPr>
        <w:tab/>
      </w:r>
    </w:p>
    <w:p>
      <w:pPr>
        <w:pStyle w:val="16"/>
        <w:rPr>
          <w:color w:val="auto"/>
          <w:highlight w:val="none"/>
        </w:rPr>
      </w:pPr>
      <w:r>
        <w:rPr>
          <w:rFonts w:hint="eastAsia"/>
          <w:color w:val="auto"/>
          <w:highlight w:val="none"/>
        </w:rPr>
        <w:t>QB/T 3826-1999《轻工产品金属镀层和化学处理层的耐腐蚀试验方法中性盐雾试验(NSS)法》。</w:t>
      </w:r>
    </w:p>
    <w:p>
      <w:pPr>
        <w:pStyle w:val="16"/>
        <w:rPr>
          <w:color w:val="auto"/>
          <w:highlight w:val="none"/>
        </w:rPr>
      </w:pPr>
      <w:r>
        <w:rPr>
          <w:rFonts w:hint="eastAsia"/>
          <w:color w:val="auto"/>
          <w:highlight w:val="none"/>
        </w:rPr>
        <w:t>及其他与本次采购的家具相关的现行最新标准。上述标准均指最新版本。</w:t>
      </w:r>
    </w:p>
    <w:p>
      <w:pPr>
        <w:pStyle w:val="16"/>
        <w:rPr>
          <w:color w:val="auto"/>
          <w:highlight w:val="none"/>
        </w:rPr>
      </w:pPr>
      <w:r>
        <w:rPr>
          <w:rFonts w:hint="eastAsia"/>
          <w:color w:val="auto"/>
          <w:highlight w:val="none"/>
        </w:rPr>
        <w:t>六、原材料及成品要求:</w:t>
      </w:r>
    </w:p>
    <w:p>
      <w:pPr>
        <w:pStyle w:val="16"/>
        <w:rPr>
          <w:color w:val="auto"/>
          <w:highlight w:val="none"/>
        </w:rPr>
      </w:pPr>
      <w:r>
        <w:rPr>
          <w:rFonts w:hint="eastAsia"/>
          <w:color w:val="auto"/>
          <w:highlight w:val="none"/>
        </w:rPr>
        <w:t>1、原材料要求：</w:t>
      </w:r>
    </w:p>
    <w:p>
      <w:pPr>
        <w:spacing w:line="360" w:lineRule="auto"/>
        <w:rPr>
          <w:rFonts w:ascii="宋体" w:hAnsi="宋体" w:eastAsia="宋体" w:cs="宋体"/>
          <w:color w:val="auto"/>
          <w:sz w:val="24"/>
          <w:szCs w:val="24"/>
          <w:highlight w:val="none"/>
        </w:rPr>
      </w:pPr>
      <w:r>
        <w:rPr>
          <w:rFonts w:ascii="宋体" w:hAnsi="宋体" w:eastAsia="宋体" w:cs="宋体"/>
          <w:color w:val="auto"/>
          <w:sz w:val="24"/>
          <w:highlight w:val="none"/>
        </w:rPr>
        <w:t>(</w:t>
      </w:r>
      <w:r>
        <w:rPr>
          <w:rFonts w:hint="eastAsia" w:ascii="宋体" w:hAnsi="宋体" w:eastAsia="宋体" w:cs="宋体"/>
          <w:color w:val="auto"/>
          <w:sz w:val="24"/>
          <w:highlight w:val="none"/>
        </w:rPr>
        <w:t>1</w:t>
      </w:r>
      <w:r>
        <w:rPr>
          <w:rFonts w:ascii="宋体" w:hAnsi="宋体" w:eastAsia="宋体" w:cs="宋体"/>
          <w:color w:val="auto"/>
          <w:sz w:val="24"/>
          <w:highlight w:val="none"/>
        </w:rPr>
        <w:t>)</w:t>
      </w:r>
      <w:r>
        <w:rPr>
          <w:rFonts w:hint="eastAsia" w:ascii="宋体" w:hAnsi="宋体" w:eastAsia="宋体" w:cs="宋体"/>
          <w:color w:val="auto"/>
          <w:sz w:val="24"/>
          <w:highlight w:val="none"/>
        </w:rPr>
        <w:t>ENF级三聚氰胺饰面实木多层板：依据GB/T 39600-2021《人造板及其制品甲醛释放量分级》</w:t>
      </w:r>
      <w:r>
        <w:rPr>
          <w:rFonts w:hint="eastAsia" w:ascii="宋体" w:hAnsi="宋体" w:eastAsia="宋体" w:cs="宋体"/>
          <w:color w:val="auto"/>
          <w:highlight w:val="none"/>
        </w:rPr>
        <w:t>▲</w:t>
      </w:r>
      <w:r>
        <w:rPr>
          <w:rFonts w:hint="eastAsia" w:ascii="宋体" w:hAnsi="宋体" w:eastAsia="宋体" w:cs="宋体"/>
          <w:color w:val="auto"/>
          <w:sz w:val="24"/>
          <w:highlight w:val="none"/>
        </w:rPr>
        <w:t>甲醛释放量：≤0.025mg/m³，HJ 571-2010《环境标志产品技术要求人造板及其制品》，总挥发性有机化合物(TVOC)的释放率</w:t>
      </w:r>
      <w:r>
        <w:rPr>
          <w:rFonts w:hint="eastAsia" w:ascii="宋体" w:hAnsi="宋体" w:eastAsia="宋体" w:cs="宋体"/>
          <w:color w:val="auto"/>
          <w:sz w:val="24"/>
          <w:szCs w:val="24"/>
          <w:highlight w:val="none"/>
          <w:shd w:val="clear" w:color="auto" w:fill="FFFFFF"/>
        </w:rPr>
        <w:t>0.5mg/m·h(</w:t>
      </w:r>
      <w:r>
        <w:rPr>
          <w:rStyle w:val="12"/>
          <w:rFonts w:hint="eastAsia" w:ascii="宋体" w:hAnsi="宋体" w:eastAsia="宋体" w:cs="宋体"/>
          <w:i w:val="0"/>
          <w:color w:val="auto"/>
          <w:sz w:val="24"/>
          <w:szCs w:val="24"/>
          <w:highlight w:val="none"/>
          <w:shd w:val="clear" w:color="auto" w:fill="FFFFFF"/>
        </w:rPr>
        <w:t>72h)</w:t>
      </w:r>
    </w:p>
    <w:p>
      <w:pPr>
        <w:spacing w:line="360" w:lineRule="auto"/>
        <w:rPr>
          <w:rFonts w:ascii="宋体" w:hAnsi="宋体" w:eastAsia="宋体" w:cs="宋体"/>
          <w:color w:val="auto"/>
          <w:sz w:val="24"/>
          <w:highlight w:val="none"/>
        </w:rPr>
      </w:pPr>
      <w:r>
        <w:rPr>
          <w:rFonts w:ascii="宋体" w:hAnsi="宋体" w:eastAsia="宋体" w:cs="宋体"/>
          <w:color w:val="auto"/>
          <w:sz w:val="24"/>
          <w:highlight w:val="none"/>
        </w:rPr>
        <w:t>(2)</w:t>
      </w:r>
      <w:r>
        <w:rPr>
          <w:rFonts w:hint="eastAsia" w:ascii="宋体" w:hAnsi="宋体" w:eastAsia="宋体" w:cs="宋体"/>
          <w:color w:val="auto"/>
          <w:sz w:val="24"/>
          <w:highlight w:val="none"/>
        </w:rPr>
        <w:t>塑粉：</w:t>
      </w:r>
      <w:bookmarkStart w:id="5" w:name="OLE_LINK3"/>
      <w:bookmarkStart w:id="6" w:name="OLE_LINK4"/>
      <w:r>
        <w:rPr>
          <w:rFonts w:hint="eastAsia" w:ascii="宋体" w:hAnsi="宋体" w:eastAsia="宋体" w:cs="宋体"/>
          <w:color w:val="auto"/>
          <w:sz w:val="24"/>
          <w:highlight w:val="none"/>
        </w:rPr>
        <w:t>依据HG/T 2006-2022</w:t>
      </w:r>
      <w:bookmarkEnd w:id="5"/>
      <w:bookmarkEnd w:id="6"/>
      <w:bookmarkStart w:id="7" w:name="OLE_LINK5"/>
      <w:bookmarkStart w:id="8" w:name="OLE_LINK6"/>
      <w:r>
        <w:rPr>
          <w:rFonts w:hint="eastAsia" w:ascii="宋体" w:hAnsi="宋体" w:eastAsia="宋体" w:cs="宋体"/>
          <w:color w:val="auto"/>
          <w:sz w:val="24"/>
          <w:highlight w:val="none"/>
        </w:rPr>
        <w:t>热固性粉末涂料现行标准</w:t>
      </w:r>
      <w:bookmarkEnd w:id="7"/>
      <w:bookmarkEnd w:id="8"/>
      <w:r>
        <w:rPr>
          <w:rFonts w:hint="eastAsia" w:ascii="宋体" w:hAnsi="宋体" w:eastAsia="宋体" w:cs="宋体"/>
          <w:color w:val="auto"/>
          <w:sz w:val="24"/>
          <w:highlight w:val="none"/>
        </w:rPr>
        <w:t>，</w:t>
      </w:r>
      <w:r>
        <w:rPr>
          <w:rFonts w:hint="eastAsia" w:ascii="宋体" w:hAnsi="宋体" w:eastAsia="宋体" w:cs="宋体"/>
          <w:color w:val="auto"/>
          <w:highlight w:val="none"/>
        </w:rPr>
        <w:t>▲</w:t>
      </w:r>
      <w:r>
        <w:rPr>
          <w:rFonts w:hint="eastAsia" w:ascii="宋体" w:hAnsi="宋体" w:eastAsia="宋体" w:cs="宋体"/>
          <w:color w:val="auto"/>
          <w:sz w:val="24"/>
          <w:szCs w:val="24"/>
          <w:highlight w:val="none"/>
        </w:rPr>
        <w:t>理化性能：</w:t>
      </w:r>
      <w:r>
        <w:rPr>
          <w:rFonts w:hint="eastAsia" w:ascii="宋体" w:hAnsi="宋体" w:eastAsia="宋体" w:cs="宋体"/>
          <w:color w:val="auto"/>
          <w:sz w:val="24"/>
          <w:highlight w:val="none"/>
        </w:rPr>
        <w:t>金属喷塑涂层的附着力不低于2级。</w:t>
      </w:r>
    </w:p>
    <w:p>
      <w:pPr>
        <w:spacing w:line="360" w:lineRule="auto"/>
        <w:rPr>
          <w:rFonts w:ascii="宋体" w:hAnsi="宋体" w:eastAsia="宋体" w:cs="宋体"/>
          <w:color w:val="auto"/>
          <w:sz w:val="24"/>
          <w:szCs w:val="24"/>
          <w:highlight w:val="none"/>
        </w:rPr>
      </w:pPr>
      <w:r>
        <w:rPr>
          <w:rFonts w:ascii="宋体" w:hAnsi="宋体" w:eastAsia="宋体" w:cs="宋体"/>
          <w:color w:val="auto"/>
          <w:sz w:val="24"/>
          <w:highlight w:val="none"/>
        </w:rPr>
        <w:t>(3)</w:t>
      </w:r>
      <w:r>
        <w:rPr>
          <w:rFonts w:hint="eastAsia" w:ascii="宋体" w:hAnsi="宋体" w:eastAsia="宋体" w:cs="宋体"/>
          <w:color w:val="auto"/>
          <w:sz w:val="24"/>
          <w:highlight w:val="none"/>
        </w:rPr>
        <w:t>E0级三聚氰胺饰面刨花板：依据GB/T 39600-2021《人造板及其制品甲醛释放量分级》</w:t>
      </w:r>
      <w:r>
        <w:rPr>
          <w:rFonts w:hint="eastAsia" w:ascii="宋体" w:hAnsi="宋体" w:eastAsia="宋体" w:cs="宋体"/>
          <w:color w:val="auto"/>
          <w:highlight w:val="none"/>
        </w:rPr>
        <w:t>▲</w:t>
      </w:r>
      <w:r>
        <w:rPr>
          <w:rFonts w:hint="eastAsia" w:ascii="宋体" w:hAnsi="宋体" w:eastAsia="宋体" w:cs="宋体"/>
          <w:color w:val="auto"/>
          <w:sz w:val="24"/>
          <w:highlight w:val="none"/>
        </w:rPr>
        <w:t>甲醛释放量：≤ 0.05mg/m³，HJ571-2010《环境标志产品技术要求人造板及其制品》，总挥发性有机化合物(TVOC)的释放率</w:t>
      </w:r>
      <w:r>
        <w:rPr>
          <w:rFonts w:hint="eastAsia" w:ascii="宋体" w:hAnsi="宋体" w:eastAsia="宋体" w:cs="宋体"/>
          <w:color w:val="auto"/>
          <w:sz w:val="24"/>
          <w:szCs w:val="24"/>
          <w:highlight w:val="none"/>
          <w:shd w:val="clear" w:color="auto" w:fill="FFFFFF"/>
        </w:rPr>
        <w:t>0.5mg/m·h(</w:t>
      </w:r>
      <w:r>
        <w:rPr>
          <w:rStyle w:val="12"/>
          <w:rFonts w:hint="eastAsia" w:ascii="宋体" w:hAnsi="宋体" w:eastAsia="宋体" w:cs="宋体"/>
          <w:i w:val="0"/>
          <w:color w:val="auto"/>
          <w:sz w:val="24"/>
          <w:szCs w:val="24"/>
          <w:highlight w:val="none"/>
          <w:shd w:val="clear" w:color="auto" w:fill="FFFFFF"/>
        </w:rPr>
        <w:t>72h)</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(4)床立柱钢管：▲符合QB/T3826-1999《轻工产品金属镀层和化学处理层的耐腐蚀试验方法中性盐雾试验(NSS)法》连续喷雾24H镀层基本保护等级达到10级、耐腐蚀等级达到10级。</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(5)ABS无缝防水封边条:依据QB/T4463《家具用封边条技术要求》</w:t>
      </w:r>
      <w:r>
        <w:rPr>
          <w:rFonts w:hint="eastAsia" w:ascii="宋体" w:hAnsi="宋体" w:eastAsia="宋体" w:cs="宋体"/>
          <w:color w:val="auto"/>
          <w:highlight w:val="none"/>
        </w:rPr>
        <w:t>▲</w:t>
      </w:r>
      <w:r>
        <w:rPr>
          <w:rFonts w:hint="eastAsia" w:ascii="宋体" w:hAnsi="宋体" w:eastAsia="宋体" w:cs="宋体"/>
          <w:color w:val="auto"/>
          <w:sz w:val="24"/>
          <w:highlight w:val="none"/>
        </w:rPr>
        <w:t>甲醛释放量≤1.5mg/L，耐磨性和耐开裂性均为合格.</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(6)环保封边胶：</w:t>
      </w:r>
      <w:r>
        <w:rPr>
          <w:rFonts w:hint="eastAsia" w:ascii="宋体" w:hAnsi="宋体" w:eastAsia="宋体" w:cs="宋体"/>
          <w:color w:val="auto"/>
          <w:highlight w:val="none"/>
        </w:rPr>
        <w:t>▲</w:t>
      </w:r>
      <w:r>
        <w:rPr>
          <w:rFonts w:hint="eastAsia" w:ascii="宋体" w:hAnsi="宋体" w:eastAsia="宋体" w:cs="宋体"/>
          <w:color w:val="auto"/>
          <w:sz w:val="24"/>
          <w:highlight w:val="none"/>
        </w:rPr>
        <w:t>依据GB/T33372-2020《胶粘剂挥发性有机化合物限量标准》胶粘剂VOC含量限量聚氨酯类≤50g/kg。依据GB18583-2008建筑胶粘剂中有毒有害物质限量游离甲苯二异氰酸酯-聚氨酯类≤50g/kg。</w:t>
      </w:r>
    </w:p>
    <w:p>
      <w:pPr>
        <w:spacing w:line="360" w:lineRule="auto"/>
        <w:rPr>
          <w:rFonts w:ascii="宋体" w:hAnsi="宋体" w:eastAsia="宋体" w:cs="宋体"/>
          <w:color w:val="auto"/>
          <w:sz w:val="24"/>
          <w:highlight w:val="none"/>
        </w:rPr>
      </w:pPr>
      <w:r>
        <w:rPr>
          <w:rFonts w:ascii="宋体" w:hAnsi="宋体" w:eastAsia="宋体" w:cs="宋体"/>
          <w:color w:val="auto"/>
          <w:sz w:val="24"/>
          <w:highlight w:val="none"/>
        </w:rPr>
        <w:t>(7)</w:t>
      </w:r>
      <w:r>
        <w:rPr>
          <w:rFonts w:hint="eastAsia" w:ascii="宋体" w:hAnsi="宋体" w:eastAsia="宋体" w:cs="宋体"/>
          <w:color w:val="auto"/>
          <w:sz w:val="24"/>
          <w:highlight w:val="none"/>
        </w:rPr>
        <w:t>导轨：符合</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QB/T2454-2013耐腐蚀</w:t>
      </w:r>
      <w:r>
        <w:rPr>
          <w:rFonts w:hint="eastAsia" w:ascii="宋体" w:hAnsi="宋体" w:eastAsia="宋体" w:cs="宋体"/>
          <w:color w:val="auto"/>
          <w:highlight w:val="none"/>
        </w:rPr>
        <w:t>▲</w:t>
      </w:r>
      <w:r>
        <w:rPr>
          <w:rFonts w:hint="eastAsia" w:ascii="宋体" w:hAnsi="宋体" w:eastAsia="宋体" w:cs="宋体"/>
          <w:color w:val="auto"/>
          <w:sz w:val="24"/>
          <w:highlight w:val="none"/>
        </w:rPr>
        <w:t xml:space="preserve"> 耐久性不低于8万次。</w:t>
      </w:r>
    </w:p>
    <w:p>
      <w:pPr>
        <w:spacing w:line="360" w:lineRule="auto"/>
        <w:rPr>
          <w:rFonts w:ascii="宋体" w:hAnsi="宋体" w:eastAsia="宋体" w:cs="宋体"/>
          <w:color w:val="auto"/>
          <w:sz w:val="24"/>
          <w:highlight w:val="none"/>
        </w:rPr>
      </w:pPr>
      <w:r>
        <w:rPr>
          <w:rFonts w:ascii="宋体" w:hAnsi="宋体" w:eastAsia="宋体" w:cs="宋体"/>
          <w:color w:val="auto"/>
          <w:sz w:val="24"/>
          <w:highlight w:val="none"/>
        </w:rPr>
        <w:t>(8)</w:t>
      </w:r>
      <w:r>
        <w:rPr>
          <w:rFonts w:hint="eastAsia" w:ascii="宋体" w:hAnsi="宋体" w:eastAsia="宋体" w:cs="宋体"/>
          <w:color w:val="auto"/>
          <w:sz w:val="24"/>
          <w:highlight w:val="none"/>
        </w:rPr>
        <w:t>铰链：符合</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QB/T2454-2013耐腐蚀 </w:t>
      </w:r>
      <w:r>
        <w:rPr>
          <w:rFonts w:hint="eastAsia" w:ascii="宋体" w:hAnsi="宋体" w:eastAsia="宋体" w:cs="宋体"/>
          <w:color w:val="auto"/>
          <w:highlight w:val="none"/>
        </w:rPr>
        <w:t>▲</w:t>
      </w:r>
      <w:r>
        <w:rPr>
          <w:rFonts w:hint="eastAsia" w:ascii="宋体" w:hAnsi="宋体" w:eastAsia="宋体" w:cs="宋体"/>
          <w:color w:val="auto"/>
          <w:sz w:val="24"/>
          <w:highlight w:val="none"/>
        </w:rPr>
        <w:t>耐久性不低于8万次。</w:t>
      </w:r>
    </w:p>
    <w:p>
      <w:pPr>
        <w:spacing w:line="360" w:lineRule="auto"/>
        <w:rPr>
          <w:rFonts w:ascii="宋体" w:hAnsi="宋体" w:eastAsia="宋体" w:cs="宋体"/>
          <w:color w:val="auto"/>
          <w:kern w:val="0"/>
          <w:sz w:val="24"/>
          <w:highlight w:val="none"/>
        </w:rPr>
      </w:pPr>
      <w:r>
        <w:rPr>
          <w:rFonts w:ascii="宋体" w:hAnsi="宋体" w:eastAsia="宋体" w:cs="宋体"/>
          <w:color w:val="auto"/>
          <w:sz w:val="24"/>
          <w:highlight w:val="none"/>
        </w:rPr>
        <w:t>(9)</w:t>
      </w:r>
      <w:r>
        <w:rPr>
          <w:rFonts w:hint="eastAsia" w:ascii="宋体" w:hAnsi="宋体" w:eastAsia="宋体" w:cs="宋体"/>
          <w:color w:val="auto"/>
          <w:sz w:val="24"/>
          <w:highlight w:val="none"/>
        </w:rPr>
        <w:t>海绵：</w:t>
      </w:r>
      <w:r>
        <w:rPr>
          <w:rFonts w:hint="eastAsia" w:ascii="宋体" w:hAnsi="宋体" w:eastAsia="宋体" w:cs="宋体"/>
          <w:color w:val="auto"/>
          <w:highlight w:val="none"/>
        </w:rPr>
        <w:t>▲</w:t>
      </w:r>
      <w:r>
        <w:rPr>
          <w:rFonts w:hint="eastAsia" w:ascii="宋体" w:hAnsi="宋体" w:eastAsia="宋体" w:cs="宋体"/>
          <w:color w:val="auto"/>
          <w:kern w:val="0"/>
          <w:sz w:val="24"/>
          <w:highlight w:val="none"/>
        </w:rPr>
        <w:t>符合GB</w:t>
      </w:r>
      <w:bookmarkStart w:id="9" w:name="OLE_LINK1"/>
      <w:bookmarkStart w:id="10" w:name="OLE_LINK2"/>
      <w:r>
        <w:rPr>
          <w:rFonts w:hint="eastAsia" w:ascii="宋体" w:hAnsi="宋体" w:eastAsia="宋体" w:cs="宋体"/>
          <w:color w:val="auto"/>
          <w:kern w:val="0"/>
          <w:sz w:val="24"/>
          <w:highlight w:val="none"/>
        </w:rPr>
        <w:t>/T6670-2008</w:t>
      </w:r>
      <w:bookmarkEnd w:id="9"/>
      <w:bookmarkEnd w:id="10"/>
      <w:r>
        <w:rPr>
          <w:rFonts w:hint="eastAsia" w:ascii="宋体" w:hAnsi="宋体" w:eastAsia="宋体" w:cs="宋体"/>
          <w:color w:val="auto"/>
          <w:kern w:val="0"/>
          <w:sz w:val="24"/>
          <w:highlight w:val="none"/>
        </w:rPr>
        <w:t>回弹率≥35%</w:t>
      </w:r>
    </w:p>
    <w:p>
      <w:pPr>
        <w:spacing w:line="360" w:lineRule="auto"/>
        <w:rPr>
          <w:rFonts w:ascii="宋体" w:hAnsi="宋体" w:eastAsia="宋体" w:cs="宋体"/>
          <w:color w:val="auto"/>
          <w:kern w:val="0"/>
          <w:sz w:val="24"/>
          <w:highlight w:val="none"/>
        </w:rPr>
      </w:pPr>
      <w:r>
        <w:rPr>
          <w:rFonts w:ascii="宋体" w:hAnsi="宋体" w:eastAsia="宋体" w:cs="宋体"/>
          <w:color w:val="auto"/>
          <w:kern w:val="0"/>
          <w:sz w:val="24"/>
          <w:highlight w:val="none"/>
        </w:rPr>
        <w:t>(10)</w:t>
      </w:r>
      <w:r>
        <w:rPr>
          <w:rFonts w:hint="eastAsia" w:ascii="宋体" w:hAnsi="宋体" w:eastAsia="宋体" w:cs="宋体"/>
          <w:color w:val="auto"/>
          <w:sz w:val="24"/>
          <w:szCs w:val="24"/>
          <w:highlight w:val="none"/>
        </w:rPr>
        <w:t>锁具：符合QB/T3832-1999、QB/T3826-1999、QB/T3827-1999、QB/T1621-2015、QB/T3827-1999标准，▲其中金属表面耐腐蚀-中性盐雾试验</w:t>
      </w:r>
      <w:r>
        <w:rPr>
          <w:rFonts w:ascii="宋体" w:hAnsi="宋体" w:eastAsia="宋体" w:cs="宋体"/>
          <w:color w:val="auto"/>
          <w:sz w:val="24"/>
          <w:szCs w:val="24"/>
          <w:highlight w:val="none"/>
        </w:rPr>
        <w:t>1</w:t>
      </w:r>
      <w:r>
        <w:rPr>
          <w:rFonts w:hint="eastAsia" w:ascii="宋体" w:hAnsi="宋体" w:eastAsia="宋体" w:cs="宋体"/>
          <w:color w:val="auto"/>
          <w:sz w:val="24"/>
          <w:szCs w:val="24"/>
          <w:highlight w:val="none"/>
        </w:rPr>
        <w:t>00h达到10级。</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(需提供加盖“CMA”标志的第三方机构出具的有效检验报告作为佐证材料。）</w:t>
      </w:r>
    </w:p>
    <w:p>
      <w:pPr>
        <w:pStyle w:val="16"/>
        <w:rPr>
          <w:color w:val="auto"/>
          <w:highlight w:val="none"/>
        </w:rPr>
      </w:pPr>
      <w:r>
        <w:rPr>
          <w:rFonts w:hint="eastAsia"/>
          <w:color w:val="auto"/>
          <w:highlight w:val="none"/>
        </w:rPr>
        <w:t>2、成品要求</w:t>
      </w:r>
    </w:p>
    <w:p>
      <w:pPr>
        <w:pStyle w:val="16"/>
        <w:ind w:firstLine="0" w:firstLineChars="0"/>
        <w:rPr>
          <w:color w:val="auto"/>
          <w:highlight w:val="none"/>
        </w:rPr>
      </w:pPr>
      <w:r>
        <w:rPr>
          <w:rFonts w:hint="eastAsia"/>
          <w:color w:val="auto"/>
          <w:highlight w:val="none"/>
        </w:rPr>
        <w:t>1、公寓床：GB/T3325-2017金属家具通用技术条件、GB/T18580-2017GB/T39600-2021人造板及其制品甲醛释放量分级。金属外观件要求、塑料件外观要求、木质件表面贴面层、甲醛释放量ENF级≤0.05mg/m³</w:t>
      </w:r>
    </w:p>
    <w:p>
      <w:pPr>
        <w:pStyle w:val="16"/>
        <w:ind w:firstLine="0" w:firstLineChars="0"/>
        <w:rPr>
          <w:color w:val="auto"/>
          <w:highlight w:val="none"/>
        </w:rPr>
      </w:pPr>
      <w:r>
        <w:rPr>
          <w:rFonts w:hint="eastAsia"/>
          <w:color w:val="auto"/>
          <w:highlight w:val="none"/>
        </w:rPr>
        <w:t>2、书桌：符合：QB/T2741-2013木质家具通用技术条件、GB18584-2001人造板及其制品甲醛释放量分级。木质件表面贴面层、甲醛释放量ENF级≤0.05mg/m³</w:t>
      </w:r>
    </w:p>
    <w:p>
      <w:pPr>
        <w:pStyle w:val="16"/>
        <w:ind w:firstLine="0" w:firstLineChars="0"/>
        <w:rPr>
          <w:color w:val="auto"/>
          <w:highlight w:val="none"/>
        </w:rPr>
      </w:pPr>
      <w:r>
        <w:rPr>
          <w:rFonts w:hint="eastAsia"/>
          <w:color w:val="auto"/>
          <w:highlight w:val="none"/>
        </w:rPr>
        <w:t>3、衣柜：符合：GB/T3324-2017木质家具通用技术条件、GB18584-200人造板及其制品甲醛释放量分级。木质件表面贴面层、甲醛释放量ENF级≤0.05mg/m³</w:t>
      </w:r>
    </w:p>
    <w:p>
      <w:pPr>
        <w:pStyle w:val="16"/>
        <w:ind w:firstLine="0" w:firstLineChars="0"/>
        <w:rPr>
          <w:color w:val="auto"/>
          <w:highlight w:val="none"/>
        </w:rPr>
      </w:pPr>
      <w:r>
        <w:rPr>
          <w:rFonts w:hint="eastAsia"/>
          <w:color w:val="auto"/>
          <w:highlight w:val="none"/>
        </w:rPr>
        <w:t>4、椅子：GB/T32487-2016塑料家具通用技术条件、形状和位、理化性能符合GB/T 17657-1999塑料件-耐冷热循环、力学性能符合GB/T 10357.3-2013有害物质限量符合GB/T 32487-2016。</w:t>
      </w:r>
    </w:p>
    <w:p>
      <w:pPr>
        <w:pStyle w:val="16"/>
        <w:rPr>
          <w:color w:val="auto"/>
          <w:highlight w:val="none"/>
        </w:rPr>
      </w:pPr>
      <w:r>
        <w:rPr>
          <w:rFonts w:hint="eastAsia"/>
          <w:color w:val="auto"/>
          <w:highlight w:val="none"/>
        </w:rPr>
        <w:t>注：</w:t>
      </w:r>
    </w:p>
    <w:p>
      <w:pPr>
        <w:pStyle w:val="16"/>
        <w:rPr>
          <w:color w:val="auto"/>
          <w:highlight w:val="none"/>
        </w:rPr>
      </w:pPr>
      <w:r>
        <w:rPr>
          <w:rFonts w:hint="eastAsia"/>
          <w:color w:val="auto"/>
          <w:highlight w:val="none"/>
        </w:rPr>
        <w:t>（1）《家具清单及技术要求》中对材质和工艺质量的要求与本条要求不一致的，以本条要求为准。</w:t>
      </w:r>
    </w:p>
    <w:p>
      <w:pPr>
        <w:pStyle w:val="16"/>
        <w:rPr>
          <w:color w:val="auto"/>
          <w:highlight w:val="none"/>
        </w:rPr>
      </w:pPr>
      <w:r>
        <w:rPr>
          <w:rFonts w:hint="eastAsia"/>
          <w:color w:val="auto"/>
          <w:highlight w:val="none"/>
        </w:rPr>
        <w:t>（2）标注“▲”号为重要技术参数，应当在投标文件中提供技术支持材料，其余参数要求作为履约验收的标准，验收时提供技术支持材料。评审阶段，投标人或投标产品生产厂家或原材料生产厂家出具的合格检测报告均予以认可，检测报告必须有经“CMA”标识的检测机构出具的，报告签发时间不早于2024年3月01日。</w:t>
      </w:r>
    </w:p>
    <w:p>
      <w:pPr>
        <w:pStyle w:val="16"/>
        <w:rPr>
          <w:color w:val="auto"/>
          <w:highlight w:val="none"/>
        </w:rPr>
      </w:pPr>
      <w:r>
        <w:rPr>
          <w:rFonts w:hint="eastAsia"/>
          <w:color w:val="auto"/>
          <w:highlight w:val="none"/>
        </w:rPr>
        <w:t>（3）针对不同叫法的同一成品/原材料，其检测报告均予认可。如名称不一致，需注明需求中对应的成品/原材料名称。</w:t>
      </w:r>
    </w:p>
    <w:p>
      <w:pPr>
        <w:pStyle w:val="16"/>
        <w:rPr>
          <w:color w:val="auto"/>
          <w:highlight w:val="none"/>
        </w:rPr>
      </w:pPr>
      <w:r>
        <w:rPr>
          <w:rFonts w:hint="eastAsia"/>
          <w:color w:val="auto"/>
          <w:highlight w:val="none"/>
        </w:rPr>
        <w:t>七、质量标准与验收要求：</w:t>
      </w:r>
    </w:p>
    <w:p>
      <w:pPr>
        <w:pStyle w:val="16"/>
        <w:rPr>
          <w:color w:val="auto"/>
          <w:highlight w:val="none"/>
        </w:rPr>
      </w:pPr>
      <w:r>
        <w:rPr>
          <w:rFonts w:hint="eastAsia"/>
          <w:color w:val="auto"/>
          <w:highlight w:val="none"/>
        </w:rPr>
        <w:t>1.投标人提供的产品和相关服务应符合国家和上海市与本项目有关的各项质量和安全标准、规范和验收要求以及相关政府管理部门和行业有关规定和规程，标准、规范等不一致的，以要求严的为准。</w:t>
      </w:r>
    </w:p>
    <w:p>
      <w:pPr>
        <w:pStyle w:val="16"/>
        <w:rPr>
          <w:color w:val="auto"/>
          <w:highlight w:val="none"/>
        </w:rPr>
      </w:pPr>
      <w:r>
        <w:rPr>
          <w:rFonts w:hint="eastAsia"/>
          <w:color w:val="auto"/>
          <w:highlight w:val="none"/>
        </w:rPr>
        <w:t>2.本项目验收将由采购人组织进行或委托第三方进行，质量标准和验收要求为按照上述规定一次验收合格。</w:t>
      </w:r>
    </w:p>
    <w:p>
      <w:pPr>
        <w:pStyle w:val="16"/>
        <w:rPr>
          <w:color w:val="auto"/>
          <w:highlight w:val="none"/>
        </w:rPr>
      </w:pPr>
      <w:r>
        <w:rPr>
          <w:rFonts w:hint="eastAsia"/>
          <w:color w:val="auto"/>
          <w:highlight w:val="none"/>
        </w:rPr>
        <w:t>3.如验收未获通过，采购人有权要求更换或退货并按照合同约定的违约处理。</w:t>
      </w:r>
    </w:p>
    <w:p>
      <w:pPr>
        <w:pStyle w:val="16"/>
        <w:rPr>
          <w:color w:val="auto"/>
          <w:highlight w:val="none"/>
        </w:rPr>
      </w:pPr>
      <w:r>
        <w:rPr>
          <w:rFonts w:hint="eastAsia"/>
          <w:color w:val="auto"/>
          <w:highlight w:val="none"/>
        </w:rPr>
        <w:t>八、设计方案</w:t>
      </w:r>
    </w:p>
    <w:p>
      <w:pPr>
        <w:pStyle w:val="16"/>
        <w:rPr>
          <w:color w:val="auto"/>
          <w:highlight w:val="none"/>
        </w:rPr>
      </w:pPr>
      <w:r>
        <w:rPr>
          <w:rFonts w:hint="eastAsia"/>
          <w:color w:val="auto"/>
          <w:highlight w:val="none"/>
        </w:rPr>
        <w:t>1、设计方案中应包括：平面布布局、设计主题、家具选型、色彩搭配、整体空间效果，根据各需求空间的平面功能格局(附公寓房间平面图），考虑布置是否合理，家具款式与颜色搭配是否协调，风格是否与主题意境相呼应，需要兼具展示型和实用性，呈现多样化、人性化的教学、交流空间的设计方案。</w:t>
      </w:r>
    </w:p>
    <w:p>
      <w:pPr>
        <w:pStyle w:val="16"/>
        <w:rPr>
          <w:color w:val="auto"/>
          <w:highlight w:val="none"/>
        </w:rPr>
      </w:pPr>
      <w:r>
        <w:rPr>
          <w:rFonts w:hint="eastAsia"/>
          <w:color w:val="auto"/>
          <w:highlight w:val="none"/>
        </w:rPr>
        <w:t>2、单品效果图：根据招标文件所举列之技术参数，提供每项产品平面、立面、剖面图纸。</w:t>
      </w:r>
    </w:p>
    <w:p>
      <w:pPr>
        <w:pStyle w:val="16"/>
        <w:rPr>
          <w:color w:val="auto"/>
          <w:highlight w:val="none"/>
        </w:rPr>
      </w:pPr>
      <w:r>
        <w:rPr>
          <w:rFonts w:hint="eastAsia"/>
          <w:color w:val="auto"/>
          <w:highlight w:val="none"/>
        </w:rPr>
        <w:t>九、服务和实施方案</w:t>
      </w:r>
    </w:p>
    <w:p>
      <w:pPr>
        <w:pStyle w:val="16"/>
        <w:rPr>
          <w:color w:val="auto"/>
          <w:highlight w:val="none"/>
        </w:rPr>
      </w:pPr>
      <w:r>
        <w:rPr>
          <w:rFonts w:hint="eastAsia"/>
          <w:color w:val="auto"/>
          <w:highlight w:val="none"/>
        </w:rPr>
        <w:t>投标人提供针对本次项目的组织实施能力，包括：制造进度计划安排、交货进度计划安排、安装进度计划安排、安全、环境、文明和保证措施（包括紧急事故处理及保护措施等）、组织验收试验进度计划安排等。</w:t>
      </w:r>
    </w:p>
    <w:p>
      <w:pPr>
        <w:pStyle w:val="16"/>
        <w:rPr>
          <w:color w:val="auto"/>
          <w:highlight w:val="none"/>
        </w:rPr>
      </w:pPr>
      <w:r>
        <w:rPr>
          <w:rFonts w:hint="eastAsia"/>
          <w:color w:val="auto"/>
          <w:highlight w:val="none"/>
        </w:rPr>
        <w:t>投标人提供针对本次项目的拟派项目团队成员情况，包括项目经理、现场项目负责人资历及项目管理班子人员构成等。</w:t>
      </w:r>
    </w:p>
    <w:p>
      <w:pPr>
        <w:pStyle w:val="16"/>
        <w:rPr>
          <w:color w:val="auto"/>
          <w:highlight w:val="none"/>
        </w:rPr>
      </w:pPr>
      <w:r>
        <w:rPr>
          <w:rFonts w:hint="eastAsia"/>
          <w:color w:val="auto"/>
          <w:highlight w:val="none"/>
        </w:rPr>
        <w:t>投标人提供针对本次项目的售后服务点设置、售后人员配备、响应时间、修复时间、方式等保障措施、质保期后维护费用以及服务承诺条款的合理性等。</w:t>
      </w:r>
    </w:p>
    <w:p>
      <w:pPr>
        <w:pStyle w:val="16"/>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andale mono">
    <w:altName w:val="国标宋体-超大字符集"/>
    <w:panose1 w:val="00000000000000000000"/>
    <w:charset w:val="00"/>
    <w:family w:val="modern"/>
    <w:pitch w:val="default"/>
    <w:sig w:usb0="00000000" w:usb1="00000000" w:usb2="00000000" w:usb3="00000000" w:csb0="0000009F" w:csb1="00000000"/>
  </w:font>
  <w:font w:name="国标宋体-超大字符集">
    <w:panose1 w:val="03000509000000000000"/>
    <w:charset w:val="86"/>
    <w:family w:val="auto"/>
    <w:pitch w:val="default"/>
    <w:sig w:usb0="00000001" w:usb1="08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等线">
    <w:altName w:val="华文中宋"/>
    <w:panose1 w:val="00000000000000000000"/>
    <w:charset w:val="00"/>
    <w:family w:val="auto"/>
    <w:pitch w:val="default"/>
    <w:sig w:usb0="00000000" w:usb1="00000000" w:usb2="00000000" w:usb3="00000000" w:csb0="00000000" w:csb1="00000000"/>
  </w:font>
  <w:font w:name="Noto Sans CJK JP Bold">
    <w:panose1 w:val="020B0800000000000000"/>
    <w:charset w:val="86"/>
    <w:family w:val="auto"/>
    <w:pitch w:val="default"/>
    <w:sig w:usb0="30000003" w:usb1="2BDF3C10" w:usb2="00000016" w:usb3="00000000" w:csb0="602E0107"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8239884"/>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p/>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BE1C12"/>
    <w:multiLevelType w:val="singleLevel"/>
    <w:tmpl w:val="AEBE1C12"/>
    <w:lvl w:ilvl="0" w:tentative="0">
      <w:start w:val="4"/>
      <w:numFmt w:val="decimal"/>
      <w:lvlText w:val="%1."/>
      <w:lvlJc w:val="left"/>
      <w:pPr>
        <w:tabs>
          <w:tab w:val="left" w:pos="312"/>
        </w:tabs>
      </w:pPr>
    </w:lvl>
  </w:abstractNum>
  <w:abstractNum w:abstractNumId="1">
    <w:nsid w:val="074054F6"/>
    <w:multiLevelType w:val="multilevel"/>
    <w:tmpl w:val="074054F6"/>
    <w:lvl w:ilvl="0" w:tentative="0">
      <w:start w:val="1"/>
      <w:numFmt w:val="decimal"/>
      <w:pStyle w:val="22"/>
      <w:lvlText w:val="第%1章"/>
      <w:lvlJc w:val="left"/>
      <w:pPr>
        <w:tabs>
          <w:tab w:val="left" w:pos="574"/>
        </w:tabs>
        <w:ind w:left="574" w:hanging="432"/>
      </w:pPr>
      <w:rPr>
        <w:rFonts w:hint="eastAsia"/>
        <w:lang w:val="en-US"/>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862"/>
        </w:tabs>
        <w:ind w:left="862" w:hanging="720"/>
      </w:pPr>
      <w:rPr>
        <w:rFonts w:hint="eastAsia"/>
      </w:rPr>
    </w:lvl>
    <w:lvl w:ilvl="3" w:tentative="0">
      <w:start w:val="1"/>
      <w:numFmt w:val="decimal"/>
      <w:lvlText w:val="%1.%2.%3.%4"/>
      <w:lvlJc w:val="left"/>
      <w:pPr>
        <w:tabs>
          <w:tab w:val="left" w:pos="1006"/>
        </w:tabs>
        <w:ind w:left="1006" w:hanging="864"/>
      </w:pPr>
      <w:rPr>
        <w:rFonts w:hint="eastAsia"/>
      </w:rPr>
    </w:lvl>
    <w:lvl w:ilvl="4" w:tentative="0">
      <w:start w:val="1"/>
      <w:numFmt w:val="decimal"/>
      <w:lvlText w:val="%1.%2.%3.%4.%5"/>
      <w:lvlJc w:val="left"/>
      <w:pPr>
        <w:tabs>
          <w:tab w:val="left" w:pos="1150"/>
        </w:tabs>
        <w:ind w:left="1150" w:hanging="1008"/>
      </w:pPr>
      <w:rPr>
        <w:rFonts w:hint="eastAsia"/>
      </w:rPr>
    </w:lvl>
    <w:lvl w:ilvl="5" w:tentative="0">
      <w:start w:val="1"/>
      <w:numFmt w:val="decimal"/>
      <w:lvlText w:val="%1.%2.%3.%4.%5.%6"/>
      <w:lvlJc w:val="left"/>
      <w:pPr>
        <w:tabs>
          <w:tab w:val="left" w:pos="1294"/>
        </w:tabs>
        <w:ind w:left="1294" w:hanging="1152"/>
      </w:pPr>
      <w:rPr>
        <w:rFonts w:hint="eastAsia"/>
      </w:rPr>
    </w:lvl>
    <w:lvl w:ilvl="6" w:tentative="0">
      <w:start w:val="1"/>
      <w:numFmt w:val="decimal"/>
      <w:lvlText w:val="%1.%2.%3.%4.%5.%6.%7"/>
      <w:lvlJc w:val="left"/>
      <w:pPr>
        <w:tabs>
          <w:tab w:val="left" w:pos="1438"/>
        </w:tabs>
        <w:ind w:left="1438" w:hanging="1296"/>
      </w:pPr>
      <w:rPr>
        <w:rFonts w:hint="eastAsia"/>
      </w:rPr>
    </w:lvl>
    <w:lvl w:ilvl="7" w:tentative="0">
      <w:start w:val="1"/>
      <w:numFmt w:val="decimal"/>
      <w:lvlText w:val="%1.%2.%3.%4.%5.%6.%7.%8"/>
      <w:lvlJc w:val="left"/>
      <w:pPr>
        <w:tabs>
          <w:tab w:val="left" w:pos="1582"/>
        </w:tabs>
        <w:ind w:left="1582" w:hanging="1440"/>
      </w:pPr>
      <w:rPr>
        <w:rFonts w:hint="eastAsia"/>
      </w:rPr>
    </w:lvl>
    <w:lvl w:ilvl="8" w:tentative="0">
      <w:start w:val="1"/>
      <w:numFmt w:val="decimal"/>
      <w:lvlText w:val="%1.%2.%3.%4.%5.%6.%7.%8.%9"/>
      <w:lvlJc w:val="left"/>
      <w:pPr>
        <w:tabs>
          <w:tab w:val="left" w:pos="1726"/>
        </w:tabs>
        <w:ind w:left="1726"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jZTdmMzY4YjhlYTIwZWIxNTZjODRjMjJjZDE5MjYifQ=="/>
  </w:docVars>
  <w:rsids>
    <w:rsidRoot w:val="002B03D2"/>
    <w:rsid w:val="000037E1"/>
    <w:rsid w:val="00021ECF"/>
    <w:rsid w:val="00030791"/>
    <w:rsid w:val="00082930"/>
    <w:rsid w:val="000A33FA"/>
    <w:rsid w:val="000A34D2"/>
    <w:rsid w:val="000A448D"/>
    <w:rsid w:val="000A497A"/>
    <w:rsid w:val="000B5586"/>
    <w:rsid w:val="000B6DFD"/>
    <w:rsid w:val="000B7CA8"/>
    <w:rsid w:val="000C74AE"/>
    <w:rsid w:val="000D5DFC"/>
    <w:rsid w:val="000E6A53"/>
    <w:rsid w:val="000F0CD3"/>
    <w:rsid w:val="000F44E8"/>
    <w:rsid w:val="000F4B21"/>
    <w:rsid w:val="00106D02"/>
    <w:rsid w:val="001119EF"/>
    <w:rsid w:val="00120518"/>
    <w:rsid w:val="0012395B"/>
    <w:rsid w:val="00130D8F"/>
    <w:rsid w:val="001311EE"/>
    <w:rsid w:val="00136955"/>
    <w:rsid w:val="00162352"/>
    <w:rsid w:val="00164A90"/>
    <w:rsid w:val="00165640"/>
    <w:rsid w:val="00167F18"/>
    <w:rsid w:val="001A15B5"/>
    <w:rsid w:val="001B291C"/>
    <w:rsid w:val="001C3180"/>
    <w:rsid w:val="001D6D58"/>
    <w:rsid w:val="001E064F"/>
    <w:rsid w:val="001E5852"/>
    <w:rsid w:val="001F3460"/>
    <w:rsid w:val="00200C5B"/>
    <w:rsid w:val="002044EF"/>
    <w:rsid w:val="002077CA"/>
    <w:rsid w:val="00223023"/>
    <w:rsid w:val="002236F4"/>
    <w:rsid w:val="00234413"/>
    <w:rsid w:val="002648E8"/>
    <w:rsid w:val="00267F87"/>
    <w:rsid w:val="002768BE"/>
    <w:rsid w:val="00281B73"/>
    <w:rsid w:val="00294A30"/>
    <w:rsid w:val="002A222D"/>
    <w:rsid w:val="002B03D2"/>
    <w:rsid w:val="002B5135"/>
    <w:rsid w:val="002C1AA1"/>
    <w:rsid w:val="002D21E0"/>
    <w:rsid w:val="002D52AF"/>
    <w:rsid w:val="002D79B5"/>
    <w:rsid w:val="002E05FC"/>
    <w:rsid w:val="002E1A74"/>
    <w:rsid w:val="0030479A"/>
    <w:rsid w:val="00323C9D"/>
    <w:rsid w:val="0033094F"/>
    <w:rsid w:val="003353FF"/>
    <w:rsid w:val="0035070B"/>
    <w:rsid w:val="003518BA"/>
    <w:rsid w:val="00366BE1"/>
    <w:rsid w:val="0036701B"/>
    <w:rsid w:val="00367589"/>
    <w:rsid w:val="00391944"/>
    <w:rsid w:val="00392099"/>
    <w:rsid w:val="003B37C7"/>
    <w:rsid w:val="003C778B"/>
    <w:rsid w:val="003D47AB"/>
    <w:rsid w:val="003D4DBB"/>
    <w:rsid w:val="004012DE"/>
    <w:rsid w:val="0040378F"/>
    <w:rsid w:val="00404AFA"/>
    <w:rsid w:val="0041642C"/>
    <w:rsid w:val="00426D73"/>
    <w:rsid w:val="00432377"/>
    <w:rsid w:val="00437CF1"/>
    <w:rsid w:val="00464D71"/>
    <w:rsid w:val="00466363"/>
    <w:rsid w:val="00483F13"/>
    <w:rsid w:val="004861E9"/>
    <w:rsid w:val="004914D8"/>
    <w:rsid w:val="004921E5"/>
    <w:rsid w:val="00495739"/>
    <w:rsid w:val="004A6B64"/>
    <w:rsid w:val="004B7991"/>
    <w:rsid w:val="004C5222"/>
    <w:rsid w:val="004D3BAF"/>
    <w:rsid w:val="004E4A10"/>
    <w:rsid w:val="00515C85"/>
    <w:rsid w:val="005231C3"/>
    <w:rsid w:val="00527A19"/>
    <w:rsid w:val="0053773F"/>
    <w:rsid w:val="005403C0"/>
    <w:rsid w:val="00565FFD"/>
    <w:rsid w:val="00576F1A"/>
    <w:rsid w:val="005831E3"/>
    <w:rsid w:val="00590894"/>
    <w:rsid w:val="005A18DB"/>
    <w:rsid w:val="005A6CC3"/>
    <w:rsid w:val="005A722D"/>
    <w:rsid w:val="005B622A"/>
    <w:rsid w:val="005C1B23"/>
    <w:rsid w:val="005F0C1D"/>
    <w:rsid w:val="005F4556"/>
    <w:rsid w:val="006013F3"/>
    <w:rsid w:val="00613D1F"/>
    <w:rsid w:val="00622AAB"/>
    <w:rsid w:val="0063536C"/>
    <w:rsid w:val="006427C8"/>
    <w:rsid w:val="00660D56"/>
    <w:rsid w:val="00674840"/>
    <w:rsid w:val="00675006"/>
    <w:rsid w:val="0069789E"/>
    <w:rsid w:val="006A7CF5"/>
    <w:rsid w:val="006C4E2A"/>
    <w:rsid w:val="006D0091"/>
    <w:rsid w:val="006E3495"/>
    <w:rsid w:val="006F1AED"/>
    <w:rsid w:val="00706CC6"/>
    <w:rsid w:val="00714166"/>
    <w:rsid w:val="00725C7A"/>
    <w:rsid w:val="00737CFC"/>
    <w:rsid w:val="00740E46"/>
    <w:rsid w:val="00750552"/>
    <w:rsid w:val="00755611"/>
    <w:rsid w:val="00755853"/>
    <w:rsid w:val="007656CD"/>
    <w:rsid w:val="007762DC"/>
    <w:rsid w:val="00787E27"/>
    <w:rsid w:val="007921D4"/>
    <w:rsid w:val="00792C28"/>
    <w:rsid w:val="007B38B7"/>
    <w:rsid w:val="007B4B6C"/>
    <w:rsid w:val="007C31DA"/>
    <w:rsid w:val="007D1749"/>
    <w:rsid w:val="007E64AA"/>
    <w:rsid w:val="007F1492"/>
    <w:rsid w:val="007F2986"/>
    <w:rsid w:val="008353B7"/>
    <w:rsid w:val="008353FA"/>
    <w:rsid w:val="00844DE4"/>
    <w:rsid w:val="0088288C"/>
    <w:rsid w:val="00890152"/>
    <w:rsid w:val="00894E08"/>
    <w:rsid w:val="008A2499"/>
    <w:rsid w:val="008A5862"/>
    <w:rsid w:val="008A7C48"/>
    <w:rsid w:val="008B0872"/>
    <w:rsid w:val="008C0072"/>
    <w:rsid w:val="008C338C"/>
    <w:rsid w:val="008C7840"/>
    <w:rsid w:val="008E561B"/>
    <w:rsid w:val="008E7EB2"/>
    <w:rsid w:val="008F11AF"/>
    <w:rsid w:val="008F745D"/>
    <w:rsid w:val="009054C4"/>
    <w:rsid w:val="009065D6"/>
    <w:rsid w:val="009177DA"/>
    <w:rsid w:val="00924B4F"/>
    <w:rsid w:val="00926ADC"/>
    <w:rsid w:val="00952762"/>
    <w:rsid w:val="009677B8"/>
    <w:rsid w:val="00970CAC"/>
    <w:rsid w:val="00972A81"/>
    <w:rsid w:val="00974847"/>
    <w:rsid w:val="00974A3A"/>
    <w:rsid w:val="009922FD"/>
    <w:rsid w:val="00994AE9"/>
    <w:rsid w:val="00997E1F"/>
    <w:rsid w:val="009A0631"/>
    <w:rsid w:val="009B19EE"/>
    <w:rsid w:val="009B53B1"/>
    <w:rsid w:val="009D13FD"/>
    <w:rsid w:val="009D3427"/>
    <w:rsid w:val="009D46E4"/>
    <w:rsid w:val="009E222F"/>
    <w:rsid w:val="009F44DC"/>
    <w:rsid w:val="00A051B7"/>
    <w:rsid w:val="00A2398C"/>
    <w:rsid w:val="00A57C47"/>
    <w:rsid w:val="00A718BA"/>
    <w:rsid w:val="00A73FAE"/>
    <w:rsid w:val="00AB0F25"/>
    <w:rsid w:val="00AD74EC"/>
    <w:rsid w:val="00AD761A"/>
    <w:rsid w:val="00AE5614"/>
    <w:rsid w:val="00AF413A"/>
    <w:rsid w:val="00B04CF6"/>
    <w:rsid w:val="00B0565A"/>
    <w:rsid w:val="00B13B7B"/>
    <w:rsid w:val="00B24011"/>
    <w:rsid w:val="00B27C24"/>
    <w:rsid w:val="00B3111A"/>
    <w:rsid w:val="00B56C40"/>
    <w:rsid w:val="00B67B66"/>
    <w:rsid w:val="00B77FE1"/>
    <w:rsid w:val="00B86689"/>
    <w:rsid w:val="00BC01FD"/>
    <w:rsid w:val="00BC6514"/>
    <w:rsid w:val="00BC7C2E"/>
    <w:rsid w:val="00BD7B5F"/>
    <w:rsid w:val="00C00858"/>
    <w:rsid w:val="00C05E02"/>
    <w:rsid w:val="00C1245F"/>
    <w:rsid w:val="00C139B6"/>
    <w:rsid w:val="00C15261"/>
    <w:rsid w:val="00C20903"/>
    <w:rsid w:val="00C23F7C"/>
    <w:rsid w:val="00C53665"/>
    <w:rsid w:val="00C83F9C"/>
    <w:rsid w:val="00CA7BEB"/>
    <w:rsid w:val="00CB13B0"/>
    <w:rsid w:val="00CC46D2"/>
    <w:rsid w:val="00CD2966"/>
    <w:rsid w:val="00D005CA"/>
    <w:rsid w:val="00D035D4"/>
    <w:rsid w:val="00D05691"/>
    <w:rsid w:val="00D11E59"/>
    <w:rsid w:val="00D1786A"/>
    <w:rsid w:val="00D301F6"/>
    <w:rsid w:val="00D37982"/>
    <w:rsid w:val="00D510D7"/>
    <w:rsid w:val="00D5579D"/>
    <w:rsid w:val="00D60A4B"/>
    <w:rsid w:val="00D84C2B"/>
    <w:rsid w:val="00D853B8"/>
    <w:rsid w:val="00D96BBC"/>
    <w:rsid w:val="00DA4CCF"/>
    <w:rsid w:val="00DA62F2"/>
    <w:rsid w:val="00DB28C2"/>
    <w:rsid w:val="00DC4795"/>
    <w:rsid w:val="00DC4B7A"/>
    <w:rsid w:val="00DC68FD"/>
    <w:rsid w:val="00DD6A86"/>
    <w:rsid w:val="00DD6DB7"/>
    <w:rsid w:val="00DD7514"/>
    <w:rsid w:val="00DD7642"/>
    <w:rsid w:val="00DF3BC6"/>
    <w:rsid w:val="00DF4091"/>
    <w:rsid w:val="00E02EF6"/>
    <w:rsid w:val="00E06554"/>
    <w:rsid w:val="00E202B0"/>
    <w:rsid w:val="00E273D0"/>
    <w:rsid w:val="00E55892"/>
    <w:rsid w:val="00E67C1E"/>
    <w:rsid w:val="00E82878"/>
    <w:rsid w:val="00E90B33"/>
    <w:rsid w:val="00E9565E"/>
    <w:rsid w:val="00EA365A"/>
    <w:rsid w:val="00EC043D"/>
    <w:rsid w:val="00EC3D43"/>
    <w:rsid w:val="00EC445D"/>
    <w:rsid w:val="00ED5CC7"/>
    <w:rsid w:val="00EF0823"/>
    <w:rsid w:val="00F0027B"/>
    <w:rsid w:val="00F028E4"/>
    <w:rsid w:val="00F0684C"/>
    <w:rsid w:val="00F125BE"/>
    <w:rsid w:val="00F1396D"/>
    <w:rsid w:val="00F21F91"/>
    <w:rsid w:val="00F22423"/>
    <w:rsid w:val="00F3593D"/>
    <w:rsid w:val="00F36E30"/>
    <w:rsid w:val="00F442F4"/>
    <w:rsid w:val="00F529AE"/>
    <w:rsid w:val="00F535A2"/>
    <w:rsid w:val="00F60B14"/>
    <w:rsid w:val="00F67789"/>
    <w:rsid w:val="00F86840"/>
    <w:rsid w:val="00F97E3C"/>
    <w:rsid w:val="00FA1646"/>
    <w:rsid w:val="00FA7680"/>
    <w:rsid w:val="00FB241D"/>
    <w:rsid w:val="00FB5A46"/>
    <w:rsid w:val="00FC09DE"/>
    <w:rsid w:val="00FD0802"/>
    <w:rsid w:val="00FE1FEF"/>
    <w:rsid w:val="00FE2A8A"/>
    <w:rsid w:val="00FF5722"/>
    <w:rsid w:val="044E4F82"/>
    <w:rsid w:val="053973EC"/>
    <w:rsid w:val="062B4CD3"/>
    <w:rsid w:val="06AB60C8"/>
    <w:rsid w:val="06B26221"/>
    <w:rsid w:val="0749768F"/>
    <w:rsid w:val="08A56E0D"/>
    <w:rsid w:val="0C027F7A"/>
    <w:rsid w:val="0CED5B69"/>
    <w:rsid w:val="0DA04BE9"/>
    <w:rsid w:val="0F636F5B"/>
    <w:rsid w:val="1530278B"/>
    <w:rsid w:val="18221F62"/>
    <w:rsid w:val="1A5D54D3"/>
    <w:rsid w:val="1F7B555F"/>
    <w:rsid w:val="1FA67170"/>
    <w:rsid w:val="22401962"/>
    <w:rsid w:val="22E05902"/>
    <w:rsid w:val="2391082F"/>
    <w:rsid w:val="24FE78B3"/>
    <w:rsid w:val="28E65BFC"/>
    <w:rsid w:val="29CC7F7F"/>
    <w:rsid w:val="29D62BAC"/>
    <w:rsid w:val="2B027B85"/>
    <w:rsid w:val="2B0573B2"/>
    <w:rsid w:val="2B980CD4"/>
    <w:rsid w:val="31DB5204"/>
    <w:rsid w:val="339871B8"/>
    <w:rsid w:val="33F32E0C"/>
    <w:rsid w:val="34825E0A"/>
    <w:rsid w:val="367A1D42"/>
    <w:rsid w:val="3855655E"/>
    <w:rsid w:val="39EB20FC"/>
    <w:rsid w:val="3B5B1ACD"/>
    <w:rsid w:val="3BFF5885"/>
    <w:rsid w:val="3F6C4CE0"/>
    <w:rsid w:val="3FBBEEB7"/>
    <w:rsid w:val="3FDFFC84"/>
    <w:rsid w:val="3FF5152F"/>
    <w:rsid w:val="41150775"/>
    <w:rsid w:val="41477FD1"/>
    <w:rsid w:val="458C4D3B"/>
    <w:rsid w:val="458D460F"/>
    <w:rsid w:val="46252A99"/>
    <w:rsid w:val="47D97FDF"/>
    <w:rsid w:val="47E2402A"/>
    <w:rsid w:val="49883890"/>
    <w:rsid w:val="4AEF647D"/>
    <w:rsid w:val="4BE7173C"/>
    <w:rsid w:val="4BED6D15"/>
    <w:rsid w:val="4D001B6A"/>
    <w:rsid w:val="550D751A"/>
    <w:rsid w:val="5BFF385F"/>
    <w:rsid w:val="5D72616D"/>
    <w:rsid w:val="5E317DD6"/>
    <w:rsid w:val="5F6D28B0"/>
    <w:rsid w:val="5FA7E584"/>
    <w:rsid w:val="619264F3"/>
    <w:rsid w:val="6333639E"/>
    <w:rsid w:val="648F1CFA"/>
    <w:rsid w:val="662B662D"/>
    <w:rsid w:val="66BB7135"/>
    <w:rsid w:val="69420D52"/>
    <w:rsid w:val="69A52010"/>
    <w:rsid w:val="6AFE7CBB"/>
    <w:rsid w:val="6CC40ED4"/>
    <w:rsid w:val="6E9B007F"/>
    <w:rsid w:val="6EF6FB56"/>
    <w:rsid w:val="6F7915DC"/>
    <w:rsid w:val="6F7F5CF4"/>
    <w:rsid w:val="6FAC0591"/>
    <w:rsid w:val="6FAED958"/>
    <w:rsid w:val="6FFFD435"/>
    <w:rsid w:val="71155335"/>
    <w:rsid w:val="73931171"/>
    <w:rsid w:val="746A5998"/>
    <w:rsid w:val="75D85190"/>
    <w:rsid w:val="76E46065"/>
    <w:rsid w:val="77DD0EE1"/>
    <w:rsid w:val="77EBF673"/>
    <w:rsid w:val="790181C4"/>
    <w:rsid w:val="79073957"/>
    <w:rsid w:val="79AE4474"/>
    <w:rsid w:val="7A6B4218"/>
    <w:rsid w:val="7AFFAE9D"/>
    <w:rsid w:val="7B7F1F1A"/>
    <w:rsid w:val="7BAF63D9"/>
    <w:rsid w:val="7BC41E31"/>
    <w:rsid w:val="7BF49A7C"/>
    <w:rsid w:val="7C4C216E"/>
    <w:rsid w:val="7CBB53BC"/>
    <w:rsid w:val="7DDFB3F0"/>
    <w:rsid w:val="7DF5DE1C"/>
    <w:rsid w:val="7DF71B74"/>
    <w:rsid w:val="7E274B21"/>
    <w:rsid w:val="7E7E7FB6"/>
    <w:rsid w:val="7ED9154C"/>
    <w:rsid w:val="7FB9CB38"/>
    <w:rsid w:val="7FD77A4B"/>
    <w:rsid w:val="7FFE4838"/>
    <w:rsid w:val="9F9D13F2"/>
    <w:rsid w:val="BBB2BED0"/>
    <w:rsid w:val="BBB7A298"/>
    <w:rsid w:val="BDFA15D2"/>
    <w:rsid w:val="BE1F17A7"/>
    <w:rsid w:val="BFFC01C7"/>
    <w:rsid w:val="CBD349B8"/>
    <w:rsid w:val="D7DFEFD4"/>
    <w:rsid w:val="DBAFB5CA"/>
    <w:rsid w:val="DF4F967E"/>
    <w:rsid w:val="EB47137B"/>
    <w:rsid w:val="ECEF924F"/>
    <w:rsid w:val="F7F79DB5"/>
    <w:rsid w:val="F9DFB77E"/>
    <w:rsid w:val="FB7976F6"/>
    <w:rsid w:val="FBFBB652"/>
    <w:rsid w:val="FCFFF574"/>
    <w:rsid w:val="FDC7F905"/>
    <w:rsid w:val="FE77D94A"/>
    <w:rsid w:val="FEF32B2C"/>
    <w:rsid w:val="FF3C1614"/>
    <w:rsid w:val="FFBFCA34"/>
    <w:rsid w:val="FFFBA303"/>
    <w:rsid w:val="FFFF6E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qFormat/>
    <w:uiPriority w:val="0"/>
    <w:pPr>
      <w:keepNext/>
      <w:keepLines/>
      <w:tabs>
        <w:tab w:val="left" w:pos="1572"/>
      </w:tabs>
      <w:spacing w:before="240" w:after="64" w:line="320" w:lineRule="auto"/>
      <w:ind w:left="1572" w:hanging="1152"/>
      <w:outlineLvl w:val="5"/>
    </w:pPr>
    <w:rPr>
      <w:rFonts w:ascii="Arial" w:hAnsi="Arial" w:eastAsia="黑体"/>
      <w:b/>
      <w:bCs/>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autoRedefine/>
    <w:semiHidden/>
    <w:unhideWhenUsed/>
    <w:qFormat/>
    <w:uiPriority w:val="99"/>
    <w:pPr>
      <w:jc w:val="left"/>
    </w:pPr>
  </w:style>
  <w:style w:type="paragraph" w:styleId="4">
    <w:name w:val="Body Text"/>
    <w:basedOn w:val="1"/>
    <w:autoRedefine/>
    <w:semiHidden/>
    <w:qFormat/>
    <w:uiPriority w:val="0"/>
    <w:rPr>
      <w:rFonts w:ascii="宋体" w:hAnsi="宋体" w:eastAsia="宋体" w:cs="宋体"/>
      <w:sz w:val="24"/>
      <w:szCs w:val="24"/>
    </w:rPr>
  </w:style>
  <w:style w:type="paragraph" w:styleId="5">
    <w:name w:val="index 4"/>
    <w:basedOn w:val="1"/>
    <w:next w:val="1"/>
    <w:qFormat/>
    <w:uiPriority w:val="0"/>
    <w:pPr>
      <w:spacing w:line="360" w:lineRule="auto"/>
      <w:ind w:left="600" w:leftChars="600"/>
    </w:pPr>
    <w:rPr>
      <w:sz w:val="24"/>
      <w:szCs w:val="24"/>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18"/>
    <w:autoRedefine/>
    <w:semiHidden/>
    <w:unhideWhenUsed/>
    <w:qFormat/>
    <w:uiPriority w:val="99"/>
    <w:rPr>
      <w:b/>
      <w:bCs/>
    </w:rPr>
  </w:style>
  <w:style w:type="character" w:styleId="12">
    <w:name w:val="Emphasis"/>
    <w:basedOn w:val="11"/>
    <w:qFormat/>
    <w:uiPriority w:val="20"/>
    <w:rPr>
      <w:i/>
    </w:rPr>
  </w:style>
  <w:style w:type="character" w:styleId="13">
    <w:name w:val="annotation reference"/>
    <w:autoRedefine/>
    <w:qFormat/>
    <w:uiPriority w:val="0"/>
    <w:rPr>
      <w:rFonts w:ascii="Calibri" w:hAnsi="Calibri" w:eastAsia="宋体" w:cs="Times New Roman"/>
      <w:sz w:val="21"/>
      <w:szCs w:val="21"/>
    </w:rPr>
  </w:style>
  <w:style w:type="character" w:customStyle="1" w:styleId="14">
    <w:name w:val="页眉 字符"/>
    <w:basedOn w:val="11"/>
    <w:link w:val="8"/>
    <w:autoRedefine/>
    <w:qFormat/>
    <w:uiPriority w:val="99"/>
    <w:rPr>
      <w:sz w:val="18"/>
      <w:szCs w:val="18"/>
    </w:rPr>
  </w:style>
  <w:style w:type="character" w:customStyle="1" w:styleId="15">
    <w:name w:val="页脚 字符"/>
    <w:basedOn w:val="11"/>
    <w:link w:val="7"/>
    <w:autoRedefine/>
    <w:qFormat/>
    <w:uiPriority w:val="99"/>
    <w:rPr>
      <w:sz w:val="18"/>
      <w:szCs w:val="18"/>
    </w:rPr>
  </w:style>
  <w:style w:type="paragraph" w:styleId="16">
    <w:name w:val="List Paragraph"/>
    <w:basedOn w:val="1"/>
    <w:autoRedefine/>
    <w:qFormat/>
    <w:uiPriority w:val="0"/>
    <w:pPr>
      <w:spacing w:line="360" w:lineRule="auto"/>
      <w:ind w:firstLine="480" w:firstLineChars="200"/>
    </w:pPr>
    <w:rPr>
      <w:rFonts w:ascii="宋体" w:hAnsi="宋体" w:eastAsia="宋体" w:cs="宋体"/>
      <w:bCs/>
      <w:color w:val="000000" w:themeColor="text1"/>
      <w:sz w:val="24"/>
      <w:szCs w:val="24"/>
      <w14:textFill>
        <w14:solidFill>
          <w14:schemeClr w14:val="tx1"/>
        </w14:solidFill>
      </w14:textFill>
    </w:rPr>
  </w:style>
  <w:style w:type="character" w:customStyle="1" w:styleId="17">
    <w:name w:val="批注文字 字符"/>
    <w:basedOn w:val="11"/>
    <w:link w:val="3"/>
    <w:autoRedefine/>
    <w:semiHidden/>
    <w:qFormat/>
    <w:uiPriority w:val="99"/>
  </w:style>
  <w:style w:type="character" w:customStyle="1" w:styleId="18">
    <w:name w:val="批注主题 字符"/>
    <w:basedOn w:val="17"/>
    <w:link w:val="9"/>
    <w:autoRedefine/>
    <w:semiHidden/>
    <w:qFormat/>
    <w:uiPriority w:val="99"/>
    <w:rPr>
      <w:b/>
      <w:bCs/>
    </w:rPr>
  </w:style>
  <w:style w:type="character" w:customStyle="1" w:styleId="19">
    <w:name w:val="批注框文本 字符"/>
    <w:basedOn w:val="11"/>
    <w:link w:val="6"/>
    <w:autoRedefine/>
    <w:semiHidden/>
    <w:qFormat/>
    <w:uiPriority w:val="99"/>
    <w:rPr>
      <w:sz w:val="18"/>
      <w:szCs w:val="18"/>
    </w:rPr>
  </w:style>
  <w:style w:type="paragraph" w:customStyle="1" w:styleId="20">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8"/>
      <w:szCs w:val="28"/>
      <w:lang w:eastAsia="en-US"/>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paragraph" w:customStyle="1" w:styleId="22">
    <w:name w:val="Style1"/>
    <w:next w:val="1"/>
    <w:autoRedefine/>
    <w:qFormat/>
    <w:uiPriority w:val="0"/>
    <w:pPr>
      <w:numPr>
        <w:ilvl w:val="0"/>
        <w:numId w:val="1"/>
      </w:numPr>
      <w:tabs>
        <w:tab w:val="left" w:pos="432"/>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 w:val="clear" w:pos="574"/>
      </w:tabs>
      <w:spacing w:line="360" w:lineRule="auto"/>
      <w:jc w:val="center"/>
    </w:pPr>
    <w:rPr>
      <w:rFonts w:ascii="Times New Roman" w:hAnsi="Times New Roman" w:eastAsia="宋体" w:cs="andale mono"/>
      <w:b/>
      <w:kern w:val="24"/>
      <w:sz w:val="24"/>
      <w:szCs w:val="22"/>
      <w:lang w:val="en-GB"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7</Pages>
  <Words>600</Words>
  <Characters>3426</Characters>
  <Lines>28</Lines>
  <Paragraphs>8</Paragraphs>
  <TotalTime>1</TotalTime>
  <ScaleCrop>false</ScaleCrop>
  <LinksUpToDate>false</LinksUpToDate>
  <CharactersWithSpaces>4018</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2024-10-16T15:16:00Z</dcterms:created>
  <dc:creator>圣诞节1391516102</dc:creator>
  <cp:lastModifiedBy>user</cp:lastModifiedBy>
  <dcterms:modified xsi:type="dcterms:W3CDTF">2025-05-13T13:42:03Z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B28218497EB1CB5981A222686B9127BF_43</vt:lpwstr>
  </property>
  <property fmtid="{D5CDD505-2E9C-101B-9397-08002B2CF9AE}" pid="4" name="KSOTemplateDocerSaveRecord">
    <vt:lpwstr>eyJoZGlkIjoiYWNhOWIzNjM1Yjg3Y2MxMTViNmNhZWYwOWU0NmRhN2QiLCJ1c2VySWQiOiIxNDM0Mjc4MTAwIn0=</vt:lpwstr>
  </property>
</Properties>
</file>