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textAlignment w:val="baseline"/>
        <w:rPr>
          <w:rFonts w:ascii="宋体" w:hAnsi="宋体" w:cs="宋体"/>
          <w:b/>
          <w:bCs/>
          <w:color w:val="auto"/>
          <w:sz w:val="28"/>
          <w:szCs w:val="28"/>
          <w:highlight w:val="none"/>
        </w:rPr>
      </w:pPr>
      <w:bookmarkStart w:id="0" w:name="_Toc295981373"/>
      <w:r>
        <w:rPr>
          <w:rFonts w:hint="eastAsia" w:ascii="宋体" w:hAnsi="宋体" w:cs="宋体"/>
          <w:b/>
          <w:bCs/>
          <w:color w:val="auto"/>
          <w:sz w:val="28"/>
          <w:szCs w:val="28"/>
          <w:highlight w:val="none"/>
        </w:rPr>
        <w:t>“2025年上海图书馆藏珍贵文献展示”项目采购需求</w:t>
      </w:r>
      <w:bookmarkEnd w:id="0"/>
    </w:p>
    <w:p>
      <w:pPr>
        <w:widowControl w:val="0"/>
        <w:jc w:val="both"/>
        <w:rPr>
          <w:rFonts w:asciiTheme="minorEastAsia" w:hAnsiTheme="minorEastAsia" w:eastAsiaTheme="minorEastAsia" w:cstheme="minorBidi"/>
          <w:color w:val="auto"/>
          <w:szCs w:val="21"/>
          <w:highlight w:val="none"/>
        </w:rPr>
      </w:pPr>
    </w:p>
    <w:p>
      <w:pPr>
        <w:widowControl w:val="0"/>
        <w:jc w:val="center"/>
        <w:rPr>
          <w:rFonts w:cs="宋体" w:asciiTheme="minorEastAsia" w:hAnsiTheme="minorEastAsia" w:eastAsiaTheme="minorEastAsia"/>
          <w:b/>
          <w:bCs/>
          <w:color w:val="auto"/>
          <w:szCs w:val="21"/>
          <w:highlight w:val="none"/>
        </w:rPr>
      </w:pPr>
    </w:p>
    <w:p>
      <w:pPr>
        <w:pStyle w:val="10"/>
        <w:widowControl w:val="0"/>
        <w:spacing w:line="360" w:lineRule="auto"/>
        <w:ind w:firstLine="0" w:firstLineChars="0"/>
        <w:jc w:val="both"/>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一、项目招标概况</w:t>
      </w:r>
    </w:p>
    <w:p>
      <w:pPr>
        <w:pStyle w:val="10"/>
        <w:numPr>
          <w:ilvl w:val="0"/>
          <w:numId w:val="1"/>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招标内容：展览策划制作、多媒体开发、硬件租赁、媒体推广、宣传视频制作、宣传品印刷、开幕式策划制作以及其他收藏机构的藏品借展及其相关事务支持等（详见“二、项目概况”）。</w:t>
      </w:r>
    </w:p>
    <w:p>
      <w:pPr>
        <w:pStyle w:val="10"/>
        <w:numPr>
          <w:ilvl w:val="0"/>
          <w:numId w:val="1"/>
        </w:numPr>
        <w:adjustRightInd w:val="0"/>
        <w:snapToGrid w:val="0"/>
        <w:spacing w:line="360" w:lineRule="auto"/>
        <w:ind w:firstLineChars="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项目实施地点：上海市</w:t>
      </w:r>
      <w:r>
        <w:rPr>
          <w:rFonts w:asciiTheme="minorEastAsia" w:hAnsiTheme="minorEastAsia" w:eastAsiaTheme="minorEastAsia"/>
          <w:color w:val="auto"/>
          <w:szCs w:val="21"/>
          <w:highlight w:val="none"/>
        </w:rPr>
        <w:t>浦东新区</w:t>
      </w:r>
      <w:r>
        <w:rPr>
          <w:rFonts w:hint="eastAsia" w:asciiTheme="minorEastAsia" w:hAnsiTheme="minorEastAsia" w:eastAsiaTheme="minorEastAsia"/>
          <w:color w:val="auto"/>
          <w:szCs w:val="21"/>
          <w:highlight w:val="none"/>
        </w:rPr>
        <w:t>花木街道合</w:t>
      </w:r>
      <w:r>
        <w:rPr>
          <w:rFonts w:asciiTheme="minorEastAsia" w:hAnsiTheme="minorEastAsia" w:eastAsiaTheme="minorEastAsia"/>
          <w:color w:val="auto"/>
          <w:szCs w:val="21"/>
          <w:highlight w:val="none"/>
        </w:rPr>
        <w:t>欢路</w:t>
      </w:r>
      <w:r>
        <w:rPr>
          <w:rFonts w:hint="eastAsia" w:asciiTheme="minorEastAsia" w:hAnsiTheme="minorEastAsia" w:eastAsiaTheme="minorEastAsia"/>
          <w:color w:val="auto"/>
          <w:szCs w:val="21"/>
          <w:highlight w:val="none"/>
        </w:rPr>
        <w:t>3</w:t>
      </w:r>
      <w:r>
        <w:rPr>
          <w:rFonts w:asciiTheme="minorEastAsia" w:hAnsiTheme="minorEastAsia" w:eastAsiaTheme="minorEastAsia"/>
          <w:color w:val="auto"/>
          <w:szCs w:val="21"/>
          <w:highlight w:val="none"/>
        </w:rPr>
        <w:t>00号</w:t>
      </w:r>
      <w:r>
        <w:rPr>
          <w:rFonts w:hint="eastAsia" w:asciiTheme="minorEastAsia" w:hAnsiTheme="minorEastAsia" w:eastAsiaTheme="minorEastAsia"/>
          <w:color w:val="auto"/>
          <w:szCs w:val="21"/>
          <w:highlight w:val="none"/>
        </w:rPr>
        <w:t>，上海图书馆东馆第一展厅（面积990平方米）。</w:t>
      </w:r>
    </w:p>
    <w:p>
      <w:pPr>
        <w:pStyle w:val="10"/>
        <w:numPr>
          <w:ilvl w:val="0"/>
          <w:numId w:val="1"/>
        </w:numPr>
        <w:adjustRightInd w:val="0"/>
        <w:snapToGrid w:val="0"/>
        <w:spacing w:line="360" w:lineRule="auto"/>
        <w:ind w:left="425" w:leftChars="0" w:hanging="425"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项目实施时间： 合同签订后</w:t>
      </w:r>
      <w:r>
        <w:rPr>
          <w:rFonts w:hint="eastAsia" w:asciiTheme="minorEastAsia" w:hAnsiTheme="minorEastAsia" w:eastAsiaTheme="minorEastAsia"/>
          <w:color w:val="auto"/>
          <w:szCs w:val="21"/>
          <w:highlight w:val="none"/>
          <w:lang w:val="en-US" w:eastAsia="zh-CN"/>
        </w:rPr>
        <w:t>60</w:t>
      </w:r>
      <w:r>
        <w:rPr>
          <w:rFonts w:hint="eastAsia" w:asciiTheme="minorEastAsia" w:hAnsiTheme="minorEastAsia" w:eastAsiaTheme="minorEastAsia"/>
          <w:color w:val="auto"/>
          <w:szCs w:val="21"/>
          <w:highlight w:val="none"/>
        </w:rPr>
        <w:t>个自然日内完成展览内容制作的设计深化及布展实施（含提交业主审查；并根据审查结果进行修改完善、制作及实施），</w:t>
      </w:r>
      <w:r>
        <w:rPr>
          <w:rFonts w:hint="eastAsia" w:asciiTheme="minorEastAsia" w:hAnsiTheme="minorEastAsia" w:eastAsiaTheme="minorEastAsia"/>
          <w:color w:val="auto"/>
          <w:szCs w:val="21"/>
          <w:highlight w:val="none"/>
          <w:lang w:val="en-US" w:eastAsia="zh-CN"/>
        </w:rPr>
        <w:t>2025年10月</w:t>
      </w:r>
      <w:r>
        <w:rPr>
          <w:rFonts w:hint="eastAsia" w:asciiTheme="minorEastAsia" w:hAnsiTheme="minorEastAsia" w:eastAsiaTheme="minorEastAsia"/>
          <w:color w:val="auto"/>
          <w:szCs w:val="21"/>
          <w:highlight w:val="none"/>
        </w:rPr>
        <w:t>完成展览所需设施设备的租赁与制作。展览计划于11月17日（前后调整时间不超过5天）开幕，开幕前完成搭建并验收通过，2026年2月下旬至3月上旬撤展。</w:t>
      </w:r>
    </w:p>
    <w:p>
      <w:pPr>
        <w:pStyle w:val="10"/>
        <w:numPr>
          <w:ilvl w:val="0"/>
          <w:numId w:val="0"/>
        </w:numPr>
        <w:adjustRightInd w:val="0"/>
        <w:snapToGrid w:val="0"/>
        <w:spacing w:line="360" w:lineRule="auto"/>
        <w:ind w:leftChars="0"/>
        <w:rPr>
          <w:rFonts w:asciiTheme="minorEastAsia" w:hAnsiTheme="minorEastAsia" w:eastAsiaTheme="minorEastAsia"/>
          <w:color w:val="auto"/>
          <w:szCs w:val="21"/>
          <w:highlight w:val="none"/>
        </w:rPr>
      </w:pPr>
    </w:p>
    <w:p>
      <w:pPr>
        <w:pStyle w:val="10"/>
        <w:widowControl w:val="0"/>
        <w:spacing w:line="360" w:lineRule="auto"/>
        <w:ind w:firstLine="0" w:firstLineChars="0"/>
        <w:jc w:val="both"/>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二、项目概况</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江南文化是中国文化的重要组成部分，它以水乡文化为基础，具有追求精致、讲求实际、顺应变化、不惧创新等内在特征，蕴含着开放包容、经世致用、优雅深邃、精益求精等精神品格。江南文化的形成与发展离不开士族学人等文化精英的致知力行、踵事增华。其中，苏州潘氏家族以科举致仕，世代簪缨，为江南文人官员、私家藏书之中坚。其藏书活动不仅体现了潘氏家族藏以传道、书以致远的文化理想，也构筑起一个跨越地域与时空的文化关系网，深刻影响着当时的社会风尚和学术氛围，成为了促进江南文化交流与繁荣的重要纽带。</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苏州潘氏所收藏的古籍既多且精，其中尤以潘祖荫滂喜斋、潘景郑宝山楼为代表，成就藏书史上之丰碑。上海图书馆作为苏州贵潘家族文献的重要收藏机构之一，藏有贵潘家族成员的大量书信、日记、文稿、手札、诗集以及家族成员珍藏的古籍善本、碑帖拓片等精品文献，是研究其家族历史、江南文化区域互动影响、士人学风传承的第一手资料。</w:t>
      </w:r>
      <w:r>
        <w:rPr>
          <w:rFonts w:asciiTheme="minorEastAsia" w:hAnsiTheme="minorEastAsia" w:eastAsiaTheme="minorEastAsia"/>
          <w:color w:val="auto"/>
          <w:szCs w:val="21"/>
          <w:highlight w:val="none"/>
        </w:rPr>
        <w:t xml:space="preserve"> </w:t>
      </w:r>
    </w:p>
    <w:p>
      <w:pPr>
        <w:spacing w:line="360" w:lineRule="auto"/>
        <w:ind w:firstLine="420" w:firstLineChars="20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“攟古继美——</w:t>
      </w:r>
      <w:r>
        <w:rPr>
          <w:rFonts w:asciiTheme="minorEastAsia" w:hAnsiTheme="minorEastAsia" w:eastAsiaTheme="minorEastAsia"/>
          <w:color w:val="auto"/>
          <w:szCs w:val="21"/>
          <w:highlight w:val="none"/>
        </w:rPr>
        <w:t>上海图书馆藏苏州潘氏典籍文献展</w:t>
      </w:r>
      <w:r>
        <w:rPr>
          <w:rFonts w:hint="eastAsia" w:asciiTheme="minorEastAsia" w:hAnsiTheme="minorEastAsia" w:eastAsiaTheme="minorEastAsia"/>
          <w:color w:val="auto"/>
          <w:szCs w:val="21"/>
          <w:highlight w:val="none"/>
        </w:rPr>
        <w:t>”（暂定名）作为2025年上海图书馆年度精品展，将立足馆藏，选取古籍、碑帖、尺牍、书画等各类历史文献一百五十余种，其中不乏有希见珍笈、孤本秘帙。同时，还将向其他收藏机构借展部分潘氏藏品，进一步丰富展览内容。展览以潘氏家族文献、家藏文献双轴叙事，自潘氏第一位进士潘奕隽始，至潘景郑终，纵向梳理潘氏家族的文化史事和收藏脉络，呈现其六代族人的生平交游及士风学风，力求以点带面地观察、展现清代整个江南学术史和文化史的发生发展，为重溯江南文化基因提供鲜活的精神原典，为新时代背景下进一步深化江南文化建设注入鲜活动力。</w:t>
      </w:r>
    </w:p>
    <w:p>
      <w:pPr>
        <w:spacing w:line="360" w:lineRule="auto"/>
        <w:ind w:firstLine="420" w:firstLineChars="20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为确保展览取得良好社会反响，计划邀请部分媒体进行宣传报道，制作宣传视频及宣传册，并计划在11月17日（前后调整时间不超过5天）举办开幕式。</w:t>
      </w:r>
    </w:p>
    <w:p>
      <w:pPr>
        <w:spacing w:line="360" w:lineRule="auto"/>
        <w:ind w:firstLine="420" w:firstLineChars="200"/>
        <w:rPr>
          <w:rFonts w:hint="eastAsia" w:asciiTheme="minorEastAsia" w:hAnsiTheme="minorEastAsia" w:eastAsiaTheme="minorEastAsia"/>
          <w:color w:val="auto"/>
          <w:szCs w:val="21"/>
          <w:highlight w:val="none"/>
        </w:rPr>
      </w:pPr>
    </w:p>
    <w:p>
      <w:pPr>
        <w:pStyle w:val="10"/>
        <w:widowControl w:val="0"/>
        <w:spacing w:line="360" w:lineRule="auto"/>
        <w:ind w:firstLine="0" w:firstLineChars="0"/>
        <w:jc w:val="both"/>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三、策划设计制作理念要求</w:t>
      </w:r>
    </w:p>
    <w:p>
      <w:pPr>
        <w:pStyle w:val="10"/>
        <w:widowControl w:val="0"/>
        <w:numPr>
          <w:ilvl w:val="0"/>
          <w:numId w:val="2"/>
        </w:numPr>
        <w:spacing w:line="360" w:lineRule="auto"/>
        <w:ind w:firstLineChars="0"/>
        <w:jc w:val="both"/>
        <w:textAlignment w:val="baseline"/>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条理清晰、重点突出。本次展览涉及的展品数量及文献种类较多，在内容和外观上各有侧重和特色。实际展示中须能在主题单元划分的基础之上，以善本、孤本等多种重点展品为中心，将所有展品进行有序的模块化组织，突出展品的历史价值、文献价值与艺术价值，以求在内容上逻辑顺畅，在视觉上舒适美观。</w:t>
      </w:r>
    </w:p>
    <w:p>
      <w:pPr>
        <w:pStyle w:val="10"/>
        <w:widowControl w:val="0"/>
        <w:numPr>
          <w:ilvl w:val="0"/>
          <w:numId w:val="2"/>
        </w:numPr>
        <w:spacing w:line="360" w:lineRule="auto"/>
        <w:ind w:firstLineChars="0"/>
        <w:jc w:val="both"/>
        <w:textAlignment w:val="baseline"/>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考虑分众化的观展需求。展览须同时具备学术功能和科普功能，既要能为专业观众提供知识传播和文化研究的平台，又要能使一般观众走进江南文人世界，共同领略潘氏藏书风采及士风文脉的传承，从而获得更为广泛的传播效应。</w:t>
      </w:r>
    </w:p>
    <w:p>
      <w:pPr>
        <w:pStyle w:val="10"/>
        <w:widowControl w:val="0"/>
        <w:numPr>
          <w:ilvl w:val="0"/>
          <w:numId w:val="2"/>
        </w:numPr>
        <w:spacing w:line="360" w:lineRule="auto"/>
        <w:ind w:firstLineChars="0"/>
        <w:jc w:val="both"/>
        <w:textAlignment w:val="baseline"/>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有效运用多种展陈手段，并使形式服务于内容。以展览内容与重点展品为中心，利用各种多媒体手段和数字技术，使展览拥有更强的互动性和沉浸感。同时，利用不同媒介提供多层次多角度的信息输出，缓解认知疲劳，更好地帮助文献“说话”，打造“好学、好看”的新时代展览。</w:t>
      </w:r>
    </w:p>
    <w:p>
      <w:pPr>
        <w:pStyle w:val="10"/>
        <w:widowControl w:val="0"/>
        <w:numPr>
          <w:ilvl w:val="0"/>
          <w:numId w:val="2"/>
        </w:numPr>
        <w:spacing w:line="360" w:lineRule="auto"/>
        <w:ind w:firstLineChars="0"/>
        <w:jc w:val="both"/>
        <w:textAlignment w:val="baseline"/>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设计元素具有辨识度。在展览主色调、图文版面、字体、装置造景等方面应具有一贯性和系统性，且处处与潘氏家族、文人雅集、金石藏书、江南文化等关键词挂钩，在视觉上构建展览的品牌效应。</w:t>
      </w:r>
    </w:p>
    <w:p>
      <w:pPr>
        <w:pStyle w:val="10"/>
        <w:widowControl w:val="0"/>
        <w:numPr>
          <w:ilvl w:val="0"/>
          <w:numId w:val="2"/>
        </w:numPr>
        <w:spacing w:line="360" w:lineRule="auto"/>
        <w:ind w:firstLineChars="0"/>
        <w:jc w:val="both"/>
        <w:textAlignment w:val="baseline"/>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设计制作内容必须满足我国图书馆、博物馆、文物保护、室内装饰等方面的相关规范，符合规定。</w:t>
      </w:r>
    </w:p>
    <w:p>
      <w:pPr>
        <w:spacing w:line="360" w:lineRule="auto"/>
        <w:rPr>
          <w:rFonts w:asciiTheme="minorEastAsia" w:hAnsiTheme="minorEastAsia" w:eastAsiaTheme="minorEastAsia"/>
          <w:b/>
          <w:color w:val="auto"/>
          <w:szCs w:val="21"/>
          <w:highlight w:val="none"/>
        </w:rPr>
      </w:pPr>
    </w:p>
    <w:p>
      <w:pPr>
        <w:spacing w:line="360" w:lineRule="auto"/>
        <w:rPr>
          <w:rFonts w:asciiTheme="minorEastAsia" w:hAnsiTheme="minorEastAsia" w:eastAsiaTheme="minorEastAsia"/>
          <w:b/>
          <w:color w:val="auto"/>
          <w:szCs w:val="21"/>
          <w:highlight w:val="none"/>
        </w:rPr>
      </w:pPr>
      <w:r>
        <w:rPr>
          <w:rFonts w:hint="eastAsia" w:asciiTheme="minorEastAsia" w:hAnsiTheme="minorEastAsia" w:eastAsiaTheme="minorEastAsia"/>
          <w:b/>
          <w:color w:val="auto"/>
          <w:szCs w:val="21"/>
          <w:highlight w:val="none"/>
        </w:rPr>
        <w:t>四、技术要求</w:t>
      </w: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展览策划制作要求</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展览策划制作包括但不限于江南风格置景等道具制作、强弱电线路布局以及灯光配置等展览涉及的所有必须品的策划、设计、制作以及运输安装和调试。</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展览策划立意要密切结合本次展览主题，要能突出展示馆藏善本，科学规划各类文献的展示方式，要能够采用数字化技术完成数字展品的展示及与观众的互动，能为工作带来推动与促进作用。展览布局应采用虚实结合、场景还原等多种技术手段营造浸入式的观展体验，展线清晰，导流合理。设计风格上，应结合展品的特性，充分体现古典优雅、底蕴深厚的江南文化氛围。</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所有制作过程以双方共同确认的制作文件（包括但不限于各类确认稿、预算确认表等）为准。若设计图纸及制作要求有任何修改或变动，需经双方确认签字方可进行制作。</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由中标方采购或租赁的包括但不限于材料、设备应不低于本技术要求所规定的参数以及</w:t>
      </w:r>
      <w:r>
        <w:rPr>
          <w:rFonts w:hint="eastAsia" w:asciiTheme="minorEastAsia" w:hAnsiTheme="minorEastAsia" w:eastAsiaTheme="minorEastAsia"/>
          <w:color w:val="auto"/>
          <w:szCs w:val="21"/>
          <w:highlight w:val="none"/>
          <w:lang w:eastAsia="zh-CN"/>
        </w:rPr>
        <w:t>采购人</w:t>
      </w:r>
      <w:r>
        <w:rPr>
          <w:rFonts w:hint="eastAsia" w:asciiTheme="minorEastAsia" w:hAnsiTheme="minorEastAsia" w:eastAsiaTheme="minorEastAsia"/>
          <w:color w:val="auto"/>
          <w:szCs w:val="21"/>
          <w:highlight w:val="none"/>
        </w:rPr>
        <w:t>的实际需求。</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施工期间，中标方需严格执行施工规范、安全操作规程、防火安全规定，妥善保护</w:t>
      </w:r>
      <w:r>
        <w:rPr>
          <w:rFonts w:hint="eastAsia" w:asciiTheme="minorEastAsia" w:hAnsiTheme="minorEastAsia" w:eastAsiaTheme="minorEastAsia"/>
          <w:color w:val="auto"/>
          <w:szCs w:val="21"/>
          <w:highlight w:val="none"/>
          <w:lang w:eastAsia="zh-CN"/>
        </w:rPr>
        <w:t>采购人</w:t>
      </w:r>
      <w:r>
        <w:rPr>
          <w:rFonts w:hint="eastAsia" w:asciiTheme="minorEastAsia" w:hAnsiTheme="minorEastAsia" w:eastAsiaTheme="minorEastAsia"/>
          <w:color w:val="auto"/>
          <w:szCs w:val="21"/>
          <w:highlight w:val="none"/>
        </w:rPr>
        <w:t>原有的装饰和设施，如损坏由中标方承担。不能按期开工或中途无故停工，影响工期应由中标方承担赔偿。</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施工图编制必须贯彻执行中华人民共和国和上海市有关工程建设的政策法令，符合中华人民共和国和上海市现行的建筑工程建设标准、设计规范（规程）和制图标准，遵守设计工作程序。设计文件应完整齐全，内容、深度要符合规定，对材料、施工工艺等文字说明和图纸均应表达清晰、准确、一致。</w:t>
      </w:r>
    </w:p>
    <w:p>
      <w:pPr>
        <w:numPr>
          <w:ilvl w:val="0"/>
          <w:numId w:val="4"/>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其他未尽事宜，由双方协商解决。</w:t>
      </w:r>
    </w:p>
    <w:p>
      <w:pPr>
        <w:suppressAutoHyphens/>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多媒体软件开发设计</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多媒体软件，包括但不限于在展厅内或外围常态化播放的视频、投影展项及其他现场多媒体互动装置。</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本次展览的多媒体软件需能够考虑历史文献资料因语言习惯、文字简繁对照、异体字等冷僻字的识别问题。</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多媒体的形式及硬件选择需要根据展厅及周边区域的实际条件因地制宜，保障其顺利运行。</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所有制作过程以双方共同确认的软件开发策划案为准。若策划案及涉及多媒体的其他标准、要求有任何修改或变动，需经双方确认签字方可进行制作。</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所有软件开发、测试以及运行均须遵守上海图书馆网络安全规范。</w:t>
      </w:r>
    </w:p>
    <w:p>
      <w:pPr>
        <w:numPr>
          <w:ilvl w:val="0"/>
          <w:numId w:val="5"/>
        </w:numPr>
        <w:suppressAutoHyphens/>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多媒体需提供与多媒体互动相互适应并稳定运行的硬件设备。</w:t>
      </w:r>
    </w:p>
    <w:p>
      <w:pPr>
        <w:suppressAutoHyphens/>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宣传品制作</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形成整套主视觉方案，并依照需要输出适用于线上线下各类场景的设计文件。</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制作本展览折页及单片主题宣传品。</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设计制作宣传海报、易拉宝等宣传品。</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各类现场导引指示牌。</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互动区印章的设计与制作。</w:t>
      </w:r>
    </w:p>
    <w:p>
      <w:pPr>
        <w:pStyle w:val="10"/>
        <w:widowControl w:val="0"/>
        <w:numPr>
          <w:ilvl w:val="0"/>
          <w:numId w:val="6"/>
        </w:numPr>
        <w:suppressAutoHyphens/>
        <w:spacing w:line="360" w:lineRule="auto"/>
        <w:ind w:firstLineChars="0"/>
        <w:jc w:val="both"/>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其它与展览直接相关的各项宣传物料，按需实时跟进。</w:t>
      </w:r>
    </w:p>
    <w:p>
      <w:pPr>
        <w:adjustRightInd w:val="0"/>
        <w:snapToGrid w:val="0"/>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开幕式要求</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开幕式时间拟定于11月17日（前后调整时间不超过5天），地点为上海图书馆东馆（合欢路300号）。</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开幕式活动流程策划。需包括领导发言、展览揭幕、展览图录等出版物发布、嘉宾导览等环节。</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开幕式的视觉效果设计方案。视觉设计美观、典雅，符合展览调性，与展陈主视觉方案相统一。</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场景搭建。包括但不限于发言台、揭幕台、桁架、观众席等部分的布置。场景用材须秉持环保、安全原则。搭建过程中不得损坏场馆地面、墙面等固有设施。搭建操作应控制时长和噪音，符合场馆安保相关规定。</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开幕式各类软硬件的租赁。视具体设计方案而定，包括但不限于麦克风、幕布、桌椅、专用视频或幻灯片及其它装饰品等等。所有软硬件设施须与场馆需求相契合。</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开幕式宣传短片的制作。宣传短片须以MP4等通行视频格式呈现。画幅尺寸需与场馆硬件设施匹配。</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相关道具的采购与制作。包括但不限于会议流程手册、邀请函等实体宣传物料，另视揭幕环节的具体设计需求采购相应道具。开幕式准备及进行期间须进行合理的道具清点和准备打包工作，以保证活动正常、顺利进行。</w:t>
      </w:r>
    </w:p>
    <w:p>
      <w:pPr>
        <w:numPr>
          <w:ilvl w:val="0"/>
          <w:numId w:val="7"/>
        </w:numPr>
        <w:adjustRightInd w:val="0"/>
        <w:snapToGrid w:val="0"/>
        <w:spacing w:line="360" w:lineRule="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开幕式结束后的撤场工作。根据</w:t>
      </w:r>
      <w:r>
        <w:rPr>
          <w:rFonts w:hint="eastAsia" w:asciiTheme="minorEastAsia" w:hAnsiTheme="minorEastAsia" w:eastAsiaTheme="minorEastAsia"/>
          <w:color w:val="auto"/>
          <w:szCs w:val="21"/>
          <w:highlight w:val="none"/>
          <w:lang w:eastAsia="zh-CN"/>
        </w:rPr>
        <w:t>采购人</w:t>
      </w:r>
      <w:r>
        <w:rPr>
          <w:rFonts w:hint="eastAsia" w:asciiTheme="minorEastAsia" w:hAnsiTheme="minorEastAsia" w:eastAsiaTheme="minorEastAsia"/>
          <w:color w:val="auto"/>
          <w:szCs w:val="21"/>
          <w:highlight w:val="none"/>
        </w:rPr>
        <w:t>需求移除或保留相应场景设施，清点开幕式所使用过的道具，配合</w:t>
      </w:r>
      <w:r>
        <w:rPr>
          <w:rFonts w:hint="eastAsia" w:asciiTheme="minorEastAsia" w:hAnsiTheme="minorEastAsia" w:eastAsiaTheme="minorEastAsia"/>
          <w:color w:val="auto"/>
          <w:szCs w:val="21"/>
          <w:highlight w:val="none"/>
          <w:lang w:eastAsia="zh-CN"/>
        </w:rPr>
        <w:t>采购人</w:t>
      </w:r>
      <w:r>
        <w:rPr>
          <w:rFonts w:hint="eastAsia" w:asciiTheme="minorEastAsia" w:hAnsiTheme="minorEastAsia" w:eastAsiaTheme="minorEastAsia"/>
          <w:color w:val="auto"/>
          <w:szCs w:val="21"/>
          <w:highlight w:val="none"/>
        </w:rPr>
        <w:t>完成归档工作。</w:t>
      </w:r>
    </w:p>
    <w:p>
      <w:pPr>
        <w:adjustRightInd w:val="0"/>
        <w:snapToGrid w:val="0"/>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撤展要求</w:t>
      </w:r>
    </w:p>
    <w:p>
      <w:pPr>
        <w:pStyle w:val="10"/>
        <w:numPr>
          <w:ilvl w:val="0"/>
          <w:numId w:val="8"/>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展览结束后搭建拆除，拆除过程中避免破坏原有设施</w:t>
      </w:r>
    </w:p>
    <w:p>
      <w:pPr>
        <w:pStyle w:val="10"/>
        <w:numPr>
          <w:ilvl w:val="0"/>
          <w:numId w:val="8"/>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 现场清理及垃圾运输</w:t>
      </w:r>
    </w:p>
    <w:p>
      <w:pPr>
        <w:adjustRightInd w:val="0"/>
        <w:snapToGrid w:val="0"/>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媒体宣传要求</w:t>
      </w:r>
    </w:p>
    <w:p>
      <w:pPr>
        <w:pStyle w:val="10"/>
        <w:numPr>
          <w:ilvl w:val="0"/>
          <w:numId w:val="9"/>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承担邀请部分媒体宣传报导本次展览的费用。</w:t>
      </w:r>
    </w:p>
    <w:p>
      <w:pPr>
        <w:pStyle w:val="10"/>
        <w:numPr>
          <w:ilvl w:val="0"/>
          <w:numId w:val="9"/>
        </w:numPr>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承担宣传视频的后期制作所产生的费用。</w:t>
      </w:r>
    </w:p>
    <w:p>
      <w:pPr>
        <w:adjustRightInd w:val="0"/>
        <w:snapToGrid w:val="0"/>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借展要求</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计划向其他收藏机构借展，总数不超过5种15册/件，承担借展所产生的相关费用，包括借展费、保险费、运输费等。借展周期与展览展期相同，约为3个月，要求借展过程中保障文物的安全性与完整性，全程在相关规定的指导下进行。</w:t>
      </w:r>
    </w:p>
    <w:p>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其他技术要求</w:t>
      </w:r>
    </w:p>
    <w:p>
      <w:pPr>
        <w:pStyle w:val="10"/>
        <w:numPr>
          <w:ilvl w:val="0"/>
          <w:numId w:val="10"/>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设计制作范围内因中标人方案所需，对原区域原基础设施所有产生的调整均由中标单位承担深化设计和施工工作，相关费用应包含在总报价中。若因方案引起的土建装饰、安防设施、消防设施的新增或改造内容应符合相关结构安全、技防、消防标准。</w:t>
      </w:r>
    </w:p>
    <w:p>
      <w:pPr>
        <w:pStyle w:val="10"/>
        <w:numPr>
          <w:ilvl w:val="0"/>
          <w:numId w:val="10"/>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在揭示原件的宣传推广制作中需提供符合可与原件直接接触的材料以保护原件。</w:t>
      </w:r>
    </w:p>
    <w:p>
      <w:pPr>
        <w:numPr>
          <w:ilvl w:val="0"/>
          <w:numId w:val="10"/>
        </w:numPr>
        <w:adjustRightInd w:val="0"/>
        <w:snapToGrid w:val="0"/>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在推广活动结束后，供应商应将场地还原（包含相关布置的拆除及租赁设备的撤回等）。</w:t>
      </w:r>
    </w:p>
    <w:p>
      <w:pPr>
        <w:adjustRightInd w:val="0"/>
        <w:snapToGrid w:val="0"/>
        <w:spacing w:line="360" w:lineRule="auto"/>
        <w:rPr>
          <w:rFonts w:asciiTheme="minorEastAsia" w:hAnsiTheme="minorEastAsia" w:eastAsiaTheme="minorEastAsia"/>
          <w:color w:val="auto"/>
          <w:szCs w:val="21"/>
          <w:highlight w:val="none"/>
        </w:rPr>
      </w:pPr>
    </w:p>
    <w:p>
      <w:pPr>
        <w:pStyle w:val="10"/>
        <w:numPr>
          <w:ilvl w:val="0"/>
          <w:numId w:val="3"/>
        </w:numPr>
        <w:adjustRightInd w:val="0"/>
        <w:snapToGrid w:val="0"/>
        <w:spacing w:line="360" w:lineRule="auto"/>
        <w:ind w:firstLineChars="0"/>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人员团队要求</w:t>
      </w:r>
    </w:p>
    <w:p>
      <w:pPr>
        <w:numPr>
          <w:ilvl w:val="0"/>
          <w:numId w:val="11"/>
        </w:numPr>
        <w:adjustRightInd w:val="0"/>
        <w:snapToGrid w:val="0"/>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 xml:space="preserve">项目经理具备建筑装饰或工程相关专业中级或以上工程师职称的为优； </w:t>
      </w:r>
    </w:p>
    <w:p>
      <w:pPr>
        <w:numPr>
          <w:ilvl w:val="0"/>
          <w:numId w:val="11"/>
        </w:numPr>
        <w:adjustRightInd w:val="0"/>
        <w:snapToGrid w:val="0"/>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设计负责人具备设计类或装饰类专业中级或以上工程师职称证书为优；</w:t>
      </w:r>
    </w:p>
    <w:p>
      <w:pPr>
        <w:numPr>
          <w:ilvl w:val="0"/>
          <w:numId w:val="11"/>
        </w:numPr>
        <w:adjustRightInd w:val="0"/>
        <w:snapToGrid w:val="0"/>
        <w:spacing w:line="360" w:lineRule="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rPr>
        <w:t>团队成员（除项目经理和设计负责人外）具有中级或以上工程师职称证书的不少于6人的为优，且应配备齐全施工员，质量员，安全员，资料员，材料员这五类人员</w:t>
      </w:r>
      <w:r>
        <w:rPr>
          <w:rFonts w:hint="eastAsia" w:asciiTheme="minorEastAsia" w:hAnsiTheme="minorEastAsia" w:eastAsiaTheme="minorEastAsia"/>
          <w:color w:val="auto"/>
          <w:szCs w:val="21"/>
          <w:highlight w:val="none"/>
          <w:lang w:eastAsia="zh-CN"/>
        </w:rPr>
        <w:t>，应有五年以上展览、展示项目的工作经历和经验</w:t>
      </w:r>
      <w:bookmarkStart w:id="1" w:name="_GoBack"/>
      <w:bookmarkEnd w:id="1"/>
      <w:r>
        <w:rPr>
          <w:rFonts w:hint="eastAsia" w:asciiTheme="minorEastAsia" w:hAnsiTheme="minorEastAsia" w:eastAsiaTheme="minorEastAsia"/>
          <w:color w:val="auto"/>
          <w:szCs w:val="21"/>
          <w:highlight w:val="none"/>
        </w:rPr>
        <w:t>。</w:t>
      </w:r>
    </w:p>
    <w:p>
      <w:pPr>
        <w:spacing w:line="360" w:lineRule="auto"/>
        <w:rPr>
          <w:rFonts w:asciiTheme="minorEastAsia" w:hAnsiTheme="minorEastAsia" w:eastAsiaTheme="minorEastAsia"/>
          <w:b/>
          <w:color w:val="auto"/>
          <w:szCs w:val="21"/>
          <w:highlight w:val="none"/>
        </w:rPr>
      </w:pPr>
    </w:p>
    <w:p>
      <w:pPr>
        <w:widowControl w:val="0"/>
        <w:spacing w:line="360" w:lineRule="auto"/>
        <w:jc w:val="both"/>
        <w:rPr>
          <w:rFonts w:ascii="宋体" w:hAnsi="宋体"/>
          <w:b/>
          <w:bCs/>
          <w:color w:val="auto"/>
          <w:szCs w:val="21"/>
          <w:highlight w:val="none"/>
        </w:rPr>
      </w:pPr>
      <w:r>
        <w:rPr>
          <w:rFonts w:hint="eastAsia" w:ascii="宋体" w:hAnsi="宋体"/>
          <w:b/>
          <w:bCs/>
          <w:color w:val="auto"/>
          <w:szCs w:val="21"/>
          <w:highlight w:val="none"/>
          <w:lang w:eastAsia="zh-CN"/>
        </w:rPr>
        <w:t>五</w:t>
      </w:r>
      <w:r>
        <w:rPr>
          <w:rFonts w:hint="eastAsia" w:ascii="宋体" w:hAnsi="宋体"/>
          <w:b/>
          <w:bCs/>
          <w:color w:val="auto"/>
          <w:szCs w:val="21"/>
          <w:highlight w:val="none"/>
        </w:rPr>
        <w:t>、验收条件及方式</w:t>
      </w:r>
    </w:p>
    <w:p>
      <w:pPr>
        <w:numPr>
          <w:ilvl w:val="0"/>
          <w:numId w:val="12"/>
        </w:numPr>
        <w:spacing w:line="360" w:lineRule="auto"/>
        <w:textAlignment w:val="baseline"/>
        <w:outlineLvl w:val="2"/>
        <w:rPr>
          <w:rFonts w:ascii="宋体" w:hAnsi="宋体"/>
          <w:color w:val="auto"/>
          <w:highlight w:val="none"/>
        </w:rPr>
      </w:pPr>
      <w:r>
        <w:rPr>
          <w:rFonts w:hint="eastAsia" w:ascii="宋体" w:hAnsi="宋体"/>
          <w:color w:val="auto"/>
          <w:szCs w:val="21"/>
          <w:highlight w:val="none"/>
        </w:rPr>
        <w:t>中标方要为</w:t>
      </w:r>
      <w:r>
        <w:rPr>
          <w:rFonts w:hint="eastAsia"/>
          <w:color w:val="auto"/>
          <w:szCs w:val="21"/>
          <w:highlight w:val="none"/>
        </w:rPr>
        <w:t>活动顺利开展，提供一份完整的验收、调试报告以及操作、保养、维修</w:t>
      </w:r>
      <w:r>
        <w:rPr>
          <w:rFonts w:hint="eastAsia" w:ascii="宋体" w:hAnsi="宋体"/>
          <w:color w:val="auto"/>
          <w:szCs w:val="21"/>
          <w:highlight w:val="none"/>
        </w:rPr>
        <w:t>培训等服务；</w:t>
      </w:r>
    </w:p>
    <w:p>
      <w:pPr>
        <w:numPr>
          <w:ilvl w:val="0"/>
          <w:numId w:val="12"/>
        </w:numPr>
        <w:spacing w:line="360" w:lineRule="auto"/>
        <w:textAlignment w:val="baseline"/>
        <w:outlineLvl w:val="2"/>
        <w:rPr>
          <w:rFonts w:ascii="宋体" w:hAnsi="宋体"/>
          <w:color w:val="auto"/>
          <w:highlight w:val="none"/>
        </w:rPr>
      </w:pPr>
      <w:r>
        <w:rPr>
          <w:rFonts w:hint="eastAsia" w:ascii="宋体" w:hAnsi="宋体"/>
          <w:color w:val="auto"/>
          <w:highlight w:val="none"/>
        </w:rPr>
        <w:t>中标方为</w:t>
      </w:r>
      <w:r>
        <w:rPr>
          <w:rFonts w:hint="eastAsia" w:ascii="宋体" w:hAnsi="宋体"/>
          <w:color w:val="auto"/>
          <w:highlight w:val="none"/>
          <w:lang w:eastAsia="zh-CN"/>
        </w:rPr>
        <w:t>采购人</w:t>
      </w:r>
      <w:r>
        <w:rPr>
          <w:rFonts w:hint="eastAsia" w:ascii="宋体" w:hAnsi="宋体"/>
          <w:color w:val="auto"/>
          <w:highlight w:val="none"/>
        </w:rPr>
        <w:t>相关人员的操作、保养、维修培训及通过有关部门的验收期间提供必要的技术支持和配合、获取准用证，直至交付使用和质量保证期内免费保养维修和质量保证期期满后的优惠保养维修等全部内容；</w:t>
      </w:r>
    </w:p>
    <w:p>
      <w:pPr>
        <w:numPr>
          <w:ilvl w:val="0"/>
          <w:numId w:val="12"/>
        </w:numPr>
        <w:spacing w:line="360" w:lineRule="auto"/>
        <w:textAlignment w:val="baseline"/>
        <w:outlineLvl w:val="2"/>
        <w:rPr>
          <w:rFonts w:ascii="宋体" w:hAnsi="宋体"/>
          <w:color w:val="auto"/>
          <w:szCs w:val="21"/>
          <w:highlight w:val="none"/>
        </w:rPr>
      </w:pPr>
      <w:r>
        <w:rPr>
          <w:rFonts w:hint="eastAsia" w:ascii="宋体" w:hAnsi="宋体"/>
          <w:color w:val="auto"/>
          <w:szCs w:val="21"/>
          <w:highlight w:val="none"/>
        </w:rPr>
        <w:t>协助</w:t>
      </w:r>
      <w:r>
        <w:rPr>
          <w:rFonts w:hint="eastAsia" w:ascii="宋体" w:hAnsi="宋体"/>
          <w:color w:val="auto"/>
          <w:szCs w:val="21"/>
          <w:highlight w:val="none"/>
          <w:lang w:eastAsia="zh-CN"/>
        </w:rPr>
        <w:t>采购人</w:t>
      </w:r>
      <w:r>
        <w:rPr>
          <w:rFonts w:hint="eastAsia" w:ascii="宋体" w:hAnsi="宋体"/>
          <w:color w:val="auto"/>
          <w:szCs w:val="21"/>
          <w:highlight w:val="none"/>
        </w:rPr>
        <w:t>和主管部门完成项目验收工作。验收按国家和上海市的有关技术标准与规范进行。</w:t>
      </w:r>
    </w:p>
    <w:p>
      <w:pPr>
        <w:spacing w:line="360" w:lineRule="auto"/>
        <w:ind w:left="425"/>
        <w:textAlignment w:val="baseline"/>
        <w:outlineLvl w:val="2"/>
        <w:rPr>
          <w:rFonts w:ascii="宋体" w:hAnsi="宋体"/>
          <w:color w:val="auto"/>
          <w:szCs w:val="21"/>
          <w:highlight w:val="none"/>
        </w:rPr>
      </w:pPr>
    </w:p>
    <w:p>
      <w:pPr>
        <w:widowControl w:val="0"/>
        <w:spacing w:line="360" w:lineRule="auto"/>
        <w:jc w:val="both"/>
        <w:rPr>
          <w:rFonts w:ascii="宋体" w:hAnsi="宋体"/>
          <w:color w:val="auto"/>
          <w:highlight w:val="none"/>
        </w:rPr>
      </w:pPr>
      <w:r>
        <w:rPr>
          <w:rFonts w:hint="eastAsia" w:ascii="宋体" w:hAnsi="宋体"/>
          <w:b/>
          <w:bCs/>
          <w:color w:val="auto"/>
          <w:szCs w:val="21"/>
          <w:highlight w:val="none"/>
          <w:lang w:eastAsia="zh-CN"/>
        </w:rPr>
        <w:t>六</w:t>
      </w:r>
      <w:r>
        <w:rPr>
          <w:rFonts w:hint="eastAsia" w:ascii="宋体" w:hAnsi="宋体"/>
          <w:b/>
          <w:bCs/>
          <w:color w:val="auto"/>
          <w:szCs w:val="21"/>
          <w:highlight w:val="none"/>
        </w:rPr>
        <w:t>、维保期</w:t>
      </w:r>
    </w:p>
    <w:p>
      <w:pPr>
        <w:widowControl w:val="0"/>
        <w:spacing w:line="360" w:lineRule="auto"/>
        <w:ind w:firstLine="420" w:firstLineChars="200"/>
        <w:jc w:val="both"/>
        <w:rPr>
          <w:rFonts w:ascii="宋体" w:hAnsi="宋体"/>
          <w:color w:val="auto"/>
          <w:highlight w:val="none"/>
        </w:rPr>
      </w:pPr>
      <w:r>
        <w:rPr>
          <w:rFonts w:hint="eastAsia" w:ascii="宋体" w:hAnsi="宋体"/>
          <w:color w:val="auto"/>
          <w:highlight w:val="none"/>
        </w:rPr>
        <w:t>开展至活动结束，在维保期出现任何故障，接到通知后，中标单位应及时派遣有经验的维修工程师赴现场提供免费维修服务。如果短时间内不能将故障处恢复，中标单位需提供相应补救措施，费用由中标单位承担。</w:t>
      </w:r>
    </w:p>
    <w:p>
      <w:pPr>
        <w:widowControl w:val="0"/>
        <w:spacing w:line="360" w:lineRule="auto"/>
        <w:jc w:val="both"/>
        <w:rPr>
          <w:rFonts w:ascii="宋体" w:hAnsi="宋体"/>
          <w:color w:val="auto"/>
          <w:highlight w:val="none"/>
        </w:rPr>
      </w:pPr>
      <w:r>
        <w:rPr>
          <w:rFonts w:hint="eastAsia" w:ascii="宋体" w:hAnsi="宋体"/>
          <w:color w:val="auto"/>
          <w:highlight w:val="none"/>
        </w:rPr>
        <w:t>供应商需承诺：</w:t>
      </w:r>
    </w:p>
    <w:p>
      <w:pPr>
        <w:widowControl w:val="0"/>
        <w:spacing w:line="360" w:lineRule="auto"/>
        <w:jc w:val="both"/>
        <w:rPr>
          <w:rFonts w:ascii="宋体" w:hAnsi="宋体"/>
          <w:color w:val="auto"/>
          <w:highlight w:val="none"/>
        </w:rPr>
      </w:pPr>
      <w:r>
        <w:rPr>
          <w:rFonts w:hint="eastAsia" w:ascii="宋体" w:hAnsi="宋体"/>
          <w:color w:val="auto"/>
          <w:highlight w:val="none"/>
        </w:rPr>
        <w:t>1.在采购人通知后12小时内赶到现场对问题进行处理；</w:t>
      </w:r>
    </w:p>
    <w:p>
      <w:pPr>
        <w:widowControl w:val="0"/>
        <w:spacing w:line="360" w:lineRule="auto"/>
        <w:jc w:val="both"/>
        <w:rPr>
          <w:rFonts w:ascii="宋体" w:hAnsi="宋体"/>
          <w:color w:val="auto"/>
          <w:highlight w:val="none"/>
        </w:rPr>
      </w:pPr>
      <w:r>
        <w:rPr>
          <w:rFonts w:hint="eastAsia" w:ascii="宋体" w:hAnsi="宋体"/>
          <w:color w:val="auto"/>
          <w:highlight w:val="none"/>
        </w:rPr>
        <w:t>2.如若涉及展品安全的问题承诺在保修人员到场后12小时内解决，如未涉及展品安全的问题承诺在2个工作日内解决。</w:t>
      </w:r>
    </w:p>
    <w:p>
      <w:pPr>
        <w:widowControl w:val="0"/>
        <w:spacing w:line="360" w:lineRule="auto"/>
        <w:jc w:val="both"/>
        <w:rPr>
          <w:rFonts w:ascii="宋体" w:hAnsi="宋体"/>
          <w:color w:val="auto"/>
          <w:highlight w:val="none"/>
        </w:rPr>
      </w:pPr>
      <w:r>
        <w:rPr>
          <w:rFonts w:hint="eastAsia" w:ascii="宋体" w:hAnsi="宋体"/>
          <w:color w:val="auto"/>
          <w:highlight w:val="none"/>
        </w:rPr>
        <w:t>以上均需提供明确且加盖公章的承诺函。</w:t>
      </w:r>
    </w:p>
    <w:p>
      <w:pPr>
        <w:widowControl w:val="0"/>
        <w:spacing w:line="360" w:lineRule="auto"/>
        <w:jc w:val="both"/>
        <w:rPr>
          <w:rFonts w:ascii="宋体" w:hAnsi="宋体"/>
          <w:color w:val="auto"/>
          <w:highlight w:val="none"/>
        </w:rPr>
      </w:pPr>
    </w:p>
    <w:p>
      <w:pPr>
        <w:widowControl w:val="0"/>
        <w:spacing w:line="360" w:lineRule="auto"/>
        <w:jc w:val="both"/>
        <w:rPr>
          <w:rFonts w:ascii="宋体" w:hAnsi="宋体"/>
          <w:color w:val="auto"/>
          <w:highlight w:val="none"/>
        </w:rPr>
      </w:pPr>
      <w:r>
        <w:rPr>
          <w:rFonts w:hint="eastAsia" w:ascii="宋体" w:hAnsi="宋体"/>
          <w:b/>
          <w:bCs/>
          <w:color w:val="auto"/>
          <w:highlight w:val="none"/>
          <w:lang w:eastAsia="zh-CN"/>
        </w:rPr>
        <w:t>七</w:t>
      </w:r>
      <w:r>
        <w:rPr>
          <w:rFonts w:hint="eastAsia" w:ascii="宋体" w:hAnsi="宋体"/>
          <w:b/>
          <w:bCs/>
          <w:color w:val="auto"/>
          <w:highlight w:val="none"/>
        </w:rPr>
        <w:t>、相关文献保护标准</w:t>
      </w:r>
    </w:p>
    <w:p>
      <w:pPr>
        <w:widowControl w:val="0"/>
        <w:numPr>
          <w:ilvl w:val="0"/>
          <w:numId w:val="13"/>
        </w:numPr>
        <w:spacing w:line="360" w:lineRule="auto"/>
        <w:jc w:val="both"/>
        <w:rPr>
          <w:rFonts w:ascii="宋体" w:hAnsi="宋体"/>
          <w:color w:val="auto"/>
          <w:highlight w:val="none"/>
        </w:rPr>
      </w:pPr>
      <w:r>
        <w:rPr>
          <w:rFonts w:hint="eastAsia" w:ascii="宋体" w:hAnsi="宋体"/>
          <w:color w:val="auto"/>
          <w:highlight w:val="none"/>
        </w:rPr>
        <w:t>布展期间的安全应符合《文物系统博物馆风险等级和安全防护级别的规定》（国标）。</w:t>
      </w:r>
    </w:p>
    <w:p>
      <w:pPr>
        <w:widowControl w:val="0"/>
        <w:numPr>
          <w:ilvl w:val="0"/>
          <w:numId w:val="13"/>
        </w:numPr>
        <w:spacing w:line="360" w:lineRule="auto"/>
        <w:jc w:val="both"/>
        <w:rPr>
          <w:rFonts w:ascii="宋体" w:hAnsi="宋体"/>
          <w:color w:val="auto"/>
          <w:highlight w:val="none"/>
        </w:rPr>
      </w:pPr>
      <w:r>
        <w:rPr>
          <w:rFonts w:hint="eastAsia" w:ascii="宋体" w:hAnsi="宋体"/>
          <w:color w:val="auto"/>
          <w:highlight w:val="none"/>
        </w:rPr>
        <w:t>展厅展具的相关要求应符合《图书馆古籍特藏书库基本要求》（国标）。</w:t>
      </w:r>
    </w:p>
    <w:p>
      <w:pPr>
        <w:widowControl w:val="0"/>
        <w:numPr>
          <w:ilvl w:val="0"/>
          <w:numId w:val="13"/>
        </w:numPr>
        <w:spacing w:line="360" w:lineRule="auto"/>
        <w:jc w:val="both"/>
        <w:rPr>
          <w:rFonts w:ascii="宋体" w:hAnsi="宋体"/>
          <w:color w:val="auto"/>
          <w:highlight w:val="none"/>
        </w:rPr>
      </w:pPr>
      <w:r>
        <w:rPr>
          <w:rFonts w:hint="eastAsia" w:ascii="宋体" w:hAnsi="宋体"/>
          <w:color w:val="auto"/>
          <w:highlight w:val="none"/>
        </w:rPr>
        <w:t>其他未尽事宜参照《中华人民共和国文物保护法》等其他法律规范规定执行。</w:t>
      </w:r>
    </w:p>
    <w:p>
      <w:pPr>
        <w:widowControl w:val="0"/>
        <w:spacing w:line="360" w:lineRule="auto"/>
        <w:jc w:val="both"/>
        <w:rPr>
          <w:rFonts w:ascii="宋体" w:hAnsi="宋体"/>
          <w:color w:val="auto"/>
          <w:highlight w:val="none"/>
        </w:rPr>
      </w:pPr>
    </w:p>
    <w:p>
      <w:pPr>
        <w:widowControl w:val="0"/>
        <w:spacing w:line="360" w:lineRule="auto"/>
        <w:jc w:val="both"/>
        <w:rPr>
          <w:rFonts w:ascii="宋体" w:hAnsi="宋体"/>
          <w:b/>
          <w:bCs/>
          <w:color w:val="auto"/>
          <w:highlight w:val="none"/>
        </w:rPr>
      </w:pPr>
      <w:r>
        <w:rPr>
          <w:rFonts w:hint="eastAsia" w:ascii="宋体" w:hAnsi="宋体"/>
          <w:b/>
          <w:bCs/>
          <w:color w:val="auto"/>
          <w:highlight w:val="none"/>
          <w:lang w:eastAsia="zh-CN"/>
        </w:rPr>
        <w:t>八</w:t>
      </w:r>
      <w:r>
        <w:rPr>
          <w:rFonts w:hint="eastAsia" w:ascii="宋体" w:hAnsi="宋体"/>
          <w:b/>
          <w:bCs/>
          <w:color w:val="auto"/>
          <w:highlight w:val="none"/>
        </w:rPr>
        <w:t>、附录</w:t>
      </w:r>
    </w:p>
    <w:p>
      <w:pPr>
        <w:widowControl w:val="0"/>
        <w:spacing w:line="360" w:lineRule="auto"/>
        <w:jc w:val="both"/>
        <w:rPr>
          <w:rFonts w:ascii="宋体" w:hAnsi="宋体"/>
          <w:color w:val="auto"/>
          <w:highlight w:val="none"/>
        </w:rPr>
      </w:pPr>
      <w:r>
        <w:rPr>
          <w:rFonts w:hint="eastAsia" w:ascii="宋体" w:hAnsi="宋体"/>
          <w:color w:val="auto"/>
          <w:highlight w:val="none"/>
        </w:rPr>
        <w:t>展览大纲：</w:t>
      </w:r>
    </w:p>
    <w:p>
      <w:pPr>
        <w:widowControl w:val="0"/>
        <w:spacing w:line="360" w:lineRule="auto"/>
        <w:jc w:val="both"/>
        <w:rPr>
          <w:rFonts w:ascii="宋体" w:hAnsi="宋体"/>
          <w:color w:val="auto"/>
          <w:highlight w:val="none"/>
        </w:rPr>
      </w:pPr>
      <w:r>
        <w:rPr>
          <w:rFonts w:hint="eastAsia" w:ascii="宋体" w:hAnsi="宋体"/>
          <w:color w:val="auto"/>
          <w:highlight w:val="none"/>
        </w:rPr>
        <w:t>第一展区：家族文献：</w:t>
      </w:r>
    </w:p>
    <w:p>
      <w:pPr>
        <w:widowControl w:val="0"/>
        <w:spacing w:line="360" w:lineRule="auto"/>
        <w:jc w:val="both"/>
        <w:rPr>
          <w:rFonts w:ascii="宋体" w:hAnsi="宋体"/>
          <w:color w:val="auto"/>
          <w:highlight w:val="none"/>
        </w:rPr>
      </w:pPr>
      <w:r>
        <w:rPr>
          <w:rFonts w:hint="eastAsia" w:ascii="宋体" w:hAnsi="宋体"/>
          <w:color w:val="auto"/>
          <w:highlight w:val="none"/>
        </w:rPr>
        <w:t>一  缘起：簪缨世第，文脉肇基（潘奕隽）</w:t>
      </w:r>
    </w:p>
    <w:p>
      <w:pPr>
        <w:widowControl w:val="0"/>
        <w:spacing w:line="360" w:lineRule="auto"/>
        <w:jc w:val="both"/>
        <w:rPr>
          <w:rFonts w:ascii="宋体" w:hAnsi="宋体"/>
          <w:color w:val="auto"/>
          <w:highlight w:val="none"/>
        </w:rPr>
      </w:pPr>
      <w:r>
        <w:rPr>
          <w:rFonts w:hint="eastAsia" w:ascii="宋体" w:hAnsi="宋体"/>
          <w:color w:val="auto"/>
          <w:highlight w:val="none"/>
        </w:rPr>
        <w:t>二  扩展：克绍箕裘，邺架琳琅（潘世恩、潘遵祁等）</w:t>
      </w:r>
    </w:p>
    <w:p>
      <w:pPr>
        <w:widowControl w:val="0"/>
        <w:spacing w:line="360" w:lineRule="auto"/>
        <w:jc w:val="both"/>
        <w:rPr>
          <w:rFonts w:ascii="宋体" w:hAnsi="宋体"/>
          <w:color w:val="auto"/>
          <w:highlight w:val="none"/>
        </w:rPr>
      </w:pPr>
      <w:r>
        <w:rPr>
          <w:rFonts w:hint="eastAsia" w:ascii="宋体" w:hAnsi="宋体"/>
          <w:color w:val="auto"/>
          <w:highlight w:val="none"/>
        </w:rPr>
        <w:t>三  颠峰：金石承绪，鼎铭千秋（潘祖荫）</w:t>
      </w:r>
    </w:p>
    <w:p>
      <w:pPr>
        <w:widowControl w:val="0"/>
        <w:spacing w:line="360" w:lineRule="auto"/>
        <w:jc w:val="both"/>
        <w:rPr>
          <w:rFonts w:ascii="宋体" w:hAnsi="宋体"/>
          <w:color w:val="auto"/>
          <w:highlight w:val="none"/>
        </w:rPr>
      </w:pPr>
      <w:r>
        <w:rPr>
          <w:rFonts w:hint="eastAsia" w:ascii="宋体" w:hAnsi="宋体"/>
          <w:color w:val="auto"/>
          <w:highlight w:val="none"/>
        </w:rPr>
        <w:t>四  延续：家学一脉，缃帙薪传（潘志万等）</w:t>
      </w:r>
    </w:p>
    <w:p>
      <w:pPr>
        <w:widowControl w:val="0"/>
        <w:spacing w:line="360" w:lineRule="auto"/>
        <w:jc w:val="both"/>
        <w:rPr>
          <w:rFonts w:ascii="宋体" w:hAnsi="宋体"/>
          <w:color w:val="auto"/>
          <w:highlight w:val="none"/>
        </w:rPr>
      </w:pPr>
      <w:r>
        <w:rPr>
          <w:rFonts w:hint="eastAsia" w:ascii="宋体" w:hAnsi="宋体"/>
          <w:color w:val="auto"/>
          <w:highlight w:val="none"/>
        </w:rPr>
        <w:t>五  绝响：私璞成华，公鉴流芳（潘承厚、潘承弼）</w:t>
      </w:r>
    </w:p>
    <w:p>
      <w:pPr>
        <w:widowControl w:val="0"/>
        <w:spacing w:line="360" w:lineRule="auto"/>
        <w:jc w:val="both"/>
        <w:rPr>
          <w:rFonts w:ascii="宋体" w:hAnsi="宋体"/>
          <w:color w:val="auto"/>
          <w:highlight w:val="none"/>
        </w:rPr>
      </w:pPr>
      <w:r>
        <w:rPr>
          <w:rFonts w:hint="eastAsia" w:ascii="宋体" w:hAnsi="宋体"/>
          <w:color w:val="auto"/>
          <w:highlight w:val="none"/>
        </w:rPr>
        <w:t>第二展区：家族收藏：</w:t>
      </w:r>
    </w:p>
    <w:p>
      <w:pPr>
        <w:widowControl w:val="0"/>
        <w:spacing w:line="360" w:lineRule="auto"/>
        <w:jc w:val="both"/>
        <w:rPr>
          <w:rFonts w:ascii="宋体" w:hAnsi="宋体"/>
          <w:color w:val="auto"/>
          <w:highlight w:val="none"/>
        </w:rPr>
      </w:pPr>
      <w:r>
        <w:rPr>
          <w:rFonts w:hint="eastAsia" w:ascii="宋体" w:hAnsi="宋体"/>
          <w:color w:val="auto"/>
          <w:highlight w:val="none"/>
        </w:rPr>
        <w:t>一  诸潘及滂喜斋藏品</w:t>
      </w:r>
    </w:p>
    <w:p>
      <w:pPr>
        <w:widowControl w:val="0"/>
        <w:spacing w:line="360" w:lineRule="auto"/>
        <w:jc w:val="both"/>
        <w:rPr>
          <w:rFonts w:ascii="宋体" w:hAnsi="宋体"/>
          <w:color w:val="auto"/>
          <w:highlight w:val="none"/>
        </w:rPr>
      </w:pPr>
      <w:r>
        <w:rPr>
          <w:rFonts w:hint="eastAsia" w:ascii="宋体" w:hAnsi="宋体"/>
          <w:color w:val="auto"/>
          <w:highlight w:val="none"/>
        </w:rPr>
        <w:t>二  诸潘及宝山楼藏品</w:t>
      </w:r>
    </w:p>
    <w:p>
      <w:pPr>
        <w:widowControl w:val="0"/>
        <w:spacing w:line="360" w:lineRule="auto"/>
        <w:jc w:val="both"/>
        <w:rPr>
          <w:rFonts w:ascii="宋体" w:hAnsi="宋体"/>
          <w:color w:val="auto"/>
          <w:highlight w:val="none"/>
        </w:rPr>
      </w:pPr>
    </w:p>
    <w:p>
      <w:pPr>
        <w:widowControl w:val="0"/>
        <w:spacing w:line="360" w:lineRule="auto"/>
        <w:jc w:val="both"/>
        <w:rPr>
          <w:rFonts w:ascii="宋体" w:hAnsi="宋体"/>
          <w:color w:val="auto"/>
          <w:highlight w:val="none"/>
        </w:rPr>
      </w:pPr>
      <w:r>
        <w:rPr>
          <w:rFonts w:hint="eastAsia" w:ascii="宋体" w:hAnsi="宋体"/>
          <w:color w:val="auto"/>
          <w:highlight w:val="none"/>
        </w:rPr>
        <w:t>展品清单：</w:t>
      </w:r>
    </w:p>
    <w:tbl>
      <w:tblPr>
        <w:tblStyle w:val="7"/>
        <w:tblW w:w="7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3705"/>
        <w:gridCol w:w="1386"/>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hint="eastAsia" w:ascii="宋体" w:hAnsi="宋体"/>
                <w:color w:val="auto"/>
                <w:highlight w:val="none"/>
              </w:rPr>
              <w:t>展区</w:t>
            </w:r>
          </w:p>
        </w:tc>
        <w:tc>
          <w:tcPr>
            <w:tcW w:w="3705" w:type="dxa"/>
            <w:shd w:val="clear" w:color="auto" w:fill="auto"/>
          </w:tcPr>
          <w:p>
            <w:pPr>
              <w:rPr>
                <w:rFonts w:ascii="宋体" w:hAnsi="宋体"/>
                <w:color w:val="auto"/>
                <w:highlight w:val="none"/>
              </w:rPr>
            </w:pPr>
            <w:r>
              <w:rPr>
                <w:rFonts w:hint="eastAsia" w:ascii="宋体" w:hAnsi="宋体"/>
                <w:color w:val="auto"/>
                <w:highlight w:val="none"/>
              </w:rPr>
              <w:t>展品名</w:t>
            </w:r>
          </w:p>
        </w:tc>
        <w:tc>
          <w:tcPr>
            <w:tcW w:w="1386" w:type="dxa"/>
            <w:shd w:val="clear" w:color="auto" w:fill="auto"/>
          </w:tcPr>
          <w:p>
            <w:pPr>
              <w:rPr>
                <w:rFonts w:ascii="宋体" w:hAnsi="宋体"/>
                <w:color w:val="auto"/>
                <w:highlight w:val="none"/>
              </w:rPr>
            </w:pPr>
            <w:r>
              <w:rPr>
                <w:rFonts w:hint="eastAsia" w:ascii="宋体" w:hAnsi="宋体"/>
                <w:color w:val="auto"/>
                <w:highlight w:val="none"/>
              </w:rPr>
              <w:t>版本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w:t>
            </w:r>
            <w:r>
              <w:rPr>
                <w:rFonts w:ascii="宋体" w:hAnsi="宋体"/>
                <w:color w:val="auto"/>
                <w:highlight w:val="none"/>
              </w:rPr>
              <w:t>文</w:t>
            </w:r>
            <w:r>
              <w:rPr>
                <w:rFonts w:hint="eastAsia" w:ascii="宋体" w:hAnsi="宋体"/>
                <w:color w:val="auto"/>
                <w:highlight w:val="none"/>
              </w:rPr>
              <w:t>恭</w:t>
            </w:r>
            <w:r>
              <w:rPr>
                <w:rFonts w:ascii="宋体" w:hAnsi="宋体"/>
                <w:color w:val="auto"/>
                <w:highlight w:val="none"/>
              </w:rPr>
              <w:t>公家书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潘文恭公家书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潘奕隽致黄易手札（黄 小松友朋手札）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潘奕隽致钱泳手札（清代各家书札丙之一）</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潘奕隽致钱泳（清诸家墨迹）</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袁枚/王鸣盛手札（三松堂鱼素检存）</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段玉裁/潘奕藻手札（同上）</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潘文勤公书札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w:t>
            </w:r>
            <w:r>
              <w:rPr>
                <w:rFonts w:ascii="宋体" w:hAnsi="宋体"/>
                <w:color w:val="auto"/>
                <w:highlight w:val="none"/>
              </w:rPr>
              <w:t>文</w:t>
            </w:r>
            <w:r>
              <w:rPr>
                <w:rFonts w:hint="eastAsia" w:ascii="宋体" w:hAnsi="宋体"/>
                <w:color w:val="auto"/>
                <w:highlight w:val="none"/>
              </w:rPr>
              <w:t>勤公</w:t>
            </w:r>
            <w:r>
              <w:rPr>
                <w:rFonts w:ascii="宋体" w:hAnsi="宋体"/>
                <w:color w:val="auto"/>
                <w:highlight w:val="none"/>
              </w:rPr>
              <w:t>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w:t>
            </w:r>
            <w:r>
              <w:rPr>
                <w:rFonts w:ascii="宋体" w:hAnsi="宋体"/>
                <w:color w:val="auto"/>
                <w:highlight w:val="none"/>
              </w:rPr>
              <w:t>荫致</w:t>
            </w:r>
            <w:r>
              <w:rPr>
                <w:rFonts w:hint="eastAsia" w:ascii="宋体" w:hAnsi="宋体"/>
                <w:color w:val="auto"/>
                <w:highlight w:val="none"/>
              </w:rPr>
              <w:t>李</w:t>
            </w:r>
            <w:r>
              <w:rPr>
                <w:rFonts w:ascii="宋体" w:hAnsi="宋体"/>
                <w:color w:val="auto"/>
                <w:highlight w:val="none"/>
              </w:rPr>
              <w:t>鸿藻手札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潘祖荫致陆心源手札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潘祖荫致张鸣珂手札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单页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潘祖荫致吴云手札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潘祖荫致俞樾手札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潘祖荫致胡义赞手札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潘祖荫致徐琪手札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潘祖荫致李鸿裔手札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潘祖荫致汪柳门手札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潘祖荫致潘祖谦手札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潘祖荫致潘钟瑞手札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潘祖荫致潘钟瑞手札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潘祖荫致吴大征手札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潘祖荫致吴大征手札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潘祖荫致王懿荣手札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潘祖荫致鲍康手札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潘祖荫致鲍康手札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潘祖荫致胡澍手札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潘祖荫致潘钟瑞手札（香禅精舍尺牍）</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潘祖荫手札（清季各家尺牍）</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潘祖荫手札（清季各家尺牍）</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潘志万致潘钟瑞手札（香禅精舍尺牍）</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潘祖荫致叶昌炽手札（叶菊裳先生师友手札）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潘志万致叶昌炽手札（叶菊裳先生师友手札）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潘祖荫致陈介祺手札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散页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陈簠斋尺牍</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龙树院唱和图咏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潘文勤日记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潘曾莹墨缘小录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潘曾莹小鸥波馆日记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潘曾绶陔兰书屋日记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ascii="宋体" w:hAnsi="宋体"/>
                <w:color w:val="auto"/>
                <w:highlight w:val="none"/>
              </w:rPr>
              <w:t>潘曾绶绂亭日记</w:t>
            </w:r>
          </w:p>
        </w:tc>
        <w:tc>
          <w:tcPr>
            <w:tcW w:w="1386" w:type="dxa"/>
            <w:shd w:val="clear" w:color="auto" w:fill="auto"/>
          </w:tcPr>
          <w:p>
            <w:pPr>
              <w:rPr>
                <w:rFonts w:ascii="宋体" w:hAnsi="宋体"/>
                <w:color w:val="auto"/>
                <w:highlight w:val="none"/>
              </w:rPr>
            </w:pPr>
            <w:r>
              <w:rPr>
                <w:rFonts w:ascii="宋体" w:hAnsi="宋体"/>
                <w:color w:val="auto"/>
                <w:highlight w:val="none"/>
              </w:rPr>
              <w:t>稿本</w:t>
            </w:r>
          </w:p>
        </w:tc>
        <w:tc>
          <w:tcPr>
            <w:tcW w:w="1733" w:type="dxa"/>
            <w:shd w:val="clear" w:color="auto" w:fill="auto"/>
          </w:tcPr>
          <w:p>
            <w:pPr>
              <w:rPr>
                <w:rFonts w:ascii="宋体" w:hAnsi="宋体"/>
                <w:color w:val="auto"/>
                <w:highlight w:val="none"/>
              </w:rPr>
            </w:pPr>
            <w:r>
              <w:rPr>
                <w:rFonts w:ascii="宋体" w:hAnsi="宋体"/>
                <w:color w:val="auto"/>
                <w:highlight w:val="none"/>
              </w:rPr>
              <w:t>线装</w:t>
            </w:r>
            <w:r>
              <w:rPr>
                <w:rFonts w:hint="eastAsia" w:ascii="宋体" w:hAnsi="宋体"/>
                <w:color w:val="auto"/>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ascii="宋体" w:hAnsi="宋体"/>
                <w:color w:val="auto"/>
                <w:highlight w:val="none"/>
              </w:rPr>
              <w:t>潘世恩思补老人自订年谱</w:t>
            </w:r>
          </w:p>
        </w:tc>
        <w:tc>
          <w:tcPr>
            <w:tcW w:w="1386" w:type="dxa"/>
            <w:shd w:val="clear" w:color="auto" w:fill="auto"/>
          </w:tcPr>
          <w:p>
            <w:pPr>
              <w:rPr>
                <w:rFonts w:ascii="宋体" w:hAnsi="宋体"/>
                <w:color w:val="auto"/>
                <w:highlight w:val="none"/>
              </w:rPr>
            </w:pPr>
            <w:r>
              <w:rPr>
                <w:rFonts w:ascii="宋体" w:hAnsi="宋体"/>
                <w:color w:val="auto"/>
                <w:highlight w:val="none"/>
              </w:rPr>
              <w:t>稿本</w:t>
            </w:r>
          </w:p>
        </w:tc>
        <w:tc>
          <w:tcPr>
            <w:tcW w:w="1733" w:type="dxa"/>
            <w:shd w:val="clear" w:color="auto" w:fill="auto"/>
          </w:tcPr>
          <w:p>
            <w:pPr>
              <w:rPr>
                <w:rFonts w:ascii="宋体" w:hAnsi="宋体"/>
                <w:color w:val="auto"/>
                <w:highlight w:val="none"/>
              </w:rPr>
            </w:pPr>
            <w:r>
              <w:rPr>
                <w:rFonts w:ascii="宋体" w:hAnsi="宋体"/>
                <w:color w:val="auto"/>
                <w:highlight w:val="none"/>
              </w:rPr>
              <w:t>线装</w:t>
            </w:r>
            <w:r>
              <w:rPr>
                <w:rFonts w:hint="eastAsia" w:ascii="宋体" w:hAnsi="宋体"/>
                <w:color w:val="auto"/>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潘钟瑞致潘祖荫手札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ascii="宋体" w:hAnsi="宋体"/>
                <w:color w:val="auto"/>
                <w:highlight w:val="none"/>
              </w:rPr>
              <w:t>潘钟瑞鄂行日记</w:t>
            </w:r>
          </w:p>
        </w:tc>
        <w:tc>
          <w:tcPr>
            <w:tcW w:w="1386" w:type="dxa"/>
            <w:shd w:val="clear" w:color="auto" w:fill="auto"/>
          </w:tcPr>
          <w:p>
            <w:pPr>
              <w:rPr>
                <w:rFonts w:ascii="宋体" w:hAnsi="宋体"/>
                <w:color w:val="auto"/>
                <w:highlight w:val="none"/>
              </w:rPr>
            </w:pPr>
            <w:r>
              <w:rPr>
                <w:rFonts w:ascii="宋体" w:hAnsi="宋体"/>
                <w:color w:val="auto"/>
                <w:highlight w:val="none"/>
              </w:rPr>
              <w:t>稿本</w:t>
            </w:r>
          </w:p>
        </w:tc>
        <w:tc>
          <w:tcPr>
            <w:tcW w:w="1733" w:type="dxa"/>
            <w:shd w:val="clear" w:color="auto" w:fill="auto"/>
          </w:tcPr>
          <w:p>
            <w:pPr>
              <w:rPr>
                <w:rFonts w:ascii="宋体" w:hAnsi="宋体"/>
                <w:color w:val="auto"/>
                <w:highlight w:val="none"/>
              </w:rPr>
            </w:pPr>
            <w:r>
              <w:rPr>
                <w:rFonts w:ascii="宋体" w:hAnsi="宋体"/>
                <w:color w:val="auto"/>
                <w:highlight w:val="none"/>
              </w:rPr>
              <w:t>线装</w:t>
            </w:r>
            <w:r>
              <w:rPr>
                <w:rFonts w:hint="eastAsia" w:ascii="宋体" w:hAnsi="宋体"/>
                <w:color w:val="auto"/>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张之洞致潘祖荫手札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吴重熹致潘祖荫手札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李文田致潘祖荫手札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吴大征致潘祖荫手札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潘曾沂手札（吴县潘氏一家书札）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墨迹1</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盂鼎克鼎释文</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散页2</w:t>
            </w:r>
            <w:r>
              <w:rPr>
                <w:rFonts w:ascii="宋体" w:hAnsi="宋体"/>
                <w:color w:val="auto"/>
                <w:highlight w:val="none"/>
              </w:rPr>
              <w:t>5</w:t>
            </w:r>
            <w:r>
              <w:rPr>
                <w:rFonts w:hint="eastAsia" w:ascii="宋体" w:hAnsi="宋体"/>
                <w:color w:val="auto"/>
                <w:highlight w:val="none"/>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西圃图</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手卷1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寿墨簃图咏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昙花图</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潘厚致叶恭绰手札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章太炎致潘景郑手札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张菊生丈遗札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张菊生叶遐庵丈手札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hint="eastAsia"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长啸轩诗稿</w:t>
            </w:r>
          </w:p>
        </w:tc>
        <w:tc>
          <w:tcPr>
            <w:tcW w:w="1386" w:type="dxa"/>
            <w:shd w:val="clear" w:color="auto" w:fill="auto"/>
          </w:tcPr>
          <w:p>
            <w:pPr>
              <w:rPr>
                <w:rFonts w:ascii="宋体" w:hAnsi="宋体"/>
                <w:color w:val="auto"/>
                <w:highlight w:val="none"/>
              </w:rPr>
            </w:pPr>
            <w:r>
              <w:rPr>
                <w:rFonts w:hint="eastAsia" w:ascii="宋体" w:hAnsi="宋体"/>
                <w:color w:val="auto"/>
                <w:highlight w:val="none"/>
              </w:rPr>
              <w:t>潘钟瑞抄本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滂喜斋藏书记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一</w:t>
            </w:r>
          </w:p>
        </w:tc>
        <w:tc>
          <w:tcPr>
            <w:tcW w:w="3705" w:type="dxa"/>
            <w:shd w:val="clear" w:color="auto" w:fill="auto"/>
          </w:tcPr>
          <w:p>
            <w:pPr>
              <w:rPr>
                <w:rFonts w:ascii="宋体" w:hAnsi="宋体"/>
                <w:color w:val="auto"/>
                <w:highlight w:val="none"/>
              </w:rPr>
            </w:pPr>
            <w:r>
              <w:rPr>
                <w:rFonts w:hint="eastAsia" w:ascii="宋体" w:hAnsi="宋体"/>
                <w:color w:val="auto"/>
                <w:highlight w:val="none"/>
              </w:rPr>
              <w:t>滂喜斋藏书记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吴云致吴大征手札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徐积余友朋手札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徐积余友朋手札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刘融斋熙载先生殿试策</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施注苏诗</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清康熙刻本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延煦堂金文拓本目</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抄本（胡石查等）</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藏书家印记序跋</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周益文忠公集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秀水朱氏家乘</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抄本（潘志万）</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金石补编</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抄本（潘志万）</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投笔集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浣花集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香隐盦祠</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清咸丰刻本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郡斋读书志</w:t>
            </w:r>
          </w:p>
        </w:tc>
        <w:tc>
          <w:tcPr>
            <w:tcW w:w="1386" w:type="dxa"/>
            <w:shd w:val="clear" w:color="auto" w:fill="auto"/>
          </w:tcPr>
          <w:p>
            <w:pPr>
              <w:rPr>
                <w:rFonts w:ascii="宋体" w:hAnsi="宋体"/>
                <w:color w:val="auto"/>
                <w:highlight w:val="none"/>
              </w:rPr>
            </w:pPr>
            <w:r>
              <w:rPr>
                <w:rFonts w:hint="eastAsia" w:ascii="宋体" w:hAnsi="宋体"/>
                <w:color w:val="auto"/>
                <w:highlight w:val="none"/>
              </w:rPr>
              <w:t>旧抄本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陆右丞蹈海录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历代帝王法帖释文考异</w:t>
            </w:r>
          </w:p>
        </w:tc>
        <w:tc>
          <w:tcPr>
            <w:tcW w:w="1386" w:type="dxa"/>
            <w:shd w:val="clear" w:color="auto" w:fill="auto"/>
          </w:tcPr>
          <w:p>
            <w:pPr>
              <w:rPr>
                <w:rFonts w:ascii="宋体" w:hAnsi="宋体"/>
                <w:color w:val="auto"/>
                <w:highlight w:val="none"/>
              </w:rPr>
            </w:pPr>
            <w:r>
              <w:rPr>
                <w:rFonts w:hint="eastAsia" w:ascii="宋体" w:hAnsi="宋体"/>
                <w:color w:val="auto"/>
                <w:highlight w:val="none"/>
              </w:rPr>
              <w:t>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篆书万象名义</w:t>
            </w:r>
          </w:p>
        </w:tc>
        <w:tc>
          <w:tcPr>
            <w:tcW w:w="1386" w:type="dxa"/>
            <w:shd w:val="clear" w:color="auto" w:fill="auto"/>
          </w:tcPr>
          <w:p>
            <w:pPr>
              <w:rPr>
                <w:rFonts w:ascii="宋体" w:hAnsi="宋体"/>
                <w:color w:val="auto"/>
                <w:highlight w:val="none"/>
              </w:rPr>
            </w:pPr>
            <w:r>
              <w:rPr>
                <w:rFonts w:hint="eastAsia" w:ascii="宋体" w:hAnsi="宋体"/>
                <w:color w:val="auto"/>
                <w:highlight w:val="none"/>
              </w:rPr>
              <w:t>日本抄本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礼记集说</w:t>
            </w:r>
          </w:p>
        </w:tc>
        <w:tc>
          <w:tcPr>
            <w:tcW w:w="1386" w:type="dxa"/>
            <w:shd w:val="clear" w:color="auto" w:fill="auto"/>
          </w:tcPr>
          <w:p>
            <w:pPr>
              <w:rPr>
                <w:rFonts w:ascii="宋体" w:hAnsi="宋体"/>
                <w:color w:val="auto"/>
                <w:highlight w:val="none"/>
              </w:rPr>
            </w:pPr>
            <w:r>
              <w:rPr>
                <w:rFonts w:hint="eastAsia" w:ascii="宋体" w:hAnsi="宋体"/>
                <w:color w:val="auto"/>
                <w:highlight w:val="none"/>
              </w:rPr>
              <w:t>元刻本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汉书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清同治金陵书局刻本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毛诗故训传</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清嘉庆十二年 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南史（册一、册二）</w:t>
            </w:r>
          </w:p>
        </w:tc>
        <w:tc>
          <w:tcPr>
            <w:tcW w:w="1386" w:type="dxa"/>
            <w:shd w:val="clear" w:color="auto" w:fill="auto"/>
          </w:tcPr>
          <w:p>
            <w:pPr>
              <w:rPr>
                <w:rFonts w:ascii="宋体" w:hAnsi="宋体"/>
                <w:color w:val="auto"/>
                <w:highlight w:val="none"/>
              </w:rPr>
            </w:pPr>
            <w:r>
              <w:rPr>
                <w:rFonts w:hint="eastAsia" w:ascii="宋体" w:hAnsi="宋体"/>
                <w:color w:val="auto"/>
                <w:highlight w:val="none"/>
              </w:rPr>
              <w:t>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怀心斋书目初稿</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论语竢质</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清元和管氏抄本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左传读</w:t>
            </w:r>
          </w:p>
        </w:tc>
        <w:tc>
          <w:tcPr>
            <w:tcW w:w="1386" w:type="dxa"/>
            <w:shd w:val="clear" w:color="auto" w:fill="auto"/>
          </w:tcPr>
          <w:p>
            <w:pPr>
              <w:rPr>
                <w:rFonts w:ascii="宋体" w:hAnsi="宋体"/>
                <w:color w:val="auto"/>
                <w:highlight w:val="none"/>
              </w:rPr>
            </w:pPr>
            <w:r>
              <w:rPr>
                <w:rFonts w:hint="eastAsia" w:ascii="宋体" w:hAnsi="宋体"/>
                <w:color w:val="auto"/>
                <w:highlight w:val="none"/>
              </w:rPr>
              <w:t>章太炎手稿</w:t>
            </w:r>
          </w:p>
        </w:tc>
        <w:tc>
          <w:tcPr>
            <w:tcW w:w="1733" w:type="dxa"/>
            <w:shd w:val="clear" w:color="auto" w:fill="auto"/>
          </w:tcPr>
          <w:p>
            <w:pPr>
              <w:rPr>
                <w:rFonts w:ascii="宋体" w:hAnsi="宋体"/>
                <w:color w:val="auto"/>
                <w:highlight w:val="none"/>
              </w:rPr>
            </w:pPr>
            <w:r>
              <w:rPr>
                <w:rFonts w:hint="eastAsia" w:ascii="宋体" w:hAnsi="宋体"/>
                <w:color w:val="auto"/>
                <w:highlight w:val="none"/>
              </w:rPr>
              <w:t>毛订1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自述学术次第</w:t>
            </w:r>
          </w:p>
        </w:tc>
        <w:tc>
          <w:tcPr>
            <w:tcW w:w="1386" w:type="dxa"/>
            <w:shd w:val="clear" w:color="auto" w:fill="auto"/>
          </w:tcPr>
          <w:p>
            <w:pPr>
              <w:rPr>
                <w:rFonts w:ascii="宋体" w:hAnsi="宋体"/>
                <w:color w:val="auto"/>
                <w:highlight w:val="none"/>
              </w:rPr>
            </w:pPr>
            <w:r>
              <w:rPr>
                <w:rFonts w:hint="eastAsia" w:ascii="宋体" w:hAnsi="宋体"/>
                <w:color w:val="auto"/>
                <w:highlight w:val="none"/>
              </w:rPr>
              <w:t>章太炎手稿</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守山阁丛书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辛臼簃诗讔</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梁溪祠选</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管子</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行朝录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盐铁论</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清初刻本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绍陶录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w:t>
            </w:r>
            <w:r>
              <w:rPr>
                <w:rFonts w:hint="eastAsia" w:ascii="宋体" w:hAnsi="宋体"/>
                <w:color w:val="auto"/>
                <w:highlight w:val="none"/>
              </w:rPr>
              <w:t>函套1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云山日记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包背装1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虞山先哲小纪</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w:t>
            </w:r>
            <w:r>
              <w:rPr>
                <w:rFonts w:hint="eastAsia" w:ascii="宋体" w:hAnsi="宋体"/>
                <w:color w:val="auto"/>
                <w:highlight w:val="none"/>
              </w:rPr>
              <w:t>函套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元朝征缅录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w:t>
            </w:r>
            <w:r>
              <w:rPr>
                <w:rFonts w:hint="eastAsia" w:ascii="宋体" w:hAnsi="宋体"/>
                <w:color w:val="auto"/>
                <w:highlight w:val="none"/>
              </w:rPr>
              <w:t>函套1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明通鉴</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清初抄本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线装3</w:t>
            </w:r>
            <w:r>
              <w:rPr>
                <w:rFonts w:ascii="宋体" w:hAnsi="宋体"/>
                <w:color w:val="auto"/>
                <w:highlight w:val="none"/>
              </w:rPr>
              <w:t>/</w:t>
            </w:r>
            <w:r>
              <w:rPr>
                <w:rFonts w:hint="eastAsia" w:ascii="宋体" w:hAnsi="宋体"/>
                <w:color w:val="auto"/>
                <w:highlight w:val="none"/>
              </w:rPr>
              <w:t>函套1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越绝书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影名嘉靖抄本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w:t>
            </w:r>
            <w:r>
              <w:rPr>
                <w:rFonts w:hint="eastAsia" w:ascii="宋体" w:hAnsi="宋体"/>
                <w:color w:val="auto"/>
                <w:highlight w:val="none"/>
              </w:rPr>
              <w:t>函套1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京畿金石考</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过叔度家传</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管子按</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吉云居书画录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青虚山房集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魏上尊号碑</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清拓</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许真人井铭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宋拓宋装</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读书敏求记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初刻本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道因法师碑</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宋拓</w:t>
            </w:r>
          </w:p>
        </w:tc>
        <w:tc>
          <w:tcPr>
            <w:tcW w:w="1733" w:type="dxa"/>
            <w:shd w:val="clear" w:color="auto" w:fill="auto"/>
          </w:tcPr>
          <w:p>
            <w:pPr>
              <w:rPr>
                <w:rFonts w:ascii="宋体" w:hAnsi="宋体"/>
                <w:color w:val="auto"/>
                <w:highlight w:val="none"/>
              </w:rPr>
            </w:pPr>
            <w:r>
              <w:rPr>
                <w:rFonts w:hint="eastAsia" w:ascii="宋体" w:hAnsi="宋体"/>
                <w:color w:val="auto"/>
                <w:highlight w:val="none"/>
              </w:rPr>
              <w:t>册页1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唐卢正道碑</w:t>
            </w:r>
          </w:p>
        </w:tc>
        <w:tc>
          <w:tcPr>
            <w:tcW w:w="1386" w:type="dxa"/>
            <w:shd w:val="clear" w:color="auto" w:fill="auto"/>
          </w:tcPr>
          <w:p>
            <w:pPr>
              <w:rPr>
                <w:rFonts w:ascii="宋体" w:hAnsi="宋体"/>
                <w:color w:val="auto"/>
                <w:highlight w:val="none"/>
              </w:rPr>
            </w:pPr>
            <w:r>
              <w:rPr>
                <w:rFonts w:hint="eastAsia" w:ascii="宋体" w:hAnsi="宋体"/>
                <w:color w:val="auto"/>
                <w:highlight w:val="none"/>
              </w:rPr>
              <w:t>清拓</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章吉老墓志</w:t>
            </w:r>
          </w:p>
        </w:tc>
        <w:tc>
          <w:tcPr>
            <w:tcW w:w="1386" w:type="dxa"/>
            <w:shd w:val="clear" w:color="auto" w:fill="auto"/>
          </w:tcPr>
          <w:p>
            <w:pPr>
              <w:rPr>
                <w:rFonts w:ascii="宋体" w:hAnsi="宋体"/>
                <w:color w:val="auto"/>
                <w:highlight w:val="none"/>
              </w:rPr>
            </w:pPr>
            <w:r>
              <w:rPr>
                <w:rFonts w:hint="eastAsia" w:ascii="宋体" w:hAnsi="宋体"/>
                <w:color w:val="auto"/>
                <w:highlight w:val="none"/>
              </w:rPr>
              <w:t>明拓</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唐敬节法师塔铭</w:t>
            </w:r>
          </w:p>
        </w:tc>
        <w:tc>
          <w:tcPr>
            <w:tcW w:w="1386" w:type="dxa"/>
            <w:shd w:val="clear" w:color="auto" w:fill="auto"/>
          </w:tcPr>
          <w:p>
            <w:pPr>
              <w:rPr>
                <w:rFonts w:ascii="宋体" w:hAnsi="宋体"/>
                <w:color w:val="auto"/>
                <w:highlight w:val="none"/>
              </w:rPr>
            </w:pPr>
            <w:r>
              <w:rPr>
                <w:rFonts w:hint="eastAsia" w:ascii="宋体" w:hAnsi="宋体"/>
                <w:color w:val="auto"/>
                <w:highlight w:val="none"/>
              </w:rPr>
              <w:t>拓本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唐梁师亮墓志</w:t>
            </w:r>
          </w:p>
        </w:tc>
        <w:tc>
          <w:tcPr>
            <w:tcW w:w="1386" w:type="dxa"/>
            <w:shd w:val="clear" w:color="auto" w:fill="auto"/>
          </w:tcPr>
          <w:p>
            <w:pPr>
              <w:rPr>
                <w:rFonts w:ascii="宋体" w:hAnsi="宋体"/>
                <w:color w:val="auto"/>
                <w:highlight w:val="none"/>
              </w:rPr>
            </w:pPr>
            <w:r>
              <w:rPr>
                <w:rFonts w:hint="eastAsia" w:ascii="宋体" w:hAnsi="宋体"/>
                <w:color w:val="auto"/>
                <w:highlight w:val="none"/>
              </w:rPr>
              <w:t>拓本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化度寺碑</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宋拓本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虞恭公碑</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宋拓本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经折1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金石录</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金石录十卷人家印歌</w:t>
            </w:r>
          </w:p>
        </w:tc>
        <w:tc>
          <w:tcPr>
            <w:tcW w:w="1386" w:type="dxa"/>
            <w:shd w:val="clear" w:color="auto" w:fill="auto"/>
          </w:tcPr>
          <w:p>
            <w:pPr>
              <w:rPr>
                <w:rFonts w:ascii="宋体" w:hAnsi="宋体"/>
                <w:color w:val="auto"/>
                <w:highlight w:val="none"/>
              </w:rPr>
            </w:pPr>
            <w:r>
              <w:rPr>
                <w:rFonts w:hint="eastAsia" w:ascii="宋体" w:hAnsi="宋体"/>
                <w:color w:val="auto"/>
                <w:highlight w:val="none"/>
              </w:rPr>
              <w:t>墨迹</w:t>
            </w:r>
          </w:p>
        </w:tc>
        <w:tc>
          <w:tcPr>
            <w:tcW w:w="1733" w:type="dxa"/>
            <w:shd w:val="clear" w:color="auto" w:fill="auto"/>
          </w:tcPr>
          <w:p>
            <w:pPr>
              <w:rPr>
                <w:rFonts w:ascii="宋体" w:hAnsi="宋体"/>
                <w:color w:val="auto"/>
                <w:highlight w:val="none"/>
              </w:rPr>
            </w:pPr>
            <w:r>
              <w:rPr>
                <w:rFonts w:hint="eastAsia" w:ascii="宋体" w:hAnsi="宋体"/>
                <w:color w:val="auto"/>
                <w:highlight w:val="none"/>
              </w:rPr>
              <w:t>手卷1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考工记</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线装8（函套2）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西畴居士春秋本例</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广韵</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礼部韵略</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孔丛子</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诸儒鸣道集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汉隽</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周髀算经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孙子算经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张丘建算经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东观余论</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杜工部集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宋刻毛抄本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九章算经</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梁溪先生文集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后村先生大全诗集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藏书家印记序跋</w:t>
            </w:r>
          </w:p>
        </w:tc>
        <w:tc>
          <w:tcPr>
            <w:tcW w:w="1386" w:type="dxa"/>
            <w:shd w:val="clear" w:color="auto" w:fill="auto"/>
          </w:tcPr>
          <w:p>
            <w:pPr>
              <w:rPr>
                <w:rFonts w:ascii="宋体" w:hAnsi="宋体"/>
                <w:color w:val="auto"/>
                <w:highlight w:val="none"/>
              </w:rPr>
            </w:pPr>
            <w:r>
              <w:rPr>
                <w:rFonts w:hint="eastAsia" w:ascii="宋体" w:hAnsi="宋体"/>
                <w:color w:val="auto"/>
                <w:highlight w:val="none"/>
              </w:rPr>
              <w:t>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王荆川唐百家诗选</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3叶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侍郎葛公归愚集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2叶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颜氏家训</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9叶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白虎通</w:t>
            </w:r>
          </w:p>
        </w:tc>
        <w:tc>
          <w:tcPr>
            <w:tcW w:w="1386" w:type="dxa"/>
            <w:shd w:val="clear" w:color="auto" w:fill="auto"/>
          </w:tcPr>
          <w:p>
            <w:pPr>
              <w:rPr>
                <w:rFonts w:ascii="宋体" w:hAnsi="宋体"/>
                <w:color w:val="auto"/>
                <w:highlight w:val="none"/>
              </w:rPr>
            </w:pPr>
            <w:r>
              <w:rPr>
                <w:rFonts w:hint="eastAsia" w:ascii="宋体" w:hAnsi="宋体"/>
                <w:color w:val="auto"/>
                <w:highlight w:val="none"/>
              </w:rPr>
              <w:t>元刻本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雪楼程先生文集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明洪武刻本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存复斋文集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明成化刻本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皇朝仕学规范</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静春堂集</w:t>
            </w:r>
          </w:p>
        </w:tc>
        <w:tc>
          <w:tcPr>
            <w:tcW w:w="1386" w:type="dxa"/>
            <w:shd w:val="clear" w:color="auto" w:fill="auto"/>
          </w:tcPr>
          <w:p>
            <w:pPr>
              <w:rPr>
                <w:rFonts w:ascii="宋体" w:hAnsi="宋体"/>
                <w:color w:val="auto"/>
                <w:highlight w:val="none"/>
              </w:rPr>
            </w:pPr>
            <w:r>
              <w:rPr>
                <w:rFonts w:hint="eastAsia" w:ascii="宋体" w:hAnsi="宋体"/>
                <w:color w:val="auto"/>
                <w:highlight w:val="none"/>
              </w:rPr>
              <w:t>明抄本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宋季三朝政要</w:t>
            </w:r>
          </w:p>
        </w:tc>
        <w:tc>
          <w:tcPr>
            <w:tcW w:w="1386" w:type="dxa"/>
            <w:shd w:val="clear" w:color="auto" w:fill="auto"/>
          </w:tcPr>
          <w:p>
            <w:pPr>
              <w:rPr>
                <w:rFonts w:ascii="宋体" w:hAnsi="宋体"/>
                <w:color w:val="auto"/>
                <w:highlight w:val="none"/>
              </w:rPr>
            </w:pPr>
            <w:r>
              <w:rPr>
                <w:rFonts w:hint="eastAsia" w:ascii="宋体" w:hAnsi="宋体"/>
                <w:color w:val="auto"/>
                <w:highlight w:val="none"/>
              </w:rPr>
              <w:t>元刻本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吕氏春秋</w:t>
            </w:r>
          </w:p>
        </w:tc>
        <w:tc>
          <w:tcPr>
            <w:tcW w:w="1386" w:type="dxa"/>
            <w:shd w:val="clear" w:color="auto" w:fill="auto"/>
          </w:tcPr>
          <w:p>
            <w:pPr>
              <w:rPr>
                <w:rFonts w:ascii="宋体" w:hAnsi="宋体"/>
                <w:color w:val="auto"/>
                <w:highlight w:val="none"/>
              </w:rPr>
            </w:pPr>
            <w:r>
              <w:rPr>
                <w:rFonts w:hint="eastAsia" w:ascii="宋体" w:hAnsi="宋体"/>
                <w:color w:val="auto"/>
                <w:highlight w:val="none"/>
              </w:rPr>
              <w:t>元至正刻本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四书</w:t>
            </w:r>
          </w:p>
        </w:tc>
        <w:tc>
          <w:tcPr>
            <w:tcW w:w="1386" w:type="dxa"/>
            <w:shd w:val="clear" w:color="auto" w:fill="auto"/>
          </w:tcPr>
          <w:p>
            <w:pPr>
              <w:rPr>
                <w:rFonts w:ascii="宋体" w:hAnsi="宋体"/>
                <w:color w:val="auto"/>
                <w:highlight w:val="none"/>
              </w:rPr>
            </w:pPr>
            <w:r>
              <w:rPr>
                <w:rFonts w:hint="eastAsia" w:ascii="宋体" w:hAnsi="宋体"/>
                <w:color w:val="auto"/>
                <w:highlight w:val="none"/>
              </w:rPr>
              <w:t>元刻本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海东金石苑</w:t>
            </w:r>
          </w:p>
        </w:tc>
        <w:tc>
          <w:tcPr>
            <w:tcW w:w="1386" w:type="dxa"/>
            <w:shd w:val="clear" w:color="auto" w:fill="auto"/>
          </w:tcPr>
          <w:p>
            <w:pPr>
              <w:rPr>
                <w:rFonts w:ascii="宋体" w:hAnsi="宋体"/>
                <w:color w:val="auto"/>
                <w:highlight w:val="none"/>
              </w:rPr>
            </w:pPr>
            <w:r>
              <w:rPr>
                <w:rFonts w:hint="eastAsia" w:ascii="宋体" w:hAnsi="宋体"/>
                <w:color w:val="auto"/>
                <w:highlight w:val="none"/>
              </w:rPr>
              <w:t>稿本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通鉴纪事本末</w:t>
            </w:r>
          </w:p>
        </w:tc>
        <w:tc>
          <w:tcPr>
            <w:tcW w:w="1386" w:type="dxa"/>
            <w:shd w:val="clear" w:color="auto" w:fill="auto"/>
          </w:tcPr>
          <w:p>
            <w:pPr>
              <w:rPr>
                <w:rFonts w:ascii="宋体" w:hAnsi="宋体"/>
                <w:color w:val="auto"/>
                <w:highlight w:val="none"/>
              </w:rPr>
            </w:pPr>
            <w:r>
              <w:rPr>
                <w:rFonts w:hint="eastAsia" w:ascii="宋体" w:hAnsi="宋体"/>
                <w:color w:val="auto"/>
                <w:highlight w:val="none"/>
              </w:rPr>
              <w:t>宋刻元明递修本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线装1</w:t>
            </w:r>
            <w:r>
              <w:rPr>
                <w:rFonts w:ascii="宋体" w:hAnsi="宋体"/>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 w:type="dxa"/>
            <w:shd w:val="clear" w:color="auto" w:fill="auto"/>
          </w:tcPr>
          <w:p>
            <w:pPr>
              <w:rPr>
                <w:rFonts w:ascii="宋体" w:hAnsi="宋体"/>
                <w:color w:val="auto"/>
                <w:highlight w:val="none"/>
              </w:rPr>
            </w:pPr>
            <w:r>
              <w:rPr>
                <w:rFonts w:ascii="宋体" w:hAnsi="宋体"/>
                <w:color w:val="auto"/>
                <w:highlight w:val="none"/>
              </w:rPr>
              <w:t>二</w:t>
            </w:r>
          </w:p>
        </w:tc>
        <w:tc>
          <w:tcPr>
            <w:tcW w:w="3705" w:type="dxa"/>
            <w:shd w:val="clear" w:color="auto" w:fill="auto"/>
          </w:tcPr>
          <w:p>
            <w:pPr>
              <w:rPr>
                <w:rFonts w:ascii="宋体" w:hAnsi="宋体"/>
                <w:color w:val="auto"/>
                <w:highlight w:val="none"/>
              </w:rPr>
            </w:pPr>
            <w:r>
              <w:rPr>
                <w:rFonts w:hint="eastAsia" w:ascii="宋体" w:hAnsi="宋体"/>
                <w:color w:val="auto"/>
                <w:highlight w:val="none"/>
              </w:rPr>
              <w:t>法帖释文</w:t>
            </w:r>
          </w:p>
        </w:tc>
        <w:tc>
          <w:tcPr>
            <w:tcW w:w="1386" w:type="dxa"/>
            <w:shd w:val="clear" w:color="auto" w:fill="auto"/>
          </w:tcPr>
          <w:p>
            <w:pPr>
              <w:rPr>
                <w:rFonts w:ascii="宋体" w:hAnsi="宋体"/>
                <w:color w:val="auto"/>
                <w:highlight w:val="none"/>
              </w:rPr>
            </w:pPr>
            <w:r>
              <w:rPr>
                <w:rFonts w:hint="eastAsia" w:ascii="宋体" w:hAnsi="宋体"/>
                <w:color w:val="auto"/>
                <w:highlight w:val="none"/>
              </w:rPr>
              <w:t>明刻百川学海本</w:t>
            </w:r>
          </w:p>
        </w:tc>
        <w:tc>
          <w:tcPr>
            <w:tcW w:w="1733" w:type="dxa"/>
            <w:shd w:val="clear" w:color="auto" w:fill="auto"/>
          </w:tcPr>
          <w:p>
            <w:pPr>
              <w:rPr>
                <w:rFonts w:ascii="宋体" w:hAnsi="宋体"/>
                <w:color w:val="auto"/>
                <w:highlight w:val="none"/>
              </w:rPr>
            </w:pPr>
            <w:r>
              <w:rPr>
                <w:rFonts w:hint="eastAsia" w:ascii="宋体" w:hAnsi="宋体"/>
                <w:color w:val="auto"/>
                <w:highlight w:val="none"/>
              </w:rPr>
              <w:t>线装2</w:t>
            </w:r>
          </w:p>
        </w:tc>
      </w:tr>
    </w:tbl>
    <w:p>
      <w:pPr>
        <w:widowControl w:val="0"/>
        <w:spacing w:line="360" w:lineRule="auto"/>
        <w:jc w:val="both"/>
        <w:rPr>
          <w:rFonts w:ascii="宋体" w:hAnsi="宋体"/>
          <w:color w:val="auto"/>
          <w:highlight w:val="none"/>
        </w:rPr>
      </w:pPr>
    </w:p>
    <w:p>
      <w:pPr>
        <w:widowControl w:val="0"/>
        <w:spacing w:line="360" w:lineRule="auto"/>
        <w:jc w:val="both"/>
        <w:rPr>
          <w:rFonts w:hint="eastAsia" w:ascii="宋体" w:hAnsi="宋体" w:eastAsia="宋体"/>
          <w:b/>
          <w:bCs/>
          <w:color w:val="auto"/>
          <w:highlight w:val="none"/>
          <w:lang w:eastAsia="zh-CN"/>
        </w:rPr>
      </w:pPr>
      <w:r>
        <w:rPr>
          <w:rFonts w:hint="eastAsia" w:ascii="宋体" w:hAnsi="宋体" w:eastAsia="宋体"/>
          <w:b/>
          <w:bCs/>
          <w:color w:val="auto"/>
          <w:highlight w:val="none"/>
          <w:lang w:eastAsia="zh-CN"/>
        </w:rPr>
        <w:t>九、附件（展厅平面图）</w:t>
      </w:r>
    </w:p>
    <w:p>
      <w:pPr>
        <w:widowControl w:val="0"/>
        <w:spacing w:line="360" w:lineRule="auto"/>
        <w:jc w:val="both"/>
        <w:rPr>
          <w:rFonts w:hint="eastAsia" w:cs="Times New Roman" w:asciiTheme="minorEastAsia" w:hAnsiTheme="minorEastAsia" w:eastAsiaTheme="minorEastAsia"/>
          <w:color w:val="auto"/>
          <w:kern w:val="2"/>
          <w:sz w:val="21"/>
          <w:szCs w:val="21"/>
          <w:highlight w:val="none"/>
          <w:lang w:val="en-US" w:eastAsia="zh-CN" w:bidi="ar-SA"/>
        </w:rPr>
      </w:pPr>
      <w:r>
        <w:rPr>
          <w:rFonts w:hint="eastAsia" w:cs="Times New Roman" w:asciiTheme="minorEastAsia" w:hAnsiTheme="minorEastAsia" w:eastAsiaTheme="minorEastAsia"/>
          <w:color w:val="auto"/>
          <w:kern w:val="2"/>
          <w:sz w:val="21"/>
          <w:szCs w:val="21"/>
          <w:highlight w:val="none"/>
          <w:lang w:val="en-US" w:eastAsia="zh-CN" w:bidi="ar-SA"/>
        </w:rPr>
        <w:t>平面图见PDF附件，层高4.2m。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D32A0"/>
    <w:multiLevelType w:val="singleLevel"/>
    <w:tmpl w:val="804D32A0"/>
    <w:lvl w:ilvl="0" w:tentative="0">
      <w:start w:val="1"/>
      <w:numFmt w:val="decimal"/>
      <w:lvlText w:val="%1)"/>
      <w:lvlJc w:val="left"/>
      <w:pPr>
        <w:ind w:left="425" w:hanging="425"/>
      </w:pPr>
      <w:rPr>
        <w:rFonts w:hint="default"/>
      </w:rPr>
    </w:lvl>
  </w:abstractNum>
  <w:abstractNum w:abstractNumId="1">
    <w:nsid w:val="879BE332"/>
    <w:multiLevelType w:val="singleLevel"/>
    <w:tmpl w:val="879BE332"/>
    <w:lvl w:ilvl="0" w:tentative="0">
      <w:start w:val="1"/>
      <w:numFmt w:val="decimal"/>
      <w:lvlText w:val="%1."/>
      <w:lvlJc w:val="left"/>
      <w:pPr>
        <w:ind w:left="425" w:hanging="425"/>
      </w:pPr>
      <w:rPr>
        <w:rFonts w:hint="default"/>
      </w:rPr>
    </w:lvl>
  </w:abstractNum>
  <w:abstractNum w:abstractNumId="2">
    <w:nsid w:val="E0E50EEB"/>
    <w:multiLevelType w:val="singleLevel"/>
    <w:tmpl w:val="E0E50EEB"/>
    <w:lvl w:ilvl="0" w:tentative="0">
      <w:start w:val="1"/>
      <w:numFmt w:val="decimal"/>
      <w:lvlText w:val="%1)"/>
      <w:lvlJc w:val="left"/>
      <w:pPr>
        <w:ind w:left="425" w:hanging="425"/>
      </w:pPr>
      <w:rPr>
        <w:rFonts w:hint="default"/>
      </w:rPr>
    </w:lvl>
  </w:abstractNum>
  <w:abstractNum w:abstractNumId="3">
    <w:nsid w:val="E8CFCD79"/>
    <w:multiLevelType w:val="singleLevel"/>
    <w:tmpl w:val="E8CFCD79"/>
    <w:lvl w:ilvl="0" w:tentative="0">
      <w:start w:val="1"/>
      <w:numFmt w:val="decimal"/>
      <w:lvlText w:val="%1."/>
      <w:lvlJc w:val="left"/>
      <w:pPr>
        <w:ind w:left="425" w:hanging="425"/>
      </w:pPr>
      <w:rPr>
        <w:rFonts w:hint="default"/>
      </w:rPr>
    </w:lvl>
  </w:abstractNum>
  <w:abstractNum w:abstractNumId="4">
    <w:nsid w:val="01C51629"/>
    <w:multiLevelType w:val="multilevel"/>
    <w:tmpl w:val="01C51629"/>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027F5E3D"/>
    <w:multiLevelType w:val="multilevel"/>
    <w:tmpl w:val="027F5E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988F045"/>
    <w:multiLevelType w:val="singleLevel"/>
    <w:tmpl w:val="0988F045"/>
    <w:lvl w:ilvl="0" w:tentative="0">
      <w:start w:val="1"/>
      <w:numFmt w:val="decimal"/>
      <w:lvlText w:val="%1."/>
      <w:lvlJc w:val="left"/>
      <w:pPr>
        <w:ind w:left="425" w:hanging="425"/>
      </w:pPr>
      <w:rPr>
        <w:rFonts w:hint="default"/>
      </w:rPr>
    </w:lvl>
  </w:abstractNum>
  <w:abstractNum w:abstractNumId="7">
    <w:nsid w:val="2D9F6251"/>
    <w:multiLevelType w:val="multilevel"/>
    <w:tmpl w:val="2D9F62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197CC33"/>
    <w:multiLevelType w:val="singleLevel"/>
    <w:tmpl w:val="3197CC33"/>
    <w:lvl w:ilvl="0" w:tentative="0">
      <w:start w:val="1"/>
      <w:numFmt w:val="decimal"/>
      <w:lvlText w:val="%1)"/>
      <w:lvlJc w:val="left"/>
      <w:pPr>
        <w:ind w:left="425" w:hanging="425"/>
      </w:pPr>
      <w:rPr>
        <w:rFonts w:hint="default"/>
      </w:rPr>
    </w:lvl>
  </w:abstractNum>
  <w:abstractNum w:abstractNumId="9">
    <w:nsid w:val="4CF35968"/>
    <w:multiLevelType w:val="multilevel"/>
    <w:tmpl w:val="4CF3596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DBA541A"/>
    <w:multiLevelType w:val="multilevel"/>
    <w:tmpl w:val="6DBA541A"/>
    <w:lvl w:ilvl="0" w:tentative="0">
      <w:start w:val="1"/>
      <w:numFmt w:val="decimal"/>
      <w:lvlText w:val="%1）"/>
      <w:lvlJc w:val="left"/>
      <w:pPr>
        <w:ind w:left="420" w:hanging="420"/>
      </w:pPr>
      <w:rPr>
        <w:rFonts w:hint="default" w:eastAsia="宋体" w:asciiTheme="minorEastAsia" w:hAnsiTheme="minorEastAsia" w:cstheme="minorBidi"/>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6CE1274"/>
    <w:multiLevelType w:val="singleLevel"/>
    <w:tmpl w:val="76CE1274"/>
    <w:lvl w:ilvl="0" w:tentative="0">
      <w:start w:val="1"/>
      <w:numFmt w:val="decimal"/>
      <w:lvlText w:val="%1."/>
      <w:lvlJc w:val="left"/>
      <w:pPr>
        <w:ind w:left="425" w:hanging="425"/>
      </w:pPr>
      <w:rPr>
        <w:rFonts w:hint="default"/>
      </w:rPr>
    </w:lvl>
  </w:abstractNum>
  <w:abstractNum w:abstractNumId="12">
    <w:nsid w:val="7C7314A9"/>
    <w:multiLevelType w:val="multilevel"/>
    <w:tmpl w:val="7C7314A9"/>
    <w:lvl w:ilvl="0" w:tentative="0">
      <w:start w:val="1"/>
      <w:numFmt w:val="decimal"/>
      <w:lvlText w:val="%1."/>
      <w:lvlJc w:val="left"/>
      <w:pPr>
        <w:ind w:left="420" w:hanging="420"/>
      </w:pPr>
      <w:rPr>
        <w:rFonts w:hint="eastAsia"/>
      </w:rPr>
    </w:lvl>
    <w:lvl w:ilvl="1" w:tentative="0">
      <w:start w:val="7"/>
      <w:numFmt w:val="decimal"/>
      <w:lvlText w:val="%2）"/>
      <w:lvlJc w:val="left"/>
      <w:pPr>
        <w:ind w:left="1160" w:hanging="720"/>
      </w:pPr>
      <w:rPr>
        <w:rFonts w:hint="default" w:asciiTheme="minorEastAsia" w:hAnsiTheme="minorEastAsia" w:eastAsiaTheme="minorEastAsia" w:cstheme="minorBidi"/>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6"/>
  </w:num>
  <w:num w:numId="3">
    <w:abstractNumId w:val="12"/>
  </w:num>
  <w:num w:numId="4">
    <w:abstractNumId w:val="0"/>
  </w:num>
  <w:num w:numId="5">
    <w:abstractNumId w:val="8"/>
  </w:num>
  <w:num w:numId="6">
    <w:abstractNumId w:val="10"/>
  </w:num>
  <w:num w:numId="7">
    <w:abstractNumId w:val="2"/>
  </w:num>
  <w:num w:numId="8">
    <w:abstractNumId w:val="5"/>
  </w:num>
  <w:num w:numId="9">
    <w:abstractNumId w:val="7"/>
  </w:num>
  <w:num w:numId="10">
    <w:abstractNumId w:val="9"/>
  </w:num>
  <w:num w:numId="11">
    <w:abstractNumId w:val="4"/>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kNmRlYWE2MTYxYjNlYjQ0NDE3Mzk1MzYxNjM1ZTgifQ=="/>
  </w:docVars>
  <w:rsids>
    <w:rsidRoot w:val="22027316"/>
    <w:rsid w:val="00014550"/>
    <w:rsid w:val="00020358"/>
    <w:rsid w:val="00030DFE"/>
    <w:rsid w:val="00044BE5"/>
    <w:rsid w:val="000559E7"/>
    <w:rsid w:val="000645B4"/>
    <w:rsid w:val="00085DA1"/>
    <w:rsid w:val="000A3F9A"/>
    <w:rsid w:val="000B3D00"/>
    <w:rsid w:val="000D444A"/>
    <w:rsid w:val="000D69D3"/>
    <w:rsid w:val="0013062F"/>
    <w:rsid w:val="00142598"/>
    <w:rsid w:val="00147344"/>
    <w:rsid w:val="00153588"/>
    <w:rsid w:val="001A4869"/>
    <w:rsid w:val="001F7292"/>
    <w:rsid w:val="00202DF9"/>
    <w:rsid w:val="002061F3"/>
    <w:rsid w:val="002603CD"/>
    <w:rsid w:val="00282306"/>
    <w:rsid w:val="002A31C6"/>
    <w:rsid w:val="002C5D91"/>
    <w:rsid w:val="002D0194"/>
    <w:rsid w:val="002E31A9"/>
    <w:rsid w:val="002F738A"/>
    <w:rsid w:val="00303C82"/>
    <w:rsid w:val="003577AA"/>
    <w:rsid w:val="00386557"/>
    <w:rsid w:val="003A571C"/>
    <w:rsid w:val="003D4CDF"/>
    <w:rsid w:val="003F323F"/>
    <w:rsid w:val="00484581"/>
    <w:rsid w:val="00497A6F"/>
    <w:rsid w:val="004D70E5"/>
    <w:rsid w:val="004E6B79"/>
    <w:rsid w:val="004F49E6"/>
    <w:rsid w:val="00507D9B"/>
    <w:rsid w:val="0051544D"/>
    <w:rsid w:val="00545163"/>
    <w:rsid w:val="005539A1"/>
    <w:rsid w:val="00557A39"/>
    <w:rsid w:val="005C6CAC"/>
    <w:rsid w:val="005D39C6"/>
    <w:rsid w:val="005E4A27"/>
    <w:rsid w:val="006027AC"/>
    <w:rsid w:val="00623671"/>
    <w:rsid w:val="00645155"/>
    <w:rsid w:val="00646AC2"/>
    <w:rsid w:val="006660A1"/>
    <w:rsid w:val="006868B8"/>
    <w:rsid w:val="006D0554"/>
    <w:rsid w:val="006E2978"/>
    <w:rsid w:val="006F0D83"/>
    <w:rsid w:val="00707296"/>
    <w:rsid w:val="0071600F"/>
    <w:rsid w:val="00716F8D"/>
    <w:rsid w:val="00734460"/>
    <w:rsid w:val="00736D6A"/>
    <w:rsid w:val="00757C8A"/>
    <w:rsid w:val="00762F91"/>
    <w:rsid w:val="00787E01"/>
    <w:rsid w:val="00797ACC"/>
    <w:rsid w:val="007C234B"/>
    <w:rsid w:val="008142C0"/>
    <w:rsid w:val="00824E49"/>
    <w:rsid w:val="0083075C"/>
    <w:rsid w:val="00854684"/>
    <w:rsid w:val="00860051"/>
    <w:rsid w:val="008801CC"/>
    <w:rsid w:val="00886FF1"/>
    <w:rsid w:val="0089221A"/>
    <w:rsid w:val="008B2C88"/>
    <w:rsid w:val="008D10C5"/>
    <w:rsid w:val="008D247C"/>
    <w:rsid w:val="008F7C6C"/>
    <w:rsid w:val="00921C34"/>
    <w:rsid w:val="00986837"/>
    <w:rsid w:val="009F31EF"/>
    <w:rsid w:val="009F6DF5"/>
    <w:rsid w:val="00A85996"/>
    <w:rsid w:val="00A876DA"/>
    <w:rsid w:val="00A94BDB"/>
    <w:rsid w:val="00A957EA"/>
    <w:rsid w:val="00AD0EE0"/>
    <w:rsid w:val="00B21325"/>
    <w:rsid w:val="00B33C13"/>
    <w:rsid w:val="00B502A9"/>
    <w:rsid w:val="00B76DFB"/>
    <w:rsid w:val="00BA12AB"/>
    <w:rsid w:val="00BD16F5"/>
    <w:rsid w:val="00BF262F"/>
    <w:rsid w:val="00BF652B"/>
    <w:rsid w:val="00C12028"/>
    <w:rsid w:val="00C20DDB"/>
    <w:rsid w:val="00C32FFE"/>
    <w:rsid w:val="00C51EFA"/>
    <w:rsid w:val="00C61167"/>
    <w:rsid w:val="00C61E04"/>
    <w:rsid w:val="00C731D2"/>
    <w:rsid w:val="00C90640"/>
    <w:rsid w:val="00C952A7"/>
    <w:rsid w:val="00CD4A43"/>
    <w:rsid w:val="00CE42F9"/>
    <w:rsid w:val="00CE470C"/>
    <w:rsid w:val="00D22978"/>
    <w:rsid w:val="00D25017"/>
    <w:rsid w:val="00D361CC"/>
    <w:rsid w:val="00D62478"/>
    <w:rsid w:val="00D64008"/>
    <w:rsid w:val="00D839EE"/>
    <w:rsid w:val="00DD4324"/>
    <w:rsid w:val="00E37A14"/>
    <w:rsid w:val="00E411A8"/>
    <w:rsid w:val="00E61758"/>
    <w:rsid w:val="00EA3D60"/>
    <w:rsid w:val="00EA439B"/>
    <w:rsid w:val="00ED2BB2"/>
    <w:rsid w:val="00F341F1"/>
    <w:rsid w:val="00F35E49"/>
    <w:rsid w:val="00F4303F"/>
    <w:rsid w:val="00F52D2C"/>
    <w:rsid w:val="00F6438E"/>
    <w:rsid w:val="00F9024A"/>
    <w:rsid w:val="00FA5FF1"/>
    <w:rsid w:val="00FF35AD"/>
    <w:rsid w:val="00FF43F3"/>
    <w:rsid w:val="049D3B67"/>
    <w:rsid w:val="087010E6"/>
    <w:rsid w:val="22027316"/>
    <w:rsid w:val="2B950522"/>
    <w:rsid w:val="2CC85492"/>
    <w:rsid w:val="31EFB7BF"/>
    <w:rsid w:val="3FDF727F"/>
    <w:rsid w:val="5233775E"/>
    <w:rsid w:val="6716188F"/>
    <w:rsid w:val="6B574481"/>
    <w:rsid w:val="73DD7A43"/>
    <w:rsid w:val="76666151"/>
    <w:rsid w:val="7AD59A2C"/>
    <w:rsid w:val="7EEF7F1F"/>
    <w:rsid w:val="D6C7512C"/>
    <w:rsid w:val="EBA3B6C2"/>
    <w:rsid w:val="F7FF78FC"/>
    <w:rsid w:val="FDFDD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style>
  <w:style w:type="paragraph" w:styleId="3">
    <w:name w:val="Balloon Text"/>
    <w:basedOn w:val="1"/>
    <w:link w:val="14"/>
    <w:qFormat/>
    <w:uiPriority w:val="0"/>
    <w:rPr>
      <w:sz w:val="18"/>
      <w:szCs w:val="18"/>
    </w:rPr>
  </w:style>
  <w:style w:type="paragraph" w:styleId="4">
    <w:name w:val="footer"/>
    <w:basedOn w:val="1"/>
    <w:qFormat/>
    <w:uiPriority w:val="99"/>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0"/>
    <w:rPr>
      <w:rFonts w:ascii="Calibri" w:hAnsi="Calibri" w:eastAsia="宋体" w:cs="Times New Roman"/>
      <w:kern w:val="2"/>
      <w:sz w:val="18"/>
      <w:szCs w:val="18"/>
    </w:rPr>
  </w:style>
  <w:style w:type="character" w:customStyle="1" w:styleId="12">
    <w:name w:val="批注文字 Char"/>
    <w:basedOn w:val="8"/>
    <w:link w:val="2"/>
    <w:qFormat/>
    <w:uiPriority w:val="0"/>
    <w:rPr>
      <w:rFonts w:ascii="Calibri" w:hAnsi="Calibri" w:eastAsia="宋体" w:cs="Times New Roman"/>
      <w:kern w:val="2"/>
      <w:sz w:val="21"/>
      <w:szCs w:val="24"/>
    </w:rPr>
  </w:style>
  <w:style w:type="character" w:customStyle="1" w:styleId="13">
    <w:name w:val="批注主题 Char"/>
    <w:basedOn w:val="12"/>
    <w:link w:val="6"/>
    <w:qFormat/>
    <w:uiPriority w:val="0"/>
    <w:rPr>
      <w:rFonts w:ascii="Calibri" w:hAnsi="Calibri" w:eastAsia="宋体" w:cs="Times New Roman"/>
      <w:b/>
      <w:bCs/>
      <w:kern w:val="2"/>
      <w:sz w:val="21"/>
      <w:szCs w:val="24"/>
    </w:rPr>
  </w:style>
  <w:style w:type="character" w:customStyle="1" w:styleId="14">
    <w:name w:val="批注框文本 Char"/>
    <w:basedOn w:val="8"/>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1015</Words>
  <Characters>5787</Characters>
  <Lines>48</Lines>
  <Paragraphs>13</Paragraphs>
  <TotalTime>0</TotalTime>
  <ScaleCrop>false</ScaleCrop>
  <LinksUpToDate>false</LinksUpToDate>
  <CharactersWithSpaces>6789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2025-03-25T11:42:00Z</dcterms:created>
  <dc:creator>GG</dc:creator>
  <cp:lastModifiedBy>user</cp:lastModifiedBy>
  <dcterms:modified xsi:type="dcterms:W3CDTF">2025-06-24T10:17:09Z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6BB88BCD86A07CF4C011556827D6F550_43</vt:lpwstr>
  </property>
  <property fmtid="{D5CDD505-2E9C-101B-9397-08002B2CF9AE}" pid="4" name="KSOTemplateDocerSaveRecord">
    <vt:lpwstr>eyJoZGlkIjoiYzhlM2M4MmI4ZmJhMmY5MjU5YTUwZDhiZDBmMjQ3MmUifQ==</vt:lpwstr>
  </property>
</Properties>
</file>