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AC168">
      <w:pPr>
        <w:ind w:firstLine="0" w:firstLineChars="0"/>
        <w:jc w:val="center"/>
        <w:rPr>
          <w:rFonts w:ascii="黑体" w:hAnsi="黑体" w:eastAsia="黑体"/>
          <w:sz w:val="48"/>
          <w:szCs w:val="48"/>
        </w:rPr>
      </w:pPr>
    </w:p>
    <w:p w14:paraId="2BE1C30E">
      <w:pPr>
        <w:ind w:firstLine="0" w:firstLineChars="0"/>
        <w:jc w:val="center"/>
        <w:rPr>
          <w:rFonts w:ascii="黑体" w:hAnsi="黑体" w:eastAsia="黑体"/>
          <w:sz w:val="48"/>
          <w:szCs w:val="48"/>
        </w:rPr>
      </w:pPr>
    </w:p>
    <w:p w14:paraId="665587EF">
      <w:pPr>
        <w:ind w:firstLine="0" w:firstLineChars="0"/>
        <w:jc w:val="center"/>
        <w:rPr>
          <w:rFonts w:hint="eastAsia" w:ascii="黑体" w:hAnsi="黑体" w:eastAsia="黑体"/>
          <w:sz w:val="52"/>
          <w:szCs w:val="52"/>
        </w:rPr>
      </w:pPr>
      <w:r>
        <w:rPr>
          <w:rFonts w:hint="eastAsia" w:ascii="黑体" w:hAnsi="黑体" w:eastAsia="黑体"/>
          <w:sz w:val="52"/>
          <w:szCs w:val="52"/>
        </w:rPr>
        <w:t>上海统计技术服务和教育培训</w:t>
      </w:r>
    </w:p>
    <w:p w14:paraId="05F9FF13">
      <w:pPr>
        <w:ind w:firstLine="0" w:firstLineChars="0"/>
        <w:jc w:val="center"/>
        <w:rPr>
          <w:rFonts w:hint="eastAsia" w:ascii="黑体" w:hAnsi="黑体" w:eastAsia="黑体"/>
          <w:sz w:val="52"/>
          <w:szCs w:val="52"/>
        </w:rPr>
      </w:pPr>
      <w:r>
        <w:rPr>
          <w:rFonts w:hint="eastAsia" w:ascii="黑体" w:hAnsi="黑体" w:eastAsia="黑体"/>
          <w:sz w:val="52"/>
          <w:szCs w:val="52"/>
        </w:rPr>
        <w:t>管理子系统建设项目</w:t>
      </w:r>
    </w:p>
    <w:p w14:paraId="1459881C">
      <w:pPr>
        <w:ind w:firstLine="0" w:firstLineChars="0"/>
        <w:jc w:val="center"/>
        <w:rPr>
          <w:rFonts w:ascii="黑体" w:hAnsi="黑体" w:eastAsia="黑体"/>
          <w:sz w:val="52"/>
          <w:szCs w:val="52"/>
        </w:rPr>
      </w:pPr>
      <w:r>
        <w:rPr>
          <w:rFonts w:hint="eastAsia" w:ascii="黑体" w:hAnsi="黑体" w:eastAsia="黑体"/>
          <w:sz w:val="52"/>
          <w:szCs w:val="52"/>
        </w:rPr>
        <w:t>采购需求</w:t>
      </w:r>
    </w:p>
    <w:p w14:paraId="6CE2DAE9">
      <w:pPr>
        <w:ind w:firstLine="0" w:firstLineChars="0"/>
        <w:jc w:val="center"/>
        <w:rPr>
          <w:rFonts w:ascii="黑体" w:hAnsi="黑体" w:eastAsia="黑体"/>
          <w:sz w:val="72"/>
          <w:szCs w:val="72"/>
        </w:rPr>
      </w:pPr>
    </w:p>
    <w:p w14:paraId="070DAB8A">
      <w:pPr>
        <w:ind w:firstLine="0" w:firstLineChars="0"/>
        <w:jc w:val="center"/>
        <w:rPr>
          <w:rFonts w:ascii="黑体" w:hAnsi="黑体" w:eastAsia="黑体"/>
          <w:sz w:val="48"/>
          <w:szCs w:val="48"/>
        </w:rPr>
      </w:pPr>
    </w:p>
    <w:p w14:paraId="2D6C02FC">
      <w:pPr>
        <w:ind w:firstLine="0" w:firstLineChars="0"/>
        <w:jc w:val="center"/>
        <w:rPr>
          <w:rFonts w:ascii="黑体" w:hAnsi="黑体" w:eastAsia="黑体"/>
          <w:sz w:val="52"/>
          <w:szCs w:val="52"/>
        </w:rPr>
      </w:pPr>
    </w:p>
    <w:p w14:paraId="483E5A53">
      <w:pPr>
        <w:ind w:firstLine="1040"/>
        <w:rPr>
          <w:rFonts w:ascii="黑体" w:hAnsi="黑体" w:eastAsia="黑体"/>
          <w:sz w:val="52"/>
          <w:szCs w:val="52"/>
        </w:rPr>
      </w:pPr>
    </w:p>
    <w:p w14:paraId="5056D85E"/>
    <w:p w14:paraId="56481E38"/>
    <w:p w14:paraId="13850106"/>
    <w:p w14:paraId="1C90AE9B"/>
    <w:p w14:paraId="505595CA"/>
    <w:p w14:paraId="56F69337">
      <w:pPr>
        <w:ind w:firstLine="1040"/>
        <w:rPr>
          <w:rFonts w:ascii="黑体" w:hAnsi="黑体" w:eastAsia="黑体"/>
          <w:sz w:val="52"/>
          <w:szCs w:val="52"/>
        </w:rPr>
      </w:pPr>
    </w:p>
    <w:p w14:paraId="39B0C826">
      <w:pPr>
        <w:jc w:val="center"/>
      </w:pPr>
    </w:p>
    <w:p w14:paraId="05E35E39">
      <w:pPr>
        <w:jc w:val="center"/>
        <w:rPr>
          <w:rFonts w:hint="eastAsia"/>
          <w:sz w:val="36"/>
          <w:szCs w:val="36"/>
        </w:rPr>
      </w:pPr>
      <w:r>
        <w:rPr>
          <w:rFonts w:hint="eastAsia"/>
          <w:sz w:val="36"/>
          <w:szCs w:val="36"/>
        </w:rPr>
        <w:t>上海市统计和大数据研究院</w:t>
      </w:r>
    </w:p>
    <w:p w14:paraId="6F43BEB1">
      <w:pPr>
        <w:jc w:val="center"/>
        <w:rPr>
          <w:rFonts w:hint="eastAsia"/>
          <w:sz w:val="36"/>
          <w:szCs w:val="36"/>
        </w:rPr>
      </w:pPr>
      <w:r>
        <w:rPr>
          <w:rFonts w:hint="eastAsia"/>
          <w:sz w:val="36"/>
          <w:szCs w:val="36"/>
        </w:rPr>
        <w:t>（上海市统计数据管理中心）</w:t>
      </w:r>
    </w:p>
    <w:p w14:paraId="041D037C">
      <w:pPr>
        <w:jc w:val="center"/>
        <w:rPr>
          <w:rFonts w:hint="eastAsia"/>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pPr>
    </w:p>
    <w:p w14:paraId="2B60B3CD">
      <w:pPr>
        <w:pStyle w:val="2"/>
        <w:ind w:left="0" w:leftChars="0" w:firstLineChars="0"/>
      </w:pPr>
      <w:bookmarkStart w:id="0" w:name="_Toc63785461"/>
      <w:r>
        <w:rPr>
          <w:rFonts w:hint="eastAsia"/>
        </w:rPr>
        <w:t>项目概况</w:t>
      </w:r>
      <w:bookmarkEnd w:id="0"/>
    </w:p>
    <w:p w14:paraId="786D3035">
      <w:pPr>
        <w:pStyle w:val="134"/>
        <w:ind w:firstLine="480"/>
      </w:pPr>
      <w:r>
        <w:rPr>
          <w:rFonts w:hint="eastAsia"/>
        </w:rPr>
        <w:t>项目背景现状：</w:t>
      </w:r>
      <w:r>
        <w:rPr>
          <w:rFonts w:hint="eastAsia" w:asciiTheme="minorEastAsia" w:hAnsiTheme="minorEastAsia" w:eastAsiaTheme="minorEastAsia"/>
          <w:kern w:val="0"/>
        </w:rPr>
        <w:t>上海市统计和大数据研究院</w:t>
      </w:r>
      <w:r>
        <w:rPr>
          <w:rFonts w:asciiTheme="minorEastAsia" w:hAnsiTheme="minorEastAsia" w:eastAsiaTheme="minorEastAsia"/>
          <w:kern w:val="0"/>
        </w:rPr>
        <w:t>为深入贯彻落实</w:t>
      </w:r>
      <w:r>
        <w:rPr>
          <w:rFonts w:hint="eastAsia" w:asciiTheme="minorEastAsia" w:hAnsiTheme="minorEastAsia" w:eastAsiaTheme="minorEastAsia"/>
          <w:kern w:val="0"/>
        </w:rPr>
        <w:t>《“十四五”时期统计现代化改革规划》及国务院印发的《关于加强数字政府建设的指导意见》、《数字中国建设整体布局规划》要求。建设上海统计技术服务和教育培训管理平台为本市统计联网直报企业和各级统计人员提供业务技术支持、学习培训等多方面的综合服务。</w:t>
      </w:r>
    </w:p>
    <w:p w14:paraId="195D80D0">
      <w:pPr>
        <w:spacing w:line="560" w:lineRule="exact"/>
        <w:rPr>
          <w:rFonts w:hint="default"/>
          <w:highlight w:val="none"/>
          <w:lang w:val="en-US" w:eastAsia="zh-CN"/>
        </w:rPr>
      </w:pPr>
      <w:r>
        <w:rPr>
          <w:rFonts w:hint="eastAsia"/>
        </w:rPr>
        <w:t>建设期限：</w:t>
      </w:r>
      <w:r>
        <w:rPr>
          <w:rFonts w:hint="eastAsia"/>
          <w:highlight w:val="none"/>
          <w:lang w:val="en-US" w:eastAsia="zh-CN"/>
        </w:rPr>
        <w:t>自合同签订之日起4个月内完成，其中包括30天的试运行。</w:t>
      </w:r>
    </w:p>
    <w:p w14:paraId="0ABB4918">
      <w:pPr>
        <w:spacing w:line="560" w:lineRule="exact"/>
        <w:rPr>
          <w:rFonts w:hint="eastAsia" w:eastAsia="宋体"/>
          <w:lang w:val="en-US" w:eastAsia="zh-CN"/>
        </w:rPr>
      </w:pPr>
      <w:r>
        <w:rPr>
          <w:rFonts w:hint="eastAsia"/>
        </w:rPr>
        <w:t>建设地点：</w:t>
      </w:r>
      <w:r>
        <w:rPr>
          <w:rFonts w:hint="eastAsia"/>
          <w:lang w:val="en-US" w:eastAsia="zh-CN"/>
        </w:rPr>
        <w:t>上海市闵行区凯城路189号</w:t>
      </w:r>
    </w:p>
    <w:p w14:paraId="021456D4">
      <w:pPr>
        <w:spacing w:line="560" w:lineRule="exact"/>
      </w:pPr>
      <w:r>
        <w:rPr>
          <w:rFonts w:hint="eastAsia"/>
        </w:rPr>
        <w:t>预算金额：</w:t>
      </w:r>
      <w:r>
        <w:rPr>
          <w:rFonts w:hint="eastAsia"/>
          <w:lang w:val="en-US" w:eastAsia="zh-CN"/>
        </w:rPr>
        <w:t>1,075,000</w:t>
      </w:r>
      <w:r>
        <w:rPr>
          <w:rFonts w:hint="eastAsia"/>
        </w:rPr>
        <w:t>元</w:t>
      </w:r>
    </w:p>
    <w:p w14:paraId="77046C80">
      <w:pPr>
        <w:spacing w:line="560" w:lineRule="exact"/>
      </w:pPr>
      <w:r>
        <w:rPr>
          <w:rFonts w:hint="eastAsia"/>
        </w:rPr>
        <w:t>采购金额（最高限价）：</w:t>
      </w:r>
      <w:r>
        <w:rPr>
          <w:rFonts w:hint="eastAsia"/>
          <w:lang w:val="en-US" w:eastAsia="zh-CN"/>
        </w:rPr>
        <w:t>1,075,000</w:t>
      </w:r>
      <w:r>
        <w:rPr>
          <w:rFonts w:hint="eastAsia"/>
        </w:rPr>
        <w:t>元</w:t>
      </w:r>
    </w:p>
    <w:p w14:paraId="0286C54A">
      <w:r>
        <w:rPr>
          <w:rFonts w:hint="eastAsia"/>
        </w:rPr>
        <w:t>组织形式：集中采购</w:t>
      </w:r>
    </w:p>
    <w:p w14:paraId="76B3820A">
      <w:pPr>
        <w:rPr>
          <w:rFonts w:hint="eastAsia"/>
          <w:lang w:eastAsia="zh-CN"/>
        </w:rPr>
      </w:pPr>
      <w:r>
        <w:rPr>
          <w:rFonts w:hint="eastAsia"/>
        </w:rPr>
        <w:t>采购方式：</w:t>
      </w:r>
      <w:r>
        <w:rPr>
          <w:rFonts w:hint="eastAsia"/>
          <w:lang w:eastAsia="zh-CN"/>
        </w:rPr>
        <w:t>公开招投标</w:t>
      </w:r>
    </w:p>
    <w:p w14:paraId="17CC3DCD">
      <w:r>
        <w:rPr>
          <w:rFonts w:hint="eastAsia"/>
        </w:rPr>
        <w:t>是否接受联合体投标：否</w:t>
      </w:r>
    </w:p>
    <w:p w14:paraId="06DEC87B">
      <w:r>
        <w:t>是否按信创</w:t>
      </w:r>
      <w:r>
        <w:rPr>
          <w:rFonts w:hint="eastAsia"/>
          <w:lang w:val="en-US" w:eastAsia="zh-CN"/>
        </w:rPr>
        <w:t xml:space="preserve"> </w:t>
      </w:r>
      <w:r>
        <w:t>要求建设：是</w:t>
      </w:r>
    </w:p>
    <w:p w14:paraId="4904C35A">
      <w:pPr>
        <w:rPr>
          <w:highlight w:val="none"/>
        </w:rPr>
      </w:pPr>
      <w:r>
        <w:rPr>
          <w:rFonts w:hint="eastAsia"/>
          <w:highlight w:val="none"/>
        </w:rPr>
        <w:t>运维后所属大系统：研究院统计服务大系统</w:t>
      </w:r>
    </w:p>
    <w:p w14:paraId="493D38C9">
      <w:pPr>
        <w:pStyle w:val="2"/>
        <w:ind w:left="0" w:leftChars="0" w:firstLineChars="0"/>
      </w:pPr>
      <w:bookmarkStart w:id="1" w:name="_Toc47537134"/>
      <w:bookmarkEnd w:id="1"/>
      <w:bookmarkStart w:id="2" w:name="_Toc47533256"/>
      <w:bookmarkEnd w:id="2"/>
      <w:bookmarkStart w:id="3" w:name="_Toc47536272"/>
      <w:bookmarkEnd w:id="3"/>
      <w:bookmarkStart w:id="4" w:name="_Toc47536644"/>
      <w:bookmarkEnd w:id="4"/>
      <w:bookmarkStart w:id="5" w:name="_Toc47532255"/>
      <w:bookmarkEnd w:id="5"/>
      <w:bookmarkStart w:id="6" w:name="_Toc47531634"/>
      <w:bookmarkEnd w:id="6"/>
      <w:bookmarkStart w:id="7" w:name="_Toc47532891"/>
      <w:bookmarkEnd w:id="7"/>
      <w:bookmarkStart w:id="8" w:name="_Toc47539070"/>
      <w:bookmarkEnd w:id="8"/>
      <w:bookmarkStart w:id="9" w:name="_Toc63785463"/>
      <w:bookmarkStart w:id="10" w:name="_Toc48223882"/>
      <w:r>
        <w:rPr>
          <w:rFonts w:hint="eastAsia"/>
        </w:rPr>
        <w:t>建设目标</w:t>
      </w:r>
      <w:bookmarkEnd w:id="9"/>
      <w:bookmarkEnd w:id="10"/>
    </w:p>
    <w:p w14:paraId="3A5BCB0F">
      <w:pPr>
        <w:pStyle w:val="3"/>
        <w:ind w:left="0" w:leftChars="0" w:firstLineChars="0"/>
        <w:rPr>
          <w:rFonts w:hint="eastAsia" w:cs="Times New Roman"/>
        </w:rPr>
      </w:pPr>
      <w:r>
        <w:rPr>
          <w:rFonts w:hint="eastAsia" w:cs="Times New Roman"/>
          <w:lang w:val="en-US" w:eastAsia="zh-CN"/>
        </w:rPr>
        <w:t>建设</w:t>
      </w:r>
      <w:r>
        <w:rPr>
          <w:rFonts w:hint="eastAsia" w:cs="Times New Roman"/>
        </w:rPr>
        <w:t>目标</w:t>
      </w:r>
    </w:p>
    <w:p w14:paraId="04BF81E3">
      <w:pPr>
        <w:pStyle w:val="134"/>
        <w:ind w:firstLine="480"/>
        <w:rPr>
          <w:rFonts w:asciiTheme="minorEastAsia" w:hAnsiTheme="minorEastAsia" w:eastAsiaTheme="minorEastAsia"/>
        </w:rPr>
      </w:pPr>
      <w:r>
        <w:rPr>
          <w:rFonts w:hint="eastAsia" w:asciiTheme="minorEastAsia" w:hAnsiTheme="minorEastAsia" w:eastAsiaTheme="minorEastAsia"/>
        </w:rPr>
        <w:t>上海统计技术服务和教育培训管理</w:t>
      </w:r>
      <w:r>
        <w:rPr>
          <w:rFonts w:hint="eastAsia" w:asciiTheme="minorEastAsia" w:hAnsiTheme="minorEastAsia" w:eastAsiaTheme="minorEastAsia"/>
          <w:lang w:eastAsia="zh-CN"/>
        </w:rPr>
        <w:t>子系统建设项目</w:t>
      </w:r>
      <w:r>
        <w:rPr>
          <w:rFonts w:hint="eastAsia" w:asciiTheme="minorEastAsia" w:hAnsiTheme="minorEastAsia" w:eastAsiaTheme="minorEastAsia"/>
        </w:rPr>
        <w:t>主要目标为本市统计调查业务开展提供技术支持和学习培训，为基层统计工作人员减负，为企业提供优质服务和咨询。提升统计基层人员的业务能力，切实帮助企业解决统计数据上报过程中的实际技术问题，同时提供相关咨询、培训、会务等功能进一步提升统计服务能力。</w:t>
      </w:r>
    </w:p>
    <w:p w14:paraId="06C6BE72">
      <w:pPr>
        <w:pStyle w:val="3"/>
        <w:ind w:left="0" w:leftChars="0" w:firstLineChars="0"/>
        <w:rPr>
          <w:rFonts w:hint="eastAsia" w:cs="Times New Roman"/>
        </w:rPr>
      </w:pPr>
      <w:bookmarkStart w:id="11" w:name="_Toc139461238"/>
      <w:bookmarkStart w:id="12" w:name="_Toc138199118"/>
      <w:r>
        <w:rPr>
          <w:rFonts w:hint="eastAsia" w:cs="Times New Roman"/>
        </w:rPr>
        <w:t>业务绩效目标</w:t>
      </w:r>
      <w:bookmarkEnd w:id="11"/>
      <w:bookmarkEnd w:id="12"/>
    </w:p>
    <w:p w14:paraId="5220E112">
      <w:pPr>
        <w:pStyle w:val="134"/>
        <w:numPr>
          <w:ilvl w:val="0"/>
          <w:numId w:val="4"/>
        </w:numPr>
        <w:ind w:firstLineChars="0"/>
        <w:rPr>
          <w:rFonts w:cs="Arial" w:asciiTheme="minorEastAsia" w:hAnsiTheme="minorEastAsia" w:eastAsiaTheme="minorEastAsia"/>
          <w:color w:val="000000"/>
        </w:rPr>
      </w:pPr>
      <w:r>
        <w:rPr>
          <w:rFonts w:hint="eastAsia" w:cs="Arial" w:asciiTheme="minorEastAsia" w:hAnsiTheme="minorEastAsia" w:eastAsiaTheme="minorEastAsia"/>
          <w:color w:val="000000"/>
        </w:rPr>
        <w:t>提升企业用户统计数据上报便捷、效率、精准度</w:t>
      </w:r>
    </w:p>
    <w:p w14:paraId="2501A91B">
      <w:pPr>
        <w:pStyle w:val="134"/>
        <w:numPr>
          <w:ilvl w:val="0"/>
          <w:numId w:val="4"/>
        </w:numPr>
        <w:ind w:firstLineChars="0"/>
        <w:rPr>
          <w:rFonts w:cs="Arial" w:asciiTheme="minorEastAsia" w:hAnsiTheme="minorEastAsia" w:eastAsiaTheme="minorEastAsia"/>
          <w:color w:val="000000"/>
        </w:rPr>
      </w:pPr>
      <w:r>
        <w:rPr>
          <w:rFonts w:hint="eastAsia" w:cs="Arial" w:asciiTheme="minorEastAsia" w:hAnsiTheme="minorEastAsia" w:eastAsiaTheme="minorEastAsia"/>
          <w:color w:val="000000"/>
        </w:rPr>
        <w:t>满足各级统计人员的业务培训及管理需求</w:t>
      </w:r>
    </w:p>
    <w:p w14:paraId="29361A00">
      <w:pPr>
        <w:pStyle w:val="134"/>
        <w:numPr>
          <w:ilvl w:val="0"/>
          <w:numId w:val="4"/>
        </w:numPr>
        <w:ind w:firstLineChars="0"/>
        <w:rPr>
          <w:rFonts w:cs="Arial" w:asciiTheme="minorEastAsia" w:hAnsiTheme="minorEastAsia" w:eastAsiaTheme="minorEastAsia"/>
          <w:color w:val="000000"/>
        </w:rPr>
      </w:pPr>
      <w:r>
        <w:rPr>
          <w:rFonts w:hint="eastAsia" w:cs="Arial" w:asciiTheme="minorEastAsia" w:hAnsiTheme="minorEastAsia" w:eastAsiaTheme="minorEastAsia"/>
          <w:color w:val="000000"/>
        </w:rPr>
        <w:t>利用客服系统提供业务咨询服务</w:t>
      </w:r>
    </w:p>
    <w:p w14:paraId="1F0281EE">
      <w:pPr>
        <w:pStyle w:val="134"/>
        <w:numPr>
          <w:ilvl w:val="0"/>
          <w:numId w:val="4"/>
        </w:numPr>
        <w:ind w:firstLineChars="0"/>
        <w:rPr>
          <w:rFonts w:cs="Arial" w:asciiTheme="minorEastAsia" w:hAnsiTheme="minorEastAsia" w:eastAsiaTheme="minorEastAsia"/>
          <w:color w:val="000000"/>
        </w:rPr>
      </w:pPr>
      <w:r>
        <w:rPr>
          <w:rFonts w:hint="eastAsia" w:cs="Arial" w:asciiTheme="minorEastAsia" w:hAnsiTheme="minorEastAsia" w:eastAsiaTheme="minorEastAsia"/>
          <w:color w:val="000000"/>
        </w:rPr>
        <w:t>利用工单系统对上报过程中技术问题进行分级管理、跟踪、解决</w:t>
      </w:r>
    </w:p>
    <w:p w14:paraId="21CB71B1">
      <w:pPr>
        <w:pStyle w:val="134"/>
        <w:numPr>
          <w:ilvl w:val="0"/>
          <w:numId w:val="4"/>
        </w:numPr>
        <w:ind w:firstLineChars="0"/>
        <w:rPr>
          <w:rFonts w:cs="Arial" w:asciiTheme="minorEastAsia" w:hAnsiTheme="minorEastAsia" w:eastAsiaTheme="minorEastAsia"/>
          <w:color w:val="000000"/>
        </w:rPr>
      </w:pPr>
      <w:r>
        <w:rPr>
          <w:rFonts w:hint="eastAsia" w:cs="Arial" w:asciiTheme="minorEastAsia" w:hAnsiTheme="minorEastAsia" w:eastAsiaTheme="minorEastAsia"/>
          <w:color w:val="000000"/>
        </w:rPr>
        <w:t>提升基层统计工作人员对企业填报统计数据的业务支持效能</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678"/>
        <w:gridCol w:w="3702"/>
      </w:tblGrid>
      <w:tr w14:paraId="6793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6" w:type="dxa"/>
            <w:gridSpan w:val="3"/>
            <w:shd w:val="clear" w:color="auto" w:fill="auto"/>
            <w:vAlign w:val="center"/>
          </w:tcPr>
          <w:p w14:paraId="40C8CDA0">
            <w:pPr>
              <w:pStyle w:val="12"/>
              <w:spacing w:line="240" w:lineRule="auto"/>
              <w:ind w:firstLine="0" w:firstLineChars="0"/>
              <w:jc w:val="center"/>
              <w:rPr>
                <w:rFonts w:asciiTheme="minorEastAsia" w:hAnsiTheme="minorEastAsia" w:eastAsiaTheme="minorEastAsia"/>
                <w:b/>
                <w:sz w:val="24"/>
              </w:rPr>
            </w:pPr>
            <w:r>
              <w:rPr>
                <w:rFonts w:asciiTheme="minorEastAsia" w:hAnsiTheme="minorEastAsia" w:eastAsiaTheme="minorEastAsia"/>
                <w:b/>
                <w:sz w:val="24"/>
              </w:rPr>
              <w:t>业务绩效指标</w:t>
            </w:r>
          </w:p>
        </w:tc>
      </w:tr>
      <w:tr w14:paraId="0746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shd w:val="clear" w:color="auto" w:fill="auto"/>
            <w:vAlign w:val="center"/>
          </w:tcPr>
          <w:p w14:paraId="449FC316">
            <w:pPr>
              <w:pStyle w:val="12"/>
              <w:spacing w:line="240" w:lineRule="auto"/>
              <w:ind w:firstLine="0" w:firstLineChars="0"/>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3678" w:type="dxa"/>
            <w:shd w:val="clear" w:color="auto" w:fill="auto"/>
            <w:vAlign w:val="center"/>
          </w:tcPr>
          <w:p w14:paraId="65F8C1A7">
            <w:pPr>
              <w:pStyle w:val="12"/>
              <w:spacing w:line="240" w:lineRule="auto"/>
              <w:ind w:firstLine="0" w:firstLineChars="0"/>
              <w:jc w:val="center"/>
              <w:rPr>
                <w:rFonts w:asciiTheme="minorEastAsia" w:hAnsiTheme="minorEastAsia" w:eastAsiaTheme="minorEastAsia"/>
                <w:b/>
                <w:sz w:val="24"/>
              </w:rPr>
            </w:pPr>
            <w:r>
              <w:rPr>
                <w:rFonts w:asciiTheme="minorEastAsia" w:hAnsiTheme="minorEastAsia" w:eastAsiaTheme="minorEastAsia"/>
                <w:b/>
                <w:sz w:val="24"/>
              </w:rPr>
              <w:t>绩效指标</w:t>
            </w:r>
          </w:p>
        </w:tc>
        <w:tc>
          <w:tcPr>
            <w:tcW w:w="3702" w:type="dxa"/>
            <w:shd w:val="clear" w:color="auto" w:fill="auto"/>
            <w:vAlign w:val="center"/>
          </w:tcPr>
          <w:p w14:paraId="3D9C9036">
            <w:pPr>
              <w:pStyle w:val="12"/>
              <w:spacing w:line="240" w:lineRule="auto"/>
              <w:ind w:firstLine="0" w:firstLineChars="0"/>
              <w:jc w:val="center"/>
              <w:rPr>
                <w:rFonts w:asciiTheme="minorEastAsia" w:hAnsiTheme="minorEastAsia" w:eastAsiaTheme="minorEastAsia"/>
                <w:b/>
                <w:sz w:val="24"/>
              </w:rPr>
            </w:pPr>
            <w:r>
              <w:rPr>
                <w:rFonts w:asciiTheme="minorEastAsia" w:hAnsiTheme="minorEastAsia" w:eastAsiaTheme="minorEastAsia"/>
                <w:b/>
                <w:sz w:val="24"/>
              </w:rPr>
              <w:t>预期目标</w:t>
            </w:r>
          </w:p>
        </w:tc>
      </w:tr>
      <w:tr w14:paraId="0853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shd w:val="clear" w:color="auto" w:fill="auto"/>
            <w:vAlign w:val="center"/>
          </w:tcPr>
          <w:p w14:paraId="40B6A6FB">
            <w:pPr>
              <w:pStyle w:val="12"/>
              <w:spacing w:line="240" w:lineRule="auto"/>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678" w:type="dxa"/>
            <w:shd w:val="clear" w:color="auto" w:fill="auto"/>
            <w:vAlign w:val="center"/>
          </w:tcPr>
          <w:p w14:paraId="09FE88D8">
            <w:pPr>
              <w:pStyle w:val="12"/>
              <w:spacing w:line="240" w:lineRule="auto"/>
              <w:ind w:firstLine="0" w:firstLineChars="0"/>
              <w:jc w:val="left"/>
              <w:rPr>
                <w:rFonts w:asciiTheme="minorEastAsia" w:hAnsiTheme="minorEastAsia" w:eastAsiaTheme="minorEastAsia"/>
                <w:sz w:val="24"/>
                <w:lang w:eastAsia="zh-CN"/>
              </w:rPr>
            </w:pPr>
            <w:r>
              <w:rPr>
                <w:rFonts w:asciiTheme="minorEastAsia" w:hAnsiTheme="minorEastAsia" w:eastAsiaTheme="minorEastAsia"/>
                <w:sz w:val="24"/>
                <w:lang w:eastAsia="zh-CN"/>
              </w:rPr>
              <w:t>提升企业用户上报统计数据质量</w:t>
            </w:r>
          </w:p>
        </w:tc>
        <w:tc>
          <w:tcPr>
            <w:tcW w:w="3702" w:type="dxa"/>
            <w:shd w:val="clear" w:color="auto" w:fill="auto"/>
            <w:vAlign w:val="center"/>
          </w:tcPr>
          <w:p w14:paraId="38149FA9">
            <w:pPr>
              <w:pStyle w:val="12"/>
              <w:spacing w:line="240" w:lineRule="auto"/>
              <w:ind w:firstLine="0" w:firstLineChars="0"/>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上报数据质量首次退回率低1</w:t>
            </w:r>
            <w:r>
              <w:rPr>
                <w:rFonts w:asciiTheme="minorEastAsia" w:hAnsiTheme="minorEastAsia" w:eastAsiaTheme="minorEastAsia"/>
                <w:sz w:val="24"/>
                <w:lang w:eastAsia="zh-CN"/>
              </w:rPr>
              <w:t>0%</w:t>
            </w:r>
          </w:p>
        </w:tc>
      </w:tr>
      <w:tr w14:paraId="6AA6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6" w:type="dxa"/>
            <w:shd w:val="clear" w:color="auto" w:fill="auto"/>
            <w:vAlign w:val="center"/>
          </w:tcPr>
          <w:p w14:paraId="405392AA">
            <w:pPr>
              <w:pStyle w:val="12"/>
              <w:spacing w:line="240" w:lineRule="auto"/>
              <w:ind w:firstLine="0" w:firstLineChars="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w:t>
            </w:r>
          </w:p>
        </w:tc>
        <w:tc>
          <w:tcPr>
            <w:tcW w:w="3678" w:type="dxa"/>
            <w:shd w:val="clear" w:color="auto" w:fill="auto"/>
            <w:vAlign w:val="center"/>
          </w:tcPr>
          <w:p w14:paraId="293EAE2E">
            <w:pPr>
              <w:pStyle w:val="12"/>
              <w:spacing w:line="240" w:lineRule="auto"/>
              <w:ind w:firstLine="0" w:firstLineChars="0"/>
              <w:jc w:val="left"/>
              <w:rPr>
                <w:rFonts w:asciiTheme="minorEastAsia" w:hAnsiTheme="minorEastAsia" w:eastAsiaTheme="minorEastAsia"/>
                <w:sz w:val="24"/>
                <w:lang w:eastAsia="zh-CN"/>
              </w:rPr>
            </w:pPr>
            <w:r>
              <w:rPr>
                <w:rFonts w:asciiTheme="minorEastAsia" w:hAnsiTheme="minorEastAsia" w:eastAsiaTheme="minorEastAsia"/>
                <w:sz w:val="24"/>
                <w:lang w:eastAsia="zh-CN"/>
              </w:rPr>
              <w:t>统计培训相关课件丰富</w:t>
            </w:r>
          </w:p>
        </w:tc>
        <w:tc>
          <w:tcPr>
            <w:tcW w:w="3702" w:type="dxa"/>
            <w:shd w:val="clear" w:color="auto" w:fill="auto"/>
            <w:vAlign w:val="center"/>
          </w:tcPr>
          <w:p w14:paraId="0B775DF3">
            <w:pPr>
              <w:pStyle w:val="12"/>
              <w:spacing w:line="240" w:lineRule="auto"/>
              <w:ind w:firstLine="0" w:firstLineChars="0"/>
              <w:jc w:val="left"/>
              <w:rPr>
                <w:rFonts w:asciiTheme="minorEastAsia" w:hAnsiTheme="minorEastAsia" w:eastAsiaTheme="minorEastAsia"/>
                <w:sz w:val="24"/>
                <w:lang w:eastAsia="zh-CN"/>
              </w:rPr>
            </w:pPr>
            <w:r>
              <w:rPr>
                <w:rFonts w:asciiTheme="minorEastAsia" w:hAnsiTheme="minorEastAsia" w:eastAsiaTheme="minorEastAsia"/>
                <w:sz w:val="24"/>
                <w:lang w:eastAsia="zh-CN"/>
              </w:rPr>
              <w:t>在线课件数量大于</w:t>
            </w:r>
            <w:r>
              <w:rPr>
                <w:rFonts w:hint="eastAsia" w:asciiTheme="minorEastAsia" w:hAnsiTheme="minorEastAsia" w:eastAsiaTheme="minorEastAsia"/>
                <w:sz w:val="24"/>
                <w:lang w:eastAsia="zh-CN"/>
              </w:rPr>
              <w:t>40个</w:t>
            </w:r>
          </w:p>
        </w:tc>
      </w:tr>
      <w:tr w14:paraId="1938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shd w:val="clear" w:color="auto" w:fill="auto"/>
            <w:vAlign w:val="center"/>
          </w:tcPr>
          <w:p w14:paraId="55AECE44">
            <w:pPr>
              <w:pStyle w:val="12"/>
              <w:spacing w:line="240" w:lineRule="auto"/>
              <w:ind w:firstLine="0" w:firstLineChars="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w:t>
            </w:r>
          </w:p>
        </w:tc>
        <w:tc>
          <w:tcPr>
            <w:tcW w:w="3678" w:type="dxa"/>
            <w:shd w:val="clear" w:color="auto" w:fill="auto"/>
            <w:vAlign w:val="center"/>
          </w:tcPr>
          <w:p w14:paraId="14AB9397">
            <w:pPr>
              <w:pStyle w:val="12"/>
              <w:spacing w:line="240" w:lineRule="auto"/>
              <w:ind w:firstLine="0" w:firstLineChars="0"/>
              <w:jc w:val="left"/>
              <w:rPr>
                <w:rFonts w:asciiTheme="minorEastAsia" w:hAnsiTheme="minorEastAsia" w:eastAsiaTheme="minorEastAsia"/>
                <w:sz w:val="24"/>
              </w:rPr>
            </w:pPr>
            <w:r>
              <w:rPr>
                <w:rFonts w:asciiTheme="minorEastAsia" w:hAnsiTheme="minorEastAsia" w:eastAsiaTheme="minorEastAsia"/>
                <w:sz w:val="24"/>
              </w:rPr>
              <w:t>系统用户使用数量</w:t>
            </w:r>
          </w:p>
        </w:tc>
        <w:tc>
          <w:tcPr>
            <w:tcW w:w="3702" w:type="dxa"/>
            <w:shd w:val="clear" w:color="auto" w:fill="auto"/>
            <w:vAlign w:val="center"/>
          </w:tcPr>
          <w:p w14:paraId="32A78DBE">
            <w:pPr>
              <w:pStyle w:val="12"/>
              <w:spacing w:line="240" w:lineRule="auto"/>
              <w:ind w:firstLine="0" w:firstLineChars="0"/>
              <w:jc w:val="left"/>
              <w:rPr>
                <w:rFonts w:asciiTheme="minorEastAsia" w:hAnsiTheme="minorEastAsia" w:eastAsiaTheme="minorEastAsia"/>
                <w:sz w:val="24"/>
              </w:rPr>
            </w:pPr>
            <w:r>
              <w:rPr>
                <w:rFonts w:asciiTheme="minorEastAsia" w:hAnsiTheme="minorEastAsia" w:eastAsiaTheme="minorEastAsia"/>
                <w:sz w:val="24"/>
              </w:rPr>
              <w:t>用户数量大于</w:t>
            </w:r>
            <w:r>
              <w:rPr>
                <w:rFonts w:hint="eastAsia" w:asciiTheme="minorEastAsia" w:hAnsiTheme="minorEastAsia" w:eastAsiaTheme="minorEastAsia"/>
                <w:sz w:val="24"/>
                <w:lang w:eastAsia="zh-CN"/>
              </w:rPr>
              <w:t>2</w:t>
            </w:r>
            <w:r>
              <w:rPr>
                <w:rFonts w:asciiTheme="minorEastAsia" w:hAnsiTheme="minorEastAsia" w:eastAsiaTheme="minorEastAsia"/>
                <w:sz w:val="24"/>
              </w:rPr>
              <w:t>0000家企业</w:t>
            </w:r>
          </w:p>
        </w:tc>
      </w:tr>
      <w:tr w14:paraId="6E57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shd w:val="clear" w:color="auto" w:fill="auto"/>
            <w:vAlign w:val="center"/>
          </w:tcPr>
          <w:p w14:paraId="0497EE2D">
            <w:pPr>
              <w:pStyle w:val="12"/>
              <w:spacing w:line="240" w:lineRule="auto"/>
              <w:ind w:firstLine="0" w:firstLineChars="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w:t>
            </w:r>
          </w:p>
        </w:tc>
        <w:tc>
          <w:tcPr>
            <w:tcW w:w="3678" w:type="dxa"/>
            <w:shd w:val="clear" w:color="auto" w:fill="auto"/>
            <w:vAlign w:val="center"/>
          </w:tcPr>
          <w:p w14:paraId="3790170A">
            <w:pPr>
              <w:pStyle w:val="12"/>
              <w:spacing w:line="240" w:lineRule="auto"/>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技术服务工单</w:t>
            </w:r>
            <w:r>
              <w:rPr>
                <w:rFonts w:asciiTheme="minorEastAsia" w:hAnsiTheme="minorEastAsia" w:eastAsiaTheme="minorEastAsia"/>
                <w:sz w:val="24"/>
              </w:rPr>
              <w:t>量</w:t>
            </w:r>
          </w:p>
        </w:tc>
        <w:tc>
          <w:tcPr>
            <w:tcW w:w="3702" w:type="dxa"/>
            <w:shd w:val="clear" w:color="auto" w:fill="auto"/>
            <w:vAlign w:val="center"/>
          </w:tcPr>
          <w:p w14:paraId="792AE3D7">
            <w:pPr>
              <w:pStyle w:val="12"/>
              <w:spacing w:line="240" w:lineRule="auto"/>
              <w:ind w:firstLine="0" w:firstLineChars="0"/>
              <w:jc w:val="left"/>
              <w:rPr>
                <w:rFonts w:asciiTheme="minorEastAsia" w:hAnsiTheme="minorEastAsia" w:eastAsiaTheme="minorEastAsia"/>
                <w:sz w:val="24"/>
              </w:rPr>
            </w:pPr>
            <w:r>
              <w:rPr>
                <w:rFonts w:asciiTheme="minorEastAsia" w:hAnsiTheme="minorEastAsia" w:eastAsiaTheme="minorEastAsia"/>
                <w:sz w:val="24"/>
              </w:rPr>
              <w:t>年处理工单量大于</w:t>
            </w:r>
            <w:r>
              <w:rPr>
                <w:rFonts w:hint="eastAsia" w:asciiTheme="minorEastAsia" w:hAnsiTheme="minorEastAsia" w:eastAsiaTheme="minorEastAsia"/>
                <w:sz w:val="24"/>
                <w:lang w:val="en-US" w:eastAsia="zh-CN"/>
              </w:rPr>
              <w:t>1</w:t>
            </w:r>
            <w:r>
              <w:rPr>
                <w:rFonts w:asciiTheme="minorEastAsia" w:hAnsiTheme="minorEastAsia" w:eastAsiaTheme="minorEastAsia"/>
                <w:sz w:val="24"/>
              </w:rPr>
              <w:t>000条</w:t>
            </w:r>
          </w:p>
        </w:tc>
      </w:tr>
      <w:tr w14:paraId="6D53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shd w:val="clear" w:color="auto" w:fill="auto"/>
            <w:vAlign w:val="center"/>
          </w:tcPr>
          <w:p w14:paraId="5EDC9714">
            <w:pPr>
              <w:pStyle w:val="12"/>
              <w:spacing w:line="240" w:lineRule="auto"/>
              <w:ind w:firstLine="0" w:firstLineChars="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w:t>
            </w:r>
          </w:p>
        </w:tc>
        <w:tc>
          <w:tcPr>
            <w:tcW w:w="3678" w:type="dxa"/>
            <w:shd w:val="clear" w:color="auto" w:fill="auto"/>
            <w:vAlign w:val="center"/>
          </w:tcPr>
          <w:p w14:paraId="03D237EB">
            <w:pPr>
              <w:pStyle w:val="12"/>
              <w:spacing w:line="240" w:lineRule="auto"/>
              <w:ind w:firstLine="0" w:firstLineChars="0"/>
              <w:jc w:val="left"/>
              <w:rPr>
                <w:rFonts w:asciiTheme="minorEastAsia" w:hAnsiTheme="minorEastAsia" w:eastAsiaTheme="minorEastAsia"/>
                <w:sz w:val="24"/>
              </w:rPr>
            </w:pPr>
            <w:r>
              <w:rPr>
                <w:rFonts w:asciiTheme="minorEastAsia" w:hAnsiTheme="minorEastAsia" w:eastAsiaTheme="minorEastAsia"/>
                <w:sz w:val="24"/>
              </w:rPr>
              <w:t>在线咨询量</w:t>
            </w:r>
          </w:p>
        </w:tc>
        <w:tc>
          <w:tcPr>
            <w:tcW w:w="3702" w:type="dxa"/>
            <w:shd w:val="clear" w:color="auto" w:fill="auto"/>
            <w:vAlign w:val="center"/>
          </w:tcPr>
          <w:p w14:paraId="6038ED08">
            <w:pPr>
              <w:pStyle w:val="12"/>
              <w:spacing w:line="240" w:lineRule="auto"/>
              <w:ind w:firstLine="0" w:firstLineChars="0"/>
              <w:jc w:val="left"/>
              <w:rPr>
                <w:rFonts w:asciiTheme="minorEastAsia" w:hAnsiTheme="minorEastAsia" w:eastAsiaTheme="minorEastAsia"/>
                <w:sz w:val="24"/>
                <w:lang w:eastAsia="zh-CN"/>
              </w:rPr>
            </w:pPr>
            <w:r>
              <w:rPr>
                <w:rFonts w:asciiTheme="minorEastAsia" w:hAnsiTheme="minorEastAsia" w:eastAsiaTheme="minorEastAsia"/>
                <w:sz w:val="24"/>
                <w:lang w:eastAsia="zh-CN"/>
              </w:rPr>
              <w:t>年在线咨询回复量大于</w:t>
            </w:r>
            <w:r>
              <w:rPr>
                <w:rFonts w:hint="eastAsia" w:asciiTheme="minorEastAsia" w:hAnsiTheme="minorEastAsia" w:eastAsiaTheme="minorEastAsia"/>
                <w:sz w:val="24"/>
                <w:lang w:val="en-US" w:eastAsia="zh-CN"/>
              </w:rPr>
              <w:t>5</w:t>
            </w:r>
            <w:r>
              <w:rPr>
                <w:rFonts w:asciiTheme="minorEastAsia" w:hAnsiTheme="minorEastAsia" w:eastAsiaTheme="minorEastAsia"/>
                <w:sz w:val="24"/>
                <w:lang w:eastAsia="zh-CN"/>
              </w:rPr>
              <w:t>000条</w:t>
            </w:r>
          </w:p>
        </w:tc>
      </w:tr>
    </w:tbl>
    <w:p w14:paraId="118B82E2">
      <w:pPr>
        <w:pStyle w:val="134"/>
        <w:ind w:firstLine="480"/>
        <w:rPr>
          <w:rFonts w:cs="Arial" w:asciiTheme="minorEastAsia" w:hAnsiTheme="minorEastAsia" w:eastAsiaTheme="minorEastAsia"/>
          <w:color w:val="000000"/>
        </w:rPr>
      </w:pPr>
    </w:p>
    <w:p w14:paraId="2F6371F7">
      <w:pPr>
        <w:pStyle w:val="3"/>
        <w:ind w:left="0" w:leftChars="0" w:firstLineChars="0"/>
        <w:rPr>
          <w:rFonts w:hint="eastAsia" w:cs="Times New Roman"/>
        </w:rPr>
      </w:pPr>
      <w:bookmarkStart w:id="13" w:name="_Toc138199119"/>
      <w:bookmarkStart w:id="14" w:name="_Toc139461239"/>
      <w:r>
        <w:rPr>
          <w:rFonts w:hint="eastAsia" w:cs="Times New Roman"/>
        </w:rPr>
        <w:t>技术绩效目标</w:t>
      </w:r>
      <w:bookmarkEnd w:id="13"/>
      <w:bookmarkEnd w:id="14"/>
    </w:p>
    <w:p w14:paraId="5BDBA942">
      <w:pPr>
        <w:pStyle w:val="134"/>
        <w:numPr>
          <w:ilvl w:val="0"/>
          <w:numId w:val="5"/>
        </w:numPr>
        <w:ind w:firstLineChars="0"/>
        <w:rPr>
          <w:rFonts w:cs="Arial" w:asciiTheme="minorEastAsia" w:hAnsiTheme="minorEastAsia" w:eastAsiaTheme="minorEastAsia"/>
          <w:color w:val="000000"/>
        </w:rPr>
      </w:pPr>
      <w:r>
        <w:rPr>
          <w:rFonts w:hint="eastAsia" w:cs="Arial" w:asciiTheme="minorEastAsia" w:hAnsiTheme="minorEastAsia" w:eastAsiaTheme="minorEastAsia"/>
          <w:color w:val="000000"/>
        </w:rPr>
        <w:t>支持</w:t>
      </w:r>
      <w:r>
        <w:rPr>
          <w:rFonts w:cs="Arial" w:asciiTheme="minorEastAsia" w:hAnsiTheme="minorEastAsia" w:eastAsiaTheme="minorEastAsia"/>
          <w:color w:val="000000"/>
        </w:rPr>
        <w:t>6000</w:t>
      </w:r>
      <w:r>
        <w:rPr>
          <w:rFonts w:hint="eastAsia" w:cs="Arial" w:asciiTheme="minorEastAsia" w:hAnsiTheme="minorEastAsia" w:eastAsiaTheme="minorEastAsia"/>
          <w:color w:val="000000"/>
        </w:rPr>
        <w:t>名用户同时在线，并发用户不少于</w:t>
      </w:r>
      <w:r>
        <w:rPr>
          <w:rFonts w:cs="Arial" w:asciiTheme="minorEastAsia" w:hAnsiTheme="minorEastAsia" w:eastAsiaTheme="minorEastAsia"/>
          <w:color w:val="000000"/>
        </w:rPr>
        <w:t>600</w:t>
      </w:r>
      <w:r>
        <w:rPr>
          <w:rFonts w:hint="eastAsia" w:cs="Arial" w:asciiTheme="minorEastAsia" w:hAnsiTheme="minorEastAsia" w:eastAsiaTheme="minorEastAsia"/>
          <w:color w:val="000000"/>
        </w:rPr>
        <w:t>人；其中并发操作指多用户同时在平台上进行的访问、信息修改等各类操作。</w:t>
      </w:r>
    </w:p>
    <w:p w14:paraId="5039B3A3">
      <w:pPr>
        <w:pStyle w:val="134"/>
        <w:numPr>
          <w:ilvl w:val="0"/>
          <w:numId w:val="5"/>
        </w:numPr>
        <w:ind w:firstLineChars="0"/>
        <w:rPr>
          <w:rFonts w:cs="Arial" w:asciiTheme="minorEastAsia" w:hAnsiTheme="minorEastAsia" w:eastAsiaTheme="minorEastAsia"/>
          <w:color w:val="000000"/>
        </w:rPr>
      </w:pPr>
      <w:r>
        <w:rPr>
          <w:rFonts w:hint="eastAsia" w:cs="Arial" w:asciiTheme="minorEastAsia" w:hAnsiTheme="minorEastAsia" w:eastAsiaTheme="minorEastAsia"/>
          <w:color w:val="000000"/>
        </w:rPr>
        <w:t>用户查询时系统的响应时间（从查询开始到查询结果展现）小于</w:t>
      </w:r>
      <w:r>
        <w:rPr>
          <w:rFonts w:cs="Arial" w:asciiTheme="minorEastAsia" w:hAnsiTheme="minorEastAsia" w:eastAsiaTheme="minorEastAsia"/>
          <w:color w:val="000000"/>
        </w:rPr>
        <w:t>5</w:t>
      </w:r>
      <w:r>
        <w:rPr>
          <w:rFonts w:hint="eastAsia" w:cs="Arial" w:asciiTheme="minorEastAsia" w:hAnsiTheme="minorEastAsia" w:eastAsiaTheme="minorEastAsia"/>
          <w:color w:val="000000"/>
        </w:rPr>
        <w:t>秒，同时不影响其他在线用户进行的操作。</w:t>
      </w:r>
    </w:p>
    <w:p w14:paraId="756078F2">
      <w:pPr>
        <w:pStyle w:val="134"/>
        <w:numPr>
          <w:ilvl w:val="0"/>
          <w:numId w:val="5"/>
        </w:numPr>
        <w:ind w:firstLineChars="0"/>
        <w:rPr>
          <w:rFonts w:cs="Arial" w:asciiTheme="minorEastAsia" w:hAnsiTheme="minorEastAsia" w:eastAsiaTheme="minorEastAsia"/>
          <w:color w:val="000000"/>
        </w:rPr>
      </w:pPr>
      <w:r>
        <w:rPr>
          <w:rFonts w:hint="eastAsia" w:cs="Arial" w:asciiTheme="minorEastAsia" w:hAnsiTheme="minorEastAsia" w:eastAsiaTheme="minorEastAsia"/>
          <w:color w:val="000000"/>
        </w:rPr>
        <w:t>在网络稳定（业务有效带宽不少于2</w:t>
      </w:r>
      <w:r>
        <w:rPr>
          <w:rFonts w:cs="Arial" w:asciiTheme="minorEastAsia" w:hAnsiTheme="minorEastAsia" w:eastAsiaTheme="minorEastAsia"/>
          <w:color w:val="000000"/>
        </w:rPr>
        <w:t>00MB</w:t>
      </w:r>
      <w:r>
        <w:rPr>
          <w:rFonts w:hint="eastAsia" w:cs="Arial" w:asciiTheme="minorEastAsia" w:hAnsiTheme="minorEastAsia" w:eastAsiaTheme="minorEastAsia"/>
          <w:color w:val="000000"/>
        </w:rPr>
        <w:t>）的环境下操作性界面单一操作的系统响应时间小于</w:t>
      </w:r>
      <w:r>
        <w:rPr>
          <w:rFonts w:cs="Arial" w:asciiTheme="minorEastAsia" w:hAnsiTheme="minorEastAsia" w:eastAsiaTheme="minorEastAsia"/>
          <w:color w:val="000000"/>
        </w:rPr>
        <w:t>5</w:t>
      </w:r>
      <w:r>
        <w:rPr>
          <w:rFonts w:hint="eastAsia" w:cs="Arial" w:asciiTheme="minorEastAsia" w:hAnsiTheme="minorEastAsia" w:eastAsiaTheme="minorEastAsia"/>
          <w:color w:val="000000"/>
        </w:rPr>
        <w:t>秒。</w:t>
      </w:r>
    </w:p>
    <w:p w14:paraId="1616F80D">
      <w:pPr>
        <w:pStyle w:val="134"/>
        <w:numPr>
          <w:ilvl w:val="0"/>
          <w:numId w:val="5"/>
        </w:numPr>
        <w:ind w:firstLineChars="0"/>
        <w:rPr>
          <w:rFonts w:cs="Arial" w:asciiTheme="minorEastAsia" w:hAnsiTheme="minorEastAsia" w:eastAsiaTheme="minorEastAsia"/>
          <w:color w:val="000000"/>
        </w:rPr>
      </w:pPr>
      <w:r>
        <w:rPr>
          <w:rFonts w:hint="eastAsia" w:cs="Arial" w:asciiTheme="minorEastAsia" w:hAnsiTheme="minorEastAsia" w:eastAsiaTheme="minorEastAsia"/>
          <w:color w:val="000000"/>
        </w:rPr>
        <w:t>具有较高的稳定性，能够保持</w:t>
      </w:r>
      <w:r>
        <w:rPr>
          <w:rFonts w:cs="Arial" w:asciiTheme="minorEastAsia" w:hAnsiTheme="minorEastAsia" w:eastAsiaTheme="minorEastAsia"/>
          <w:color w:val="000000"/>
        </w:rPr>
        <w:t>7*24</w:t>
      </w:r>
      <w:r>
        <w:rPr>
          <w:rFonts w:hint="eastAsia" w:cs="Arial" w:asciiTheme="minorEastAsia" w:hAnsiTheme="minorEastAsia" w:eastAsiaTheme="minorEastAsia"/>
          <w:color w:val="000000"/>
        </w:rPr>
        <w:t>稳定的不间断运行，具备</w:t>
      </w:r>
      <w:r>
        <w:rPr>
          <w:rFonts w:cs="Arial" w:asciiTheme="minorEastAsia" w:hAnsiTheme="minorEastAsia" w:eastAsiaTheme="minorEastAsia"/>
          <w:color w:val="000000"/>
        </w:rPr>
        <w:t>99.9%</w:t>
      </w:r>
      <w:r>
        <w:rPr>
          <w:rFonts w:hint="eastAsia" w:cs="Arial" w:asciiTheme="minorEastAsia" w:hAnsiTheme="minorEastAsia" w:eastAsiaTheme="minorEastAsia"/>
          <w:color w:val="000000"/>
        </w:rPr>
        <w:t>的高可用性，平均故障间隔时间</w:t>
      </w:r>
      <w:r>
        <w:rPr>
          <w:rFonts w:cs="Arial" w:asciiTheme="minorEastAsia" w:hAnsiTheme="minorEastAsia" w:eastAsiaTheme="minorEastAsia"/>
          <w:color w:val="000000"/>
        </w:rPr>
        <w:t>MTBF</w:t>
      </w:r>
      <w:r>
        <w:rPr>
          <w:rFonts w:hint="eastAsia" w:cs="Arial" w:asciiTheme="minorEastAsia" w:hAnsiTheme="minorEastAsia" w:eastAsiaTheme="minorEastAsia"/>
          <w:color w:val="000000"/>
        </w:rPr>
        <w:t>≥</w:t>
      </w:r>
      <w:r>
        <w:rPr>
          <w:rFonts w:cs="Arial" w:asciiTheme="minorEastAsia" w:hAnsiTheme="minorEastAsia" w:eastAsiaTheme="minorEastAsia"/>
          <w:color w:val="000000"/>
        </w:rPr>
        <w:t>1000</w:t>
      </w:r>
      <w:r>
        <w:rPr>
          <w:rFonts w:hint="eastAsia" w:cs="Arial" w:asciiTheme="minorEastAsia" w:hAnsiTheme="minorEastAsia" w:eastAsiaTheme="minorEastAsia"/>
          <w:color w:val="000000"/>
        </w:rPr>
        <w:t>小时。</w:t>
      </w:r>
    </w:p>
    <w:p w14:paraId="10C7F40A">
      <w:pPr>
        <w:ind w:firstLine="482"/>
        <w:rPr>
          <w:rFonts w:hint="eastAsia"/>
          <w:b/>
          <w:color w:val="000000"/>
        </w:rPr>
      </w:pPr>
      <w:r>
        <w:rPr>
          <w:rFonts w:hint="eastAsia" w:cs="Arial" w:asciiTheme="minorEastAsia" w:hAnsiTheme="minorEastAsia" w:eastAsiaTheme="minorEastAsia"/>
          <w:color w:val="000000"/>
        </w:rPr>
        <w:t>系统升级过程不影响网络性能，不影响业务运行，不丢失历史数据。</w:t>
      </w:r>
    </w:p>
    <w:p w14:paraId="1F9C2904">
      <w:pPr>
        <w:pStyle w:val="2"/>
        <w:ind w:left="0" w:leftChars="0" w:firstLineChars="0"/>
      </w:pPr>
      <w:bookmarkStart w:id="15" w:name="_Toc47539102"/>
      <w:bookmarkEnd w:id="15"/>
      <w:bookmarkStart w:id="16" w:name="_Toc47537166"/>
      <w:bookmarkEnd w:id="16"/>
      <w:bookmarkStart w:id="17" w:name="_Toc47536304"/>
      <w:bookmarkEnd w:id="17"/>
      <w:bookmarkStart w:id="18" w:name="_Toc47532923"/>
      <w:bookmarkEnd w:id="18"/>
      <w:bookmarkStart w:id="19" w:name="_Toc47533288"/>
      <w:bookmarkEnd w:id="19"/>
      <w:bookmarkStart w:id="20" w:name="_Toc47536676"/>
      <w:bookmarkEnd w:id="20"/>
      <w:r>
        <w:rPr>
          <w:rFonts w:hint="eastAsia"/>
        </w:rPr>
        <w:t>项目建设内容</w:t>
      </w:r>
    </w:p>
    <w:p w14:paraId="71ACD1DC">
      <w:pPr>
        <w:pStyle w:val="3"/>
        <w:ind w:left="0" w:leftChars="0" w:firstLineChars="0"/>
        <w:rPr>
          <w:rFonts w:hint="eastAsia"/>
          <w:highlight w:val="none"/>
        </w:rPr>
      </w:pPr>
      <w:r>
        <w:rPr>
          <w:rFonts w:hint="eastAsia"/>
          <w:b/>
          <w:highlight w:val="none"/>
          <w:lang w:val="en-US" w:eastAsia="zh-CN"/>
        </w:rPr>
        <w:t>技术路线要求</w:t>
      </w:r>
    </w:p>
    <w:p w14:paraId="1D9ADB05">
      <w:pPr>
        <w:numPr>
          <w:ilvl w:val="0"/>
          <w:numId w:val="6"/>
        </w:numPr>
        <w:ind w:left="425" w:leftChars="0" w:hanging="425" w:firstLineChars="0"/>
        <w:rPr>
          <w:rFonts w:hint="eastAsia" w:ascii="宋体" w:hAnsi="宋体" w:eastAsia="宋体" w:cs="Times New Roman"/>
          <w:b w:val="0"/>
          <w:bCs/>
        </w:rPr>
      </w:pPr>
      <w:r>
        <w:rPr>
          <w:rFonts w:hint="eastAsia" w:ascii="宋体" w:hAnsi="宋体" w:eastAsia="宋体" w:cs="Times New Roman"/>
          <w:b w:val="0"/>
          <w:bCs/>
        </w:rPr>
        <w:t>本项目要求基于信创</w:t>
      </w:r>
      <w:r>
        <w:rPr>
          <w:rFonts w:hint="eastAsia" w:cs="Times New Roman"/>
          <w:b w:val="0"/>
          <w:bCs/>
          <w:lang w:val="en-US" w:eastAsia="zh-CN"/>
        </w:rPr>
        <w:t xml:space="preserve"> </w:t>
      </w:r>
      <w:bookmarkStart w:id="39" w:name="_GoBack"/>
      <w:bookmarkEnd w:id="39"/>
      <w:r>
        <w:rPr>
          <w:rFonts w:hint="eastAsia" w:ascii="宋体" w:hAnsi="宋体" w:eastAsia="宋体" w:cs="Times New Roman"/>
          <w:b w:val="0"/>
          <w:bCs/>
        </w:rPr>
        <w:t>环境进行建设。</w:t>
      </w:r>
    </w:p>
    <w:p w14:paraId="17EDA7BF">
      <w:pPr>
        <w:numPr>
          <w:ilvl w:val="0"/>
          <w:numId w:val="6"/>
        </w:numPr>
        <w:ind w:left="425" w:leftChars="0" w:hanging="425" w:firstLineChars="0"/>
        <w:rPr>
          <w:rFonts w:hint="eastAsia" w:ascii="宋体" w:hAnsi="宋体" w:eastAsia="宋体" w:cs="Times New Roman"/>
          <w:b w:val="0"/>
          <w:bCs/>
        </w:rPr>
      </w:pPr>
      <w:r>
        <w:rPr>
          <w:rFonts w:hint="eastAsia" w:ascii="宋体" w:hAnsi="宋体" w:eastAsia="宋体" w:cs="Times New Roman"/>
          <w:b w:val="0"/>
          <w:bCs/>
        </w:rPr>
        <w:t>项目技术路线</w:t>
      </w:r>
      <w:r>
        <w:rPr>
          <w:rFonts w:hint="eastAsia" w:cs="Times New Roman"/>
          <w:b w:val="0"/>
          <w:bCs/>
          <w:lang w:val="en-US" w:eastAsia="zh-CN"/>
        </w:rPr>
        <w:t>可</w:t>
      </w:r>
      <w:r>
        <w:rPr>
          <w:rFonts w:hint="eastAsia" w:ascii="宋体" w:hAnsi="宋体" w:eastAsia="宋体" w:cs="Times New Roman"/>
          <w:b w:val="0"/>
          <w:bCs/>
        </w:rPr>
        <w:t>采用微服务架构</w:t>
      </w:r>
      <w:r>
        <w:rPr>
          <w:rFonts w:hint="eastAsia" w:cs="Times New Roman"/>
          <w:b w:val="0"/>
          <w:bCs/>
          <w:lang w:val="en-US" w:eastAsia="zh-CN"/>
        </w:rPr>
        <w:t>等</w:t>
      </w:r>
      <w:r>
        <w:rPr>
          <w:rFonts w:hint="eastAsia" w:ascii="宋体" w:hAnsi="宋体" w:eastAsia="宋体" w:cs="Times New Roman"/>
          <w:b w:val="0"/>
          <w:bCs/>
        </w:rPr>
        <w:t>开发</w:t>
      </w:r>
      <w:r>
        <w:rPr>
          <w:rFonts w:hint="eastAsia" w:cs="Times New Roman"/>
          <w:b w:val="0"/>
          <w:bCs/>
          <w:lang w:val="en-US" w:eastAsia="zh-CN"/>
        </w:rPr>
        <w:t>方式</w:t>
      </w:r>
      <w:r>
        <w:rPr>
          <w:rFonts w:hint="eastAsia" w:ascii="宋体" w:hAnsi="宋体" w:eastAsia="宋体" w:cs="Times New Roman"/>
          <w:b w:val="0"/>
          <w:bCs/>
        </w:rPr>
        <w:t>，</w:t>
      </w:r>
      <w:r>
        <w:rPr>
          <w:rFonts w:hint="eastAsia" w:cs="Times New Roman"/>
          <w:b w:val="0"/>
          <w:bCs/>
          <w:lang w:val="en-US" w:eastAsia="zh-CN"/>
        </w:rPr>
        <w:t>能</w:t>
      </w:r>
      <w:r>
        <w:rPr>
          <w:rFonts w:hint="eastAsia" w:ascii="宋体" w:hAnsi="宋体" w:eastAsia="宋体" w:cs="Times New Roman"/>
          <w:b w:val="0"/>
          <w:bCs/>
        </w:rPr>
        <w:t>支持分布式集群部署和负载均衡，确保系统的高效、稳定与可扩展性。</w:t>
      </w:r>
    </w:p>
    <w:p w14:paraId="55FD2446">
      <w:pPr>
        <w:numPr>
          <w:ilvl w:val="0"/>
          <w:numId w:val="6"/>
        </w:numPr>
        <w:ind w:left="425" w:leftChars="0" w:hanging="425" w:firstLineChars="0"/>
        <w:rPr>
          <w:rFonts w:hint="eastAsia" w:ascii="宋体" w:hAnsi="宋体" w:eastAsia="宋体" w:cs="Times New Roman"/>
          <w:b w:val="0"/>
          <w:bCs/>
        </w:rPr>
      </w:pPr>
      <w:r>
        <w:rPr>
          <w:rFonts w:hint="eastAsia" w:ascii="宋体" w:hAnsi="宋体" w:eastAsia="宋体" w:cs="Times New Roman"/>
          <w:b w:val="0"/>
          <w:bCs/>
        </w:rPr>
        <w:t>系统整体为B/S架构，采用客户端浏览器－Web应用服务器－数据库服务器三层结构。</w:t>
      </w:r>
    </w:p>
    <w:p w14:paraId="13E1AEFD">
      <w:pPr>
        <w:numPr>
          <w:ilvl w:val="0"/>
          <w:numId w:val="6"/>
        </w:numPr>
        <w:ind w:left="425" w:leftChars="0" w:hanging="425" w:firstLineChars="0"/>
        <w:rPr>
          <w:rFonts w:hint="eastAsia" w:ascii="宋体" w:hAnsi="宋体" w:eastAsia="宋体" w:cs="Times New Roman"/>
          <w:b w:val="0"/>
          <w:bCs/>
        </w:rPr>
      </w:pPr>
      <w:r>
        <w:rPr>
          <w:rFonts w:hint="eastAsia" w:ascii="宋体" w:hAnsi="宋体" w:eastAsia="宋体" w:cs="Times New Roman"/>
          <w:b w:val="0"/>
          <w:bCs/>
        </w:rPr>
        <w:t>系统应具有良好的适应性</w:t>
      </w:r>
      <w:r>
        <w:rPr>
          <w:rFonts w:hint="eastAsia" w:ascii="宋体" w:hAnsi="宋体" w:eastAsia="宋体" w:cs="Times New Roman"/>
          <w:b w:val="0"/>
          <w:bCs/>
          <w:lang w:eastAsia="zh-CN"/>
        </w:rPr>
        <w:t>、</w:t>
      </w:r>
      <w:r>
        <w:rPr>
          <w:rFonts w:hint="eastAsia" w:ascii="宋体" w:hAnsi="宋体" w:eastAsia="宋体" w:cs="Times New Roman"/>
          <w:b w:val="0"/>
          <w:bCs/>
        </w:rPr>
        <w:t>扩展性</w:t>
      </w:r>
      <w:r>
        <w:rPr>
          <w:rFonts w:hint="eastAsia" w:ascii="宋体" w:hAnsi="宋体" w:eastAsia="宋体" w:cs="Times New Roman"/>
          <w:b w:val="0"/>
          <w:bCs/>
          <w:lang w:eastAsia="zh-CN"/>
        </w:rPr>
        <w:t>、</w:t>
      </w:r>
      <w:r>
        <w:rPr>
          <w:rFonts w:hint="eastAsia" w:ascii="宋体" w:hAnsi="宋体" w:eastAsia="宋体" w:cs="Times New Roman"/>
          <w:b w:val="0"/>
          <w:bCs/>
        </w:rPr>
        <w:t>可移植性，在不同的操作平台均可以平滑运行，</w:t>
      </w:r>
      <w:r>
        <w:rPr>
          <w:rFonts w:hint="eastAsia" w:cs="Times New Roman"/>
          <w:b w:val="0"/>
          <w:bCs/>
          <w:lang w:val="en-US" w:eastAsia="zh-CN"/>
        </w:rPr>
        <w:t>并能</w:t>
      </w:r>
      <w:r>
        <w:rPr>
          <w:rFonts w:hint="eastAsia" w:ascii="宋体" w:hAnsi="宋体" w:eastAsia="宋体" w:cs="Times New Roman"/>
          <w:b w:val="0"/>
          <w:bCs/>
        </w:rPr>
        <w:t>适应未来业务的扩展的需要。</w:t>
      </w:r>
    </w:p>
    <w:p w14:paraId="3E6023D6">
      <w:pPr>
        <w:numPr>
          <w:ilvl w:val="0"/>
          <w:numId w:val="6"/>
        </w:numPr>
        <w:ind w:left="425" w:leftChars="0" w:hanging="425" w:firstLineChars="0"/>
        <w:rPr>
          <w:rFonts w:hint="eastAsia" w:ascii="宋体" w:hAnsi="宋体" w:eastAsia="宋体" w:cs="Times New Roman"/>
          <w:b w:val="0"/>
          <w:bCs/>
        </w:rPr>
      </w:pPr>
      <w:r>
        <w:rPr>
          <w:rFonts w:hint="eastAsia" w:ascii="宋体" w:hAnsi="宋体" w:eastAsia="宋体" w:cs="Times New Roman"/>
          <w:b w:val="0"/>
          <w:bCs/>
        </w:rPr>
        <w:t>系统提供友好的界面，用户可以直观方便</w:t>
      </w:r>
      <w:r>
        <w:rPr>
          <w:rFonts w:hint="eastAsia" w:cs="Times New Roman"/>
          <w:b w:val="0"/>
          <w:bCs/>
          <w:lang w:eastAsia="zh-CN"/>
        </w:rPr>
        <w:t>地</w:t>
      </w:r>
      <w:r>
        <w:rPr>
          <w:rFonts w:hint="eastAsia" w:ascii="宋体" w:hAnsi="宋体" w:eastAsia="宋体" w:cs="Times New Roman"/>
          <w:b w:val="0"/>
          <w:bCs/>
        </w:rPr>
        <w:t>运行系统。</w:t>
      </w:r>
    </w:p>
    <w:p w14:paraId="56099AF5">
      <w:pPr>
        <w:numPr>
          <w:ilvl w:val="0"/>
          <w:numId w:val="6"/>
        </w:numPr>
        <w:ind w:left="425" w:leftChars="0" w:hanging="425" w:firstLineChars="0"/>
        <w:rPr>
          <w:rFonts w:hint="eastAsia" w:ascii="宋体" w:hAnsi="宋体" w:eastAsia="宋体" w:cs="Times New Roman"/>
          <w:b w:val="0"/>
          <w:bCs/>
        </w:rPr>
      </w:pPr>
      <w:r>
        <w:rPr>
          <w:rFonts w:hint="eastAsia" w:ascii="宋体" w:hAnsi="宋体" w:eastAsia="宋体" w:cs="Times New Roman"/>
          <w:b w:val="0"/>
          <w:bCs/>
        </w:rPr>
        <w:t>系统提供开放的应用接口，可以方便地与其他的应用系统进行数据交换，便于系统未来的扩展。</w:t>
      </w:r>
    </w:p>
    <w:p w14:paraId="1F2DC1D0">
      <w:pPr>
        <w:pStyle w:val="3"/>
        <w:ind w:left="0" w:leftChars="0" w:firstLineChars="0"/>
        <w:rPr>
          <w:rFonts w:hint="eastAsia" w:ascii="宋体" w:hAnsi="宋体" w:eastAsia="宋体" w:cs="Times New Roman"/>
          <w:b/>
          <w:lang w:val="en-US" w:eastAsia="zh-CN"/>
        </w:rPr>
      </w:pPr>
      <w:r>
        <w:rPr>
          <w:rFonts w:hint="eastAsia" w:ascii="宋体" w:hAnsi="宋体" w:eastAsia="宋体" w:cs="Times New Roman"/>
          <w:b/>
          <w:lang w:val="en-US" w:eastAsia="zh-CN"/>
        </w:rPr>
        <w:t>部署环境</w:t>
      </w:r>
    </w:p>
    <w:p w14:paraId="36BAF3FD">
      <w:pPr>
        <w:ind w:firstLine="482"/>
        <w:rPr>
          <w:rFonts w:hint="eastAsia" w:ascii="宋体" w:hAnsi="宋体" w:eastAsia="宋体" w:cs="Times New Roman"/>
          <w:b w:val="0"/>
          <w:bCs/>
        </w:rPr>
      </w:pPr>
      <w:r>
        <w:rPr>
          <w:rFonts w:hint="eastAsia" w:ascii="宋体" w:hAnsi="宋体" w:eastAsia="宋体" w:cs="Times New Roman"/>
          <w:b w:val="0"/>
          <w:bCs/>
        </w:rPr>
        <w:t>本项目系统部署于市电子政务云平台，本项目应用系统根据业务访问需求分别部署在政务外网区域和互联网区域。</w:t>
      </w:r>
    </w:p>
    <w:p w14:paraId="51D8E10A">
      <w:pPr>
        <w:pStyle w:val="3"/>
        <w:ind w:left="0" w:leftChars="0" w:firstLineChars="0"/>
        <w:rPr>
          <w:rFonts w:hint="eastAsia" w:ascii="宋体" w:hAnsi="宋体" w:eastAsia="宋体" w:cs="Times New Roman"/>
          <w:b/>
          <w:lang w:val="en-US" w:eastAsia="zh-CN"/>
        </w:rPr>
      </w:pPr>
      <w:r>
        <w:rPr>
          <w:rFonts w:hint="eastAsia" w:ascii="宋体" w:hAnsi="宋体" w:eastAsia="宋体" w:cs="Times New Roman"/>
          <w:b/>
          <w:lang w:val="en-US" w:eastAsia="zh-CN"/>
        </w:rPr>
        <w:t>功能建设要求</w:t>
      </w:r>
    </w:p>
    <w:tbl>
      <w:tblPr>
        <w:tblStyle w:val="35"/>
        <w:tblW w:w="8568"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884"/>
        <w:gridCol w:w="1922"/>
        <w:gridCol w:w="4030"/>
      </w:tblGrid>
      <w:tr w14:paraId="3F55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68" w:type="dxa"/>
            <w:gridSpan w:val="4"/>
            <w:tcBorders>
              <w:top w:val="single" w:color="000000" w:sz="4" w:space="0"/>
              <w:left w:val="single" w:color="000000" w:sz="4" w:space="0"/>
              <w:bottom w:val="single" w:color="000000" w:sz="4" w:space="0"/>
              <w:right w:val="single" w:color="000000" w:sz="4" w:space="0"/>
            </w:tcBorders>
            <w:shd w:val="clear" w:color="auto" w:fill="F3F8FC"/>
            <w:noWrap/>
            <w:vAlign w:val="center"/>
          </w:tcPr>
          <w:p w14:paraId="2DD8CC25">
            <w:pPr>
              <w:keepNext w:val="0"/>
              <w:keepLines w:val="0"/>
              <w:widowControl/>
              <w:suppressLineNumbers w:val="0"/>
              <w:ind w:left="0" w:leftChars="0" w:firstLine="0" w:firstLineChars="0"/>
              <w:jc w:val="center"/>
              <w:textAlignment w:val="top"/>
              <w:rPr>
                <w:rFonts w:hint="default" w:ascii="宋体" w:hAnsi="宋体" w:eastAsia="宋体" w:cs="宋体"/>
                <w:b/>
                <w:bCs/>
                <w:i w:val="0"/>
                <w:iCs w:val="0"/>
                <w:color w:val="000000"/>
                <w:sz w:val="24"/>
                <w:szCs w:val="24"/>
                <w:u w:val="none"/>
                <w:lang w:val="en-US"/>
              </w:rPr>
            </w:pPr>
            <w:r>
              <w:rPr>
                <w:rFonts w:hint="eastAsia" w:cs="宋体"/>
                <w:b/>
                <w:bCs/>
                <w:i w:val="0"/>
                <w:iCs w:val="0"/>
                <w:color w:val="000000"/>
                <w:kern w:val="0"/>
                <w:sz w:val="24"/>
                <w:szCs w:val="24"/>
                <w:u w:val="none"/>
                <w:lang w:val="en-US" w:eastAsia="zh-CN" w:bidi="ar"/>
              </w:rPr>
              <w:t>软件开发功能清单</w:t>
            </w:r>
          </w:p>
        </w:tc>
      </w:tr>
      <w:tr w14:paraId="5521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3F8FC"/>
            <w:noWrap/>
            <w:vAlign w:val="center"/>
          </w:tcPr>
          <w:p w14:paraId="490904E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84" w:type="dxa"/>
            <w:tcBorders>
              <w:top w:val="single" w:color="000000" w:sz="4" w:space="0"/>
              <w:left w:val="single" w:color="000000" w:sz="4" w:space="0"/>
              <w:bottom w:val="single" w:color="000000" w:sz="4" w:space="0"/>
              <w:right w:val="single" w:color="000000" w:sz="4" w:space="0"/>
            </w:tcBorders>
            <w:shd w:val="clear" w:color="auto" w:fill="F3F8FC"/>
            <w:noWrap/>
            <w:vAlign w:val="center"/>
          </w:tcPr>
          <w:p w14:paraId="669F4BE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应用系统名称</w:t>
            </w:r>
          </w:p>
        </w:tc>
        <w:tc>
          <w:tcPr>
            <w:tcW w:w="1922" w:type="dxa"/>
            <w:tcBorders>
              <w:top w:val="single" w:color="000000" w:sz="4" w:space="0"/>
              <w:left w:val="single" w:color="000000" w:sz="4" w:space="0"/>
              <w:bottom w:val="single" w:color="000000" w:sz="4" w:space="0"/>
              <w:right w:val="single" w:color="000000" w:sz="4" w:space="0"/>
            </w:tcBorders>
            <w:shd w:val="clear" w:color="auto" w:fill="F3F8FC"/>
            <w:noWrap/>
            <w:vAlign w:val="center"/>
          </w:tcPr>
          <w:p w14:paraId="1037893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模块名称</w:t>
            </w:r>
          </w:p>
        </w:tc>
        <w:tc>
          <w:tcPr>
            <w:tcW w:w="4030" w:type="dxa"/>
            <w:tcBorders>
              <w:top w:val="single" w:color="000000" w:sz="4" w:space="0"/>
              <w:left w:val="single" w:color="000000" w:sz="4" w:space="0"/>
              <w:bottom w:val="single" w:color="000000" w:sz="4" w:space="0"/>
              <w:right w:val="single" w:color="000000" w:sz="4" w:space="0"/>
            </w:tcBorders>
            <w:shd w:val="clear" w:color="auto" w:fill="F3F8FC"/>
            <w:vAlign w:val="top"/>
          </w:tcPr>
          <w:p w14:paraId="22FE46C3">
            <w:pPr>
              <w:keepNext w:val="0"/>
              <w:keepLines w:val="0"/>
              <w:widowControl/>
              <w:suppressLineNumbers w:val="0"/>
              <w:ind w:left="0" w:leftChars="0" w:firstLine="0" w:firstLineChars="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模块描述</w:t>
            </w:r>
          </w:p>
        </w:tc>
      </w:tr>
      <w:tr w14:paraId="2B0A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DFE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348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64A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培训服务-培训任务</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AC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此模块展示企业可以参加的培训列表。</w:t>
            </w:r>
          </w:p>
        </w:tc>
      </w:tr>
      <w:tr w14:paraId="43EC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4FB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3E0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7CF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培训服务-培训报名</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98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在培训模块开放可以报名的相关培训任务。</w:t>
            </w:r>
          </w:p>
        </w:tc>
      </w:tr>
      <w:tr w14:paraId="6FDC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549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B37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668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培训服务-培训会务预约</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E6E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用户通过点击会务列表中的预约按钮，进行会务预约，预约成功后，可在已参加会务列表中查看已经预约成功的相关会务内容。</w:t>
            </w:r>
          </w:p>
        </w:tc>
      </w:tr>
      <w:tr w14:paraId="251C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ADF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41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FAF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培训服务-培训会务签到</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D1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已经预约成功的会务在会务开始后，用户可线下通过扫描签到二维码进行会务签到。</w:t>
            </w:r>
          </w:p>
        </w:tc>
      </w:tr>
      <w:tr w14:paraId="0086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BDD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D3D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19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培训服务-培训会务管理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07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此模块展示会务列表，用户在此模块可以进行会务预约。</w:t>
            </w:r>
          </w:p>
        </w:tc>
      </w:tr>
      <w:tr w14:paraId="7F80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9FE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54BB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8E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培训服务-培训详情</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87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在培训管理-已报名模块中，对已经开始的培训任务，进行在线培训。培训课件包括视频、PPT、PDF等格式。</w:t>
            </w:r>
          </w:p>
        </w:tc>
      </w:tr>
      <w:tr w14:paraId="3DB8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18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F5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26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培训服务-培训评价</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E70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在培训管理-已参与模块中，对已经参与的培训进行评价。</w:t>
            </w:r>
          </w:p>
        </w:tc>
      </w:tr>
      <w:tr w14:paraId="7545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44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63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2C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培训服务-培训管理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DE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此模块可管理培训课程列表、新增培训课程、查询培训课程、编辑培训课程、删除培训课程。</w:t>
            </w:r>
          </w:p>
        </w:tc>
      </w:tr>
      <w:tr w14:paraId="12EE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581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6C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93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培训服务-课件管理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B7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此模块进行培训课程的课件管理，包括课件上传、课件编辑、课件新增。</w:t>
            </w:r>
          </w:p>
        </w:tc>
      </w:tr>
      <w:tr w14:paraId="636E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21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98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B00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培训服务-考核管理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210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此模块管理培训报名列表，可新增培训任务、查看培训任务、编辑培训内容、查看企业用户培训评价。</w:t>
            </w:r>
          </w:p>
        </w:tc>
      </w:tr>
      <w:tr w14:paraId="6431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88E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74B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0A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企业互动-企业咨询</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74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此模块可以选择咨询业务、填写咨询内容，并提交至后台管理端，管理端业务老师收到咨询问题后，可进行针对咨询问题进行反馈。用户在我的咨询模块可以查看到咨询反馈内容。</w:t>
            </w:r>
          </w:p>
        </w:tc>
      </w:tr>
      <w:tr w14:paraId="1BF8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59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A06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8BA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企业互动-问卷调查</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A5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此模块展示统计相关部门发布的调查问卷列表。在此模块用户可以参与调查问卷。</w:t>
            </w:r>
          </w:p>
        </w:tc>
      </w:tr>
      <w:tr w14:paraId="2D18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3B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AE7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F7D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企业互动-惠企政策展示</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FB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此模块展示收集的企业相关的惠企政策，便于企业用户可以及时了解与本企业相关的利好政策。</w:t>
            </w:r>
          </w:p>
        </w:tc>
      </w:tr>
      <w:tr w14:paraId="1813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966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68B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412D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企业互动-惠企政策管理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CA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此模块可新增、编辑、删除、查看、查询惠企政策。或者有第三方惠企政策接口，还可直接同步惠企政策信息。</w:t>
            </w:r>
          </w:p>
        </w:tc>
      </w:tr>
      <w:tr w14:paraId="2C44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298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5F4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CEC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企业互动-咨询列表管理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0E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此模块管理用户的咨询信息列表，此模块可以根据查询条件查询咨询信息、可以对咨询信息进行反馈、查看与删除。</w:t>
            </w:r>
          </w:p>
        </w:tc>
      </w:tr>
      <w:tr w14:paraId="7F99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7D8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84D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5D74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企业互动-问卷调查管理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6C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此模块管理问卷调查列表，可新增、删除、编辑、查看问卷调查信息，且可在此模块查看问卷调查参与者列表。</w:t>
            </w:r>
          </w:p>
        </w:tc>
      </w:tr>
      <w:tr w14:paraId="4B52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B44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08B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26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企业互动-问卷调查名单</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96D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此模块可以查看问卷调查参与者名单、可查询问卷调查参与者且可查看参与者问卷调查题目答案。</w:t>
            </w:r>
          </w:p>
        </w:tc>
      </w:tr>
      <w:tr w14:paraId="50C0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D02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1F9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204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技术服务工单-工单提交</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AB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该模块为工单提交，包括问题分类、工单描述等必要字段，管理端业务老师可以自定义其他字段。</w:t>
            </w:r>
          </w:p>
        </w:tc>
      </w:tr>
      <w:tr w14:paraId="0925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210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1DC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BB6A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技术服务工单-自定义搜索</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FF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该模块可以根据关键字、工单编号、标题等条件搜索对应工单。支持列表展示与操作。</w:t>
            </w:r>
          </w:p>
        </w:tc>
      </w:tr>
      <w:tr w14:paraId="7AE5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E1A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302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2E5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技术服务工单-我的工单</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0E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该模块包括当前账户的待处理工单、已处理工单、已创建工单、已完结工单进行几个子模块，均支持工单列表展示与工单筛查、查看、编辑、删除。</w:t>
            </w:r>
          </w:p>
        </w:tc>
      </w:tr>
      <w:tr w14:paraId="4881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48D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77E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84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技术服务工单-小组设置</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69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该模块由管理端业务老师进行配置，创建工单处理的小组。</w:t>
            </w:r>
          </w:p>
        </w:tc>
      </w:tr>
      <w:tr w14:paraId="5F458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9A4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50BA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357D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技术服务工单-小组工单</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60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该模块对工单的受理人进行分组，工单可由该小组跟进与操作。</w:t>
            </w:r>
          </w:p>
        </w:tc>
      </w:tr>
      <w:tr w14:paraId="07A5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F0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DD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AFA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技术服务工单-自定义字段</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DD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该模块根据业务场景创建不同的工单字段，以方便添加到工单模板中。</w:t>
            </w:r>
          </w:p>
        </w:tc>
      </w:tr>
      <w:tr w14:paraId="39B8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03F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DB4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0AF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技术服务工单-工单模板</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F2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该模块可以根据业务场景，由管理端业务老师配置不同的工单模板。配置好的工单模板可以根据不同的用户端场景进行工单创建。</w:t>
            </w:r>
          </w:p>
        </w:tc>
      </w:tr>
      <w:tr w14:paraId="0D42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538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04B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86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技术服务工单-模板分类</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DF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该模块由管理端业务老师进行配置，对于已创建的工单模板，可以在该模块添加到模板分类里。在创建工单时，可以对工单的模板进行选择。</w:t>
            </w:r>
          </w:p>
        </w:tc>
      </w:tr>
      <w:tr w14:paraId="0370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92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1C0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39A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技术服务工单-工单状态通知</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95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该模块对工单的通状态通知进行设置，当工单状态发生变化时，以微信通知工单提交者，以短信通知工单受理人。</w:t>
            </w:r>
          </w:p>
        </w:tc>
      </w:tr>
      <w:tr w14:paraId="3AC5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D3D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FE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3F9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技术服务工单-权限设置</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6E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该模块可以对工单模块的角色和权限范围进行权限设置。管理员能够为每个角色定义特定的权限，也能够为每个角色定义权限的范围。</w:t>
            </w:r>
          </w:p>
        </w:tc>
      </w:tr>
      <w:tr w14:paraId="0CC6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05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D03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8CB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企业用户管理-企业用户登录</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D6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用户在此模块可进行用户登录，登录方式可以通过手机验证码或者微信直接登录。</w:t>
            </w:r>
          </w:p>
        </w:tc>
      </w:tr>
      <w:tr w14:paraId="4EF5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344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AA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654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企业用户管理-企业信息绑定</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5E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此模块可以进行企业信息绑定，且可以解绑已绑定的企业。注：一个账号当前状态下只可绑定一家企业。</w:t>
            </w:r>
          </w:p>
        </w:tc>
      </w:tr>
      <w:tr w14:paraId="0357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453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ECF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B907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企业用户管理-企业信息管理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B3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此模块可以进行企业信息管理，包括企业基本信息、企业行业信息等。</w:t>
            </w:r>
          </w:p>
        </w:tc>
      </w:tr>
      <w:tr w14:paraId="08F1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91A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D3EA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083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企业用户管理-消息中心</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8A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用户在此模块接收并查看站内消息，已读的消息可在后台标记已读。</w:t>
            </w:r>
          </w:p>
        </w:tc>
      </w:tr>
      <w:tr w14:paraId="2E63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B5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9D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505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企业用户管理-任务代办</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E7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用户在此模块接收企业任务，包括填报任务及其他待办任务。</w:t>
            </w:r>
          </w:p>
        </w:tc>
      </w:tr>
      <w:tr w14:paraId="41B4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8A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A1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66F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企业数据同步-企业信息数据管理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E0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为联网直报平台同步过来的企业信息数据。在此模块可以进行自动同步及手动一键同步最新企业信息数据。（同步的企业信息包括但不限于：企业名称、成立时间、统一社会信用代码等企业基本信息、所属行业信息及地址信息等。）</w:t>
            </w:r>
          </w:p>
        </w:tc>
      </w:tr>
      <w:tr w14:paraId="6631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683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AFB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2BE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统计分析-技术服务工单报表</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493B">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次模块对技术服务工单数据进行分析汇总形成数据报表</w:t>
            </w:r>
          </w:p>
        </w:tc>
      </w:tr>
      <w:tr w14:paraId="2777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A68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7F1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0D95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统计分析-用户培训报表</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7097">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此模块对用户培训业务数据统计汇总形成数据报表</w:t>
            </w:r>
          </w:p>
        </w:tc>
      </w:tr>
      <w:tr w14:paraId="407F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A5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CF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B7A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消息管理-以站内信息、短信方式通知</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4D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此模块管理站内消息，可以新增、删除、编辑、发送、查看、查询站内消息。可以查看站内消息已读和维度状态。</w:t>
            </w:r>
          </w:p>
        </w:tc>
      </w:tr>
      <w:tr w14:paraId="644D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321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DC3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AE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系统管理-工作人员管理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59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此模块管理各级统计机构同步过来的工作人员信息。可以在此模块进行统计工作人员信息查询、一键同步最新</w:t>
            </w:r>
            <w:r>
              <w:rPr>
                <w:rFonts w:hint="eastAsia" w:cs="宋体"/>
                <w:i w:val="0"/>
                <w:iCs w:val="0"/>
                <w:color w:val="000000"/>
                <w:kern w:val="0"/>
                <w:sz w:val="24"/>
                <w:szCs w:val="24"/>
                <w:u w:val="none"/>
                <w:lang w:val="en-US" w:eastAsia="zh-CN" w:bidi="ar"/>
              </w:rPr>
              <w:t>人员</w:t>
            </w:r>
            <w:r>
              <w:rPr>
                <w:rFonts w:hint="eastAsia" w:ascii="宋体" w:hAnsi="宋体" w:eastAsia="宋体" w:cs="宋体"/>
                <w:i w:val="0"/>
                <w:iCs w:val="0"/>
                <w:color w:val="000000"/>
                <w:kern w:val="0"/>
                <w:sz w:val="24"/>
                <w:szCs w:val="24"/>
                <w:u w:val="none"/>
                <w:lang w:val="en-US" w:eastAsia="zh-CN" w:bidi="ar"/>
              </w:rPr>
              <w:t>信息。</w:t>
            </w:r>
          </w:p>
        </w:tc>
      </w:tr>
      <w:tr w14:paraId="2676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195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0F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45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系统管理-角色管理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C8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此模块可以管理角色信息，进行角色的新增、删除、编辑、配置权限。</w:t>
            </w:r>
          </w:p>
        </w:tc>
      </w:tr>
      <w:tr w14:paraId="4628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BFB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AFB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38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系统管理-权限管理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63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此模块可进行权限配置。</w:t>
            </w:r>
          </w:p>
        </w:tc>
      </w:tr>
      <w:tr w14:paraId="3436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6E5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D99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4F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系统管理-日志管理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413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此模块可查看系统操作日志，比如登录、新增、修改重要业务数据等操作日志。</w:t>
            </w:r>
          </w:p>
        </w:tc>
      </w:tr>
      <w:tr w14:paraId="70162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04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82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7F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业务系统接口-企业信息同步</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A8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通过接口与统计一套表系统对接，主要将企业基本信息数据进行同步落地企业服务平台。最终数据与企业服务平台结合统计汇总。接口基本信息例如企业名称、企业类型、联系人、联系电话等信息。</w:t>
            </w:r>
          </w:p>
        </w:tc>
      </w:tr>
      <w:tr w14:paraId="57C9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EC8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B1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4BA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业务系统接口-企业信息认证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0D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将企业帐号信息进一步提供企业身份认证机制，申请上海市大数据中心电子证照和数据共享接口。</w:t>
            </w:r>
          </w:p>
        </w:tc>
      </w:tr>
      <w:tr w14:paraId="3EF0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808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00C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C5F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密码应用-用户身份认证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CA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开发用户身份认证机制模块，调用云平台提供的安全认证网关服务接口，并在服务端部署站点证书，绑定应用用户数字证书和应用用户ID，实现对服务端身份的鉴别。</w:t>
            </w:r>
          </w:p>
        </w:tc>
      </w:tr>
      <w:tr w14:paraId="169F0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96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06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EF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密码应用-重要数据安全传输</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F1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开发业务重要数据安全传输模块，调用云平台提供的安全认证网关服务接口，实现应用系统通信数据的机密性和完整性保护。</w:t>
            </w:r>
          </w:p>
        </w:tc>
      </w:tr>
      <w:tr w14:paraId="1427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E8E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B2E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50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密码应用-访问控制信息完整性</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36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shd w:val="clear"/>
                <w:lang w:val="en-US" w:eastAsia="zh-CN" w:bidi="ar"/>
              </w:rPr>
              <w:t>开发服务器虚拟机设备日志/访问控制信息完整性模块，调用云平台提供的签名验签服务接口，实现应用服务器虚拟机、数据库服务器虚拟机等设备日志/访问控制信息的完整性保护。</w:t>
            </w:r>
          </w:p>
        </w:tc>
      </w:tr>
      <w:tr w14:paraId="222B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AF1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B32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94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密码应用-重要可执行程序签名验签</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A0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开发重要可执行程序签名验签模块，调用云平台提供的签名验签服务接口，实现重要可执行程序的完整性、来源真实性保护。</w:t>
            </w:r>
          </w:p>
        </w:tc>
      </w:tr>
      <w:tr w14:paraId="5034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85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1FB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998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密码应用-用户访问控制信息签名验签</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548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开发用户访问控制信息签名验签模块，调用云平台提供的签名验签服务接口，实现应用系统登录用户的访问控制列表完整性保护。</w:t>
            </w:r>
          </w:p>
        </w:tc>
      </w:tr>
      <w:tr w14:paraId="670F1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00B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12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FE8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密码应用-应用系统重要数据加解密</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6E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开发应用系统重要数据加解密模块，调用云平台提供的数据库加密服务接口、加密存储服务接口，实现登录用户身份鉴别、数据等结构化数据、非结构化数据的存储机密性保护。</w:t>
            </w:r>
          </w:p>
        </w:tc>
      </w:tr>
      <w:tr w14:paraId="0058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17D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9F3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上海统计技术服务和教育培训管理子系统</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8E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密码应用-应用系统重要数据签名验签</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5F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开发应用系统重要数据签名验签模块，调用云平台提供的签名验签服务接口，实现登录用户身份鉴别、数据、业务日志的存储完整性保护。</w:t>
            </w:r>
          </w:p>
        </w:tc>
      </w:tr>
    </w:tbl>
    <w:p w14:paraId="0212131F">
      <w:pPr>
        <w:rPr>
          <w:rFonts w:hint="eastAsia"/>
          <w:b/>
          <w:lang w:val="en-US" w:eastAsia="zh-CN"/>
        </w:rPr>
      </w:pPr>
    </w:p>
    <w:p w14:paraId="4269701E">
      <w:pPr>
        <w:pStyle w:val="2"/>
        <w:ind w:left="0" w:leftChars="0" w:firstLineChars="0"/>
      </w:pPr>
      <w:bookmarkStart w:id="21" w:name="_Toc63785502"/>
      <w:r>
        <w:rPr>
          <w:rFonts w:hint="eastAsia"/>
        </w:rPr>
        <w:t>电子政务云资源</w:t>
      </w:r>
      <w:bookmarkEnd w:id="21"/>
      <w:r>
        <w:rPr>
          <w:rFonts w:hint="eastAsia"/>
          <w:lang w:eastAsia="zh-CN"/>
        </w:rPr>
        <w:t>配置</w:t>
      </w:r>
    </w:p>
    <w:p w14:paraId="45FEE8AB">
      <w:pPr>
        <w:rPr>
          <w:rFonts w:hint="eastAsia"/>
          <w:lang w:val="en-US" w:eastAsia="zh-CN"/>
        </w:rPr>
      </w:pPr>
      <w:r>
        <w:rPr>
          <w:rFonts w:hint="eastAsia"/>
        </w:rPr>
        <w:t>本</w:t>
      </w:r>
      <w:r>
        <w:rPr>
          <w:rFonts w:hint="eastAsia"/>
          <w:lang w:eastAsia="zh-CN"/>
        </w:rPr>
        <w:t>项目</w:t>
      </w:r>
      <w:r>
        <w:rPr>
          <w:rFonts w:hint="eastAsia"/>
        </w:rPr>
        <w:t>建设拟向电子政务云申请</w:t>
      </w:r>
      <w:r>
        <w:rPr>
          <w:rFonts w:hint="eastAsia"/>
          <w:lang w:val="en-US" w:eastAsia="zh-CN"/>
        </w:rPr>
        <w:t>8</w:t>
      </w:r>
      <w:r>
        <w:rPr>
          <w:rFonts w:hint="eastAsia"/>
        </w:rPr>
        <w:t>台服务器资源</w:t>
      </w:r>
      <w:r>
        <w:rPr>
          <w:rFonts w:hint="eastAsia"/>
          <w:lang w:eastAsia="zh-CN"/>
        </w:rPr>
        <w:t>，共计</w:t>
      </w:r>
      <w:r>
        <w:rPr>
          <w:rFonts w:hint="eastAsia"/>
        </w:rPr>
        <w:t>CPU</w:t>
      </w:r>
      <w:r>
        <w:rPr>
          <w:rFonts w:hint="eastAsia"/>
          <w:lang w:val="en-US" w:eastAsia="zh-CN"/>
        </w:rPr>
        <w:t>128</w:t>
      </w:r>
      <w:r>
        <w:rPr>
          <w:rFonts w:hint="eastAsia"/>
        </w:rPr>
        <w:t>核 、内存</w:t>
      </w:r>
      <w:r>
        <w:rPr>
          <w:rFonts w:hint="eastAsia"/>
          <w:lang w:val="en-US" w:eastAsia="zh-CN"/>
        </w:rPr>
        <w:t>448</w:t>
      </w:r>
      <w:r>
        <w:rPr>
          <w:rFonts w:hint="eastAsia"/>
        </w:rPr>
        <w:t>G、存储</w:t>
      </w:r>
      <w:r>
        <w:rPr>
          <w:rFonts w:hint="eastAsia"/>
          <w:lang w:val="en-US" w:eastAsia="zh-CN"/>
        </w:rPr>
        <w:t>7000G</w:t>
      </w:r>
      <w:r>
        <w:rPr>
          <w:rFonts w:hint="eastAsia"/>
        </w:rPr>
        <w:t>，</w:t>
      </w:r>
      <w:r>
        <w:rPr>
          <w:rFonts w:hint="eastAsia"/>
          <w:lang w:val="en-US" w:eastAsia="zh-CN"/>
        </w:rPr>
        <w:t>本项目全部为虚拟机，且无需额外采购服务器资源。</w:t>
      </w:r>
    </w:p>
    <w:p w14:paraId="3097ACFE">
      <w:pPr>
        <w:rPr>
          <w:rFonts w:hint="default"/>
          <w:lang w:val="en-US" w:eastAsia="zh-CN"/>
        </w:rPr>
      </w:pPr>
      <w:r>
        <w:rPr>
          <w:rFonts w:hint="eastAsia"/>
          <w:lang w:val="en-US" w:eastAsia="zh-CN"/>
        </w:rPr>
        <w:t>同时根据密码应用改造要求，向电子政务云申请互联网安全认证网关、政务外网安全认证网关、签名验签服务、可信密码服务。</w:t>
      </w:r>
    </w:p>
    <w:p w14:paraId="7EF62A1B">
      <w:pPr>
        <w:pStyle w:val="2"/>
        <w:ind w:left="0" w:leftChars="0" w:firstLineChars="0"/>
      </w:pPr>
      <w:bookmarkStart w:id="22" w:name="_Toc63785503"/>
      <w:r>
        <w:rPr>
          <w:rFonts w:hint="eastAsia"/>
        </w:rPr>
        <w:t>其他工作要求</w:t>
      </w:r>
      <w:bookmarkEnd w:id="22"/>
    </w:p>
    <w:p w14:paraId="4EDA00C4">
      <w:pPr>
        <w:keepNext/>
        <w:keepLines/>
        <w:numPr>
          <w:ilvl w:val="1"/>
          <w:numId w:val="7"/>
        </w:numPr>
        <w:tabs>
          <w:tab w:val="left" w:pos="360"/>
        </w:tabs>
        <w:spacing w:before="120" w:line="240" w:lineRule="auto"/>
        <w:ind w:left="0" w:firstLine="0" w:firstLineChars="0"/>
        <w:outlineLvl w:val="1"/>
        <w:rPr>
          <w:rFonts w:ascii="仿宋" w:hAnsi="仿宋" w:eastAsia="仿宋"/>
          <w:b/>
          <w:vanish/>
          <w:color w:val="000000"/>
          <w:sz w:val="28"/>
          <w:szCs w:val="20"/>
        </w:rPr>
      </w:pPr>
      <w:bookmarkStart w:id="23" w:name="_Toc62219358"/>
      <w:bookmarkEnd w:id="23"/>
      <w:bookmarkStart w:id="24" w:name="_Toc63785504"/>
      <w:bookmarkEnd w:id="24"/>
      <w:bookmarkStart w:id="25" w:name="_Toc63785439"/>
      <w:bookmarkEnd w:id="25"/>
      <w:bookmarkStart w:id="26" w:name="_Toc63151871"/>
      <w:bookmarkEnd w:id="26"/>
      <w:bookmarkStart w:id="27" w:name="_Toc63585480"/>
      <w:bookmarkEnd w:id="27"/>
      <w:bookmarkStart w:id="28" w:name="_Toc63762370"/>
      <w:bookmarkEnd w:id="28"/>
      <w:bookmarkStart w:id="29" w:name="_Toc62209488"/>
      <w:bookmarkEnd w:id="29"/>
      <w:bookmarkStart w:id="30" w:name="_Toc61968111"/>
      <w:bookmarkEnd w:id="30"/>
    </w:p>
    <w:p w14:paraId="56569690">
      <w:pPr>
        <w:pStyle w:val="3"/>
        <w:ind w:left="0" w:leftChars="0" w:firstLineChars="0"/>
      </w:pPr>
      <w:bookmarkStart w:id="31" w:name="_Toc63785505"/>
      <w:r>
        <w:rPr>
          <w:rFonts w:hint="eastAsia"/>
        </w:rPr>
        <w:t>售后服务要求</w:t>
      </w:r>
      <w:bookmarkEnd w:id="31"/>
    </w:p>
    <w:p w14:paraId="6D891097">
      <w:r>
        <w:rPr>
          <w:rFonts w:hint="eastAsia"/>
        </w:rPr>
        <w:t>本项目质保期和免维期为自项目终验合格之日起</w:t>
      </w:r>
      <w:r>
        <w:rPr>
          <w:rFonts w:hint="eastAsia"/>
          <w:lang w:val="en-US" w:eastAsia="zh-CN"/>
        </w:rPr>
        <w:t>一</w:t>
      </w:r>
      <w:r>
        <w:rPr>
          <w:rFonts w:hint="eastAsia"/>
        </w:rPr>
        <w:t>年，在质保期内，供应商需提供7×24小时的运行维护服务，包括系统故障的及时响应与修复、系统性能的优化调整、安全漏洞的修补以及必要的系统升级等，确保系统稳定、安全、高效运行。</w:t>
      </w:r>
    </w:p>
    <w:p w14:paraId="50374E9B">
      <w:pPr>
        <w:pStyle w:val="106"/>
        <w:snapToGrid w:val="0"/>
        <w:spacing w:line="360" w:lineRule="auto"/>
        <w:ind w:firstLine="480"/>
        <w:rPr>
          <w:rFonts w:ascii="宋体" w:hAnsi="宋体"/>
          <w:sz w:val="24"/>
          <w:szCs w:val="24"/>
        </w:rPr>
      </w:pPr>
      <w:r>
        <w:rPr>
          <w:rFonts w:hint="eastAsia" w:ascii="宋体" w:hAnsi="宋体"/>
          <w:sz w:val="24"/>
          <w:szCs w:val="24"/>
        </w:rPr>
        <w:t>在质量保证期内，供应商将按照售后服务的承诺提供保修和运行维护服务，如果厂商对信息系统中软、硬件设备等产品中的部分保修期超过上述期限的，则按照厂商的规定进行免费保修。</w:t>
      </w:r>
    </w:p>
    <w:p w14:paraId="31906FF1">
      <w:pPr>
        <w:pStyle w:val="106"/>
        <w:snapToGrid w:val="0"/>
        <w:spacing w:line="360" w:lineRule="auto"/>
        <w:ind w:firstLine="480"/>
        <w:rPr>
          <w:rFonts w:hint="eastAsia" w:ascii="宋体" w:hAnsi="宋体"/>
          <w:sz w:val="24"/>
          <w:szCs w:val="24"/>
        </w:rPr>
      </w:pPr>
      <w:r>
        <w:rPr>
          <w:rFonts w:hint="eastAsia" w:ascii="宋体" w:hAnsi="宋体"/>
          <w:sz w:val="24"/>
          <w:szCs w:val="24"/>
        </w:rPr>
        <w:t>在质量保证期内，供应商负责信息系统的运行维护工作，确保信息系统安全、稳定、可靠地运行。本项目涉及的运行维护工作范围为：</w:t>
      </w:r>
    </w:p>
    <w:p w14:paraId="7D04AD5D">
      <w:pPr>
        <w:snapToGrid w:val="0"/>
        <w:spacing w:line="360" w:lineRule="auto"/>
        <w:rPr>
          <w:rFonts w:hint="eastAsia"/>
        </w:rPr>
      </w:pPr>
      <w:r>
        <w:rPr>
          <w:rFonts w:hint="eastAsia"/>
        </w:rPr>
        <w:t>1</w:t>
      </w:r>
      <w:r>
        <w:rPr>
          <w:rFonts w:hint="eastAsia"/>
          <w:lang w:eastAsia="zh-CN"/>
        </w:rPr>
        <w:t>、</w:t>
      </w:r>
      <w:r>
        <w:rPr>
          <w:rFonts w:hint="eastAsia"/>
        </w:rPr>
        <w:t>系统监控与巡检：供应商需建立完善的系统监控体系，对信息系统的各项关键指标进行实时监控，包括服务器性能、网络流量、数据库运行状态、应用服务可用性等，及时发现并预警潜在的系统故障。同时，定期对信息系统进行巡检，检查系统的软件环境、网络连接等是否正常，确保系统处于良好的运行状态。</w:t>
      </w:r>
    </w:p>
    <w:p w14:paraId="64FFB678">
      <w:pPr>
        <w:snapToGrid w:val="0"/>
        <w:spacing w:line="360" w:lineRule="auto"/>
        <w:rPr>
          <w:rFonts w:hint="eastAsia"/>
        </w:rPr>
      </w:pPr>
      <w:r>
        <w:rPr>
          <w:rFonts w:hint="eastAsia"/>
        </w:rPr>
        <w:t>2</w:t>
      </w:r>
      <w:r>
        <w:rPr>
          <w:rFonts w:hint="eastAsia"/>
          <w:lang w:eastAsia="zh-CN"/>
        </w:rPr>
        <w:t>、</w:t>
      </w:r>
      <w:r>
        <w:rPr>
          <w:rFonts w:hint="eastAsia"/>
        </w:rPr>
        <w:t>故障响应与修复：当信息系统出现故障时，供应商应按照应急响应要求迅速响应，及时组织技术人员进行故障诊断和修复。对于一般故障，应在2小时内响应并4小时内解决；对于严重故障，应在1小时内响应并2小时内恢复系统基本功能，4小时内彻底解决问题；对于重大故障，应在30分钟内响应并1小时内采取有效措施防止故障扩大，2小时内恢复关键业务功能，4小时内完成故障修复。修复完成后，需向采购人提供详细的故障报告，包括故障原因、处理过程、解决方案及后续预防措施等。</w:t>
      </w:r>
    </w:p>
    <w:p w14:paraId="65EE9807">
      <w:pPr>
        <w:snapToGrid w:val="0"/>
        <w:spacing w:line="360" w:lineRule="auto"/>
        <w:rPr>
          <w:rFonts w:hint="eastAsia"/>
        </w:rPr>
      </w:pPr>
      <w:r>
        <w:rPr>
          <w:rFonts w:hint="eastAsia"/>
        </w:rPr>
        <w:t>3</w:t>
      </w:r>
      <w:r>
        <w:rPr>
          <w:rFonts w:hint="eastAsia"/>
          <w:lang w:eastAsia="zh-CN"/>
        </w:rPr>
        <w:t>、</w:t>
      </w:r>
      <w:r>
        <w:rPr>
          <w:rFonts w:hint="eastAsia"/>
        </w:rPr>
        <w:t>系统优化与升级：供应商应根据信息系统的运行情况和采购人的业务需求，定期对系统进行优化调整，包括但不限于系统性能优化、资源配置调整、代码优化等，以提高系统的运行效率和稳定性。同时，需及时关注信息系统相关技术的发展动态，适时对系统进行升级，引入新的功能和技术，以满足业务发展的需要，确保信息系统的技术先进性和适应性。</w:t>
      </w:r>
    </w:p>
    <w:p w14:paraId="266A33F4">
      <w:pPr>
        <w:snapToGrid w:val="0"/>
        <w:spacing w:line="360" w:lineRule="auto"/>
        <w:rPr>
          <w:rFonts w:hint="eastAsia"/>
        </w:rPr>
      </w:pPr>
      <w:r>
        <w:rPr>
          <w:rFonts w:hint="eastAsia"/>
        </w:rPr>
        <w:t>4</w:t>
      </w:r>
      <w:r>
        <w:rPr>
          <w:rFonts w:hint="eastAsia"/>
          <w:lang w:eastAsia="zh-CN"/>
        </w:rPr>
        <w:t>、</w:t>
      </w:r>
      <w:r>
        <w:rPr>
          <w:rFonts w:hint="eastAsia"/>
        </w:rPr>
        <w:t>数据备份与恢复：供应商负责制定并执行数据备份策略，定期对信息系统的数据进行备份，确保数据的安全性和完整性。备份数据应存储在安全、可靠的存储介质上，并进行异地备份，以防止数据丢失和灾难恢复。在需要时，能够快速、准确地恢复数据，将数据丢失和业务中断时间降至最低。</w:t>
      </w:r>
    </w:p>
    <w:p w14:paraId="2A2E1171">
      <w:pPr>
        <w:snapToGrid w:val="0"/>
        <w:spacing w:line="360" w:lineRule="auto"/>
        <w:rPr>
          <w:rFonts w:hint="eastAsia"/>
        </w:rPr>
      </w:pPr>
      <w:r>
        <w:rPr>
          <w:rFonts w:hint="eastAsia"/>
        </w:rPr>
        <w:t>5</w:t>
      </w:r>
      <w:r>
        <w:rPr>
          <w:rFonts w:hint="eastAsia"/>
          <w:lang w:eastAsia="zh-CN"/>
        </w:rPr>
        <w:t>、</w:t>
      </w:r>
      <w:r>
        <w:rPr>
          <w:rFonts w:hint="eastAsia"/>
        </w:rPr>
        <w:t>安全管理与维护：供应商需负责信息系统的安全管理，包括但不限于网络安全防护、系统漏洞扫描与修复、安全策略配置与更新、用户权限管理等。定期对信息系统进行安全评估和风险分析，及时发现并修补安全漏洞，防止黑客攻击、病毒感染等安全威胁。同时，需配合采购人建立健全的信息安全管理制度，加强对系统用户的安全教育和培训，提高用户的安全意识和操作规范性。</w:t>
      </w:r>
    </w:p>
    <w:p w14:paraId="267A0D3A">
      <w:pPr>
        <w:snapToGrid w:val="0"/>
        <w:spacing w:line="360" w:lineRule="auto"/>
        <w:rPr>
          <w:rFonts w:hint="eastAsia"/>
        </w:rPr>
      </w:pPr>
      <w:r>
        <w:rPr>
          <w:rFonts w:hint="eastAsia"/>
        </w:rPr>
        <w:t>6</w:t>
      </w:r>
      <w:r>
        <w:rPr>
          <w:rFonts w:hint="eastAsia"/>
          <w:lang w:eastAsia="zh-CN"/>
        </w:rPr>
        <w:t>、</w:t>
      </w:r>
      <w:r>
        <w:rPr>
          <w:rFonts w:hint="eastAsia"/>
        </w:rPr>
        <w:t>文档更新与管理：在质量保证期内，供应商应及时更新和完善信息系统的相关技术文档，包括系统架构图、网络拓扑图、数据库设计文档、用户手册、操作指南等，确保文档的准确性和时效性。同时，需建立完善的文档管理体系，对文档进行分类、归档和存储，方便采购人和供应商相关人员查阅和使用。</w:t>
      </w:r>
    </w:p>
    <w:p w14:paraId="1089434E">
      <w:pPr>
        <w:snapToGrid w:val="0"/>
        <w:spacing w:line="360" w:lineRule="auto"/>
        <w:rPr>
          <w:rFonts w:hint="eastAsia"/>
        </w:rPr>
      </w:pPr>
      <w:r>
        <w:rPr>
          <w:rFonts w:hint="eastAsia"/>
        </w:rPr>
        <w:t>7</w:t>
      </w:r>
      <w:r>
        <w:rPr>
          <w:rFonts w:hint="eastAsia"/>
          <w:lang w:eastAsia="zh-CN"/>
        </w:rPr>
        <w:t>、</w:t>
      </w:r>
      <w:r>
        <w:rPr>
          <w:rFonts w:hint="eastAsia"/>
        </w:rPr>
        <w:t>技术支持与咨询：供应商应提供7×24小时的技术支持服务，解答采购人在信息系统使用过程中遇到的各种技术问题，提供专业的技术咨询和解决方案。对于采购人提出的合理建议和需求，供应商应及时响应并给予积极</w:t>
      </w:r>
      <w:r>
        <w:rPr>
          <w:rFonts w:hint="eastAsia"/>
          <w:lang w:eastAsia="zh-CN"/>
        </w:rPr>
        <w:t>地</w:t>
      </w:r>
      <w:r>
        <w:rPr>
          <w:rFonts w:hint="eastAsia"/>
        </w:rPr>
        <w:t>反馈，共同推动信息系统的持续改进和完善。</w:t>
      </w:r>
    </w:p>
    <w:p w14:paraId="173AEE82">
      <w:pPr>
        <w:snapToGrid w:val="0"/>
        <w:spacing w:line="360" w:lineRule="auto"/>
        <w:rPr>
          <w:rFonts w:hint="eastAsia" w:ascii="宋体" w:hAnsi="宋体"/>
          <w:sz w:val="24"/>
          <w:szCs w:val="24"/>
        </w:rPr>
      </w:pPr>
      <w:r>
        <w:rPr>
          <w:rFonts w:hint="eastAsia"/>
        </w:rPr>
        <w:t>8</w:t>
      </w:r>
      <w:r>
        <w:rPr>
          <w:rFonts w:hint="eastAsia"/>
          <w:lang w:eastAsia="zh-CN"/>
        </w:rPr>
        <w:t>、</w:t>
      </w:r>
      <w:r>
        <w:rPr>
          <w:rFonts w:hint="eastAsia"/>
        </w:rPr>
        <w:t>配合采购人工作：供应商需积极配合采购人开展与信息系统相关的各项工作，包括但不限于业务培训、数据迁移、系统切换、审计检查等。在项目实施过程中，及时向采购人汇报项目进展情况，接受采购人的监督和管理，确保项目按照合同要求顺利推进。</w:t>
      </w:r>
    </w:p>
    <w:p w14:paraId="657AB674">
      <w:pPr>
        <w:pStyle w:val="3"/>
        <w:ind w:left="0" w:leftChars="0" w:firstLineChars="0"/>
      </w:pPr>
      <w:bookmarkStart w:id="32" w:name="_Toc63785506"/>
      <w:r>
        <w:rPr>
          <w:rFonts w:hint="eastAsia"/>
        </w:rPr>
        <w:t>应急响应要求</w:t>
      </w:r>
      <w:bookmarkEnd w:id="32"/>
    </w:p>
    <w:p w14:paraId="7EDF9344">
      <w:pPr>
        <w:snapToGrid w:val="0"/>
        <w:spacing w:line="360" w:lineRule="auto"/>
        <w:ind w:firstLineChars="200"/>
        <w:rPr>
          <w:rFonts w:hint="eastAsia"/>
          <w:lang w:val="en-US" w:eastAsia="zh-CN"/>
        </w:rPr>
      </w:pPr>
      <w:r>
        <w:rPr>
          <w:rFonts w:hint="eastAsia"/>
          <w:lang w:val="en-US" w:eastAsia="zh-CN"/>
        </w:rPr>
        <w:t>发生系统故障时，供应商应按照故障严重程度分级响应。</w:t>
      </w:r>
    </w:p>
    <w:p w14:paraId="272AF8AB">
      <w:pPr>
        <w:snapToGrid w:val="0"/>
        <w:spacing w:line="360" w:lineRule="auto"/>
        <w:ind w:firstLineChars="200"/>
        <w:rPr>
          <w:rFonts w:hint="eastAsia"/>
          <w:lang w:val="en-US" w:eastAsia="zh-CN"/>
        </w:rPr>
      </w:pPr>
      <w:r>
        <w:rPr>
          <w:rFonts w:hint="eastAsia"/>
          <w:lang w:val="en-US" w:eastAsia="zh-CN"/>
        </w:rPr>
        <w:t>对于一般故障，应在接到通知后2小时内响应，4小时内解决问题；</w:t>
      </w:r>
    </w:p>
    <w:p w14:paraId="28479137">
      <w:pPr>
        <w:snapToGrid w:val="0"/>
        <w:spacing w:line="360" w:lineRule="auto"/>
        <w:ind w:firstLineChars="200"/>
        <w:rPr>
          <w:rFonts w:hint="eastAsia"/>
          <w:lang w:val="en-US" w:eastAsia="zh-CN"/>
        </w:rPr>
      </w:pPr>
      <w:r>
        <w:rPr>
          <w:rFonts w:hint="eastAsia"/>
          <w:lang w:val="en-US" w:eastAsia="zh-CN"/>
        </w:rPr>
        <w:t>对于严重故障，应在接到通知后1小时内响应，2小时内恢复系统基本功能，4小时内彻底解决问题；</w:t>
      </w:r>
    </w:p>
    <w:p w14:paraId="2A3AEC97">
      <w:pPr>
        <w:snapToGrid w:val="0"/>
        <w:spacing w:line="360" w:lineRule="auto"/>
        <w:ind w:firstLineChars="200"/>
      </w:pPr>
      <w:r>
        <w:rPr>
          <w:rFonts w:hint="eastAsia"/>
          <w:lang w:val="en-US" w:eastAsia="zh-CN"/>
        </w:rPr>
        <w:t>对于重大故障，应在接到通知后30分钟内响应，1小时内采取有效措施防止故障扩大，2小时内恢复关键业务功能，4小时内完成故障修复。</w:t>
      </w:r>
    </w:p>
    <w:p w14:paraId="11E0C65C">
      <w:pPr>
        <w:pStyle w:val="3"/>
        <w:ind w:left="0" w:leftChars="0" w:firstLineChars="0"/>
      </w:pPr>
      <w:bookmarkStart w:id="33" w:name="_Toc63785507"/>
      <w:r>
        <w:rPr>
          <w:rFonts w:hint="eastAsia"/>
        </w:rPr>
        <w:t>培训要求</w:t>
      </w:r>
      <w:bookmarkEnd w:id="33"/>
    </w:p>
    <w:p w14:paraId="24C40958">
      <w:bookmarkStart w:id="34" w:name="_Toc63785508"/>
      <w:r>
        <w:rPr>
          <w:rFonts w:hint="eastAsia"/>
        </w:rPr>
        <w:t>供应商需提供全面的培训内容，包括系统架构与功能介绍、操作流程演示与实操练习、常见问题处理方法讲解等。培训方式应采用线上线下相结合，线上提供详细的培训资料和视频教程，线下组织集中培训和现场指导，确保用户能够熟练掌握系统的使用和管理，</w:t>
      </w:r>
      <w:r>
        <w:rPr>
          <w:rFonts w:hint="eastAsia"/>
          <w:lang w:val="en-US" w:eastAsia="zh-CN"/>
        </w:rPr>
        <w:t>并</w:t>
      </w:r>
      <w:r>
        <w:rPr>
          <w:rFonts w:hint="eastAsia"/>
        </w:rPr>
        <w:t>提供详细培训方案。</w:t>
      </w:r>
    </w:p>
    <w:p w14:paraId="5319B564">
      <w:r>
        <w:rPr>
          <w:rFonts w:hint="eastAsia"/>
        </w:rPr>
        <w:t>(1)在12个月的质量保证期内，提供</w:t>
      </w:r>
      <w:r>
        <w:rPr>
          <w:rFonts w:hint="eastAsia"/>
          <w:lang w:val="en-US" w:eastAsia="zh-CN"/>
        </w:rPr>
        <w:t>1</w:t>
      </w:r>
      <w:r>
        <w:rPr>
          <w:rFonts w:hint="eastAsia"/>
        </w:rPr>
        <w:t>次与项目相关的必要培训。</w:t>
      </w:r>
    </w:p>
    <w:p w14:paraId="4BD609C4">
      <w:r>
        <w:rPr>
          <w:rFonts w:hint="eastAsia"/>
        </w:rPr>
        <w:t>(2)供应商需要开展分层次的人员培训工作，每次培训后应对参加培训人员进行测试，评估培训成果。培训应具有培训教材、培训环境和高水平的培训讲师。</w:t>
      </w:r>
    </w:p>
    <w:p w14:paraId="09204AED">
      <w:r>
        <w:rPr>
          <w:rFonts w:hint="eastAsia"/>
        </w:rPr>
        <w:t>(3)供应商应提供一般用户的基础操作培训和部门信息管理员的日常应用维护的培训，确保用户对象能够掌握对应的操作技能。</w:t>
      </w:r>
    </w:p>
    <w:p w14:paraId="02FF05C1">
      <w:pPr>
        <w:pStyle w:val="3"/>
        <w:ind w:left="0" w:leftChars="0" w:firstLineChars="0"/>
      </w:pPr>
      <w:r>
        <w:rPr>
          <w:rFonts w:hint="eastAsia"/>
        </w:rPr>
        <w:t>验收要求</w:t>
      </w:r>
      <w:bookmarkEnd w:id="34"/>
    </w:p>
    <w:p w14:paraId="35E19777">
      <w:pPr>
        <w:rPr>
          <w:rFonts w:hint="eastAsia"/>
        </w:rPr>
      </w:pPr>
      <w:r>
        <w:rPr>
          <w:rFonts w:hint="eastAsia"/>
          <w:lang w:val="en-US" w:eastAsia="zh-CN"/>
        </w:rPr>
        <w:t xml:space="preserve">中标人须完成软件开发、产品软件安装和信息系统的调试等，并对本项目进行功能和运行检测，确保所有信息系统功能模块能够正常运行且已达到本项目 约定的各类标准要求；中标人还应提供软件文档包括《用户需求说明书》、《系统概要设计说明书》、《系统详细设计说明书》、《三方功能需求确认单》、《测试报告》、《用户使用手册》、《系统部署文档》等）及可安装的程序运行文件，所交付的文档与文件应当是可供自然人阅读的书面和电子文档；招标方享有中标人免费提供的30天的信息系统试运行现场驻场服务期。该期间内，中标人应当按照招标方的要求提供现场技术支持服务，解决信息系统试运行期间可能出现的各类问题，或进一步提高与完善信息系统运行水平。 </w:t>
      </w:r>
    </w:p>
    <w:p w14:paraId="1F9D6296">
      <w:pPr>
        <w:rPr>
          <w:rFonts w:hint="eastAsia"/>
        </w:rPr>
      </w:pPr>
      <w:r>
        <w:rPr>
          <w:rFonts w:hint="eastAsia"/>
          <w:lang w:val="en-US" w:eastAsia="zh-CN"/>
        </w:rPr>
        <w:t xml:space="preserve">同时，在试运行期间，需要配合完成建设单位组织的第三方测评工作，包括但不限于：《软件功能测评》、《安全测评》、《密码测评》等，按要求通过各项测评并获得《测评报告》。 </w:t>
      </w:r>
    </w:p>
    <w:p w14:paraId="4F24571F">
      <w:pPr>
        <w:rPr>
          <w:rFonts w:hint="eastAsia"/>
        </w:rPr>
      </w:pPr>
      <w:r>
        <w:rPr>
          <w:rFonts w:hint="eastAsia"/>
          <w:lang w:val="en-US" w:eastAsia="zh-CN"/>
        </w:rPr>
        <w:t xml:space="preserve">系统试运行期已经达到本项目约定的时间，经中标人确认信息系统具备正常运行条件，且系统通过运行测试，中标人应以书面形式通知招标方系统已准备就绪等待项目验收。招标方在收到验收通知后的5个工作日内发起组织专家验收会。 </w:t>
      </w:r>
    </w:p>
    <w:p w14:paraId="394CA9AD">
      <w:pPr>
        <w:rPr>
          <w:szCs w:val="21"/>
        </w:rPr>
      </w:pPr>
      <w:r>
        <w:rPr>
          <w:rFonts w:hint="eastAsia"/>
          <w:lang w:val="en-US" w:eastAsia="zh-CN"/>
        </w:rPr>
        <w:t>如果属于中标人原因致使本项目未能通过验收，中标人应当排除缺陷，直至本项目完全符合验收标准，由上述情形而产生的相关费用应由中标人自行承担；如果由于招标方原因导致本项目在验收通过前出现故障或问题，中标人应及时配合排除该方面的故障或问题。如本项目连续3次验收未通过，招标方有权解除项目，并有权依照本项目约定的违约条款追究中标人的违约责任。</w:t>
      </w:r>
    </w:p>
    <w:p w14:paraId="7542A923">
      <w:pPr>
        <w:pStyle w:val="3"/>
        <w:ind w:left="0" w:leftChars="0" w:firstLineChars="0"/>
      </w:pPr>
      <w:bookmarkStart w:id="35" w:name="_Toc63785509"/>
      <w:r>
        <w:rPr>
          <w:rFonts w:hint="eastAsia"/>
        </w:rPr>
        <w:t>进度要求</w:t>
      </w:r>
      <w:bookmarkEnd w:id="35"/>
    </w:p>
    <w:p w14:paraId="0877E153">
      <w:r>
        <w:rPr>
          <w:rFonts w:hint="eastAsia"/>
        </w:rPr>
        <w:t>投标人应根据建设内容，分阶段制定合理的时间进度，并且应根据招标方要求进行调整和细化。</w:t>
      </w:r>
    </w:p>
    <w:p w14:paraId="3AB119A6">
      <w:pPr>
        <w:rPr>
          <w:rFonts w:hint="default" w:eastAsia="宋体"/>
          <w:lang w:val="en-US" w:eastAsia="zh-CN"/>
        </w:rPr>
      </w:pPr>
      <w:r>
        <w:rPr>
          <w:rFonts w:hint="eastAsia"/>
        </w:rPr>
        <w:t>本项目建设周期为</w:t>
      </w:r>
      <w:r>
        <w:rPr>
          <w:rFonts w:hint="eastAsia"/>
          <w:lang w:val="en-US" w:eastAsia="zh-CN"/>
        </w:rPr>
        <w:t>4</w:t>
      </w:r>
      <w:r>
        <w:rPr>
          <w:rFonts w:hint="eastAsia"/>
        </w:rPr>
        <w:t>个月，分为</w:t>
      </w:r>
      <w:r>
        <w:rPr>
          <w:rFonts w:hint="eastAsia"/>
          <w:lang w:val="en-US" w:eastAsia="zh-CN"/>
        </w:rPr>
        <w:t>四个阶段。</w:t>
      </w:r>
    </w:p>
    <w:p w14:paraId="183FA862">
      <w:pPr>
        <w:rPr>
          <w:rFonts w:hint="eastAsia"/>
          <w:lang w:eastAsia="zh-CN"/>
        </w:rPr>
      </w:pPr>
      <w:r>
        <w:rPr>
          <w:rFonts w:hint="eastAsia"/>
          <w:lang w:val="en-US" w:eastAsia="zh-CN"/>
        </w:rPr>
        <w:t>第一</w:t>
      </w:r>
      <w:r>
        <w:rPr>
          <w:rFonts w:hint="eastAsia"/>
        </w:rPr>
        <w:t>阶段</w:t>
      </w:r>
      <w:r>
        <w:rPr>
          <w:rFonts w:hint="eastAsia"/>
          <w:lang w:val="en-US" w:eastAsia="zh-CN"/>
        </w:rPr>
        <w:t>完成</w:t>
      </w:r>
      <w:r>
        <w:rPr>
          <w:rFonts w:hint="eastAsia"/>
        </w:rPr>
        <w:t>规划设计</w:t>
      </w:r>
      <w:r>
        <w:rPr>
          <w:rFonts w:hint="eastAsia"/>
          <w:lang w:eastAsia="zh-CN"/>
        </w:rPr>
        <w:t>；</w:t>
      </w:r>
    </w:p>
    <w:p w14:paraId="5BCA9526">
      <w:pPr>
        <w:rPr>
          <w:rFonts w:hint="eastAsia"/>
          <w:lang w:eastAsia="zh-CN"/>
        </w:rPr>
      </w:pPr>
      <w:r>
        <w:rPr>
          <w:rFonts w:hint="eastAsia"/>
          <w:lang w:val="en-US" w:eastAsia="zh-CN"/>
        </w:rPr>
        <w:t>第二阶段完成</w:t>
      </w:r>
      <w:r>
        <w:rPr>
          <w:rFonts w:hint="eastAsia"/>
        </w:rPr>
        <w:t>开发测试</w:t>
      </w:r>
      <w:r>
        <w:rPr>
          <w:rFonts w:hint="eastAsia"/>
          <w:lang w:eastAsia="zh-CN"/>
        </w:rPr>
        <w:t>；</w:t>
      </w:r>
    </w:p>
    <w:p w14:paraId="4482A391">
      <w:pPr>
        <w:rPr>
          <w:rFonts w:hint="eastAsia" w:eastAsia="宋体"/>
          <w:lang w:eastAsia="zh-CN"/>
        </w:rPr>
      </w:pPr>
      <w:r>
        <w:rPr>
          <w:rFonts w:hint="eastAsia"/>
          <w:lang w:val="en-US" w:eastAsia="zh-CN"/>
        </w:rPr>
        <w:t>第三阶段完成</w:t>
      </w:r>
      <w:r>
        <w:rPr>
          <w:rFonts w:hint="eastAsia"/>
        </w:rPr>
        <w:t>试运行和迭代开发</w:t>
      </w:r>
      <w:r>
        <w:rPr>
          <w:rFonts w:hint="eastAsia"/>
          <w:lang w:eastAsia="zh-CN"/>
        </w:rPr>
        <w:t>；</w:t>
      </w:r>
    </w:p>
    <w:p w14:paraId="37238426">
      <w:pPr>
        <w:rPr>
          <w:rFonts w:hint="eastAsia"/>
          <w:lang w:eastAsia="zh-CN"/>
        </w:rPr>
      </w:pPr>
      <w:r>
        <w:rPr>
          <w:rFonts w:hint="eastAsia"/>
          <w:lang w:val="en-US" w:eastAsia="zh-CN"/>
        </w:rPr>
        <w:t>第四阶段完成</w:t>
      </w:r>
      <w:r>
        <w:rPr>
          <w:rFonts w:hint="eastAsia"/>
        </w:rPr>
        <w:t>验收</w:t>
      </w:r>
      <w:r>
        <w:rPr>
          <w:rFonts w:hint="eastAsia"/>
          <w:lang w:eastAsia="zh-CN"/>
        </w:rPr>
        <w:t>。</w:t>
      </w:r>
    </w:p>
    <w:p w14:paraId="671D6B65">
      <w:pPr>
        <w:rPr>
          <w:rFonts w:hint="eastAsia"/>
        </w:rPr>
      </w:pPr>
      <w:r>
        <w:rPr>
          <w:rFonts w:hint="eastAsia"/>
        </w:rPr>
        <w:t>在试运行阶段，供应商需协助采购人对系统进行全面测试和优化，确保系统满足业务需求。</w:t>
      </w:r>
    </w:p>
    <w:p w14:paraId="6DC710BF">
      <w:pPr>
        <w:pStyle w:val="3"/>
        <w:ind w:left="0" w:leftChars="0" w:firstLineChars="0"/>
        <w:rPr>
          <w:highlight w:val="none"/>
        </w:rPr>
      </w:pPr>
      <w:bookmarkStart w:id="36" w:name="_Toc63785510"/>
      <w:r>
        <w:rPr>
          <w:rFonts w:hint="eastAsia"/>
          <w:highlight w:val="none"/>
        </w:rPr>
        <w:t>项目团队及驻场人员要求</w:t>
      </w:r>
      <w:bookmarkEnd w:id="36"/>
    </w:p>
    <w:p w14:paraId="2DEF2BB4">
      <w:r>
        <w:t>1）投标人须具有稳定的在职技术保障力量，能够提供及时的技术支援或服务，应针对本项目提供不少于</w:t>
      </w:r>
      <w:r>
        <w:rPr>
          <w:rFonts w:hint="eastAsia"/>
          <w:lang w:val="en-US" w:eastAsia="zh-CN"/>
        </w:rPr>
        <w:t>10</w:t>
      </w:r>
      <w:r>
        <w:t>人的项目服务团队（包括</w:t>
      </w:r>
      <w:r>
        <w:rPr>
          <w:rFonts w:hint="eastAsia"/>
          <w:lang w:val="en-US" w:eastAsia="zh-CN"/>
        </w:rPr>
        <w:t>项目负责人、技术负责人</w:t>
      </w:r>
      <w:r>
        <w:t>、</w:t>
      </w:r>
      <w:r>
        <w:rPr>
          <w:rFonts w:hint="eastAsia"/>
          <w:lang w:val="en-US" w:eastAsia="zh-CN"/>
        </w:rPr>
        <w:t>软件设计师、研发工程师、测试工程师、网络安全工程师</w:t>
      </w:r>
      <w:r>
        <w:t>等），投标单位的相关服务人员需具备相应的服务能力，需提供相关证明。</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916"/>
        <w:gridCol w:w="1272"/>
        <w:gridCol w:w="2356"/>
        <w:gridCol w:w="1180"/>
      </w:tblGrid>
      <w:tr w14:paraId="1413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0C9D4C3F">
            <w:pPr>
              <w:widowControl/>
              <w:spacing w:line="240" w:lineRule="auto"/>
              <w:ind w:firstLine="0" w:firstLineChars="0"/>
              <w:jc w:val="center"/>
              <w:rPr>
                <w:b/>
              </w:rPr>
            </w:pPr>
            <w:r>
              <w:rPr>
                <w:rFonts w:hint="eastAsia"/>
                <w:b/>
              </w:rPr>
              <w:t>角色</w:t>
            </w:r>
          </w:p>
        </w:tc>
        <w:tc>
          <w:tcPr>
            <w:tcW w:w="1916" w:type="dxa"/>
            <w:shd w:val="clear" w:color="auto" w:fill="auto"/>
            <w:noWrap/>
            <w:vAlign w:val="center"/>
          </w:tcPr>
          <w:p w14:paraId="7C552E42">
            <w:pPr>
              <w:widowControl/>
              <w:spacing w:line="240" w:lineRule="auto"/>
              <w:ind w:firstLine="0" w:firstLineChars="0"/>
              <w:jc w:val="center"/>
              <w:rPr>
                <w:b/>
              </w:rPr>
            </w:pPr>
            <w:r>
              <w:rPr>
                <w:rFonts w:hint="eastAsia"/>
                <w:b/>
              </w:rPr>
              <w:t>主要职责</w:t>
            </w:r>
          </w:p>
        </w:tc>
        <w:tc>
          <w:tcPr>
            <w:tcW w:w="1272" w:type="dxa"/>
            <w:shd w:val="clear" w:color="auto" w:fill="auto"/>
            <w:noWrap/>
            <w:vAlign w:val="center"/>
          </w:tcPr>
          <w:p w14:paraId="2A2E5456">
            <w:pPr>
              <w:widowControl/>
              <w:spacing w:line="240" w:lineRule="auto"/>
              <w:ind w:firstLine="0" w:firstLineChars="0"/>
              <w:jc w:val="center"/>
              <w:rPr>
                <w:b/>
              </w:rPr>
            </w:pPr>
            <w:r>
              <w:rPr>
                <w:rFonts w:hint="eastAsia"/>
                <w:b/>
              </w:rPr>
              <w:t>人员数量</w:t>
            </w:r>
          </w:p>
        </w:tc>
        <w:tc>
          <w:tcPr>
            <w:tcW w:w="2356" w:type="dxa"/>
            <w:vAlign w:val="center"/>
          </w:tcPr>
          <w:p w14:paraId="157CF1C8">
            <w:pPr>
              <w:widowControl/>
              <w:spacing w:line="240" w:lineRule="auto"/>
              <w:ind w:firstLine="0" w:firstLineChars="0"/>
              <w:jc w:val="center"/>
              <w:rPr>
                <w:b/>
              </w:rPr>
            </w:pPr>
            <w:r>
              <w:rPr>
                <w:rFonts w:hint="eastAsia"/>
                <w:b/>
              </w:rPr>
              <w:t>人员要求</w:t>
            </w:r>
          </w:p>
        </w:tc>
        <w:tc>
          <w:tcPr>
            <w:tcW w:w="1180" w:type="dxa"/>
            <w:shd w:val="clear" w:color="auto" w:fill="auto"/>
            <w:noWrap/>
            <w:vAlign w:val="center"/>
          </w:tcPr>
          <w:p w14:paraId="1DFF0A3A">
            <w:pPr>
              <w:widowControl/>
              <w:spacing w:line="240" w:lineRule="auto"/>
              <w:ind w:firstLine="0" w:firstLineChars="0"/>
              <w:jc w:val="center"/>
              <w:rPr>
                <w:b/>
              </w:rPr>
            </w:pPr>
            <w:r>
              <w:rPr>
                <w:rFonts w:hint="eastAsia"/>
                <w:b/>
              </w:rPr>
              <w:t>驻场要求</w:t>
            </w:r>
          </w:p>
        </w:tc>
      </w:tr>
      <w:tr w14:paraId="2100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1D184865">
            <w:pPr>
              <w:widowControl/>
              <w:spacing w:line="240" w:lineRule="auto"/>
              <w:ind w:firstLine="0" w:firstLineChars="0"/>
              <w:jc w:val="center"/>
              <w:rPr>
                <w:rFonts w:hint="default" w:eastAsia="宋体"/>
                <w:lang w:val="en-US" w:eastAsia="zh-CN"/>
              </w:rPr>
            </w:pPr>
            <w:r>
              <w:rPr>
                <w:rFonts w:hint="eastAsia"/>
                <w:lang w:val="en-US" w:eastAsia="zh-CN"/>
              </w:rPr>
              <w:t>项目负责人</w:t>
            </w:r>
          </w:p>
        </w:tc>
        <w:tc>
          <w:tcPr>
            <w:tcW w:w="1916" w:type="dxa"/>
            <w:shd w:val="clear" w:color="auto" w:fill="auto"/>
            <w:vAlign w:val="center"/>
          </w:tcPr>
          <w:p w14:paraId="1B076565">
            <w:pPr>
              <w:widowControl/>
              <w:spacing w:line="240" w:lineRule="auto"/>
              <w:ind w:firstLine="0" w:firstLineChars="0"/>
              <w:jc w:val="center"/>
              <w:rPr>
                <w:rFonts w:hint="default" w:eastAsia="宋体"/>
                <w:lang w:val="en-US" w:eastAsia="zh-CN"/>
              </w:rPr>
            </w:pPr>
            <w:r>
              <w:rPr>
                <w:rFonts w:hint="eastAsia"/>
              </w:rPr>
              <w:t>负责</w:t>
            </w:r>
            <w:r>
              <w:rPr>
                <w:rFonts w:hint="eastAsia"/>
                <w:lang w:val="en-US" w:eastAsia="zh-CN"/>
              </w:rPr>
              <w:t>项目整体统筹</w:t>
            </w:r>
          </w:p>
        </w:tc>
        <w:tc>
          <w:tcPr>
            <w:tcW w:w="1272" w:type="dxa"/>
            <w:shd w:val="clear" w:color="auto" w:fill="auto"/>
            <w:noWrap/>
            <w:vAlign w:val="center"/>
          </w:tcPr>
          <w:p w14:paraId="0FB6C755">
            <w:pPr>
              <w:widowControl/>
              <w:spacing w:line="240" w:lineRule="auto"/>
              <w:ind w:firstLine="0" w:firstLineChars="0"/>
              <w:jc w:val="center"/>
            </w:pPr>
            <w:r>
              <w:rPr>
                <w:rFonts w:hint="eastAsia"/>
                <w:lang w:val="en-US" w:eastAsia="zh-CN"/>
              </w:rPr>
              <w:t>1</w:t>
            </w:r>
            <w:r>
              <w:rPr>
                <w:rFonts w:hint="eastAsia"/>
              </w:rPr>
              <w:t>人</w:t>
            </w:r>
          </w:p>
        </w:tc>
        <w:tc>
          <w:tcPr>
            <w:tcW w:w="2356" w:type="dxa"/>
            <w:vAlign w:val="center"/>
          </w:tcPr>
          <w:p w14:paraId="35D26A17">
            <w:pPr>
              <w:widowControl/>
              <w:spacing w:line="240" w:lineRule="auto"/>
              <w:ind w:firstLine="0" w:firstLineChars="0"/>
              <w:jc w:val="left"/>
            </w:pPr>
            <w:r>
              <w:rPr>
                <w:rFonts w:hint="eastAsia"/>
                <w:color w:val="auto"/>
                <w:sz w:val="24"/>
                <w:szCs w:val="24"/>
                <w:highlight w:val="none"/>
                <w:lang w:val="en-US" w:eastAsia="zh-CN"/>
              </w:rPr>
              <w:t>硕士及以上学历，具有信息系统项目管理师、系统分析师，拥有10年以上同类项目经验</w:t>
            </w:r>
          </w:p>
        </w:tc>
        <w:tc>
          <w:tcPr>
            <w:tcW w:w="1180" w:type="dxa"/>
            <w:shd w:val="clear" w:color="auto" w:fill="auto"/>
            <w:noWrap/>
            <w:vAlign w:val="center"/>
          </w:tcPr>
          <w:p w14:paraId="69880CB8">
            <w:pPr>
              <w:widowControl/>
              <w:spacing w:line="240" w:lineRule="auto"/>
              <w:ind w:firstLine="0" w:firstLineChars="0"/>
              <w:jc w:val="center"/>
            </w:pPr>
            <w:r>
              <w:rPr>
                <w:rFonts w:hint="eastAsia"/>
              </w:rPr>
              <w:t>不驻场</w:t>
            </w:r>
          </w:p>
        </w:tc>
      </w:tr>
      <w:tr w14:paraId="0C73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1EF0F14E">
            <w:pPr>
              <w:widowControl/>
              <w:spacing w:line="240" w:lineRule="auto"/>
              <w:ind w:firstLine="0" w:firstLineChars="0"/>
              <w:jc w:val="center"/>
            </w:pPr>
            <w:r>
              <w:rPr>
                <w:rFonts w:hint="eastAsia"/>
                <w:lang w:val="en-US" w:eastAsia="zh-CN"/>
              </w:rPr>
              <w:t>技术负责人</w:t>
            </w:r>
          </w:p>
        </w:tc>
        <w:tc>
          <w:tcPr>
            <w:tcW w:w="1916" w:type="dxa"/>
            <w:shd w:val="clear" w:color="auto" w:fill="auto"/>
            <w:vAlign w:val="center"/>
          </w:tcPr>
          <w:p w14:paraId="56BB9E20">
            <w:pPr>
              <w:widowControl/>
              <w:spacing w:line="240" w:lineRule="auto"/>
              <w:ind w:firstLine="0" w:firstLineChars="0"/>
              <w:jc w:val="center"/>
            </w:pPr>
            <w:r>
              <w:rPr>
                <w:rFonts w:hint="eastAsia"/>
                <w:color w:val="auto"/>
                <w:sz w:val="24"/>
                <w:szCs w:val="24"/>
                <w:highlight w:val="none"/>
              </w:rPr>
              <w:t>负责项目</w:t>
            </w:r>
            <w:r>
              <w:rPr>
                <w:rFonts w:hint="eastAsia"/>
                <w:color w:val="auto"/>
                <w:sz w:val="24"/>
                <w:szCs w:val="24"/>
                <w:highlight w:val="none"/>
                <w:lang w:val="en-US" w:eastAsia="zh-CN"/>
              </w:rPr>
              <w:t>技术质量</w:t>
            </w:r>
            <w:r>
              <w:rPr>
                <w:rFonts w:hint="eastAsia"/>
                <w:color w:val="auto"/>
                <w:sz w:val="24"/>
                <w:szCs w:val="24"/>
                <w:highlight w:val="none"/>
              </w:rPr>
              <w:t>和进度控制</w:t>
            </w:r>
          </w:p>
        </w:tc>
        <w:tc>
          <w:tcPr>
            <w:tcW w:w="1272" w:type="dxa"/>
            <w:shd w:val="clear" w:color="auto" w:fill="auto"/>
            <w:noWrap/>
            <w:vAlign w:val="center"/>
          </w:tcPr>
          <w:p w14:paraId="77353E80">
            <w:pPr>
              <w:widowControl/>
              <w:spacing w:line="240" w:lineRule="auto"/>
              <w:ind w:firstLine="0" w:firstLineChars="0"/>
              <w:jc w:val="center"/>
            </w:pPr>
            <w:r>
              <w:rPr>
                <w:rFonts w:hint="eastAsia"/>
                <w:lang w:val="en-US" w:eastAsia="zh-CN"/>
              </w:rPr>
              <w:t>1</w:t>
            </w:r>
            <w:r>
              <w:rPr>
                <w:rFonts w:hint="eastAsia"/>
              </w:rPr>
              <w:t>人</w:t>
            </w:r>
          </w:p>
        </w:tc>
        <w:tc>
          <w:tcPr>
            <w:tcW w:w="2356" w:type="dxa"/>
            <w:vAlign w:val="center"/>
          </w:tcPr>
          <w:p w14:paraId="4893E0D4">
            <w:pPr>
              <w:widowControl/>
              <w:spacing w:line="240" w:lineRule="auto"/>
              <w:ind w:firstLine="0" w:firstLineChars="0"/>
              <w:jc w:val="left"/>
            </w:pPr>
            <w:r>
              <w:rPr>
                <w:rFonts w:hint="eastAsia"/>
                <w:color w:val="auto"/>
                <w:sz w:val="24"/>
                <w:szCs w:val="24"/>
                <w:highlight w:val="none"/>
              </w:rPr>
              <w:t>本科及以上学历，</w:t>
            </w:r>
            <w:r>
              <w:rPr>
                <w:rFonts w:hint="eastAsia"/>
                <w:color w:val="auto"/>
                <w:sz w:val="24"/>
                <w:szCs w:val="24"/>
                <w:highlight w:val="none"/>
                <w:lang w:val="en-US" w:eastAsia="zh-CN"/>
              </w:rPr>
              <w:t>具有</w:t>
            </w:r>
            <w:r>
              <w:rPr>
                <w:rFonts w:hint="eastAsia"/>
                <w:color w:val="auto"/>
                <w:sz w:val="24"/>
                <w:szCs w:val="24"/>
                <w:highlight w:val="none"/>
              </w:rPr>
              <w:t>系统集成项目管理工程师证书</w:t>
            </w:r>
            <w:r>
              <w:rPr>
                <w:rFonts w:hint="eastAsia"/>
                <w:sz w:val="24"/>
                <w:szCs w:val="24"/>
                <w:lang w:eastAsia="zh-CN"/>
              </w:rPr>
              <w:t>，</w:t>
            </w:r>
            <w:r>
              <w:rPr>
                <w:rFonts w:hint="eastAsia"/>
                <w:sz w:val="24"/>
                <w:szCs w:val="24"/>
                <w:lang w:val="en-US" w:eastAsia="zh-CN"/>
              </w:rPr>
              <w:t>5</w:t>
            </w:r>
            <w:r>
              <w:rPr>
                <w:rFonts w:hint="eastAsia"/>
                <w:sz w:val="24"/>
                <w:szCs w:val="24"/>
              </w:rPr>
              <w:t>年以上同类项目经验</w:t>
            </w:r>
          </w:p>
        </w:tc>
        <w:tc>
          <w:tcPr>
            <w:tcW w:w="1180" w:type="dxa"/>
            <w:shd w:val="clear" w:color="auto" w:fill="auto"/>
            <w:noWrap/>
            <w:vAlign w:val="center"/>
          </w:tcPr>
          <w:p w14:paraId="312DE410">
            <w:pPr>
              <w:widowControl/>
              <w:spacing w:line="240" w:lineRule="auto"/>
              <w:ind w:firstLine="0" w:firstLineChars="0"/>
              <w:jc w:val="center"/>
              <w:rPr>
                <w:rFonts w:hint="default" w:eastAsia="宋体"/>
                <w:lang w:val="en-US" w:eastAsia="zh-CN"/>
              </w:rPr>
            </w:pPr>
            <w:r>
              <w:rPr>
                <w:rFonts w:hint="eastAsia"/>
                <w:lang w:val="en-US" w:eastAsia="zh-CN"/>
              </w:rPr>
              <w:t>按需驻场</w:t>
            </w:r>
          </w:p>
        </w:tc>
      </w:tr>
      <w:tr w14:paraId="3FC8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4341FC7B">
            <w:pPr>
              <w:widowControl/>
              <w:spacing w:line="240" w:lineRule="auto"/>
              <w:ind w:firstLine="0" w:firstLineChars="0"/>
              <w:jc w:val="center"/>
              <w:rPr>
                <w:rFonts w:hint="default" w:eastAsia="宋体"/>
                <w:lang w:val="en-US" w:eastAsia="zh-CN"/>
              </w:rPr>
            </w:pPr>
            <w:r>
              <w:rPr>
                <w:rFonts w:hint="eastAsia"/>
                <w:lang w:val="en-US" w:eastAsia="zh-CN"/>
              </w:rPr>
              <w:t>软件设计师</w:t>
            </w:r>
          </w:p>
        </w:tc>
        <w:tc>
          <w:tcPr>
            <w:tcW w:w="1916" w:type="dxa"/>
            <w:shd w:val="clear" w:color="auto" w:fill="auto"/>
            <w:noWrap/>
            <w:vAlign w:val="center"/>
          </w:tcPr>
          <w:p w14:paraId="27D1B189">
            <w:pPr>
              <w:widowControl/>
              <w:spacing w:line="240" w:lineRule="auto"/>
              <w:ind w:firstLine="0" w:firstLineChars="0"/>
              <w:jc w:val="center"/>
              <w:rPr>
                <w:rFonts w:hint="default" w:eastAsia="宋体"/>
                <w:lang w:val="en-US" w:eastAsia="zh-CN"/>
              </w:rPr>
            </w:pPr>
            <w:r>
              <w:rPr>
                <w:rFonts w:hint="eastAsia"/>
                <w:lang w:val="en-US" w:eastAsia="zh-CN"/>
              </w:rPr>
              <w:t>负责项目软件总体设计</w:t>
            </w:r>
          </w:p>
        </w:tc>
        <w:tc>
          <w:tcPr>
            <w:tcW w:w="1272" w:type="dxa"/>
            <w:shd w:val="clear" w:color="auto" w:fill="auto"/>
            <w:noWrap/>
            <w:vAlign w:val="center"/>
          </w:tcPr>
          <w:p w14:paraId="02C91566">
            <w:pPr>
              <w:widowControl/>
              <w:spacing w:line="240" w:lineRule="auto"/>
              <w:ind w:firstLine="0" w:firstLineChars="0"/>
              <w:jc w:val="center"/>
            </w:pPr>
            <w:r>
              <w:rPr>
                <w:rFonts w:hint="eastAsia"/>
                <w:lang w:val="en-US" w:eastAsia="zh-CN"/>
              </w:rPr>
              <w:t>1</w:t>
            </w:r>
            <w:r>
              <w:rPr>
                <w:rFonts w:hint="eastAsia"/>
              </w:rPr>
              <w:t>人</w:t>
            </w:r>
          </w:p>
        </w:tc>
        <w:tc>
          <w:tcPr>
            <w:tcW w:w="2356" w:type="dxa"/>
            <w:vAlign w:val="center"/>
          </w:tcPr>
          <w:p w14:paraId="2130D8C9">
            <w:pPr>
              <w:widowControl/>
              <w:spacing w:line="240" w:lineRule="auto"/>
              <w:ind w:firstLine="0" w:firstLineChars="0"/>
              <w:jc w:val="center"/>
              <w:rPr>
                <w:rFonts w:hint="default" w:eastAsia="宋体"/>
                <w:lang w:val="en-US" w:eastAsia="zh-CN"/>
              </w:rPr>
            </w:pPr>
            <w:r>
              <w:rPr>
                <w:rFonts w:hint="eastAsia"/>
                <w:lang w:val="en-US" w:eastAsia="zh-CN"/>
              </w:rPr>
              <w:t>本科及以上学历，具有软件设计师证书</w:t>
            </w:r>
          </w:p>
        </w:tc>
        <w:tc>
          <w:tcPr>
            <w:tcW w:w="1180" w:type="dxa"/>
            <w:shd w:val="clear" w:color="auto" w:fill="auto"/>
            <w:noWrap/>
            <w:vAlign w:val="center"/>
          </w:tcPr>
          <w:p w14:paraId="591237CF">
            <w:pPr>
              <w:widowControl/>
              <w:spacing w:line="240" w:lineRule="auto"/>
              <w:ind w:firstLine="0" w:firstLineChars="0"/>
              <w:jc w:val="center"/>
            </w:pPr>
            <w:r>
              <w:rPr>
                <w:rFonts w:hint="eastAsia"/>
              </w:rPr>
              <w:t>驻场</w:t>
            </w:r>
          </w:p>
        </w:tc>
      </w:tr>
      <w:tr w14:paraId="3E70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34FF7A4D">
            <w:pPr>
              <w:widowControl/>
              <w:spacing w:line="240" w:lineRule="auto"/>
              <w:ind w:firstLine="0" w:firstLineChars="0"/>
              <w:jc w:val="center"/>
              <w:rPr>
                <w:rFonts w:hint="default" w:eastAsia="宋体"/>
                <w:lang w:val="en-US" w:eastAsia="zh-CN"/>
              </w:rPr>
            </w:pPr>
            <w:r>
              <w:rPr>
                <w:rFonts w:hint="eastAsia"/>
                <w:lang w:val="en-US" w:eastAsia="zh-CN"/>
              </w:rPr>
              <w:t>研发工程师</w:t>
            </w:r>
          </w:p>
        </w:tc>
        <w:tc>
          <w:tcPr>
            <w:tcW w:w="1916" w:type="dxa"/>
            <w:shd w:val="clear" w:color="auto" w:fill="auto"/>
            <w:noWrap/>
            <w:vAlign w:val="center"/>
          </w:tcPr>
          <w:p w14:paraId="4FB3781D">
            <w:pPr>
              <w:widowControl/>
              <w:spacing w:line="240" w:lineRule="auto"/>
              <w:ind w:firstLine="0" w:firstLineChars="0"/>
              <w:jc w:val="center"/>
            </w:pPr>
            <w:r>
              <w:rPr>
                <w:rFonts w:hint="eastAsia"/>
              </w:rPr>
              <w:t>负责项目具体开发与实施</w:t>
            </w:r>
          </w:p>
        </w:tc>
        <w:tc>
          <w:tcPr>
            <w:tcW w:w="1272" w:type="dxa"/>
            <w:shd w:val="clear" w:color="auto" w:fill="auto"/>
            <w:noWrap/>
            <w:vAlign w:val="center"/>
          </w:tcPr>
          <w:p w14:paraId="4731ADA5">
            <w:pPr>
              <w:widowControl/>
              <w:spacing w:line="240" w:lineRule="auto"/>
              <w:ind w:firstLine="0" w:firstLineChars="0"/>
              <w:jc w:val="center"/>
            </w:pPr>
            <w:r>
              <w:rPr>
                <w:rFonts w:hint="eastAsia"/>
                <w:lang w:val="en-US" w:eastAsia="zh-CN"/>
              </w:rPr>
              <w:t>5</w:t>
            </w:r>
            <w:r>
              <w:rPr>
                <w:rFonts w:hint="eastAsia"/>
              </w:rPr>
              <w:t>人</w:t>
            </w:r>
          </w:p>
        </w:tc>
        <w:tc>
          <w:tcPr>
            <w:tcW w:w="2356" w:type="dxa"/>
            <w:vAlign w:val="center"/>
          </w:tcPr>
          <w:p w14:paraId="1473D657">
            <w:pPr>
              <w:widowControl/>
              <w:spacing w:line="240" w:lineRule="auto"/>
              <w:ind w:firstLine="0" w:firstLineChars="0"/>
              <w:jc w:val="center"/>
            </w:pPr>
            <w:r>
              <w:rPr>
                <w:rFonts w:hint="eastAsia"/>
                <w:lang w:val="en-US" w:eastAsia="zh-CN"/>
              </w:rPr>
              <w:t>大专及以上学历，</w:t>
            </w:r>
            <w:r>
              <w:rPr>
                <w:rFonts w:hint="eastAsia"/>
              </w:rPr>
              <w:t>具有3年以上软件开发经验，熟悉国产化开发环境。</w:t>
            </w:r>
          </w:p>
        </w:tc>
        <w:tc>
          <w:tcPr>
            <w:tcW w:w="1180" w:type="dxa"/>
            <w:shd w:val="clear" w:color="auto" w:fill="auto"/>
            <w:noWrap/>
            <w:vAlign w:val="center"/>
          </w:tcPr>
          <w:p w14:paraId="7E7D845B">
            <w:pPr>
              <w:widowControl/>
              <w:spacing w:line="240" w:lineRule="auto"/>
              <w:ind w:firstLine="0" w:firstLineChars="0"/>
              <w:jc w:val="center"/>
            </w:pPr>
            <w:r>
              <w:rPr>
                <w:rFonts w:hint="eastAsia"/>
                <w:lang w:eastAsia="zh-CN"/>
              </w:rPr>
              <w:t>按需</w:t>
            </w:r>
            <w:r>
              <w:rPr>
                <w:rFonts w:hint="eastAsia"/>
              </w:rPr>
              <w:t>驻场</w:t>
            </w:r>
          </w:p>
        </w:tc>
      </w:tr>
      <w:tr w14:paraId="2E45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204702D5">
            <w:pPr>
              <w:widowControl/>
              <w:spacing w:line="240" w:lineRule="auto"/>
              <w:ind w:firstLine="0" w:firstLineChars="0"/>
              <w:jc w:val="center"/>
              <w:rPr>
                <w:rFonts w:hint="default" w:eastAsia="宋体"/>
                <w:lang w:val="en-US" w:eastAsia="zh-CN"/>
              </w:rPr>
            </w:pPr>
            <w:r>
              <w:rPr>
                <w:rFonts w:hint="eastAsia"/>
                <w:lang w:val="en-US" w:eastAsia="zh-CN"/>
              </w:rPr>
              <w:t>测试工程师</w:t>
            </w:r>
          </w:p>
        </w:tc>
        <w:tc>
          <w:tcPr>
            <w:tcW w:w="1916" w:type="dxa"/>
            <w:shd w:val="clear" w:color="auto" w:fill="auto"/>
            <w:noWrap/>
            <w:vAlign w:val="center"/>
          </w:tcPr>
          <w:p w14:paraId="0BF92BD5">
            <w:pPr>
              <w:widowControl/>
              <w:spacing w:line="240" w:lineRule="auto"/>
              <w:ind w:firstLine="0" w:firstLineChars="0"/>
              <w:jc w:val="center"/>
            </w:pPr>
            <w:r>
              <w:rPr>
                <w:rFonts w:hint="eastAsia"/>
              </w:rPr>
              <w:t>负责项目具体开发与实施</w:t>
            </w:r>
          </w:p>
        </w:tc>
        <w:tc>
          <w:tcPr>
            <w:tcW w:w="1272" w:type="dxa"/>
            <w:shd w:val="clear" w:color="auto" w:fill="auto"/>
            <w:noWrap/>
            <w:vAlign w:val="center"/>
          </w:tcPr>
          <w:p w14:paraId="3A0A60BF">
            <w:pPr>
              <w:widowControl/>
              <w:spacing w:line="240" w:lineRule="auto"/>
              <w:ind w:firstLine="0" w:firstLineChars="0"/>
              <w:jc w:val="center"/>
            </w:pPr>
            <w:r>
              <w:rPr>
                <w:rFonts w:hint="eastAsia"/>
                <w:lang w:val="en-US" w:eastAsia="zh-CN"/>
              </w:rPr>
              <w:t>1</w:t>
            </w:r>
            <w:r>
              <w:rPr>
                <w:rFonts w:hint="eastAsia"/>
              </w:rPr>
              <w:t>人</w:t>
            </w:r>
          </w:p>
        </w:tc>
        <w:tc>
          <w:tcPr>
            <w:tcW w:w="2356" w:type="dxa"/>
            <w:vAlign w:val="center"/>
          </w:tcPr>
          <w:p w14:paraId="5CB56B77">
            <w:pPr>
              <w:widowControl/>
              <w:spacing w:line="240" w:lineRule="auto"/>
              <w:ind w:firstLine="0" w:firstLineChars="0"/>
              <w:jc w:val="center"/>
            </w:pPr>
            <w:r>
              <w:rPr>
                <w:rFonts w:hint="eastAsia"/>
                <w:lang w:val="en-US" w:eastAsia="zh-CN"/>
              </w:rPr>
              <w:t>大专及以上学历，</w:t>
            </w:r>
            <w:r>
              <w:rPr>
                <w:rFonts w:hint="eastAsia"/>
              </w:rPr>
              <w:t>具有3年以上软件</w:t>
            </w:r>
            <w:r>
              <w:rPr>
                <w:rFonts w:hint="eastAsia"/>
                <w:lang w:val="en-US" w:eastAsia="zh-CN"/>
              </w:rPr>
              <w:t>测试</w:t>
            </w:r>
            <w:r>
              <w:rPr>
                <w:rFonts w:hint="eastAsia"/>
              </w:rPr>
              <w:t>经验。</w:t>
            </w:r>
          </w:p>
        </w:tc>
        <w:tc>
          <w:tcPr>
            <w:tcW w:w="1180" w:type="dxa"/>
            <w:shd w:val="clear" w:color="auto" w:fill="auto"/>
            <w:noWrap/>
            <w:vAlign w:val="center"/>
          </w:tcPr>
          <w:p w14:paraId="3DA16348">
            <w:pPr>
              <w:widowControl/>
              <w:spacing w:line="240" w:lineRule="auto"/>
              <w:ind w:firstLine="0" w:firstLineChars="0"/>
              <w:jc w:val="center"/>
            </w:pPr>
            <w:r>
              <w:rPr>
                <w:rFonts w:hint="eastAsia"/>
              </w:rPr>
              <w:t>驻场</w:t>
            </w:r>
          </w:p>
        </w:tc>
      </w:tr>
      <w:tr w14:paraId="4221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0F81560B">
            <w:pPr>
              <w:widowControl/>
              <w:spacing w:line="240" w:lineRule="auto"/>
              <w:ind w:firstLine="0" w:firstLineChars="0"/>
              <w:jc w:val="center"/>
              <w:rPr>
                <w:rFonts w:hint="default" w:eastAsia="宋体"/>
                <w:lang w:val="en-US" w:eastAsia="zh-CN"/>
              </w:rPr>
            </w:pPr>
            <w:r>
              <w:rPr>
                <w:rFonts w:hint="eastAsia"/>
                <w:lang w:val="en-US" w:eastAsia="zh-CN"/>
              </w:rPr>
              <w:t>网络安全工程师</w:t>
            </w:r>
          </w:p>
        </w:tc>
        <w:tc>
          <w:tcPr>
            <w:tcW w:w="1916" w:type="dxa"/>
            <w:shd w:val="clear" w:color="auto" w:fill="auto"/>
            <w:noWrap/>
            <w:vAlign w:val="center"/>
          </w:tcPr>
          <w:p w14:paraId="178F99DF">
            <w:pPr>
              <w:widowControl/>
              <w:spacing w:line="240" w:lineRule="auto"/>
              <w:ind w:firstLine="0" w:firstLineChars="0"/>
              <w:jc w:val="center"/>
              <w:rPr>
                <w:rFonts w:hint="eastAsia" w:eastAsia="宋体"/>
                <w:lang w:eastAsia="zh-CN"/>
              </w:rPr>
            </w:pPr>
            <w:r>
              <w:rPr>
                <w:rFonts w:hint="eastAsia"/>
              </w:rPr>
              <w:t>负责项目</w:t>
            </w:r>
            <w:r>
              <w:rPr>
                <w:rFonts w:hint="eastAsia"/>
                <w:lang w:val="en-US" w:eastAsia="zh-CN"/>
              </w:rPr>
              <w:t>网络和安全工作</w:t>
            </w:r>
          </w:p>
        </w:tc>
        <w:tc>
          <w:tcPr>
            <w:tcW w:w="1272" w:type="dxa"/>
            <w:shd w:val="clear" w:color="auto" w:fill="auto"/>
            <w:noWrap/>
            <w:vAlign w:val="center"/>
          </w:tcPr>
          <w:p w14:paraId="6FA33C95">
            <w:pPr>
              <w:widowControl/>
              <w:spacing w:line="240" w:lineRule="auto"/>
              <w:ind w:firstLine="0" w:firstLineChars="0"/>
              <w:jc w:val="center"/>
            </w:pPr>
            <w:r>
              <w:rPr>
                <w:rFonts w:hint="eastAsia"/>
                <w:lang w:val="en-US" w:eastAsia="zh-CN"/>
              </w:rPr>
              <w:t>1</w:t>
            </w:r>
            <w:r>
              <w:rPr>
                <w:rFonts w:hint="eastAsia"/>
              </w:rPr>
              <w:t>人</w:t>
            </w:r>
          </w:p>
        </w:tc>
        <w:tc>
          <w:tcPr>
            <w:tcW w:w="2356" w:type="dxa"/>
            <w:vAlign w:val="center"/>
          </w:tcPr>
          <w:p w14:paraId="5E7BE667">
            <w:pPr>
              <w:widowControl/>
              <w:spacing w:line="240" w:lineRule="auto"/>
              <w:ind w:firstLine="0" w:firstLineChars="0"/>
              <w:jc w:val="center"/>
            </w:pPr>
            <w:r>
              <w:rPr>
                <w:rFonts w:hint="eastAsia"/>
                <w:lang w:val="en-US" w:eastAsia="zh-CN"/>
              </w:rPr>
              <w:t>大专及以上学历，</w:t>
            </w:r>
            <w:r>
              <w:rPr>
                <w:rFonts w:hint="eastAsia"/>
              </w:rPr>
              <w:t>具有注册信息安全管理员</w:t>
            </w:r>
            <w:r>
              <w:rPr>
                <w:rFonts w:hint="eastAsia"/>
                <w:lang w:val="en-US" w:eastAsia="zh-CN"/>
              </w:rPr>
              <w:t>证书，2</w:t>
            </w:r>
            <w:r>
              <w:rPr>
                <w:rFonts w:hint="eastAsia"/>
              </w:rPr>
              <w:t>年以上</w:t>
            </w:r>
            <w:r>
              <w:rPr>
                <w:rFonts w:hint="eastAsia"/>
                <w:lang w:val="en-US" w:eastAsia="zh-CN"/>
              </w:rPr>
              <w:t>网络安全管理</w:t>
            </w:r>
            <w:r>
              <w:rPr>
                <w:rFonts w:hint="eastAsia"/>
              </w:rPr>
              <w:t>经验。</w:t>
            </w:r>
          </w:p>
        </w:tc>
        <w:tc>
          <w:tcPr>
            <w:tcW w:w="1180" w:type="dxa"/>
            <w:shd w:val="clear" w:color="auto" w:fill="auto"/>
            <w:noWrap/>
            <w:vAlign w:val="center"/>
          </w:tcPr>
          <w:p w14:paraId="5F3ABDFB">
            <w:pPr>
              <w:widowControl/>
              <w:spacing w:line="240" w:lineRule="auto"/>
              <w:ind w:firstLine="0" w:firstLineChars="0"/>
              <w:jc w:val="center"/>
            </w:pPr>
            <w:r>
              <w:rPr>
                <w:rFonts w:hint="eastAsia"/>
              </w:rPr>
              <w:t>不驻场</w:t>
            </w:r>
          </w:p>
        </w:tc>
      </w:tr>
    </w:tbl>
    <w:p w14:paraId="50BB28B3"/>
    <w:p w14:paraId="37F3B1A4">
      <w:r>
        <w:t>2）投标人应针对本项目提供不少于</w:t>
      </w:r>
      <w:r>
        <w:rPr>
          <w:rFonts w:hint="eastAsia"/>
          <w:lang w:val="en-US" w:eastAsia="zh-CN"/>
        </w:rPr>
        <w:t>3</w:t>
      </w:r>
      <w:r>
        <w:t>人的质保期间支撑团队</w:t>
      </w:r>
      <w:r>
        <w:rPr>
          <w:rFonts w:hint="eastAsia"/>
          <w:lang w:eastAsia="zh-CN"/>
        </w:rPr>
        <w:t>，</w:t>
      </w:r>
      <w:r>
        <w:t>投标人的相关服务人员需具备相应的服务能力，需提供相关证明（最近一个季度</w:t>
      </w:r>
      <w:r>
        <w:rPr>
          <w:rFonts w:hint="eastAsia"/>
          <w:lang w:eastAsia="zh-CN"/>
        </w:rPr>
        <w:t>任意一个月</w:t>
      </w:r>
      <w:r>
        <w:t>依法缴纳社保费的证明）。</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083"/>
        <w:gridCol w:w="1185"/>
        <w:gridCol w:w="2595"/>
        <w:gridCol w:w="1249"/>
      </w:tblGrid>
      <w:tr w14:paraId="4016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21F9FDBB">
            <w:pPr>
              <w:widowControl/>
              <w:spacing w:line="240" w:lineRule="auto"/>
              <w:ind w:firstLine="0" w:firstLineChars="0"/>
              <w:jc w:val="center"/>
              <w:rPr>
                <w:b/>
              </w:rPr>
            </w:pPr>
            <w:r>
              <w:rPr>
                <w:rFonts w:hint="eastAsia"/>
                <w:b/>
              </w:rPr>
              <w:t>角色</w:t>
            </w:r>
          </w:p>
        </w:tc>
        <w:tc>
          <w:tcPr>
            <w:tcW w:w="2083" w:type="dxa"/>
            <w:shd w:val="clear" w:color="auto" w:fill="auto"/>
            <w:noWrap/>
            <w:vAlign w:val="center"/>
          </w:tcPr>
          <w:p w14:paraId="20695140">
            <w:pPr>
              <w:widowControl/>
              <w:spacing w:line="240" w:lineRule="auto"/>
              <w:ind w:firstLine="0" w:firstLineChars="0"/>
              <w:jc w:val="center"/>
              <w:rPr>
                <w:b/>
              </w:rPr>
            </w:pPr>
            <w:r>
              <w:rPr>
                <w:rFonts w:hint="eastAsia"/>
                <w:b/>
              </w:rPr>
              <w:t>主要职责</w:t>
            </w:r>
          </w:p>
        </w:tc>
        <w:tc>
          <w:tcPr>
            <w:tcW w:w="1185" w:type="dxa"/>
            <w:shd w:val="clear" w:color="auto" w:fill="auto"/>
            <w:noWrap/>
            <w:vAlign w:val="center"/>
          </w:tcPr>
          <w:p w14:paraId="391ADAFD">
            <w:pPr>
              <w:widowControl/>
              <w:spacing w:line="240" w:lineRule="auto"/>
              <w:ind w:firstLine="0" w:firstLineChars="0"/>
              <w:jc w:val="center"/>
              <w:rPr>
                <w:b/>
              </w:rPr>
            </w:pPr>
            <w:r>
              <w:rPr>
                <w:rFonts w:hint="eastAsia"/>
                <w:b/>
              </w:rPr>
              <w:t>人员数量</w:t>
            </w:r>
          </w:p>
        </w:tc>
        <w:tc>
          <w:tcPr>
            <w:tcW w:w="2595" w:type="dxa"/>
            <w:vAlign w:val="center"/>
          </w:tcPr>
          <w:p w14:paraId="6BCED271">
            <w:pPr>
              <w:widowControl/>
              <w:spacing w:line="240" w:lineRule="auto"/>
              <w:ind w:firstLine="0" w:firstLineChars="0"/>
              <w:jc w:val="center"/>
              <w:rPr>
                <w:b/>
              </w:rPr>
            </w:pPr>
            <w:r>
              <w:rPr>
                <w:rFonts w:hint="eastAsia"/>
                <w:b/>
              </w:rPr>
              <w:t>人员要求</w:t>
            </w:r>
          </w:p>
        </w:tc>
        <w:tc>
          <w:tcPr>
            <w:tcW w:w="1249" w:type="dxa"/>
            <w:shd w:val="clear" w:color="auto" w:fill="auto"/>
            <w:noWrap/>
            <w:vAlign w:val="center"/>
          </w:tcPr>
          <w:p w14:paraId="1706ABB2">
            <w:pPr>
              <w:widowControl/>
              <w:spacing w:line="240" w:lineRule="auto"/>
              <w:ind w:firstLine="0" w:firstLineChars="0"/>
              <w:jc w:val="center"/>
              <w:rPr>
                <w:b/>
              </w:rPr>
            </w:pPr>
            <w:r>
              <w:rPr>
                <w:rFonts w:hint="eastAsia"/>
                <w:b/>
              </w:rPr>
              <w:t>驻场要求</w:t>
            </w:r>
          </w:p>
        </w:tc>
      </w:tr>
      <w:tr w14:paraId="1412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5E1B3784">
            <w:pPr>
              <w:widowControl/>
              <w:spacing w:line="240" w:lineRule="auto"/>
              <w:ind w:firstLine="0" w:firstLineChars="0"/>
              <w:jc w:val="center"/>
            </w:pPr>
            <w:r>
              <w:rPr>
                <w:rFonts w:hint="eastAsia"/>
              </w:rPr>
              <w:t>项目经理</w:t>
            </w:r>
          </w:p>
        </w:tc>
        <w:tc>
          <w:tcPr>
            <w:tcW w:w="2083" w:type="dxa"/>
            <w:shd w:val="clear" w:color="auto" w:fill="auto"/>
            <w:vAlign w:val="center"/>
          </w:tcPr>
          <w:p w14:paraId="12C1965A">
            <w:pPr>
              <w:widowControl/>
              <w:spacing w:line="240" w:lineRule="auto"/>
              <w:ind w:firstLine="0" w:firstLineChars="0"/>
              <w:jc w:val="center"/>
            </w:pPr>
            <w:r>
              <w:rPr>
                <w:rFonts w:hint="eastAsia"/>
              </w:rPr>
              <w:t>负责项目质量和进度控制</w:t>
            </w:r>
          </w:p>
        </w:tc>
        <w:tc>
          <w:tcPr>
            <w:tcW w:w="1185" w:type="dxa"/>
            <w:shd w:val="clear" w:color="auto" w:fill="auto"/>
            <w:noWrap/>
            <w:vAlign w:val="center"/>
          </w:tcPr>
          <w:p w14:paraId="008F7406">
            <w:pPr>
              <w:widowControl/>
              <w:spacing w:line="240" w:lineRule="auto"/>
              <w:ind w:firstLine="0" w:firstLineChars="0"/>
              <w:jc w:val="center"/>
            </w:pPr>
            <w:r>
              <w:rPr>
                <w:rFonts w:hint="eastAsia"/>
              </w:rPr>
              <w:t>1人</w:t>
            </w:r>
          </w:p>
        </w:tc>
        <w:tc>
          <w:tcPr>
            <w:tcW w:w="2595" w:type="dxa"/>
            <w:vAlign w:val="center"/>
          </w:tcPr>
          <w:p w14:paraId="54840E8F">
            <w:pPr>
              <w:widowControl/>
              <w:spacing w:line="240" w:lineRule="auto"/>
              <w:ind w:firstLine="0" w:firstLineChars="0"/>
              <w:jc w:val="center"/>
              <w:rPr>
                <w:sz w:val="24"/>
                <w:szCs w:val="24"/>
              </w:rPr>
            </w:pPr>
            <w:r>
              <w:rPr>
                <w:rFonts w:hint="eastAsia"/>
                <w:sz w:val="24"/>
                <w:szCs w:val="24"/>
              </w:rPr>
              <w:t>本科及以上学历，</w:t>
            </w:r>
            <w:r>
              <w:rPr>
                <w:rFonts w:hint="eastAsia"/>
                <w:color w:val="auto"/>
                <w:sz w:val="24"/>
                <w:szCs w:val="24"/>
                <w:highlight w:val="none"/>
              </w:rPr>
              <w:t>系统集成项目管理工程师</w:t>
            </w:r>
            <w:r>
              <w:rPr>
                <w:rFonts w:hint="eastAsia"/>
                <w:sz w:val="24"/>
                <w:szCs w:val="24"/>
                <w:lang w:val="en-US" w:eastAsia="zh-CN"/>
              </w:rPr>
              <w:t>证书</w:t>
            </w:r>
            <w:r>
              <w:rPr>
                <w:rFonts w:hint="eastAsia"/>
                <w:sz w:val="24"/>
                <w:szCs w:val="24"/>
                <w:lang w:eastAsia="zh-CN"/>
              </w:rPr>
              <w:t>，</w:t>
            </w:r>
            <w:r>
              <w:rPr>
                <w:rFonts w:hint="eastAsia"/>
                <w:sz w:val="24"/>
                <w:szCs w:val="24"/>
                <w:lang w:val="en-US" w:eastAsia="zh-CN"/>
              </w:rPr>
              <w:t>5</w:t>
            </w:r>
            <w:r>
              <w:rPr>
                <w:rFonts w:hint="eastAsia"/>
                <w:sz w:val="24"/>
                <w:szCs w:val="24"/>
              </w:rPr>
              <w:t>年以上同类项目经验</w:t>
            </w:r>
          </w:p>
        </w:tc>
        <w:tc>
          <w:tcPr>
            <w:tcW w:w="1249" w:type="dxa"/>
            <w:shd w:val="clear" w:color="auto" w:fill="auto"/>
            <w:noWrap/>
            <w:vAlign w:val="center"/>
          </w:tcPr>
          <w:p w14:paraId="4EA4FCAF">
            <w:pPr>
              <w:widowControl/>
              <w:spacing w:line="240" w:lineRule="auto"/>
              <w:ind w:firstLine="0" w:firstLineChars="0"/>
              <w:jc w:val="center"/>
            </w:pPr>
            <w:r>
              <w:rPr>
                <w:rFonts w:hint="eastAsia"/>
                <w:lang w:val="en-US" w:eastAsia="zh-CN"/>
              </w:rPr>
              <w:t>按需</w:t>
            </w:r>
            <w:r>
              <w:rPr>
                <w:rFonts w:hint="eastAsia"/>
              </w:rPr>
              <w:t>驻场</w:t>
            </w:r>
          </w:p>
        </w:tc>
      </w:tr>
      <w:tr w14:paraId="26B4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14:paraId="21E6F43E">
            <w:pPr>
              <w:widowControl/>
              <w:spacing w:line="240" w:lineRule="auto"/>
              <w:ind w:firstLine="0" w:firstLineChars="0"/>
              <w:jc w:val="center"/>
            </w:pPr>
            <w:r>
              <w:rPr>
                <w:rFonts w:hint="eastAsia"/>
              </w:rPr>
              <w:t>运维工程师</w:t>
            </w:r>
          </w:p>
        </w:tc>
        <w:tc>
          <w:tcPr>
            <w:tcW w:w="2083" w:type="dxa"/>
            <w:shd w:val="clear" w:color="auto" w:fill="auto"/>
            <w:vAlign w:val="center"/>
          </w:tcPr>
          <w:p w14:paraId="0761FB5D">
            <w:pPr>
              <w:widowControl/>
              <w:spacing w:line="240" w:lineRule="auto"/>
              <w:ind w:firstLine="0" w:firstLineChars="0"/>
              <w:jc w:val="center"/>
            </w:pPr>
            <w:r>
              <w:rPr>
                <w:rFonts w:hint="eastAsia"/>
              </w:rPr>
              <w:t>负责项目运行维护</w:t>
            </w:r>
          </w:p>
        </w:tc>
        <w:tc>
          <w:tcPr>
            <w:tcW w:w="1185" w:type="dxa"/>
            <w:shd w:val="clear" w:color="auto" w:fill="auto"/>
            <w:noWrap/>
            <w:vAlign w:val="center"/>
          </w:tcPr>
          <w:p w14:paraId="0565CCDE">
            <w:pPr>
              <w:widowControl/>
              <w:spacing w:line="240" w:lineRule="auto"/>
              <w:ind w:firstLine="0" w:firstLineChars="0"/>
              <w:jc w:val="center"/>
            </w:pPr>
            <w:r>
              <w:rPr>
                <w:rFonts w:hint="eastAsia"/>
                <w:lang w:val="en-US" w:eastAsia="zh-CN"/>
              </w:rPr>
              <w:t>2</w:t>
            </w:r>
            <w:r>
              <w:rPr>
                <w:rFonts w:hint="eastAsia"/>
              </w:rPr>
              <w:t>人</w:t>
            </w:r>
          </w:p>
        </w:tc>
        <w:tc>
          <w:tcPr>
            <w:tcW w:w="2595" w:type="dxa"/>
            <w:vAlign w:val="center"/>
          </w:tcPr>
          <w:p w14:paraId="23A1F0E0">
            <w:pPr>
              <w:widowControl/>
              <w:spacing w:line="240" w:lineRule="auto"/>
              <w:ind w:firstLine="0" w:firstLineChars="0"/>
              <w:jc w:val="center"/>
              <w:rPr>
                <w:sz w:val="24"/>
                <w:szCs w:val="24"/>
              </w:rPr>
            </w:pPr>
            <w:r>
              <w:rPr>
                <w:rFonts w:hint="eastAsia"/>
                <w:color w:val="auto"/>
                <w:sz w:val="24"/>
                <w:szCs w:val="24"/>
                <w:highlight w:val="none"/>
              </w:rPr>
              <w:t>本科及以上学历，</w:t>
            </w:r>
            <w:r>
              <w:rPr>
                <w:rFonts w:hint="eastAsia"/>
                <w:sz w:val="24"/>
                <w:szCs w:val="24"/>
              </w:rPr>
              <w:t>具备3年以上同类项目经验</w:t>
            </w:r>
          </w:p>
        </w:tc>
        <w:tc>
          <w:tcPr>
            <w:tcW w:w="1249" w:type="dxa"/>
            <w:shd w:val="clear" w:color="auto" w:fill="auto"/>
            <w:noWrap/>
            <w:vAlign w:val="center"/>
          </w:tcPr>
          <w:p w14:paraId="533B696E">
            <w:pPr>
              <w:widowControl/>
              <w:spacing w:line="240" w:lineRule="auto"/>
              <w:ind w:firstLine="0" w:firstLineChars="0"/>
              <w:jc w:val="center"/>
            </w:pPr>
            <w:r>
              <w:rPr>
                <w:rFonts w:hint="eastAsia"/>
                <w:lang w:val="en-US" w:eastAsia="zh-CN"/>
              </w:rPr>
              <w:t>1人</w:t>
            </w:r>
            <w:r>
              <w:rPr>
                <w:rFonts w:hint="eastAsia"/>
              </w:rPr>
              <w:t>驻场</w:t>
            </w:r>
          </w:p>
        </w:tc>
      </w:tr>
    </w:tbl>
    <w:p w14:paraId="73DCB2FF">
      <w:pPr>
        <w:pStyle w:val="3"/>
        <w:ind w:left="0" w:leftChars="0" w:firstLineChars="0"/>
      </w:pPr>
      <w:bookmarkStart w:id="37" w:name="_Toc63785511"/>
      <w:r>
        <w:t>等级保护要求</w:t>
      </w:r>
      <w:bookmarkEnd w:id="37"/>
    </w:p>
    <w:p w14:paraId="60442786">
      <w:pPr>
        <w:rPr>
          <w:rFonts w:hint="default" w:ascii="仿宋_GB2312" w:eastAsia="仿宋_GB2312" w:cs="仿宋_GB2312"/>
          <w:color w:val="000000"/>
          <w:kern w:val="0"/>
          <w:sz w:val="28"/>
          <w:szCs w:val="28"/>
          <w:lang w:val="en-US"/>
        </w:rPr>
      </w:pPr>
      <w:r>
        <w:rPr>
          <w:rFonts w:hint="eastAsia"/>
          <w:lang w:val="en-US" w:eastAsia="zh-CN"/>
        </w:rPr>
        <w:t>配合建设单位按照网络安全等级保护三级要求建设项目，同时配合完成软件测评和安全测评工作，并顺利通过软件测评和安全测评。</w:t>
      </w:r>
    </w:p>
    <w:p w14:paraId="592D39B9">
      <w:pPr>
        <w:pStyle w:val="3"/>
        <w:ind w:left="0" w:leftChars="0" w:firstLineChars="0"/>
      </w:pPr>
      <w:r>
        <w:rPr>
          <w:rFonts w:hint="eastAsia"/>
        </w:rPr>
        <w:t>商业密码应用需求</w:t>
      </w:r>
    </w:p>
    <w:p w14:paraId="308B3326">
      <w:pPr>
        <w:ind w:firstLine="560"/>
        <w:rPr>
          <w:rFonts w:hint="eastAsia" w:ascii="仿宋_GB2312" w:eastAsia="仿宋_GB2312" w:cs="仿宋_GB2312"/>
          <w:color w:val="000000"/>
          <w:kern w:val="0"/>
          <w:sz w:val="28"/>
          <w:szCs w:val="28"/>
        </w:rPr>
      </w:pPr>
      <w:r>
        <w:rPr>
          <w:rFonts w:hint="eastAsia" w:asciiTheme="minorEastAsia" w:hAnsiTheme="minorEastAsia" w:eastAsiaTheme="minorEastAsia" w:cstheme="minorEastAsia"/>
          <w:color w:val="auto"/>
          <w:sz w:val="24"/>
          <w:szCs w:val="24"/>
          <w:highlight w:val="none"/>
        </w:rPr>
        <w:t>围绕《国家政务信息化项目建设管理办法》中关于政务信息系统在系统规划阶段的密码应用要求，综合考虑物理和环境、网络和通信、设备和计算、应用和数据、安全管理等层面的密码应用需求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完成密码应用改造工作，同时配合密码测评工作，并顺利通过密码测评</w:t>
      </w:r>
      <w:r>
        <w:rPr>
          <w:rFonts w:hint="eastAsia" w:asciiTheme="minorEastAsia" w:hAnsiTheme="minorEastAsia" w:eastAsiaTheme="minorEastAsia" w:cstheme="minorEastAsia"/>
          <w:color w:val="auto"/>
          <w:sz w:val="24"/>
          <w:szCs w:val="24"/>
          <w:highlight w:val="none"/>
        </w:rPr>
        <w:t>。</w:t>
      </w:r>
    </w:p>
    <w:p w14:paraId="10018EF6">
      <w:pPr>
        <w:pStyle w:val="3"/>
        <w:ind w:left="0" w:leftChars="0" w:firstLineChars="0"/>
      </w:pPr>
      <w:bookmarkStart w:id="38" w:name="_Toc63785512"/>
      <w:r>
        <w:rPr>
          <w:rFonts w:hint="eastAsia"/>
        </w:rPr>
        <w:t>技术文件要求</w:t>
      </w:r>
    </w:p>
    <w:p w14:paraId="16414574">
      <w:r>
        <w:rPr>
          <w:rFonts w:hint="eastAsia"/>
        </w:rPr>
        <w:t>投标人提供的书面技术资料应能确保系统正常运行所需的管理、运营及维护有关的全套文件。技术文件应该全面、完整、详细。投标人提供的技术文件至少应包括：</w:t>
      </w:r>
    </w:p>
    <w:p w14:paraId="40DD7525">
      <w:r>
        <w:rPr>
          <w:rFonts w:hint="eastAsia"/>
        </w:rPr>
        <w:t>－</w:t>
      </w:r>
      <w:r>
        <w:t xml:space="preserve"> 系统说明文件； </w:t>
      </w:r>
    </w:p>
    <w:p w14:paraId="7A0B9DDC">
      <w:r>
        <w:rPr>
          <w:rFonts w:hint="eastAsia"/>
        </w:rPr>
        <w:t>－</w:t>
      </w:r>
      <w:r>
        <w:t xml:space="preserve"> 技术手册(安装、测试、操作、维护、故障排除等)； </w:t>
      </w:r>
    </w:p>
    <w:p w14:paraId="535B2281">
      <w:r>
        <w:rPr>
          <w:rFonts w:hint="eastAsia"/>
        </w:rPr>
        <w:t>－</w:t>
      </w:r>
      <w:r>
        <w:t xml:space="preserve"> 项目文档，应该包括：</w:t>
      </w:r>
    </w:p>
    <w:p w14:paraId="2D3B2DE9">
      <w:pPr>
        <w:ind w:left="360"/>
      </w:pPr>
      <w:r>
        <w:t>(1)软件需求说明书</w:t>
      </w:r>
    </w:p>
    <w:p w14:paraId="0659D011">
      <w:pPr>
        <w:ind w:left="360"/>
      </w:pPr>
      <w:r>
        <w:t>(2)</w:t>
      </w:r>
      <w:r>
        <w:tab/>
      </w:r>
      <w:r>
        <w:t>系统总体设计说明书</w:t>
      </w:r>
    </w:p>
    <w:p w14:paraId="37036BDB">
      <w:pPr>
        <w:ind w:left="360"/>
      </w:pPr>
      <w:r>
        <w:t>(3)</w:t>
      </w:r>
      <w:r>
        <w:tab/>
      </w:r>
      <w:r>
        <w:t>应用软件功能清单</w:t>
      </w:r>
    </w:p>
    <w:p w14:paraId="741613D2">
      <w:pPr>
        <w:ind w:left="360"/>
        <w:rPr>
          <w:rFonts w:hint="eastAsia"/>
        </w:rPr>
      </w:pPr>
      <w:r>
        <w:t>(</w:t>
      </w:r>
      <w:r>
        <w:rPr>
          <w:rFonts w:hint="eastAsia"/>
          <w:lang w:val="en-US" w:eastAsia="zh-CN"/>
        </w:rPr>
        <w:t>4</w:t>
      </w:r>
      <w:r>
        <w:t>)</w:t>
      </w:r>
      <w:r>
        <w:rPr>
          <w:rFonts w:hint="eastAsia"/>
          <w:lang w:val="en-US" w:eastAsia="zh-CN"/>
        </w:rPr>
        <w:t xml:space="preserve"> </w:t>
      </w:r>
      <w:r>
        <w:rPr>
          <w:rFonts w:hint="eastAsia"/>
        </w:rPr>
        <w:t>数据库设计说明书</w:t>
      </w:r>
    </w:p>
    <w:p w14:paraId="44CA0547">
      <w:pPr>
        <w:ind w:left="360"/>
        <w:rPr>
          <w:rFonts w:hint="eastAsia"/>
        </w:rPr>
      </w:pPr>
      <w:r>
        <w:t>(</w:t>
      </w:r>
      <w:r>
        <w:rPr>
          <w:rFonts w:hint="eastAsia"/>
          <w:lang w:val="en-US" w:eastAsia="zh-CN"/>
        </w:rPr>
        <w:t>5</w:t>
      </w:r>
      <w:r>
        <w:t>)</w:t>
      </w:r>
      <w:r>
        <w:tab/>
      </w:r>
      <w:r>
        <w:rPr>
          <w:rFonts w:hint="eastAsia"/>
        </w:rPr>
        <w:t>接口设计说明书</w:t>
      </w:r>
    </w:p>
    <w:p w14:paraId="2DD2B0BC">
      <w:pPr>
        <w:ind w:left="360"/>
        <w:rPr>
          <w:rFonts w:hint="eastAsia" w:eastAsia="宋体"/>
          <w:lang w:val="en-US" w:eastAsia="zh-CN"/>
        </w:rPr>
      </w:pPr>
      <w:r>
        <w:t>(</w:t>
      </w:r>
      <w:r>
        <w:rPr>
          <w:rFonts w:hint="eastAsia"/>
          <w:lang w:val="en-US" w:eastAsia="zh-CN"/>
        </w:rPr>
        <w:t>6</w:t>
      </w:r>
      <w:r>
        <w:t>)</w:t>
      </w:r>
      <w:r>
        <w:tab/>
      </w:r>
      <w:r>
        <w:rPr>
          <w:rFonts w:hint="eastAsia"/>
        </w:rPr>
        <w:t>接口设计说明书</w:t>
      </w:r>
      <w:r>
        <w:rPr>
          <w:rFonts w:hint="eastAsia"/>
          <w:lang w:val="en-US" w:eastAsia="zh-CN"/>
        </w:rPr>
        <w:t>等</w:t>
      </w:r>
    </w:p>
    <w:p w14:paraId="1EAD414D">
      <w:pPr>
        <w:ind w:firstLine="0" w:firstLineChars="0"/>
        <w:jc w:val="left"/>
      </w:pPr>
      <w:r>
        <w:rPr>
          <w:rFonts w:hint="eastAsia"/>
        </w:rPr>
        <w:t>提供全套技术文件纸介质</w:t>
      </w:r>
      <w:r>
        <w:t>3套以及电子文件1套。</w:t>
      </w:r>
      <w:bookmarkEnd w:id="38"/>
    </w:p>
    <w:p w14:paraId="137CCA93">
      <w:pPr>
        <w:pStyle w:val="3"/>
        <w:ind w:left="0" w:leftChars="0" w:firstLineChars="0"/>
      </w:pPr>
      <w:r>
        <w:rPr>
          <w:rFonts w:hint="eastAsia"/>
          <w:lang w:eastAsia="zh-CN"/>
        </w:rPr>
        <w:t>其他</w:t>
      </w:r>
      <w:r>
        <w:rPr>
          <w:rFonts w:hint="eastAsia"/>
        </w:rPr>
        <w:t>要求</w:t>
      </w:r>
    </w:p>
    <w:p w14:paraId="57E449D2">
      <w:pPr>
        <w:numPr>
          <w:ilvl w:val="0"/>
          <w:numId w:val="8"/>
        </w:numPr>
        <w:ind w:firstLine="0" w:firstLineChars="0"/>
        <w:jc w:val="left"/>
        <w:rPr>
          <w:rFonts w:hint="eastAsia"/>
          <w:lang w:eastAsia="zh-CN"/>
        </w:rPr>
      </w:pPr>
      <w:r>
        <w:rPr>
          <w:rFonts w:hint="eastAsia"/>
        </w:rPr>
        <w:t>投标人</w:t>
      </w:r>
      <w:r>
        <w:rPr>
          <w:rFonts w:hint="eastAsia"/>
          <w:lang w:eastAsia="zh-CN"/>
        </w:rPr>
        <w:t>具有近三年类似项目业绩的优先考虑；</w:t>
      </w:r>
    </w:p>
    <w:p w14:paraId="32710050">
      <w:pPr>
        <w:numPr>
          <w:ilvl w:val="0"/>
          <w:numId w:val="8"/>
        </w:numPr>
        <w:ind w:firstLine="0" w:firstLineChars="0"/>
        <w:jc w:val="left"/>
        <w:rPr>
          <w:rFonts w:hint="eastAsia"/>
          <w:lang w:eastAsia="zh-CN"/>
        </w:rPr>
      </w:pPr>
      <w:r>
        <w:rPr>
          <w:rFonts w:hint="eastAsia"/>
          <w:lang w:eastAsia="zh-CN"/>
        </w:rPr>
        <w:t>投标人具有</w:t>
      </w:r>
      <w:r>
        <w:rPr>
          <w:rFonts w:hint="eastAsia"/>
          <w:lang w:val="en-US" w:eastAsia="zh-CN"/>
        </w:rPr>
        <w:t>ISO9001质量管理体系认证证书、ISO27001信息安全管理体系认证、ISO20000质量保证信息技术服务管理标准认证、ISO27017云服务信息安全管理体系认证证书、ISO27018公有云个人身份信息安全管理体系认证证书、ISO27701隐私信息管理体系认证证书、ITSS信息技术服务标准证书、软件企业证书的优先考虑。</w:t>
      </w:r>
    </w:p>
    <w:sectPr>
      <w:footerReference r:id="rId11" w:type="first"/>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等线 Light">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time">
    <w:altName w:val="思源宋体"/>
    <w:panose1 w:val="00000000000000000000"/>
    <w:charset w:val="00"/>
    <w:family w:val="roman"/>
    <w:pitch w:val="default"/>
    <w:sig w:usb0="00000000" w:usb1="00000000" w:usb2="00000000" w:usb3="00000000" w:csb0="00040001" w:csb1="00000000"/>
  </w:font>
  <w:font w:name="思源宋体">
    <w:panose1 w:val="02020400000000000000"/>
    <w:charset w:val="86"/>
    <w:family w:val="auto"/>
    <w:pitch w:val="default"/>
    <w:sig w:usb0="30000083" w:usb1="2BDF3C10" w:usb2="00000016" w:usb3="00000000" w:csb0="602E0107"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Microsoft Sans Serif">
    <w:altName w:val="Liberation Sans"/>
    <w:panose1 w:val="020B0604020202020204"/>
    <w:charset w:val="00"/>
    <w:family w:val="swiss"/>
    <w:pitch w:val="default"/>
    <w:sig w:usb0="00000000" w:usb1="00000000" w:usb2="00000008" w:usb3="00000000" w:csb0="200101FF" w:csb1="20280000"/>
  </w:font>
  <w:font w:name="Liberation Sans">
    <w:panose1 w:val="020B0604020202020204"/>
    <w:charset w:val="00"/>
    <w:family w:val="auto"/>
    <w:pitch w:val="default"/>
    <w:sig w:usb0="A00002AF" w:usb1="5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1D37">
    <w:pPr>
      <w:ind w:firstLine="0" w:firstLineChars="0"/>
      <w:jc w:val="center"/>
    </w:pPr>
    <w:r>
      <w:fldChar w:fldCharType="begin"/>
    </w:r>
    <w:r>
      <w:instrText xml:space="preserve">PAGE   \* MERGEFORMAT</w:instrText>
    </w:r>
    <w:r>
      <w:fldChar w:fldCharType="separate"/>
    </w:r>
    <w:r>
      <w:rPr>
        <w:lang w:val="zh-CN"/>
      </w:rPr>
      <w:t>11</w:t>
    </w:r>
    <w:r>
      <w:rPr>
        <w:lang w:val="zh-CN"/>
      </w:rPr>
      <w:fldChar w:fldCharType="end"/>
    </w:r>
  </w:p>
  <w:p w14:paraId="1CFA1B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9D879"/>
  <w:p w14:paraId="5BE0B9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7997C">
    <w:pPr>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68D16">
    <w:pPr>
      <w:ind w:firstLine="0" w:firstLineChars="0"/>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14:paraId="608B84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464E6">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589F4"/>
  <w:p w14:paraId="2B9FC1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B120B">
    <w:pPr>
      <w:pStyle w:val="2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CC7CA"/>
    <w:multiLevelType w:val="singleLevel"/>
    <w:tmpl w:val="8ABCC7CA"/>
    <w:lvl w:ilvl="0" w:tentative="0">
      <w:start w:val="1"/>
      <w:numFmt w:val="decimal"/>
      <w:lvlText w:val="%1)"/>
      <w:lvlJc w:val="left"/>
      <w:pPr>
        <w:ind w:left="425" w:hanging="425"/>
      </w:pPr>
      <w:rPr>
        <w:rFonts w:hint="default"/>
      </w:rPr>
    </w:lvl>
  </w:abstractNum>
  <w:abstractNum w:abstractNumId="1">
    <w:nsid w:val="FAFF1F7E"/>
    <w:multiLevelType w:val="singleLevel"/>
    <w:tmpl w:val="FAFF1F7E"/>
    <w:lvl w:ilvl="0" w:tentative="0">
      <w:start w:val="1"/>
      <w:numFmt w:val="decimal"/>
      <w:lvlText w:val="(%1)"/>
      <w:lvlJc w:val="left"/>
      <w:pPr>
        <w:ind w:left="425" w:hanging="425"/>
      </w:pPr>
      <w:rPr>
        <w:rFonts w:hint="default"/>
      </w:rPr>
    </w:lvl>
  </w:abstractNum>
  <w:abstractNum w:abstractNumId="2">
    <w:nsid w:val="FFC4B1F7"/>
    <w:multiLevelType w:val="singleLevel"/>
    <w:tmpl w:val="FFC4B1F7"/>
    <w:lvl w:ilvl="0" w:tentative="0">
      <w:start w:val="1"/>
      <w:numFmt w:val="decimal"/>
      <w:lvlText w:val="%1."/>
      <w:lvlJc w:val="left"/>
      <w:pPr>
        <w:tabs>
          <w:tab w:val="left" w:pos="312"/>
        </w:tabs>
      </w:pPr>
    </w:lvl>
  </w:abstractNum>
  <w:abstractNum w:abstractNumId="3">
    <w:nsid w:val="3A3837F7"/>
    <w:multiLevelType w:val="multilevel"/>
    <w:tmpl w:val="3A3837F7"/>
    <w:lvl w:ilvl="0" w:tentative="0">
      <w:start w:val="1"/>
      <w:numFmt w:val="chineseCountingThousand"/>
      <w:suff w:val="space"/>
      <w:lvlText w:val="第%1章"/>
      <w:lvlJc w:val="left"/>
      <w:pPr>
        <w:ind w:left="0" w:firstLine="0"/>
      </w:pPr>
      <w:rPr>
        <w:rFonts w:hint="default"/>
      </w:rPr>
    </w:lvl>
    <w:lvl w:ilvl="1" w:tentative="0">
      <w:start w:val="1"/>
      <w:numFmt w:val="decimal"/>
      <w:pStyle w:val="135"/>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4">
    <w:nsid w:val="5B8C57FE"/>
    <w:multiLevelType w:val="multilevel"/>
    <w:tmpl w:val="5B8C57FE"/>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5">
    <w:nsid w:val="6350366A"/>
    <w:multiLevelType w:val="multilevel"/>
    <w:tmpl w:val="6350366A"/>
    <w:lvl w:ilvl="0" w:tentative="0">
      <w:start w:val="1"/>
      <w:numFmt w:val="none"/>
      <w:pStyle w:val="11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A2F4AB3"/>
    <w:multiLevelType w:val="multilevel"/>
    <w:tmpl w:val="6A2F4AB3"/>
    <w:lvl w:ilvl="0" w:tentative="0">
      <w:start w:val="1"/>
      <w:numFmt w:val="chineseCountingThousand"/>
      <w:pStyle w:val="2"/>
      <w:suff w:val="nothing"/>
      <w:lvlText w:val="%1、"/>
      <w:lvlJc w:val="left"/>
      <w:pPr>
        <w:ind w:left="0" w:hanging="425"/>
      </w:pPr>
      <w:rPr>
        <w:rFonts w:hint="eastAsia"/>
        <w:sz w:val="32"/>
        <w:szCs w:val="32"/>
      </w:rPr>
    </w:lvl>
    <w:lvl w:ilvl="1" w:tentative="0">
      <w:start w:val="1"/>
      <w:numFmt w:val="decimal"/>
      <w:pStyle w:val="3"/>
      <w:isLgl/>
      <w:suff w:val="nothing"/>
      <w:lvlText w:val="%1.%2、"/>
      <w:lvlJc w:val="left"/>
      <w:pPr>
        <w:ind w:left="0" w:hanging="567"/>
      </w:pPr>
    </w:lvl>
    <w:lvl w:ilvl="2" w:tentative="0">
      <w:start w:val="1"/>
      <w:numFmt w:val="decimal"/>
      <w:pStyle w:val="4"/>
      <w:isLgl/>
      <w:suff w:val="nothing"/>
      <w:lvlText w:val="%1.%2.%3、"/>
      <w:lvlJc w:val="left"/>
      <w:pPr>
        <w:ind w:left="1069" w:hanging="1069"/>
      </w:pPr>
      <w:rPr>
        <w:rFonts w:hint="default" w:ascii="宋体" w:hAnsi="宋体" w:eastAsia="宋体" w:cs="Arial"/>
      </w:rPr>
    </w:lvl>
    <w:lvl w:ilvl="3" w:tentative="0">
      <w:start w:val="1"/>
      <w:numFmt w:val="decimal"/>
      <w:pStyle w:val="5"/>
      <w:isLgl/>
      <w:suff w:val="nothing"/>
      <w:lvlText w:val="%1.%2.%3.%4、"/>
      <w:lvlJc w:val="left"/>
      <w:pPr>
        <w:ind w:left="3403" w:hanging="851"/>
      </w:pPr>
    </w:lvl>
    <w:lvl w:ilvl="4" w:tentative="0">
      <w:start w:val="1"/>
      <w:numFmt w:val="decimal"/>
      <w:pStyle w:val="6"/>
      <w:isLgl/>
      <w:suff w:val="nothing"/>
      <w:lvlText w:val="%1.%2.%3.%4.%5、"/>
      <w:lvlJc w:val="left"/>
      <w:pPr>
        <w:ind w:left="3544" w:hanging="992"/>
      </w:pPr>
      <w:rPr>
        <w:rFonts w:hint="eastAsia"/>
      </w:rPr>
    </w:lvl>
    <w:lvl w:ilvl="5" w:tentative="0">
      <w:start w:val="1"/>
      <w:numFmt w:val="decimal"/>
      <w:pStyle w:val="7"/>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7">
    <w:nsid w:val="6FAF577F"/>
    <w:multiLevelType w:val="multilevel"/>
    <w:tmpl w:val="6FAF577F"/>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6"/>
  </w:num>
  <w:num w:numId="2">
    <w:abstractNumId w:val="5"/>
  </w:num>
  <w:num w:numId="3">
    <w:abstractNumId w:val="3"/>
  </w:num>
  <w:num w:numId="4">
    <w:abstractNumId w:val="4"/>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lNjkwZjI0NmE4YTUzODM5ZDc4YzA4YTk2YzM1YmEifQ=="/>
  </w:docVars>
  <w:rsids>
    <w:rsidRoot w:val="006910C0"/>
    <w:rsid w:val="0000005A"/>
    <w:rsid w:val="00000AED"/>
    <w:rsid w:val="00003516"/>
    <w:rsid w:val="0000380E"/>
    <w:rsid w:val="00005AFD"/>
    <w:rsid w:val="00006563"/>
    <w:rsid w:val="000074F1"/>
    <w:rsid w:val="00007A41"/>
    <w:rsid w:val="00007DA7"/>
    <w:rsid w:val="00012EF0"/>
    <w:rsid w:val="000156DE"/>
    <w:rsid w:val="000165AD"/>
    <w:rsid w:val="000179E9"/>
    <w:rsid w:val="00020C18"/>
    <w:rsid w:val="00021EE6"/>
    <w:rsid w:val="0002280E"/>
    <w:rsid w:val="00022C74"/>
    <w:rsid w:val="00025122"/>
    <w:rsid w:val="000252D5"/>
    <w:rsid w:val="00026997"/>
    <w:rsid w:val="00027A64"/>
    <w:rsid w:val="00032D27"/>
    <w:rsid w:val="00035325"/>
    <w:rsid w:val="00035D5B"/>
    <w:rsid w:val="000378D0"/>
    <w:rsid w:val="00037F2C"/>
    <w:rsid w:val="00042C2A"/>
    <w:rsid w:val="000430EC"/>
    <w:rsid w:val="000447CB"/>
    <w:rsid w:val="00047915"/>
    <w:rsid w:val="00047D06"/>
    <w:rsid w:val="00050FBD"/>
    <w:rsid w:val="0005107A"/>
    <w:rsid w:val="0005192C"/>
    <w:rsid w:val="00052929"/>
    <w:rsid w:val="0005299F"/>
    <w:rsid w:val="000541D7"/>
    <w:rsid w:val="000545C0"/>
    <w:rsid w:val="0005586D"/>
    <w:rsid w:val="00056C0E"/>
    <w:rsid w:val="000574A8"/>
    <w:rsid w:val="000574F8"/>
    <w:rsid w:val="00057A49"/>
    <w:rsid w:val="0006231F"/>
    <w:rsid w:val="00062A05"/>
    <w:rsid w:val="00062EE6"/>
    <w:rsid w:val="0006344E"/>
    <w:rsid w:val="000649E6"/>
    <w:rsid w:val="0006794B"/>
    <w:rsid w:val="00067DCA"/>
    <w:rsid w:val="00070063"/>
    <w:rsid w:val="0007087A"/>
    <w:rsid w:val="000710EC"/>
    <w:rsid w:val="00072237"/>
    <w:rsid w:val="00072ABE"/>
    <w:rsid w:val="00080B39"/>
    <w:rsid w:val="00083950"/>
    <w:rsid w:val="0008452F"/>
    <w:rsid w:val="00084E8E"/>
    <w:rsid w:val="00085A68"/>
    <w:rsid w:val="00090625"/>
    <w:rsid w:val="00090948"/>
    <w:rsid w:val="00091CD1"/>
    <w:rsid w:val="0009460E"/>
    <w:rsid w:val="000951D4"/>
    <w:rsid w:val="000A2146"/>
    <w:rsid w:val="000A2930"/>
    <w:rsid w:val="000A3276"/>
    <w:rsid w:val="000A3C35"/>
    <w:rsid w:val="000A3E30"/>
    <w:rsid w:val="000A5876"/>
    <w:rsid w:val="000A61D0"/>
    <w:rsid w:val="000A6C67"/>
    <w:rsid w:val="000A6DB8"/>
    <w:rsid w:val="000A7596"/>
    <w:rsid w:val="000B11A8"/>
    <w:rsid w:val="000B1959"/>
    <w:rsid w:val="000B2E1C"/>
    <w:rsid w:val="000B4459"/>
    <w:rsid w:val="000B4B46"/>
    <w:rsid w:val="000B5363"/>
    <w:rsid w:val="000B53BA"/>
    <w:rsid w:val="000B642F"/>
    <w:rsid w:val="000B6C99"/>
    <w:rsid w:val="000C3F3C"/>
    <w:rsid w:val="000C5A75"/>
    <w:rsid w:val="000C75F7"/>
    <w:rsid w:val="000D0AB2"/>
    <w:rsid w:val="000D225C"/>
    <w:rsid w:val="000D36F2"/>
    <w:rsid w:val="000D4B26"/>
    <w:rsid w:val="000D74DB"/>
    <w:rsid w:val="000E24D6"/>
    <w:rsid w:val="000E6072"/>
    <w:rsid w:val="000E6D61"/>
    <w:rsid w:val="000E7A23"/>
    <w:rsid w:val="000F1C29"/>
    <w:rsid w:val="000F1E9E"/>
    <w:rsid w:val="000F2B10"/>
    <w:rsid w:val="000F3F72"/>
    <w:rsid w:val="001055B2"/>
    <w:rsid w:val="001068F0"/>
    <w:rsid w:val="00106AB8"/>
    <w:rsid w:val="00106C9E"/>
    <w:rsid w:val="00106E16"/>
    <w:rsid w:val="0010768B"/>
    <w:rsid w:val="00111701"/>
    <w:rsid w:val="00112A29"/>
    <w:rsid w:val="001167F6"/>
    <w:rsid w:val="00116C86"/>
    <w:rsid w:val="00121ACF"/>
    <w:rsid w:val="00121D8F"/>
    <w:rsid w:val="00122037"/>
    <w:rsid w:val="0012210C"/>
    <w:rsid w:val="00122A7F"/>
    <w:rsid w:val="00123F98"/>
    <w:rsid w:val="001242A5"/>
    <w:rsid w:val="00124531"/>
    <w:rsid w:val="00126EDF"/>
    <w:rsid w:val="00127BBE"/>
    <w:rsid w:val="00131D52"/>
    <w:rsid w:val="001329C1"/>
    <w:rsid w:val="00132C16"/>
    <w:rsid w:val="00136320"/>
    <w:rsid w:val="00136FFA"/>
    <w:rsid w:val="00137AC6"/>
    <w:rsid w:val="00145512"/>
    <w:rsid w:val="001465BD"/>
    <w:rsid w:val="00147B45"/>
    <w:rsid w:val="00150803"/>
    <w:rsid w:val="00151D83"/>
    <w:rsid w:val="001546C9"/>
    <w:rsid w:val="00154FAE"/>
    <w:rsid w:val="00155E77"/>
    <w:rsid w:val="00156A70"/>
    <w:rsid w:val="00160A61"/>
    <w:rsid w:val="00160FC0"/>
    <w:rsid w:val="0016429B"/>
    <w:rsid w:val="00164525"/>
    <w:rsid w:val="00164C50"/>
    <w:rsid w:val="00165CB2"/>
    <w:rsid w:val="00166767"/>
    <w:rsid w:val="001707CB"/>
    <w:rsid w:val="00171477"/>
    <w:rsid w:val="00172A1A"/>
    <w:rsid w:val="00173251"/>
    <w:rsid w:val="00176BED"/>
    <w:rsid w:val="0017759D"/>
    <w:rsid w:val="001804A5"/>
    <w:rsid w:val="00181C94"/>
    <w:rsid w:val="00182C84"/>
    <w:rsid w:val="00187031"/>
    <w:rsid w:val="00191EA4"/>
    <w:rsid w:val="00192B6C"/>
    <w:rsid w:val="00192C30"/>
    <w:rsid w:val="0019381E"/>
    <w:rsid w:val="00194CF5"/>
    <w:rsid w:val="0019503C"/>
    <w:rsid w:val="00195D94"/>
    <w:rsid w:val="00196F7B"/>
    <w:rsid w:val="001971CB"/>
    <w:rsid w:val="0019795C"/>
    <w:rsid w:val="001A053A"/>
    <w:rsid w:val="001A22A2"/>
    <w:rsid w:val="001A2971"/>
    <w:rsid w:val="001A3D52"/>
    <w:rsid w:val="001A460A"/>
    <w:rsid w:val="001A4A4C"/>
    <w:rsid w:val="001B0230"/>
    <w:rsid w:val="001B13AB"/>
    <w:rsid w:val="001B3907"/>
    <w:rsid w:val="001B3B49"/>
    <w:rsid w:val="001B4907"/>
    <w:rsid w:val="001B4DC5"/>
    <w:rsid w:val="001B5505"/>
    <w:rsid w:val="001C2180"/>
    <w:rsid w:val="001C29CC"/>
    <w:rsid w:val="001C3217"/>
    <w:rsid w:val="001C3B98"/>
    <w:rsid w:val="001C6028"/>
    <w:rsid w:val="001C6365"/>
    <w:rsid w:val="001C7F57"/>
    <w:rsid w:val="001D0E79"/>
    <w:rsid w:val="001D6049"/>
    <w:rsid w:val="001D7339"/>
    <w:rsid w:val="001E2750"/>
    <w:rsid w:val="001E4343"/>
    <w:rsid w:val="001E52BB"/>
    <w:rsid w:val="001E660A"/>
    <w:rsid w:val="001F05D6"/>
    <w:rsid w:val="001F5B0A"/>
    <w:rsid w:val="001F640F"/>
    <w:rsid w:val="001F6794"/>
    <w:rsid w:val="001F6F65"/>
    <w:rsid w:val="002002DF"/>
    <w:rsid w:val="00203A6F"/>
    <w:rsid w:val="00205646"/>
    <w:rsid w:val="002063F7"/>
    <w:rsid w:val="002129E5"/>
    <w:rsid w:val="00212AA4"/>
    <w:rsid w:val="00212E13"/>
    <w:rsid w:val="002163C8"/>
    <w:rsid w:val="002179FE"/>
    <w:rsid w:val="00220CC0"/>
    <w:rsid w:val="00221A36"/>
    <w:rsid w:val="00223296"/>
    <w:rsid w:val="0022329B"/>
    <w:rsid w:val="002240F7"/>
    <w:rsid w:val="0022486F"/>
    <w:rsid w:val="00225314"/>
    <w:rsid w:val="00225DF4"/>
    <w:rsid w:val="00226C70"/>
    <w:rsid w:val="00230C8A"/>
    <w:rsid w:val="00231F98"/>
    <w:rsid w:val="002324F8"/>
    <w:rsid w:val="002348B0"/>
    <w:rsid w:val="00235CDC"/>
    <w:rsid w:val="00237E76"/>
    <w:rsid w:val="00240BBE"/>
    <w:rsid w:val="00241525"/>
    <w:rsid w:val="00241D87"/>
    <w:rsid w:val="00243C55"/>
    <w:rsid w:val="00243D5E"/>
    <w:rsid w:val="002451EC"/>
    <w:rsid w:val="00245ED4"/>
    <w:rsid w:val="00246B41"/>
    <w:rsid w:val="0025002B"/>
    <w:rsid w:val="002500DE"/>
    <w:rsid w:val="00252457"/>
    <w:rsid w:val="00252581"/>
    <w:rsid w:val="002535B5"/>
    <w:rsid w:val="002538CB"/>
    <w:rsid w:val="002542BD"/>
    <w:rsid w:val="0025774E"/>
    <w:rsid w:val="00257D64"/>
    <w:rsid w:val="0026340A"/>
    <w:rsid w:val="002654EA"/>
    <w:rsid w:val="002704EA"/>
    <w:rsid w:val="0027061A"/>
    <w:rsid w:val="002719CC"/>
    <w:rsid w:val="002730C5"/>
    <w:rsid w:val="0027337C"/>
    <w:rsid w:val="0027602B"/>
    <w:rsid w:val="00277F5E"/>
    <w:rsid w:val="00280084"/>
    <w:rsid w:val="00280490"/>
    <w:rsid w:val="002860B8"/>
    <w:rsid w:val="0029206E"/>
    <w:rsid w:val="00293382"/>
    <w:rsid w:val="00294F51"/>
    <w:rsid w:val="002A2342"/>
    <w:rsid w:val="002A279E"/>
    <w:rsid w:val="002A4FA3"/>
    <w:rsid w:val="002B3606"/>
    <w:rsid w:val="002B3D80"/>
    <w:rsid w:val="002B4402"/>
    <w:rsid w:val="002B4946"/>
    <w:rsid w:val="002B4C41"/>
    <w:rsid w:val="002B588D"/>
    <w:rsid w:val="002C1839"/>
    <w:rsid w:val="002C214A"/>
    <w:rsid w:val="002C28E8"/>
    <w:rsid w:val="002C3027"/>
    <w:rsid w:val="002C674D"/>
    <w:rsid w:val="002C7648"/>
    <w:rsid w:val="002C7DC4"/>
    <w:rsid w:val="002D0821"/>
    <w:rsid w:val="002D1929"/>
    <w:rsid w:val="002D1B73"/>
    <w:rsid w:val="002D3CB0"/>
    <w:rsid w:val="002D4800"/>
    <w:rsid w:val="002D5B21"/>
    <w:rsid w:val="002D6F6D"/>
    <w:rsid w:val="002E1FE6"/>
    <w:rsid w:val="002E2EA7"/>
    <w:rsid w:val="002E36D2"/>
    <w:rsid w:val="002E748B"/>
    <w:rsid w:val="002F2002"/>
    <w:rsid w:val="002F335D"/>
    <w:rsid w:val="002F4E32"/>
    <w:rsid w:val="002F503F"/>
    <w:rsid w:val="002F51DD"/>
    <w:rsid w:val="002F5D08"/>
    <w:rsid w:val="002F6895"/>
    <w:rsid w:val="002F6D13"/>
    <w:rsid w:val="003038D3"/>
    <w:rsid w:val="003049C7"/>
    <w:rsid w:val="00305F0E"/>
    <w:rsid w:val="0030667A"/>
    <w:rsid w:val="003106DE"/>
    <w:rsid w:val="00311530"/>
    <w:rsid w:val="00312D31"/>
    <w:rsid w:val="00315216"/>
    <w:rsid w:val="0031691C"/>
    <w:rsid w:val="00317AEF"/>
    <w:rsid w:val="00317F49"/>
    <w:rsid w:val="0032089B"/>
    <w:rsid w:val="00323450"/>
    <w:rsid w:val="00323D93"/>
    <w:rsid w:val="0032489B"/>
    <w:rsid w:val="0032525B"/>
    <w:rsid w:val="00326A7A"/>
    <w:rsid w:val="00326FEE"/>
    <w:rsid w:val="003315D7"/>
    <w:rsid w:val="00334DE6"/>
    <w:rsid w:val="0033536D"/>
    <w:rsid w:val="003353FF"/>
    <w:rsid w:val="003366D2"/>
    <w:rsid w:val="00337C79"/>
    <w:rsid w:val="00337FEF"/>
    <w:rsid w:val="0034084C"/>
    <w:rsid w:val="00340D5E"/>
    <w:rsid w:val="003420B5"/>
    <w:rsid w:val="00343646"/>
    <w:rsid w:val="00344CCB"/>
    <w:rsid w:val="00345897"/>
    <w:rsid w:val="00351BFC"/>
    <w:rsid w:val="0035575E"/>
    <w:rsid w:val="003565B4"/>
    <w:rsid w:val="00362E75"/>
    <w:rsid w:val="003631AA"/>
    <w:rsid w:val="003632D5"/>
    <w:rsid w:val="00363575"/>
    <w:rsid w:val="00364EF9"/>
    <w:rsid w:val="00367579"/>
    <w:rsid w:val="0036795B"/>
    <w:rsid w:val="00370A29"/>
    <w:rsid w:val="003722F9"/>
    <w:rsid w:val="00372349"/>
    <w:rsid w:val="00372CBC"/>
    <w:rsid w:val="00373A61"/>
    <w:rsid w:val="00374BDE"/>
    <w:rsid w:val="00376B39"/>
    <w:rsid w:val="003772C0"/>
    <w:rsid w:val="00377BAC"/>
    <w:rsid w:val="00380142"/>
    <w:rsid w:val="00380558"/>
    <w:rsid w:val="00381D3C"/>
    <w:rsid w:val="0038223E"/>
    <w:rsid w:val="00382D92"/>
    <w:rsid w:val="00385AEF"/>
    <w:rsid w:val="003860EA"/>
    <w:rsid w:val="0038781A"/>
    <w:rsid w:val="0039080B"/>
    <w:rsid w:val="0039326E"/>
    <w:rsid w:val="00394E22"/>
    <w:rsid w:val="003967A4"/>
    <w:rsid w:val="00397FA3"/>
    <w:rsid w:val="003A1596"/>
    <w:rsid w:val="003A317E"/>
    <w:rsid w:val="003A345B"/>
    <w:rsid w:val="003A49EE"/>
    <w:rsid w:val="003A674D"/>
    <w:rsid w:val="003A7123"/>
    <w:rsid w:val="003B102E"/>
    <w:rsid w:val="003B2167"/>
    <w:rsid w:val="003B5F5D"/>
    <w:rsid w:val="003B62C8"/>
    <w:rsid w:val="003C0C62"/>
    <w:rsid w:val="003C12DC"/>
    <w:rsid w:val="003C2CDA"/>
    <w:rsid w:val="003D000A"/>
    <w:rsid w:val="003D31E9"/>
    <w:rsid w:val="003D544E"/>
    <w:rsid w:val="003D5980"/>
    <w:rsid w:val="003E0842"/>
    <w:rsid w:val="003E13B0"/>
    <w:rsid w:val="003E2580"/>
    <w:rsid w:val="003E3DEE"/>
    <w:rsid w:val="003E3EBB"/>
    <w:rsid w:val="003E4A4C"/>
    <w:rsid w:val="003E4CBA"/>
    <w:rsid w:val="003E4D2F"/>
    <w:rsid w:val="003E4EDC"/>
    <w:rsid w:val="003E599D"/>
    <w:rsid w:val="003E5C81"/>
    <w:rsid w:val="003E6965"/>
    <w:rsid w:val="003F00E8"/>
    <w:rsid w:val="003F1936"/>
    <w:rsid w:val="003F1BDD"/>
    <w:rsid w:val="003F3BA3"/>
    <w:rsid w:val="003F3BD5"/>
    <w:rsid w:val="003F400E"/>
    <w:rsid w:val="003F6F35"/>
    <w:rsid w:val="003F7768"/>
    <w:rsid w:val="00400E8C"/>
    <w:rsid w:val="004017DC"/>
    <w:rsid w:val="00401B53"/>
    <w:rsid w:val="00402668"/>
    <w:rsid w:val="00404FEC"/>
    <w:rsid w:val="0040534D"/>
    <w:rsid w:val="00405FAD"/>
    <w:rsid w:val="004117AB"/>
    <w:rsid w:val="00412B2F"/>
    <w:rsid w:val="00415281"/>
    <w:rsid w:val="00415716"/>
    <w:rsid w:val="0041604D"/>
    <w:rsid w:val="00417842"/>
    <w:rsid w:val="00417A6E"/>
    <w:rsid w:val="0042285D"/>
    <w:rsid w:val="00427D2B"/>
    <w:rsid w:val="00430B13"/>
    <w:rsid w:val="00430CE5"/>
    <w:rsid w:val="0043153C"/>
    <w:rsid w:val="00431D0F"/>
    <w:rsid w:val="0043481C"/>
    <w:rsid w:val="00444307"/>
    <w:rsid w:val="0044436F"/>
    <w:rsid w:val="004443EB"/>
    <w:rsid w:val="00444432"/>
    <w:rsid w:val="00444673"/>
    <w:rsid w:val="0044621E"/>
    <w:rsid w:val="00447BF1"/>
    <w:rsid w:val="00450BA4"/>
    <w:rsid w:val="004511FC"/>
    <w:rsid w:val="00456784"/>
    <w:rsid w:val="00456DCA"/>
    <w:rsid w:val="00461140"/>
    <w:rsid w:val="004611DB"/>
    <w:rsid w:val="004658B0"/>
    <w:rsid w:val="0046614B"/>
    <w:rsid w:val="00467FD7"/>
    <w:rsid w:val="00470073"/>
    <w:rsid w:val="004730F8"/>
    <w:rsid w:val="00474353"/>
    <w:rsid w:val="00474555"/>
    <w:rsid w:val="004750F4"/>
    <w:rsid w:val="00476CB1"/>
    <w:rsid w:val="00480A48"/>
    <w:rsid w:val="00482501"/>
    <w:rsid w:val="00482E7D"/>
    <w:rsid w:val="00484395"/>
    <w:rsid w:val="004865FB"/>
    <w:rsid w:val="00486C03"/>
    <w:rsid w:val="00491AB3"/>
    <w:rsid w:val="00497A33"/>
    <w:rsid w:val="004A1112"/>
    <w:rsid w:val="004A1DA0"/>
    <w:rsid w:val="004A1F20"/>
    <w:rsid w:val="004A2393"/>
    <w:rsid w:val="004A3569"/>
    <w:rsid w:val="004A452A"/>
    <w:rsid w:val="004A5F2C"/>
    <w:rsid w:val="004A6E4F"/>
    <w:rsid w:val="004A720D"/>
    <w:rsid w:val="004B00D0"/>
    <w:rsid w:val="004B6084"/>
    <w:rsid w:val="004B7AE0"/>
    <w:rsid w:val="004C0BC4"/>
    <w:rsid w:val="004C260D"/>
    <w:rsid w:val="004C2D47"/>
    <w:rsid w:val="004C4357"/>
    <w:rsid w:val="004C4477"/>
    <w:rsid w:val="004C5730"/>
    <w:rsid w:val="004C6397"/>
    <w:rsid w:val="004C668F"/>
    <w:rsid w:val="004C682B"/>
    <w:rsid w:val="004D142C"/>
    <w:rsid w:val="004D29F7"/>
    <w:rsid w:val="004D36D8"/>
    <w:rsid w:val="004D4C5C"/>
    <w:rsid w:val="004D5AB0"/>
    <w:rsid w:val="004D5EAE"/>
    <w:rsid w:val="004D7A0E"/>
    <w:rsid w:val="004E06E7"/>
    <w:rsid w:val="004E0AE3"/>
    <w:rsid w:val="004E20D3"/>
    <w:rsid w:val="004E2C82"/>
    <w:rsid w:val="004E4FAE"/>
    <w:rsid w:val="004E62C7"/>
    <w:rsid w:val="004E68FF"/>
    <w:rsid w:val="004E7A1B"/>
    <w:rsid w:val="004F0B7F"/>
    <w:rsid w:val="004F1193"/>
    <w:rsid w:val="004F11DC"/>
    <w:rsid w:val="004F2124"/>
    <w:rsid w:val="004F271B"/>
    <w:rsid w:val="004F3A52"/>
    <w:rsid w:val="004F449F"/>
    <w:rsid w:val="004F4E7E"/>
    <w:rsid w:val="004F63AB"/>
    <w:rsid w:val="004F6B76"/>
    <w:rsid w:val="004F6C7C"/>
    <w:rsid w:val="004F7F1A"/>
    <w:rsid w:val="004F7FBB"/>
    <w:rsid w:val="005042B3"/>
    <w:rsid w:val="005045AB"/>
    <w:rsid w:val="00507D43"/>
    <w:rsid w:val="005103F2"/>
    <w:rsid w:val="00510E2C"/>
    <w:rsid w:val="00511FDC"/>
    <w:rsid w:val="005124C6"/>
    <w:rsid w:val="00513EBC"/>
    <w:rsid w:val="00514CE1"/>
    <w:rsid w:val="00517155"/>
    <w:rsid w:val="00517DB3"/>
    <w:rsid w:val="005200DC"/>
    <w:rsid w:val="005200F2"/>
    <w:rsid w:val="0052369D"/>
    <w:rsid w:val="005271DB"/>
    <w:rsid w:val="00530D2F"/>
    <w:rsid w:val="0053487C"/>
    <w:rsid w:val="005356E1"/>
    <w:rsid w:val="00536A8B"/>
    <w:rsid w:val="00540418"/>
    <w:rsid w:val="00541A96"/>
    <w:rsid w:val="00541C6A"/>
    <w:rsid w:val="00542C54"/>
    <w:rsid w:val="00546A43"/>
    <w:rsid w:val="00546C70"/>
    <w:rsid w:val="00547258"/>
    <w:rsid w:val="00550CF0"/>
    <w:rsid w:val="005559FE"/>
    <w:rsid w:val="005560D6"/>
    <w:rsid w:val="00556D07"/>
    <w:rsid w:val="005611F2"/>
    <w:rsid w:val="00561734"/>
    <w:rsid w:val="00561952"/>
    <w:rsid w:val="00564B9A"/>
    <w:rsid w:val="00565694"/>
    <w:rsid w:val="00566DD6"/>
    <w:rsid w:val="005714EF"/>
    <w:rsid w:val="00571CEC"/>
    <w:rsid w:val="00572FCE"/>
    <w:rsid w:val="005750DB"/>
    <w:rsid w:val="005759FC"/>
    <w:rsid w:val="00575B85"/>
    <w:rsid w:val="00576DB9"/>
    <w:rsid w:val="0057738F"/>
    <w:rsid w:val="005805E4"/>
    <w:rsid w:val="0058202F"/>
    <w:rsid w:val="00584221"/>
    <w:rsid w:val="00584EB6"/>
    <w:rsid w:val="00586B68"/>
    <w:rsid w:val="0058774E"/>
    <w:rsid w:val="005878CF"/>
    <w:rsid w:val="00590CA0"/>
    <w:rsid w:val="00595B01"/>
    <w:rsid w:val="00596D98"/>
    <w:rsid w:val="005979A5"/>
    <w:rsid w:val="005A0021"/>
    <w:rsid w:val="005A017B"/>
    <w:rsid w:val="005A2AEC"/>
    <w:rsid w:val="005A412D"/>
    <w:rsid w:val="005A5212"/>
    <w:rsid w:val="005B002D"/>
    <w:rsid w:val="005B0FFF"/>
    <w:rsid w:val="005B19AF"/>
    <w:rsid w:val="005B258C"/>
    <w:rsid w:val="005B61DD"/>
    <w:rsid w:val="005B6735"/>
    <w:rsid w:val="005B7831"/>
    <w:rsid w:val="005C0CD6"/>
    <w:rsid w:val="005C12D9"/>
    <w:rsid w:val="005C2146"/>
    <w:rsid w:val="005C309D"/>
    <w:rsid w:val="005C544B"/>
    <w:rsid w:val="005C5916"/>
    <w:rsid w:val="005C5AEE"/>
    <w:rsid w:val="005C774A"/>
    <w:rsid w:val="005D3734"/>
    <w:rsid w:val="005D4F16"/>
    <w:rsid w:val="005D5A53"/>
    <w:rsid w:val="005D5DA0"/>
    <w:rsid w:val="005D7FBD"/>
    <w:rsid w:val="005E19B4"/>
    <w:rsid w:val="005E1D6B"/>
    <w:rsid w:val="005E227A"/>
    <w:rsid w:val="005E2CF8"/>
    <w:rsid w:val="005E3126"/>
    <w:rsid w:val="005E7075"/>
    <w:rsid w:val="005E75A7"/>
    <w:rsid w:val="005F38E2"/>
    <w:rsid w:val="005F3EE6"/>
    <w:rsid w:val="005F6736"/>
    <w:rsid w:val="00602C10"/>
    <w:rsid w:val="00602EBD"/>
    <w:rsid w:val="00604CF2"/>
    <w:rsid w:val="00606DFF"/>
    <w:rsid w:val="00606FB7"/>
    <w:rsid w:val="00610533"/>
    <w:rsid w:val="006110F6"/>
    <w:rsid w:val="00611FA1"/>
    <w:rsid w:val="00612522"/>
    <w:rsid w:val="00612DA6"/>
    <w:rsid w:val="0061365B"/>
    <w:rsid w:val="006138B6"/>
    <w:rsid w:val="00614BC6"/>
    <w:rsid w:val="00614E33"/>
    <w:rsid w:val="006158B8"/>
    <w:rsid w:val="0061706D"/>
    <w:rsid w:val="006173DA"/>
    <w:rsid w:val="00617EF9"/>
    <w:rsid w:val="00620295"/>
    <w:rsid w:val="00622F8E"/>
    <w:rsid w:val="00626AC8"/>
    <w:rsid w:val="00627912"/>
    <w:rsid w:val="0063195F"/>
    <w:rsid w:val="00636C0A"/>
    <w:rsid w:val="00637EC6"/>
    <w:rsid w:val="0064240C"/>
    <w:rsid w:val="00642FF5"/>
    <w:rsid w:val="006430FB"/>
    <w:rsid w:val="00643992"/>
    <w:rsid w:val="00644DBC"/>
    <w:rsid w:val="00646FE6"/>
    <w:rsid w:val="006474CD"/>
    <w:rsid w:val="00647744"/>
    <w:rsid w:val="006479A0"/>
    <w:rsid w:val="006500D9"/>
    <w:rsid w:val="00653B54"/>
    <w:rsid w:val="006541A3"/>
    <w:rsid w:val="00654FAD"/>
    <w:rsid w:val="00655C9F"/>
    <w:rsid w:val="006567FF"/>
    <w:rsid w:val="00656867"/>
    <w:rsid w:val="0066109F"/>
    <w:rsid w:val="00664B26"/>
    <w:rsid w:val="0066596B"/>
    <w:rsid w:val="00670295"/>
    <w:rsid w:val="006704F5"/>
    <w:rsid w:val="00672894"/>
    <w:rsid w:val="00674B47"/>
    <w:rsid w:val="0067609E"/>
    <w:rsid w:val="00677749"/>
    <w:rsid w:val="00680E07"/>
    <w:rsid w:val="00682B9D"/>
    <w:rsid w:val="00683806"/>
    <w:rsid w:val="00686AF9"/>
    <w:rsid w:val="006910C0"/>
    <w:rsid w:val="00691954"/>
    <w:rsid w:val="0069320E"/>
    <w:rsid w:val="00693D13"/>
    <w:rsid w:val="00694F58"/>
    <w:rsid w:val="006955BC"/>
    <w:rsid w:val="006959E2"/>
    <w:rsid w:val="00696920"/>
    <w:rsid w:val="00697EB9"/>
    <w:rsid w:val="006A20D4"/>
    <w:rsid w:val="006A268D"/>
    <w:rsid w:val="006A350F"/>
    <w:rsid w:val="006A3957"/>
    <w:rsid w:val="006A39A4"/>
    <w:rsid w:val="006A41D6"/>
    <w:rsid w:val="006A669D"/>
    <w:rsid w:val="006A6E41"/>
    <w:rsid w:val="006B012F"/>
    <w:rsid w:val="006B27CF"/>
    <w:rsid w:val="006B41BD"/>
    <w:rsid w:val="006B5678"/>
    <w:rsid w:val="006B62B2"/>
    <w:rsid w:val="006C1C57"/>
    <w:rsid w:val="006C5760"/>
    <w:rsid w:val="006C6D6F"/>
    <w:rsid w:val="006D0D78"/>
    <w:rsid w:val="006D1128"/>
    <w:rsid w:val="006D2848"/>
    <w:rsid w:val="006D30E0"/>
    <w:rsid w:val="006D5521"/>
    <w:rsid w:val="006D5FE9"/>
    <w:rsid w:val="006D6CBB"/>
    <w:rsid w:val="006D76A9"/>
    <w:rsid w:val="006D77F4"/>
    <w:rsid w:val="006E0898"/>
    <w:rsid w:val="006E41CD"/>
    <w:rsid w:val="006F3BEC"/>
    <w:rsid w:val="00703C00"/>
    <w:rsid w:val="007057CC"/>
    <w:rsid w:val="007066F2"/>
    <w:rsid w:val="00706AE5"/>
    <w:rsid w:val="0070740A"/>
    <w:rsid w:val="00711F93"/>
    <w:rsid w:val="00712940"/>
    <w:rsid w:val="0071428C"/>
    <w:rsid w:val="00715A16"/>
    <w:rsid w:val="007164B0"/>
    <w:rsid w:val="007166FF"/>
    <w:rsid w:val="007260CC"/>
    <w:rsid w:val="00726543"/>
    <w:rsid w:val="0073353E"/>
    <w:rsid w:val="00736633"/>
    <w:rsid w:val="00741EE7"/>
    <w:rsid w:val="00743A79"/>
    <w:rsid w:val="007444D4"/>
    <w:rsid w:val="0074594D"/>
    <w:rsid w:val="007459F3"/>
    <w:rsid w:val="00746E35"/>
    <w:rsid w:val="007470E2"/>
    <w:rsid w:val="0075232F"/>
    <w:rsid w:val="00753132"/>
    <w:rsid w:val="007550B3"/>
    <w:rsid w:val="00760451"/>
    <w:rsid w:val="0077182A"/>
    <w:rsid w:val="00771913"/>
    <w:rsid w:val="00772718"/>
    <w:rsid w:val="00775BCF"/>
    <w:rsid w:val="007818AA"/>
    <w:rsid w:val="00783140"/>
    <w:rsid w:val="007838B6"/>
    <w:rsid w:val="00783E77"/>
    <w:rsid w:val="007906F1"/>
    <w:rsid w:val="0079243D"/>
    <w:rsid w:val="00794A9B"/>
    <w:rsid w:val="0079583B"/>
    <w:rsid w:val="00796602"/>
    <w:rsid w:val="00797185"/>
    <w:rsid w:val="007976B7"/>
    <w:rsid w:val="00797A7E"/>
    <w:rsid w:val="00797D6F"/>
    <w:rsid w:val="007B014B"/>
    <w:rsid w:val="007B0D88"/>
    <w:rsid w:val="007B306F"/>
    <w:rsid w:val="007B4714"/>
    <w:rsid w:val="007B4E82"/>
    <w:rsid w:val="007C1996"/>
    <w:rsid w:val="007C3773"/>
    <w:rsid w:val="007C3F1F"/>
    <w:rsid w:val="007D2D0D"/>
    <w:rsid w:val="007D3325"/>
    <w:rsid w:val="007D3818"/>
    <w:rsid w:val="007D6DC5"/>
    <w:rsid w:val="007D7425"/>
    <w:rsid w:val="007E320E"/>
    <w:rsid w:val="007E3280"/>
    <w:rsid w:val="007E4A02"/>
    <w:rsid w:val="007E595C"/>
    <w:rsid w:val="007E59A5"/>
    <w:rsid w:val="007F3B8C"/>
    <w:rsid w:val="007F41D0"/>
    <w:rsid w:val="007F4B8B"/>
    <w:rsid w:val="007F5957"/>
    <w:rsid w:val="007F70B6"/>
    <w:rsid w:val="007F74CA"/>
    <w:rsid w:val="00800F1E"/>
    <w:rsid w:val="0080195A"/>
    <w:rsid w:val="0080239C"/>
    <w:rsid w:val="00802841"/>
    <w:rsid w:val="008037D5"/>
    <w:rsid w:val="00805447"/>
    <w:rsid w:val="008054FA"/>
    <w:rsid w:val="0080717A"/>
    <w:rsid w:val="00807DFA"/>
    <w:rsid w:val="0081009F"/>
    <w:rsid w:val="00810152"/>
    <w:rsid w:val="008115AB"/>
    <w:rsid w:val="00812D2C"/>
    <w:rsid w:val="008159F4"/>
    <w:rsid w:val="008167C1"/>
    <w:rsid w:val="008167C6"/>
    <w:rsid w:val="00816B8F"/>
    <w:rsid w:val="00820331"/>
    <w:rsid w:val="00820BF5"/>
    <w:rsid w:val="008212B1"/>
    <w:rsid w:val="0082155A"/>
    <w:rsid w:val="0082209F"/>
    <w:rsid w:val="008223C2"/>
    <w:rsid w:val="008250A2"/>
    <w:rsid w:val="00825D64"/>
    <w:rsid w:val="0082650B"/>
    <w:rsid w:val="008301CE"/>
    <w:rsid w:val="008312E3"/>
    <w:rsid w:val="00831D5B"/>
    <w:rsid w:val="00832DD6"/>
    <w:rsid w:val="00832F0C"/>
    <w:rsid w:val="008336F2"/>
    <w:rsid w:val="008345D9"/>
    <w:rsid w:val="008347CB"/>
    <w:rsid w:val="00835647"/>
    <w:rsid w:val="00837A2E"/>
    <w:rsid w:val="00841558"/>
    <w:rsid w:val="00842A68"/>
    <w:rsid w:val="008435BA"/>
    <w:rsid w:val="0084558B"/>
    <w:rsid w:val="0084654A"/>
    <w:rsid w:val="00847654"/>
    <w:rsid w:val="00851064"/>
    <w:rsid w:val="00855543"/>
    <w:rsid w:val="008566B3"/>
    <w:rsid w:val="008576B7"/>
    <w:rsid w:val="00857F7B"/>
    <w:rsid w:val="00863DA1"/>
    <w:rsid w:val="008654A6"/>
    <w:rsid w:val="00865D86"/>
    <w:rsid w:val="00870495"/>
    <w:rsid w:val="00870EA1"/>
    <w:rsid w:val="008710C5"/>
    <w:rsid w:val="00874438"/>
    <w:rsid w:val="00874E75"/>
    <w:rsid w:val="008767F3"/>
    <w:rsid w:val="00876CEF"/>
    <w:rsid w:val="00877342"/>
    <w:rsid w:val="008803C3"/>
    <w:rsid w:val="00881450"/>
    <w:rsid w:val="008817C7"/>
    <w:rsid w:val="00881875"/>
    <w:rsid w:val="008848A3"/>
    <w:rsid w:val="00884AF1"/>
    <w:rsid w:val="00885F7A"/>
    <w:rsid w:val="00890712"/>
    <w:rsid w:val="00890D81"/>
    <w:rsid w:val="00892955"/>
    <w:rsid w:val="00893628"/>
    <w:rsid w:val="008941EB"/>
    <w:rsid w:val="0089545A"/>
    <w:rsid w:val="00895A02"/>
    <w:rsid w:val="008A01EE"/>
    <w:rsid w:val="008A0DAC"/>
    <w:rsid w:val="008A3B78"/>
    <w:rsid w:val="008A4166"/>
    <w:rsid w:val="008A7DBF"/>
    <w:rsid w:val="008B136C"/>
    <w:rsid w:val="008B55EF"/>
    <w:rsid w:val="008B6910"/>
    <w:rsid w:val="008C0B5C"/>
    <w:rsid w:val="008C1343"/>
    <w:rsid w:val="008C3912"/>
    <w:rsid w:val="008C5598"/>
    <w:rsid w:val="008C69EA"/>
    <w:rsid w:val="008C6F8B"/>
    <w:rsid w:val="008C7AB7"/>
    <w:rsid w:val="008C7FB4"/>
    <w:rsid w:val="008D2C8C"/>
    <w:rsid w:val="008D3040"/>
    <w:rsid w:val="008D3ECD"/>
    <w:rsid w:val="008D5C03"/>
    <w:rsid w:val="008D7580"/>
    <w:rsid w:val="008D7C35"/>
    <w:rsid w:val="008E5698"/>
    <w:rsid w:val="008E5733"/>
    <w:rsid w:val="008E77D2"/>
    <w:rsid w:val="008E78FD"/>
    <w:rsid w:val="008F199D"/>
    <w:rsid w:val="008F38A0"/>
    <w:rsid w:val="008F39C9"/>
    <w:rsid w:val="008F5EB5"/>
    <w:rsid w:val="008F678C"/>
    <w:rsid w:val="008F75A7"/>
    <w:rsid w:val="008F7E5A"/>
    <w:rsid w:val="00900A7F"/>
    <w:rsid w:val="009036EE"/>
    <w:rsid w:val="00905815"/>
    <w:rsid w:val="00905D1D"/>
    <w:rsid w:val="0091016D"/>
    <w:rsid w:val="00910C98"/>
    <w:rsid w:val="00911910"/>
    <w:rsid w:val="00912A58"/>
    <w:rsid w:val="00913908"/>
    <w:rsid w:val="00913D26"/>
    <w:rsid w:val="0091438B"/>
    <w:rsid w:val="009147E3"/>
    <w:rsid w:val="00920FD2"/>
    <w:rsid w:val="00923A43"/>
    <w:rsid w:val="0092439C"/>
    <w:rsid w:val="0092498E"/>
    <w:rsid w:val="00925B91"/>
    <w:rsid w:val="00934461"/>
    <w:rsid w:val="00934F7E"/>
    <w:rsid w:val="00936A1C"/>
    <w:rsid w:val="00943E35"/>
    <w:rsid w:val="00945278"/>
    <w:rsid w:val="0094658D"/>
    <w:rsid w:val="00947678"/>
    <w:rsid w:val="00947878"/>
    <w:rsid w:val="009504C2"/>
    <w:rsid w:val="0095254A"/>
    <w:rsid w:val="0095273B"/>
    <w:rsid w:val="009559E1"/>
    <w:rsid w:val="009568D5"/>
    <w:rsid w:val="00957CD3"/>
    <w:rsid w:val="0096269B"/>
    <w:rsid w:val="00963FB0"/>
    <w:rsid w:val="00964C86"/>
    <w:rsid w:val="00965E82"/>
    <w:rsid w:val="009664BB"/>
    <w:rsid w:val="009669F8"/>
    <w:rsid w:val="00966F89"/>
    <w:rsid w:val="00973B5D"/>
    <w:rsid w:val="0097755E"/>
    <w:rsid w:val="00981467"/>
    <w:rsid w:val="00981C24"/>
    <w:rsid w:val="009852F6"/>
    <w:rsid w:val="00985DE5"/>
    <w:rsid w:val="00986254"/>
    <w:rsid w:val="0098729E"/>
    <w:rsid w:val="00990067"/>
    <w:rsid w:val="00992977"/>
    <w:rsid w:val="009937D4"/>
    <w:rsid w:val="00993C78"/>
    <w:rsid w:val="009948C7"/>
    <w:rsid w:val="00995850"/>
    <w:rsid w:val="0099796C"/>
    <w:rsid w:val="009A194E"/>
    <w:rsid w:val="009A1EA2"/>
    <w:rsid w:val="009A209E"/>
    <w:rsid w:val="009A3FD7"/>
    <w:rsid w:val="009A6652"/>
    <w:rsid w:val="009A74FD"/>
    <w:rsid w:val="009B25D8"/>
    <w:rsid w:val="009B42E3"/>
    <w:rsid w:val="009B5859"/>
    <w:rsid w:val="009C6D07"/>
    <w:rsid w:val="009C7CEC"/>
    <w:rsid w:val="009D154D"/>
    <w:rsid w:val="009D18EF"/>
    <w:rsid w:val="009D3BE8"/>
    <w:rsid w:val="009D44E0"/>
    <w:rsid w:val="009D573B"/>
    <w:rsid w:val="009D59A0"/>
    <w:rsid w:val="009D716A"/>
    <w:rsid w:val="009E1AC4"/>
    <w:rsid w:val="009E20B8"/>
    <w:rsid w:val="009E29A0"/>
    <w:rsid w:val="009E41B5"/>
    <w:rsid w:val="009E55D7"/>
    <w:rsid w:val="009E627C"/>
    <w:rsid w:val="009F110B"/>
    <w:rsid w:val="009F1498"/>
    <w:rsid w:val="009F1E9F"/>
    <w:rsid w:val="009F3793"/>
    <w:rsid w:val="009F54F2"/>
    <w:rsid w:val="00A0056B"/>
    <w:rsid w:val="00A01657"/>
    <w:rsid w:val="00A01C65"/>
    <w:rsid w:val="00A0213D"/>
    <w:rsid w:val="00A04C73"/>
    <w:rsid w:val="00A0679A"/>
    <w:rsid w:val="00A07A2B"/>
    <w:rsid w:val="00A12375"/>
    <w:rsid w:val="00A125B8"/>
    <w:rsid w:val="00A13124"/>
    <w:rsid w:val="00A15370"/>
    <w:rsid w:val="00A156AB"/>
    <w:rsid w:val="00A16B8D"/>
    <w:rsid w:val="00A21293"/>
    <w:rsid w:val="00A2134B"/>
    <w:rsid w:val="00A21623"/>
    <w:rsid w:val="00A220EB"/>
    <w:rsid w:val="00A22302"/>
    <w:rsid w:val="00A25F1B"/>
    <w:rsid w:val="00A325F3"/>
    <w:rsid w:val="00A33103"/>
    <w:rsid w:val="00A33294"/>
    <w:rsid w:val="00A35DCB"/>
    <w:rsid w:val="00A3690E"/>
    <w:rsid w:val="00A37751"/>
    <w:rsid w:val="00A406B1"/>
    <w:rsid w:val="00A4113E"/>
    <w:rsid w:val="00A42435"/>
    <w:rsid w:val="00A438BA"/>
    <w:rsid w:val="00A446FD"/>
    <w:rsid w:val="00A46F46"/>
    <w:rsid w:val="00A52CB6"/>
    <w:rsid w:val="00A52F99"/>
    <w:rsid w:val="00A538BB"/>
    <w:rsid w:val="00A54164"/>
    <w:rsid w:val="00A56737"/>
    <w:rsid w:val="00A60002"/>
    <w:rsid w:val="00A603D8"/>
    <w:rsid w:val="00A60AE2"/>
    <w:rsid w:val="00A61834"/>
    <w:rsid w:val="00A618B0"/>
    <w:rsid w:val="00A62790"/>
    <w:rsid w:val="00A6291F"/>
    <w:rsid w:val="00A63F53"/>
    <w:rsid w:val="00A7111E"/>
    <w:rsid w:val="00A755B6"/>
    <w:rsid w:val="00A75B1A"/>
    <w:rsid w:val="00A80ED4"/>
    <w:rsid w:val="00A816C4"/>
    <w:rsid w:val="00A82981"/>
    <w:rsid w:val="00A86F10"/>
    <w:rsid w:val="00A87AF2"/>
    <w:rsid w:val="00A90B23"/>
    <w:rsid w:val="00A93193"/>
    <w:rsid w:val="00A93C2B"/>
    <w:rsid w:val="00A94556"/>
    <w:rsid w:val="00A974CB"/>
    <w:rsid w:val="00AA1EAC"/>
    <w:rsid w:val="00AA45E2"/>
    <w:rsid w:val="00AA7AC1"/>
    <w:rsid w:val="00AB6327"/>
    <w:rsid w:val="00AB6B8F"/>
    <w:rsid w:val="00AC0C65"/>
    <w:rsid w:val="00AC0FB2"/>
    <w:rsid w:val="00AC3721"/>
    <w:rsid w:val="00AC41C6"/>
    <w:rsid w:val="00AC70C7"/>
    <w:rsid w:val="00AC76B7"/>
    <w:rsid w:val="00AD0223"/>
    <w:rsid w:val="00AD123A"/>
    <w:rsid w:val="00AD15FF"/>
    <w:rsid w:val="00AD1AA5"/>
    <w:rsid w:val="00AD2920"/>
    <w:rsid w:val="00AD2CD5"/>
    <w:rsid w:val="00AD2DFC"/>
    <w:rsid w:val="00AD38C4"/>
    <w:rsid w:val="00AD5A4A"/>
    <w:rsid w:val="00AD60EE"/>
    <w:rsid w:val="00AD6A2B"/>
    <w:rsid w:val="00AD73D4"/>
    <w:rsid w:val="00AE1EA2"/>
    <w:rsid w:val="00AE2874"/>
    <w:rsid w:val="00AE2F98"/>
    <w:rsid w:val="00AE3602"/>
    <w:rsid w:val="00AE5342"/>
    <w:rsid w:val="00AE5987"/>
    <w:rsid w:val="00AE6472"/>
    <w:rsid w:val="00AF1345"/>
    <w:rsid w:val="00AF38A8"/>
    <w:rsid w:val="00AF63EB"/>
    <w:rsid w:val="00B016D2"/>
    <w:rsid w:val="00B018EC"/>
    <w:rsid w:val="00B060C7"/>
    <w:rsid w:val="00B11AB7"/>
    <w:rsid w:val="00B12213"/>
    <w:rsid w:val="00B13710"/>
    <w:rsid w:val="00B22881"/>
    <w:rsid w:val="00B23EFC"/>
    <w:rsid w:val="00B24B72"/>
    <w:rsid w:val="00B25DB8"/>
    <w:rsid w:val="00B2656C"/>
    <w:rsid w:val="00B266E6"/>
    <w:rsid w:val="00B3094D"/>
    <w:rsid w:val="00B30B04"/>
    <w:rsid w:val="00B311BC"/>
    <w:rsid w:val="00B31810"/>
    <w:rsid w:val="00B31C10"/>
    <w:rsid w:val="00B3446D"/>
    <w:rsid w:val="00B34652"/>
    <w:rsid w:val="00B34F89"/>
    <w:rsid w:val="00B358C8"/>
    <w:rsid w:val="00B36185"/>
    <w:rsid w:val="00B3662F"/>
    <w:rsid w:val="00B373CD"/>
    <w:rsid w:val="00B377C8"/>
    <w:rsid w:val="00B400B8"/>
    <w:rsid w:val="00B404DE"/>
    <w:rsid w:val="00B40765"/>
    <w:rsid w:val="00B4232D"/>
    <w:rsid w:val="00B42682"/>
    <w:rsid w:val="00B43065"/>
    <w:rsid w:val="00B44784"/>
    <w:rsid w:val="00B449D0"/>
    <w:rsid w:val="00B456AB"/>
    <w:rsid w:val="00B46C2A"/>
    <w:rsid w:val="00B47E8B"/>
    <w:rsid w:val="00B51C67"/>
    <w:rsid w:val="00B53F86"/>
    <w:rsid w:val="00B53FDC"/>
    <w:rsid w:val="00B55431"/>
    <w:rsid w:val="00B55CAE"/>
    <w:rsid w:val="00B576C6"/>
    <w:rsid w:val="00B615F2"/>
    <w:rsid w:val="00B61A28"/>
    <w:rsid w:val="00B65C6D"/>
    <w:rsid w:val="00B66B06"/>
    <w:rsid w:val="00B67862"/>
    <w:rsid w:val="00B70634"/>
    <w:rsid w:val="00B70BE4"/>
    <w:rsid w:val="00B73880"/>
    <w:rsid w:val="00B73CF1"/>
    <w:rsid w:val="00B745B3"/>
    <w:rsid w:val="00B7599D"/>
    <w:rsid w:val="00B7648F"/>
    <w:rsid w:val="00B76E13"/>
    <w:rsid w:val="00B771EE"/>
    <w:rsid w:val="00B7765B"/>
    <w:rsid w:val="00B77B4B"/>
    <w:rsid w:val="00B80ABC"/>
    <w:rsid w:val="00B814C2"/>
    <w:rsid w:val="00B900FE"/>
    <w:rsid w:val="00B9064C"/>
    <w:rsid w:val="00BA0A14"/>
    <w:rsid w:val="00BA228D"/>
    <w:rsid w:val="00BA398D"/>
    <w:rsid w:val="00BA39D3"/>
    <w:rsid w:val="00BA5C56"/>
    <w:rsid w:val="00BA776F"/>
    <w:rsid w:val="00BB0C0D"/>
    <w:rsid w:val="00BB0D69"/>
    <w:rsid w:val="00BB366E"/>
    <w:rsid w:val="00BB3AF0"/>
    <w:rsid w:val="00BB4F70"/>
    <w:rsid w:val="00BB67FF"/>
    <w:rsid w:val="00BC11B9"/>
    <w:rsid w:val="00BC138C"/>
    <w:rsid w:val="00BC14CF"/>
    <w:rsid w:val="00BC1659"/>
    <w:rsid w:val="00BC2C91"/>
    <w:rsid w:val="00BC3A9C"/>
    <w:rsid w:val="00BC5288"/>
    <w:rsid w:val="00BC6A71"/>
    <w:rsid w:val="00BC6B2F"/>
    <w:rsid w:val="00BD0637"/>
    <w:rsid w:val="00BD08A8"/>
    <w:rsid w:val="00BD1BAC"/>
    <w:rsid w:val="00BD1FA8"/>
    <w:rsid w:val="00BD25A6"/>
    <w:rsid w:val="00BD4C95"/>
    <w:rsid w:val="00BD65FC"/>
    <w:rsid w:val="00BD7660"/>
    <w:rsid w:val="00BE0666"/>
    <w:rsid w:val="00BE24B9"/>
    <w:rsid w:val="00BE2AE8"/>
    <w:rsid w:val="00BE2D55"/>
    <w:rsid w:val="00BE38DD"/>
    <w:rsid w:val="00BE4AB1"/>
    <w:rsid w:val="00BF16C3"/>
    <w:rsid w:val="00BF38E0"/>
    <w:rsid w:val="00BF44FA"/>
    <w:rsid w:val="00BF57E1"/>
    <w:rsid w:val="00C003B4"/>
    <w:rsid w:val="00C00A5F"/>
    <w:rsid w:val="00C042E0"/>
    <w:rsid w:val="00C051D9"/>
    <w:rsid w:val="00C06333"/>
    <w:rsid w:val="00C06F68"/>
    <w:rsid w:val="00C075BA"/>
    <w:rsid w:val="00C10A3A"/>
    <w:rsid w:val="00C11E20"/>
    <w:rsid w:val="00C15D16"/>
    <w:rsid w:val="00C20015"/>
    <w:rsid w:val="00C247DD"/>
    <w:rsid w:val="00C25B43"/>
    <w:rsid w:val="00C26A54"/>
    <w:rsid w:val="00C3261C"/>
    <w:rsid w:val="00C3318B"/>
    <w:rsid w:val="00C33C20"/>
    <w:rsid w:val="00C35362"/>
    <w:rsid w:val="00C357EA"/>
    <w:rsid w:val="00C379F8"/>
    <w:rsid w:val="00C37A1C"/>
    <w:rsid w:val="00C42323"/>
    <w:rsid w:val="00C4316E"/>
    <w:rsid w:val="00C453A9"/>
    <w:rsid w:val="00C465D5"/>
    <w:rsid w:val="00C4756A"/>
    <w:rsid w:val="00C47C39"/>
    <w:rsid w:val="00C50649"/>
    <w:rsid w:val="00C50E1F"/>
    <w:rsid w:val="00C51C09"/>
    <w:rsid w:val="00C52BB6"/>
    <w:rsid w:val="00C53471"/>
    <w:rsid w:val="00C55143"/>
    <w:rsid w:val="00C5611B"/>
    <w:rsid w:val="00C5695E"/>
    <w:rsid w:val="00C61528"/>
    <w:rsid w:val="00C63457"/>
    <w:rsid w:val="00C64964"/>
    <w:rsid w:val="00C6631E"/>
    <w:rsid w:val="00C67473"/>
    <w:rsid w:val="00C67AA4"/>
    <w:rsid w:val="00C7148C"/>
    <w:rsid w:val="00C72192"/>
    <w:rsid w:val="00C732E5"/>
    <w:rsid w:val="00C73D0B"/>
    <w:rsid w:val="00C75017"/>
    <w:rsid w:val="00C765B4"/>
    <w:rsid w:val="00C813EA"/>
    <w:rsid w:val="00C81496"/>
    <w:rsid w:val="00C82CE6"/>
    <w:rsid w:val="00C82E22"/>
    <w:rsid w:val="00C85144"/>
    <w:rsid w:val="00C86738"/>
    <w:rsid w:val="00C86A27"/>
    <w:rsid w:val="00C91517"/>
    <w:rsid w:val="00C929BD"/>
    <w:rsid w:val="00C931A2"/>
    <w:rsid w:val="00CA02E1"/>
    <w:rsid w:val="00CA15DA"/>
    <w:rsid w:val="00CA224E"/>
    <w:rsid w:val="00CA41C5"/>
    <w:rsid w:val="00CA42B7"/>
    <w:rsid w:val="00CA4A53"/>
    <w:rsid w:val="00CA51F5"/>
    <w:rsid w:val="00CB218A"/>
    <w:rsid w:val="00CB225A"/>
    <w:rsid w:val="00CB69E6"/>
    <w:rsid w:val="00CB761B"/>
    <w:rsid w:val="00CC13DF"/>
    <w:rsid w:val="00CC1EEE"/>
    <w:rsid w:val="00CC562B"/>
    <w:rsid w:val="00CC6C15"/>
    <w:rsid w:val="00CC7FCF"/>
    <w:rsid w:val="00CD2749"/>
    <w:rsid w:val="00CD2A60"/>
    <w:rsid w:val="00CD306F"/>
    <w:rsid w:val="00CD3971"/>
    <w:rsid w:val="00CD3DAB"/>
    <w:rsid w:val="00CE0DF1"/>
    <w:rsid w:val="00CE3786"/>
    <w:rsid w:val="00CE4027"/>
    <w:rsid w:val="00CE47CC"/>
    <w:rsid w:val="00CE68F6"/>
    <w:rsid w:val="00CE7E27"/>
    <w:rsid w:val="00CF22AC"/>
    <w:rsid w:val="00CF2F0A"/>
    <w:rsid w:val="00CF79E8"/>
    <w:rsid w:val="00D015AA"/>
    <w:rsid w:val="00D021B8"/>
    <w:rsid w:val="00D03D90"/>
    <w:rsid w:val="00D04024"/>
    <w:rsid w:val="00D043EB"/>
    <w:rsid w:val="00D06705"/>
    <w:rsid w:val="00D06A9B"/>
    <w:rsid w:val="00D0750D"/>
    <w:rsid w:val="00D07DD8"/>
    <w:rsid w:val="00D1038F"/>
    <w:rsid w:val="00D10BF7"/>
    <w:rsid w:val="00D10FEB"/>
    <w:rsid w:val="00D140A0"/>
    <w:rsid w:val="00D203D1"/>
    <w:rsid w:val="00D2057A"/>
    <w:rsid w:val="00D21D98"/>
    <w:rsid w:val="00D2317F"/>
    <w:rsid w:val="00D231A9"/>
    <w:rsid w:val="00D24391"/>
    <w:rsid w:val="00D2472B"/>
    <w:rsid w:val="00D253DD"/>
    <w:rsid w:val="00D26FFA"/>
    <w:rsid w:val="00D3215D"/>
    <w:rsid w:val="00D33352"/>
    <w:rsid w:val="00D347D9"/>
    <w:rsid w:val="00D35565"/>
    <w:rsid w:val="00D36A19"/>
    <w:rsid w:val="00D40DCF"/>
    <w:rsid w:val="00D41075"/>
    <w:rsid w:val="00D41C76"/>
    <w:rsid w:val="00D41DD8"/>
    <w:rsid w:val="00D4222C"/>
    <w:rsid w:val="00D425CE"/>
    <w:rsid w:val="00D42F40"/>
    <w:rsid w:val="00D4396C"/>
    <w:rsid w:val="00D4446F"/>
    <w:rsid w:val="00D44B55"/>
    <w:rsid w:val="00D45490"/>
    <w:rsid w:val="00D457B8"/>
    <w:rsid w:val="00D457E1"/>
    <w:rsid w:val="00D47BEB"/>
    <w:rsid w:val="00D50487"/>
    <w:rsid w:val="00D50563"/>
    <w:rsid w:val="00D50F50"/>
    <w:rsid w:val="00D5235F"/>
    <w:rsid w:val="00D52F50"/>
    <w:rsid w:val="00D55A98"/>
    <w:rsid w:val="00D56B49"/>
    <w:rsid w:val="00D6053F"/>
    <w:rsid w:val="00D6073D"/>
    <w:rsid w:val="00D618D6"/>
    <w:rsid w:val="00D62426"/>
    <w:rsid w:val="00D62804"/>
    <w:rsid w:val="00D70F55"/>
    <w:rsid w:val="00D70FA5"/>
    <w:rsid w:val="00D74171"/>
    <w:rsid w:val="00D7474C"/>
    <w:rsid w:val="00D8032C"/>
    <w:rsid w:val="00D80CE2"/>
    <w:rsid w:val="00D83080"/>
    <w:rsid w:val="00D84D5F"/>
    <w:rsid w:val="00D851E2"/>
    <w:rsid w:val="00D87FFA"/>
    <w:rsid w:val="00D91419"/>
    <w:rsid w:val="00D92A09"/>
    <w:rsid w:val="00D92D2A"/>
    <w:rsid w:val="00D92EEC"/>
    <w:rsid w:val="00D93470"/>
    <w:rsid w:val="00D9395F"/>
    <w:rsid w:val="00D93D55"/>
    <w:rsid w:val="00D941FA"/>
    <w:rsid w:val="00D94B59"/>
    <w:rsid w:val="00D95315"/>
    <w:rsid w:val="00D95EAB"/>
    <w:rsid w:val="00DA0B39"/>
    <w:rsid w:val="00DA1203"/>
    <w:rsid w:val="00DA2316"/>
    <w:rsid w:val="00DA25E0"/>
    <w:rsid w:val="00DA2700"/>
    <w:rsid w:val="00DA3001"/>
    <w:rsid w:val="00DA3C5D"/>
    <w:rsid w:val="00DA3EFF"/>
    <w:rsid w:val="00DA7769"/>
    <w:rsid w:val="00DB08C6"/>
    <w:rsid w:val="00DB1BC2"/>
    <w:rsid w:val="00DB1CBB"/>
    <w:rsid w:val="00DB31ED"/>
    <w:rsid w:val="00DB4124"/>
    <w:rsid w:val="00DB4511"/>
    <w:rsid w:val="00DB4F0C"/>
    <w:rsid w:val="00DC0176"/>
    <w:rsid w:val="00DC043F"/>
    <w:rsid w:val="00DC093E"/>
    <w:rsid w:val="00DC0E29"/>
    <w:rsid w:val="00DC0E7A"/>
    <w:rsid w:val="00DC2A65"/>
    <w:rsid w:val="00DC2A86"/>
    <w:rsid w:val="00DC3631"/>
    <w:rsid w:val="00DC37F7"/>
    <w:rsid w:val="00DC6F54"/>
    <w:rsid w:val="00DD0C00"/>
    <w:rsid w:val="00DD0F8C"/>
    <w:rsid w:val="00DD116C"/>
    <w:rsid w:val="00DD23D5"/>
    <w:rsid w:val="00DD2AF1"/>
    <w:rsid w:val="00DD46DA"/>
    <w:rsid w:val="00DD6072"/>
    <w:rsid w:val="00DD62BE"/>
    <w:rsid w:val="00DD77D9"/>
    <w:rsid w:val="00DD7CA4"/>
    <w:rsid w:val="00DE167C"/>
    <w:rsid w:val="00DE3B70"/>
    <w:rsid w:val="00DE5813"/>
    <w:rsid w:val="00DF10B1"/>
    <w:rsid w:val="00DF1FDA"/>
    <w:rsid w:val="00DF3DD0"/>
    <w:rsid w:val="00DF4D50"/>
    <w:rsid w:val="00DF538C"/>
    <w:rsid w:val="00E021C2"/>
    <w:rsid w:val="00E024A3"/>
    <w:rsid w:val="00E0423D"/>
    <w:rsid w:val="00E057B5"/>
    <w:rsid w:val="00E0581E"/>
    <w:rsid w:val="00E079C5"/>
    <w:rsid w:val="00E07CBD"/>
    <w:rsid w:val="00E07F56"/>
    <w:rsid w:val="00E10A16"/>
    <w:rsid w:val="00E1112F"/>
    <w:rsid w:val="00E1318F"/>
    <w:rsid w:val="00E13B3B"/>
    <w:rsid w:val="00E13E29"/>
    <w:rsid w:val="00E16857"/>
    <w:rsid w:val="00E16C3A"/>
    <w:rsid w:val="00E20651"/>
    <w:rsid w:val="00E2107C"/>
    <w:rsid w:val="00E21E70"/>
    <w:rsid w:val="00E224DE"/>
    <w:rsid w:val="00E23DCE"/>
    <w:rsid w:val="00E26363"/>
    <w:rsid w:val="00E272A4"/>
    <w:rsid w:val="00E305F9"/>
    <w:rsid w:val="00E306AC"/>
    <w:rsid w:val="00E34446"/>
    <w:rsid w:val="00E3633B"/>
    <w:rsid w:val="00E36870"/>
    <w:rsid w:val="00E374E1"/>
    <w:rsid w:val="00E417AB"/>
    <w:rsid w:val="00E43D48"/>
    <w:rsid w:val="00E4542D"/>
    <w:rsid w:val="00E45BE0"/>
    <w:rsid w:val="00E46CAD"/>
    <w:rsid w:val="00E47521"/>
    <w:rsid w:val="00E4760C"/>
    <w:rsid w:val="00E507A6"/>
    <w:rsid w:val="00E5375C"/>
    <w:rsid w:val="00E561AD"/>
    <w:rsid w:val="00E57FAF"/>
    <w:rsid w:val="00E60BA9"/>
    <w:rsid w:val="00E63510"/>
    <w:rsid w:val="00E635EA"/>
    <w:rsid w:val="00E655E5"/>
    <w:rsid w:val="00E65F4E"/>
    <w:rsid w:val="00E662E0"/>
    <w:rsid w:val="00E67D5D"/>
    <w:rsid w:val="00E71C7A"/>
    <w:rsid w:val="00E73119"/>
    <w:rsid w:val="00E73E1E"/>
    <w:rsid w:val="00E767FF"/>
    <w:rsid w:val="00E84C91"/>
    <w:rsid w:val="00E84E60"/>
    <w:rsid w:val="00E8556E"/>
    <w:rsid w:val="00E86B2D"/>
    <w:rsid w:val="00E86F4D"/>
    <w:rsid w:val="00E87D08"/>
    <w:rsid w:val="00E90D0E"/>
    <w:rsid w:val="00E91B2D"/>
    <w:rsid w:val="00E92FCA"/>
    <w:rsid w:val="00E95CAA"/>
    <w:rsid w:val="00EA0A39"/>
    <w:rsid w:val="00EA0EB2"/>
    <w:rsid w:val="00EA18D1"/>
    <w:rsid w:val="00EA236F"/>
    <w:rsid w:val="00EA3023"/>
    <w:rsid w:val="00EA3E49"/>
    <w:rsid w:val="00EA3FC8"/>
    <w:rsid w:val="00EA5B8C"/>
    <w:rsid w:val="00EB0DC9"/>
    <w:rsid w:val="00EB1383"/>
    <w:rsid w:val="00EB252D"/>
    <w:rsid w:val="00EB29FA"/>
    <w:rsid w:val="00EB2CCE"/>
    <w:rsid w:val="00EB385F"/>
    <w:rsid w:val="00EB3E49"/>
    <w:rsid w:val="00EB5FC3"/>
    <w:rsid w:val="00EB6DA9"/>
    <w:rsid w:val="00EC1561"/>
    <w:rsid w:val="00EC462E"/>
    <w:rsid w:val="00EC6CD8"/>
    <w:rsid w:val="00EC786F"/>
    <w:rsid w:val="00ED1866"/>
    <w:rsid w:val="00ED3134"/>
    <w:rsid w:val="00ED38E2"/>
    <w:rsid w:val="00ED5C44"/>
    <w:rsid w:val="00ED635B"/>
    <w:rsid w:val="00EE742D"/>
    <w:rsid w:val="00EF0A22"/>
    <w:rsid w:val="00EF1267"/>
    <w:rsid w:val="00EF180C"/>
    <w:rsid w:val="00EF3B6B"/>
    <w:rsid w:val="00EF4B43"/>
    <w:rsid w:val="00EF6750"/>
    <w:rsid w:val="00EF770B"/>
    <w:rsid w:val="00F02836"/>
    <w:rsid w:val="00F02FB5"/>
    <w:rsid w:val="00F0534E"/>
    <w:rsid w:val="00F05C30"/>
    <w:rsid w:val="00F10F1B"/>
    <w:rsid w:val="00F14179"/>
    <w:rsid w:val="00F15786"/>
    <w:rsid w:val="00F167C5"/>
    <w:rsid w:val="00F20B5A"/>
    <w:rsid w:val="00F21F0B"/>
    <w:rsid w:val="00F236AB"/>
    <w:rsid w:val="00F24EA4"/>
    <w:rsid w:val="00F27087"/>
    <w:rsid w:val="00F2773C"/>
    <w:rsid w:val="00F300B3"/>
    <w:rsid w:val="00F30DB9"/>
    <w:rsid w:val="00F30FB8"/>
    <w:rsid w:val="00F31D68"/>
    <w:rsid w:val="00F33152"/>
    <w:rsid w:val="00F338F2"/>
    <w:rsid w:val="00F349D3"/>
    <w:rsid w:val="00F3533E"/>
    <w:rsid w:val="00F35B84"/>
    <w:rsid w:val="00F402B5"/>
    <w:rsid w:val="00F4072F"/>
    <w:rsid w:val="00F42839"/>
    <w:rsid w:val="00F44CC0"/>
    <w:rsid w:val="00F450BA"/>
    <w:rsid w:val="00F4684B"/>
    <w:rsid w:val="00F46BE9"/>
    <w:rsid w:val="00F47C3B"/>
    <w:rsid w:val="00F506CA"/>
    <w:rsid w:val="00F53A7A"/>
    <w:rsid w:val="00F54FCD"/>
    <w:rsid w:val="00F5785C"/>
    <w:rsid w:val="00F65E3C"/>
    <w:rsid w:val="00F67076"/>
    <w:rsid w:val="00F677FA"/>
    <w:rsid w:val="00F7115A"/>
    <w:rsid w:val="00F717AA"/>
    <w:rsid w:val="00F72714"/>
    <w:rsid w:val="00F744C3"/>
    <w:rsid w:val="00F75EE2"/>
    <w:rsid w:val="00F75F69"/>
    <w:rsid w:val="00F76014"/>
    <w:rsid w:val="00F802D3"/>
    <w:rsid w:val="00F80F94"/>
    <w:rsid w:val="00F81BA2"/>
    <w:rsid w:val="00F823A4"/>
    <w:rsid w:val="00F8412F"/>
    <w:rsid w:val="00F84791"/>
    <w:rsid w:val="00F85995"/>
    <w:rsid w:val="00F85FC5"/>
    <w:rsid w:val="00F86C22"/>
    <w:rsid w:val="00F90CB3"/>
    <w:rsid w:val="00F912A2"/>
    <w:rsid w:val="00F913A3"/>
    <w:rsid w:val="00F925C3"/>
    <w:rsid w:val="00FA0109"/>
    <w:rsid w:val="00FA458B"/>
    <w:rsid w:val="00FA5EC5"/>
    <w:rsid w:val="00FA7016"/>
    <w:rsid w:val="00FA7174"/>
    <w:rsid w:val="00FA793D"/>
    <w:rsid w:val="00FB020E"/>
    <w:rsid w:val="00FB0F17"/>
    <w:rsid w:val="00FB4B9D"/>
    <w:rsid w:val="00FB50ED"/>
    <w:rsid w:val="00FB6E18"/>
    <w:rsid w:val="00FC144B"/>
    <w:rsid w:val="00FC2169"/>
    <w:rsid w:val="00FC28E2"/>
    <w:rsid w:val="00FC3BF6"/>
    <w:rsid w:val="00FC3D22"/>
    <w:rsid w:val="00FC6FE1"/>
    <w:rsid w:val="00FD0C3D"/>
    <w:rsid w:val="00FD2F6B"/>
    <w:rsid w:val="00FE064A"/>
    <w:rsid w:val="00FE0B55"/>
    <w:rsid w:val="00FE1E98"/>
    <w:rsid w:val="00FE2452"/>
    <w:rsid w:val="00FE5469"/>
    <w:rsid w:val="00FE66C2"/>
    <w:rsid w:val="00FE684A"/>
    <w:rsid w:val="00FE6F23"/>
    <w:rsid w:val="00FF0F8C"/>
    <w:rsid w:val="00FF408B"/>
    <w:rsid w:val="00FF43E1"/>
    <w:rsid w:val="019B3634"/>
    <w:rsid w:val="02E45D09"/>
    <w:rsid w:val="03430854"/>
    <w:rsid w:val="039F5FA6"/>
    <w:rsid w:val="048F0654"/>
    <w:rsid w:val="05731E06"/>
    <w:rsid w:val="06640499"/>
    <w:rsid w:val="06AE6F3C"/>
    <w:rsid w:val="09305ADA"/>
    <w:rsid w:val="0E8013B7"/>
    <w:rsid w:val="102313C5"/>
    <w:rsid w:val="10975430"/>
    <w:rsid w:val="10D604C6"/>
    <w:rsid w:val="11B515E0"/>
    <w:rsid w:val="12AA36D7"/>
    <w:rsid w:val="135C37D3"/>
    <w:rsid w:val="13897791"/>
    <w:rsid w:val="13A53267"/>
    <w:rsid w:val="13F970D2"/>
    <w:rsid w:val="14AA4136"/>
    <w:rsid w:val="163A420B"/>
    <w:rsid w:val="16B5089D"/>
    <w:rsid w:val="16EC7DCE"/>
    <w:rsid w:val="189C0B9E"/>
    <w:rsid w:val="18E01A75"/>
    <w:rsid w:val="191E235C"/>
    <w:rsid w:val="19413B26"/>
    <w:rsid w:val="199D7ABE"/>
    <w:rsid w:val="1AC612CA"/>
    <w:rsid w:val="1B3B1E85"/>
    <w:rsid w:val="1BFF3B17"/>
    <w:rsid w:val="1C56042C"/>
    <w:rsid w:val="1C6D3688"/>
    <w:rsid w:val="1CC63D0A"/>
    <w:rsid w:val="1DC2081A"/>
    <w:rsid w:val="1DD94266"/>
    <w:rsid w:val="1F486752"/>
    <w:rsid w:val="1F9D0947"/>
    <w:rsid w:val="1FFB29C6"/>
    <w:rsid w:val="22AF3620"/>
    <w:rsid w:val="22E70AD4"/>
    <w:rsid w:val="231B417D"/>
    <w:rsid w:val="23F83519"/>
    <w:rsid w:val="241D4741"/>
    <w:rsid w:val="24514E64"/>
    <w:rsid w:val="246D25F3"/>
    <w:rsid w:val="24F1508D"/>
    <w:rsid w:val="25A2137E"/>
    <w:rsid w:val="266F634F"/>
    <w:rsid w:val="26FB054E"/>
    <w:rsid w:val="291059EA"/>
    <w:rsid w:val="2A0E6CA8"/>
    <w:rsid w:val="2BBF12EC"/>
    <w:rsid w:val="2BC649D9"/>
    <w:rsid w:val="2C0E1644"/>
    <w:rsid w:val="2DCA6CD9"/>
    <w:rsid w:val="2F4A4EE0"/>
    <w:rsid w:val="2F8462B2"/>
    <w:rsid w:val="308407EC"/>
    <w:rsid w:val="30B57959"/>
    <w:rsid w:val="311E5564"/>
    <w:rsid w:val="323E6455"/>
    <w:rsid w:val="33690F44"/>
    <w:rsid w:val="33692756"/>
    <w:rsid w:val="345941EB"/>
    <w:rsid w:val="34F30AB6"/>
    <w:rsid w:val="3515160D"/>
    <w:rsid w:val="37225683"/>
    <w:rsid w:val="373553B6"/>
    <w:rsid w:val="381C4E45"/>
    <w:rsid w:val="3C600D3F"/>
    <w:rsid w:val="3C7D00D8"/>
    <w:rsid w:val="3CA06C0C"/>
    <w:rsid w:val="3CAA70B7"/>
    <w:rsid w:val="3CD94A35"/>
    <w:rsid w:val="3D907378"/>
    <w:rsid w:val="3EA25851"/>
    <w:rsid w:val="3F6C3757"/>
    <w:rsid w:val="405D6A10"/>
    <w:rsid w:val="40C23AE7"/>
    <w:rsid w:val="41931657"/>
    <w:rsid w:val="41DA6594"/>
    <w:rsid w:val="425B3750"/>
    <w:rsid w:val="438815DB"/>
    <w:rsid w:val="43E7452D"/>
    <w:rsid w:val="444C1A75"/>
    <w:rsid w:val="44A20E41"/>
    <w:rsid w:val="44A3526F"/>
    <w:rsid w:val="44B032F4"/>
    <w:rsid w:val="457D25F7"/>
    <w:rsid w:val="46521595"/>
    <w:rsid w:val="466E504F"/>
    <w:rsid w:val="468341CD"/>
    <w:rsid w:val="472C2589"/>
    <w:rsid w:val="497470E1"/>
    <w:rsid w:val="4A760AEB"/>
    <w:rsid w:val="4B5E1B62"/>
    <w:rsid w:val="4C96024D"/>
    <w:rsid w:val="4E3715BC"/>
    <w:rsid w:val="4EB90416"/>
    <w:rsid w:val="4F3162CA"/>
    <w:rsid w:val="500B0F52"/>
    <w:rsid w:val="50D95873"/>
    <w:rsid w:val="50E023DF"/>
    <w:rsid w:val="512017DF"/>
    <w:rsid w:val="51A90A23"/>
    <w:rsid w:val="526102AF"/>
    <w:rsid w:val="528444DA"/>
    <w:rsid w:val="537745D5"/>
    <w:rsid w:val="546D21DB"/>
    <w:rsid w:val="5483555B"/>
    <w:rsid w:val="54CC38FF"/>
    <w:rsid w:val="552306F6"/>
    <w:rsid w:val="55675113"/>
    <w:rsid w:val="56E352D5"/>
    <w:rsid w:val="57E435FE"/>
    <w:rsid w:val="582D0655"/>
    <w:rsid w:val="5951205C"/>
    <w:rsid w:val="59D079E8"/>
    <w:rsid w:val="59D40847"/>
    <w:rsid w:val="5A6A7A29"/>
    <w:rsid w:val="5AA97D54"/>
    <w:rsid w:val="5AE37F25"/>
    <w:rsid w:val="5B6B40BB"/>
    <w:rsid w:val="5C2B2CB5"/>
    <w:rsid w:val="5CB23D47"/>
    <w:rsid w:val="5E9B254F"/>
    <w:rsid w:val="5FAF09C4"/>
    <w:rsid w:val="608C4642"/>
    <w:rsid w:val="60C6325F"/>
    <w:rsid w:val="60DD30B1"/>
    <w:rsid w:val="62662A7E"/>
    <w:rsid w:val="62681EA1"/>
    <w:rsid w:val="62795572"/>
    <w:rsid w:val="62ED2655"/>
    <w:rsid w:val="64CA1533"/>
    <w:rsid w:val="64DD6417"/>
    <w:rsid w:val="66004745"/>
    <w:rsid w:val="67FE4533"/>
    <w:rsid w:val="69061224"/>
    <w:rsid w:val="69562DE6"/>
    <w:rsid w:val="6A470981"/>
    <w:rsid w:val="6A567F20"/>
    <w:rsid w:val="6AF9649E"/>
    <w:rsid w:val="6BDD7A8A"/>
    <w:rsid w:val="6CD97953"/>
    <w:rsid w:val="6D277080"/>
    <w:rsid w:val="6DB623DC"/>
    <w:rsid w:val="6ED30FD7"/>
    <w:rsid w:val="712E63F7"/>
    <w:rsid w:val="727D78FD"/>
    <w:rsid w:val="72BC4E8A"/>
    <w:rsid w:val="73CC655F"/>
    <w:rsid w:val="73D56FFD"/>
    <w:rsid w:val="75197455"/>
    <w:rsid w:val="758F4EF4"/>
    <w:rsid w:val="75957445"/>
    <w:rsid w:val="75D01AE1"/>
    <w:rsid w:val="77043CF8"/>
    <w:rsid w:val="77524363"/>
    <w:rsid w:val="77B917B5"/>
    <w:rsid w:val="77BF0976"/>
    <w:rsid w:val="77FBEBA6"/>
    <w:rsid w:val="78703975"/>
    <w:rsid w:val="797D1128"/>
    <w:rsid w:val="7B9A5D72"/>
    <w:rsid w:val="7BC7414E"/>
    <w:rsid w:val="7BE420FD"/>
    <w:rsid w:val="7C452581"/>
    <w:rsid w:val="7D0D296B"/>
    <w:rsid w:val="7D4E0B54"/>
    <w:rsid w:val="7D503E78"/>
    <w:rsid w:val="7D955A0C"/>
    <w:rsid w:val="7E0160D4"/>
    <w:rsid w:val="7E5C08A9"/>
    <w:rsid w:val="AFFFCF0D"/>
    <w:rsid w:val="DEDD79C9"/>
    <w:rsid w:val="EFF98FA1"/>
    <w:rsid w:val="FF3D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75"/>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link w:val="88"/>
    <w:qFormat/>
    <w:uiPriority w:val="9"/>
    <w:pPr>
      <w:keepNext/>
      <w:keepLines/>
      <w:numPr>
        <w:ilvl w:val="1"/>
        <w:numId w:val="1"/>
      </w:numPr>
      <w:spacing w:before="120" w:after="120"/>
      <w:ind w:firstLine="0" w:firstLineChars="0"/>
      <w:outlineLvl w:val="1"/>
    </w:pPr>
    <w:rPr>
      <w:b/>
      <w:bCs/>
      <w:sz w:val="30"/>
      <w:szCs w:val="32"/>
    </w:rPr>
  </w:style>
  <w:style w:type="paragraph" w:styleId="4">
    <w:name w:val="heading 3"/>
    <w:basedOn w:val="1"/>
    <w:next w:val="1"/>
    <w:link w:val="81"/>
    <w:qFormat/>
    <w:uiPriority w:val="0"/>
    <w:pPr>
      <w:keepNext/>
      <w:keepLines/>
      <w:numPr>
        <w:ilvl w:val="2"/>
        <w:numId w:val="1"/>
      </w:numPr>
      <w:spacing w:before="120" w:after="120"/>
      <w:ind w:firstLine="0" w:firstLineChars="0"/>
      <w:outlineLvl w:val="2"/>
    </w:pPr>
    <w:rPr>
      <w:b/>
      <w:bCs/>
      <w:sz w:val="28"/>
      <w:szCs w:val="28"/>
    </w:rPr>
  </w:style>
  <w:style w:type="paragraph" w:styleId="5">
    <w:name w:val="heading 4"/>
    <w:basedOn w:val="1"/>
    <w:next w:val="1"/>
    <w:link w:val="58"/>
    <w:qFormat/>
    <w:uiPriority w:val="0"/>
    <w:pPr>
      <w:keepNext/>
      <w:keepLines/>
      <w:numPr>
        <w:ilvl w:val="3"/>
        <w:numId w:val="1"/>
      </w:numPr>
      <w:spacing w:before="120" w:after="120"/>
      <w:ind w:left="851" w:firstLine="0" w:firstLineChars="0"/>
      <w:outlineLvl w:val="3"/>
    </w:pPr>
    <w:rPr>
      <w:b/>
      <w:bCs/>
      <w:sz w:val="30"/>
      <w:szCs w:val="30"/>
    </w:rPr>
  </w:style>
  <w:style w:type="paragraph" w:styleId="6">
    <w:name w:val="heading 5"/>
    <w:basedOn w:val="1"/>
    <w:next w:val="1"/>
    <w:link w:val="86"/>
    <w:qFormat/>
    <w:uiPriority w:val="0"/>
    <w:pPr>
      <w:keepNext/>
      <w:keepLines/>
      <w:numPr>
        <w:ilvl w:val="4"/>
        <w:numId w:val="1"/>
      </w:numPr>
      <w:spacing w:before="120" w:after="120"/>
      <w:ind w:left="0" w:firstLine="0" w:firstLineChars="0"/>
      <w:outlineLvl w:val="4"/>
    </w:pPr>
    <w:rPr>
      <w:b/>
      <w:bCs/>
      <w:szCs w:val="28"/>
    </w:rPr>
  </w:style>
  <w:style w:type="paragraph" w:styleId="7">
    <w:name w:val="heading 6"/>
    <w:basedOn w:val="1"/>
    <w:next w:val="1"/>
    <w:link w:val="99"/>
    <w:qFormat/>
    <w:uiPriority w:val="0"/>
    <w:pPr>
      <w:keepNext/>
      <w:keepLines/>
      <w:numPr>
        <w:ilvl w:val="5"/>
        <w:numId w:val="1"/>
      </w:numPr>
      <w:spacing w:before="120" w:after="120"/>
      <w:ind w:firstLine="0" w:firstLineChars="0"/>
      <w:outlineLvl w:val="5"/>
    </w:pPr>
    <w:rPr>
      <w:rFonts w:ascii="Cambria" w:hAnsi="Cambria"/>
      <w:b/>
      <w:bCs/>
    </w:rPr>
  </w:style>
  <w:style w:type="paragraph" w:styleId="8">
    <w:name w:val="heading 7"/>
    <w:basedOn w:val="1"/>
    <w:next w:val="1"/>
    <w:link w:val="72"/>
    <w:qFormat/>
    <w:uiPriority w:val="9"/>
    <w:pPr>
      <w:keepNext/>
      <w:keepLines/>
      <w:spacing w:before="240" w:after="64" w:line="319" w:lineRule="auto"/>
      <w:ind w:firstLine="0" w:firstLineChars="0"/>
      <w:outlineLvl w:val="6"/>
    </w:pPr>
    <w:rPr>
      <w:rFonts w:ascii="Times New Roman" w:hAnsi="Times New Roman"/>
      <w:b/>
      <w:bCs/>
      <w:sz w:val="21"/>
    </w:rPr>
  </w:style>
  <w:style w:type="paragraph" w:styleId="9">
    <w:name w:val="heading 8"/>
    <w:basedOn w:val="1"/>
    <w:next w:val="1"/>
    <w:link w:val="98"/>
    <w:qFormat/>
    <w:uiPriority w:val="9"/>
    <w:pPr>
      <w:keepNext/>
      <w:keepLines/>
      <w:spacing w:before="240" w:after="64" w:line="319" w:lineRule="auto"/>
      <w:ind w:firstLine="0" w:firstLineChars="0"/>
      <w:outlineLvl w:val="7"/>
    </w:pPr>
    <w:rPr>
      <w:rFonts w:ascii="Cambria" w:hAnsi="Cambria"/>
      <w:sz w:val="21"/>
    </w:rPr>
  </w:style>
  <w:style w:type="paragraph" w:styleId="10">
    <w:name w:val="heading 9"/>
    <w:basedOn w:val="1"/>
    <w:next w:val="1"/>
    <w:link w:val="48"/>
    <w:qFormat/>
    <w:uiPriority w:val="9"/>
    <w:pPr>
      <w:keepNext/>
      <w:keepLines/>
      <w:spacing w:before="240" w:after="64" w:line="319" w:lineRule="auto"/>
      <w:ind w:firstLine="0" w:firstLineChars="0"/>
      <w:outlineLvl w:val="8"/>
    </w:pPr>
    <w:rPr>
      <w:rFonts w:ascii="Cambria" w:hAnsi="Cambria"/>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等线" w:hAnsi="等线" w:eastAsia="等线"/>
      <w:szCs w:val="22"/>
    </w:rPr>
  </w:style>
  <w:style w:type="paragraph" w:styleId="12">
    <w:name w:val="Normal Indent"/>
    <w:basedOn w:val="1"/>
    <w:unhideWhenUsed/>
    <w:qFormat/>
    <w:uiPriority w:val="99"/>
    <w:pPr>
      <w:spacing w:line="240" w:lineRule="auto"/>
      <w:ind w:firstLine="420"/>
    </w:pPr>
    <w:rPr>
      <w:rFonts w:ascii="Calibri" w:hAnsi="Calibri"/>
      <w:sz w:val="21"/>
    </w:rPr>
  </w:style>
  <w:style w:type="paragraph" w:styleId="13">
    <w:name w:val="caption"/>
    <w:basedOn w:val="1"/>
    <w:next w:val="1"/>
    <w:link w:val="54"/>
    <w:qFormat/>
    <w:uiPriority w:val="0"/>
    <w:pPr>
      <w:spacing w:afterLines="50"/>
      <w:ind w:firstLine="200"/>
    </w:pPr>
    <w:rPr>
      <w:rFonts w:ascii="Arial" w:hAnsi="Arial" w:eastAsia="黑体"/>
      <w:sz w:val="20"/>
      <w:szCs w:val="20"/>
    </w:rPr>
  </w:style>
  <w:style w:type="paragraph" w:styleId="14">
    <w:name w:val="Document Map"/>
    <w:basedOn w:val="1"/>
    <w:link w:val="91"/>
    <w:qFormat/>
    <w:uiPriority w:val="0"/>
    <w:rPr>
      <w:rFonts w:hAnsi="Times New Roman"/>
      <w:sz w:val="18"/>
      <w:szCs w:val="18"/>
    </w:rPr>
  </w:style>
  <w:style w:type="paragraph" w:styleId="15">
    <w:name w:val="annotation text"/>
    <w:basedOn w:val="1"/>
    <w:link w:val="45"/>
    <w:qFormat/>
    <w:uiPriority w:val="99"/>
    <w:pPr>
      <w:jc w:val="left"/>
    </w:pPr>
    <w:rPr>
      <w:rFonts w:ascii="Times New Roman" w:hAnsi="Times New Roman" w:eastAsia="仿宋"/>
      <w:sz w:val="28"/>
    </w:rPr>
  </w:style>
  <w:style w:type="paragraph" w:styleId="16">
    <w:name w:val="Body Text"/>
    <w:basedOn w:val="1"/>
    <w:link w:val="59"/>
    <w:unhideWhenUsed/>
    <w:qFormat/>
    <w:uiPriority w:val="0"/>
    <w:pPr>
      <w:spacing w:after="120" w:line="240" w:lineRule="auto"/>
      <w:ind w:firstLine="0" w:firstLineChars="0"/>
    </w:pPr>
    <w:rPr>
      <w:rFonts w:ascii="Times New Roman" w:hAnsi="Times New Roman"/>
      <w:sz w:val="21"/>
    </w:rPr>
  </w:style>
  <w:style w:type="paragraph" w:styleId="17">
    <w:name w:val="Body Text Indent"/>
    <w:basedOn w:val="1"/>
    <w:link w:val="85"/>
    <w:qFormat/>
    <w:uiPriority w:val="0"/>
    <w:pPr>
      <w:spacing w:after="120"/>
      <w:ind w:firstLine="200"/>
    </w:pPr>
    <w:rPr>
      <w:rFonts w:ascii="Times New Roman" w:hAnsi="Times New Roman"/>
      <w:sz w:val="21"/>
      <w:szCs w:val="20"/>
    </w:rPr>
  </w:style>
  <w:style w:type="paragraph" w:styleId="18">
    <w:name w:val="toc 5"/>
    <w:basedOn w:val="1"/>
    <w:next w:val="1"/>
    <w:unhideWhenUsed/>
    <w:qFormat/>
    <w:uiPriority w:val="39"/>
    <w:pPr>
      <w:ind w:left="1680" w:leftChars="800"/>
    </w:pPr>
    <w:rPr>
      <w:rFonts w:ascii="等线" w:hAnsi="等线" w:eastAsia="等线"/>
      <w:szCs w:val="22"/>
    </w:rPr>
  </w:style>
  <w:style w:type="paragraph" w:styleId="19">
    <w:name w:val="toc 3"/>
    <w:basedOn w:val="1"/>
    <w:next w:val="1"/>
    <w:qFormat/>
    <w:uiPriority w:val="39"/>
    <w:pPr>
      <w:tabs>
        <w:tab w:val="right" w:leader="dot" w:pos="8302"/>
      </w:tabs>
      <w:ind w:left="840" w:leftChars="400"/>
    </w:pPr>
  </w:style>
  <w:style w:type="paragraph" w:styleId="20">
    <w:name w:val="Plain Text"/>
    <w:basedOn w:val="1"/>
    <w:link w:val="66"/>
    <w:qFormat/>
    <w:uiPriority w:val="0"/>
    <w:pPr>
      <w:spacing w:line="240" w:lineRule="auto"/>
      <w:ind w:firstLine="0" w:firstLineChars="0"/>
    </w:pPr>
    <w:rPr>
      <w:rFonts w:hAnsi="Courier New"/>
      <w:sz w:val="21"/>
      <w:szCs w:val="20"/>
    </w:rPr>
  </w:style>
  <w:style w:type="paragraph" w:styleId="21">
    <w:name w:val="toc 8"/>
    <w:basedOn w:val="1"/>
    <w:next w:val="1"/>
    <w:unhideWhenUsed/>
    <w:qFormat/>
    <w:uiPriority w:val="39"/>
    <w:pPr>
      <w:ind w:left="2940" w:leftChars="1400"/>
    </w:pPr>
    <w:rPr>
      <w:rFonts w:ascii="等线" w:hAnsi="等线" w:eastAsia="等线"/>
      <w:szCs w:val="22"/>
    </w:rPr>
  </w:style>
  <w:style w:type="paragraph" w:styleId="22">
    <w:name w:val="Date"/>
    <w:basedOn w:val="1"/>
    <w:next w:val="1"/>
    <w:link w:val="47"/>
    <w:qFormat/>
    <w:uiPriority w:val="0"/>
    <w:pPr>
      <w:ind w:left="100" w:leftChars="2500"/>
    </w:pPr>
    <w:rPr>
      <w:rFonts w:ascii="Times New Roman" w:hAnsi="Times New Roman"/>
      <w:sz w:val="21"/>
    </w:rPr>
  </w:style>
  <w:style w:type="paragraph" w:styleId="23">
    <w:name w:val="Balloon Text"/>
    <w:basedOn w:val="1"/>
    <w:link w:val="96"/>
    <w:qFormat/>
    <w:uiPriority w:val="0"/>
    <w:rPr>
      <w:rFonts w:ascii="Times New Roman" w:hAnsi="Times New Roman"/>
      <w:sz w:val="18"/>
      <w:szCs w:val="18"/>
    </w:rPr>
  </w:style>
  <w:style w:type="paragraph" w:styleId="24">
    <w:name w:val="footer"/>
    <w:basedOn w:val="1"/>
    <w:link w:val="89"/>
    <w:qFormat/>
    <w:uiPriority w:val="99"/>
    <w:pPr>
      <w:tabs>
        <w:tab w:val="center" w:pos="4153"/>
        <w:tab w:val="right" w:pos="8306"/>
      </w:tabs>
      <w:snapToGrid w:val="0"/>
      <w:jc w:val="center"/>
    </w:pPr>
    <w:rPr>
      <w:rFonts w:ascii="Times New Roman" w:hAnsi="Times New Roman"/>
      <w:sz w:val="18"/>
      <w:szCs w:val="18"/>
    </w:rPr>
  </w:style>
  <w:style w:type="paragraph" w:styleId="25">
    <w:name w:val="header"/>
    <w:basedOn w:val="1"/>
    <w:link w:val="97"/>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等线" w:hAnsi="等线" w:eastAsia="等线"/>
      <w:szCs w:val="22"/>
    </w:rPr>
  </w:style>
  <w:style w:type="paragraph" w:styleId="28">
    <w:name w:val="Subtitle"/>
    <w:basedOn w:val="1"/>
    <w:next w:val="1"/>
    <w:link w:val="87"/>
    <w:qFormat/>
    <w:uiPriority w:val="0"/>
    <w:pPr>
      <w:spacing w:before="240" w:after="60" w:line="312" w:lineRule="auto"/>
      <w:jc w:val="center"/>
      <w:outlineLvl w:val="1"/>
    </w:pPr>
    <w:rPr>
      <w:rFonts w:ascii="Calibri Light" w:hAnsi="Calibri Light"/>
      <w:b/>
      <w:bCs/>
      <w:kern w:val="28"/>
      <w:sz w:val="32"/>
      <w:szCs w:val="32"/>
    </w:rPr>
  </w:style>
  <w:style w:type="paragraph" w:styleId="29">
    <w:name w:val="toc 6"/>
    <w:basedOn w:val="1"/>
    <w:next w:val="1"/>
    <w:unhideWhenUsed/>
    <w:qFormat/>
    <w:uiPriority w:val="39"/>
    <w:pPr>
      <w:ind w:left="2100" w:leftChars="1000"/>
    </w:pPr>
    <w:rPr>
      <w:rFonts w:ascii="等线" w:hAnsi="等线" w:eastAsia="等线"/>
      <w:szCs w:val="22"/>
    </w:rPr>
  </w:style>
  <w:style w:type="paragraph" w:styleId="30">
    <w:name w:val="toc 2"/>
    <w:basedOn w:val="1"/>
    <w:next w:val="1"/>
    <w:qFormat/>
    <w:uiPriority w:val="39"/>
    <w:pPr>
      <w:tabs>
        <w:tab w:val="right" w:leader="dot" w:pos="8302"/>
      </w:tabs>
      <w:ind w:left="420" w:leftChars="200"/>
    </w:pPr>
  </w:style>
  <w:style w:type="paragraph" w:styleId="31">
    <w:name w:val="toc 9"/>
    <w:basedOn w:val="1"/>
    <w:next w:val="1"/>
    <w:unhideWhenUsed/>
    <w:qFormat/>
    <w:uiPriority w:val="39"/>
    <w:pPr>
      <w:ind w:left="3360" w:leftChars="1600"/>
    </w:pPr>
    <w:rPr>
      <w:rFonts w:ascii="等线" w:hAnsi="等线" w:eastAsia="等线"/>
      <w:szCs w:val="22"/>
    </w:rPr>
  </w:style>
  <w:style w:type="paragraph" w:styleId="32">
    <w:name w:val="Normal (Web)"/>
    <w:basedOn w:val="1"/>
    <w:qFormat/>
    <w:uiPriority w:val="99"/>
    <w:pPr>
      <w:widowControl/>
      <w:spacing w:before="100" w:after="100"/>
      <w:jc w:val="left"/>
    </w:pPr>
    <w:rPr>
      <w:rFonts w:hint="eastAsia" w:ascii="Arial Unicode MS" w:hAnsi="Arial Unicode MS" w:eastAsia="Arial Unicode MS"/>
      <w:kern w:val="0"/>
    </w:rPr>
  </w:style>
  <w:style w:type="paragraph" w:styleId="33">
    <w:name w:val="Title"/>
    <w:basedOn w:val="1"/>
    <w:next w:val="1"/>
    <w:link w:val="95"/>
    <w:qFormat/>
    <w:uiPriority w:val="0"/>
    <w:pPr>
      <w:spacing w:before="240" w:after="60" w:line="960" w:lineRule="auto"/>
      <w:jc w:val="center"/>
    </w:pPr>
    <w:rPr>
      <w:rFonts w:ascii="Cambria" w:hAnsi="Cambria" w:eastAsia="黑体"/>
      <w:b/>
      <w:bCs/>
      <w:sz w:val="52"/>
      <w:szCs w:val="32"/>
    </w:rPr>
  </w:style>
  <w:style w:type="paragraph" w:styleId="34">
    <w:name w:val="annotation subject"/>
    <w:basedOn w:val="15"/>
    <w:next w:val="15"/>
    <w:link w:val="83"/>
    <w:qFormat/>
    <w:uiPriority w:val="0"/>
    <w:rPr>
      <w:b/>
      <w:bCs/>
      <w:sz w:val="21"/>
    </w:rPr>
  </w:style>
  <w:style w:type="table" w:styleId="36">
    <w:name w:val="Table Grid"/>
    <w:basedOn w:val="3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3 字符1"/>
    <w:qFormat/>
    <w:uiPriority w:val="0"/>
    <w:rPr>
      <w:rFonts w:ascii="宋体" w:hAnsi="宋体"/>
      <w:b/>
      <w:bCs/>
      <w:kern w:val="2"/>
      <w:sz w:val="28"/>
      <w:szCs w:val="28"/>
    </w:rPr>
  </w:style>
  <w:style w:type="character" w:customStyle="1" w:styleId="43">
    <w:name w:val="首行缩进正文 Char"/>
    <w:link w:val="44"/>
    <w:qFormat/>
    <w:uiPriority w:val="0"/>
    <w:rPr>
      <w:kern w:val="2"/>
      <w:sz w:val="24"/>
    </w:rPr>
  </w:style>
  <w:style w:type="paragraph" w:customStyle="1" w:styleId="44">
    <w:name w:val="首行缩进正文"/>
    <w:basedOn w:val="1"/>
    <w:link w:val="43"/>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45">
    <w:name w:val="批注文字 字符1"/>
    <w:link w:val="15"/>
    <w:qFormat/>
    <w:uiPriority w:val="99"/>
    <w:rPr>
      <w:rFonts w:eastAsia="仿宋"/>
      <w:kern w:val="2"/>
      <w:sz w:val="28"/>
      <w:szCs w:val="24"/>
    </w:rPr>
  </w:style>
  <w:style w:type="character" w:customStyle="1" w:styleId="46">
    <w:name w:val="日期 字符"/>
    <w:semiHidden/>
    <w:qFormat/>
    <w:uiPriority w:val="99"/>
    <w:rPr>
      <w:rFonts w:ascii="宋体" w:hAnsi="宋体"/>
      <w:kern w:val="2"/>
      <w:sz w:val="24"/>
      <w:szCs w:val="24"/>
    </w:rPr>
  </w:style>
  <w:style w:type="character" w:customStyle="1" w:styleId="47">
    <w:name w:val="日期 字符1"/>
    <w:link w:val="22"/>
    <w:qFormat/>
    <w:uiPriority w:val="0"/>
    <w:rPr>
      <w:kern w:val="2"/>
      <w:sz w:val="21"/>
      <w:szCs w:val="24"/>
    </w:rPr>
  </w:style>
  <w:style w:type="character" w:customStyle="1" w:styleId="48">
    <w:name w:val="标题 9 字符"/>
    <w:link w:val="10"/>
    <w:qFormat/>
    <w:uiPriority w:val="9"/>
    <w:rPr>
      <w:rFonts w:ascii="Cambria" w:hAnsi="Cambria"/>
      <w:kern w:val="2"/>
      <w:sz w:val="21"/>
      <w:szCs w:val="21"/>
    </w:rPr>
  </w:style>
  <w:style w:type="character" w:customStyle="1" w:styleId="49">
    <w:name w:val="未处理的提及1"/>
    <w:unhideWhenUsed/>
    <w:qFormat/>
    <w:uiPriority w:val="99"/>
    <w:rPr>
      <w:color w:val="605E5C"/>
      <w:shd w:val="clear" w:color="auto" w:fill="E1DFDD"/>
    </w:rPr>
  </w:style>
  <w:style w:type="character" w:customStyle="1" w:styleId="50">
    <w:name w:val="标题 1 字符"/>
    <w:qFormat/>
    <w:uiPriority w:val="9"/>
    <w:rPr>
      <w:rFonts w:ascii="宋体" w:hAnsi="宋体"/>
      <w:b/>
      <w:bCs/>
      <w:kern w:val="44"/>
      <w:sz w:val="44"/>
      <w:szCs w:val="44"/>
    </w:rPr>
  </w:style>
  <w:style w:type="character" w:customStyle="1" w:styleId="51">
    <w:name w:val="标题 3 字符"/>
    <w:semiHidden/>
    <w:qFormat/>
    <w:uiPriority w:val="9"/>
    <w:rPr>
      <w:rFonts w:ascii="宋体" w:hAnsi="宋体"/>
      <w:b/>
      <w:bCs/>
      <w:kern w:val="2"/>
      <w:sz w:val="32"/>
      <w:szCs w:val="32"/>
    </w:rPr>
  </w:style>
  <w:style w:type="character" w:customStyle="1" w:styleId="52">
    <w:name w:val="页脚 字符"/>
    <w:qFormat/>
    <w:uiPriority w:val="99"/>
  </w:style>
  <w:style w:type="character" w:customStyle="1" w:styleId="53">
    <w:name w:val="标题 5 字符"/>
    <w:semiHidden/>
    <w:qFormat/>
    <w:uiPriority w:val="9"/>
    <w:rPr>
      <w:rFonts w:ascii="宋体" w:hAnsi="宋体"/>
      <w:b/>
      <w:bCs/>
      <w:kern w:val="2"/>
      <w:sz w:val="28"/>
      <w:szCs w:val="28"/>
    </w:rPr>
  </w:style>
  <w:style w:type="character" w:customStyle="1" w:styleId="54">
    <w:name w:val="题注 字符"/>
    <w:link w:val="13"/>
    <w:qFormat/>
    <w:locked/>
    <w:uiPriority w:val="0"/>
    <w:rPr>
      <w:rFonts w:ascii="Arial" w:hAnsi="Arial" w:eastAsia="黑体"/>
      <w:kern w:val="2"/>
    </w:rPr>
  </w:style>
  <w:style w:type="character" w:customStyle="1" w:styleId="55">
    <w:name w:val="标题 2 字符"/>
    <w:semiHidden/>
    <w:qFormat/>
    <w:uiPriority w:val="9"/>
    <w:rPr>
      <w:rFonts w:ascii="等线 Light" w:hAnsi="等线 Light" w:eastAsia="等线 Light" w:cs="Times New Roman"/>
      <w:b/>
      <w:bCs/>
      <w:kern w:val="2"/>
      <w:sz w:val="32"/>
      <w:szCs w:val="32"/>
    </w:rPr>
  </w:style>
  <w:style w:type="character" w:customStyle="1" w:styleId="56">
    <w:name w:val="纯文本 字符"/>
    <w:qFormat/>
    <w:uiPriority w:val="0"/>
    <w:rPr>
      <w:rFonts w:ascii="宋体" w:hAnsi="Courier New" w:cs="Courier New"/>
      <w:kern w:val="2"/>
      <w:sz w:val="21"/>
      <w:szCs w:val="21"/>
    </w:rPr>
  </w:style>
  <w:style w:type="character" w:customStyle="1" w:styleId="57">
    <w:name w:val="列表段落 字符"/>
    <w:qFormat/>
    <w:uiPriority w:val="34"/>
    <w:rPr>
      <w:kern w:val="2"/>
      <w:sz w:val="21"/>
      <w:szCs w:val="22"/>
    </w:rPr>
  </w:style>
  <w:style w:type="character" w:customStyle="1" w:styleId="58">
    <w:name w:val="标题 4 字符1"/>
    <w:link w:val="5"/>
    <w:qFormat/>
    <w:uiPriority w:val="0"/>
    <w:rPr>
      <w:rFonts w:ascii="宋体" w:hAnsi="宋体"/>
      <w:b/>
      <w:bCs/>
      <w:kern w:val="2"/>
      <w:sz w:val="30"/>
      <w:szCs w:val="30"/>
    </w:rPr>
  </w:style>
  <w:style w:type="character" w:customStyle="1" w:styleId="59">
    <w:name w:val="正文文本 字符"/>
    <w:link w:val="16"/>
    <w:qFormat/>
    <w:uiPriority w:val="0"/>
    <w:rPr>
      <w:kern w:val="2"/>
      <w:sz w:val="21"/>
      <w:szCs w:val="24"/>
    </w:rPr>
  </w:style>
  <w:style w:type="character" w:customStyle="1" w:styleId="60">
    <w:name w:val="列出段落 字符"/>
    <w:link w:val="61"/>
    <w:qFormat/>
    <w:uiPriority w:val="34"/>
    <w:rPr>
      <w:kern w:val="2"/>
      <w:sz w:val="21"/>
      <w:szCs w:val="24"/>
    </w:rPr>
  </w:style>
  <w:style w:type="paragraph" w:styleId="61">
    <w:name w:val="List Paragraph"/>
    <w:basedOn w:val="1"/>
    <w:link w:val="60"/>
    <w:qFormat/>
    <w:uiPriority w:val="34"/>
    <w:pPr>
      <w:ind w:firstLine="420"/>
    </w:pPr>
    <w:rPr>
      <w:rFonts w:ascii="Times New Roman" w:hAnsi="Times New Roman"/>
      <w:sz w:val="21"/>
    </w:rPr>
  </w:style>
  <w:style w:type="character" w:customStyle="1" w:styleId="62">
    <w:name w:val="font21"/>
    <w:qFormat/>
    <w:uiPriority w:val="0"/>
    <w:rPr>
      <w:rFonts w:ascii="Calibri" w:hAnsi="Calibri" w:cs="Calibri"/>
      <w:color w:val="000000"/>
      <w:sz w:val="21"/>
      <w:szCs w:val="21"/>
      <w:u w:val="none"/>
    </w:rPr>
  </w:style>
  <w:style w:type="character" w:customStyle="1" w:styleId="63">
    <w:name w:val="*正文 Char"/>
    <w:link w:val="64"/>
    <w:qFormat/>
    <w:uiPriority w:val="0"/>
    <w:rPr>
      <w:rFonts w:ascii="time" w:hAnsi="time"/>
      <w:sz w:val="24"/>
      <w:szCs w:val="24"/>
      <w:lang w:bidi="en-US"/>
    </w:rPr>
  </w:style>
  <w:style w:type="paragraph" w:customStyle="1" w:styleId="64">
    <w:name w:val="*正文"/>
    <w:basedOn w:val="1"/>
    <w:link w:val="63"/>
    <w:qFormat/>
    <w:uiPriority w:val="0"/>
    <w:pPr>
      <w:widowControl/>
      <w:ind w:firstLine="200"/>
      <w:contextualSpacing/>
    </w:pPr>
    <w:rPr>
      <w:rFonts w:ascii="time" w:hAnsi="time"/>
      <w:kern w:val="0"/>
      <w:lang w:bidi="en-US"/>
    </w:rPr>
  </w:style>
  <w:style w:type="character" w:customStyle="1" w:styleId="65">
    <w:name w:val="正文文本缩进 字符"/>
    <w:semiHidden/>
    <w:qFormat/>
    <w:uiPriority w:val="99"/>
    <w:rPr>
      <w:rFonts w:ascii="宋体" w:hAnsi="宋体"/>
      <w:kern w:val="2"/>
      <w:sz w:val="24"/>
      <w:szCs w:val="24"/>
    </w:rPr>
  </w:style>
  <w:style w:type="character" w:customStyle="1" w:styleId="66">
    <w:name w:val="纯文本 字符1"/>
    <w:link w:val="20"/>
    <w:qFormat/>
    <w:locked/>
    <w:uiPriority w:val="0"/>
    <w:rPr>
      <w:rFonts w:ascii="宋体" w:hAnsi="Courier New"/>
      <w:kern w:val="2"/>
      <w:sz w:val="21"/>
    </w:rPr>
  </w:style>
  <w:style w:type="character" w:customStyle="1" w:styleId="67">
    <w:name w:val="my正文 Char"/>
    <w:link w:val="68"/>
    <w:qFormat/>
    <w:uiPriority w:val="0"/>
    <w:rPr>
      <w:kern w:val="2"/>
      <w:sz w:val="21"/>
      <w:szCs w:val="24"/>
    </w:rPr>
  </w:style>
  <w:style w:type="paragraph" w:customStyle="1" w:styleId="68">
    <w:name w:val="my正文"/>
    <w:basedOn w:val="1"/>
    <w:link w:val="67"/>
    <w:qFormat/>
    <w:uiPriority w:val="0"/>
    <w:pPr>
      <w:spacing w:line="240" w:lineRule="auto"/>
      <w:ind w:firstLine="0" w:firstLineChars="0"/>
    </w:pPr>
    <w:rPr>
      <w:rFonts w:ascii="Times New Roman" w:hAnsi="Times New Roman"/>
      <w:sz w:val="21"/>
    </w:rPr>
  </w:style>
  <w:style w:type="character" w:customStyle="1" w:styleId="69">
    <w:name w:val="正文2 字符"/>
    <w:link w:val="70"/>
    <w:qFormat/>
    <w:uiPriority w:val="0"/>
    <w:rPr>
      <w:kern w:val="2"/>
      <w:sz w:val="21"/>
      <w:szCs w:val="24"/>
    </w:rPr>
  </w:style>
  <w:style w:type="paragraph" w:customStyle="1" w:styleId="70">
    <w:name w:val="正文2"/>
    <w:basedOn w:val="1"/>
    <w:link w:val="69"/>
    <w:qFormat/>
    <w:uiPriority w:val="0"/>
    <w:pPr>
      <w:ind w:firstLine="420"/>
    </w:pPr>
    <w:rPr>
      <w:rFonts w:ascii="Times New Roman" w:hAnsi="Times New Roman"/>
      <w:sz w:val="21"/>
    </w:rPr>
  </w:style>
  <w:style w:type="character" w:customStyle="1" w:styleId="71">
    <w:name w:val="font41"/>
    <w:qFormat/>
    <w:uiPriority w:val="0"/>
    <w:rPr>
      <w:rFonts w:hint="eastAsia" w:ascii="宋体" w:hAnsi="宋体" w:eastAsia="宋体" w:cs="宋体"/>
      <w:color w:val="000000"/>
      <w:sz w:val="21"/>
      <w:szCs w:val="21"/>
      <w:u w:val="none"/>
    </w:rPr>
  </w:style>
  <w:style w:type="character" w:customStyle="1" w:styleId="72">
    <w:name w:val="标题 7 字符"/>
    <w:link w:val="8"/>
    <w:qFormat/>
    <w:uiPriority w:val="9"/>
    <w:rPr>
      <w:b/>
      <w:bCs/>
      <w:kern w:val="2"/>
      <w:sz w:val="21"/>
      <w:szCs w:val="24"/>
    </w:rPr>
  </w:style>
  <w:style w:type="character" w:customStyle="1" w:styleId="73">
    <w:name w:val="批注框文本 字符"/>
    <w:semiHidden/>
    <w:qFormat/>
    <w:uiPriority w:val="99"/>
    <w:rPr>
      <w:rFonts w:ascii="宋体" w:hAnsi="宋体"/>
      <w:kern w:val="2"/>
      <w:sz w:val="18"/>
      <w:szCs w:val="18"/>
    </w:rPr>
  </w:style>
  <w:style w:type="character" w:customStyle="1" w:styleId="74">
    <w:name w:val="副标题 Char1"/>
    <w:qFormat/>
    <w:uiPriority w:val="0"/>
    <w:rPr>
      <w:rFonts w:ascii="Calibri Light" w:hAnsi="Calibri Light" w:cs="Times New Roman"/>
      <w:b/>
      <w:bCs/>
      <w:kern w:val="28"/>
      <w:sz w:val="32"/>
      <w:szCs w:val="32"/>
    </w:rPr>
  </w:style>
  <w:style w:type="character" w:customStyle="1" w:styleId="75">
    <w:name w:val="标题 1 字符1"/>
    <w:link w:val="2"/>
    <w:qFormat/>
    <w:uiPriority w:val="0"/>
    <w:rPr>
      <w:rFonts w:ascii="宋体" w:hAnsi="宋体" w:eastAsia="黑体"/>
      <w:b/>
      <w:bCs/>
      <w:kern w:val="44"/>
      <w:sz w:val="32"/>
      <w:szCs w:val="28"/>
    </w:rPr>
  </w:style>
  <w:style w:type="character" w:customStyle="1" w:styleId="76">
    <w:name w:val="批注文字 字符"/>
    <w:qFormat/>
    <w:uiPriority w:val="99"/>
    <w:rPr>
      <w:rFonts w:ascii="宋体" w:hAnsi="宋体"/>
      <w:kern w:val="2"/>
      <w:sz w:val="24"/>
      <w:szCs w:val="24"/>
    </w:rPr>
  </w:style>
  <w:style w:type="character" w:customStyle="1" w:styleId="77">
    <w:name w:val="文档结构图 字符"/>
    <w:semiHidden/>
    <w:qFormat/>
    <w:uiPriority w:val="99"/>
    <w:rPr>
      <w:rFonts w:ascii="Microsoft YaHei UI" w:hAnsi="宋体" w:eastAsia="Microsoft YaHei UI"/>
      <w:kern w:val="2"/>
      <w:sz w:val="18"/>
      <w:szCs w:val="18"/>
    </w:rPr>
  </w:style>
  <w:style w:type="character" w:customStyle="1" w:styleId="78">
    <w:name w:val="标题 6 字符"/>
    <w:semiHidden/>
    <w:qFormat/>
    <w:uiPriority w:val="9"/>
    <w:rPr>
      <w:rFonts w:ascii="等线 Light" w:hAnsi="等线 Light" w:eastAsia="等线 Light" w:cs="Times New Roman"/>
      <w:b/>
      <w:bCs/>
      <w:kern w:val="2"/>
      <w:sz w:val="24"/>
      <w:szCs w:val="24"/>
    </w:rPr>
  </w:style>
  <w:style w:type="character" w:customStyle="1" w:styleId="79">
    <w:name w:val="正文正文2 Char"/>
    <w:link w:val="80"/>
    <w:qFormat/>
    <w:uiPriority w:val="0"/>
    <w:rPr>
      <w:rFonts w:ascii="宋体" w:hAnsi="宋体"/>
      <w:kern w:val="2"/>
      <w:sz w:val="21"/>
      <w:szCs w:val="21"/>
    </w:rPr>
  </w:style>
  <w:style w:type="paragraph" w:customStyle="1" w:styleId="80">
    <w:name w:val="正文正文2"/>
    <w:basedOn w:val="1"/>
    <w:link w:val="79"/>
    <w:qFormat/>
    <w:uiPriority w:val="0"/>
    <w:pPr>
      <w:ind w:firstLine="460"/>
    </w:pPr>
    <w:rPr>
      <w:sz w:val="21"/>
      <w:szCs w:val="21"/>
    </w:rPr>
  </w:style>
  <w:style w:type="character" w:customStyle="1" w:styleId="81">
    <w:name w:val="标题 3 字符2"/>
    <w:link w:val="4"/>
    <w:qFormat/>
    <w:uiPriority w:val="0"/>
    <w:rPr>
      <w:rFonts w:ascii="宋体" w:hAnsi="宋体"/>
      <w:b/>
      <w:bCs/>
      <w:kern w:val="2"/>
      <w:sz w:val="28"/>
      <w:szCs w:val="28"/>
    </w:rPr>
  </w:style>
  <w:style w:type="character" w:customStyle="1" w:styleId="82">
    <w:name w:val="标题 4 字符"/>
    <w:semiHidden/>
    <w:qFormat/>
    <w:uiPriority w:val="9"/>
    <w:rPr>
      <w:rFonts w:ascii="等线 Light" w:hAnsi="等线 Light" w:eastAsia="等线 Light" w:cs="Times New Roman"/>
      <w:b/>
      <w:bCs/>
      <w:kern w:val="2"/>
      <w:sz w:val="28"/>
      <w:szCs w:val="28"/>
    </w:rPr>
  </w:style>
  <w:style w:type="character" w:customStyle="1" w:styleId="83">
    <w:name w:val="批注主题 字符1"/>
    <w:link w:val="34"/>
    <w:qFormat/>
    <w:uiPriority w:val="0"/>
    <w:rPr>
      <w:rFonts w:eastAsia="仿宋"/>
      <w:b/>
      <w:bCs/>
      <w:kern w:val="2"/>
      <w:sz w:val="21"/>
      <w:szCs w:val="24"/>
    </w:rPr>
  </w:style>
  <w:style w:type="character" w:customStyle="1" w:styleId="84">
    <w:name w:val="页眉 字符"/>
    <w:semiHidden/>
    <w:qFormat/>
    <w:uiPriority w:val="99"/>
    <w:rPr>
      <w:rFonts w:ascii="宋体" w:hAnsi="宋体"/>
      <w:kern w:val="2"/>
      <w:sz w:val="18"/>
      <w:szCs w:val="18"/>
    </w:rPr>
  </w:style>
  <w:style w:type="character" w:customStyle="1" w:styleId="85">
    <w:name w:val="正文文本缩进 字符1"/>
    <w:link w:val="17"/>
    <w:qFormat/>
    <w:uiPriority w:val="0"/>
    <w:rPr>
      <w:kern w:val="2"/>
      <w:sz w:val="21"/>
    </w:rPr>
  </w:style>
  <w:style w:type="character" w:customStyle="1" w:styleId="86">
    <w:name w:val="标题 5 字符1"/>
    <w:link w:val="6"/>
    <w:qFormat/>
    <w:uiPriority w:val="0"/>
    <w:rPr>
      <w:rFonts w:ascii="宋体" w:hAnsi="宋体"/>
      <w:b/>
      <w:bCs/>
      <w:kern w:val="2"/>
      <w:sz w:val="24"/>
      <w:szCs w:val="28"/>
    </w:rPr>
  </w:style>
  <w:style w:type="character" w:customStyle="1" w:styleId="87">
    <w:name w:val="副标题 字符1"/>
    <w:link w:val="28"/>
    <w:qFormat/>
    <w:uiPriority w:val="0"/>
    <w:rPr>
      <w:rFonts w:ascii="Calibri Light" w:hAnsi="Calibri Light"/>
      <w:b/>
      <w:bCs/>
      <w:kern w:val="28"/>
      <w:sz w:val="32"/>
      <w:szCs w:val="32"/>
    </w:rPr>
  </w:style>
  <w:style w:type="character" w:customStyle="1" w:styleId="88">
    <w:name w:val="标题 2 字符1"/>
    <w:link w:val="3"/>
    <w:qFormat/>
    <w:uiPriority w:val="9"/>
    <w:rPr>
      <w:rFonts w:ascii="宋体" w:hAnsi="宋体"/>
      <w:b/>
      <w:bCs/>
      <w:kern w:val="2"/>
      <w:sz w:val="30"/>
      <w:szCs w:val="32"/>
    </w:rPr>
  </w:style>
  <w:style w:type="character" w:customStyle="1" w:styleId="89">
    <w:name w:val="页脚 字符1"/>
    <w:link w:val="24"/>
    <w:qFormat/>
    <w:uiPriority w:val="99"/>
    <w:rPr>
      <w:kern w:val="2"/>
      <w:sz w:val="18"/>
      <w:szCs w:val="18"/>
    </w:rPr>
  </w:style>
  <w:style w:type="character" w:customStyle="1" w:styleId="90">
    <w:name w:val="批注主题 字符"/>
    <w:semiHidden/>
    <w:qFormat/>
    <w:uiPriority w:val="99"/>
    <w:rPr>
      <w:rFonts w:ascii="宋体" w:hAnsi="宋体"/>
      <w:b/>
      <w:bCs/>
      <w:kern w:val="2"/>
      <w:sz w:val="24"/>
      <w:szCs w:val="24"/>
    </w:rPr>
  </w:style>
  <w:style w:type="character" w:customStyle="1" w:styleId="91">
    <w:name w:val="文档结构图 字符1"/>
    <w:link w:val="14"/>
    <w:qFormat/>
    <w:uiPriority w:val="0"/>
    <w:rPr>
      <w:rFonts w:ascii="宋体"/>
      <w:kern w:val="2"/>
      <w:sz w:val="18"/>
      <w:szCs w:val="18"/>
    </w:rPr>
  </w:style>
  <w:style w:type="character" w:customStyle="1" w:styleId="92">
    <w:name w:val="font31"/>
    <w:qFormat/>
    <w:uiPriority w:val="0"/>
    <w:rPr>
      <w:rFonts w:hint="eastAsia" w:ascii="宋体" w:hAnsi="宋体" w:eastAsia="宋体" w:cs="宋体"/>
      <w:color w:val="000000"/>
      <w:sz w:val="21"/>
      <w:szCs w:val="21"/>
      <w:u w:val="none"/>
    </w:rPr>
  </w:style>
  <w:style w:type="character" w:customStyle="1" w:styleId="93">
    <w:name w:val="标准正文 Char"/>
    <w:link w:val="94"/>
    <w:qFormat/>
    <w:uiPriority w:val="0"/>
    <w:rPr>
      <w:rFonts w:ascii="Arial" w:hAnsi="Arial"/>
      <w:kern w:val="2"/>
      <w:sz w:val="24"/>
    </w:rPr>
  </w:style>
  <w:style w:type="paragraph" w:customStyle="1" w:styleId="94">
    <w:name w:val="标准正文"/>
    <w:basedOn w:val="17"/>
    <w:link w:val="93"/>
    <w:qFormat/>
    <w:uiPriority w:val="0"/>
    <w:pPr>
      <w:spacing w:before="60" w:after="60"/>
      <w:ind w:firstLine="482" w:firstLineChars="0"/>
    </w:pPr>
    <w:rPr>
      <w:rFonts w:ascii="Arial" w:hAnsi="Arial"/>
      <w:sz w:val="24"/>
    </w:rPr>
  </w:style>
  <w:style w:type="character" w:customStyle="1" w:styleId="95">
    <w:name w:val="标题 字符1"/>
    <w:link w:val="33"/>
    <w:qFormat/>
    <w:uiPriority w:val="0"/>
    <w:rPr>
      <w:rFonts w:ascii="Cambria" w:hAnsi="Cambria" w:eastAsia="黑体"/>
      <w:b/>
      <w:bCs/>
      <w:kern w:val="2"/>
      <w:sz w:val="52"/>
      <w:szCs w:val="32"/>
    </w:rPr>
  </w:style>
  <w:style w:type="character" w:customStyle="1" w:styleId="96">
    <w:name w:val="批注框文本 字符1"/>
    <w:link w:val="23"/>
    <w:qFormat/>
    <w:uiPriority w:val="0"/>
    <w:rPr>
      <w:kern w:val="2"/>
      <w:sz w:val="18"/>
      <w:szCs w:val="18"/>
    </w:rPr>
  </w:style>
  <w:style w:type="character" w:customStyle="1" w:styleId="97">
    <w:name w:val="页眉 字符1"/>
    <w:link w:val="25"/>
    <w:qFormat/>
    <w:uiPriority w:val="99"/>
    <w:rPr>
      <w:kern w:val="2"/>
      <w:sz w:val="18"/>
      <w:szCs w:val="18"/>
    </w:rPr>
  </w:style>
  <w:style w:type="character" w:customStyle="1" w:styleId="98">
    <w:name w:val="标题 8 字符"/>
    <w:link w:val="9"/>
    <w:qFormat/>
    <w:uiPriority w:val="9"/>
    <w:rPr>
      <w:rFonts w:ascii="Cambria" w:hAnsi="Cambria"/>
      <w:kern w:val="2"/>
      <w:sz w:val="21"/>
      <w:szCs w:val="24"/>
    </w:rPr>
  </w:style>
  <w:style w:type="character" w:customStyle="1" w:styleId="99">
    <w:name w:val="标题 6 字符1"/>
    <w:link w:val="7"/>
    <w:qFormat/>
    <w:uiPriority w:val="0"/>
    <w:rPr>
      <w:rFonts w:ascii="Cambria" w:hAnsi="Cambria"/>
      <w:b/>
      <w:bCs/>
      <w:kern w:val="2"/>
      <w:sz w:val="24"/>
      <w:szCs w:val="24"/>
    </w:rPr>
  </w:style>
  <w:style w:type="character" w:customStyle="1" w:styleId="100">
    <w:name w:val="标题 字符"/>
    <w:qFormat/>
    <w:uiPriority w:val="10"/>
    <w:rPr>
      <w:rFonts w:ascii="等线 Light" w:hAnsi="等线 Light" w:eastAsia="等线 Light" w:cs="Times New Roman"/>
      <w:b/>
      <w:bCs/>
      <w:kern w:val="2"/>
      <w:sz w:val="32"/>
      <w:szCs w:val="32"/>
    </w:rPr>
  </w:style>
  <w:style w:type="character" w:customStyle="1" w:styleId="101">
    <w:name w:val="副标题 字符"/>
    <w:qFormat/>
    <w:uiPriority w:val="11"/>
    <w:rPr>
      <w:rFonts w:ascii="等线" w:hAnsi="等线" w:eastAsia="等线" w:cs="Times New Roman"/>
      <w:b/>
      <w:bCs/>
      <w:kern w:val="28"/>
      <w:sz w:val="32"/>
      <w:szCs w:val="32"/>
    </w:rPr>
  </w:style>
  <w:style w:type="paragraph" w:customStyle="1" w:styleId="102">
    <w:name w:val="xl72"/>
    <w:basedOn w:val="1"/>
    <w:qFormat/>
    <w:uiPriority w:val="0"/>
    <w:pPr>
      <w:widowControl/>
      <w:spacing w:before="100" w:beforeAutospacing="1" w:after="100" w:afterAutospacing="1" w:line="240" w:lineRule="auto"/>
      <w:ind w:firstLine="0" w:firstLineChars="0"/>
      <w:jc w:val="center"/>
    </w:pPr>
    <w:rPr>
      <w:rFonts w:cs="宋体"/>
      <w:kern w:val="0"/>
    </w:rPr>
  </w:style>
  <w:style w:type="paragraph" w:customStyle="1" w:styleId="103">
    <w:name w:val="正文（深信服）"/>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104">
    <w:name w:val="xl70"/>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05">
    <w:name w:val="_Style 2"/>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paragraph" w:customStyle="1" w:styleId="106">
    <w:name w:val="正文缩进1"/>
    <w:basedOn w:val="1"/>
    <w:qFormat/>
    <w:uiPriority w:val="0"/>
    <w:pPr>
      <w:spacing w:line="240" w:lineRule="auto"/>
      <w:ind w:firstLine="420"/>
    </w:pPr>
    <w:rPr>
      <w:rFonts w:ascii="Times New Roman" w:hAnsi="Times New Roman"/>
      <w:sz w:val="21"/>
      <w:szCs w:val="20"/>
    </w:rPr>
  </w:style>
  <w:style w:type="paragraph" w:customStyle="1" w:styleId="107">
    <w:name w:val="xl68"/>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08">
    <w:name w:val="前言、引言标题"/>
    <w:next w:val="1"/>
    <w:qFormat/>
    <w:uiPriority w:val="99"/>
    <w:pPr>
      <w:shd w:val="clear" w:color="FFFFFF" w:fill="FFFFFF"/>
      <w:tabs>
        <w:tab w:val="left" w:pos="425"/>
      </w:tabs>
      <w:spacing w:before="640" w:after="560"/>
      <w:jc w:val="center"/>
      <w:outlineLvl w:val="0"/>
    </w:pPr>
    <w:rPr>
      <w:rFonts w:ascii="黑体" w:hAnsi="Times New Roman" w:eastAsia="黑体" w:cs="Times New Roman"/>
      <w:sz w:val="32"/>
      <w:lang w:val="en-US" w:eastAsia="zh-CN" w:bidi="ar-SA"/>
    </w:rPr>
  </w:style>
  <w:style w:type="paragraph" w:customStyle="1" w:styleId="109">
    <w:name w:val="Indent Normal"/>
    <w:basedOn w:val="1"/>
    <w:qFormat/>
    <w:uiPriority w:val="0"/>
    <w:pPr>
      <w:ind w:firstLine="150" w:firstLineChars="150"/>
    </w:pPr>
  </w:style>
  <w:style w:type="paragraph" w:customStyle="1" w:styleId="110">
    <w:name w:val="msonormal"/>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1">
    <w:name w:val="正文 缩进2字符"/>
    <w:basedOn w:val="1"/>
    <w:qFormat/>
    <w:uiPriority w:val="0"/>
    <w:pPr>
      <w:spacing w:afterLines="50" w:line="240" w:lineRule="auto"/>
      <w:ind w:firstLine="0" w:firstLineChars="0"/>
    </w:pPr>
    <w:rPr>
      <w:rFonts w:ascii="Times New Roman" w:hAnsi="Times New Roman" w:cs="宋体"/>
      <w:sz w:val="21"/>
      <w:szCs w:val="20"/>
    </w:rPr>
  </w:style>
  <w:style w:type="paragraph" w:customStyle="1" w:styleId="112">
    <w:name w:val="列项●（二级）"/>
    <w:qFormat/>
    <w:uiPriority w:val="0"/>
    <w:pPr>
      <w:numPr>
        <w:ilvl w:val="0"/>
        <w:numId w:val="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3">
    <w:name w:val="助手文本"/>
    <w:basedOn w:val="1"/>
    <w:qFormat/>
    <w:uiPriority w:val="0"/>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14">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15">
    <w:name w:val="段"/>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1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17">
    <w:name w:val="Char Char Char Char Char Char1 Char"/>
    <w:basedOn w:val="1"/>
    <w:qFormat/>
    <w:uiPriority w:val="0"/>
    <w:pPr>
      <w:widowControl/>
      <w:spacing w:after="160" w:line="240" w:lineRule="exact"/>
      <w:jc w:val="left"/>
    </w:pPr>
  </w:style>
  <w:style w:type="paragraph" w:customStyle="1" w:styleId="118">
    <w:name w:val="PM_Body"/>
    <w:basedOn w:val="1"/>
    <w:qFormat/>
    <w:locked/>
    <w:uiPriority w:val="0"/>
    <w:rPr>
      <w:szCs w:val="21"/>
    </w:rPr>
  </w:style>
  <w:style w:type="paragraph" w:customStyle="1" w:styleId="119">
    <w:name w:val="Char Char1"/>
    <w:basedOn w:val="1"/>
    <w:qFormat/>
    <w:uiPriority w:val="0"/>
    <w:pPr>
      <w:widowControl/>
      <w:spacing w:before="120" w:after="120"/>
    </w:pPr>
    <w:rPr>
      <w:rFonts w:ascii="Times New Roman" w:hAnsi="Times New Roman" w:cs="宋体"/>
    </w:rPr>
  </w:style>
  <w:style w:type="paragraph" w:customStyle="1" w:styleId="120">
    <w:name w:val="xl71"/>
    <w:basedOn w:val="1"/>
    <w:qFormat/>
    <w:uiPriority w:val="0"/>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1">
    <w:name w:val="Revision"/>
    <w:unhideWhenUsed/>
    <w:qFormat/>
    <w:uiPriority w:val="99"/>
    <w:rPr>
      <w:rFonts w:ascii="宋体" w:hAnsi="宋体" w:eastAsia="宋体" w:cs="Times New Roman"/>
      <w:kern w:val="2"/>
      <w:sz w:val="24"/>
      <w:szCs w:val="24"/>
      <w:lang w:val="en-US" w:eastAsia="zh-CN" w:bidi="ar-SA"/>
    </w:rPr>
  </w:style>
  <w:style w:type="paragraph" w:customStyle="1" w:styleId="122">
    <w:name w:val="列出段落2"/>
    <w:basedOn w:val="1"/>
    <w:qFormat/>
    <w:uiPriority w:val="0"/>
    <w:pPr>
      <w:spacing w:line="240" w:lineRule="auto"/>
      <w:ind w:firstLine="420"/>
    </w:pPr>
    <w:rPr>
      <w:rFonts w:ascii="等线" w:hAnsi="等线" w:eastAsia="等线" w:cs="等线"/>
      <w:sz w:val="21"/>
      <w:szCs w:val="21"/>
    </w:rPr>
  </w:style>
  <w:style w:type="paragraph" w:customStyle="1" w:styleId="123">
    <w:name w:val="xl69"/>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5">
    <w:name w:val="文档正文文本（中安网脉）"/>
    <w:basedOn w:val="1"/>
    <w:qFormat/>
    <w:uiPriority w:val="0"/>
    <w:pPr>
      <w:ind w:firstLine="200"/>
    </w:pPr>
    <w:rPr>
      <w:rFonts w:ascii="Times New Roman" w:hAnsi="Times New Roman" w:eastAsia="仿宋_GB2312"/>
      <w:color w:val="000000"/>
      <w:szCs w:val="28"/>
    </w:rPr>
  </w:style>
  <w:style w:type="paragraph" w:customStyle="1" w:styleId="126">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2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28">
    <w:name w:val="样式 行距: 1.5 倍行距 首行缩进:  2 字符"/>
    <w:basedOn w:val="1"/>
    <w:qFormat/>
    <w:uiPriority w:val="0"/>
    <w:pPr>
      <w:ind w:firstLine="560"/>
      <w:jc w:val="left"/>
    </w:pPr>
    <w:rPr>
      <w:rFonts w:ascii="仿宋" w:hAnsi="仿宋" w:eastAsia="仿宋" w:cs="宋体"/>
      <w:sz w:val="28"/>
      <w:szCs w:val="20"/>
    </w:rPr>
  </w:style>
  <w:style w:type="paragraph" w:customStyle="1" w:styleId="129">
    <w:name w:val="TOC Heading"/>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table" w:customStyle="1" w:styleId="130">
    <w:name w:val="!我的表格1"/>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1"/>
    <w:basedOn w:val="35"/>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标题 1 Char"/>
    <w:qFormat/>
    <w:uiPriority w:val="0"/>
    <w:rPr>
      <w:rFonts w:ascii="宋体" w:hAnsi="宋体" w:eastAsia="黑体"/>
      <w:b/>
      <w:bCs/>
      <w:kern w:val="44"/>
      <w:sz w:val="32"/>
      <w:szCs w:val="28"/>
    </w:rPr>
  </w:style>
  <w:style w:type="character" w:customStyle="1" w:styleId="133">
    <w:name w:val="纯文本 Char2"/>
    <w:qFormat/>
    <w:uiPriority w:val="0"/>
    <w:rPr>
      <w:rFonts w:ascii="宋体" w:hAnsi="宋体" w:eastAsia="宋体" w:cs="Times New Roman"/>
      <w:color w:val="000000"/>
      <w:kern w:val="0"/>
      <w:sz w:val="24"/>
      <w:szCs w:val="24"/>
    </w:rPr>
  </w:style>
  <w:style w:type="paragraph" w:customStyle="1" w:styleId="134">
    <w:name w:val="正文1"/>
    <w:basedOn w:val="1"/>
    <w:qFormat/>
    <w:uiPriority w:val="0"/>
    <w:pPr>
      <w:spacing w:line="360" w:lineRule="auto"/>
      <w:ind w:firstLine="200" w:firstLineChars="200"/>
    </w:pPr>
    <w:rPr>
      <w:sz w:val="24"/>
      <w:szCs w:val="28"/>
    </w:rPr>
  </w:style>
  <w:style w:type="paragraph" w:customStyle="1" w:styleId="135">
    <w:name w:val="2级标题"/>
    <w:basedOn w:val="3"/>
    <w:qFormat/>
    <w:uiPriority w:val="0"/>
    <w:pPr>
      <w:keepNext w:val="0"/>
      <w:keepLines w:val="0"/>
      <w:numPr>
        <w:ilvl w:val="1"/>
        <w:numId w:val="3"/>
      </w:numPr>
      <w:spacing w:before="0" w:after="100" w:line="240" w:lineRule="auto"/>
    </w:pPr>
    <w:rPr>
      <w:rFonts w:ascii="宋体"/>
      <w:sz w:val="28"/>
    </w:rPr>
  </w:style>
  <w:style w:type="paragraph" w:customStyle="1" w:styleId="136">
    <w:name w:val="Table Text"/>
    <w:basedOn w:val="1"/>
    <w:semiHidden/>
    <w:qFormat/>
    <w:uiPriority w:val="0"/>
    <w:rPr>
      <w:rFonts w:ascii="宋体" w:hAnsi="宋体" w:eastAsia="宋体" w:cs="宋体"/>
      <w:sz w:val="21"/>
      <w:szCs w:val="21"/>
      <w:lang w:val="en-US" w:eastAsia="en-US" w:bidi="ar-SA"/>
    </w:rPr>
  </w:style>
  <w:style w:type="table" w:customStyle="1" w:styleId="1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1D9AD641-0B16-48B9-B81A-C11DF304B1BF}">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8808</Words>
  <Characters>8942</Characters>
  <Lines>64</Lines>
  <Paragraphs>18</Paragraphs>
  <TotalTime>145</TotalTime>
  <ScaleCrop>false</ScaleCrop>
  <LinksUpToDate>false</LinksUpToDate>
  <CharactersWithSpaces>8954</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2022-12-24T17:54:00Z</dcterms:created>
  <dc:creator>gtig_tzb</dc:creator>
  <cp:lastModifiedBy>张姝雅</cp:lastModifiedBy>
  <cp:lastPrinted>2020-08-08T04:08:00Z</cp:lastPrinted>
  <dcterms:modified xsi:type="dcterms:W3CDTF">2025-07-09T08:58:23Z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0A1540C102C3848299BB6C68B269658D_43</vt:lpwstr>
  </property>
  <property fmtid="{D5CDD505-2E9C-101B-9397-08002B2CF9AE}" pid="4" name="KSOTemplateDocerSaveRecord">
    <vt:lpwstr>eyJoZGlkIjoiYWMyNTBmMzhjNTI2ZDdlYTI0NjI0MjdmMWJlNWZmNmUiLCJ1c2VySWQiOiI0NDI0NTIxODEifQ==</vt:lpwstr>
  </property>
</Properties>
</file>