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0BC11F">
      <w:pPr>
        <w:ind w:firstLine="0" w:firstLineChars="0"/>
        <w:jc w:val="center"/>
        <w:rPr>
          <w:rFonts w:hint="eastAsia" w:ascii="黑体" w:hAnsi="黑体" w:eastAsia="黑体"/>
          <w:sz w:val="48"/>
          <w:szCs w:val="48"/>
        </w:rPr>
      </w:pPr>
    </w:p>
    <w:p w14:paraId="5FFCB2A7">
      <w:pPr>
        <w:ind w:firstLine="0" w:firstLineChars="0"/>
        <w:jc w:val="center"/>
        <w:rPr>
          <w:rFonts w:hint="eastAsia" w:ascii="黑体" w:hAnsi="黑体" w:eastAsia="黑体"/>
          <w:sz w:val="48"/>
          <w:szCs w:val="48"/>
        </w:rPr>
      </w:pPr>
    </w:p>
    <w:p w14:paraId="7C5E9C30">
      <w:pPr>
        <w:ind w:firstLine="0" w:firstLineChars="0"/>
        <w:jc w:val="center"/>
        <w:rPr>
          <w:rFonts w:hint="eastAsia" w:ascii="黑体" w:hAnsi="黑体" w:eastAsia="黑体"/>
          <w:sz w:val="52"/>
          <w:szCs w:val="52"/>
        </w:rPr>
      </w:pPr>
      <w:r>
        <w:rPr>
          <w:rFonts w:hint="eastAsia" w:ascii="黑体" w:hAnsi="黑体" w:eastAsia="黑体"/>
          <w:sz w:val="52"/>
          <w:szCs w:val="52"/>
        </w:rPr>
        <w:t>健康信息网</w:t>
      </w:r>
      <w:r>
        <w:rPr>
          <w:rFonts w:ascii="黑体" w:hAnsi="黑体" w:eastAsia="黑体"/>
          <w:sz w:val="52"/>
          <w:szCs w:val="52"/>
        </w:rPr>
        <w:t>(2025年升级改造)</w:t>
      </w:r>
    </w:p>
    <w:p w14:paraId="549AD060">
      <w:pPr>
        <w:ind w:firstLine="0" w:firstLineChars="0"/>
        <w:jc w:val="center"/>
        <w:rPr>
          <w:rFonts w:hint="eastAsia" w:ascii="黑体" w:hAnsi="黑体" w:eastAsia="黑体"/>
          <w:sz w:val="52"/>
          <w:szCs w:val="52"/>
        </w:rPr>
      </w:pPr>
      <w:r>
        <w:rPr>
          <w:rFonts w:hint="eastAsia" w:ascii="黑体" w:hAnsi="黑体" w:eastAsia="黑体"/>
          <w:sz w:val="52"/>
          <w:szCs w:val="52"/>
        </w:rPr>
        <w:t>2025年度采购需求</w:t>
      </w:r>
    </w:p>
    <w:p w14:paraId="5238E54A">
      <w:pPr>
        <w:ind w:firstLine="0" w:firstLineChars="0"/>
        <w:jc w:val="center"/>
        <w:rPr>
          <w:rFonts w:hint="eastAsia" w:ascii="黑体" w:hAnsi="黑体" w:eastAsia="黑体"/>
          <w:sz w:val="72"/>
          <w:szCs w:val="72"/>
        </w:rPr>
      </w:pPr>
      <w:bookmarkStart w:id="0" w:name="_Hlk154588744"/>
    </w:p>
    <w:p w14:paraId="6BC12FBB">
      <w:pPr>
        <w:ind w:firstLine="0" w:firstLineChars="0"/>
        <w:jc w:val="center"/>
        <w:rPr>
          <w:rFonts w:hint="eastAsia" w:ascii="黑体" w:hAnsi="黑体" w:eastAsia="黑体"/>
          <w:sz w:val="48"/>
          <w:szCs w:val="48"/>
        </w:rPr>
      </w:pPr>
    </w:p>
    <w:p w14:paraId="6D510FB1">
      <w:pPr>
        <w:ind w:firstLine="0" w:firstLineChars="0"/>
        <w:jc w:val="center"/>
        <w:rPr>
          <w:rFonts w:hint="eastAsia" w:ascii="黑体" w:hAnsi="黑体" w:eastAsia="黑体"/>
          <w:sz w:val="52"/>
          <w:szCs w:val="52"/>
        </w:rPr>
      </w:pPr>
    </w:p>
    <w:p w14:paraId="59D3F5C1">
      <w:pPr>
        <w:ind w:firstLine="1040"/>
        <w:rPr>
          <w:rFonts w:hint="eastAsia" w:ascii="黑体" w:hAnsi="黑体" w:eastAsia="黑体"/>
          <w:sz w:val="52"/>
          <w:szCs w:val="52"/>
        </w:rPr>
      </w:pPr>
    </w:p>
    <w:p w14:paraId="3387E214">
      <w:pPr>
        <w:rPr>
          <w:rFonts w:hint="eastAsia"/>
        </w:rPr>
      </w:pPr>
    </w:p>
    <w:p w14:paraId="7EF8E17E">
      <w:pPr>
        <w:rPr>
          <w:rFonts w:hint="eastAsia"/>
        </w:rPr>
      </w:pPr>
    </w:p>
    <w:p w14:paraId="2CEFA2E0">
      <w:pPr>
        <w:rPr>
          <w:rFonts w:hint="eastAsia"/>
        </w:rPr>
      </w:pPr>
    </w:p>
    <w:p w14:paraId="004827D9">
      <w:pPr>
        <w:rPr>
          <w:rFonts w:hint="eastAsia"/>
        </w:rPr>
      </w:pPr>
    </w:p>
    <w:bookmarkEnd w:id="0"/>
    <w:p w14:paraId="6B2D5359">
      <w:pPr>
        <w:ind w:firstLine="640"/>
        <w:jc w:val="center"/>
        <w:rPr>
          <w:rFonts w:hint="eastAsia" w:ascii="黑体" w:hAnsi="黑体" w:eastAsia="黑体"/>
          <w:sz w:val="32"/>
          <w:szCs w:val="32"/>
        </w:rPr>
      </w:pPr>
      <w:bookmarkStart w:id="1" w:name="_Hlk154588734"/>
      <w:r>
        <w:rPr>
          <w:rFonts w:hint="eastAsia" w:ascii="黑体" w:hAnsi="黑体" w:eastAsia="黑体"/>
          <w:sz w:val="32"/>
          <w:szCs w:val="32"/>
        </w:rPr>
        <w:t>上海市大数据中心</w:t>
      </w:r>
    </w:p>
    <w:p w14:paraId="44E35AEB">
      <w:pPr>
        <w:ind w:firstLine="640"/>
        <w:jc w:val="center"/>
        <w:rPr>
          <w:rFonts w:hint="eastAsia" w:ascii="黑体" w:hAnsi="黑体" w:eastAsia="黑体"/>
          <w:sz w:val="32"/>
          <w:szCs w:val="32"/>
        </w:rPr>
      </w:pPr>
      <w:r>
        <w:rPr>
          <w:rFonts w:ascii="黑体" w:hAnsi="黑体" w:eastAsia="黑体"/>
          <w:sz w:val="32"/>
          <w:szCs w:val="32"/>
        </w:rPr>
        <w:t>202</w:t>
      </w:r>
      <w:r>
        <w:rPr>
          <w:rFonts w:hint="eastAsia" w:ascii="黑体" w:hAnsi="黑体" w:eastAsia="黑体"/>
          <w:sz w:val="32"/>
          <w:szCs w:val="32"/>
        </w:rPr>
        <w:t>5年2月</w:t>
      </w:r>
    </w:p>
    <w:bookmarkEnd w:id="1"/>
    <w:p w14:paraId="6123CCA6">
      <w:pPr>
        <w:ind w:firstLine="1040"/>
        <w:rPr>
          <w:rFonts w:hint="eastAsia" w:ascii="黑体" w:hAnsi="黑体" w:eastAsia="黑体"/>
          <w:sz w:val="52"/>
          <w:szCs w:val="52"/>
        </w:rPr>
      </w:pPr>
    </w:p>
    <w:p w14:paraId="1D75F5DF">
      <w:pPr>
        <w:jc w:val="center"/>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7BF9CE7E">
      <w:pPr>
        <w:pStyle w:val="2"/>
        <w:rPr>
          <w:rFonts w:hint="eastAsia"/>
        </w:rPr>
      </w:pPr>
      <w:bookmarkStart w:id="2" w:name="_Toc63785461"/>
      <w:r>
        <w:rPr>
          <w:rFonts w:hint="eastAsia"/>
        </w:rPr>
        <w:t>项目概况</w:t>
      </w:r>
      <w:bookmarkEnd w:id="2"/>
    </w:p>
    <w:p w14:paraId="3973B534">
      <w:pPr>
        <w:rPr>
          <w:rFonts w:hint="eastAsia"/>
        </w:rPr>
      </w:pPr>
      <w:r>
        <w:rPr>
          <w:rFonts w:hint="eastAsia"/>
        </w:rPr>
        <w:t>为贯彻落实</w:t>
      </w:r>
      <w:r>
        <w:t>健康中国战略</w:t>
      </w:r>
      <w:r>
        <w:rPr>
          <w:rFonts w:hint="eastAsia"/>
        </w:rPr>
        <w:t>，</w:t>
      </w:r>
      <w:r>
        <w:t>以党的二十大精神为指导，推进</w:t>
      </w:r>
      <w:r>
        <w:rPr>
          <w:rFonts w:hint="eastAsia"/>
        </w:rPr>
        <w:t>健康上海行动</w:t>
      </w:r>
      <w:r>
        <w:t>实施</w:t>
      </w:r>
      <w:r>
        <w:rPr>
          <w:rFonts w:hint="eastAsia"/>
        </w:rPr>
        <w:t>，按照《上海市卫生健康发展“十四五”规划》，市委、市政府《关于全面推进上海城市数字化转型的意见》</w:t>
      </w:r>
      <w:r>
        <w:t>等有关</w:t>
      </w:r>
      <w:r>
        <w:rPr>
          <w:rFonts w:hint="eastAsia"/>
        </w:rPr>
        <w:t>文件</w:t>
      </w:r>
      <w:r>
        <w:t>部署，根据市</w:t>
      </w:r>
      <w:r>
        <w:rPr>
          <w:rFonts w:hint="eastAsia"/>
        </w:rPr>
        <w:t>卫健委《数据要素赋能上海市卫生健康数字化转型工作方案</w:t>
      </w:r>
      <w:r>
        <w:t>(试行版)》</w:t>
      </w:r>
      <w:r>
        <w:rPr>
          <w:rFonts w:hint="eastAsia"/>
        </w:rPr>
        <w:t>等文件要求，以及市委主要领导在《关于促进本市健康医疗数据合规流通与利用的建议》上的批示，按照“</w:t>
      </w:r>
      <w:r>
        <w:t>充分融合、乘数赋能</w:t>
      </w:r>
      <w:r>
        <w:rPr>
          <w:rFonts w:hint="eastAsia"/>
        </w:rPr>
        <w:t>”、“能力汇聚，协同支撑”的总体思路，上海市提出建设卫生健康数据大平台。</w:t>
      </w:r>
    </w:p>
    <w:p w14:paraId="26FB686E">
      <w:pPr>
        <w:rPr>
          <w:rFonts w:hint="eastAsia"/>
        </w:rPr>
      </w:pPr>
      <w:r>
        <w:rPr>
          <w:rFonts w:hint="eastAsia"/>
        </w:rPr>
        <w:t>上海市卫生健康数据大平台以打造“国内数据最为丰富、最有潜力、最具价值的卫生健康数据大平台”为目标愿景，聚焦“居民健康信息服务、医疗资源建设、医院运行的管理、医保智慧监管、医学研究和生物医药研发、辅助决策”</w:t>
      </w:r>
      <w:r>
        <w:t>6大应用领域，以“数据归集、数据治理、数据应用”为抓手，为全市居民健康、产业发展、科技进步全面赋能。大平台在卫生健康信息网、申康平台、医保平台的数据应用基础上，以“记录一生、服务一生，无处不在、无时不享”为宗旨，赋能医疗、医药、医保，实现数据归集融合利用。</w:t>
      </w:r>
    </w:p>
    <w:p w14:paraId="15E203F4">
      <w:pPr>
        <w:rPr>
          <w:rFonts w:hint="eastAsia"/>
        </w:rPr>
      </w:pPr>
      <w:bookmarkStart w:id="3" w:name="_Hlk182474114"/>
      <w:r>
        <w:rPr>
          <w:rFonts w:hint="eastAsia"/>
        </w:rPr>
        <w:t>本项目赋能市级卫生健康大数据平台建设，针对健康信息网进行统一改造，对相关信息系统进行升级改造，同时新增</w:t>
      </w:r>
      <w:r>
        <w:t>应用场景，所有改造及新建内容按照统一数据标准进行改造，形成更全面更有价值的健康卫生数据，为后续各类跨部门跨层级应用提供支持。</w:t>
      </w:r>
    </w:p>
    <w:bookmarkEnd w:id="3"/>
    <w:p w14:paraId="1ABE5FC4">
      <w:pPr>
        <w:rPr>
          <w:rFonts w:hint="eastAsia"/>
        </w:rPr>
      </w:pPr>
      <w:r>
        <w:rPr>
          <w:rFonts w:hint="eastAsia"/>
        </w:rPr>
        <w:t>建设期限：</w:t>
      </w:r>
      <w:bookmarkStart w:id="4" w:name="_Hlk154585274"/>
      <w:r>
        <w:rPr>
          <w:rFonts w:hint="eastAsia"/>
        </w:rPr>
        <w:t>自</w:t>
      </w:r>
      <w:r>
        <w:rPr>
          <w:rFonts w:hint="eastAsia" w:cs="宋体"/>
        </w:rPr>
        <w:t>合同签订之日起至2026年3月31日</w:t>
      </w:r>
      <w:bookmarkEnd w:id="4"/>
    </w:p>
    <w:p w14:paraId="146C978E">
      <w:pPr>
        <w:rPr>
          <w:rFonts w:hint="eastAsia"/>
        </w:rPr>
      </w:pPr>
      <w:r>
        <w:rPr>
          <w:rFonts w:hint="eastAsia"/>
        </w:rPr>
        <w:t>建设地点：上海</w:t>
      </w:r>
    </w:p>
    <w:p w14:paraId="24FEE2A7">
      <w:pPr>
        <w:rPr>
          <w:rFonts w:hint="eastAsia"/>
        </w:rPr>
      </w:pPr>
      <w:r>
        <w:rPr>
          <w:rFonts w:hint="eastAsia"/>
        </w:rPr>
        <w:t>预算金额：</w:t>
      </w:r>
      <w:r>
        <w:t>15312500.00</w:t>
      </w:r>
      <w:r>
        <w:rPr>
          <w:rFonts w:hint="eastAsia"/>
        </w:rPr>
        <w:t>元</w:t>
      </w:r>
    </w:p>
    <w:p w14:paraId="6149DFC2">
      <w:pPr>
        <w:rPr>
          <w:rFonts w:hint="eastAsia"/>
        </w:rPr>
      </w:pPr>
      <w:r>
        <w:rPr>
          <w:rFonts w:hint="eastAsia"/>
        </w:rPr>
        <w:t>采购金额（最高限价）：</w:t>
      </w:r>
      <w:r>
        <w:t>15312500.00</w:t>
      </w:r>
      <w:r>
        <w:rPr>
          <w:rFonts w:hint="eastAsia"/>
        </w:rPr>
        <w:t>元</w:t>
      </w:r>
    </w:p>
    <w:p w14:paraId="6A19ED11">
      <w:pPr>
        <w:rPr>
          <w:rFonts w:hint="eastAsia"/>
        </w:rPr>
      </w:pPr>
      <w:r>
        <w:rPr>
          <w:rFonts w:hint="eastAsia"/>
        </w:rPr>
        <w:t>组织形式：集中采购</w:t>
      </w:r>
    </w:p>
    <w:p w14:paraId="7FA88BF9">
      <w:pPr>
        <w:rPr>
          <w:rFonts w:hint="eastAsia"/>
        </w:rPr>
      </w:pPr>
      <w:r>
        <w:rPr>
          <w:rFonts w:hint="eastAsia"/>
        </w:rPr>
        <w:t>采购方式：公开招标</w:t>
      </w:r>
    </w:p>
    <w:p w14:paraId="000ED7C1">
      <w:pPr>
        <w:rPr>
          <w:rFonts w:hint="eastAsia"/>
        </w:rPr>
      </w:pPr>
      <w:r>
        <w:rPr>
          <w:rFonts w:hint="eastAsia"/>
        </w:rPr>
        <w:t>是否接受联合体投标：否</w:t>
      </w:r>
    </w:p>
    <w:p w14:paraId="5477CA2C">
      <w:pPr>
        <w:rPr>
          <w:rFonts w:hint="eastAsia"/>
        </w:rPr>
      </w:pPr>
      <w:r>
        <w:t>是否按信创要求建设：是</w:t>
      </w:r>
    </w:p>
    <w:p w14:paraId="1293E9A2">
      <w:pPr>
        <w:rPr>
          <w:rFonts w:hint="eastAsia"/>
        </w:rPr>
      </w:pPr>
      <w:r>
        <w:rPr>
          <w:rFonts w:hint="eastAsia"/>
        </w:rPr>
        <w:t>运维后所属大系统：卫生健康行业专业管理大系统</w:t>
      </w:r>
    </w:p>
    <w:p w14:paraId="4F769F54">
      <w:pPr>
        <w:pStyle w:val="2"/>
        <w:rPr>
          <w:rFonts w:hint="eastAsia"/>
        </w:rPr>
      </w:pPr>
      <w:bookmarkStart w:id="5" w:name="_Toc47537134"/>
      <w:bookmarkEnd w:id="5"/>
      <w:bookmarkStart w:id="6" w:name="_Toc47539070"/>
      <w:bookmarkEnd w:id="6"/>
      <w:bookmarkStart w:id="7" w:name="_Toc47536272"/>
      <w:bookmarkEnd w:id="7"/>
      <w:bookmarkStart w:id="8" w:name="_Toc47533256"/>
      <w:bookmarkEnd w:id="8"/>
      <w:bookmarkStart w:id="9" w:name="_Toc47531634"/>
      <w:bookmarkEnd w:id="9"/>
      <w:bookmarkStart w:id="10" w:name="_Toc47532255"/>
      <w:bookmarkEnd w:id="10"/>
      <w:bookmarkStart w:id="11" w:name="_Toc47536644"/>
      <w:bookmarkEnd w:id="11"/>
      <w:bookmarkStart w:id="12" w:name="_Toc47532891"/>
      <w:bookmarkEnd w:id="12"/>
      <w:bookmarkStart w:id="13" w:name="_Toc63785463"/>
      <w:bookmarkStart w:id="14" w:name="_Toc48223882"/>
      <w:r>
        <w:rPr>
          <w:rFonts w:hint="eastAsia"/>
        </w:rPr>
        <w:t>建设目标</w:t>
      </w:r>
      <w:bookmarkEnd w:id="13"/>
      <w:bookmarkEnd w:id="14"/>
    </w:p>
    <w:p w14:paraId="14CB2B31">
      <w:pPr>
        <w:spacing w:line="560" w:lineRule="exact"/>
        <w:rPr>
          <w:rFonts w:hint="eastAsia"/>
        </w:rPr>
      </w:pPr>
      <w:r>
        <w:rPr>
          <w:rFonts w:hint="eastAsia"/>
        </w:rPr>
        <w:t>本项目赋能市级卫生健康大数据平台建设，针对健康信息网进行统一改造，围绕现有电子健康档案、医学检验互通互认、眼病防治、口腔健康相关信息系统进行升级改造，对现有应用进行</w:t>
      </w:r>
      <w:r>
        <w:t>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p w14:paraId="5144A9D4">
      <w:pPr>
        <w:spacing w:line="560" w:lineRule="exact"/>
        <w:rPr>
          <w:rFonts w:hint="eastAsia"/>
        </w:rPr>
      </w:pPr>
      <w:r>
        <w:rPr>
          <w:rFonts w:hint="eastAsia"/>
        </w:rPr>
        <w:t>同时新增居民疫苗服务、电子病历质控、医疗运营管理以及业财融合新应用场景，所有改造及新建内容按照统一数据标准进行改造，形成更全面更有价值的健康卫生数据，为后续各类跨部门跨层级应用提供支持。</w:t>
      </w:r>
    </w:p>
    <w:p w14:paraId="5233F83D">
      <w:pPr>
        <w:numPr>
          <w:ilvl w:val="0"/>
          <w:numId w:val="52"/>
        </w:numPr>
        <w:ind w:firstLineChars="0"/>
        <w:rPr>
          <w:rFonts w:hint="eastAsia"/>
          <w:b/>
          <w:color w:val="000000"/>
        </w:rPr>
      </w:pPr>
      <w:r>
        <w:rPr>
          <w:rFonts w:hint="eastAsia"/>
          <w:b/>
          <w:color w:val="000000"/>
        </w:rPr>
        <w:t>应用目标</w:t>
      </w:r>
    </w:p>
    <w:p w14:paraId="2EC72E47">
      <w:pPr>
        <w:spacing w:line="560" w:lineRule="exact"/>
        <w:rPr>
          <w:rFonts w:hint="eastAsia"/>
        </w:rPr>
      </w:pPr>
      <w:r>
        <w:rPr>
          <w:rFonts w:hint="eastAsia"/>
        </w:rPr>
        <w:t>1、</w:t>
      </w:r>
      <w:r>
        <w:t>为市民提供网上健康档案及检验检查报告查询服务，减少往返奔波；为市民提供网上预约、健康管理咨询等服务，方便患者就医和自我健康管理。</w:t>
      </w:r>
    </w:p>
    <w:p w14:paraId="2A4725C6">
      <w:pPr>
        <w:spacing w:line="560" w:lineRule="exact"/>
        <w:rPr>
          <w:rFonts w:hint="eastAsia"/>
        </w:rPr>
      </w:pPr>
      <w:r>
        <w:rPr>
          <w:rFonts w:hint="eastAsia"/>
        </w:rPr>
        <w:t>2、</w:t>
      </w:r>
      <w:r>
        <w:t>实现医疗机构之间的健康信息交换共享。各医疗机构之间信息交换包括同级医疗机构横向之间的信息交换共享与不同级别医疗机构纵向信息交换共享。实现两个“任何”</w:t>
      </w:r>
      <w:r>
        <w:rPr>
          <w:rFonts w:hint="eastAsia"/>
        </w:rPr>
        <w:t>，</w:t>
      </w:r>
      <w:r>
        <w:t>即任何一位在市内联网医疗机构就诊过的患者电子健康档案可以被任何一家联网医院的医务人员在业务规范制约下通过医生工作站进行调阅，通过掌握既往病史，提高诊治水平，减少医疗差错。</w:t>
      </w:r>
    </w:p>
    <w:p w14:paraId="0680D774">
      <w:pPr>
        <w:spacing w:line="560" w:lineRule="exact"/>
        <w:rPr>
          <w:rFonts w:hint="eastAsia"/>
        </w:rPr>
      </w:pPr>
      <w:r>
        <w:rPr>
          <w:rFonts w:hint="eastAsia"/>
        </w:rPr>
        <w:t>3、</w:t>
      </w:r>
      <w:r>
        <w:t>实现患者的全程管理。患者的主要监测指标实现全程跟踪。市级医院的慢性病患者就医信息及时传递到社区卫生服务中心的家庭医生，提高慢性病的管理率。</w:t>
      </w:r>
    </w:p>
    <w:p w14:paraId="17D62B4D">
      <w:pPr>
        <w:spacing w:line="560" w:lineRule="exact"/>
        <w:rPr>
          <w:rFonts w:hint="eastAsia"/>
        </w:rPr>
      </w:pPr>
      <w:r>
        <w:rPr>
          <w:rFonts w:hint="eastAsia"/>
        </w:rPr>
        <w:t>4、</w:t>
      </w:r>
      <w:r>
        <w:t>实现重复检验检查和用药智能提醒。在各医疗机构医生工作站实现联网医院内患者近期重复检验检查和用药信息的智能提醒，减少不必要的重复医疗，节约费用。</w:t>
      </w:r>
    </w:p>
    <w:p w14:paraId="0E47D841">
      <w:pPr>
        <w:spacing w:line="560" w:lineRule="exact"/>
        <w:rPr>
          <w:rFonts w:hint="eastAsia"/>
        </w:rPr>
      </w:pPr>
      <w:r>
        <w:rPr>
          <w:rFonts w:hint="eastAsia"/>
        </w:rPr>
        <w:t>5、</w:t>
      </w:r>
      <w:r>
        <w:t>实现医疗机构之间的院际协同医疗。实现三级医院对郊区和社区医疗机构的远程医疗咨询；建立医院之间的影像会诊、病理分析等协同医疗服务。</w:t>
      </w:r>
    </w:p>
    <w:p w14:paraId="754000B0">
      <w:pPr>
        <w:spacing w:line="560" w:lineRule="exact"/>
        <w:rPr>
          <w:rFonts w:hint="eastAsia"/>
        </w:rPr>
      </w:pPr>
      <w:r>
        <w:rPr>
          <w:rFonts w:hint="eastAsia"/>
        </w:rPr>
        <w:t>6、</w:t>
      </w:r>
      <w:r>
        <w:t>支撑医疗改革。为区域医疗联合体、和家庭医生制度的运作以及基本用药的使用分析和监管提供平台支撑和信息服务</w:t>
      </w:r>
      <w:r>
        <w:rPr>
          <w:rFonts w:hint="eastAsia"/>
        </w:rPr>
        <w:t>，</w:t>
      </w:r>
      <w:r>
        <w:t>为医院和社区卫生服务开展绩效考核提供信息服务。</w:t>
      </w:r>
    </w:p>
    <w:p w14:paraId="3367604A">
      <w:pPr>
        <w:numPr>
          <w:ilvl w:val="0"/>
          <w:numId w:val="52"/>
        </w:numPr>
        <w:ind w:firstLineChars="0"/>
        <w:rPr>
          <w:rFonts w:hint="eastAsia"/>
          <w:b/>
          <w:color w:val="000000"/>
        </w:rPr>
      </w:pPr>
      <w:bookmarkStart w:id="15" w:name="_Toc9088"/>
      <w:bookmarkStart w:id="16" w:name="_Toc127041852"/>
      <w:bookmarkStart w:id="17" w:name="_Toc15883"/>
      <w:bookmarkStart w:id="18" w:name="_Toc31992"/>
      <w:r>
        <w:rPr>
          <w:rFonts w:hint="eastAsia"/>
          <w:b/>
          <w:color w:val="000000"/>
        </w:rPr>
        <w:t>绩效目标</w:t>
      </w:r>
      <w:bookmarkEnd w:id="15"/>
      <w:bookmarkEnd w:id="16"/>
      <w:bookmarkEnd w:id="17"/>
      <w:bookmarkEnd w:id="18"/>
    </w:p>
    <w:p w14:paraId="1FE5D692">
      <w:pPr>
        <w:spacing w:line="560" w:lineRule="exact"/>
        <w:rPr>
          <w:rFonts w:hint="eastAsia"/>
        </w:rPr>
      </w:pPr>
      <w:r>
        <w:rPr>
          <w:rFonts w:hint="eastAsia"/>
        </w:rPr>
        <w:t>1、通过系统建设促进建立全市范围内医疗卫生健康数据融合、业务横向协同、纵向联动的工作机制，赋能卫生健康大平台居民服务、企业赋能、医疗管理、政府决策等应用场景。</w:t>
      </w:r>
    </w:p>
    <w:p w14:paraId="4F6550CA">
      <w:pPr>
        <w:spacing w:line="560" w:lineRule="exact"/>
        <w:rPr>
          <w:rFonts w:hint="eastAsia"/>
        </w:rPr>
      </w:pPr>
      <w:r>
        <w:rPr>
          <w:rFonts w:hint="eastAsia"/>
        </w:rPr>
        <w:t>2、对健康信息网进行统一改造，围绕现有电子健康档案、医学检验互通互认、眼病防治、口腔健康相关信息系统进行升级改造，对现有应用进行</w:t>
      </w:r>
      <w:r>
        <w:t>XC适配改造，开发适配密码应用功能模块，以实现网络和通信、设备和计算、应用和数据等层面的各密码应用功能。</w:t>
      </w:r>
    </w:p>
    <w:p w14:paraId="7CD94699">
      <w:pPr>
        <w:numPr>
          <w:ilvl w:val="0"/>
          <w:numId w:val="52"/>
        </w:numPr>
        <w:ind w:firstLineChars="0"/>
        <w:rPr>
          <w:rFonts w:hint="eastAsia"/>
          <w:b/>
          <w:color w:val="000000"/>
        </w:rPr>
      </w:pPr>
      <w:bookmarkStart w:id="19" w:name="_Toc7243"/>
      <w:bookmarkStart w:id="20" w:name="_Toc11560"/>
      <w:bookmarkStart w:id="21" w:name="_Toc11171"/>
      <w:bookmarkStart w:id="22" w:name="_Toc127041853"/>
      <w:r>
        <w:rPr>
          <w:rFonts w:hint="eastAsia"/>
          <w:b/>
          <w:color w:val="000000"/>
        </w:rPr>
        <w:t>技术目标</w:t>
      </w:r>
      <w:bookmarkEnd w:id="19"/>
      <w:bookmarkEnd w:id="20"/>
      <w:bookmarkEnd w:id="21"/>
      <w:bookmarkEnd w:id="22"/>
    </w:p>
    <w:p w14:paraId="36764708">
      <w:pPr>
        <w:pStyle w:val="164"/>
        <w:widowControl w:val="0"/>
        <w:numPr>
          <w:ilvl w:val="0"/>
          <w:numId w:val="53"/>
        </w:numPr>
        <w:ind w:firstLineChars="0"/>
        <w:jc w:val="both"/>
        <w:rPr>
          <w:rFonts w:hint="eastAsia" w:ascii="宋体" w:hAnsi="宋体" w:eastAsia="宋体"/>
          <w:kern w:val="2"/>
          <w:sz w:val="24"/>
          <w:szCs w:val="24"/>
        </w:rPr>
      </w:pPr>
      <w:r>
        <w:rPr>
          <w:rFonts w:hint="eastAsia" w:ascii="宋体" w:hAnsi="宋体" w:eastAsia="宋体"/>
          <w:sz w:val="24"/>
          <w:szCs w:val="24"/>
        </w:rPr>
        <w:t>支持总用户数不低于2000，</w:t>
      </w:r>
      <w:r>
        <w:rPr>
          <w:rFonts w:hint="eastAsia" w:ascii="宋体" w:hAnsi="宋体" w:eastAsia="宋体"/>
          <w:kern w:val="2"/>
          <w:sz w:val="24"/>
          <w:szCs w:val="24"/>
        </w:rPr>
        <w:t>并发量不低于300。</w:t>
      </w:r>
    </w:p>
    <w:p w14:paraId="728FC3A9">
      <w:pPr>
        <w:pStyle w:val="164"/>
        <w:widowControl w:val="0"/>
        <w:numPr>
          <w:ilvl w:val="0"/>
          <w:numId w:val="53"/>
        </w:numPr>
        <w:ind w:firstLineChars="0"/>
        <w:jc w:val="both"/>
        <w:rPr>
          <w:rFonts w:hint="eastAsia"/>
          <w:b/>
        </w:rPr>
      </w:pPr>
      <w:r>
        <w:rPr>
          <w:rFonts w:hint="eastAsia" w:ascii="宋体" w:hAnsi="宋体" w:eastAsia="宋体"/>
          <w:kern w:val="2"/>
          <w:sz w:val="24"/>
          <w:szCs w:val="24"/>
        </w:rPr>
        <w:t>平均页面加载时间不超过2秒，查询响应时间不超过3秒。</w:t>
      </w:r>
    </w:p>
    <w:p w14:paraId="10522EB9">
      <w:pPr>
        <w:pStyle w:val="2"/>
        <w:rPr>
          <w:rFonts w:hint="eastAsia"/>
        </w:rPr>
      </w:pPr>
      <w:bookmarkStart w:id="23" w:name="_Toc47537166"/>
      <w:bookmarkEnd w:id="23"/>
      <w:bookmarkStart w:id="24" w:name="_Toc47533288"/>
      <w:bookmarkEnd w:id="24"/>
      <w:bookmarkStart w:id="25" w:name="_Toc47536304"/>
      <w:bookmarkEnd w:id="25"/>
      <w:bookmarkStart w:id="26" w:name="_Toc47539102"/>
      <w:bookmarkEnd w:id="26"/>
      <w:bookmarkStart w:id="27" w:name="_Toc47536676"/>
      <w:bookmarkEnd w:id="27"/>
      <w:bookmarkStart w:id="28" w:name="_Toc47532923"/>
      <w:bookmarkEnd w:id="28"/>
      <w:r>
        <w:rPr>
          <w:rFonts w:hint="eastAsia"/>
        </w:rPr>
        <w:t>项目建设内容</w:t>
      </w:r>
    </w:p>
    <w:p w14:paraId="3BD71A4B">
      <w:pPr>
        <w:pStyle w:val="3"/>
        <w:rPr>
          <w:rFonts w:hint="eastAsia"/>
        </w:rPr>
      </w:pPr>
      <w:bookmarkStart w:id="29" w:name="_Toc88323290"/>
      <w:bookmarkStart w:id="30" w:name="_Toc27786"/>
      <w:bookmarkStart w:id="31" w:name="_Hlk152595640"/>
      <w:r>
        <w:rPr>
          <w:rFonts w:hint="eastAsia"/>
        </w:rPr>
        <w:t>项目整体架构</w:t>
      </w:r>
      <w:bookmarkEnd w:id="29"/>
      <w:bookmarkEnd w:id="30"/>
    </w:p>
    <w:bookmarkEnd w:id="31"/>
    <w:p w14:paraId="461873BB">
      <w:pPr>
        <w:rPr>
          <w:rFonts w:hint="eastAsia" w:cstheme="minorEastAsia"/>
        </w:rPr>
      </w:pPr>
      <w:r>
        <w:rPr>
          <w:rFonts w:hint="eastAsia" w:cstheme="minorEastAsia"/>
        </w:rPr>
        <w:t>本项目赋能市级卫生健康大数据平台建设，针对健康信息网进行统一改造，围绕现有电子健康档案、医学检验互通互认、眼病防治、口腔健康相关信息系统进行升级改造，对现有应用系统进行</w:t>
      </w:r>
      <w:r>
        <w:rPr>
          <w:rFonts w:cstheme="minorEastAsia"/>
        </w:rPr>
        <w:t>XC适配改造</w:t>
      </w:r>
      <w:r>
        <w:rPr>
          <w:rFonts w:hint="eastAsia" w:cstheme="minorEastAsia"/>
        </w:rPr>
        <w:t>.同时，新增居民疫苗服务、电子病历质控、医疗运营管理以及业财融合新应用场景，所有改造及新建内容按照统一数据标准进行改造，形成更全面更有价值的健康卫生数据，为后续各类跨部门跨层级应用提供支持。</w:t>
      </w:r>
    </w:p>
    <w:p w14:paraId="331CA786">
      <w:pPr>
        <w:pStyle w:val="164"/>
        <w:ind w:firstLine="0" w:firstLineChars="0"/>
        <w:rPr>
          <w:rFonts w:hint="eastAsia"/>
        </w:rPr>
      </w:pPr>
      <w:r>
        <w:drawing>
          <wp:inline distT="0" distB="0" distL="0" distR="0">
            <wp:extent cx="5278120" cy="2741930"/>
            <wp:effectExtent l="0" t="0" r="10160" b="1270"/>
            <wp:docPr id="14985590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59075"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0" cy="2741930"/>
                    </a:xfrm>
                    <a:prstGeom prst="rect">
                      <a:avLst/>
                    </a:prstGeom>
                  </pic:spPr>
                </pic:pic>
              </a:graphicData>
            </a:graphic>
          </wp:inline>
        </w:drawing>
      </w:r>
    </w:p>
    <w:p w14:paraId="6D538A4E">
      <w:pPr>
        <w:ind w:firstLine="0" w:firstLineChars="0"/>
        <w:rPr>
          <w:rFonts w:hint="eastAsia" w:cstheme="minorEastAsia"/>
        </w:rPr>
      </w:pP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4776"/>
        <w:gridCol w:w="1180"/>
      </w:tblGrid>
      <w:tr w14:paraId="5F18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2B972449">
            <w:pPr>
              <w:ind w:firstLine="0" w:firstLineChars="0"/>
              <w:rPr>
                <w:rFonts w:hint="eastAsia" w:cstheme="minorEastAsia"/>
                <w:b/>
                <w:bCs/>
              </w:rPr>
            </w:pPr>
            <w:r>
              <w:rPr>
                <w:rFonts w:hint="eastAsia" w:cstheme="minorEastAsia"/>
                <w:b/>
                <w:bCs/>
              </w:rPr>
              <w:t>序号</w:t>
            </w:r>
          </w:p>
        </w:tc>
        <w:tc>
          <w:tcPr>
            <w:tcW w:w="0" w:type="auto"/>
          </w:tcPr>
          <w:p w14:paraId="6581C5B0">
            <w:pPr>
              <w:ind w:firstLine="0" w:firstLineChars="0"/>
              <w:rPr>
                <w:rFonts w:hint="eastAsia" w:cstheme="minorEastAsia"/>
                <w:b/>
                <w:bCs/>
              </w:rPr>
            </w:pPr>
            <w:r>
              <w:rPr>
                <w:rFonts w:hint="eastAsia" w:cstheme="minorEastAsia"/>
                <w:b/>
                <w:bCs/>
              </w:rPr>
              <w:t>子系统名称</w:t>
            </w:r>
          </w:p>
        </w:tc>
        <w:tc>
          <w:tcPr>
            <w:tcW w:w="0" w:type="auto"/>
          </w:tcPr>
          <w:p w14:paraId="4D756C3D">
            <w:pPr>
              <w:ind w:firstLine="0" w:firstLineChars="0"/>
              <w:jc w:val="center"/>
              <w:rPr>
                <w:rFonts w:hint="eastAsia" w:cstheme="minorEastAsia"/>
                <w:b/>
                <w:bCs/>
              </w:rPr>
            </w:pPr>
            <w:r>
              <w:rPr>
                <w:rFonts w:hint="eastAsia" w:cstheme="minorEastAsia"/>
                <w:b/>
                <w:bCs/>
              </w:rPr>
              <w:t>建设方式</w:t>
            </w:r>
          </w:p>
        </w:tc>
      </w:tr>
      <w:tr w14:paraId="034B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18A409C1">
            <w:pPr>
              <w:ind w:firstLine="0" w:firstLineChars="0"/>
              <w:jc w:val="center"/>
              <w:rPr>
                <w:rFonts w:hint="eastAsia" w:cstheme="minorEastAsia"/>
              </w:rPr>
            </w:pPr>
            <w:r>
              <w:rPr>
                <w:rFonts w:hint="eastAsia" w:cstheme="minorEastAsia"/>
              </w:rPr>
              <w:t>1</w:t>
            </w:r>
          </w:p>
        </w:tc>
        <w:tc>
          <w:tcPr>
            <w:tcW w:w="0" w:type="auto"/>
          </w:tcPr>
          <w:p w14:paraId="285F0D77">
            <w:pPr>
              <w:ind w:firstLine="0" w:firstLineChars="0"/>
              <w:rPr>
                <w:rFonts w:hint="eastAsia" w:cstheme="minorEastAsia"/>
              </w:rPr>
            </w:pPr>
            <w:r>
              <w:rPr>
                <w:rFonts w:hint="eastAsia" w:cstheme="minorEastAsia"/>
              </w:rPr>
              <w:t>市级疾病预防控制业务应用系统</w:t>
            </w:r>
          </w:p>
        </w:tc>
        <w:tc>
          <w:tcPr>
            <w:tcW w:w="0" w:type="auto"/>
          </w:tcPr>
          <w:p w14:paraId="7A8CBDCD">
            <w:pPr>
              <w:ind w:firstLine="0" w:firstLineChars="0"/>
              <w:jc w:val="center"/>
              <w:rPr>
                <w:rFonts w:hint="eastAsia" w:cstheme="minorEastAsia"/>
              </w:rPr>
            </w:pPr>
            <w:r>
              <w:rPr>
                <w:rFonts w:hint="eastAsia" w:cstheme="minorEastAsia"/>
              </w:rPr>
              <w:t>升级改造</w:t>
            </w:r>
          </w:p>
        </w:tc>
      </w:tr>
      <w:tr w14:paraId="5445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C26350E">
            <w:pPr>
              <w:ind w:firstLine="0" w:firstLineChars="0"/>
              <w:jc w:val="center"/>
              <w:rPr>
                <w:rFonts w:hint="eastAsia" w:cstheme="minorEastAsia"/>
              </w:rPr>
            </w:pPr>
            <w:r>
              <w:rPr>
                <w:rFonts w:hint="eastAsia" w:cstheme="minorEastAsia"/>
              </w:rPr>
              <w:t>2</w:t>
            </w:r>
          </w:p>
        </w:tc>
        <w:tc>
          <w:tcPr>
            <w:tcW w:w="0" w:type="auto"/>
          </w:tcPr>
          <w:p w14:paraId="01DE852E">
            <w:pPr>
              <w:ind w:firstLine="0" w:firstLineChars="0"/>
              <w:rPr>
                <w:rFonts w:hint="eastAsia" w:cstheme="minorEastAsia"/>
              </w:rPr>
            </w:pPr>
            <w:r>
              <w:rPr>
                <w:rFonts w:hint="eastAsia" w:cstheme="minorEastAsia"/>
              </w:rPr>
              <w:t>健康协同服务</w:t>
            </w:r>
          </w:p>
        </w:tc>
        <w:tc>
          <w:tcPr>
            <w:tcW w:w="0" w:type="auto"/>
          </w:tcPr>
          <w:p w14:paraId="7ADE10E2">
            <w:pPr>
              <w:ind w:firstLine="0" w:firstLineChars="0"/>
              <w:jc w:val="center"/>
              <w:rPr>
                <w:rFonts w:hint="eastAsia" w:cstheme="minorEastAsia"/>
              </w:rPr>
            </w:pPr>
            <w:r>
              <w:rPr>
                <w:rFonts w:hint="eastAsia" w:cstheme="minorEastAsia"/>
              </w:rPr>
              <w:t>升级改造</w:t>
            </w:r>
          </w:p>
        </w:tc>
      </w:tr>
      <w:tr w14:paraId="26D5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tcPr>
          <w:p w14:paraId="1A93A3D9">
            <w:pPr>
              <w:ind w:firstLine="0" w:firstLineChars="0"/>
              <w:jc w:val="center"/>
              <w:rPr>
                <w:rFonts w:hint="eastAsia" w:cstheme="minorEastAsia"/>
              </w:rPr>
            </w:pPr>
            <w:r>
              <w:rPr>
                <w:rFonts w:hint="eastAsia" w:cstheme="minorEastAsia"/>
              </w:rPr>
              <w:t>3</w:t>
            </w:r>
          </w:p>
        </w:tc>
        <w:tc>
          <w:tcPr>
            <w:tcW w:w="0" w:type="auto"/>
          </w:tcPr>
          <w:p w14:paraId="1F9A39F4">
            <w:pPr>
              <w:ind w:firstLine="0" w:firstLineChars="0"/>
              <w:rPr>
                <w:rFonts w:hint="eastAsia" w:cstheme="minorEastAsia"/>
              </w:rPr>
            </w:pPr>
            <w:r>
              <w:rPr>
                <w:rFonts w:hint="eastAsia" w:cstheme="minorEastAsia"/>
              </w:rPr>
              <w:t>精神卫生业务系统</w:t>
            </w:r>
          </w:p>
        </w:tc>
        <w:tc>
          <w:tcPr>
            <w:tcW w:w="0" w:type="auto"/>
          </w:tcPr>
          <w:p w14:paraId="20016C1E">
            <w:pPr>
              <w:ind w:firstLine="0" w:firstLineChars="0"/>
              <w:jc w:val="center"/>
              <w:rPr>
                <w:rFonts w:hint="eastAsia" w:cstheme="minorEastAsia"/>
              </w:rPr>
            </w:pPr>
            <w:r>
              <w:rPr>
                <w:rFonts w:hint="eastAsia" w:cstheme="minorEastAsia"/>
              </w:rPr>
              <w:t>升级改造</w:t>
            </w:r>
          </w:p>
        </w:tc>
      </w:tr>
      <w:tr w14:paraId="66B6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2C71E8C">
            <w:pPr>
              <w:ind w:firstLine="0" w:firstLineChars="0"/>
              <w:jc w:val="center"/>
              <w:rPr>
                <w:rFonts w:hint="eastAsia" w:cstheme="minorEastAsia"/>
              </w:rPr>
            </w:pPr>
            <w:r>
              <w:rPr>
                <w:rFonts w:hint="eastAsia" w:cstheme="minorEastAsia"/>
              </w:rPr>
              <w:t>4</w:t>
            </w:r>
          </w:p>
        </w:tc>
        <w:tc>
          <w:tcPr>
            <w:tcW w:w="0" w:type="auto"/>
          </w:tcPr>
          <w:p w14:paraId="4053DC60">
            <w:pPr>
              <w:ind w:firstLine="0" w:firstLineChars="0"/>
              <w:rPr>
                <w:rFonts w:hint="eastAsia" w:cstheme="minorEastAsia"/>
              </w:rPr>
            </w:pPr>
            <w:r>
              <w:rPr>
                <w:rFonts w:hint="eastAsia" w:cstheme="minorEastAsia"/>
              </w:rPr>
              <w:t>疾控业务管理中心</w:t>
            </w:r>
          </w:p>
        </w:tc>
        <w:tc>
          <w:tcPr>
            <w:tcW w:w="0" w:type="auto"/>
          </w:tcPr>
          <w:p w14:paraId="5FACDEA6">
            <w:pPr>
              <w:ind w:firstLine="0" w:firstLineChars="0"/>
              <w:jc w:val="center"/>
              <w:rPr>
                <w:rFonts w:hint="eastAsia" w:cstheme="minorEastAsia"/>
              </w:rPr>
            </w:pPr>
            <w:r>
              <w:rPr>
                <w:rFonts w:hint="eastAsia" w:cstheme="minorEastAsia"/>
              </w:rPr>
              <w:t>升级改造</w:t>
            </w:r>
          </w:p>
        </w:tc>
      </w:tr>
      <w:tr w14:paraId="4491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36D8995">
            <w:pPr>
              <w:ind w:firstLine="0" w:firstLineChars="0"/>
              <w:jc w:val="center"/>
              <w:rPr>
                <w:rFonts w:hint="eastAsia" w:cstheme="minorEastAsia"/>
              </w:rPr>
            </w:pPr>
            <w:r>
              <w:rPr>
                <w:rFonts w:hint="eastAsia" w:cstheme="minorEastAsia"/>
              </w:rPr>
              <w:t>5</w:t>
            </w:r>
          </w:p>
        </w:tc>
        <w:tc>
          <w:tcPr>
            <w:tcW w:w="0" w:type="auto"/>
          </w:tcPr>
          <w:p w14:paraId="53BE8A62">
            <w:pPr>
              <w:ind w:firstLine="0" w:firstLineChars="0"/>
              <w:rPr>
                <w:rFonts w:hint="eastAsia" w:cstheme="minorEastAsia"/>
              </w:rPr>
            </w:pPr>
            <w:r>
              <w:rPr>
                <w:rFonts w:hint="eastAsia" w:cstheme="minorEastAsia"/>
              </w:rPr>
              <w:t>妇女保健业务管理</w:t>
            </w:r>
          </w:p>
        </w:tc>
        <w:tc>
          <w:tcPr>
            <w:tcW w:w="0" w:type="auto"/>
          </w:tcPr>
          <w:p w14:paraId="017FD51D">
            <w:pPr>
              <w:ind w:firstLine="0" w:firstLineChars="0"/>
              <w:jc w:val="center"/>
              <w:rPr>
                <w:rFonts w:hint="eastAsia" w:cstheme="minorEastAsia"/>
              </w:rPr>
            </w:pPr>
            <w:r>
              <w:rPr>
                <w:rFonts w:hint="eastAsia" w:cstheme="minorEastAsia"/>
              </w:rPr>
              <w:t>升级改造</w:t>
            </w:r>
          </w:p>
        </w:tc>
      </w:tr>
      <w:tr w14:paraId="67D18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110757A9">
            <w:pPr>
              <w:ind w:firstLine="0" w:firstLineChars="0"/>
              <w:jc w:val="center"/>
              <w:rPr>
                <w:rFonts w:hint="eastAsia" w:cstheme="minorEastAsia"/>
              </w:rPr>
            </w:pPr>
            <w:r>
              <w:rPr>
                <w:rFonts w:hint="eastAsia" w:cstheme="minorEastAsia"/>
              </w:rPr>
              <w:t>6</w:t>
            </w:r>
          </w:p>
        </w:tc>
        <w:tc>
          <w:tcPr>
            <w:tcW w:w="0" w:type="auto"/>
          </w:tcPr>
          <w:p w14:paraId="35CB2FAC">
            <w:pPr>
              <w:ind w:firstLine="0" w:firstLineChars="0"/>
              <w:rPr>
                <w:rFonts w:hint="eastAsia" w:cstheme="minorEastAsia"/>
              </w:rPr>
            </w:pPr>
            <w:r>
              <w:rPr>
                <w:rFonts w:hint="eastAsia" w:cstheme="minorEastAsia"/>
              </w:rPr>
              <w:t>儿童保健业务管理</w:t>
            </w:r>
          </w:p>
        </w:tc>
        <w:tc>
          <w:tcPr>
            <w:tcW w:w="0" w:type="auto"/>
          </w:tcPr>
          <w:p w14:paraId="42CC1A4C">
            <w:pPr>
              <w:ind w:firstLine="0" w:firstLineChars="0"/>
              <w:jc w:val="center"/>
              <w:rPr>
                <w:rFonts w:hint="eastAsia" w:cstheme="minorEastAsia"/>
              </w:rPr>
            </w:pPr>
            <w:r>
              <w:rPr>
                <w:rFonts w:hint="eastAsia" w:cstheme="minorEastAsia"/>
              </w:rPr>
              <w:t>升级改造</w:t>
            </w:r>
          </w:p>
        </w:tc>
      </w:tr>
      <w:tr w14:paraId="16E27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0" w:type="auto"/>
          </w:tcPr>
          <w:p w14:paraId="550EF99F">
            <w:pPr>
              <w:ind w:firstLine="0" w:firstLineChars="0"/>
              <w:jc w:val="center"/>
              <w:rPr>
                <w:rFonts w:hint="eastAsia" w:cstheme="minorEastAsia"/>
              </w:rPr>
            </w:pPr>
            <w:r>
              <w:rPr>
                <w:rFonts w:hint="eastAsia" w:cstheme="minorEastAsia"/>
              </w:rPr>
              <w:t>7</w:t>
            </w:r>
          </w:p>
        </w:tc>
        <w:tc>
          <w:tcPr>
            <w:tcW w:w="0" w:type="auto"/>
          </w:tcPr>
          <w:p w14:paraId="5F119A27">
            <w:pPr>
              <w:ind w:firstLine="0" w:firstLineChars="0"/>
              <w:rPr>
                <w:rFonts w:hint="eastAsia" w:cstheme="minorEastAsia"/>
              </w:rPr>
            </w:pPr>
            <w:r>
              <w:rPr>
                <w:rFonts w:hint="eastAsia" w:cstheme="minorEastAsia"/>
              </w:rPr>
              <w:t>上海市医学检验检查信息互联互通互认系统</w:t>
            </w:r>
          </w:p>
        </w:tc>
        <w:tc>
          <w:tcPr>
            <w:tcW w:w="0" w:type="auto"/>
          </w:tcPr>
          <w:p w14:paraId="4C3A1BF5">
            <w:pPr>
              <w:ind w:firstLine="0" w:firstLineChars="0"/>
              <w:jc w:val="center"/>
              <w:rPr>
                <w:rFonts w:hint="eastAsia" w:cstheme="minorEastAsia"/>
              </w:rPr>
            </w:pPr>
            <w:r>
              <w:rPr>
                <w:rFonts w:hint="eastAsia" w:cstheme="minorEastAsia"/>
              </w:rPr>
              <w:t>升级改造</w:t>
            </w:r>
          </w:p>
        </w:tc>
      </w:tr>
      <w:tr w14:paraId="013F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08F47D59">
            <w:pPr>
              <w:ind w:firstLine="0" w:firstLineChars="0"/>
              <w:jc w:val="center"/>
              <w:rPr>
                <w:rFonts w:hint="eastAsia" w:cstheme="minorEastAsia"/>
              </w:rPr>
            </w:pPr>
            <w:r>
              <w:rPr>
                <w:rFonts w:hint="eastAsia" w:cstheme="minorEastAsia"/>
              </w:rPr>
              <w:t>8</w:t>
            </w:r>
          </w:p>
        </w:tc>
        <w:tc>
          <w:tcPr>
            <w:tcW w:w="0" w:type="auto"/>
          </w:tcPr>
          <w:p w14:paraId="662F9173">
            <w:pPr>
              <w:ind w:firstLine="0" w:firstLineChars="0"/>
              <w:rPr>
                <w:rFonts w:hint="eastAsia" w:cstheme="minorEastAsia"/>
              </w:rPr>
            </w:pPr>
            <w:r>
              <w:rPr>
                <w:rFonts w:hint="eastAsia" w:cstheme="minorEastAsia"/>
              </w:rPr>
              <w:t>眼病防治信息系统</w:t>
            </w:r>
          </w:p>
        </w:tc>
        <w:tc>
          <w:tcPr>
            <w:tcW w:w="0" w:type="auto"/>
          </w:tcPr>
          <w:p w14:paraId="6046B7B1">
            <w:pPr>
              <w:ind w:firstLine="0" w:firstLineChars="0"/>
              <w:jc w:val="center"/>
              <w:rPr>
                <w:rFonts w:hint="eastAsia" w:cstheme="minorEastAsia"/>
              </w:rPr>
            </w:pPr>
            <w:r>
              <w:rPr>
                <w:rFonts w:hint="eastAsia" w:cstheme="minorEastAsia"/>
              </w:rPr>
              <w:t>升级改造</w:t>
            </w:r>
          </w:p>
        </w:tc>
      </w:tr>
      <w:tr w14:paraId="52C0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57CB2D6E">
            <w:pPr>
              <w:ind w:firstLine="0" w:firstLineChars="0"/>
              <w:jc w:val="center"/>
              <w:rPr>
                <w:rFonts w:hint="eastAsia" w:cstheme="minorEastAsia"/>
              </w:rPr>
            </w:pPr>
            <w:r>
              <w:rPr>
                <w:rFonts w:hint="eastAsia" w:cstheme="minorEastAsia"/>
              </w:rPr>
              <w:t>9</w:t>
            </w:r>
          </w:p>
        </w:tc>
        <w:tc>
          <w:tcPr>
            <w:tcW w:w="0" w:type="auto"/>
          </w:tcPr>
          <w:p w14:paraId="0273C405">
            <w:pPr>
              <w:ind w:firstLine="0" w:firstLineChars="0"/>
              <w:rPr>
                <w:rFonts w:hint="eastAsia" w:cstheme="minorEastAsia"/>
              </w:rPr>
            </w:pPr>
            <w:r>
              <w:rPr>
                <w:rFonts w:hint="eastAsia" w:cstheme="minorEastAsia"/>
              </w:rPr>
              <w:t>口腔健康信息系统</w:t>
            </w:r>
          </w:p>
        </w:tc>
        <w:tc>
          <w:tcPr>
            <w:tcW w:w="0" w:type="auto"/>
          </w:tcPr>
          <w:p w14:paraId="2DD93797">
            <w:pPr>
              <w:ind w:firstLine="0" w:firstLineChars="0"/>
              <w:jc w:val="center"/>
              <w:rPr>
                <w:rFonts w:hint="eastAsia" w:cstheme="minorEastAsia"/>
              </w:rPr>
            </w:pPr>
            <w:r>
              <w:rPr>
                <w:rFonts w:hint="eastAsia" w:cstheme="minorEastAsia"/>
              </w:rPr>
              <w:t>升级改造</w:t>
            </w:r>
          </w:p>
        </w:tc>
      </w:tr>
      <w:tr w14:paraId="02D2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0ACBB85C">
            <w:pPr>
              <w:ind w:firstLine="0" w:firstLineChars="0"/>
              <w:jc w:val="center"/>
              <w:rPr>
                <w:rFonts w:hint="eastAsia" w:cstheme="minorEastAsia"/>
              </w:rPr>
            </w:pPr>
            <w:r>
              <w:rPr>
                <w:rFonts w:hint="eastAsia" w:cstheme="minorEastAsia"/>
              </w:rPr>
              <w:t>10</w:t>
            </w:r>
          </w:p>
        </w:tc>
        <w:tc>
          <w:tcPr>
            <w:tcW w:w="0" w:type="auto"/>
          </w:tcPr>
          <w:p w14:paraId="7A12588C">
            <w:pPr>
              <w:ind w:firstLine="0" w:firstLineChars="0"/>
              <w:rPr>
                <w:rFonts w:hint="eastAsia" w:cstheme="minorEastAsia"/>
              </w:rPr>
            </w:pPr>
            <w:r>
              <w:rPr>
                <w:rFonts w:hint="eastAsia" w:cstheme="minorEastAsia"/>
              </w:rPr>
              <w:t>居民疫苗服务</w:t>
            </w:r>
          </w:p>
        </w:tc>
        <w:tc>
          <w:tcPr>
            <w:tcW w:w="0" w:type="auto"/>
          </w:tcPr>
          <w:p w14:paraId="6272195B">
            <w:pPr>
              <w:ind w:firstLine="0" w:firstLineChars="0"/>
              <w:jc w:val="center"/>
              <w:rPr>
                <w:rFonts w:hint="eastAsia" w:cstheme="minorEastAsia"/>
              </w:rPr>
            </w:pPr>
            <w:r>
              <w:rPr>
                <w:rFonts w:hint="eastAsia" w:cstheme="minorEastAsia"/>
              </w:rPr>
              <w:t>新建</w:t>
            </w:r>
          </w:p>
        </w:tc>
      </w:tr>
      <w:tr w14:paraId="1475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0CF6E805">
            <w:pPr>
              <w:ind w:firstLine="0" w:firstLineChars="0"/>
              <w:jc w:val="center"/>
              <w:rPr>
                <w:rFonts w:hint="eastAsia" w:cstheme="minorEastAsia"/>
              </w:rPr>
            </w:pPr>
            <w:r>
              <w:rPr>
                <w:rFonts w:hint="eastAsia" w:cstheme="minorEastAsia"/>
              </w:rPr>
              <w:t>11</w:t>
            </w:r>
          </w:p>
        </w:tc>
        <w:tc>
          <w:tcPr>
            <w:tcW w:w="0" w:type="auto"/>
          </w:tcPr>
          <w:p w14:paraId="7E860DB5">
            <w:pPr>
              <w:ind w:firstLine="0" w:firstLineChars="0"/>
              <w:rPr>
                <w:rFonts w:hint="eastAsia" w:cstheme="minorEastAsia"/>
              </w:rPr>
            </w:pPr>
            <w:r>
              <w:rPr>
                <w:rFonts w:hint="eastAsia" w:cs="宋体"/>
                <w:color w:val="000000"/>
                <w:kern w:val="0"/>
                <w:sz w:val="22"/>
                <w:szCs w:val="22"/>
              </w:rPr>
              <w:t>电子病史的内涵质控</w:t>
            </w:r>
          </w:p>
        </w:tc>
        <w:tc>
          <w:tcPr>
            <w:tcW w:w="0" w:type="auto"/>
          </w:tcPr>
          <w:p w14:paraId="2EC818BA">
            <w:pPr>
              <w:ind w:firstLine="0" w:firstLineChars="0"/>
              <w:jc w:val="center"/>
              <w:rPr>
                <w:rFonts w:hint="eastAsia" w:cstheme="minorEastAsia"/>
              </w:rPr>
            </w:pPr>
            <w:r>
              <w:rPr>
                <w:rFonts w:hint="eastAsia" w:cstheme="minorEastAsia"/>
              </w:rPr>
              <w:t>新建</w:t>
            </w:r>
          </w:p>
        </w:tc>
      </w:tr>
      <w:tr w14:paraId="3525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5D451F55">
            <w:pPr>
              <w:ind w:firstLine="0" w:firstLineChars="0"/>
              <w:jc w:val="center"/>
              <w:rPr>
                <w:rFonts w:hint="eastAsia" w:cstheme="minorEastAsia"/>
              </w:rPr>
            </w:pPr>
            <w:r>
              <w:rPr>
                <w:rFonts w:hint="eastAsia" w:cstheme="minorEastAsia"/>
              </w:rPr>
              <w:t>12</w:t>
            </w:r>
          </w:p>
        </w:tc>
        <w:tc>
          <w:tcPr>
            <w:tcW w:w="0" w:type="auto"/>
          </w:tcPr>
          <w:p w14:paraId="72EAFADD">
            <w:pPr>
              <w:ind w:firstLine="0" w:firstLineChars="0"/>
              <w:rPr>
                <w:rFonts w:hint="eastAsia" w:cs="宋体"/>
                <w:color w:val="000000"/>
                <w:kern w:val="0"/>
                <w:sz w:val="22"/>
                <w:szCs w:val="22"/>
              </w:rPr>
            </w:pPr>
            <w:r>
              <w:rPr>
                <w:rFonts w:hint="eastAsia" w:cs="宋体"/>
                <w:color w:val="000000"/>
                <w:kern w:val="0"/>
                <w:sz w:val="22"/>
                <w:szCs w:val="22"/>
              </w:rPr>
              <w:t>基于全面质量管理的医疗机构运行管理分析</w:t>
            </w:r>
          </w:p>
        </w:tc>
        <w:tc>
          <w:tcPr>
            <w:tcW w:w="0" w:type="auto"/>
          </w:tcPr>
          <w:p w14:paraId="4549A63B">
            <w:pPr>
              <w:ind w:firstLine="0" w:firstLineChars="0"/>
              <w:jc w:val="center"/>
              <w:rPr>
                <w:rFonts w:hint="eastAsia" w:cstheme="minorEastAsia"/>
              </w:rPr>
            </w:pPr>
            <w:r>
              <w:rPr>
                <w:rFonts w:hint="eastAsia" w:cstheme="minorEastAsia"/>
              </w:rPr>
              <w:t>新建</w:t>
            </w:r>
          </w:p>
        </w:tc>
      </w:tr>
      <w:tr w14:paraId="6004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4BF2B43">
            <w:pPr>
              <w:ind w:firstLine="0" w:firstLineChars="0"/>
              <w:jc w:val="center"/>
              <w:rPr>
                <w:rFonts w:hint="eastAsia" w:cstheme="minorEastAsia"/>
              </w:rPr>
            </w:pPr>
            <w:r>
              <w:rPr>
                <w:rFonts w:hint="eastAsia" w:cstheme="minorEastAsia"/>
              </w:rPr>
              <w:t>13</w:t>
            </w:r>
          </w:p>
        </w:tc>
        <w:tc>
          <w:tcPr>
            <w:tcW w:w="0" w:type="auto"/>
          </w:tcPr>
          <w:p w14:paraId="0F41DDFD">
            <w:pPr>
              <w:ind w:firstLine="0" w:firstLineChars="0"/>
              <w:rPr>
                <w:rFonts w:hint="eastAsia" w:cs="宋体"/>
                <w:color w:val="000000"/>
                <w:kern w:val="0"/>
                <w:sz w:val="22"/>
                <w:szCs w:val="22"/>
              </w:rPr>
            </w:pPr>
            <w:r>
              <w:rPr>
                <w:rFonts w:hint="eastAsia" w:cs="宋体"/>
                <w:color w:val="000000"/>
                <w:kern w:val="0"/>
                <w:sz w:val="22"/>
                <w:szCs w:val="22"/>
              </w:rPr>
              <w:t>财融合应用1.0</w:t>
            </w:r>
          </w:p>
        </w:tc>
        <w:tc>
          <w:tcPr>
            <w:tcW w:w="0" w:type="auto"/>
          </w:tcPr>
          <w:p w14:paraId="7207E18D">
            <w:pPr>
              <w:ind w:firstLine="0" w:firstLineChars="0"/>
              <w:jc w:val="center"/>
              <w:rPr>
                <w:rFonts w:hint="eastAsia" w:cstheme="minorEastAsia"/>
              </w:rPr>
            </w:pPr>
            <w:r>
              <w:rPr>
                <w:rFonts w:hint="eastAsia" w:cstheme="minorEastAsia"/>
              </w:rPr>
              <w:t>新建</w:t>
            </w:r>
          </w:p>
        </w:tc>
      </w:tr>
    </w:tbl>
    <w:p w14:paraId="5472658D">
      <w:pPr>
        <w:ind w:firstLine="0" w:firstLineChars="0"/>
        <w:rPr>
          <w:rFonts w:hint="eastAsia" w:cstheme="minorEastAsia"/>
        </w:rPr>
      </w:pPr>
    </w:p>
    <w:p w14:paraId="38EDCF3E">
      <w:pPr>
        <w:rPr>
          <w:rFonts w:hint="eastAsia" w:cstheme="minorEastAsia"/>
        </w:rPr>
      </w:pPr>
      <w:r>
        <w:rPr>
          <w:rFonts w:hint="eastAsia" w:ascii="宋体" w:hAnsi="宋体" w:eastAsia="宋体" w:cstheme="minorEastAsia"/>
        </w:rPr>
        <w:t>上海市健康信息网是上海市落实国务院《关于深化医药体制改革的意见》，作为“四梁八柱”之一推动卫生健康行业现代化治理的重要举措，旨在通过完善卫生基础信息系统，将相关信息互联互通，以市民的健康为核心，通过建立市民个体的电子健康档案，实现共享和协同，使医疗卫生机构能以人为本，从病人诊疗的历史出发，采取更经济、安全、有效、方便的手段，提高诊疗质量和效率，提高诊疗服务的公平性和有效性，减少不必要的资源浪费，提高服务质量，创新服务模式，提高服务能力；同时实现居民在就医时服务信息的公开，减少信息不对称引发的各类问题和矛盾。</w:t>
      </w:r>
      <w:r>
        <w:rPr>
          <w:rFonts w:hint="eastAsia" w:cstheme="minorEastAsia"/>
        </w:rPr>
        <w:t>结合上海市健康信息网对数据的的积累，健康信息网通过在政务外网范围内的互联互通，在全市推进了如下的业务应用：</w:t>
      </w:r>
    </w:p>
    <w:p w14:paraId="16344F93">
      <w:pPr>
        <w:rPr>
          <w:rFonts w:hint="eastAsia" w:cstheme="minorEastAsia"/>
        </w:rPr>
      </w:pPr>
      <w:r>
        <w:rPr>
          <w:rFonts w:hint="eastAsia" w:cstheme="minorEastAsia"/>
        </w:rPr>
        <w:t>（1）健康档案共享调阅</w:t>
      </w:r>
    </w:p>
    <w:p w14:paraId="6FDD69E7">
      <w:pPr>
        <w:rPr>
          <w:rFonts w:hint="eastAsia" w:cstheme="minorEastAsia"/>
        </w:rPr>
      </w:pPr>
      <w:r>
        <w:rPr>
          <w:rFonts w:hint="eastAsia" w:cstheme="minorEastAsia"/>
        </w:rPr>
        <w:t>在全市范围内实现健康档案信息共享的“两个任何”（即“任何一位在市内联网医疗机构就诊过的患者的电子健康档案可以被任何一家联网医院的医务人员在业务规范制约下通过医生工作站进行调阅），覆盖全市3.48万余台医生工作站，帮助医生全面、真实地了解患者病情。</w:t>
      </w:r>
    </w:p>
    <w:p w14:paraId="1C34C944">
      <w:pPr>
        <w:rPr>
          <w:rFonts w:hint="eastAsia" w:cstheme="minorEastAsia"/>
        </w:rPr>
      </w:pPr>
      <w:r>
        <w:rPr>
          <w:rFonts w:hint="eastAsia" w:cstheme="minorEastAsia"/>
        </w:rPr>
        <w:t>（2）统一就诊卡</w:t>
      </w:r>
    </w:p>
    <w:p w14:paraId="301A0368">
      <w:pPr>
        <w:rPr>
          <w:rFonts w:hint="eastAsia" w:cstheme="minorEastAsia"/>
        </w:rPr>
      </w:pPr>
      <w:r>
        <w:rPr>
          <w:rFonts w:hint="eastAsia" w:cstheme="minorEastAsia"/>
        </w:rPr>
        <w:t>居民身份唯一标识是上海健康信息网数据整合的基础，在平台构建过程中，除了将社保卡/医保卡作为患者身份的介质外，还出具《上海市统一自费就诊卡编码规范》、《上海市健康网统一自费就诊卡交易接口规范》特别针对各级医疗机构所发行的自费就诊卡进行了卡面及编码的规范，形成面向非上海的常住居民的统一就诊卡。</w:t>
      </w:r>
    </w:p>
    <w:p w14:paraId="71016E1E">
      <w:pPr>
        <w:rPr>
          <w:rFonts w:hint="eastAsia" w:cstheme="minorEastAsia"/>
        </w:rPr>
      </w:pPr>
      <w:r>
        <w:rPr>
          <w:rFonts w:hint="eastAsia" w:cstheme="minorEastAsia"/>
        </w:rPr>
        <w:t>（3）重复医疗行为监管</w:t>
      </w:r>
    </w:p>
    <w:p w14:paraId="5EEA5DB9">
      <w:pPr>
        <w:rPr>
          <w:rFonts w:hint="eastAsia" w:cstheme="minorEastAsia"/>
        </w:rPr>
      </w:pPr>
      <w:r>
        <w:rPr>
          <w:rFonts w:hint="eastAsia" w:cstheme="minorEastAsia"/>
        </w:rPr>
        <w:t>重复用药、重复检验检查是目前“看病贵”的重要推手，上海健康信息网建设过程中，除了“大而全”的健康档案外，还创新推动基于智能提示的“小而精”实时信息的推送，实现对临床重复医疗行为的有效干预，将平台的管理手段延伸到业务一线，以《上海市统一智能提示接口规范》的形式明确了对重复医疗行为的监管路径，在每次临床医生开具处方后，结合平台中患者的近期用药和检验检查数据实时对处方进行审核，对其中疑似重复的用药和检验检查进行提示，已成为预防过渡医疗的“第一关”。</w:t>
      </w:r>
    </w:p>
    <w:p w14:paraId="601A608A">
      <w:pPr>
        <w:rPr>
          <w:rFonts w:hint="eastAsia" w:cstheme="minorEastAsia"/>
        </w:rPr>
      </w:pPr>
      <w:r>
        <w:rPr>
          <w:rFonts w:hint="eastAsia" w:cstheme="minorEastAsia"/>
        </w:rPr>
        <w:t>（4）“1+1+1”分级诊疗</w:t>
      </w:r>
    </w:p>
    <w:p w14:paraId="6EF68245">
      <w:pPr>
        <w:rPr>
          <w:rFonts w:hint="eastAsia" w:cstheme="minorEastAsia"/>
        </w:rPr>
      </w:pPr>
      <w:r>
        <w:rPr>
          <w:rFonts w:hint="eastAsia" w:cstheme="minorEastAsia"/>
        </w:rPr>
        <w:t>面向居民提供的签约服务、预约转诊、延伸处方以及费用审核4项核心业务中，最受老百姓关注的医疗服务项目是延伸处方，根据上级医院用药医嘱，家庭医生开具与签约居民疾病相对应的、风险可控、毒副作用小、符合家庭医生处方权限、本市医保目录内的治疗性药品。该功能充分利用了健康信息网对全市各级医疗机构处方信息的采集与整合机制，将上级医院的处方共享给社区，社区在不改变用法用量的前提下完成抄方，最终通过药品供应商实现药品的配送上门，从而使患者不必到上级医院即可获得基本药物以外的药品，提升了家庭医生对居民的吸引力。</w:t>
      </w:r>
    </w:p>
    <w:p w14:paraId="01F07FBD">
      <w:pPr>
        <w:rPr>
          <w:rFonts w:hint="eastAsia"/>
        </w:rPr>
      </w:pPr>
      <w:r>
        <w:rPr>
          <w:rFonts w:hint="eastAsia"/>
        </w:rPr>
        <w:t>本项目将完成健康信息网的升级改造主要模块的建设任务，具体任务详见软件开发清单。</w:t>
      </w:r>
    </w:p>
    <w:p w14:paraId="02613414">
      <w:pPr>
        <w:pStyle w:val="3"/>
        <w:rPr>
          <w:rFonts w:hint="eastAsia"/>
        </w:rPr>
      </w:pPr>
      <w:bookmarkStart w:id="32" w:name="_Toc21992"/>
      <w:bookmarkStart w:id="33" w:name="_Hlk152595487"/>
      <w:bookmarkStart w:id="34" w:name="_Toc88323198"/>
      <w:bookmarkStart w:id="35" w:name="_Toc450817073"/>
      <w:r>
        <w:rPr>
          <w:rFonts w:hint="eastAsia"/>
        </w:rPr>
        <w:t>项目业务流程</w:t>
      </w:r>
      <w:bookmarkEnd w:id="32"/>
    </w:p>
    <w:bookmarkEnd w:id="33"/>
    <w:p w14:paraId="33C22B64">
      <w:pPr>
        <w:spacing w:line="560" w:lineRule="exact"/>
        <w:rPr>
          <w:rFonts w:hint="eastAsia"/>
        </w:rPr>
      </w:pPr>
      <w:r>
        <w:rPr>
          <w:rFonts w:hint="eastAsia"/>
          <w:color w:val="000000" w:themeColor="text1"/>
          <w14:textFill>
            <w14:solidFill>
              <w14:schemeClr w14:val="tx1"/>
            </w14:solidFill>
          </w14:textFill>
        </w:rPr>
        <w:t>上海健康信息网以市民健康管理为核心，实现人人享有电子健康档案，使公共卫生机构、医院、社区卫生中心、家庭医生和居民有效共享利用健康信息，为市民开展自我健康管理、享有方便、高效、优质的医疗卫生服务区提供信息支撑。依托市政务外网，围绕市级平台形成1+1+16市区两级交换平台（医联平台以及16个区县平台），实现对全市600多家公立医疗机构的对接，在全国率先实现公立医疗机构互联互通和数据共享。</w:t>
      </w:r>
    </w:p>
    <w:p w14:paraId="265AD8FD">
      <w:pPr>
        <w:spacing w:line="560" w:lineRule="exact"/>
        <w:rPr>
          <w:rFonts w:hint="eastAsia"/>
        </w:rPr>
      </w:pPr>
      <w:r>
        <w:rPr>
          <w:rFonts w:hint="eastAsia"/>
        </w:rPr>
        <w:t>通过建立以家庭医生为核心基于分级诊疗的处方延伸系统,针对签约居民（如符合诊断明确、用药效果明显、确需长期服用的药物）家庭医生可根据上级医疗机构用药医嘱延伸相同药品（毒麻精放、针剂、抗菌素等除外）。从而实现“小病在社区”，进一步提高居民与家庭医生的粘合度，为分级诊疗打下基础。</w:t>
      </w:r>
    </w:p>
    <w:bookmarkEnd w:id="34"/>
    <w:bookmarkEnd w:id="35"/>
    <w:p w14:paraId="579AFCFF">
      <w:pPr>
        <w:pStyle w:val="3"/>
        <w:rPr>
          <w:rFonts w:hint="eastAsia"/>
        </w:rPr>
      </w:pPr>
      <w:r>
        <w:rPr>
          <w:rFonts w:hint="eastAsia"/>
        </w:rPr>
        <w:t>项目技术路线</w:t>
      </w:r>
    </w:p>
    <w:p w14:paraId="6FE8A8C3">
      <w:pPr>
        <w:rPr>
          <w:rFonts w:hint="eastAsia"/>
        </w:rPr>
      </w:pPr>
      <w:r>
        <w:t>1</w:t>
      </w:r>
      <w:r>
        <w:rPr>
          <w:rFonts w:hint="eastAsia"/>
        </w:rPr>
        <w:t>、开发模式：</w:t>
      </w:r>
      <w:r>
        <w:t>前后端分离</w:t>
      </w:r>
      <w:r>
        <w:rPr>
          <w:rFonts w:hint="eastAsia"/>
        </w:rPr>
        <w:t>，前后端通过接口方式进行数据交互和通信。</w:t>
      </w:r>
    </w:p>
    <w:p w14:paraId="4B9F30C8">
      <w:pPr>
        <w:rPr>
          <w:rFonts w:hint="eastAsia"/>
        </w:rPr>
      </w:pPr>
      <w:r>
        <w:t>2</w:t>
      </w:r>
      <w:r>
        <w:rPr>
          <w:rFonts w:hint="eastAsia"/>
        </w:rPr>
        <w:t>、</w:t>
      </w:r>
      <w:r>
        <w:t>前端</w:t>
      </w:r>
      <w:r>
        <w:rPr>
          <w:rFonts w:hint="eastAsia"/>
        </w:rPr>
        <w:t>技术：使用</w:t>
      </w:r>
      <w:r>
        <w:t>H5</w:t>
      </w:r>
      <w:r>
        <w:rPr>
          <w:rFonts w:hint="eastAsia"/>
        </w:rPr>
        <w:t>和</w:t>
      </w:r>
      <w:r>
        <w:t>JavaScrip</w:t>
      </w:r>
      <w:r>
        <w:rPr>
          <w:rFonts w:hint="eastAsia"/>
        </w:rPr>
        <w:t>t框架</w:t>
      </w:r>
      <w:r>
        <w:t>开发，通过反向代理访问后端服务。</w:t>
      </w:r>
    </w:p>
    <w:p w14:paraId="351F50E2">
      <w:pPr>
        <w:rPr>
          <w:rFonts w:hint="eastAsia"/>
        </w:rPr>
      </w:pPr>
      <w:r>
        <w:t>3</w:t>
      </w:r>
      <w:r>
        <w:rPr>
          <w:rFonts w:hint="eastAsia"/>
        </w:rPr>
        <w:t>、</w:t>
      </w:r>
      <w:r>
        <w:t>后端</w:t>
      </w:r>
      <w:r>
        <w:rPr>
          <w:rFonts w:hint="eastAsia"/>
        </w:rPr>
        <w:t>技术：</w:t>
      </w:r>
      <w:r>
        <w:t>使用</w:t>
      </w:r>
      <w:r>
        <w:rPr>
          <w:rFonts w:hint="eastAsia"/>
        </w:rPr>
        <w:t>J</w:t>
      </w:r>
      <w:r>
        <w:t>ava开发，部署在</w:t>
      </w:r>
      <w:r>
        <w:rPr>
          <w:rFonts w:hint="eastAsia"/>
        </w:rPr>
        <w:t>国产</w:t>
      </w:r>
      <w:r>
        <w:t>服务</w:t>
      </w:r>
      <w:r>
        <w:rPr>
          <w:rFonts w:hint="eastAsia"/>
        </w:rPr>
        <w:t>容器</w:t>
      </w:r>
      <w:r>
        <w:t>中，对外提供服务。</w:t>
      </w:r>
    </w:p>
    <w:p w14:paraId="0D6EBAFB">
      <w:pPr>
        <w:ind w:firstLineChars="0"/>
        <w:rPr>
          <w:rFonts w:hint="eastAsia"/>
        </w:rPr>
      </w:pPr>
      <w:r>
        <w:t>4</w:t>
      </w:r>
      <w:r>
        <w:rPr>
          <w:rFonts w:hint="eastAsia"/>
        </w:rPr>
        <w:t>、数据库：国产信创数据库，如达梦等。</w:t>
      </w:r>
    </w:p>
    <w:p w14:paraId="6C07F098">
      <w:pPr>
        <w:ind w:firstLineChars="0"/>
        <w:rPr>
          <w:rFonts w:hint="eastAsia"/>
        </w:rPr>
      </w:pPr>
      <w:r>
        <w:t>5</w:t>
      </w:r>
      <w:r>
        <w:rPr>
          <w:rFonts w:hint="eastAsia"/>
        </w:rPr>
        <w:t>、操作系统：国产信创操作系统，如银河麒麟等。</w:t>
      </w:r>
    </w:p>
    <w:p w14:paraId="07A5E704">
      <w:pPr>
        <w:ind w:firstLineChars="0"/>
        <w:rPr>
          <w:rFonts w:hint="eastAsia"/>
        </w:rPr>
      </w:pPr>
      <w:r>
        <w:t>6</w:t>
      </w:r>
      <w:r>
        <w:rPr>
          <w:rFonts w:hint="eastAsia"/>
        </w:rPr>
        <w:t>、中间件：国产信创中间件，如国产TongWeb等。</w:t>
      </w:r>
    </w:p>
    <w:p w14:paraId="029C383C">
      <w:pPr>
        <w:ind w:firstLineChars="0"/>
        <w:rPr>
          <w:rFonts w:hint="eastAsia"/>
        </w:rPr>
      </w:pPr>
      <w:r>
        <w:rPr>
          <w:rFonts w:hint="eastAsia"/>
        </w:rPr>
        <w:t>7、身份认证：支持双因子方式身份鉴别。</w:t>
      </w:r>
    </w:p>
    <w:p w14:paraId="3E25F69E">
      <w:pPr>
        <w:ind w:firstLineChars="0"/>
        <w:rPr>
          <w:rFonts w:hint="eastAsia"/>
          <w:lang w:eastAsia="zh-Hans"/>
        </w:rPr>
      </w:pPr>
      <w:r>
        <w:t>8</w:t>
      </w:r>
      <w:r>
        <w:rPr>
          <w:rFonts w:hint="eastAsia"/>
        </w:rPr>
        <w:t>、加密技术：</w:t>
      </w:r>
      <w:r>
        <w:rPr>
          <w:rFonts w:hint="eastAsia"/>
          <w:lang w:eastAsia="zh-Hans"/>
        </w:rPr>
        <w:t>依托上海市政务云的安全认证网关建立基于国密算法的</w:t>
      </w:r>
      <w:r>
        <w:rPr>
          <w:lang w:eastAsia="zh-Hans"/>
        </w:rPr>
        <w:t>GMSSL安全信道，保护数据传输的</w:t>
      </w:r>
      <w:r>
        <w:rPr>
          <w:rFonts w:hint="eastAsia"/>
          <w:lang w:eastAsia="zh-Hans"/>
        </w:rPr>
        <w:t>保</w:t>
      </w:r>
      <w:r>
        <w:rPr>
          <w:lang w:eastAsia="zh-Hans"/>
        </w:rPr>
        <w:t>密性和完整性</w:t>
      </w:r>
      <w:r>
        <w:rPr>
          <w:rFonts w:hint="eastAsia"/>
          <w:lang w:eastAsia="zh-Hans"/>
        </w:rPr>
        <w:t>。</w:t>
      </w:r>
    </w:p>
    <w:p w14:paraId="5172D44E">
      <w:pPr>
        <w:ind w:firstLineChars="0"/>
        <w:rPr>
          <w:rFonts w:hint="eastAsia"/>
        </w:rPr>
      </w:pPr>
      <w:r>
        <w:t>9</w:t>
      </w:r>
      <w:r>
        <w:rPr>
          <w:rFonts w:hint="eastAsia"/>
        </w:rPr>
        <w:t>、安全要求：系统应通过第三方测评机构的软件测试、安全测评和密码应用测评，供应商应配合完成安全相关整改工作。</w:t>
      </w:r>
    </w:p>
    <w:p w14:paraId="3D479B10">
      <w:pPr>
        <w:pStyle w:val="3"/>
        <w:rPr>
          <w:rFonts w:hint="eastAsia"/>
        </w:rPr>
      </w:pPr>
      <w:r>
        <w:rPr>
          <w:rFonts w:hint="eastAsia"/>
        </w:rPr>
        <w:t>数据要求</w:t>
      </w:r>
    </w:p>
    <w:p w14:paraId="7F148FC6">
      <w:pPr>
        <w:rPr>
          <w:rFonts w:hint="eastAsia"/>
        </w:rPr>
      </w:pPr>
      <w:r>
        <w:rPr>
          <w:rFonts w:hint="eastAsia"/>
        </w:rPr>
        <w:t>1、数据库设计文档中，原则上应包括新增/升级改造的二级功能模块对应的数据库表。</w:t>
      </w:r>
    </w:p>
    <w:p w14:paraId="52DC8C66">
      <w:pPr>
        <w:rPr>
          <w:rFonts w:hint="eastAsia"/>
        </w:rPr>
      </w:pPr>
      <w:r>
        <w:rPr>
          <w:rFonts w:hint="eastAsia"/>
        </w:rPr>
        <w:t>2、新增/升级改造的业务功能模块涉及的业务对象、业务结果的数据库表应完成数据编目上链。</w:t>
      </w:r>
    </w:p>
    <w:p w14:paraId="72030D6D">
      <w:pPr>
        <w:rPr>
          <w:rFonts w:hint="eastAsia"/>
        </w:rPr>
      </w:pPr>
      <w:r>
        <w:rPr>
          <w:rFonts w:hint="eastAsia"/>
        </w:rPr>
        <w:t>3、数据目录名称应符合上海市《公共数据上链实施指南》数据资源命名规范。数据目录中的数据项应包含数据库表的核心数据项，其核心数据项应包含业务主体（人、企、事、产品、地址）、主体唯一标识、时间等关键信息。</w:t>
      </w:r>
    </w:p>
    <w:p w14:paraId="7A270FC5">
      <w:pPr>
        <w:rPr>
          <w:rFonts w:hint="eastAsia"/>
        </w:rPr>
      </w:pPr>
      <w:r>
        <w:rPr>
          <w:rFonts w:hint="eastAsia"/>
        </w:rPr>
        <w:t>4、配合完成业务数据标准编制，并按照相关管理规则和技术规范完成数据归集。</w:t>
      </w:r>
    </w:p>
    <w:p w14:paraId="4794FE77">
      <w:pPr>
        <w:pStyle w:val="3"/>
        <w:rPr>
          <w:rFonts w:hint="eastAsia"/>
        </w:rPr>
      </w:pPr>
      <w:r>
        <w:rPr>
          <w:rFonts w:hint="eastAsia"/>
        </w:rPr>
        <w:t>项目部署环境</w:t>
      </w:r>
    </w:p>
    <w:p w14:paraId="39F2E57C">
      <w:pPr>
        <w:rPr>
          <w:rFonts w:hint="eastAsia"/>
        </w:rPr>
      </w:pPr>
      <w:r>
        <w:rPr>
          <w:rFonts w:hint="eastAsia"/>
        </w:rPr>
        <w:t>本项目全面依托上海市电子政务云建设，包括云服务器、存储、网络等基础设施由市电子政务云统一提供。系统需依据信创要求实现，按照上海市电子政务云相关管理要求，以及项目安全及密码应用需要完成环境及应用部署。</w:t>
      </w:r>
    </w:p>
    <w:p w14:paraId="365AA01D">
      <w:pPr>
        <w:pStyle w:val="3"/>
        <w:rPr>
          <w:rFonts w:hint="eastAsia"/>
        </w:rPr>
      </w:pPr>
      <w:r>
        <w:rPr>
          <w:rFonts w:hint="eastAsia"/>
        </w:rPr>
        <w:t>项目建设内容</w:t>
      </w:r>
    </w:p>
    <w:p w14:paraId="4DBD38C0">
      <w:pPr>
        <w:widowControl/>
        <w:snapToGrid w:val="0"/>
        <w:spacing w:line="440" w:lineRule="exact"/>
        <w:rPr>
          <w:rFonts w:hint="eastAsia"/>
        </w:rPr>
      </w:pPr>
      <w:r>
        <w:t>根据卫生健康数据大平台统一数据标准，</w:t>
      </w:r>
      <w:r>
        <w:rPr>
          <w:rFonts w:hint="eastAsia"/>
        </w:rPr>
        <w:t>对健康信息网</w:t>
      </w:r>
      <w:r>
        <w:t>进行配套改造</w:t>
      </w:r>
      <w:r>
        <w:rPr>
          <w:rFonts w:hint="eastAsia"/>
        </w:rPr>
        <w:t>，</w:t>
      </w:r>
      <w:r>
        <w:t>完成现有系统的信创及密码改造；其中</w:t>
      </w:r>
      <w:r>
        <w:rPr>
          <w:rFonts w:hint="eastAsia"/>
        </w:rPr>
        <w:t>（</w:t>
      </w:r>
      <w:r>
        <w:t>1）升级改造部分涉及：基于市民电子健康档案的卫生信息化工程升级改造、上海市医学检验检查信息互联互通互认系统升级改造、眼病防治信息系统升级改造、口腔健康信息系统升级改造；</w:t>
      </w:r>
      <w:r>
        <w:rPr>
          <w:rFonts w:hint="eastAsia"/>
        </w:rPr>
        <w:t>（</w:t>
      </w:r>
      <w:r>
        <w:t>2）新增应用涉及：居民疫苗服务、</w:t>
      </w:r>
      <w:r>
        <w:rPr>
          <w:rFonts w:hint="eastAsia"/>
        </w:rPr>
        <w:t>电子病史的内涵质控</w:t>
      </w:r>
      <w:r>
        <w:t>、基于高质量发展的医疗机构运营管理分析、业财融合1.0应用建设。</w:t>
      </w:r>
    </w:p>
    <w:p w14:paraId="6F36EAC6">
      <w:pPr>
        <w:widowControl/>
        <w:snapToGrid w:val="0"/>
        <w:spacing w:line="440" w:lineRule="exact"/>
        <w:rPr>
          <w:rFonts w:hint="eastAsia"/>
        </w:rPr>
      </w:pPr>
      <w:r>
        <w:rPr>
          <w:rFonts w:hint="eastAsia"/>
        </w:rPr>
        <w:t>1、基于市民电子健康档案的卫生信息化工程升级改造</w:t>
      </w:r>
    </w:p>
    <w:p w14:paraId="28D9A3A5">
      <w:pPr>
        <w:rPr>
          <w:rFonts w:hint="eastAsia" w:cstheme="minorEastAsia"/>
        </w:rPr>
      </w:pPr>
      <w:r>
        <w:rPr>
          <w:rFonts w:hint="eastAsia" w:cstheme="minorEastAsia"/>
        </w:rPr>
        <w:t>针对市级疾病预防控制业务应用系统、健康协同服务、精神卫生业务系统、妇女保健信息系统、儿童保健信息系统等实施信创改造，对现有应用进行</w:t>
      </w:r>
      <w:r>
        <w:rPr>
          <w:rFonts w:cstheme="minorEastAsia"/>
        </w:rPr>
        <w:t>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p w14:paraId="4067B234">
      <w:pPr>
        <w:widowControl/>
        <w:snapToGrid w:val="0"/>
        <w:spacing w:line="440" w:lineRule="exact"/>
        <w:rPr>
          <w:rFonts w:hint="eastAsia"/>
        </w:rPr>
      </w:pPr>
      <w:r>
        <w:rPr>
          <w:rFonts w:hint="eastAsia"/>
        </w:rPr>
        <w:t>2、上海市医学检验检查信息互联互通互认系统升级改造</w:t>
      </w:r>
    </w:p>
    <w:p w14:paraId="652C56BF">
      <w:pPr>
        <w:rPr>
          <w:rFonts w:hint="eastAsia"/>
        </w:rPr>
      </w:pPr>
      <w:r>
        <w:rPr>
          <w:rFonts w:hint="eastAsia" w:cstheme="minorEastAsia"/>
        </w:rPr>
        <w:t>针对互认规则管理、互认日志管理、互认影像注册索引服务、互认影像共享交换服务、互认调阅代理转发服务、互认报告调阅接口服务、互认影像调阅服务、互认服务监管、互认影像管理服务等实施信创改造，对现有应用进行</w:t>
      </w:r>
      <w:r>
        <w:rPr>
          <w:rFonts w:cstheme="minorEastAsia"/>
        </w:rPr>
        <w:t>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p w14:paraId="7108BFC4">
      <w:pPr>
        <w:widowControl/>
        <w:snapToGrid w:val="0"/>
        <w:spacing w:line="440" w:lineRule="exact"/>
        <w:rPr>
          <w:rFonts w:hint="eastAsia"/>
        </w:rPr>
      </w:pPr>
      <w:r>
        <w:rPr>
          <w:rFonts w:hint="eastAsia"/>
        </w:rPr>
        <w:t>3、眼病防治信息系统升级改造</w:t>
      </w:r>
    </w:p>
    <w:p w14:paraId="77B1AEFF">
      <w:pPr>
        <w:rPr>
          <w:rFonts w:hint="eastAsia"/>
        </w:rPr>
      </w:pPr>
      <w:r>
        <w:rPr>
          <w:rFonts w:hint="eastAsia" w:cstheme="minorEastAsia"/>
        </w:rPr>
        <w:t>辖区开设眼科门诊的医疗机构，全年开展急性结膜炎管理。监测定点医院填报的门急诊病例信息，管理医生填报的门急诊病例信息等；实现对实验室结果的管理；根据急性结膜炎业务管理需求，实现急性结膜炎报表管理；若发现病原学检测阳性后实时向传染病直报系统推送阳性病例信息。</w:t>
      </w:r>
    </w:p>
    <w:p w14:paraId="769362F2">
      <w:pPr>
        <w:widowControl/>
        <w:snapToGrid w:val="0"/>
        <w:spacing w:line="440" w:lineRule="exact"/>
        <w:rPr>
          <w:rFonts w:hint="eastAsia"/>
        </w:rPr>
      </w:pPr>
      <w:r>
        <w:rPr>
          <w:rFonts w:hint="eastAsia"/>
        </w:rPr>
        <w:t>4、口腔健康信息系统升级改造</w:t>
      </w:r>
    </w:p>
    <w:p w14:paraId="0F47D6ED">
      <w:pPr>
        <w:rPr>
          <w:rFonts w:hint="eastAsia" w:cstheme="minorEastAsia"/>
        </w:rPr>
      </w:pPr>
      <w:r>
        <w:rPr>
          <w:rFonts w:hint="eastAsia" w:cstheme="minorEastAsia"/>
        </w:rPr>
        <w:t>定期对社区采集的学生口腔健康管理信息的完整性和合理性进行督查；对社区卫生服务中心进行督导与考核。</w:t>
      </w:r>
      <w:r>
        <w:rPr>
          <w:rFonts w:cstheme="minorEastAsia"/>
        </w:rPr>
        <w:t>按不同的统计维度进行统计，包括学生和成人涂氟记录、检查记录、外院诊疗记录等；</w:t>
      </w:r>
      <w:r>
        <w:rPr>
          <w:rFonts w:hint="eastAsia" w:cstheme="minorEastAsia"/>
        </w:rPr>
        <w:t>对多张报表进行统计分析。对成人建卡进行管理；</w:t>
      </w:r>
      <w:r>
        <w:rPr>
          <w:rFonts w:cstheme="minorEastAsia"/>
        </w:rPr>
        <w:t>增加转诊模块</w:t>
      </w:r>
      <w:r>
        <w:rPr>
          <w:rFonts w:hint="eastAsia" w:cstheme="minorEastAsia"/>
        </w:rPr>
        <w:t>；实现外院就诊数据对接。</w:t>
      </w:r>
    </w:p>
    <w:p w14:paraId="520D030F">
      <w:pPr>
        <w:widowControl/>
        <w:snapToGrid w:val="0"/>
        <w:spacing w:line="440" w:lineRule="exact"/>
        <w:rPr>
          <w:rFonts w:hint="eastAsia"/>
        </w:rPr>
      </w:pPr>
      <w:r>
        <w:rPr>
          <w:rFonts w:hint="eastAsia"/>
        </w:rPr>
        <w:t>5、居民疫苗服务</w:t>
      </w:r>
    </w:p>
    <w:p w14:paraId="583B42CB">
      <w:pPr>
        <w:rPr>
          <w:rFonts w:hint="eastAsia" w:cstheme="minorEastAsia"/>
        </w:rPr>
      </w:pPr>
      <w:r>
        <w:rPr>
          <w:rFonts w:hint="eastAsia" w:cstheme="minorEastAsia"/>
        </w:rPr>
        <w:t>提供可针对各类疫苗开展全程预约功能，如</w:t>
      </w:r>
      <w:r>
        <w:rPr>
          <w:rFonts w:cstheme="minorEastAsia"/>
        </w:rPr>
        <w:t>HPV、流感等特殊疫苗，提供紧缺疫苗排队预约功能</w:t>
      </w:r>
      <w:r>
        <w:rPr>
          <w:rFonts w:hint="eastAsia" w:cstheme="minorEastAsia"/>
        </w:rPr>
        <w:t>；提供疫苗预约到时提醒，打通与接种门诊收费系统，提供非免规疫苗接种的支付功能和相应的票据凭证</w:t>
      </w:r>
      <w:r>
        <w:rPr>
          <w:rFonts w:cstheme="minorEastAsia"/>
        </w:rPr>
        <w:t>。</w:t>
      </w:r>
    </w:p>
    <w:p w14:paraId="747E589C">
      <w:pPr>
        <w:rPr>
          <w:rFonts w:hint="eastAsia" w:cstheme="minorEastAsia"/>
        </w:rPr>
      </w:pPr>
      <w:r>
        <w:rPr>
          <w:rFonts w:hint="eastAsia" w:cstheme="minorEastAsia"/>
        </w:rPr>
        <w:t>6、电子病史的内涵质控</w:t>
      </w:r>
    </w:p>
    <w:p w14:paraId="2E1A43F8">
      <w:pPr>
        <w:rPr>
          <w:rFonts w:hint="eastAsia" w:cstheme="minorEastAsia"/>
        </w:rPr>
      </w:pPr>
      <w:r>
        <w:rPr>
          <w:rFonts w:hint="eastAsia" w:cstheme="minorEastAsia"/>
        </w:rPr>
        <w:t>实现电子病历数据采集管理相关功能，</w:t>
      </w:r>
      <w:r>
        <w:rPr>
          <w:rFonts w:cstheme="minorEastAsia"/>
        </w:rPr>
        <w:t>构建</w:t>
      </w:r>
      <w:r>
        <w:rPr>
          <w:rFonts w:hint="eastAsia" w:cstheme="minorEastAsia"/>
        </w:rPr>
        <w:t>电子病历</w:t>
      </w:r>
      <w:r>
        <w:rPr>
          <w:rFonts w:cstheme="minorEastAsia"/>
        </w:rPr>
        <w:t>(病史)数据模型</w:t>
      </w:r>
      <w:r>
        <w:rPr>
          <w:rFonts w:hint="eastAsia" w:cstheme="minorEastAsia"/>
        </w:rPr>
        <w:t>，同时实现</w:t>
      </w:r>
      <w:r>
        <w:rPr>
          <w:rFonts w:cstheme="minorEastAsia"/>
        </w:rPr>
        <w:t>电子病历数据采集管理</w:t>
      </w:r>
      <w:r>
        <w:rPr>
          <w:rFonts w:hint="eastAsia" w:cstheme="minorEastAsia"/>
        </w:rPr>
        <w:t>和质量管理；建设电子病历内涵质控相关功能，主要包括</w:t>
      </w:r>
      <w:r>
        <w:rPr>
          <w:rFonts w:cstheme="minorEastAsia"/>
        </w:rPr>
        <w:t>ICD编码与内容一致性质控</w:t>
      </w:r>
      <w:r>
        <w:rPr>
          <w:rFonts w:hint="eastAsia" w:cstheme="minorEastAsia"/>
        </w:rPr>
        <w:t>、</w:t>
      </w:r>
      <w:r>
        <w:rPr>
          <w:rFonts w:cstheme="minorEastAsia"/>
        </w:rPr>
        <w:t>通用临床电子病历(病史)内涵质控</w:t>
      </w:r>
      <w:r>
        <w:rPr>
          <w:rFonts w:hint="eastAsia" w:cstheme="minorEastAsia"/>
        </w:rPr>
        <w:t>、</w:t>
      </w:r>
      <w:r>
        <w:rPr>
          <w:rFonts w:cstheme="minorEastAsia"/>
        </w:rPr>
        <w:t>面向专科特点的内涵质控</w:t>
      </w:r>
      <w:r>
        <w:rPr>
          <w:rFonts w:hint="eastAsia" w:cstheme="minorEastAsia"/>
        </w:rPr>
        <w:t>、</w:t>
      </w:r>
      <w:r>
        <w:rPr>
          <w:rFonts w:cstheme="minorEastAsia"/>
        </w:rPr>
        <w:t>面向临床关键环节与关键结果的深度内涵质控</w:t>
      </w:r>
      <w:r>
        <w:rPr>
          <w:rFonts w:hint="eastAsia" w:cstheme="minorEastAsia"/>
        </w:rPr>
        <w:t>、</w:t>
      </w:r>
      <w:r>
        <w:rPr>
          <w:rFonts w:cstheme="minorEastAsia"/>
        </w:rPr>
        <w:t>模型支撑的内涵质控模块</w:t>
      </w:r>
      <w:r>
        <w:rPr>
          <w:rFonts w:hint="eastAsia" w:cstheme="minorEastAsia"/>
        </w:rPr>
        <w:t>等；构建基于电子病历的医疗服务管理和临床辅助决策应用；实现基于电子病历数据自动采集与测试场景动态采样的的自动化评估相关功能。</w:t>
      </w:r>
    </w:p>
    <w:p w14:paraId="40AE5F21">
      <w:pPr>
        <w:rPr>
          <w:rFonts w:hint="eastAsia" w:cstheme="minorEastAsia"/>
        </w:rPr>
      </w:pPr>
      <w:r>
        <w:rPr>
          <w:rFonts w:hint="eastAsia" w:cstheme="minorEastAsia"/>
        </w:rPr>
        <w:t>7、基于全面质量管理的医疗机构运行管理分析</w:t>
      </w:r>
    </w:p>
    <w:p w14:paraId="7C844D40">
      <w:pPr>
        <w:rPr>
          <w:rFonts w:hint="eastAsia" w:cstheme="minorEastAsia"/>
        </w:rPr>
      </w:pPr>
      <w:r>
        <w:rPr>
          <w:rFonts w:hint="eastAsia" w:cstheme="minorEastAsia"/>
        </w:rPr>
        <w:t>构建一个高效、智能、全面的上海市市级医疗机构运营管理分析系统，以支持上海市医疗机构实现高质量发展。通过该系统，旨在优化资源配置、提升服务效率、加强医疗质量监管，以及推动医疗服务创新，从而满足人民群众日益增长的医疗服务需求。</w:t>
      </w:r>
    </w:p>
    <w:p w14:paraId="7A948F66">
      <w:pPr>
        <w:rPr>
          <w:rFonts w:hint="eastAsia" w:cstheme="minorEastAsia"/>
        </w:rPr>
      </w:pPr>
      <w:r>
        <w:rPr>
          <w:rFonts w:hint="eastAsia" w:cstheme="minorEastAsia"/>
        </w:rPr>
        <w:t>8、业财融合应用</w:t>
      </w:r>
      <w:r>
        <w:rPr>
          <w:rFonts w:cstheme="minorEastAsia"/>
        </w:rPr>
        <w:t>1.0</w:t>
      </w:r>
    </w:p>
    <w:p w14:paraId="304E45B3">
      <w:pPr>
        <w:rPr>
          <w:rFonts w:hint="eastAsia"/>
        </w:rPr>
      </w:pPr>
      <w:r>
        <w:rPr>
          <w:rFonts w:hint="eastAsia" w:cstheme="minorEastAsia"/>
        </w:rPr>
        <w:t>在卫生统计平台的基础上实现财务信息与业务信息的集成，推进业财融合专项数据治理，掌握全行业公立医疗机构经济运行情况；从战略决策、管理决策和业务决策三个层面形成管理决策的数字化转型，为卫生健康事业改革发展提供决策支撑，</w:t>
      </w:r>
      <w:r>
        <w:rPr>
          <w:rFonts w:cstheme="minorEastAsia"/>
        </w:rPr>
        <w:t>以财促业，以业增财，</w:t>
      </w:r>
      <w:r>
        <w:rPr>
          <w:rFonts w:hint="eastAsia" w:cstheme="minorEastAsia"/>
        </w:rPr>
        <w:t>助力公立医院</w:t>
      </w:r>
      <w:r>
        <w:rPr>
          <w:rFonts w:cstheme="minorEastAsia"/>
        </w:rPr>
        <w:t>业财</w:t>
      </w:r>
      <w:r>
        <w:rPr>
          <w:rFonts w:hint="eastAsia" w:cstheme="minorEastAsia"/>
        </w:rPr>
        <w:t>融合双</w:t>
      </w:r>
      <w:r>
        <w:rPr>
          <w:rFonts w:cstheme="minorEastAsia"/>
        </w:rPr>
        <w:t>高</w:t>
      </w:r>
      <w:r>
        <w:rPr>
          <w:rFonts w:hint="eastAsia" w:cstheme="minorEastAsia"/>
        </w:rPr>
        <w:t>质量发展。</w:t>
      </w:r>
    </w:p>
    <w:p w14:paraId="45D4B16E">
      <w:pPr>
        <w:pStyle w:val="3"/>
        <w:rPr>
          <w:rFonts w:hint="eastAsia"/>
        </w:rPr>
      </w:pPr>
      <w:r>
        <w:rPr>
          <w:rFonts w:hint="eastAsia"/>
        </w:rPr>
        <w:t>软件开发清单</w:t>
      </w:r>
    </w:p>
    <w:tbl>
      <w:tblPr>
        <w:tblStyle w:val="59"/>
        <w:tblW w:w="5000" w:type="pct"/>
        <w:tblInd w:w="0" w:type="dxa"/>
        <w:tblLayout w:type="autofit"/>
        <w:tblCellMar>
          <w:top w:w="0" w:type="dxa"/>
          <w:left w:w="108" w:type="dxa"/>
          <w:bottom w:w="0" w:type="dxa"/>
          <w:right w:w="108" w:type="dxa"/>
        </w:tblCellMar>
      </w:tblPr>
      <w:tblGrid>
        <w:gridCol w:w="570"/>
        <w:gridCol w:w="2419"/>
        <w:gridCol w:w="2419"/>
        <w:gridCol w:w="3120"/>
      </w:tblGrid>
      <w:tr w14:paraId="3753610F">
        <w:tblPrEx>
          <w:tblCellMar>
            <w:top w:w="0" w:type="dxa"/>
            <w:left w:w="108" w:type="dxa"/>
            <w:bottom w:w="0" w:type="dxa"/>
            <w:right w:w="108" w:type="dxa"/>
          </w:tblCellMar>
        </w:tblPrEx>
        <w:trPr>
          <w:trHeight w:val="560"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794C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序号</w:t>
            </w:r>
          </w:p>
        </w:tc>
        <w:tc>
          <w:tcPr>
            <w:tcW w:w="1418" w:type="pct"/>
            <w:tcBorders>
              <w:top w:val="single" w:color="000000" w:sz="4" w:space="0"/>
              <w:left w:val="nil"/>
              <w:bottom w:val="single" w:color="000000" w:sz="4" w:space="0"/>
              <w:right w:val="single" w:color="000000" w:sz="4" w:space="0"/>
            </w:tcBorders>
            <w:shd w:val="clear" w:color="auto" w:fill="auto"/>
            <w:vAlign w:val="center"/>
          </w:tcPr>
          <w:p w14:paraId="3703DC5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功能模块</w:t>
            </w:r>
          </w:p>
        </w:tc>
        <w:tc>
          <w:tcPr>
            <w:tcW w:w="1418" w:type="pct"/>
            <w:tcBorders>
              <w:top w:val="single" w:color="000000" w:sz="4" w:space="0"/>
              <w:left w:val="nil"/>
              <w:bottom w:val="single" w:color="000000" w:sz="4" w:space="0"/>
              <w:right w:val="single" w:color="000000" w:sz="4" w:space="0"/>
            </w:tcBorders>
            <w:shd w:val="clear" w:color="auto" w:fill="auto"/>
            <w:vAlign w:val="center"/>
          </w:tcPr>
          <w:p w14:paraId="2A285F4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功能名称</w:t>
            </w:r>
          </w:p>
        </w:tc>
        <w:tc>
          <w:tcPr>
            <w:tcW w:w="1829" w:type="pct"/>
            <w:tcBorders>
              <w:top w:val="single" w:color="000000" w:sz="4" w:space="0"/>
              <w:left w:val="nil"/>
              <w:bottom w:val="single" w:color="000000" w:sz="4" w:space="0"/>
              <w:right w:val="single" w:color="000000" w:sz="4" w:space="0"/>
            </w:tcBorders>
            <w:shd w:val="clear" w:color="auto" w:fill="auto"/>
            <w:vAlign w:val="center"/>
          </w:tcPr>
          <w:p w14:paraId="69DBFBAF">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功能描述</w:t>
            </w:r>
          </w:p>
        </w:tc>
      </w:tr>
      <w:tr w14:paraId="73A32DDE">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14BF594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w:t>
            </w:r>
          </w:p>
        </w:tc>
        <w:tc>
          <w:tcPr>
            <w:tcW w:w="1418" w:type="pct"/>
            <w:vMerge w:val="restart"/>
            <w:tcBorders>
              <w:top w:val="nil"/>
              <w:left w:val="single" w:color="000000" w:sz="4" w:space="0"/>
              <w:bottom w:val="single" w:color="000000" w:sz="4" w:space="0"/>
              <w:right w:val="single" w:color="000000" w:sz="4" w:space="0"/>
            </w:tcBorders>
            <w:shd w:val="clear" w:color="auto" w:fill="auto"/>
            <w:vAlign w:val="center"/>
          </w:tcPr>
          <w:p w14:paraId="0BD1216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基于市民电子健康档案的卫生信息化工程升级改造</w:t>
            </w:r>
          </w:p>
        </w:tc>
        <w:tc>
          <w:tcPr>
            <w:tcW w:w="1418" w:type="pct"/>
            <w:tcBorders>
              <w:top w:val="nil"/>
              <w:left w:val="nil"/>
              <w:bottom w:val="single" w:color="000000" w:sz="4" w:space="0"/>
              <w:right w:val="single" w:color="000000" w:sz="4" w:space="0"/>
            </w:tcBorders>
            <w:shd w:val="clear" w:color="auto" w:fill="auto"/>
            <w:vAlign w:val="center"/>
          </w:tcPr>
          <w:p w14:paraId="70FA7A9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市级疾病预防控制业务应用系统升级改造-糖尿病管理信息系统信创改造</w:t>
            </w:r>
          </w:p>
        </w:tc>
        <w:tc>
          <w:tcPr>
            <w:tcW w:w="1829" w:type="pct"/>
            <w:tcBorders>
              <w:top w:val="nil"/>
              <w:left w:val="nil"/>
              <w:bottom w:val="single" w:color="000000" w:sz="4" w:space="0"/>
              <w:right w:val="single" w:color="000000" w:sz="4" w:space="0"/>
            </w:tcBorders>
            <w:shd w:val="clear" w:color="auto" w:fill="auto"/>
            <w:vAlign w:val="center"/>
          </w:tcPr>
          <w:p w14:paraId="543E4328">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糖尿病管理信息系统的信创改造。对现有应用进行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tc>
      </w:tr>
      <w:tr w14:paraId="7265FA3A">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5623A3C5">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w:t>
            </w:r>
          </w:p>
        </w:tc>
        <w:tc>
          <w:tcPr>
            <w:tcW w:w="1418" w:type="pct"/>
            <w:vMerge w:val="continue"/>
            <w:tcBorders>
              <w:top w:val="nil"/>
              <w:left w:val="single" w:color="000000" w:sz="4" w:space="0"/>
              <w:bottom w:val="single" w:color="000000" w:sz="4" w:space="0"/>
              <w:right w:val="single" w:color="000000" w:sz="4" w:space="0"/>
            </w:tcBorders>
            <w:vAlign w:val="center"/>
          </w:tcPr>
          <w:p w14:paraId="304E9BCD">
            <w:pPr>
              <w:widowControl/>
              <w:spacing w:line="240" w:lineRule="auto"/>
              <w:ind w:firstLine="0" w:firstLineChars="0"/>
              <w:jc w:val="left"/>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52BBDC2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市级疾病预防控制业务应用系统升级改造-高血压管理信息系统信创改造</w:t>
            </w:r>
          </w:p>
        </w:tc>
        <w:tc>
          <w:tcPr>
            <w:tcW w:w="1829" w:type="pct"/>
            <w:tcBorders>
              <w:top w:val="nil"/>
              <w:left w:val="nil"/>
              <w:bottom w:val="single" w:color="000000" w:sz="4" w:space="0"/>
              <w:right w:val="single" w:color="000000" w:sz="4" w:space="0"/>
            </w:tcBorders>
            <w:shd w:val="clear" w:color="auto" w:fill="auto"/>
            <w:vAlign w:val="center"/>
          </w:tcPr>
          <w:p w14:paraId="0BF934A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高血压管理信息系统信创改造。对现有应用进行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tc>
      </w:tr>
      <w:tr w14:paraId="5DF40D7A">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4D3D842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w:t>
            </w:r>
          </w:p>
        </w:tc>
        <w:tc>
          <w:tcPr>
            <w:tcW w:w="1418" w:type="pct"/>
            <w:vMerge w:val="continue"/>
            <w:tcBorders>
              <w:top w:val="nil"/>
              <w:left w:val="single" w:color="000000" w:sz="4" w:space="0"/>
              <w:bottom w:val="single" w:color="000000" w:sz="4" w:space="0"/>
              <w:right w:val="single" w:color="000000" w:sz="4" w:space="0"/>
            </w:tcBorders>
            <w:vAlign w:val="center"/>
          </w:tcPr>
          <w:p w14:paraId="4C0464A0">
            <w:pPr>
              <w:widowControl/>
              <w:spacing w:line="240" w:lineRule="auto"/>
              <w:ind w:firstLine="0" w:firstLineChars="0"/>
              <w:jc w:val="left"/>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5F95236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市级疾病预防控制业务应用系统升级改造-脑卒中监控管理信息系统信创改造</w:t>
            </w:r>
          </w:p>
        </w:tc>
        <w:tc>
          <w:tcPr>
            <w:tcW w:w="1829" w:type="pct"/>
            <w:tcBorders>
              <w:top w:val="nil"/>
              <w:left w:val="nil"/>
              <w:bottom w:val="single" w:color="000000" w:sz="4" w:space="0"/>
              <w:right w:val="single" w:color="000000" w:sz="4" w:space="0"/>
            </w:tcBorders>
            <w:shd w:val="clear" w:color="auto" w:fill="auto"/>
            <w:vAlign w:val="center"/>
          </w:tcPr>
          <w:p w14:paraId="777BA84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脑卒中监控管理信息系统信创改造。对现有应用进行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tc>
      </w:tr>
      <w:tr w14:paraId="3CD24D24">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76B5DF0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w:t>
            </w:r>
          </w:p>
        </w:tc>
        <w:tc>
          <w:tcPr>
            <w:tcW w:w="1418" w:type="pct"/>
            <w:vMerge w:val="continue"/>
            <w:tcBorders>
              <w:top w:val="nil"/>
              <w:left w:val="single" w:color="000000" w:sz="4" w:space="0"/>
              <w:bottom w:val="single" w:color="000000" w:sz="4" w:space="0"/>
              <w:right w:val="single" w:color="000000" w:sz="4" w:space="0"/>
            </w:tcBorders>
            <w:vAlign w:val="center"/>
          </w:tcPr>
          <w:p w14:paraId="3A3AFED8">
            <w:pPr>
              <w:widowControl/>
              <w:spacing w:line="240" w:lineRule="auto"/>
              <w:ind w:firstLine="0" w:firstLineChars="0"/>
              <w:jc w:val="left"/>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044F678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市级疾病预防控制业务应用系统升级改造-结核病登记管理信息系统信创改造</w:t>
            </w:r>
          </w:p>
        </w:tc>
        <w:tc>
          <w:tcPr>
            <w:tcW w:w="1829" w:type="pct"/>
            <w:tcBorders>
              <w:top w:val="nil"/>
              <w:left w:val="nil"/>
              <w:bottom w:val="single" w:color="000000" w:sz="4" w:space="0"/>
              <w:right w:val="single" w:color="000000" w:sz="4" w:space="0"/>
            </w:tcBorders>
            <w:shd w:val="clear" w:color="auto" w:fill="auto"/>
            <w:vAlign w:val="center"/>
          </w:tcPr>
          <w:p w14:paraId="754395A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结核病登记管理信息系统信创改造。对现有应用进行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tc>
      </w:tr>
      <w:tr w14:paraId="6EF369A1">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6AE62D9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w:t>
            </w:r>
          </w:p>
        </w:tc>
        <w:tc>
          <w:tcPr>
            <w:tcW w:w="1418" w:type="pct"/>
            <w:vMerge w:val="continue"/>
            <w:tcBorders>
              <w:top w:val="nil"/>
              <w:left w:val="single" w:color="000000" w:sz="4" w:space="0"/>
              <w:bottom w:val="single" w:color="000000" w:sz="4" w:space="0"/>
              <w:right w:val="single" w:color="000000" w:sz="4" w:space="0"/>
            </w:tcBorders>
            <w:vAlign w:val="center"/>
          </w:tcPr>
          <w:p w14:paraId="1B6F55E4">
            <w:pPr>
              <w:widowControl/>
              <w:spacing w:line="240" w:lineRule="auto"/>
              <w:ind w:firstLine="0" w:firstLineChars="0"/>
              <w:jc w:val="left"/>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193EDE7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市级疾病预防控制业务应用系统升级改造-肿瘤登记管理系统信创改造</w:t>
            </w:r>
          </w:p>
        </w:tc>
        <w:tc>
          <w:tcPr>
            <w:tcW w:w="1829" w:type="pct"/>
            <w:tcBorders>
              <w:top w:val="nil"/>
              <w:left w:val="nil"/>
              <w:bottom w:val="single" w:color="000000" w:sz="4" w:space="0"/>
              <w:right w:val="single" w:color="000000" w:sz="4" w:space="0"/>
            </w:tcBorders>
            <w:shd w:val="clear" w:color="auto" w:fill="auto"/>
            <w:vAlign w:val="center"/>
          </w:tcPr>
          <w:p w14:paraId="1BE9AF36">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肿瘤登记管理系统信创改造。对现有应用进行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tc>
      </w:tr>
      <w:tr w14:paraId="6797F0D0">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0B283C7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w:t>
            </w:r>
          </w:p>
        </w:tc>
        <w:tc>
          <w:tcPr>
            <w:tcW w:w="1418" w:type="pct"/>
            <w:vMerge w:val="continue"/>
            <w:tcBorders>
              <w:top w:val="nil"/>
              <w:left w:val="single" w:color="000000" w:sz="4" w:space="0"/>
              <w:bottom w:val="single" w:color="000000" w:sz="4" w:space="0"/>
              <w:right w:val="single" w:color="000000" w:sz="4" w:space="0"/>
            </w:tcBorders>
            <w:vAlign w:val="center"/>
          </w:tcPr>
          <w:p w14:paraId="21A4D8E2">
            <w:pPr>
              <w:widowControl/>
              <w:spacing w:line="240" w:lineRule="auto"/>
              <w:ind w:firstLine="0" w:firstLineChars="0"/>
              <w:jc w:val="left"/>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4C21114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市级疾病预防控制业务应用系统升级改造-死亡登记信息系统信创改造</w:t>
            </w:r>
          </w:p>
        </w:tc>
        <w:tc>
          <w:tcPr>
            <w:tcW w:w="1829" w:type="pct"/>
            <w:tcBorders>
              <w:top w:val="nil"/>
              <w:left w:val="nil"/>
              <w:bottom w:val="single" w:color="000000" w:sz="4" w:space="0"/>
              <w:right w:val="single" w:color="000000" w:sz="4" w:space="0"/>
            </w:tcBorders>
            <w:shd w:val="clear" w:color="auto" w:fill="auto"/>
            <w:vAlign w:val="center"/>
          </w:tcPr>
          <w:p w14:paraId="2BA1571E">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死亡登记信息系统信创改造。对现有应用进行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tc>
      </w:tr>
      <w:tr w14:paraId="7BE9359F">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4AFE506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w:t>
            </w:r>
          </w:p>
        </w:tc>
        <w:tc>
          <w:tcPr>
            <w:tcW w:w="1418" w:type="pct"/>
            <w:vMerge w:val="continue"/>
            <w:tcBorders>
              <w:top w:val="nil"/>
              <w:left w:val="single" w:color="000000" w:sz="4" w:space="0"/>
              <w:bottom w:val="single" w:color="000000" w:sz="4" w:space="0"/>
              <w:right w:val="single" w:color="000000" w:sz="4" w:space="0"/>
            </w:tcBorders>
            <w:vAlign w:val="center"/>
          </w:tcPr>
          <w:p w14:paraId="195E5389">
            <w:pPr>
              <w:widowControl/>
              <w:spacing w:line="240" w:lineRule="auto"/>
              <w:ind w:firstLine="0" w:firstLineChars="0"/>
              <w:jc w:val="left"/>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52B76E6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市级疾病预防控制业务应用系统升级改造-伤害事件监测系统信创改造</w:t>
            </w:r>
          </w:p>
        </w:tc>
        <w:tc>
          <w:tcPr>
            <w:tcW w:w="1829" w:type="pct"/>
            <w:tcBorders>
              <w:top w:val="nil"/>
              <w:left w:val="nil"/>
              <w:bottom w:val="single" w:color="000000" w:sz="4" w:space="0"/>
              <w:right w:val="single" w:color="000000" w:sz="4" w:space="0"/>
            </w:tcBorders>
            <w:shd w:val="clear" w:color="auto" w:fill="auto"/>
            <w:vAlign w:val="center"/>
          </w:tcPr>
          <w:p w14:paraId="6212879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伤害事件监测系统信创改造。对现有应用进行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tc>
      </w:tr>
      <w:tr w14:paraId="77567B43">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3CBB1FA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w:t>
            </w:r>
          </w:p>
        </w:tc>
        <w:tc>
          <w:tcPr>
            <w:tcW w:w="1418" w:type="pct"/>
            <w:vMerge w:val="continue"/>
            <w:tcBorders>
              <w:top w:val="nil"/>
              <w:left w:val="single" w:color="000000" w:sz="4" w:space="0"/>
              <w:bottom w:val="single" w:color="000000" w:sz="4" w:space="0"/>
              <w:right w:val="single" w:color="000000" w:sz="4" w:space="0"/>
            </w:tcBorders>
            <w:vAlign w:val="center"/>
          </w:tcPr>
          <w:p w14:paraId="71BB270E">
            <w:pPr>
              <w:widowControl/>
              <w:spacing w:line="240" w:lineRule="auto"/>
              <w:ind w:firstLine="0" w:firstLineChars="0"/>
              <w:jc w:val="left"/>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33D643E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健康协同服务信创改造-健康信息调阅服务信创改造</w:t>
            </w:r>
          </w:p>
        </w:tc>
        <w:tc>
          <w:tcPr>
            <w:tcW w:w="1829" w:type="pct"/>
            <w:tcBorders>
              <w:top w:val="nil"/>
              <w:left w:val="nil"/>
              <w:bottom w:val="single" w:color="000000" w:sz="4" w:space="0"/>
              <w:right w:val="single" w:color="000000" w:sz="4" w:space="0"/>
            </w:tcBorders>
            <w:shd w:val="clear" w:color="auto" w:fill="auto"/>
            <w:vAlign w:val="center"/>
          </w:tcPr>
          <w:p w14:paraId="3DF83D5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健康信息调阅服务信创改造。对现有应用进行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tc>
      </w:tr>
      <w:tr w14:paraId="3ABE0D5F">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4BC3A3D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w:t>
            </w:r>
          </w:p>
        </w:tc>
        <w:tc>
          <w:tcPr>
            <w:tcW w:w="1418" w:type="pct"/>
            <w:vMerge w:val="continue"/>
            <w:tcBorders>
              <w:top w:val="nil"/>
              <w:left w:val="single" w:color="000000" w:sz="4" w:space="0"/>
              <w:bottom w:val="single" w:color="000000" w:sz="4" w:space="0"/>
              <w:right w:val="single" w:color="000000" w:sz="4" w:space="0"/>
            </w:tcBorders>
            <w:vAlign w:val="center"/>
          </w:tcPr>
          <w:p w14:paraId="2B7040C0">
            <w:pPr>
              <w:widowControl/>
              <w:spacing w:line="240" w:lineRule="auto"/>
              <w:ind w:firstLine="0" w:firstLineChars="0"/>
              <w:jc w:val="left"/>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0C70C598">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健康协同服务信创改造-智能提示服务信创改造</w:t>
            </w:r>
          </w:p>
        </w:tc>
        <w:tc>
          <w:tcPr>
            <w:tcW w:w="1829" w:type="pct"/>
            <w:tcBorders>
              <w:top w:val="nil"/>
              <w:left w:val="nil"/>
              <w:bottom w:val="single" w:color="000000" w:sz="4" w:space="0"/>
              <w:right w:val="single" w:color="000000" w:sz="4" w:space="0"/>
            </w:tcBorders>
            <w:shd w:val="clear" w:color="auto" w:fill="auto"/>
            <w:vAlign w:val="center"/>
          </w:tcPr>
          <w:p w14:paraId="5D59026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智能提示服务信创改造。对现有应用进行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tc>
      </w:tr>
      <w:tr w14:paraId="7072B99F">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2813DB3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w:t>
            </w:r>
          </w:p>
        </w:tc>
        <w:tc>
          <w:tcPr>
            <w:tcW w:w="1418" w:type="pct"/>
            <w:vMerge w:val="continue"/>
            <w:tcBorders>
              <w:top w:val="nil"/>
              <w:left w:val="single" w:color="000000" w:sz="4" w:space="0"/>
              <w:bottom w:val="single" w:color="000000" w:sz="4" w:space="0"/>
              <w:right w:val="single" w:color="000000" w:sz="4" w:space="0"/>
            </w:tcBorders>
            <w:vAlign w:val="center"/>
          </w:tcPr>
          <w:p w14:paraId="1CCCACF0">
            <w:pPr>
              <w:widowControl/>
              <w:spacing w:line="240" w:lineRule="auto"/>
              <w:ind w:firstLine="0" w:firstLineChars="0"/>
              <w:jc w:val="left"/>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7313274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精神卫生业务系统信创改造</w:t>
            </w:r>
          </w:p>
        </w:tc>
        <w:tc>
          <w:tcPr>
            <w:tcW w:w="1829" w:type="pct"/>
            <w:tcBorders>
              <w:top w:val="nil"/>
              <w:left w:val="nil"/>
              <w:bottom w:val="single" w:color="000000" w:sz="4" w:space="0"/>
              <w:right w:val="single" w:color="000000" w:sz="4" w:space="0"/>
            </w:tcBorders>
            <w:shd w:val="clear" w:color="auto" w:fill="auto"/>
            <w:vAlign w:val="center"/>
          </w:tcPr>
          <w:p w14:paraId="40D6186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精神卫生业务系统信创改造。对现有应用进行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tc>
      </w:tr>
      <w:tr w14:paraId="209CA6B8">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7C480E4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w:t>
            </w:r>
          </w:p>
        </w:tc>
        <w:tc>
          <w:tcPr>
            <w:tcW w:w="1418" w:type="pct"/>
            <w:vMerge w:val="continue"/>
            <w:tcBorders>
              <w:top w:val="nil"/>
              <w:left w:val="single" w:color="000000" w:sz="4" w:space="0"/>
              <w:bottom w:val="single" w:color="000000" w:sz="4" w:space="0"/>
              <w:right w:val="single" w:color="000000" w:sz="4" w:space="0"/>
            </w:tcBorders>
            <w:vAlign w:val="center"/>
          </w:tcPr>
          <w:p w14:paraId="7358D45E">
            <w:pPr>
              <w:widowControl/>
              <w:spacing w:line="240" w:lineRule="auto"/>
              <w:ind w:firstLine="0" w:firstLineChars="0"/>
              <w:jc w:val="left"/>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31D80FD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妇女保健信息系统信创改造</w:t>
            </w:r>
          </w:p>
        </w:tc>
        <w:tc>
          <w:tcPr>
            <w:tcW w:w="1829" w:type="pct"/>
            <w:tcBorders>
              <w:top w:val="nil"/>
              <w:left w:val="nil"/>
              <w:bottom w:val="single" w:color="000000" w:sz="4" w:space="0"/>
              <w:right w:val="single" w:color="000000" w:sz="4" w:space="0"/>
            </w:tcBorders>
            <w:shd w:val="clear" w:color="auto" w:fill="auto"/>
            <w:vAlign w:val="center"/>
          </w:tcPr>
          <w:p w14:paraId="48E5528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妇女保健信息系统信创改造。对现有应用进行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tc>
      </w:tr>
      <w:tr w14:paraId="264E4BB6">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34B49CD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w:t>
            </w:r>
          </w:p>
        </w:tc>
        <w:tc>
          <w:tcPr>
            <w:tcW w:w="1418" w:type="pct"/>
            <w:vMerge w:val="continue"/>
            <w:tcBorders>
              <w:top w:val="nil"/>
              <w:left w:val="single" w:color="000000" w:sz="4" w:space="0"/>
              <w:bottom w:val="single" w:color="000000" w:sz="4" w:space="0"/>
              <w:right w:val="single" w:color="000000" w:sz="4" w:space="0"/>
            </w:tcBorders>
            <w:vAlign w:val="center"/>
          </w:tcPr>
          <w:p w14:paraId="0FF290B9">
            <w:pPr>
              <w:widowControl/>
              <w:spacing w:line="240" w:lineRule="auto"/>
              <w:ind w:firstLine="0" w:firstLineChars="0"/>
              <w:jc w:val="left"/>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67A6B2C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儿童保健信息系统信创改造</w:t>
            </w:r>
          </w:p>
        </w:tc>
        <w:tc>
          <w:tcPr>
            <w:tcW w:w="1829" w:type="pct"/>
            <w:tcBorders>
              <w:top w:val="nil"/>
              <w:left w:val="nil"/>
              <w:bottom w:val="single" w:color="000000" w:sz="4" w:space="0"/>
              <w:right w:val="single" w:color="000000" w:sz="4" w:space="0"/>
            </w:tcBorders>
            <w:shd w:val="clear" w:color="auto" w:fill="auto"/>
            <w:vAlign w:val="center"/>
          </w:tcPr>
          <w:p w14:paraId="0125E85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儿童保健信息系统信创改造。对现有应用进行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tc>
      </w:tr>
      <w:tr w14:paraId="3383261A">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24BB484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13</w:t>
            </w:r>
          </w:p>
        </w:tc>
        <w:tc>
          <w:tcPr>
            <w:tcW w:w="1418" w:type="pct"/>
            <w:vMerge w:val="restart"/>
            <w:tcBorders>
              <w:top w:val="nil"/>
              <w:left w:val="single" w:color="000000" w:sz="4" w:space="0"/>
              <w:bottom w:val="single" w:color="000000" w:sz="4" w:space="0"/>
              <w:right w:val="single" w:color="000000" w:sz="4" w:space="0"/>
            </w:tcBorders>
            <w:shd w:val="clear" w:color="auto" w:fill="auto"/>
            <w:vAlign w:val="center"/>
          </w:tcPr>
          <w:p w14:paraId="3FCFC15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上海市医学检验检查信息互联互通互认系统升级改造</w:t>
            </w:r>
          </w:p>
        </w:tc>
        <w:tc>
          <w:tcPr>
            <w:tcW w:w="1418" w:type="pct"/>
            <w:tcBorders>
              <w:top w:val="nil"/>
              <w:left w:val="nil"/>
              <w:bottom w:val="single" w:color="000000" w:sz="4" w:space="0"/>
              <w:right w:val="single" w:color="000000" w:sz="4" w:space="0"/>
            </w:tcBorders>
            <w:shd w:val="clear" w:color="auto" w:fill="auto"/>
            <w:vAlign w:val="center"/>
          </w:tcPr>
          <w:p w14:paraId="2039E38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互认规则管理信创改造</w:t>
            </w:r>
          </w:p>
        </w:tc>
        <w:tc>
          <w:tcPr>
            <w:tcW w:w="1829" w:type="pct"/>
            <w:tcBorders>
              <w:top w:val="nil"/>
              <w:left w:val="nil"/>
              <w:bottom w:val="single" w:color="000000" w:sz="4" w:space="0"/>
              <w:right w:val="single" w:color="000000" w:sz="4" w:space="0"/>
            </w:tcBorders>
            <w:shd w:val="clear" w:color="auto" w:fill="auto"/>
            <w:vAlign w:val="center"/>
          </w:tcPr>
          <w:p w14:paraId="67DA0F2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互认规则管理信创改造。对现有应用进行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tc>
      </w:tr>
      <w:tr w14:paraId="24469026">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4959875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14</w:t>
            </w:r>
          </w:p>
        </w:tc>
        <w:tc>
          <w:tcPr>
            <w:tcW w:w="1418" w:type="pct"/>
            <w:vMerge w:val="continue"/>
            <w:tcBorders>
              <w:top w:val="nil"/>
              <w:left w:val="single" w:color="000000" w:sz="4" w:space="0"/>
              <w:bottom w:val="single" w:color="000000" w:sz="4" w:space="0"/>
              <w:right w:val="single" w:color="000000" w:sz="4" w:space="0"/>
            </w:tcBorders>
            <w:vAlign w:val="center"/>
          </w:tcPr>
          <w:p w14:paraId="0AAAE569">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592FB2D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互认日志管理信创改造</w:t>
            </w:r>
          </w:p>
        </w:tc>
        <w:tc>
          <w:tcPr>
            <w:tcW w:w="1829" w:type="pct"/>
            <w:tcBorders>
              <w:top w:val="nil"/>
              <w:left w:val="nil"/>
              <w:bottom w:val="single" w:color="000000" w:sz="4" w:space="0"/>
              <w:right w:val="single" w:color="000000" w:sz="4" w:space="0"/>
            </w:tcBorders>
            <w:shd w:val="clear" w:color="auto" w:fill="auto"/>
            <w:vAlign w:val="center"/>
          </w:tcPr>
          <w:p w14:paraId="15EC460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互认日志管理信创改造。对现有应用进行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tc>
      </w:tr>
      <w:tr w14:paraId="63CA8FC3">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4214B7F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15</w:t>
            </w:r>
          </w:p>
        </w:tc>
        <w:tc>
          <w:tcPr>
            <w:tcW w:w="1418" w:type="pct"/>
            <w:vMerge w:val="continue"/>
            <w:tcBorders>
              <w:top w:val="nil"/>
              <w:left w:val="single" w:color="000000" w:sz="4" w:space="0"/>
              <w:bottom w:val="single" w:color="000000" w:sz="4" w:space="0"/>
              <w:right w:val="single" w:color="000000" w:sz="4" w:space="0"/>
            </w:tcBorders>
            <w:vAlign w:val="center"/>
          </w:tcPr>
          <w:p w14:paraId="2FE2D82C">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2C8BEE78">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互认影像注册索引服务信创改造</w:t>
            </w:r>
          </w:p>
        </w:tc>
        <w:tc>
          <w:tcPr>
            <w:tcW w:w="1829" w:type="pct"/>
            <w:tcBorders>
              <w:top w:val="nil"/>
              <w:left w:val="nil"/>
              <w:bottom w:val="single" w:color="000000" w:sz="4" w:space="0"/>
              <w:right w:val="single" w:color="000000" w:sz="4" w:space="0"/>
            </w:tcBorders>
            <w:shd w:val="clear" w:color="auto" w:fill="auto"/>
            <w:vAlign w:val="center"/>
          </w:tcPr>
          <w:p w14:paraId="0F484D4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互认影像注册索引服务信创改造。对现有应用进行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tc>
      </w:tr>
      <w:tr w14:paraId="7F24C3D5">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6CFA114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16</w:t>
            </w:r>
          </w:p>
        </w:tc>
        <w:tc>
          <w:tcPr>
            <w:tcW w:w="1418" w:type="pct"/>
            <w:vMerge w:val="continue"/>
            <w:tcBorders>
              <w:top w:val="nil"/>
              <w:left w:val="single" w:color="000000" w:sz="4" w:space="0"/>
              <w:bottom w:val="single" w:color="000000" w:sz="4" w:space="0"/>
              <w:right w:val="single" w:color="000000" w:sz="4" w:space="0"/>
            </w:tcBorders>
            <w:vAlign w:val="center"/>
          </w:tcPr>
          <w:p w14:paraId="507641D6">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63C8959E">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互认影像共享交换服务信创改造</w:t>
            </w:r>
          </w:p>
        </w:tc>
        <w:tc>
          <w:tcPr>
            <w:tcW w:w="1829" w:type="pct"/>
            <w:tcBorders>
              <w:top w:val="nil"/>
              <w:left w:val="nil"/>
              <w:bottom w:val="single" w:color="000000" w:sz="4" w:space="0"/>
              <w:right w:val="single" w:color="000000" w:sz="4" w:space="0"/>
            </w:tcBorders>
            <w:shd w:val="clear" w:color="auto" w:fill="auto"/>
            <w:vAlign w:val="center"/>
          </w:tcPr>
          <w:p w14:paraId="2120B74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互认影像共享交换服务信创改造。对现有应用进行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tc>
      </w:tr>
      <w:tr w14:paraId="1E4985A8">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4079D1C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17</w:t>
            </w:r>
          </w:p>
        </w:tc>
        <w:tc>
          <w:tcPr>
            <w:tcW w:w="1418" w:type="pct"/>
            <w:vMerge w:val="continue"/>
            <w:tcBorders>
              <w:top w:val="nil"/>
              <w:left w:val="single" w:color="000000" w:sz="4" w:space="0"/>
              <w:bottom w:val="single" w:color="000000" w:sz="4" w:space="0"/>
              <w:right w:val="single" w:color="000000" w:sz="4" w:space="0"/>
            </w:tcBorders>
            <w:vAlign w:val="center"/>
          </w:tcPr>
          <w:p w14:paraId="1C7225B3">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621D0C68">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互认调阅代理转发服务信创改造</w:t>
            </w:r>
          </w:p>
        </w:tc>
        <w:tc>
          <w:tcPr>
            <w:tcW w:w="1829" w:type="pct"/>
            <w:tcBorders>
              <w:top w:val="nil"/>
              <w:left w:val="nil"/>
              <w:bottom w:val="single" w:color="000000" w:sz="4" w:space="0"/>
              <w:right w:val="single" w:color="000000" w:sz="4" w:space="0"/>
            </w:tcBorders>
            <w:shd w:val="clear" w:color="auto" w:fill="auto"/>
            <w:vAlign w:val="center"/>
          </w:tcPr>
          <w:p w14:paraId="0F71DD7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互认调阅代理转发服务信创改造。对现有应用进行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tc>
      </w:tr>
      <w:tr w14:paraId="0E46BF89">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059941B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18</w:t>
            </w:r>
          </w:p>
        </w:tc>
        <w:tc>
          <w:tcPr>
            <w:tcW w:w="1418" w:type="pct"/>
            <w:vMerge w:val="continue"/>
            <w:tcBorders>
              <w:top w:val="nil"/>
              <w:left w:val="single" w:color="000000" w:sz="4" w:space="0"/>
              <w:bottom w:val="single" w:color="000000" w:sz="4" w:space="0"/>
              <w:right w:val="single" w:color="000000" w:sz="4" w:space="0"/>
            </w:tcBorders>
            <w:vAlign w:val="center"/>
          </w:tcPr>
          <w:p w14:paraId="6379FDF6">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5A10BE5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互认报告调阅接口服务信创改造</w:t>
            </w:r>
          </w:p>
        </w:tc>
        <w:tc>
          <w:tcPr>
            <w:tcW w:w="1829" w:type="pct"/>
            <w:tcBorders>
              <w:top w:val="nil"/>
              <w:left w:val="nil"/>
              <w:bottom w:val="single" w:color="000000" w:sz="4" w:space="0"/>
              <w:right w:val="single" w:color="000000" w:sz="4" w:space="0"/>
            </w:tcBorders>
            <w:shd w:val="clear" w:color="auto" w:fill="auto"/>
            <w:vAlign w:val="center"/>
          </w:tcPr>
          <w:p w14:paraId="4F626EF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互认报告调阅接口服务信创改造。对现有应用进行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tc>
      </w:tr>
      <w:tr w14:paraId="54DB37EA">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4B2EB626">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19</w:t>
            </w:r>
          </w:p>
        </w:tc>
        <w:tc>
          <w:tcPr>
            <w:tcW w:w="1418" w:type="pct"/>
            <w:vMerge w:val="continue"/>
            <w:tcBorders>
              <w:top w:val="nil"/>
              <w:left w:val="single" w:color="000000" w:sz="4" w:space="0"/>
              <w:bottom w:val="single" w:color="000000" w:sz="4" w:space="0"/>
              <w:right w:val="single" w:color="000000" w:sz="4" w:space="0"/>
            </w:tcBorders>
            <w:vAlign w:val="center"/>
          </w:tcPr>
          <w:p w14:paraId="5A0E9F4D">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7E02427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互认影像调阅服务信创改造</w:t>
            </w:r>
          </w:p>
        </w:tc>
        <w:tc>
          <w:tcPr>
            <w:tcW w:w="1829" w:type="pct"/>
            <w:tcBorders>
              <w:top w:val="nil"/>
              <w:left w:val="nil"/>
              <w:bottom w:val="single" w:color="000000" w:sz="4" w:space="0"/>
              <w:right w:val="single" w:color="000000" w:sz="4" w:space="0"/>
            </w:tcBorders>
            <w:shd w:val="clear" w:color="auto" w:fill="auto"/>
            <w:vAlign w:val="center"/>
          </w:tcPr>
          <w:p w14:paraId="37BC7B8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互认影像调阅服务信创改造。对现有应用进行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tc>
      </w:tr>
      <w:tr w14:paraId="7A5C79E3">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78FCF85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20</w:t>
            </w:r>
          </w:p>
        </w:tc>
        <w:tc>
          <w:tcPr>
            <w:tcW w:w="1418" w:type="pct"/>
            <w:vMerge w:val="continue"/>
            <w:tcBorders>
              <w:top w:val="nil"/>
              <w:left w:val="single" w:color="000000" w:sz="4" w:space="0"/>
              <w:bottom w:val="single" w:color="000000" w:sz="4" w:space="0"/>
              <w:right w:val="single" w:color="000000" w:sz="4" w:space="0"/>
            </w:tcBorders>
            <w:vAlign w:val="center"/>
          </w:tcPr>
          <w:p w14:paraId="1BD08790">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29ED645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互认服务监管信创改造</w:t>
            </w:r>
          </w:p>
        </w:tc>
        <w:tc>
          <w:tcPr>
            <w:tcW w:w="1829" w:type="pct"/>
            <w:tcBorders>
              <w:top w:val="nil"/>
              <w:left w:val="nil"/>
              <w:bottom w:val="single" w:color="000000" w:sz="4" w:space="0"/>
              <w:right w:val="single" w:color="000000" w:sz="4" w:space="0"/>
            </w:tcBorders>
            <w:shd w:val="clear" w:color="auto" w:fill="auto"/>
            <w:vAlign w:val="center"/>
          </w:tcPr>
          <w:p w14:paraId="132E82C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互认服务监管信创改造。对现有应用进行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tc>
      </w:tr>
      <w:tr w14:paraId="68E0FE63">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48BCF8FE">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21</w:t>
            </w:r>
          </w:p>
        </w:tc>
        <w:tc>
          <w:tcPr>
            <w:tcW w:w="1418" w:type="pct"/>
            <w:vMerge w:val="continue"/>
            <w:tcBorders>
              <w:top w:val="nil"/>
              <w:left w:val="single" w:color="000000" w:sz="4" w:space="0"/>
              <w:bottom w:val="single" w:color="000000" w:sz="4" w:space="0"/>
              <w:right w:val="single" w:color="000000" w:sz="4" w:space="0"/>
            </w:tcBorders>
            <w:vAlign w:val="center"/>
          </w:tcPr>
          <w:p w14:paraId="14A9081C">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33A8D9D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互认影像管理服务信创改造</w:t>
            </w:r>
          </w:p>
        </w:tc>
        <w:tc>
          <w:tcPr>
            <w:tcW w:w="1829" w:type="pct"/>
            <w:tcBorders>
              <w:top w:val="nil"/>
              <w:left w:val="nil"/>
              <w:bottom w:val="single" w:color="000000" w:sz="4" w:space="0"/>
              <w:right w:val="single" w:color="000000" w:sz="4" w:space="0"/>
            </w:tcBorders>
            <w:shd w:val="clear" w:color="auto" w:fill="auto"/>
            <w:vAlign w:val="center"/>
          </w:tcPr>
          <w:p w14:paraId="6FBAB5E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互认影像管理服务信创改造。对现有应用进行XC适配改造，依托电子政务云及其基础软件，实现操作系统、数据库软件、中间件软件、应用插件、浏览器等的XC替代和应用适配，并基于云平台提供的安全认证网关、签名验签、数据库加密等密码服务以及系统的应用功能，开发适配密码应用功能模块，以实现网络和通信、设备和计算、应用和数据等层面的各密码应用功能。</w:t>
            </w:r>
          </w:p>
        </w:tc>
      </w:tr>
      <w:tr w14:paraId="623A607D">
        <w:tblPrEx>
          <w:tblCellMar>
            <w:top w:w="0" w:type="dxa"/>
            <w:left w:w="108" w:type="dxa"/>
            <w:bottom w:w="0" w:type="dxa"/>
            <w:right w:w="108" w:type="dxa"/>
          </w:tblCellMar>
        </w:tblPrEx>
        <w:trPr>
          <w:trHeight w:val="140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1A8C00E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22</w:t>
            </w:r>
          </w:p>
        </w:tc>
        <w:tc>
          <w:tcPr>
            <w:tcW w:w="1418" w:type="pct"/>
            <w:vMerge w:val="restart"/>
            <w:tcBorders>
              <w:top w:val="nil"/>
              <w:left w:val="single" w:color="000000" w:sz="4" w:space="0"/>
              <w:bottom w:val="single" w:color="000000" w:sz="4" w:space="0"/>
              <w:right w:val="single" w:color="000000" w:sz="4" w:space="0"/>
            </w:tcBorders>
            <w:shd w:val="clear" w:color="auto" w:fill="auto"/>
            <w:vAlign w:val="center"/>
          </w:tcPr>
          <w:p w14:paraId="080B1E5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眼病防治信息系统升级改造</w:t>
            </w:r>
          </w:p>
        </w:tc>
        <w:tc>
          <w:tcPr>
            <w:tcW w:w="1418" w:type="pct"/>
            <w:tcBorders>
              <w:top w:val="nil"/>
              <w:left w:val="nil"/>
              <w:bottom w:val="single" w:color="000000" w:sz="4" w:space="0"/>
              <w:right w:val="single" w:color="000000" w:sz="4" w:space="0"/>
            </w:tcBorders>
            <w:shd w:val="clear" w:color="auto" w:fill="auto"/>
            <w:vAlign w:val="center"/>
          </w:tcPr>
          <w:p w14:paraId="2D98D97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急性结膜炎管理-个案报告</w:t>
            </w:r>
          </w:p>
        </w:tc>
        <w:tc>
          <w:tcPr>
            <w:tcW w:w="1829" w:type="pct"/>
            <w:tcBorders>
              <w:top w:val="nil"/>
              <w:left w:val="nil"/>
              <w:bottom w:val="single" w:color="000000" w:sz="4" w:space="0"/>
              <w:right w:val="single" w:color="000000" w:sz="4" w:space="0"/>
            </w:tcBorders>
            <w:shd w:val="clear" w:color="auto" w:fill="auto"/>
            <w:vAlign w:val="center"/>
          </w:tcPr>
          <w:p w14:paraId="5BDA56A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门急诊病例个案报告：监测定点医院填报的门急诊病例信息，包括登记基本信息、临床症状与体征、标本采集情况等。</w:t>
            </w:r>
            <w:r>
              <w:rPr>
                <w:rFonts w:hint="eastAsia" w:cs="宋体"/>
                <w:color w:val="000000"/>
                <w:kern w:val="0"/>
                <w:sz w:val="22"/>
                <w:szCs w:val="22"/>
              </w:rPr>
              <w:br w:type="textWrapping"/>
            </w:r>
            <w:r>
              <w:rPr>
                <w:rFonts w:hint="eastAsia" w:cs="宋体"/>
                <w:color w:val="000000"/>
                <w:kern w:val="0"/>
                <w:sz w:val="22"/>
                <w:szCs w:val="22"/>
              </w:rPr>
              <w:t>门急诊病例零报告：监测定点医院每日填报的门急诊病例零报告。</w:t>
            </w:r>
          </w:p>
        </w:tc>
      </w:tr>
      <w:tr w14:paraId="301D2A63">
        <w:tblPrEx>
          <w:tblCellMar>
            <w:top w:w="0" w:type="dxa"/>
            <w:left w:w="108" w:type="dxa"/>
            <w:bottom w:w="0" w:type="dxa"/>
            <w:right w:w="108" w:type="dxa"/>
          </w:tblCellMar>
        </w:tblPrEx>
        <w:trPr>
          <w:trHeight w:val="280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74947ADE">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23</w:t>
            </w:r>
          </w:p>
        </w:tc>
        <w:tc>
          <w:tcPr>
            <w:tcW w:w="1418" w:type="pct"/>
            <w:vMerge w:val="continue"/>
            <w:tcBorders>
              <w:top w:val="nil"/>
              <w:left w:val="single" w:color="000000" w:sz="4" w:space="0"/>
              <w:bottom w:val="single" w:color="000000" w:sz="4" w:space="0"/>
              <w:right w:val="single" w:color="000000" w:sz="4" w:space="0"/>
            </w:tcBorders>
            <w:vAlign w:val="center"/>
          </w:tcPr>
          <w:p w14:paraId="7F3A8038">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0255E201">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急性结膜炎管理-个案管理</w:t>
            </w:r>
          </w:p>
        </w:tc>
        <w:tc>
          <w:tcPr>
            <w:tcW w:w="1829" w:type="pct"/>
            <w:tcBorders>
              <w:top w:val="nil"/>
              <w:left w:val="nil"/>
              <w:bottom w:val="single" w:color="000000" w:sz="4" w:space="0"/>
              <w:right w:val="single" w:color="000000" w:sz="4" w:space="0"/>
            </w:tcBorders>
            <w:shd w:val="clear" w:color="auto" w:fill="auto"/>
            <w:vAlign w:val="center"/>
          </w:tcPr>
          <w:p w14:paraId="33CBE501">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门急诊病例个案报告查询</w:t>
            </w:r>
            <w:r>
              <w:rPr>
                <w:rFonts w:hint="eastAsia" w:cs="宋体"/>
                <w:color w:val="000000"/>
                <w:kern w:val="0"/>
                <w:sz w:val="22"/>
                <w:szCs w:val="22"/>
              </w:rPr>
              <w:br w:type="textWrapping"/>
            </w:r>
            <w:r>
              <w:rPr>
                <w:rFonts w:hint="eastAsia" w:cs="宋体"/>
                <w:color w:val="000000"/>
                <w:kern w:val="0"/>
                <w:sz w:val="22"/>
                <w:szCs w:val="22"/>
              </w:rPr>
              <w:t>管理医生填报的门急诊病例信息，可以查看病例包含登记信息、采样信息、检测信息在内的所有信息，有需要时对其进行修改、删除。</w:t>
            </w:r>
            <w:r>
              <w:rPr>
                <w:rFonts w:hint="eastAsia" w:cs="宋体"/>
                <w:color w:val="000000"/>
                <w:kern w:val="0"/>
                <w:sz w:val="22"/>
                <w:szCs w:val="22"/>
              </w:rPr>
              <w:br w:type="textWrapping"/>
            </w:r>
            <w:r>
              <w:rPr>
                <w:rFonts w:hint="eastAsia" w:cs="宋体"/>
                <w:color w:val="000000"/>
                <w:kern w:val="0"/>
                <w:sz w:val="22"/>
                <w:szCs w:val="22"/>
              </w:rPr>
              <w:t>门急诊病例修改</w:t>
            </w:r>
            <w:r>
              <w:rPr>
                <w:rFonts w:hint="eastAsia" w:cs="宋体"/>
                <w:color w:val="000000"/>
                <w:kern w:val="0"/>
                <w:sz w:val="22"/>
                <w:szCs w:val="22"/>
              </w:rPr>
              <w:br w:type="textWrapping"/>
            </w:r>
            <w:r>
              <w:rPr>
                <w:rFonts w:hint="eastAsia" w:cs="宋体"/>
                <w:color w:val="000000"/>
                <w:kern w:val="0"/>
                <w:sz w:val="22"/>
                <w:szCs w:val="22"/>
              </w:rPr>
              <w:t>监测医院对填报的门急诊病例信息进行修改，包括本信息、临床症状与体征、标本采集情况</w:t>
            </w:r>
            <w:r>
              <w:rPr>
                <w:rFonts w:hint="eastAsia" w:cs="宋体"/>
                <w:color w:val="000000"/>
                <w:kern w:val="0"/>
                <w:sz w:val="22"/>
                <w:szCs w:val="22"/>
              </w:rPr>
              <w:br w:type="textWrapping"/>
            </w:r>
            <w:r>
              <w:rPr>
                <w:rFonts w:hint="eastAsia" w:cs="宋体"/>
                <w:color w:val="000000"/>
                <w:kern w:val="0"/>
                <w:sz w:val="22"/>
                <w:szCs w:val="22"/>
              </w:rPr>
              <w:t>门急诊病例个案报告查看</w:t>
            </w:r>
            <w:r>
              <w:rPr>
                <w:rFonts w:hint="eastAsia" w:cs="宋体"/>
                <w:color w:val="000000"/>
                <w:kern w:val="0"/>
                <w:sz w:val="22"/>
                <w:szCs w:val="22"/>
              </w:rPr>
              <w:br w:type="textWrapping"/>
            </w:r>
            <w:r>
              <w:rPr>
                <w:rFonts w:hint="eastAsia" w:cs="宋体"/>
                <w:color w:val="000000"/>
                <w:kern w:val="0"/>
                <w:sz w:val="22"/>
                <w:szCs w:val="22"/>
              </w:rPr>
              <w:t>监测医院和上级管理机构查看某个病例的信息，包含登记信息、采样信息、检测信息在内的所有信息</w:t>
            </w:r>
          </w:p>
        </w:tc>
      </w:tr>
      <w:tr w14:paraId="34652FF1">
        <w:tblPrEx>
          <w:tblCellMar>
            <w:top w:w="0" w:type="dxa"/>
            <w:left w:w="108" w:type="dxa"/>
            <w:bottom w:w="0" w:type="dxa"/>
            <w:right w:w="108" w:type="dxa"/>
          </w:tblCellMar>
        </w:tblPrEx>
        <w:trPr>
          <w:trHeight w:val="140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69EFEC5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24</w:t>
            </w:r>
          </w:p>
        </w:tc>
        <w:tc>
          <w:tcPr>
            <w:tcW w:w="1418" w:type="pct"/>
            <w:vMerge w:val="continue"/>
            <w:tcBorders>
              <w:top w:val="nil"/>
              <w:left w:val="single" w:color="000000" w:sz="4" w:space="0"/>
              <w:bottom w:val="single" w:color="000000" w:sz="4" w:space="0"/>
              <w:right w:val="single" w:color="000000" w:sz="4" w:space="0"/>
            </w:tcBorders>
            <w:vAlign w:val="center"/>
          </w:tcPr>
          <w:p w14:paraId="344A66F3">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255C4B9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急性结膜炎管理-实验室结果管理</w:t>
            </w:r>
          </w:p>
        </w:tc>
        <w:tc>
          <w:tcPr>
            <w:tcW w:w="1829" w:type="pct"/>
            <w:tcBorders>
              <w:top w:val="nil"/>
              <w:left w:val="nil"/>
              <w:bottom w:val="single" w:color="000000" w:sz="4" w:space="0"/>
              <w:right w:val="single" w:color="000000" w:sz="4" w:space="0"/>
            </w:tcBorders>
            <w:shd w:val="clear" w:color="auto" w:fill="auto"/>
            <w:vAlign w:val="center"/>
          </w:tcPr>
          <w:p w14:paraId="60CD05D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实验室结果一览</w:t>
            </w:r>
            <w:r>
              <w:rPr>
                <w:rFonts w:hint="eastAsia" w:cs="宋体"/>
                <w:color w:val="000000"/>
                <w:kern w:val="0"/>
                <w:sz w:val="22"/>
                <w:szCs w:val="22"/>
              </w:rPr>
              <w:br w:type="textWrapping"/>
            </w:r>
            <w:r>
              <w:rPr>
                <w:rFonts w:hint="eastAsia" w:cs="宋体"/>
                <w:color w:val="000000"/>
                <w:kern w:val="0"/>
                <w:sz w:val="22"/>
                <w:szCs w:val="22"/>
              </w:rPr>
              <w:t>可针对急性结膜炎送检的结果进行查询导出。</w:t>
            </w:r>
            <w:r>
              <w:rPr>
                <w:rFonts w:hint="eastAsia" w:cs="宋体"/>
                <w:color w:val="000000"/>
                <w:kern w:val="0"/>
                <w:sz w:val="22"/>
                <w:szCs w:val="22"/>
              </w:rPr>
              <w:br w:type="textWrapping"/>
            </w:r>
            <w:r>
              <w:rPr>
                <w:rFonts w:hint="eastAsia" w:cs="宋体"/>
                <w:color w:val="000000"/>
                <w:kern w:val="0"/>
                <w:sz w:val="22"/>
                <w:szCs w:val="22"/>
              </w:rPr>
              <w:t>实验室结果录入</w:t>
            </w:r>
            <w:r>
              <w:rPr>
                <w:rFonts w:hint="eastAsia" w:cs="宋体"/>
                <w:color w:val="000000"/>
                <w:kern w:val="0"/>
                <w:sz w:val="22"/>
                <w:szCs w:val="22"/>
              </w:rPr>
              <w:br w:type="textWrapping"/>
            </w:r>
            <w:r>
              <w:rPr>
                <w:rFonts w:hint="eastAsia" w:cs="宋体"/>
                <w:color w:val="000000"/>
                <w:kern w:val="0"/>
                <w:sz w:val="22"/>
                <w:szCs w:val="22"/>
              </w:rPr>
              <w:t>检测实验室可录入实验室的检测结果。供区疾控及社区卫生服务中心医生查看等。</w:t>
            </w:r>
          </w:p>
        </w:tc>
      </w:tr>
      <w:tr w14:paraId="4286678F">
        <w:tblPrEx>
          <w:tblCellMar>
            <w:top w:w="0" w:type="dxa"/>
            <w:left w:w="108" w:type="dxa"/>
            <w:bottom w:w="0" w:type="dxa"/>
            <w:right w:w="108" w:type="dxa"/>
          </w:tblCellMar>
        </w:tblPrEx>
        <w:trPr>
          <w:trHeight w:val="140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28ED048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25</w:t>
            </w:r>
          </w:p>
        </w:tc>
        <w:tc>
          <w:tcPr>
            <w:tcW w:w="1418" w:type="pct"/>
            <w:vMerge w:val="continue"/>
            <w:tcBorders>
              <w:top w:val="nil"/>
              <w:left w:val="single" w:color="000000" w:sz="4" w:space="0"/>
              <w:bottom w:val="single" w:color="000000" w:sz="4" w:space="0"/>
              <w:right w:val="single" w:color="000000" w:sz="4" w:space="0"/>
            </w:tcBorders>
            <w:vAlign w:val="center"/>
          </w:tcPr>
          <w:p w14:paraId="27D43A17">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13C545E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急性结膜炎管理-急性结膜炎报表</w:t>
            </w:r>
          </w:p>
        </w:tc>
        <w:tc>
          <w:tcPr>
            <w:tcW w:w="1829" w:type="pct"/>
            <w:tcBorders>
              <w:top w:val="nil"/>
              <w:left w:val="nil"/>
              <w:bottom w:val="single" w:color="000000" w:sz="4" w:space="0"/>
              <w:right w:val="single" w:color="000000" w:sz="4" w:space="0"/>
            </w:tcBorders>
            <w:shd w:val="clear" w:color="auto" w:fill="auto"/>
            <w:vAlign w:val="center"/>
          </w:tcPr>
          <w:p w14:paraId="12181FBE">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根据急性结膜炎业务管理需求，支持以下内容统计：</w:t>
            </w:r>
            <w:r>
              <w:rPr>
                <w:rFonts w:hint="eastAsia" w:cs="宋体"/>
                <w:color w:val="000000"/>
                <w:kern w:val="0"/>
                <w:sz w:val="22"/>
                <w:szCs w:val="22"/>
              </w:rPr>
              <w:br w:type="textWrapping"/>
            </w:r>
            <w:r>
              <w:rPr>
                <w:rFonts w:hint="eastAsia" w:cs="宋体"/>
                <w:color w:val="000000"/>
                <w:kern w:val="0"/>
                <w:sz w:val="22"/>
                <w:szCs w:val="22"/>
              </w:rPr>
              <w:t>监测统计报表（分时间）</w:t>
            </w:r>
            <w:r>
              <w:rPr>
                <w:rFonts w:hint="eastAsia" w:cs="宋体"/>
                <w:color w:val="000000"/>
                <w:kern w:val="0"/>
                <w:sz w:val="22"/>
                <w:szCs w:val="22"/>
              </w:rPr>
              <w:br w:type="textWrapping"/>
            </w:r>
            <w:r>
              <w:rPr>
                <w:rFonts w:hint="eastAsia" w:cs="宋体"/>
                <w:color w:val="000000"/>
                <w:kern w:val="0"/>
                <w:sz w:val="22"/>
                <w:szCs w:val="22"/>
              </w:rPr>
              <w:t>监测统计报表（分机构）</w:t>
            </w:r>
            <w:r>
              <w:rPr>
                <w:rFonts w:hint="eastAsia" w:cs="宋体"/>
                <w:color w:val="000000"/>
                <w:kern w:val="0"/>
                <w:sz w:val="22"/>
                <w:szCs w:val="22"/>
              </w:rPr>
              <w:br w:type="textWrapping"/>
            </w:r>
            <w:r>
              <w:rPr>
                <w:rFonts w:hint="eastAsia" w:cs="宋体"/>
                <w:color w:val="000000"/>
                <w:kern w:val="0"/>
                <w:sz w:val="22"/>
                <w:szCs w:val="22"/>
              </w:rPr>
              <w:t>检测结果统计表</w:t>
            </w:r>
            <w:r>
              <w:rPr>
                <w:rFonts w:hint="eastAsia" w:cs="宋体"/>
                <w:color w:val="000000"/>
                <w:kern w:val="0"/>
                <w:sz w:val="22"/>
                <w:szCs w:val="22"/>
              </w:rPr>
              <w:br w:type="textWrapping"/>
            </w:r>
            <w:r>
              <w:rPr>
                <w:rFonts w:hint="eastAsia" w:cs="宋体"/>
                <w:color w:val="000000"/>
                <w:kern w:val="0"/>
                <w:sz w:val="22"/>
                <w:szCs w:val="22"/>
              </w:rPr>
              <w:t>查询汇总表</w:t>
            </w:r>
          </w:p>
        </w:tc>
      </w:tr>
      <w:tr w14:paraId="7C5B7A6B">
        <w:tblPrEx>
          <w:tblCellMar>
            <w:top w:w="0" w:type="dxa"/>
            <w:left w:w="108" w:type="dxa"/>
            <w:bottom w:w="0" w:type="dxa"/>
            <w:right w:w="108" w:type="dxa"/>
          </w:tblCellMar>
        </w:tblPrEx>
        <w:trPr>
          <w:trHeight w:val="5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393FA0E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26</w:t>
            </w:r>
          </w:p>
        </w:tc>
        <w:tc>
          <w:tcPr>
            <w:tcW w:w="1418" w:type="pct"/>
            <w:vMerge w:val="continue"/>
            <w:tcBorders>
              <w:top w:val="nil"/>
              <w:left w:val="single" w:color="000000" w:sz="4" w:space="0"/>
              <w:bottom w:val="single" w:color="000000" w:sz="4" w:space="0"/>
              <w:right w:val="single" w:color="000000" w:sz="4" w:space="0"/>
            </w:tcBorders>
            <w:vAlign w:val="center"/>
          </w:tcPr>
          <w:p w14:paraId="590BBFF6">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32D0339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急性结膜炎管理-传染病直报系统接口</w:t>
            </w:r>
          </w:p>
        </w:tc>
        <w:tc>
          <w:tcPr>
            <w:tcW w:w="1829" w:type="pct"/>
            <w:tcBorders>
              <w:top w:val="nil"/>
              <w:left w:val="nil"/>
              <w:bottom w:val="single" w:color="000000" w:sz="4" w:space="0"/>
              <w:right w:val="single" w:color="000000" w:sz="4" w:space="0"/>
            </w:tcBorders>
            <w:shd w:val="clear" w:color="auto" w:fill="auto"/>
            <w:vAlign w:val="center"/>
          </w:tcPr>
          <w:p w14:paraId="7858A91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开设眼科的市级和区域医疗机构及社卫中心全年开展急性结膜炎数据监测，将传染病报告卡数据及监测数据推送至市眼防眼传染病信息平台。</w:t>
            </w:r>
          </w:p>
        </w:tc>
      </w:tr>
      <w:tr w14:paraId="3DACBBA1">
        <w:tblPrEx>
          <w:tblCellMar>
            <w:top w:w="0" w:type="dxa"/>
            <w:left w:w="108" w:type="dxa"/>
            <w:bottom w:w="0" w:type="dxa"/>
            <w:right w:w="108" w:type="dxa"/>
          </w:tblCellMar>
        </w:tblPrEx>
        <w:trPr>
          <w:trHeight w:val="5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5C745B5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27</w:t>
            </w:r>
          </w:p>
        </w:tc>
        <w:tc>
          <w:tcPr>
            <w:tcW w:w="1418" w:type="pct"/>
            <w:vMerge w:val="restart"/>
            <w:tcBorders>
              <w:top w:val="nil"/>
              <w:left w:val="single" w:color="000000" w:sz="4" w:space="0"/>
              <w:bottom w:val="single" w:color="000000" w:sz="4" w:space="0"/>
              <w:right w:val="single" w:color="000000" w:sz="4" w:space="0"/>
            </w:tcBorders>
            <w:shd w:val="clear" w:color="auto" w:fill="auto"/>
            <w:vAlign w:val="center"/>
          </w:tcPr>
          <w:p w14:paraId="76E23921">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口腔健康信息系统升级改造</w:t>
            </w:r>
          </w:p>
        </w:tc>
        <w:tc>
          <w:tcPr>
            <w:tcW w:w="1418" w:type="pct"/>
            <w:tcBorders>
              <w:top w:val="nil"/>
              <w:left w:val="nil"/>
              <w:bottom w:val="single" w:color="000000" w:sz="4" w:space="0"/>
              <w:right w:val="single" w:color="000000" w:sz="4" w:space="0"/>
            </w:tcBorders>
            <w:shd w:val="clear" w:color="auto" w:fill="auto"/>
            <w:vAlign w:val="center"/>
          </w:tcPr>
          <w:p w14:paraId="5FB69D3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工作督导</w:t>
            </w:r>
          </w:p>
        </w:tc>
        <w:tc>
          <w:tcPr>
            <w:tcW w:w="1829" w:type="pct"/>
            <w:tcBorders>
              <w:top w:val="nil"/>
              <w:left w:val="nil"/>
              <w:bottom w:val="single" w:color="000000" w:sz="4" w:space="0"/>
              <w:right w:val="single" w:color="000000" w:sz="4" w:space="0"/>
            </w:tcBorders>
            <w:shd w:val="clear" w:color="auto" w:fill="auto"/>
            <w:vAlign w:val="center"/>
          </w:tcPr>
          <w:p w14:paraId="7BBA85D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定期对社区采集的学生口腔健康管理信息的完整性和合理性进行督查；对社区卫生服务中心进行督导与考核。</w:t>
            </w:r>
            <w:r>
              <w:rPr>
                <w:rFonts w:hint="eastAsia" w:cs="宋体"/>
                <w:color w:val="auto"/>
                <w:kern w:val="0"/>
                <w:sz w:val="22"/>
                <w:szCs w:val="22"/>
              </w:rPr>
              <w:t>对开始复核的督导明细增加删除和增加建卡明细功能。复核明细画面增加本次复核的抽样规则和复核标记查询结果。督导画面增加查询学校并进行反向查询学校所属社区的功能。</w:t>
            </w:r>
          </w:p>
        </w:tc>
      </w:tr>
      <w:tr w14:paraId="074D3BA6">
        <w:tblPrEx>
          <w:tblCellMar>
            <w:top w:w="0" w:type="dxa"/>
            <w:left w:w="108" w:type="dxa"/>
            <w:bottom w:w="0" w:type="dxa"/>
            <w:right w:w="108" w:type="dxa"/>
          </w:tblCellMar>
        </w:tblPrEx>
        <w:trPr>
          <w:trHeight w:val="168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26A6F086">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28</w:t>
            </w:r>
          </w:p>
        </w:tc>
        <w:tc>
          <w:tcPr>
            <w:tcW w:w="1418" w:type="pct"/>
            <w:vMerge w:val="continue"/>
            <w:tcBorders>
              <w:top w:val="nil"/>
              <w:left w:val="single" w:color="000000" w:sz="4" w:space="0"/>
              <w:bottom w:val="single" w:color="000000" w:sz="4" w:space="0"/>
              <w:right w:val="single" w:color="000000" w:sz="4" w:space="0"/>
            </w:tcBorders>
            <w:vAlign w:val="center"/>
          </w:tcPr>
          <w:p w14:paraId="6D6600C5">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7D38795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学生建卡</w:t>
            </w:r>
          </w:p>
        </w:tc>
        <w:tc>
          <w:tcPr>
            <w:tcW w:w="1829" w:type="pct"/>
            <w:tcBorders>
              <w:top w:val="nil"/>
              <w:left w:val="nil"/>
              <w:bottom w:val="single" w:color="000000" w:sz="4" w:space="0"/>
              <w:right w:val="single" w:color="000000" w:sz="4" w:space="0"/>
            </w:tcBorders>
            <w:shd w:val="clear" w:color="auto" w:fill="auto"/>
            <w:vAlign w:val="center"/>
          </w:tcPr>
          <w:p w14:paraId="7A937DC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 学生建卡时有时间间隔限制，增加增加系统配置进行修改，或根据实际情况进行必要的申请流程；</w:t>
            </w:r>
            <w:r>
              <w:rPr>
                <w:rFonts w:hint="eastAsia" w:cs="宋体"/>
                <w:color w:val="000000"/>
                <w:kern w:val="0"/>
                <w:sz w:val="22"/>
                <w:szCs w:val="22"/>
              </w:rPr>
              <w:br w:type="textWrapping"/>
            </w:r>
            <w:r>
              <w:rPr>
                <w:rFonts w:hint="eastAsia" w:cs="宋体"/>
                <w:color w:val="000000"/>
                <w:kern w:val="0"/>
                <w:sz w:val="22"/>
                <w:szCs w:val="22"/>
              </w:rPr>
              <w:t>2) 为保证输入连贯性，批量建档时保持当前检查机构一致；</w:t>
            </w:r>
            <w:r>
              <w:rPr>
                <w:rFonts w:hint="eastAsia" w:cs="宋体"/>
                <w:color w:val="000000"/>
                <w:kern w:val="0"/>
                <w:sz w:val="22"/>
                <w:szCs w:val="22"/>
              </w:rPr>
              <w:br w:type="textWrapping"/>
            </w:r>
            <w:r>
              <w:rPr>
                <w:rFonts w:hint="eastAsia" w:cs="宋体"/>
                <w:color w:val="000000"/>
                <w:kern w:val="0"/>
                <w:sz w:val="22"/>
                <w:szCs w:val="22"/>
              </w:rPr>
              <w:t>3) 为避免区级提交后，社区需要修改，学生批次提交增加市级驳回功能。</w:t>
            </w:r>
          </w:p>
        </w:tc>
      </w:tr>
      <w:tr w14:paraId="1E4CAAC3">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38F608A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29</w:t>
            </w:r>
          </w:p>
        </w:tc>
        <w:tc>
          <w:tcPr>
            <w:tcW w:w="1418" w:type="pct"/>
            <w:vMerge w:val="continue"/>
            <w:tcBorders>
              <w:top w:val="nil"/>
              <w:left w:val="single" w:color="000000" w:sz="4" w:space="0"/>
              <w:bottom w:val="single" w:color="000000" w:sz="4" w:space="0"/>
              <w:right w:val="single" w:color="000000" w:sz="4" w:space="0"/>
            </w:tcBorders>
            <w:vAlign w:val="center"/>
          </w:tcPr>
          <w:p w14:paraId="51B5BA3D">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43B6A76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查询</w:t>
            </w:r>
          </w:p>
        </w:tc>
        <w:tc>
          <w:tcPr>
            <w:tcW w:w="1829" w:type="pct"/>
            <w:tcBorders>
              <w:top w:val="nil"/>
              <w:left w:val="nil"/>
              <w:bottom w:val="single" w:color="000000" w:sz="4" w:space="0"/>
              <w:right w:val="single" w:color="000000" w:sz="4" w:space="0"/>
            </w:tcBorders>
            <w:shd w:val="clear" w:color="auto" w:fill="auto"/>
            <w:vAlign w:val="center"/>
          </w:tcPr>
          <w:p w14:paraId="721DEE3E">
            <w:pPr>
              <w:widowControl/>
              <w:spacing w:line="240" w:lineRule="auto"/>
              <w:ind w:firstLine="0" w:firstLineChars="0"/>
              <w:rPr>
                <w:rFonts w:cs="宋体"/>
                <w:color w:val="auto"/>
                <w:kern w:val="0"/>
                <w:sz w:val="22"/>
                <w:szCs w:val="22"/>
              </w:rPr>
            </w:pPr>
            <w:r>
              <w:rPr>
                <w:rFonts w:hint="eastAsia" w:cs="宋体"/>
                <w:color w:val="000000"/>
                <w:kern w:val="0"/>
                <w:sz w:val="22"/>
                <w:szCs w:val="22"/>
              </w:rPr>
              <w:t>按不同的统计维度进行统计，包括学生和成人涂氟记录、检查记录、外院诊疗记录等；</w:t>
            </w:r>
            <w:r>
              <w:rPr>
                <w:rFonts w:hint="eastAsia" w:cs="宋体"/>
                <w:color w:val="000000"/>
                <w:kern w:val="0"/>
                <w:sz w:val="22"/>
                <w:szCs w:val="22"/>
              </w:rPr>
              <w:br w:type="textWrapping"/>
            </w:r>
            <w:r>
              <w:rPr>
                <w:rFonts w:hint="eastAsia" w:cs="宋体"/>
                <w:color w:val="000000"/>
                <w:kern w:val="0"/>
                <w:sz w:val="22"/>
                <w:szCs w:val="22"/>
              </w:rPr>
              <w:t>1)各维度需要增加性别查询；</w:t>
            </w:r>
            <w:r>
              <w:rPr>
                <w:rFonts w:hint="eastAsia" w:cs="宋体"/>
                <w:color w:val="000000"/>
                <w:kern w:val="0"/>
                <w:sz w:val="22"/>
                <w:szCs w:val="22"/>
              </w:rPr>
              <w:br w:type="textWrapping"/>
            </w:r>
            <w:r>
              <w:rPr>
                <w:rFonts w:hint="eastAsia" w:cs="宋体"/>
                <w:color w:val="000000"/>
                <w:kern w:val="0"/>
                <w:sz w:val="22"/>
                <w:szCs w:val="22"/>
              </w:rPr>
              <w:t>2)增加学生建卡信息牙位数据查</w:t>
            </w:r>
            <w:r>
              <w:rPr>
                <w:rFonts w:hint="eastAsia" w:cs="宋体"/>
                <w:color w:val="auto"/>
                <w:kern w:val="0"/>
                <w:sz w:val="22"/>
                <w:szCs w:val="22"/>
              </w:rPr>
              <w:t>询并导出；</w:t>
            </w:r>
          </w:p>
          <w:p w14:paraId="513FF952">
            <w:pPr>
              <w:widowControl/>
              <w:spacing w:line="240" w:lineRule="auto"/>
              <w:ind w:firstLine="0" w:firstLineChars="0"/>
              <w:rPr>
                <w:rFonts w:hint="eastAsia" w:cs="宋体"/>
                <w:color w:val="000000"/>
                <w:kern w:val="0"/>
                <w:sz w:val="22"/>
                <w:szCs w:val="22"/>
              </w:rPr>
            </w:pPr>
            <w:r>
              <w:rPr>
                <w:rFonts w:cs="宋体"/>
                <w:color w:val="auto"/>
                <w:kern w:val="0"/>
                <w:sz w:val="22"/>
                <w:szCs w:val="22"/>
              </w:rPr>
              <w:t>3</w:t>
            </w:r>
            <w:r>
              <w:rPr>
                <w:rFonts w:hint="eastAsia" w:cs="宋体"/>
                <w:color w:val="auto"/>
                <w:kern w:val="0"/>
                <w:sz w:val="22"/>
                <w:szCs w:val="22"/>
              </w:rPr>
              <w:t>)增加乳牙、恒牙、年龄维度查询并导出。</w:t>
            </w:r>
          </w:p>
        </w:tc>
      </w:tr>
      <w:tr w14:paraId="27BE072D">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7E3FCAD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30</w:t>
            </w:r>
          </w:p>
        </w:tc>
        <w:tc>
          <w:tcPr>
            <w:tcW w:w="1418" w:type="pct"/>
            <w:vMerge w:val="continue"/>
            <w:tcBorders>
              <w:top w:val="nil"/>
              <w:left w:val="single" w:color="000000" w:sz="4" w:space="0"/>
              <w:bottom w:val="single" w:color="000000" w:sz="4" w:space="0"/>
              <w:right w:val="single" w:color="000000" w:sz="4" w:space="0"/>
            </w:tcBorders>
            <w:vAlign w:val="center"/>
          </w:tcPr>
          <w:p w14:paraId="705659D2">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3BC0CFE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报表统计</w:t>
            </w:r>
          </w:p>
        </w:tc>
        <w:tc>
          <w:tcPr>
            <w:tcW w:w="1829" w:type="pct"/>
            <w:tcBorders>
              <w:top w:val="nil"/>
              <w:left w:val="nil"/>
              <w:bottom w:val="single" w:color="000000" w:sz="4" w:space="0"/>
              <w:right w:val="single" w:color="000000" w:sz="4" w:space="0"/>
            </w:tcBorders>
            <w:shd w:val="clear" w:color="auto" w:fill="auto"/>
            <w:vAlign w:val="center"/>
          </w:tcPr>
          <w:p w14:paraId="215BB898">
            <w:pPr>
              <w:widowControl/>
              <w:spacing w:line="240" w:lineRule="auto"/>
              <w:ind w:firstLine="0" w:firstLineChars="0"/>
              <w:rPr>
                <w:rFonts w:cs="宋体"/>
                <w:color w:val="000000"/>
                <w:kern w:val="0"/>
                <w:sz w:val="22"/>
                <w:szCs w:val="22"/>
              </w:rPr>
            </w:pPr>
            <w:r>
              <w:rPr>
                <w:rFonts w:hint="eastAsia" w:cs="宋体"/>
                <w:color w:val="000000"/>
                <w:kern w:val="0"/>
                <w:sz w:val="22"/>
                <w:szCs w:val="22"/>
              </w:rPr>
              <w:t>对涂氟月报、窝封月报、总充填率月报、乳磨牙充填率、恒牙充填率、户籍月报本市、户籍月报常驻、拒绝率统计月报、转诊率统计月报、民办月报、外院月报等多张报表统计分析。</w:t>
            </w:r>
          </w:p>
          <w:p w14:paraId="4891C157">
            <w:pPr>
              <w:spacing w:line="240" w:lineRule="auto"/>
              <w:ind w:firstLine="0" w:firstLineChars="0"/>
              <w:jc w:val="both"/>
              <w:rPr>
                <w:rFonts w:hint="eastAsia" w:cs="宋体"/>
                <w:color w:val="auto"/>
                <w:kern w:val="0"/>
                <w:sz w:val="22"/>
                <w:szCs w:val="22"/>
              </w:rPr>
            </w:pPr>
            <w:r>
              <w:rPr>
                <w:rFonts w:hint="eastAsia" w:cs="宋体"/>
                <w:color w:val="auto"/>
                <w:kern w:val="0"/>
                <w:sz w:val="22"/>
                <w:szCs w:val="22"/>
              </w:rPr>
              <w:t>1)</w:t>
            </w:r>
            <w:r>
              <w:rPr>
                <w:rFonts w:hint="eastAsia" w:cs="宋体"/>
                <w:color w:val="auto"/>
                <w:kern w:val="0"/>
                <w:sz w:val="22"/>
                <w:szCs w:val="22"/>
              </w:rPr>
              <w:tab/>
            </w:r>
            <w:r>
              <w:rPr>
                <w:rFonts w:hint="eastAsia" w:cs="宋体"/>
                <w:color w:val="auto"/>
                <w:kern w:val="0"/>
                <w:sz w:val="22"/>
                <w:szCs w:val="22"/>
              </w:rPr>
              <w:t>学生工作月报表增加性别统计，增加学校所属社区、需填充人数统计；</w:t>
            </w:r>
          </w:p>
          <w:p w14:paraId="1AB3065E">
            <w:pPr>
              <w:spacing w:line="240" w:lineRule="auto"/>
              <w:ind w:firstLine="0" w:firstLineChars="0"/>
              <w:jc w:val="both"/>
              <w:rPr>
                <w:rFonts w:hint="eastAsia" w:cs="宋体"/>
                <w:color w:val="auto"/>
                <w:kern w:val="0"/>
                <w:sz w:val="22"/>
                <w:szCs w:val="22"/>
              </w:rPr>
            </w:pPr>
            <w:r>
              <w:rPr>
                <w:rFonts w:hint="eastAsia" w:cs="宋体"/>
                <w:color w:val="auto"/>
                <w:kern w:val="0"/>
                <w:sz w:val="22"/>
                <w:szCs w:val="22"/>
              </w:rPr>
              <w:t>2)</w:t>
            </w:r>
            <w:r>
              <w:rPr>
                <w:rFonts w:hint="eastAsia" w:cs="宋体"/>
                <w:color w:val="auto"/>
                <w:kern w:val="0"/>
                <w:sz w:val="22"/>
                <w:szCs w:val="22"/>
              </w:rPr>
              <w:tab/>
            </w:r>
            <w:r>
              <w:rPr>
                <w:rFonts w:hint="eastAsia" w:cs="宋体"/>
                <w:color w:val="auto"/>
                <w:kern w:val="0"/>
                <w:sz w:val="22"/>
                <w:szCs w:val="22"/>
              </w:rPr>
              <w:t>成年人工作月报表增加性别统计，增加需填充人数查询；</w:t>
            </w:r>
          </w:p>
          <w:p w14:paraId="6107FCDE">
            <w:pPr>
              <w:spacing w:line="240" w:lineRule="auto"/>
              <w:ind w:firstLine="0" w:firstLineChars="0"/>
              <w:jc w:val="both"/>
              <w:rPr>
                <w:rFonts w:hint="eastAsia" w:cs="宋体"/>
                <w:color w:val="auto"/>
                <w:kern w:val="0"/>
                <w:sz w:val="22"/>
                <w:szCs w:val="22"/>
              </w:rPr>
            </w:pPr>
            <w:r>
              <w:rPr>
                <w:rFonts w:hint="eastAsia" w:cs="宋体"/>
                <w:color w:val="auto"/>
                <w:kern w:val="0"/>
                <w:sz w:val="22"/>
                <w:szCs w:val="22"/>
              </w:rPr>
              <w:t>3)</w:t>
            </w:r>
            <w:r>
              <w:rPr>
                <w:rFonts w:hint="eastAsia" w:cs="宋体"/>
                <w:color w:val="auto"/>
                <w:kern w:val="0"/>
                <w:sz w:val="22"/>
                <w:szCs w:val="22"/>
              </w:rPr>
              <w:tab/>
            </w:r>
            <w:r>
              <w:rPr>
                <w:rFonts w:hint="eastAsia" w:cs="宋体"/>
                <w:color w:val="auto"/>
                <w:kern w:val="0"/>
                <w:sz w:val="22"/>
                <w:szCs w:val="22"/>
              </w:rPr>
              <w:t>人员绩效考核月报表增加性别统计，增加需填充人数查询；</w:t>
            </w:r>
          </w:p>
          <w:p w14:paraId="6EF42861">
            <w:pPr>
              <w:widowControl/>
              <w:spacing w:line="240" w:lineRule="auto"/>
              <w:ind w:firstLine="0" w:firstLineChars="0"/>
              <w:rPr>
                <w:rFonts w:hint="eastAsia" w:cs="宋体"/>
                <w:color w:val="000000"/>
                <w:kern w:val="0"/>
                <w:sz w:val="22"/>
                <w:szCs w:val="22"/>
              </w:rPr>
            </w:pPr>
            <w:r>
              <w:rPr>
                <w:rFonts w:hint="eastAsia" w:cs="宋体"/>
                <w:color w:val="auto"/>
                <w:kern w:val="0"/>
                <w:sz w:val="22"/>
                <w:szCs w:val="22"/>
              </w:rPr>
              <w:t>4)</w:t>
            </w:r>
            <w:r>
              <w:rPr>
                <w:rFonts w:hint="eastAsia" w:cs="宋体"/>
                <w:color w:val="auto"/>
                <w:kern w:val="0"/>
                <w:sz w:val="22"/>
                <w:szCs w:val="22"/>
              </w:rPr>
              <w:tab/>
            </w:r>
            <w:r>
              <w:rPr>
                <w:rFonts w:hint="eastAsia" w:cs="宋体"/>
                <w:color w:val="auto"/>
                <w:kern w:val="0"/>
                <w:sz w:val="22"/>
                <w:szCs w:val="22"/>
              </w:rPr>
              <w:t>时间大跨度下查询乳磨牙充填率，恒牙充填率等大量数据时，分库分表。</w:t>
            </w:r>
          </w:p>
        </w:tc>
      </w:tr>
      <w:tr w14:paraId="1776F72D">
        <w:tblPrEx>
          <w:tblCellMar>
            <w:top w:w="0" w:type="dxa"/>
            <w:left w:w="108" w:type="dxa"/>
            <w:bottom w:w="0" w:type="dxa"/>
            <w:right w:w="108" w:type="dxa"/>
          </w:tblCellMar>
        </w:tblPrEx>
        <w:trPr>
          <w:trHeight w:val="5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40261F9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31</w:t>
            </w:r>
          </w:p>
        </w:tc>
        <w:tc>
          <w:tcPr>
            <w:tcW w:w="1418" w:type="pct"/>
            <w:vMerge w:val="continue"/>
            <w:tcBorders>
              <w:top w:val="nil"/>
              <w:left w:val="single" w:color="000000" w:sz="4" w:space="0"/>
              <w:bottom w:val="single" w:color="000000" w:sz="4" w:space="0"/>
              <w:right w:val="single" w:color="000000" w:sz="4" w:space="0"/>
            </w:tcBorders>
            <w:vAlign w:val="center"/>
          </w:tcPr>
          <w:p w14:paraId="1196C052">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5F5CC2C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成人建卡</w:t>
            </w:r>
          </w:p>
        </w:tc>
        <w:tc>
          <w:tcPr>
            <w:tcW w:w="1829" w:type="pct"/>
            <w:tcBorders>
              <w:top w:val="nil"/>
              <w:left w:val="nil"/>
              <w:bottom w:val="single" w:color="000000" w:sz="4" w:space="0"/>
              <w:right w:val="single" w:color="000000" w:sz="4" w:space="0"/>
            </w:tcBorders>
            <w:shd w:val="clear" w:color="auto" w:fill="auto"/>
            <w:vAlign w:val="center"/>
          </w:tcPr>
          <w:p w14:paraId="7AC22AAD">
            <w:pPr>
              <w:widowControl/>
              <w:spacing w:line="240" w:lineRule="auto"/>
              <w:ind w:firstLine="0" w:firstLineChars="0"/>
              <w:rPr>
                <w:rFonts w:cs="宋体"/>
                <w:color w:val="000000"/>
                <w:kern w:val="0"/>
                <w:sz w:val="22"/>
                <w:szCs w:val="22"/>
              </w:rPr>
            </w:pPr>
            <w:r>
              <w:rPr>
                <w:rFonts w:hint="eastAsia" w:cs="宋体"/>
                <w:color w:val="000000"/>
                <w:kern w:val="0"/>
                <w:sz w:val="22"/>
                <w:szCs w:val="22"/>
              </w:rPr>
              <w:t>1) 将限制重复建档时间间隔增加系统配置，或根据实际情况进行重复建档向上申请流程。</w:t>
            </w:r>
          </w:p>
          <w:p w14:paraId="04AA61CF">
            <w:pPr>
              <w:widowControl/>
              <w:spacing w:line="240" w:lineRule="auto"/>
              <w:ind w:firstLine="0" w:firstLineChars="0"/>
              <w:rPr>
                <w:rFonts w:hint="eastAsia" w:cs="宋体"/>
                <w:color w:val="000000"/>
                <w:kern w:val="0"/>
                <w:sz w:val="22"/>
                <w:szCs w:val="22"/>
              </w:rPr>
            </w:pPr>
            <w:r>
              <w:rPr>
                <w:rFonts w:hint="eastAsia" w:cs="宋体"/>
                <w:color w:val="auto"/>
                <w:kern w:val="0"/>
                <w:sz w:val="22"/>
                <w:szCs w:val="22"/>
              </w:rPr>
              <w:t>2）增加简化版成人建卡。</w:t>
            </w:r>
          </w:p>
        </w:tc>
      </w:tr>
      <w:tr w14:paraId="037BAC4C">
        <w:tblPrEx>
          <w:tblCellMar>
            <w:top w:w="0" w:type="dxa"/>
            <w:left w:w="108" w:type="dxa"/>
            <w:bottom w:w="0" w:type="dxa"/>
            <w:right w:w="108" w:type="dxa"/>
          </w:tblCellMar>
        </w:tblPrEx>
        <w:trPr>
          <w:trHeight w:val="28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49F53CE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32</w:t>
            </w:r>
          </w:p>
        </w:tc>
        <w:tc>
          <w:tcPr>
            <w:tcW w:w="1418" w:type="pct"/>
            <w:vMerge w:val="continue"/>
            <w:tcBorders>
              <w:top w:val="nil"/>
              <w:left w:val="single" w:color="000000" w:sz="4" w:space="0"/>
              <w:bottom w:val="single" w:color="000000" w:sz="4" w:space="0"/>
              <w:right w:val="single" w:color="000000" w:sz="4" w:space="0"/>
            </w:tcBorders>
            <w:vAlign w:val="center"/>
          </w:tcPr>
          <w:p w14:paraId="602F7084">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16FC740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随访</w:t>
            </w:r>
          </w:p>
        </w:tc>
        <w:tc>
          <w:tcPr>
            <w:tcW w:w="1829" w:type="pct"/>
            <w:tcBorders>
              <w:top w:val="nil"/>
              <w:left w:val="nil"/>
              <w:bottom w:val="single" w:color="000000" w:sz="4" w:space="0"/>
              <w:right w:val="single" w:color="000000" w:sz="4" w:space="0"/>
            </w:tcBorders>
            <w:shd w:val="clear" w:color="auto" w:fill="auto"/>
            <w:vAlign w:val="center"/>
          </w:tcPr>
          <w:p w14:paraId="6DFC4F5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 处理方法增加随访。</w:t>
            </w:r>
          </w:p>
        </w:tc>
      </w:tr>
      <w:tr w14:paraId="0E9DE8A8">
        <w:tblPrEx>
          <w:tblCellMar>
            <w:top w:w="0" w:type="dxa"/>
            <w:left w:w="108" w:type="dxa"/>
            <w:bottom w:w="0" w:type="dxa"/>
            <w:right w:w="108" w:type="dxa"/>
          </w:tblCellMar>
        </w:tblPrEx>
        <w:trPr>
          <w:trHeight w:val="5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3A8D9961">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33</w:t>
            </w:r>
          </w:p>
        </w:tc>
        <w:tc>
          <w:tcPr>
            <w:tcW w:w="1418" w:type="pct"/>
            <w:vMerge w:val="continue"/>
            <w:tcBorders>
              <w:top w:val="nil"/>
              <w:left w:val="single" w:color="000000" w:sz="4" w:space="0"/>
              <w:bottom w:val="single" w:color="000000" w:sz="4" w:space="0"/>
              <w:right w:val="single" w:color="000000" w:sz="4" w:space="0"/>
            </w:tcBorders>
            <w:vAlign w:val="center"/>
          </w:tcPr>
          <w:p w14:paraId="6541F9CC">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2F1905F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转诊</w:t>
            </w:r>
          </w:p>
        </w:tc>
        <w:tc>
          <w:tcPr>
            <w:tcW w:w="1829" w:type="pct"/>
            <w:tcBorders>
              <w:top w:val="nil"/>
              <w:left w:val="nil"/>
              <w:bottom w:val="single" w:color="000000" w:sz="4" w:space="0"/>
              <w:right w:val="single" w:color="000000" w:sz="4" w:space="0"/>
            </w:tcBorders>
            <w:shd w:val="clear" w:color="auto" w:fill="auto"/>
            <w:vAlign w:val="center"/>
          </w:tcPr>
          <w:p w14:paraId="6E069C0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 增加转诊模块。</w:t>
            </w:r>
            <w:r>
              <w:rPr>
                <w:rFonts w:hint="eastAsia" w:cs="宋体"/>
                <w:color w:val="000000"/>
                <w:kern w:val="0"/>
                <w:sz w:val="22"/>
                <w:szCs w:val="22"/>
              </w:rPr>
              <w:br w:type="textWrapping"/>
            </w:r>
            <w:r>
              <w:rPr>
                <w:rFonts w:hint="eastAsia" w:cs="宋体"/>
                <w:color w:val="000000"/>
                <w:kern w:val="0"/>
                <w:sz w:val="22"/>
                <w:szCs w:val="22"/>
              </w:rPr>
              <w:t>2) 外院转诊报表功能。</w:t>
            </w:r>
          </w:p>
        </w:tc>
      </w:tr>
      <w:tr w14:paraId="27C625B9">
        <w:tblPrEx>
          <w:tblCellMar>
            <w:top w:w="0" w:type="dxa"/>
            <w:left w:w="108" w:type="dxa"/>
            <w:bottom w:w="0" w:type="dxa"/>
            <w:right w:w="108" w:type="dxa"/>
          </w:tblCellMar>
        </w:tblPrEx>
        <w:trPr>
          <w:trHeight w:val="28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5AF33C96">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34</w:t>
            </w:r>
          </w:p>
        </w:tc>
        <w:tc>
          <w:tcPr>
            <w:tcW w:w="1418" w:type="pct"/>
            <w:vMerge w:val="continue"/>
            <w:tcBorders>
              <w:top w:val="nil"/>
              <w:left w:val="single" w:color="000000" w:sz="4" w:space="0"/>
              <w:bottom w:val="single" w:color="000000" w:sz="4" w:space="0"/>
              <w:right w:val="single" w:color="000000" w:sz="4" w:space="0"/>
            </w:tcBorders>
            <w:vAlign w:val="center"/>
          </w:tcPr>
          <w:p w14:paraId="4068323D">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785C2FA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外院就诊数据对接</w:t>
            </w:r>
          </w:p>
        </w:tc>
        <w:tc>
          <w:tcPr>
            <w:tcW w:w="1829" w:type="pct"/>
            <w:tcBorders>
              <w:top w:val="nil"/>
              <w:left w:val="nil"/>
              <w:bottom w:val="single" w:color="000000" w:sz="4" w:space="0"/>
              <w:right w:val="single" w:color="000000" w:sz="4" w:space="0"/>
            </w:tcBorders>
            <w:shd w:val="clear" w:color="auto" w:fill="auto"/>
            <w:vAlign w:val="center"/>
          </w:tcPr>
          <w:p w14:paraId="039C8C7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外院就诊数据对接</w:t>
            </w:r>
          </w:p>
        </w:tc>
      </w:tr>
      <w:tr w14:paraId="005CC575">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77A1F84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35</w:t>
            </w:r>
          </w:p>
        </w:tc>
        <w:tc>
          <w:tcPr>
            <w:tcW w:w="1418" w:type="pct"/>
            <w:vMerge w:val="restart"/>
            <w:tcBorders>
              <w:top w:val="nil"/>
              <w:left w:val="single" w:color="000000" w:sz="4" w:space="0"/>
              <w:bottom w:val="single" w:color="000000" w:sz="4" w:space="0"/>
              <w:right w:val="single" w:color="000000" w:sz="4" w:space="0"/>
            </w:tcBorders>
            <w:shd w:val="clear" w:color="auto" w:fill="auto"/>
            <w:vAlign w:val="center"/>
          </w:tcPr>
          <w:p w14:paraId="1BBEC65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居民疫苗服务</w:t>
            </w:r>
          </w:p>
        </w:tc>
        <w:tc>
          <w:tcPr>
            <w:tcW w:w="1418" w:type="pct"/>
            <w:tcBorders>
              <w:top w:val="nil"/>
              <w:left w:val="nil"/>
              <w:bottom w:val="single" w:color="000000" w:sz="4" w:space="0"/>
              <w:right w:val="single" w:color="000000" w:sz="4" w:space="0"/>
            </w:tcBorders>
            <w:shd w:val="clear" w:color="auto" w:fill="auto"/>
            <w:vAlign w:val="center"/>
          </w:tcPr>
          <w:p w14:paraId="00CBA58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疫苗预约-紧缺疫苗预约</w:t>
            </w:r>
          </w:p>
        </w:tc>
        <w:tc>
          <w:tcPr>
            <w:tcW w:w="1829" w:type="pct"/>
            <w:tcBorders>
              <w:top w:val="nil"/>
              <w:left w:val="nil"/>
              <w:bottom w:val="single" w:color="000000" w:sz="4" w:space="0"/>
              <w:right w:val="single" w:color="000000" w:sz="4" w:space="0"/>
            </w:tcBorders>
            <w:shd w:val="clear" w:color="auto" w:fill="auto"/>
            <w:vAlign w:val="center"/>
          </w:tcPr>
          <w:p w14:paraId="1F9A5FE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针对HPV、流感等疫苗，提供紧缺疫苗排队预约功能，当有疫苗库存时，排队依次发放预约资格，获得预约资格的市民可在当天进行预约，做到合理有序地排队预约。</w:t>
            </w:r>
          </w:p>
        </w:tc>
      </w:tr>
      <w:tr w14:paraId="166E596C">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020FD78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36</w:t>
            </w:r>
          </w:p>
        </w:tc>
        <w:tc>
          <w:tcPr>
            <w:tcW w:w="1418" w:type="pct"/>
            <w:vMerge w:val="continue"/>
            <w:tcBorders>
              <w:top w:val="nil"/>
              <w:left w:val="single" w:color="000000" w:sz="4" w:space="0"/>
              <w:bottom w:val="single" w:color="000000" w:sz="4" w:space="0"/>
              <w:right w:val="single" w:color="000000" w:sz="4" w:space="0"/>
            </w:tcBorders>
            <w:vAlign w:val="center"/>
          </w:tcPr>
          <w:p w14:paraId="34CB68B0">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7A7BF8F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接种提醒</w:t>
            </w:r>
          </w:p>
        </w:tc>
        <w:tc>
          <w:tcPr>
            <w:tcW w:w="1829" w:type="pct"/>
            <w:tcBorders>
              <w:top w:val="nil"/>
              <w:left w:val="nil"/>
              <w:bottom w:val="single" w:color="000000" w:sz="4" w:space="0"/>
              <w:right w:val="single" w:color="000000" w:sz="4" w:space="0"/>
            </w:tcBorders>
            <w:shd w:val="clear" w:color="auto" w:fill="auto"/>
            <w:vAlign w:val="center"/>
          </w:tcPr>
          <w:p w14:paraId="010ACD3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提供疫苗预约到时提醒，减少因为接种单位受种者多等原因，白跑或排队等待的时间；</w:t>
            </w:r>
            <w:r>
              <w:rPr>
                <w:rFonts w:hint="eastAsia" w:cs="宋体"/>
                <w:color w:val="000000"/>
                <w:kern w:val="0"/>
                <w:sz w:val="22"/>
                <w:szCs w:val="22"/>
              </w:rPr>
              <w:br w:type="textWrapping"/>
            </w:r>
            <w:r>
              <w:rPr>
                <w:rFonts w:hint="eastAsia" w:cs="宋体"/>
                <w:color w:val="000000"/>
                <w:kern w:val="0"/>
                <w:sz w:val="22"/>
                <w:szCs w:val="22"/>
              </w:rPr>
              <w:t>根据免疫规划的接种预约日期，及时提醒通知家长带孩子前去免疫接种，避免漏种疫苗；</w:t>
            </w:r>
          </w:p>
        </w:tc>
      </w:tr>
      <w:tr w14:paraId="2FD5B771">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22693371">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37</w:t>
            </w:r>
          </w:p>
        </w:tc>
        <w:tc>
          <w:tcPr>
            <w:tcW w:w="1418" w:type="pct"/>
            <w:vMerge w:val="continue"/>
            <w:tcBorders>
              <w:top w:val="nil"/>
              <w:left w:val="single" w:color="000000" w:sz="4" w:space="0"/>
              <w:bottom w:val="single" w:color="000000" w:sz="4" w:space="0"/>
              <w:right w:val="single" w:color="000000" w:sz="4" w:space="0"/>
            </w:tcBorders>
            <w:vAlign w:val="center"/>
          </w:tcPr>
          <w:p w14:paraId="38E745AA">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1B685128">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在线支付</w:t>
            </w:r>
          </w:p>
        </w:tc>
        <w:tc>
          <w:tcPr>
            <w:tcW w:w="1829" w:type="pct"/>
            <w:tcBorders>
              <w:top w:val="nil"/>
              <w:left w:val="nil"/>
              <w:bottom w:val="single" w:color="000000" w:sz="4" w:space="0"/>
              <w:right w:val="single" w:color="000000" w:sz="4" w:space="0"/>
            </w:tcBorders>
            <w:shd w:val="clear" w:color="auto" w:fill="auto"/>
            <w:vAlign w:val="center"/>
          </w:tcPr>
          <w:p w14:paraId="0BFE24C8">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打通与接种门诊收费系统，提供非免规疫苗接种的支付功能和相应的票据凭证；对开通微信、支付宝支付的接种单位，可以通过开通提前支付和现场支付功能</w:t>
            </w:r>
          </w:p>
        </w:tc>
      </w:tr>
      <w:tr w14:paraId="0A1D7B56">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34EB390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38</w:t>
            </w:r>
          </w:p>
        </w:tc>
        <w:tc>
          <w:tcPr>
            <w:tcW w:w="1418" w:type="pct"/>
            <w:vMerge w:val="restart"/>
            <w:tcBorders>
              <w:top w:val="nil"/>
              <w:left w:val="single" w:color="000000" w:sz="4" w:space="0"/>
              <w:bottom w:val="single" w:color="000000" w:sz="4" w:space="0"/>
              <w:right w:val="single" w:color="000000" w:sz="4" w:space="0"/>
            </w:tcBorders>
            <w:shd w:val="clear" w:color="auto" w:fill="auto"/>
            <w:vAlign w:val="center"/>
          </w:tcPr>
          <w:p w14:paraId="3EF78641">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电子病史的内涵质控</w:t>
            </w:r>
          </w:p>
        </w:tc>
        <w:tc>
          <w:tcPr>
            <w:tcW w:w="1418" w:type="pct"/>
            <w:tcBorders>
              <w:top w:val="nil"/>
              <w:left w:val="nil"/>
              <w:bottom w:val="single" w:color="000000" w:sz="4" w:space="0"/>
              <w:right w:val="single" w:color="000000" w:sz="4" w:space="0"/>
            </w:tcBorders>
            <w:shd w:val="clear" w:color="auto" w:fill="auto"/>
            <w:vAlign w:val="center"/>
          </w:tcPr>
          <w:p w14:paraId="38E634BE">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电子病历数据采集管理-电子病历（病史）数据模型构建-病历概要数据集</w:t>
            </w:r>
          </w:p>
        </w:tc>
        <w:tc>
          <w:tcPr>
            <w:tcW w:w="1829" w:type="pct"/>
            <w:tcBorders>
              <w:top w:val="nil"/>
              <w:left w:val="nil"/>
              <w:bottom w:val="single" w:color="000000" w:sz="4" w:space="0"/>
              <w:right w:val="single" w:color="000000" w:sz="4" w:space="0"/>
            </w:tcBorders>
            <w:shd w:val="clear" w:color="auto" w:fill="auto"/>
            <w:vAlign w:val="center"/>
          </w:tcPr>
          <w:p w14:paraId="728241A6">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构建病历概要数据集模型，主要包括患者基本信息子集、基本健康信息子集、卫生事件摘要子集、医疗费用记录子集；</w:t>
            </w:r>
          </w:p>
        </w:tc>
      </w:tr>
      <w:tr w14:paraId="0CDCB8D0">
        <w:tblPrEx>
          <w:tblCellMar>
            <w:top w:w="0" w:type="dxa"/>
            <w:left w:w="108" w:type="dxa"/>
            <w:bottom w:w="0" w:type="dxa"/>
            <w:right w:w="108" w:type="dxa"/>
          </w:tblCellMar>
        </w:tblPrEx>
        <w:trPr>
          <w:trHeight w:val="5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281159C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39</w:t>
            </w:r>
          </w:p>
        </w:tc>
        <w:tc>
          <w:tcPr>
            <w:tcW w:w="1418" w:type="pct"/>
            <w:vMerge w:val="continue"/>
            <w:tcBorders>
              <w:top w:val="nil"/>
              <w:left w:val="single" w:color="000000" w:sz="4" w:space="0"/>
              <w:bottom w:val="single" w:color="000000" w:sz="4" w:space="0"/>
              <w:right w:val="single" w:color="000000" w:sz="4" w:space="0"/>
            </w:tcBorders>
            <w:vAlign w:val="center"/>
          </w:tcPr>
          <w:p w14:paraId="3CAED2DB">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19DBFD0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电子病历数据采集管理-电子病历（病史）数据模型构建-门（急）诊病历数据集</w:t>
            </w:r>
          </w:p>
        </w:tc>
        <w:tc>
          <w:tcPr>
            <w:tcW w:w="1829" w:type="pct"/>
            <w:tcBorders>
              <w:top w:val="nil"/>
              <w:left w:val="nil"/>
              <w:bottom w:val="single" w:color="000000" w:sz="4" w:space="0"/>
              <w:right w:val="single" w:color="000000" w:sz="4" w:space="0"/>
            </w:tcBorders>
            <w:shd w:val="clear" w:color="auto" w:fill="auto"/>
            <w:vAlign w:val="center"/>
          </w:tcPr>
          <w:p w14:paraId="27874E8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构建门（急）诊病历数据集模型，主要包括门（急）诊病历子集、急诊留观病历子集；</w:t>
            </w:r>
          </w:p>
        </w:tc>
      </w:tr>
      <w:tr w14:paraId="4AF4AEEE">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0AAAAB4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40</w:t>
            </w:r>
          </w:p>
        </w:tc>
        <w:tc>
          <w:tcPr>
            <w:tcW w:w="1418" w:type="pct"/>
            <w:vMerge w:val="continue"/>
            <w:tcBorders>
              <w:top w:val="nil"/>
              <w:left w:val="single" w:color="000000" w:sz="4" w:space="0"/>
              <w:bottom w:val="single" w:color="000000" w:sz="4" w:space="0"/>
              <w:right w:val="single" w:color="000000" w:sz="4" w:space="0"/>
            </w:tcBorders>
            <w:vAlign w:val="center"/>
          </w:tcPr>
          <w:p w14:paraId="5079809C">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6047B4E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电子病历数据</w:t>
            </w:r>
            <w:r>
              <w:rPr>
                <w:rFonts w:hint="eastAsia" w:cs="宋体"/>
                <w:color w:val="000000"/>
                <w:kern w:val="0"/>
                <w:sz w:val="22"/>
                <w:szCs w:val="22"/>
              </w:rPr>
              <w:br w:type="textWrapping"/>
            </w:r>
            <w:r>
              <w:rPr>
                <w:rFonts w:hint="eastAsia" w:cs="宋体"/>
                <w:color w:val="000000"/>
                <w:kern w:val="0"/>
                <w:sz w:val="22"/>
                <w:szCs w:val="22"/>
              </w:rPr>
              <w:t>采集管理-电子病历（病史）数据模型构建-门（急）诊处方数据集</w:t>
            </w:r>
          </w:p>
        </w:tc>
        <w:tc>
          <w:tcPr>
            <w:tcW w:w="1829" w:type="pct"/>
            <w:tcBorders>
              <w:top w:val="nil"/>
              <w:left w:val="nil"/>
              <w:bottom w:val="single" w:color="000000" w:sz="4" w:space="0"/>
              <w:right w:val="single" w:color="000000" w:sz="4" w:space="0"/>
            </w:tcBorders>
            <w:shd w:val="clear" w:color="auto" w:fill="auto"/>
            <w:vAlign w:val="center"/>
          </w:tcPr>
          <w:p w14:paraId="39F36EF6">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构建门（急）诊处方数据集模型，主要包括西药处方子集、中药处方子集；</w:t>
            </w:r>
          </w:p>
        </w:tc>
      </w:tr>
      <w:tr w14:paraId="214C1DDE">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27E7B8F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41</w:t>
            </w:r>
          </w:p>
        </w:tc>
        <w:tc>
          <w:tcPr>
            <w:tcW w:w="1418" w:type="pct"/>
            <w:vMerge w:val="continue"/>
            <w:tcBorders>
              <w:top w:val="nil"/>
              <w:left w:val="single" w:color="000000" w:sz="4" w:space="0"/>
              <w:bottom w:val="single" w:color="000000" w:sz="4" w:space="0"/>
              <w:right w:val="single" w:color="000000" w:sz="4" w:space="0"/>
            </w:tcBorders>
            <w:vAlign w:val="center"/>
          </w:tcPr>
          <w:p w14:paraId="7FAF2FF8">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7ED03A4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电子病历数据</w:t>
            </w:r>
            <w:r>
              <w:rPr>
                <w:rFonts w:hint="eastAsia" w:cs="宋体"/>
                <w:color w:val="000000"/>
                <w:kern w:val="0"/>
                <w:sz w:val="22"/>
                <w:szCs w:val="22"/>
              </w:rPr>
              <w:br w:type="textWrapping"/>
            </w:r>
            <w:r>
              <w:rPr>
                <w:rFonts w:hint="eastAsia" w:cs="宋体"/>
                <w:color w:val="000000"/>
                <w:kern w:val="0"/>
                <w:sz w:val="22"/>
                <w:szCs w:val="22"/>
              </w:rPr>
              <w:t>采集管理-电子病历（病史）数据模型构建-检查检验记录数据集</w:t>
            </w:r>
          </w:p>
        </w:tc>
        <w:tc>
          <w:tcPr>
            <w:tcW w:w="1829" w:type="pct"/>
            <w:tcBorders>
              <w:top w:val="nil"/>
              <w:left w:val="nil"/>
              <w:bottom w:val="single" w:color="000000" w:sz="4" w:space="0"/>
              <w:right w:val="single" w:color="000000" w:sz="4" w:space="0"/>
            </w:tcBorders>
            <w:shd w:val="clear" w:color="auto" w:fill="auto"/>
            <w:vAlign w:val="center"/>
          </w:tcPr>
          <w:p w14:paraId="15596388">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构建检查检验记录数据集模型，主要包括检查记录子集、检验记录子集；</w:t>
            </w:r>
          </w:p>
        </w:tc>
      </w:tr>
      <w:tr w14:paraId="611F8DF2">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00228FB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42</w:t>
            </w:r>
          </w:p>
        </w:tc>
        <w:tc>
          <w:tcPr>
            <w:tcW w:w="1418" w:type="pct"/>
            <w:vMerge w:val="continue"/>
            <w:tcBorders>
              <w:top w:val="nil"/>
              <w:left w:val="single" w:color="000000" w:sz="4" w:space="0"/>
              <w:bottom w:val="single" w:color="000000" w:sz="4" w:space="0"/>
              <w:right w:val="single" w:color="000000" w:sz="4" w:space="0"/>
            </w:tcBorders>
            <w:vAlign w:val="center"/>
          </w:tcPr>
          <w:p w14:paraId="48F10114">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60C337AE">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电子病历数据</w:t>
            </w:r>
            <w:r>
              <w:rPr>
                <w:rFonts w:hint="eastAsia" w:cs="宋体"/>
                <w:color w:val="000000"/>
                <w:kern w:val="0"/>
                <w:sz w:val="22"/>
                <w:szCs w:val="22"/>
              </w:rPr>
              <w:br w:type="textWrapping"/>
            </w:r>
            <w:r>
              <w:rPr>
                <w:rFonts w:hint="eastAsia" w:cs="宋体"/>
                <w:color w:val="000000"/>
                <w:kern w:val="0"/>
                <w:sz w:val="22"/>
                <w:szCs w:val="22"/>
              </w:rPr>
              <w:t>采集管理-电子病历（病史）数据模型构建-一般治疗处置记录数据集</w:t>
            </w:r>
          </w:p>
        </w:tc>
        <w:tc>
          <w:tcPr>
            <w:tcW w:w="1829" w:type="pct"/>
            <w:tcBorders>
              <w:top w:val="nil"/>
              <w:left w:val="nil"/>
              <w:bottom w:val="single" w:color="000000" w:sz="4" w:space="0"/>
              <w:right w:val="single" w:color="000000" w:sz="4" w:space="0"/>
            </w:tcBorders>
            <w:shd w:val="clear" w:color="auto" w:fill="auto"/>
            <w:vAlign w:val="center"/>
          </w:tcPr>
          <w:p w14:paraId="3C3BE72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构建一般治疗处置记录数据集模型，主要包括治疗记录子集、一般手术记录子集、麻醉术前访视记录子集、麻醉记录子集、麻醉术后访视记录子集、输血记录子集；</w:t>
            </w:r>
          </w:p>
        </w:tc>
      </w:tr>
      <w:tr w14:paraId="5FFF3FA9">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1295616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43</w:t>
            </w:r>
          </w:p>
        </w:tc>
        <w:tc>
          <w:tcPr>
            <w:tcW w:w="1418" w:type="pct"/>
            <w:vMerge w:val="continue"/>
            <w:tcBorders>
              <w:top w:val="nil"/>
              <w:left w:val="single" w:color="000000" w:sz="4" w:space="0"/>
              <w:bottom w:val="single" w:color="000000" w:sz="4" w:space="0"/>
              <w:right w:val="single" w:color="000000" w:sz="4" w:space="0"/>
            </w:tcBorders>
            <w:vAlign w:val="center"/>
          </w:tcPr>
          <w:p w14:paraId="07C6296D">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582FE3E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电子病历数据</w:t>
            </w:r>
            <w:r>
              <w:rPr>
                <w:rFonts w:hint="eastAsia" w:cs="宋体"/>
                <w:color w:val="000000"/>
                <w:kern w:val="0"/>
                <w:sz w:val="22"/>
                <w:szCs w:val="22"/>
              </w:rPr>
              <w:br w:type="textWrapping"/>
            </w:r>
            <w:r>
              <w:rPr>
                <w:rFonts w:hint="eastAsia" w:cs="宋体"/>
                <w:color w:val="000000"/>
                <w:kern w:val="0"/>
                <w:sz w:val="22"/>
                <w:szCs w:val="22"/>
              </w:rPr>
              <w:t>采集管理-电子病历（病史）数据模型构建-助产记录数据集</w:t>
            </w:r>
          </w:p>
        </w:tc>
        <w:tc>
          <w:tcPr>
            <w:tcW w:w="1829" w:type="pct"/>
            <w:tcBorders>
              <w:top w:val="nil"/>
              <w:left w:val="nil"/>
              <w:bottom w:val="single" w:color="000000" w:sz="4" w:space="0"/>
              <w:right w:val="single" w:color="000000" w:sz="4" w:space="0"/>
            </w:tcBorders>
            <w:shd w:val="clear" w:color="auto" w:fill="auto"/>
            <w:vAlign w:val="center"/>
          </w:tcPr>
          <w:p w14:paraId="4046322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构建助产记录数据集模型，主要包括待产记录子集、阴道分娩记录子集、剖宫产记录子集；</w:t>
            </w:r>
          </w:p>
        </w:tc>
      </w:tr>
      <w:tr w14:paraId="1488742B">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5E3A1E6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44</w:t>
            </w:r>
          </w:p>
        </w:tc>
        <w:tc>
          <w:tcPr>
            <w:tcW w:w="1418" w:type="pct"/>
            <w:vMerge w:val="continue"/>
            <w:tcBorders>
              <w:top w:val="nil"/>
              <w:left w:val="single" w:color="000000" w:sz="4" w:space="0"/>
              <w:bottom w:val="single" w:color="000000" w:sz="4" w:space="0"/>
              <w:right w:val="single" w:color="000000" w:sz="4" w:space="0"/>
            </w:tcBorders>
            <w:vAlign w:val="center"/>
          </w:tcPr>
          <w:p w14:paraId="76ACE706">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6227C551">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电子病历数据</w:t>
            </w:r>
            <w:r>
              <w:rPr>
                <w:rFonts w:hint="eastAsia" w:cs="宋体"/>
                <w:color w:val="000000"/>
                <w:kern w:val="0"/>
                <w:sz w:val="22"/>
                <w:szCs w:val="22"/>
              </w:rPr>
              <w:br w:type="textWrapping"/>
            </w:r>
            <w:r>
              <w:rPr>
                <w:rFonts w:hint="eastAsia" w:cs="宋体"/>
                <w:color w:val="000000"/>
                <w:kern w:val="0"/>
                <w:sz w:val="22"/>
                <w:szCs w:val="22"/>
              </w:rPr>
              <w:t>采集管理-电子病历（病史）数据模型构建-护理操作记录数据集</w:t>
            </w:r>
          </w:p>
        </w:tc>
        <w:tc>
          <w:tcPr>
            <w:tcW w:w="1829" w:type="pct"/>
            <w:tcBorders>
              <w:top w:val="nil"/>
              <w:left w:val="nil"/>
              <w:bottom w:val="single" w:color="000000" w:sz="4" w:space="0"/>
              <w:right w:val="single" w:color="000000" w:sz="4" w:space="0"/>
            </w:tcBorders>
            <w:shd w:val="clear" w:color="auto" w:fill="auto"/>
            <w:vAlign w:val="center"/>
          </w:tcPr>
          <w:p w14:paraId="2AC9A33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构建护理操作记录数据集模型，主要包括一般护理记录子集、病重（病危）护理记录子集、手术护理记录子集、生命体征测量记录子集、出入量记录子集、高值耗材使用记录子集；</w:t>
            </w:r>
          </w:p>
        </w:tc>
      </w:tr>
      <w:tr w14:paraId="551F5822">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51DD45A6">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45</w:t>
            </w:r>
          </w:p>
        </w:tc>
        <w:tc>
          <w:tcPr>
            <w:tcW w:w="1418" w:type="pct"/>
            <w:vMerge w:val="continue"/>
            <w:tcBorders>
              <w:top w:val="nil"/>
              <w:left w:val="single" w:color="000000" w:sz="4" w:space="0"/>
              <w:bottom w:val="single" w:color="000000" w:sz="4" w:space="0"/>
              <w:right w:val="single" w:color="000000" w:sz="4" w:space="0"/>
            </w:tcBorders>
            <w:vAlign w:val="center"/>
          </w:tcPr>
          <w:p w14:paraId="30C5DBB4">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318A5F8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电子病历数据</w:t>
            </w:r>
            <w:r>
              <w:rPr>
                <w:rFonts w:hint="eastAsia" w:cs="宋体"/>
                <w:color w:val="000000"/>
                <w:kern w:val="0"/>
                <w:sz w:val="22"/>
                <w:szCs w:val="22"/>
              </w:rPr>
              <w:br w:type="textWrapping"/>
            </w:r>
            <w:r>
              <w:rPr>
                <w:rFonts w:hint="eastAsia" w:cs="宋体"/>
                <w:color w:val="000000"/>
                <w:kern w:val="0"/>
                <w:sz w:val="22"/>
                <w:szCs w:val="22"/>
              </w:rPr>
              <w:t>采集管理-电子病历（病史）数据模型构建-护理评估与计划数据集</w:t>
            </w:r>
          </w:p>
        </w:tc>
        <w:tc>
          <w:tcPr>
            <w:tcW w:w="1829" w:type="pct"/>
            <w:tcBorders>
              <w:top w:val="nil"/>
              <w:left w:val="nil"/>
              <w:bottom w:val="single" w:color="000000" w:sz="4" w:space="0"/>
              <w:right w:val="single" w:color="000000" w:sz="4" w:space="0"/>
            </w:tcBorders>
            <w:shd w:val="clear" w:color="auto" w:fill="auto"/>
            <w:vAlign w:val="center"/>
          </w:tcPr>
          <w:p w14:paraId="247FC7C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构建护理评估与计划数据集模型，主要包括入院评估子集、护理计划子集、出院评估与指导子集；</w:t>
            </w:r>
          </w:p>
        </w:tc>
      </w:tr>
      <w:tr w14:paraId="20E62017">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2E84F77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46</w:t>
            </w:r>
          </w:p>
        </w:tc>
        <w:tc>
          <w:tcPr>
            <w:tcW w:w="1418" w:type="pct"/>
            <w:vMerge w:val="continue"/>
            <w:tcBorders>
              <w:top w:val="nil"/>
              <w:left w:val="single" w:color="000000" w:sz="4" w:space="0"/>
              <w:bottom w:val="single" w:color="000000" w:sz="4" w:space="0"/>
              <w:right w:val="single" w:color="000000" w:sz="4" w:space="0"/>
            </w:tcBorders>
            <w:vAlign w:val="center"/>
          </w:tcPr>
          <w:p w14:paraId="3E15F495">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6B54D0FE">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电子病历数据</w:t>
            </w:r>
            <w:r>
              <w:rPr>
                <w:rFonts w:hint="eastAsia" w:cs="宋体"/>
                <w:color w:val="000000"/>
                <w:kern w:val="0"/>
                <w:sz w:val="22"/>
                <w:szCs w:val="22"/>
              </w:rPr>
              <w:br w:type="textWrapping"/>
            </w:r>
            <w:r>
              <w:rPr>
                <w:rFonts w:hint="eastAsia" w:cs="宋体"/>
                <w:color w:val="000000"/>
                <w:kern w:val="0"/>
                <w:sz w:val="22"/>
                <w:szCs w:val="22"/>
              </w:rPr>
              <w:t>采集管理-电子病历（病史）数据模型构建-知情告知信息数据集</w:t>
            </w:r>
          </w:p>
        </w:tc>
        <w:tc>
          <w:tcPr>
            <w:tcW w:w="1829" w:type="pct"/>
            <w:tcBorders>
              <w:top w:val="nil"/>
              <w:left w:val="nil"/>
              <w:bottom w:val="single" w:color="000000" w:sz="4" w:space="0"/>
              <w:right w:val="single" w:color="000000" w:sz="4" w:space="0"/>
            </w:tcBorders>
            <w:shd w:val="clear" w:color="auto" w:fill="auto"/>
            <w:vAlign w:val="center"/>
          </w:tcPr>
          <w:p w14:paraId="2FE28A7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构建知情告知信息数据集模型，主要包括手术同意书子集、麻醉知情同意书子集、输血治疗同意书子集、特殊检查及特殊治疗同意书子集、病危（重） 通知书子集、其他知情告知同意书子集；</w:t>
            </w:r>
          </w:p>
        </w:tc>
      </w:tr>
      <w:tr w14:paraId="01512967">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3769E2AE">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47</w:t>
            </w:r>
          </w:p>
        </w:tc>
        <w:tc>
          <w:tcPr>
            <w:tcW w:w="1418" w:type="pct"/>
            <w:vMerge w:val="continue"/>
            <w:tcBorders>
              <w:top w:val="nil"/>
              <w:left w:val="single" w:color="000000" w:sz="4" w:space="0"/>
              <w:bottom w:val="single" w:color="000000" w:sz="4" w:space="0"/>
              <w:right w:val="single" w:color="000000" w:sz="4" w:space="0"/>
            </w:tcBorders>
            <w:vAlign w:val="center"/>
          </w:tcPr>
          <w:p w14:paraId="7429FC42">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09BF620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电子病历数据</w:t>
            </w:r>
            <w:r>
              <w:rPr>
                <w:rFonts w:hint="eastAsia" w:cs="宋体"/>
                <w:color w:val="000000"/>
                <w:kern w:val="0"/>
                <w:sz w:val="22"/>
                <w:szCs w:val="22"/>
              </w:rPr>
              <w:br w:type="textWrapping"/>
            </w:r>
            <w:r>
              <w:rPr>
                <w:rFonts w:hint="eastAsia" w:cs="宋体"/>
                <w:color w:val="000000"/>
                <w:kern w:val="0"/>
                <w:sz w:val="22"/>
                <w:szCs w:val="22"/>
              </w:rPr>
              <w:t>采集管理-电子病历（病史）数据模型构建-住院病案首页数据集</w:t>
            </w:r>
          </w:p>
        </w:tc>
        <w:tc>
          <w:tcPr>
            <w:tcW w:w="1829" w:type="pct"/>
            <w:tcBorders>
              <w:top w:val="nil"/>
              <w:left w:val="nil"/>
              <w:bottom w:val="single" w:color="000000" w:sz="4" w:space="0"/>
              <w:right w:val="single" w:color="000000" w:sz="4" w:space="0"/>
            </w:tcBorders>
            <w:shd w:val="clear" w:color="auto" w:fill="auto"/>
            <w:vAlign w:val="center"/>
          </w:tcPr>
          <w:p w14:paraId="0E201EF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构建住院病案首页数据集模型，主要包括住院病案首页子集、中医住院病案首页子集；</w:t>
            </w:r>
          </w:p>
        </w:tc>
      </w:tr>
      <w:tr w14:paraId="5A11E73D">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21ADF9F6">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48</w:t>
            </w:r>
          </w:p>
        </w:tc>
        <w:tc>
          <w:tcPr>
            <w:tcW w:w="1418" w:type="pct"/>
            <w:vMerge w:val="continue"/>
            <w:tcBorders>
              <w:top w:val="nil"/>
              <w:left w:val="single" w:color="000000" w:sz="4" w:space="0"/>
              <w:bottom w:val="single" w:color="000000" w:sz="4" w:space="0"/>
              <w:right w:val="single" w:color="000000" w:sz="4" w:space="0"/>
            </w:tcBorders>
            <w:vAlign w:val="center"/>
          </w:tcPr>
          <w:p w14:paraId="2A5B05EC">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00FEEC8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电子病历数据</w:t>
            </w:r>
            <w:r>
              <w:rPr>
                <w:rFonts w:hint="eastAsia" w:cs="宋体"/>
                <w:color w:val="000000"/>
                <w:kern w:val="0"/>
                <w:sz w:val="22"/>
                <w:szCs w:val="22"/>
              </w:rPr>
              <w:br w:type="textWrapping"/>
            </w:r>
            <w:r>
              <w:rPr>
                <w:rFonts w:hint="eastAsia" w:cs="宋体"/>
                <w:color w:val="000000"/>
                <w:kern w:val="0"/>
                <w:sz w:val="22"/>
                <w:szCs w:val="22"/>
              </w:rPr>
              <w:t>采集管理-电子病历（病史）数据模型构建-入院记录数据集</w:t>
            </w:r>
          </w:p>
        </w:tc>
        <w:tc>
          <w:tcPr>
            <w:tcW w:w="1829" w:type="pct"/>
            <w:tcBorders>
              <w:top w:val="nil"/>
              <w:left w:val="nil"/>
              <w:bottom w:val="single" w:color="000000" w:sz="4" w:space="0"/>
              <w:right w:val="single" w:color="000000" w:sz="4" w:space="0"/>
            </w:tcBorders>
            <w:shd w:val="clear" w:color="auto" w:fill="auto"/>
            <w:vAlign w:val="center"/>
          </w:tcPr>
          <w:p w14:paraId="4EC4418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构建入院记录数据集模型，主要包括入院记录子集、24小时内入出院记录子集、24小时内入院死亡记录子集；</w:t>
            </w:r>
          </w:p>
        </w:tc>
      </w:tr>
      <w:tr w14:paraId="6203F84A">
        <w:tblPrEx>
          <w:tblCellMar>
            <w:top w:w="0" w:type="dxa"/>
            <w:left w:w="108" w:type="dxa"/>
            <w:bottom w:w="0" w:type="dxa"/>
            <w:right w:w="108" w:type="dxa"/>
          </w:tblCellMar>
        </w:tblPrEx>
        <w:trPr>
          <w:trHeight w:val="168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7BE0F60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49</w:t>
            </w:r>
          </w:p>
        </w:tc>
        <w:tc>
          <w:tcPr>
            <w:tcW w:w="1418" w:type="pct"/>
            <w:vMerge w:val="continue"/>
            <w:tcBorders>
              <w:top w:val="nil"/>
              <w:left w:val="single" w:color="000000" w:sz="4" w:space="0"/>
              <w:bottom w:val="single" w:color="000000" w:sz="4" w:space="0"/>
              <w:right w:val="single" w:color="000000" w:sz="4" w:space="0"/>
            </w:tcBorders>
            <w:vAlign w:val="center"/>
          </w:tcPr>
          <w:p w14:paraId="004BA02C">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704C76D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电子病历数据</w:t>
            </w:r>
            <w:r>
              <w:rPr>
                <w:rFonts w:hint="eastAsia" w:cs="宋体"/>
                <w:color w:val="000000"/>
                <w:kern w:val="0"/>
                <w:sz w:val="22"/>
                <w:szCs w:val="22"/>
              </w:rPr>
              <w:br w:type="textWrapping"/>
            </w:r>
            <w:r>
              <w:rPr>
                <w:rFonts w:hint="eastAsia" w:cs="宋体"/>
                <w:color w:val="000000"/>
                <w:kern w:val="0"/>
                <w:sz w:val="22"/>
                <w:szCs w:val="22"/>
              </w:rPr>
              <w:t>采集管理-电子病历（病史）数据模型构建-住院病程记录数据集</w:t>
            </w:r>
          </w:p>
        </w:tc>
        <w:tc>
          <w:tcPr>
            <w:tcW w:w="1829" w:type="pct"/>
            <w:tcBorders>
              <w:top w:val="nil"/>
              <w:left w:val="nil"/>
              <w:bottom w:val="single" w:color="000000" w:sz="4" w:space="0"/>
              <w:right w:val="single" w:color="000000" w:sz="4" w:space="0"/>
            </w:tcBorders>
            <w:shd w:val="clear" w:color="auto" w:fill="auto"/>
            <w:vAlign w:val="center"/>
          </w:tcPr>
          <w:p w14:paraId="40784BE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住院病程记录数据集模型，主要包括首次病程记录子集、日常病程记录子集、上级医师查房记录子集、疑难病例讨论记录子集、交接班记录子集、转科记录子集、阶段小结子集、抢救记录子集、会诊记录子集、术前小结子集、术前讨论子集、术后首次病程记录子集、出院记录子集、死亡记录子集、死亡病例讨论记录子集；</w:t>
            </w:r>
          </w:p>
        </w:tc>
      </w:tr>
      <w:tr w14:paraId="2465022D">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4D590AE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50</w:t>
            </w:r>
          </w:p>
        </w:tc>
        <w:tc>
          <w:tcPr>
            <w:tcW w:w="1418" w:type="pct"/>
            <w:vMerge w:val="continue"/>
            <w:tcBorders>
              <w:top w:val="nil"/>
              <w:left w:val="single" w:color="000000" w:sz="4" w:space="0"/>
              <w:bottom w:val="single" w:color="000000" w:sz="4" w:space="0"/>
              <w:right w:val="single" w:color="000000" w:sz="4" w:space="0"/>
            </w:tcBorders>
            <w:vAlign w:val="center"/>
          </w:tcPr>
          <w:p w14:paraId="6C03CF20">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692DF9F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电子病历数据</w:t>
            </w:r>
            <w:r>
              <w:rPr>
                <w:rFonts w:hint="eastAsia" w:cs="宋体"/>
                <w:color w:val="000000"/>
                <w:kern w:val="0"/>
                <w:sz w:val="22"/>
                <w:szCs w:val="22"/>
              </w:rPr>
              <w:br w:type="textWrapping"/>
            </w:r>
            <w:r>
              <w:rPr>
                <w:rFonts w:hint="eastAsia" w:cs="宋体"/>
                <w:color w:val="000000"/>
                <w:kern w:val="0"/>
                <w:sz w:val="22"/>
                <w:szCs w:val="22"/>
              </w:rPr>
              <w:t>采集管理-电子病历（病史）数据模型构建-住院医嘱数据集</w:t>
            </w:r>
          </w:p>
        </w:tc>
        <w:tc>
          <w:tcPr>
            <w:tcW w:w="1829" w:type="pct"/>
            <w:tcBorders>
              <w:top w:val="nil"/>
              <w:left w:val="nil"/>
              <w:bottom w:val="single" w:color="000000" w:sz="4" w:space="0"/>
              <w:right w:val="single" w:color="000000" w:sz="4" w:space="0"/>
            </w:tcBorders>
            <w:shd w:val="clear" w:color="auto" w:fill="auto"/>
            <w:vAlign w:val="center"/>
          </w:tcPr>
          <w:p w14:paraId="23DB053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构建住院医嘱数据集模型，主要包括住院医嘱子集；</w:t>
            </w:r>
          </w:p>
        </w:tc>
      </w:tr>
      <w:tr w14:paraId="718AF8F9">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52114C5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51</w:t>
            </w:r>
          </w:p>
        </w:tc>
        <w:tc>
          <w:tcPr>
            <w:tcW w:w="1418" w:type="pct"/>
            <w:vMerge w:val="continue"/>
            <w:tcBorders>
              <w:top w:val="nil"/>
              <w:left w:val="single" w:color="000000" w:sz="4" w:space="0"/>
              <w:bottom w:val="single" w:color="000000" w:sz="4" w:space="0"/>
              <w:right w:val="single" w:color="000000" w:sz="4" w:space="0"/>
            </w:tcBorders>
            <w:vAlign w:val="center"/>
          </w:tcPr>
          <w:p w14:paraId="7CAA9732">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3777411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电子病历数据</w:t>
            </w:r>
            <w:r>
              <w:rPr>
                <w:rFonts w:hint="eastAsia" w:cs="宋体"/>
                <w:color w:val="000000"/>
                <w:kern w:val="0"/>
                <w:sz w:val="22"/>
                <w:szCs w:val="22"/>
              </w:rPr>
              <w:br w:type="textWrapping"/>
            </w:r>
            <w:r>
              <w:rPr>
                <w:rFonts w:hint="eastAsia" w:cs="宋体"/>
                <w:color w:val="000000"/>
                <w:kern w:val="0"/>
                <w:sz w:val="22"/>
                <w:szCs w:val="22"/>
              </w:rPr>
              <w:t>采集管理-电子病历（病史）数据模型构建-出院小结数据集</w:t>
            </w:r>
          </w:p>
        </w:tc>
        <w:tc>
          <w:tcPr>
            <w:tcW w:w="1829" w:type="pct"/>
            <w:tcBorders>
              <w:top w:val="nil"/>
              <w:left w:val="nil"/>
              <w:bottom w:val="single" w:color="000000" w:sz="4" w:space="0"/>
              <w:right w:val="single" w:color="000000" w:sz="4" w:space="0"/>
            </w:tcBorders>
            <w:shd w:val="clear" w:color="auto" w:fill="auto"/>
            <w:vAlign w:val="center"/>
          </w:tcPr>
          <w:p w14:paraId="7508E6C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构建出院小结数据集模型，主要包括出院小结子集；</w:t>
            </w:r>
          </w:p>
        </w:tc>
      </w:tr>
      <w:tr w14:paraId="7260D204">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7B7E52C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52</w:t>
            </w:r>
          </w:p>
        </w:tc>
        <w:tc>
          <w:tcPr>
            <w:tcW w:w="1418" w:type="pct"/>
            <w:vMerge w:val="continue"/>
            <w:tcBorders>
              <w:top w:val="nil"/>
              <w:left w:val="single" w:color="000000" w:sz="4" w:space="0"/>
              <w:bottom w:val="single" w:color="000000" w:sz="4" w:space="0"/>
              <w:right w:val="single" w:color="000000" w:sz="4" w:space="0"/>
            </w:tcBorders>
            <w:vAlign w:val="center"/>
          </w:tcPr>
          <w:p w14:paraId="383A92E8">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3A22967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电子病历数据</w:t>
            </w:r>
            <w:r>
              <w:rPr>
                <w:rFonts w:hint="eastAsia" w:cs="宋体"/>
                <w:color w:val="000000"/>
                <w:kern w:val="0"/>
                <w:sz w:val="22"/>
                <w:szCs w:val="22"/>
              </w:rPr>
              <w:br w:type="textWrapping"/>
            </w:r>
            <w:r>
              <w:rPr>
                <w:rFonts w:hint="eastAsia" w:cs="宋体"/>
                <w:color w:val="000000"/>
                <w:kern w:val="0"/>
                <w:sz w:val="22"/>
                <w:szCs w:val="22"/>
              </w:rPr>
              <w:t>采集管理-电子病历（病史）数据模型构建-转诊（院）记录数据集</w:t>
            </w:r>
          </w:p>
        </w:tc>
        <w:tc>
          <w:tcPr>
            <w:tcW w:w="1829" w:type="pct"/>
            <w:tcBorders>
              <w:top w:val="nil"/>
              <w:left w:val="nil"/>
              <w:bottom w:val="single" w:color="000000" w:sz="4" w:space="0"/>
              <w:right w:val="single" w:color="000000" w:sz="4" w:space="0"/>
            </w:tcBorders>
            <w:shd w:val="clear" w:color="auto" w:fill="auto"/>
            <w:vAlign w:val="center"/>
          </w:tcPr>
          <w:p w14:paraId="5BF21D7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构建转诊（院）记录数据集模型，主要包括转诊（院） 记录子集；</w:t>
            </w:r>
          </w:p>
        </w:tc>
      </w:tr>
      <w:tr w14:paraId="24B61F19">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0765CC5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53</w:t>
            </w:r>
          </w:p>
        </w:tc>
        <w:tc>
          <w:tcPr>
            <w:tcW w:w="1418" w:type="pct"/>
            <w:vMerge w:val="continue"/>
            <w:tcBorders>
              <w:top w:val="nil"/>
              <w:left w:val="single" w:color="000000" w:sz="4" w:space="0"/>
              <w:bottom w:val="single" w:color="000000" w:sz="4" w:space="0"/>
              <w:right w:val="single" w:color="000000" w:sz="4" w:space="0"/>
            </w:tcBorders>
            <w:vAlign w:val="center"/>
          </w:tcPr>
          <w:p w14:paraId="675D7DEC">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08B4AFC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电子病历数据</w:t>
            </w:r>
            <w:r>
              <w:rPr>
                <w:rFonts w:hint="eastAsia" w:cs="宋体"/>
                <w:color w:val="000000"/>
                <w:kern w:val="0"/>
                <w:sz w:val="22"/>
                <w:szCs w:val="22"/>
              </w:rPr>
              <w:br w:type="textWrapping"/>
            </w:r>
            <w:r>
              <w:rPr>
                <w:rFonts w:hint="eastAsia" w:cs="宋体"/>
                <w:color w:val="000000"/>
                <w:kern w:val="0"/>
                <w:sz w:val="22"/>
                <w:szCs w:val="22"/>
              </w:rPr>
              <w:t>采集管理-电子病历数据质量管理-电子病历质控方案管理</w:t>
            </w:r>
          </w:p>
        </w:tc>
        <w:tc>
          <w:tcPr>
            <w:tcW w:w="1829" w:type="pct"/>
            <w:tcBorders>
              <w:top w:val="nil"/>
              <w:left w:val="nil"/>
              <w:bottom w:val="single" w:color="000000" w:sz="4" w:space="0"/>
              <w:right w:val="single" w:color="000000" w:sz="4" w:space="0"/>
            </w:tcBorders>
            <w:shd w:val="clear" w:color="auto" w:fill="auto"/>
            <w:vAlign w:val="center"/>
          </w:tcPr>
          <w:p w14:paraId="16C87ED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对电子病历抽取数据的质量方案进行维护和管理，主要包括质控规则、质控等级设置、预警阈值管理等。</w:t>
            </w:r>
          </w:p>
        </w:tc>
      </w:tr>
      <w:tr w14:paraId="04C9A9CA">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79D3CFA1">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54</w:t>
            </w:r>
          </w:p>
        </w:tc>
        <w:tc>
          <w:tcPr>
            <w:tcW w:w="1418" w:type="pct"/>
            <w:vMerge w:val="continue"/>
            <w:tcBorders>
              <w:top w:val="nil"/>
              <w:left w:val="single" w:color="000000" w:sz="4" w:space="0"/>
              <w:bottom w:val="single" w:color="000000" w:sz="4" w:space="0"/>
              <w:right w:val="single" w:color="000000" w:sz="4" w:space="0"/>
            </w:tcBorders>
            <w:vAlign w:val="center"/>
          </w:tcPr>
          <w:p w14:paraId="4DD1539D">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72819F4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电子病历数据</w:t>
            </w:r>
            <w:r>
              <w:rPr>
                <w:rFonts w:hint="eastAsia" w:cs="宋体"/>
                <w:color w:val="000000"/>
                <w:kern w:val="0"/>
                <w:sz w:val="22"/>
                <w:szCs w:val="22"/>
              </w:rPr>
              <w:br w:type="textWrapping"/>
            </w:r>
            <w:r>
              <w:rPr>
                <w:rFonts w:hint="eastAsia" w:cs="宋体"/>
                <w:color w:val="000000"/>
                <w:kern w:val="0"/>
                <w:sz w:val="22"/>
                <w:szCs w:val="22"/>
              </w:rPr>
              <w:t>采集管理-电子病历数据质量管理-电子病历质控校验管理</w:t>
            </w:r>
          </w:p>
        </w:tc>
        <w:tc>
          <w:tcPr>
            <w:tcW w:w="1829" w:type="pct"/>
            <w:tcBorders>
              <w:top w:val="nil"/>
              <w:left w:val="nil"/>
              <w:bottom w:val="single" w:color="000000" w:sz="4" w:space="0"/>
              <w:right w:val="single" w:color="000000" w:sz="4" w:space="0"/>
            </w:tcBorders>
            <w:shd w:val="clear" w:color="auto" w:fill="auto"/>
            <w:vAlign w:val="center"/>
          </w:tcPr>
          <w:p w14:paraId="71C745B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系统通过实施一系列质控校验规则，对数据进行统一的质量检测，并通过多种功能和展示形式提供详细的检测结果和查询。</w:t>
            </w:r>
          </w:p>
        </w:tc>
      </w:tr>
      <w:tr w14:paraId="1A068FF9">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4783620E">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55</w:t>
            </w:r>
          </w:p>
        </w:tc>
        <w:tc>
          <w:tcPr>
            <w:tcW w:w="1418" w:type="pct"/>
            <w:vMerge w:val="continue"/>
            <w:tcBorders>
              <w:top w:val="nil"/>
              <w:left w:val="single" w:color="000000" w:sz="4" w:space="0"/>
              <w:bottom w:val="single" w:color="000000" w:sz="4" w:space="0"/>
              <w:right w:val="single" w:color="000000" w:sz="4" w:space="0"/>
            </w:tcBorders>
            <w:vAlign w:val="center"/>
          </w:tcPr>
          <w:p w14:paraId="16558B5B">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6ACFD47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电子病历数据</w:t>
            </w:r>
            <w:r>
              <w:rPr>
                <w:rFonts w:hint="eastAsia" w:cs="宋体"/>
                <w:color w:val="000000"/>
                <w:kern w:val="0"/>
                <w:sz w:val="22"/>
                <w:szCs w:val="22"/>
              </w:rPr>
              <w:br w:type="textWrapping"/>
            </w:r>
            <w:r>
              <w:rPr>
                <w:rFonts w:hint="eastAsia" w:cs="宋体"/>
                <w:color w:val="000000"/>
                <w:kern w:val="0"/>
                <w:sz w:val="22"/>
                <w:szCs w:val="22"/>
              </w:rPr>
              <w:t>采集管理-电子病历数据质量管理-电子病历质量结果管理</w:t>
            </w:r>
          </w:p>
        </w:tc>
        <w:tc>
          <w:tcPr>
            <w:tcW w:w="1829" w:type="pct"/>
            <w:tcBorders>
              <w:top w:val="nil"/>
              <w:left w:val="nil"/>
              <w:bottom w:val="single" w:color="000000" w:sz="4" w:space="0"/>
              <w:right w:val="single" w:color="000000" w:sz="4" w:space="0"/>
            </w:tcBorders>
            <w:shd w:val="clear" w:color="auto" w:fill="auto"/>
            <w:vAlign w:val="center"/>
          </w:tcPr>
          <w:p w14:paraId="42177C41">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提供质控结果分析功能，使用户能够洞察数据质量的各个方面，识别关键问题和趋势，从而采取针对性的改进措施，优化数据管理流程，提升整体数据的准确性和可靠性。</w:t>
            </w:r>
          </w:p>
        </w:tc>
      </w:tr>
      <w:tr w14:paraId="5A8683B8">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08CE0C71">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56</w:t>
            </w:r>
          </w:p>
        </w:tc>
        <w:tc>
          <w:tcPr>
            <w:tcW w:w="1418" w:type="pct"/>
            <w:vMerge w:val="continue"/>
            <w:tcBorders>
              <w:top w:val="nil"/>
              <w:left w:val="single" w:color="000000" w:sz="4" w:space="0"/>
              <w:bottom w:val="single" w:color="000000" w:sz="4" w:space="0"/>
              <w:right w:val="single" w:color="000000" w:sz="4" w:space="0"/>
            </w:tcBorders>
            <w:vAlign w:val="center"/>
          </w:tcPr>
          <w:p w14:paraId="63BFFB61">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571B982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电子病历内涵</w:t>
            </w:r>
            <w:r>
              <w:rPr>
                <w:rFonts w:hint="eastAsia" w:cs="宋体"/>
                <w:color w:val="000000"/>
                <w:kern w:val="0"/>
                <w:sz w:val="22"/>
                <w:szCs w:val="22"/>
              </w:rPr>
              <w:br w:type="textWrapping"/>
            </w:r>
            <w:r>
              <w:rPr>
                <w:rFonts w:hint="eastAsia" w:cs="宋体"/>
                <w:color w:val="000000"/>
                <w:kern w:val="0"/>
                <w:sz w:val="22"/>
                <w:szCs w:val="22"/>
              </w:rPr>
              <w:t>质控模块-ICD编码与内容一致性质控-ICD编码正确性判定</w:t>
            </w:r>
          </w:p>
        </w:tc>
        <w:tc>
          <w:tcPr>
            <w:tcW w:w="1829" w:type="pct"/>
            <w:tcBorders>
              <w:top w:val="nil"/>
              <w:left w:val="nil"/>
              <w:bottom w:val="single" w:color="000000" w:sz="4" w:space="0"/>
              <w:right w:val="single" w:color="000000" w:sz="4" w:space="0"/>
            </w:tcBorders>
            <w:shd w:val="clear" w:color="auto" w:fill="auto"/>
            <w:vAlign w:val="center"/>
          </w:tcPr>
          <w:p w14:paraId="58A8B076">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利用人工智能（AI）程序，自动分析电子病历中的文本信息。根据ICD（国际疾病分类）编码标准，对病历中的疾病诊断进行匹配和判定。识别出与病历内容不符或疑似错误的ICD编码。</w:t>
            </w:r>
          </w:p>
        </w:tc>
      </w:tr>
      <w:tr w14:paraId="7F3D0BD0">
        <w:tblPrEx>
          <w:tblCellMar>
            <w:top w:w="0" w:type="dxa"/>
            <w:left w:w="108" w:type="dxa"/>
            <w:bottom w:w="0" w:type="dxa"/>
            <w:right w:w="108" w:type="dxa"/>
          </w:tblCellMar>
        </w:tblPrEx>
        <w:trPr>
          <w:trHeight w:val="140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7578166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57</w:t>
            </w:r>
          </w:p>
        </w:tc>
        <w:tc>
          <w:tcPr>
            <w:tcW w:w="1418" w:type="pct"/>
            <w:vMerge w:val="continue"/>
            <w:tcBorders>
              <w:top w:val="nil"/>
              <w:left w:val="single" w:color="000000" w:sz="4" w:space="0"/>
              <w:bottom w:val="single" w:color="000000" w:sz="4" w:space="0"/>
              <w:right w:val="single" w:color="000000" w:sz="4" w:space="0"/>
            </w:tcBorders>
            <w:vAlign w:val="center"/>
          </w:tcPr>
          <w:p w14:paraId="1B00C1EB">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071C0CF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电子病历内涵</w:t>
            </w:r>
            <w:r>
              <w:rPr>
                <w:rFonts w:hint="eastAsia" w:cs="宋体"/>
                <w:color w:val="000000"/>
                <w:kern w:val="0"/>
                <w:sz w:val="22"/>
                <w:szCs w:val="22"/>
              </w:rPr>
              <w:br w:type="textWrapping"/>
            </w:r>
            <w:r>
              <w:rPr>
                <w:rFonts w:hint="eastAsia" w:cs="宋体"/>
                <w:color w:val="000000"/>
                <w:kern w:val="0"/>
                <w:sz w:val="22"/>
                <w:szCs w:val="22"/>
              </w:rPr>
              <w:t>质控模块-ICD编码与内容一致性质控-判定理由生成</w:t>
            </w:r>
          </w:p>
        </w:tc>
        <w:tc>
          <w:tcPr>
            <w:tcW w:w="1829" w:type="pct"/>
            <w:tcBorders>
              <w:top w:val="nil"/>
              <w:left w:val="nil"/>
              <w:bottom w:val="single" w:color="000000" w:sz="4" w:space="0"/>
              <w:right w:val="single" w:color="000000" w:sz="4" w:space="0"/>
            </w:tcBorders>
            <w:shd w:val="clear" w:color="auto" w:fill="auto"/>
            <w:vAlign w:val="center"/>
          </w:tcPr>
          <w:p w14:paraId="5A2958B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AI程序根据匹配结果和病历内容，自动生成判定理由。理由包括但不限于：诊断描述与ICD编码定义不符、编码使用错误（如使用了更高或更低级别的编码）、缺失关键信息导致编码不准确等。理由的表述应清晰、简洁，便于用户理解和处理。</w:t>
            </w:r>
          </w:p>
        </w:tc>
      </w:tr>
      <w:tr w14:paraId="3352B7FB">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63FB38A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58</w:t>
            </w:r>
          </w:p>
        </w:tc>
        <w:tc>
          <w:tcPr>
            <w:tcW w:w="1418" w:type="pct"/>
            <w:vMerge w:val="continue"/>
            <w:tcBorders>
              <w:top w:val="nil"/>
              <w:left w:val="single" w:color="000000" w:sz="4" w:space="0"/>
              <w:bottom w:val="single" w:color="000000" w:sz="4" w:space="0"/>
              <w:right w:val="single" w:color="000000" w:sz="4" w:space="0"/>
            </w:tcBorders>
            <w:vAlign w:val="center"/>
          </w:tcPr>
          <w:p w14:paraId="37B83AF3">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31BA5A8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电子病历内涵</w:t>
            </w:r>
            <w:r>
              <w:rPr>
                <w:rFonts w:hint="eastAsia" w:cs="宋体"/>
                <w:color w:val="000000"/>
                <w:kern w:val="0"/>
                <w:sz w:val="22"/>
                <w:szCs w:val="22"/>
              </w:rPr>
              <w:br w:type="textWrapping"/>
            </w:r>
            <w:r>
              <w:rPr>
                <w:rFonts w:hint="eastAsia" w:cs="宋体"/>
                <w:color w:val="000000"/>
                <w:kern w:val="0"/>
                <w:sz w:val="22"/>
                <w:szCs w:val="22"/>
              </w:rPr>
              <w:t>质控模块-ICD编码与内容一致性质控-ICD编码库管理</w:t>
            </w:r>
          </w:p>
        </w:tc>
        <w:tc>
          <w:tcPr>
            <w:tcW w:w="1829" w:type="pct"/>
            <w:tcBorders>
              <w:top w:val="nil"/>
              <w:left w:val="nil"/>
              <w:bottom w:val="single" w:color="000000" w:sz="4" w:space="0"/>
              <w:right w:val="single" w:color="000000" w:sz="4" w:space="0"/>
            </w:tcBorders>
            <w:shd w:val="clear" w:color="auto" w:fill="auto"/>
            <w:vAlign w:val="center"/>
          </w:tcPr>
          <w:p w14:paraId="553026F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内置ICD编码库，支持ICD-10、ICD-11等版本。提供编码库的更新和维护功能，确保与最新版本的ICD标准保持一致。</w:t>
            </w:r>
          </w:p>
        </w:tc>
      </w:tr>
      <w:tr w14:paraId="18695A55">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0768D62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59</w:t>
            </w:r>
          </w:p>
        </w:tc>
        <w:tc>
          <w:tcPr>
            <w:tcW w:w="1418" w:type="pct"/>
            <w:vMerge w:val="continue"/>
            <w:tcBorders>
              <w:top w:val="nil"/>
              <w:left w:val="single" w:color="000000" w:sz="4" w:space="0"/>
              <w:bottom w:val="single" w:color="000000" w:sz="4" w:space="0"/>
              <w:right w:val="single" w:color="000000" w:sz="4" w:space="0"/>
            </w:tcBorders>
            <w:vAlign w:val="center"/>
          </w:tcPr>
          <w:p w14:paraId="5BEC51F6">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1411224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电子病历内涵</w:t>
            </w:r>
            <w:r>
              <w:rPr>
                <w:rFonts w:hint="eastAsia" w:cs="宋体"/>
                <w:color w:val="000000"/>
                <w:kern w:val="0"/>
                <w:sz w:val="22"/>
                <w:szCs w:val="22"/>
              </w:rPr>
              <w:br w:type="textWrapping"/>
            </w:r>
            <w:r>
              <w:rPr>
                <w:rFonts w:hint="eastAsia" w:cs="宋体"/>
                <w:color w:val="000000"/>
                <w:kern w:val="0"/>
                <w:sz w:val="22"/>
                <w:szCs w:val="22"/>
              </w:rPr>
              <w:t>质控模块-通用临床电子病历（病史）内涵质控-病历完整性内涵质控</w:t>
            </w:r>
          </w:p>
        </w:tc>
        <w:tc>
          <w:tcPr>
            <w:tcW w:w="1829" w:type="pct"/>
            <w:tcBorders>
              <w:top w:val="nil"/>
              <w:left w:val="nil"/>
              <w:bottom w:val="single" w:color="000000" w:sz="4" w:space="0"/>
              <w:right w:val="single" w:color="000000" w:sz="4" w:space="0"/>
            </w:tcBorders>
            <w:shd w:val="clear" w:color="auto" w:fill="auto"/>
            <w:vAlign w:val="center"/>
          </w:tcPr>
          <w:p w14:paraId="705C1A4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构造大病史资料的细粒度的完整性指标，如现病史应包含起病情况，主要症状特征，病因和诱因等；</w:t>
            </w:r>
          </w:p>
        </w:tc>
      </w:tr>
      <w:tr w14:paraId="480DC81F">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1CBB3371">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60</w:t>
            </w:r>
          </w:p>
        </w:tc>
        <w:tc>
          <w:tcPr>
            <w:tcW w:w="1418" w:type="pct"/>
            <w:vMerge w:val="continue"/>
            <w:tcBorders>
              <w:top w:val="nil"/>
              <w:left w:val="single" w:color="000000" w:sz="4" w:space="0"/>
              <w:bottom w:val="single" w:color="000000" w:sz="4" w:space="0"/>
              <w:right w:val="single" w:color="000000" w:sz="4" w:space="0"/>
            </w:tcBorders>
            <w:vAlign w:val="center"/>
          </w:tcPr>
          <w:p w14:paraId="54B1313E">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2CBB046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电子病历内涵质控模块-通用临床电子病历（病史）内涵质控-病历规范性内涵质控</w:t>
            </w:r>
          </w:p>
        </w:tc>
        <w:tc>
          <w:tcPr>
            <w:tcW w:w="1829" w:type="pct"/>
            <w:tcBorders>
              <w:top w:val="nil"/>
              <w:left w:val="nil"/>
              <w:bottom w:val="single" w:color="000000" w:sz="4" w:space="0"/>
              <w:right w:val="single" w:color="000000" w:sz="4" w:space="0"/>
            </w:tcBorders>
            <w:shd w:val="clear" w:color="auto" w:fill="auto"/>
            <w:vAlign w:val="center"/>
          </w:tcPr>
          <w:p w14:paraId="1DA46D9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构造病历书写的规范性指标，如规范使用医学术语和缩写，常用的标量、称量使用国家计量标准和卫生行业通用标准，规范使用疾病诊断、手术操作名称和疾病诊断代码、手术操作代码；</w:t>
            </w:r>
          </w:p>
        </w:tc>
      </w:tr>
      <w:tr w14:paraId="42CF5682">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53C32DE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61</w:t>
            </w:r>
          </w:p>
        </w:tc>
        <w:tc>
          <w:tcPr>
            <w:tcW w:w="1418" w:type="pct"/>
            <w:vMerge w:val="continue"/>
            <w:tcBorders>
              <w:top w:val="nil"/>
              <w:left w:val="single" w:color="000000" w:sz="4" w:space="0"/>
              <w:bottom w:val="single" w:color="000000" w:sz="4" w:space="0"/>
              <w:right w:val="single" w:color="000000" w:sz="4" w:space="0"/>
            </w:tcBorders>
            <w:vAlign w:val="center"/>
          </w:tcPr>
          <w:p w14:paraId="01C5765A">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0F5A165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电子病历内涵</w:t>
            </w:r>
            <w:r>
              <w:rPr>
                <w:rFonts w:hint="eastAsia" w:cs="宋体"/>
                <w:color w:val="000000"/>
                <w:kern w:val="0"/>
                <w:sz w:val="22"/>
                <w:szCs w:val="22"/>
              </w:rPr>
              <w:br w:type="textWrapping"/>
            </w:r>
            <w:r>
              <w:rPr>
                <w:rFonts w:hint="eastAsia" w:cs="宋体"/>
                <w:color w:val="000000"/>
                <w:kern w:val="0"/>
                <w:sz w:val="22"/>
                <w:szCs w:val="22"/>
              </w:rPr>
              <w:t>质控模块-通用临床电子病历（病史）内涵质控-病历一致性内涵质控</w:t>
            </w:r>
          </w:p>
        </w:tc>
        <w:tc>
          <w:tcPr>
            <w:tcW w:w="1829" w:type="pct"/>
            <w:tcBorders>
              <w:top w:val="nil"/>
              <w:left w:val="nil"/>
              <w:bottom w:val="single" w:color="000000" w:sz="4" w:space="0"/>
              <w:right w:val="single" w:color="000000" w:sz="4" w:space="0"/>
            </w:tcBorders>
            <w:shd w:val="clear" w:color="auto" w:fill="auto"/>
            <w:vAlign w:val="center"/>
          </w:tcPr>
          <w:p w14:paraId="0E17D191">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构造病历文本之间关联性的一致性指标；</w:t>
            </w:r>
          </w:p>
        </w:tc>
      </w:tr>
      <w:tr w14:paraId="510787A7">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273680D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62</w:t>
            </w:r>
          </w:p>
        </w:tc>
        <w:tc>
          <w:tcPr>
            <w:tcW w:w="1418" w:type="pct"/>
            <w:vMerge w:val="continue"/>
            <w:tcBorders>
              <w:top w:val="nil"/>
              <w:left w:val="single" w:color="000000" w:sz="4" w:space="0"/>
              <w:bottom w:val="single" w:color="000000" w:sz="4" w:space="0"/>
              <w:right w:val="single" w:color="000000" w:sz="4" w:space="0"/>
            </w:tcBorders>
            <w:vAlign w:val="center"/>
          </w:tcPr>
          <w:p w14:paraId="70FA4445">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4C1A0EC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电子病历内涵</w:t>
            </w:r>
            <w:r>
              <w:rPr>
                <w:rFonts w:hint="eastAsia" w:cs="宋体"/>
                <w:color w:val="000000"/>
                <w:kern w:val="0"/>
                <w:sz w:val="22"/>
                <w:szCs w:val="22"/>
              </w:rPr>
              <w:br w:type="textWrapping"/>
            </w:r>
            <w:r>
              <w:rPr>
                <w:rFonts w:hint="eastAsia" w:cs="宋体"/>
                <w:color w:val="000000"/>
                <w:kern w:val="0"/>
                <w:sz w:val="22"/>
                <w:szCs w:val="22"/>
              </w:rPr>
              <w:t>质控模块-通用临床电子病历（病史）内涵质控-质控指标嵌入模型</w:t>
            </w:r>
          </w:p>
        </w:tc>
        <w:tc>
          <w:tcPr>
            <w:tcW w:w="1829" w:type="pct"/>
            <w:tcBorders>
              <w:top w:val="nil"/>
              <w:left w:val="nil"/>
              <w:bottom w:val="single" w:color="000000" w:sz="4" w:space="0"/>
              <w:right w:val="single" w:color="000000" w:sz="4" w:space="0"/>
            </w:tcBorders>
            <w:shd w:val="clear" w:color="auto" w:fill="auto"/>
            <w:vAlign w:val="center"/>
          </w:tcPr>
          <w:p w14:paraId="1EB641D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将质控指标嵌入到模型中，实现自动化、智能化的质控功能。基于内涵质控指标，将质控指标转换成模型可以执行的提示语言，实现稳定与可解释的通用电子病历质控。</w:t>
            </w:r>
          </w:p>
        </w:tc>
      </w:tr>
      <w:tr w14:paraId="0F1A84B6">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28EBE94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63</w:t>
            </w:r>
          </w:p>
        </w:tc>
        <w:tc>
          <w:tcPr>
            <w:tcW w:w="1418" w:type="pct"/>
            <w:vMerge w:val="continue"/>
            <w:tcBorders>
              <w:top w:val="nil"/>
              <w:left w:val="single" w:color="000000" w:sz="4" w:space="0"/>
              <w:bottom w:val="single" w:color="000000" w:sz="4" w:space="0"/>
              <w:right w:val="single" w:color="000000" w:sz="4" w:space="0"/>
            </w:tcBorders>
            <w:vAlign w:val="center"/>
          </w:tcPr>
          <w:p w14:paraId="7D606FC6">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77AD073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电子病历内涵</w:t>
            </w:r>
            <w:r>
              <w:rPr>
                <w:rFonts w:hint="eastAsia" w:cs="宋体"/>
                <w:color w:val="000000"/>
                <w:kern w:val="0"/>
                <w:sz w:val="22"/>
                <w:szCs w:val="22"/>
              </w:rPr>
              <w:br w:type="textWrapping"/>
            </w:r>
            <w:r>
              <w:rPr>
                <w:rFonts w:hint="eastAsia" w:cs="宋体"/>
                <w:color w:val="000000"/>
                <w:kern w:val="0"/>
                <w:sz w:val="22"/>
                <w:szCs w:val="22"/>
              </w:rPr>
              <w:t>质控模块-面向专科特点的内涵质控-产科电子病历内涵质控</w:t>
            </w:r>
          </w:p>
        </w:tc>
        <w:tc>
          <w:tcPr>
            <w:tcW w:w="1829" w:type="pct"/>
            <w:tcBorders>
              <w:top w:val="nil"/>
              <w:left w:val="nil"/>
              <w:bottom w:val="single" w:color="000000" w:sz="4" w:space="0"/>
              <w:right w:val="single" w:color="000000" w:sz="4" w:space="0"/>
            </w:tcBorders>
            <w:shd w:val="clear" w:color="auto" w:fill="auto"/>
            <w:vAlign w:val="center"/>
          </w:tcPr>
          <w:p w14:paraId="43FAFF2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建立产科的内涵质控指标。基于内涵质控指标，将质控指标转换成模型可以执行的提示语言，实现稳定与可解释的专科电子病历质控。</w:t>
            </w:r>
          </w:p>
        </w:tc>
      </w:tr>
      <w:tr w14:paraId="7EF48FF3">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0761E6EE">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64</w:t>
            </w:r>
          </w:p>
        </w:tc>
        <w:tc>
          <w:tcPr>
            <w:tcW w:w="1418" w:type="pct"/>
            <w:vMerge w:val="continue"/>
            <w:tcBorders>
              <w:top w:val="nil"/>
              <w:left w:val="single" w:color="000000" w:sz="4" w:space="0"/>
              <w:bottom w:val="single" w:color="000000" w:sz="4" w:space="0"/>
              <w:right w:val="single" w:color="000000" w:sz="4" w:space="0"/>
            </w:tcBorders>
            <w:vAlign w:val="center"/>
          </w:tcPr>
          <w:p w14:paraId="51E4DD66">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540E80F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电子病历内涵</w:t>
            </w:r>
            <w:r>
              <w:rPr>
                <w:rFonts w:hint="eastAsia" w:cs="宋体"/>
                <w:color w:val="000000"/>
                <w:kern w:val="0"/>
                <w:sz w:val="22"/>
                <w:szCs w:val="22"/>
              </w:rPr>
              <w:br w:type="textWrapping"/>
            </w:r>
            <w:r>
              <w:rPr>
                <w:rFonts w:hint="eastAsia" w:cs="宋体"/>
                <w:color w:val="000000"/>
                <w:kern w:val="0"/>
                <w:sz w:val="22"/>
                <w:szCs w:val="22"/>
              </w:rPr>
              <w:t>质控模块-面向专科特点的内涵质控-牙科电子病历内涵质控</w:t>
            </w:r>
          </w:p>
        </w:tc>
        <w:tc>
          <w:tcPr>
            <w:tcW w:w="1829" w:type="pct"/>
            <w:tcBorders>
              <w:top w:val="nil"/>
              <w:left w:val="nil"/>
              <w:bottom w:val="single" w:color="000000" w:sz="4" w:space="0"/>
              <w:right w:val="single" w:color="000000" w:sz="4" w:space="0"/>
            </w:tcBorders>
            <w:shd w:val="clear" w:color="auto" w:fill="auto"/>
            <w:vAlign w:val="center"/>
          </w:tcPr>
          <w:p w14:paraId="4B75BD86">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建立牙科的内涵质控指标。基于内涵质控指标，将质控指标转换成模型可以执行的提示语言，实现稳定与可解释的专科电子病历质控。</w:t>
            </w:r>
          </w:p>
        </w:tc>
      </w:tr>
      <w:tr w14:paraId="396BD1C9">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0743480E">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65</w:t>
            </w:r>
          </w:p>
        </w:tc>
        <w:tc>
          <w:tcPr>
            <w:tcW w:w="1418" w:type="pct"/>
            <w:vMerge w:val="continue"/>
            <w:tcBorders>
              <w:top w:val="nil"/>
              <w:left w:val="single" w:color="000000" w:sz="4" w:space="0"/>
              <w:bottom w:val="single" w:color="000000" w:sz="4" w:space="0"/>
              <w:right w:val="single" w:color="000000" w:sz="4" w:space="0"/>
            </w:tcBorders>
            <w:vAlign w:val="center"/>
          </w:tcPr>
          <w:p w14:paraId="3B2FEE6B">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38DA549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电子病历内涵</w:t>
            </w:r>
            <w:r>
              <w:rPr>
                <w:rFonts w:hint="eastAsia" w:cs="宋体"/>
                <w:color w:val="000000"/>
                <w:kern w:val="0"/>
                <w:sz w:val="22"/>
                <w:szCs w:val="22"/>
              </w:rPr>
              <w:br w:type="textWrapping"/>
            </w:r>
            <w:r>
              <w:rPr>
                <w:rFonts w:hint="eastAsia" w:cs="宋体"/>
                <w:color w:val="000000"/>
                <w:kern w:val="0"/>
                <w:sz w:val="22"/>
                <w:szCs w:val="22"/>
              </w:rPr>
              <w:t>质控模块-面向专科特点的内涵质控-精神病专科电子病历内涵质控</w:t>
            </w:r>
          </w:p>
        </w:tc>
        <w:tc>
          <w:tcPr>
            <w:tcW w:w="1829" w:type="pct"/>
            <w:tcBorders>
              <w:top w:val="nil"/>
              <w:left w:val="nil"/>
              <w:bottom w:val="single" w:color="000000" w:sz="4" w:space="0"/>
              <w:right w:val="single" w:color="000000" w:sz="4" w:space="0"/>
            </w:tcBorders>
            <w:shd w:val="clear" w:color="auto" w:fill="auto"/>
            <w:vAlign w:val="center"/>
          </w:tcPr>
          <w:p w14:paraId="2AEBF6E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建立精神病的内涵质控指标。基于内涵质控指标，将质控指标转换成模型可以执行的提示语言，实现稳定与可解释的专科电子病历质控。</w:t>
            </w:r>
          </w:p>
        </w:tc>
      </w:tr>
      <w:tr w14:paraId="45DE576F">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785BEC0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66</w:t>
            </w:r>
          </w:p>
        </w:tc>
        <w:tc>
          <w:tcPr>
            <w:tcW w:w="1418" w:type="pct"/>
            <w:vMerge w:val="continue"/>
            <w:tcBorders>
              <w:top w:val="nil"/>
              <w:left w:val="single" w:color="000000" w:sz="4" w:space="0"/>
              <w:bottom w:val="single" w:color="000000" w:sz="4" w:space="0"/>
              <w:right w:val="single" w:color="000000" w:sz="4" w:space="0"/>
            </w:tcBorders>
            <w:vAlign w:val="center"/>
          </w:tcPr>
          <w:p w14:paraId="7979AFFC">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4C615DA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电子病历内涵</w:t>
            </w:r>
            <w:r>
              <w:rPr>
                <w:rFonts w:hint="eastAsia" w:cs="宋体"/>
                <w:color w:val="000000"/>
                <w:kern w:val="0"/>
                <w:sz w:val="22"/>
                <w:szCs w:val="22"/>
              </w:rPr>
              <w:br w:type="textWrapping"/>
            </w:r>
            <w:r>
              <w:rPr>
                <w:rFonts w:hint="eastAsia" w:cs="宋体"/>
                <w:color w:val="000000"/>
                <w:kern w:val="0"/>
                <w:sz w:val="22"/>
                <w:szCs w:val="22"/>
              </w:rPr>
              <w:t>质控模块-面向临床关键环节与关键结果的深度内涵质控-诊断依据充分性评估质控</w:t>
            </w:r>
          </w:p>
        </w:tc>
        <w:tc>
          <w:tcPr>
            <w:tcW w:w="1829" w:type="pct"/>
            <w:tcBorders>
              <w:top w:val="nil"/>
              <w:left w:val="nil"/>
              <w:bottom w:val="single" w:color="000000" w:sz="4" w:space="0"/>
              <w:right w:val="single" w:color="000000" w:sz="4" w:space="0"/>
            </w:tcBorders>
            <w:shd w:val="clear" w:color="auto" w:fill="auto"/>
            <w:vAlign w:val="center"/>
          </w:tcPr>
          <w:p w14:paraId="4E52499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评估诊断依据是否充分，包括患者的病史、体格检查、实验室检查、影像学检查等。识别是否存在诊断依据不足或遗漏关键信息的情况。</w:t>
            </w:r>
          </w:p>
        </w:tc>
      </w:tr>
      <w:tr w14:paraId="3C68703D">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7DCD29E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67</w:t>
            </w:r>
          </w:p>
        </w:tc>
        <w:tc>
          <w:tcPr>
            <w:tcW w:w="1418" w:type="pct"/>
            <w:vMerge w:val="continue"/>
            <w:tcBorders>
              <w:top w:val="nil"/>
              <w:left w:val="single" w:color="000000" w:sz="4" w:space="0"/>
              <w:bottom w:val="single" w:color="000000" w:sz="4" w:space="0"/>
              <w:right w:val="single" w:color="000000" w:sz="4" w:space="0"/>
            </w:tcBorders>
            <w:vAlign w:val="center"/>
          </w:tcPr>
          <w:p w14:paraId="42CD1799">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510F278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电子病历内涵</w:t>
            </w:r>
            <w:r>
              <w:rPr>
                <w:rFonts w:hint="eastAsia" w:cs="宋体"/>
                <w:color w:val="000000"/>
                <w:kern w:val="0"/>
                <w:sz w:val="22"/>
                <w:szCs w:val="22"/>
              </w:rPr>
              <w:br w:type="textWrapping"/>
            </w:r>
            <w:r>
              <w:rPr>
                <w:rFonts w:hint="eastAsia" w:cs="宋体"/>
                <w:color w:val="000000"/>
                <w:kern w:val="0"/>
                <w:sz w:val="22"/>
                <w:szCs w:val="22"/>
              </w:rPr>
              <w:t>质控模块-面向临床关键环节与关键结果的深度内涵质控-治疗方案合理性内涵质控</w:t>
            </w:r>
          </w:p>
        </w:tc>
        <w:tc>
          <w:tcPr>
            <w:tcW w:w="1829" w:type="pct"/>
            <w:tcBorders>
              <w:top w:val="nil"/>
              <w:left w:val="nil"/>
              <w:bottom w:val="single" w:color="000000" w:sz="4" w:space="0"/>
              <w:right w:val="single" w:color="000000" w:sz="4" w:space="0"/>
            </w:tcBorders>
            <w:shd w:val="clear" w:color="auto" w:fill="auto"/>
            <w:vAlign w:val="center"/>
          </w:tcPr>
          <w:p w14:paraId="4D6BD21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分析治疗方案是否与诊断相符，评估治疗方案的科学性、合理性和有效性。识别是否存在治疗方案选择不当、用药不合理等问题。</w:t>
            </w:r>
          </w:p>
        </w:tc>
      </w:tr>
      <w:tr w14:paraId="1DF7430A">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0DA6958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68</w:t>
            </w:r>
          </w:p>
        </w:tc>
        <w:tc>
          <w:tcPr>
            <w:tcW w:w="1418" w:type="pct"/>
            <w:vMerge w:val="continue"/>
            <w:tcBorders>
              <w:top w:val="nil"/>
              <w:left w:val="single" w:color="000000" w:sz="4" w:space="0"/>
              <w:bottom w:val="single" w:color="000000" w:sz="4" w:space="0"/>
              <w:right w:val="single" w:color="000000" w:sz="4" w:space="0"/>
            </w:tcBorders>
            <w:vAlign w:val="center"/>
          </w:tcPr>
          <w:p w14:paraId="4AC211F6">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1237E8A1">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电子病历内涵质控模块-面向临床关键环节与关键结果的深度内涵质控-关键结果与变化记录完整性内涵质控</w:t>
            </w:r>
          </w:p>
        </w:tc>
        <w:tc>
          <w:tcPr>
            <w:tcW w:w="1829" w:type="pct"/>
            <w:tcBorders>
              <w:top w:val="nil"/>
              <w:left w:val="nil"/>
              <w:bottom w:val="single" w:color="000000" w:sz="4" w:space="0"/>
              <w:right w:val="single" w:color="000000" w:sz="4" w:space="0"/>
            </w:tcBorders>
            <w:shd w:val="clear" w:color="auto" w:fill="auto"/>
            <w:vAlign w:val="center"/>
          </w:tcPr>
          <w:p w14:paraId="05E42F4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检查关键结果或关键变化是否记录在病历中，如病情转归、不良反应等。评估记录是否详细、准确，是否存在遗漏或模糊的情况。</w:t>
            </w:r>
          </w:p>
        </w:tc>
      </w:tr>
      <w:tr w14:paraId="7C0F1B37">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31D3949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69</w:t>
            </w:r>
          </w:p>
        </w:tc>
        <w:tc>
          <w:tcPr>
            <w:tcW w:w="1418" w:type="pct"/>
            <w:vMerge w:val="continue"/>
            <w:tcBorders>
              <w:top w:val="nil"/>
              <w:left w:val="single" w:color="000000" w:sz="4" w:space="0"/>
              <w:bottom w:val="single" w:color="000000" w:sz="4" w:space="0"/>
              <w:right w:val="single" w:color="000000" w:sz="4" w:space="0"/>
            </w:tcBorders>
            <w:vAlign w:val="center"/>
          </w:tcPr>
          <w:p w14:paraId="1CF893BE">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0748918E">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电子病历内涵</w:t>
            </w:r>
            <w:r>
              <w:rPr>
                <w:rFonts w:hint="eastAsia" w:cs="宋体"/>
                <w:color w:val="000000"/>
                <w:kern w:val="0"/>
                <w:sz w:val="22"/>
                <w:szCs w:val="22"/>
              </w:rPr>
              <w:br w:type="textWrapping"/>
            </w:r>
            <w:r>
              <w:rPr>
                <w:rFonts w:hint="eastAsia" w:cs="宋体"/>
                <w:color w:val="000000"/>
                <w:kern w:val="0"/>
                <w:sz w:val="22"/>
                <w:szCs w:val="22"/>
              </w:rPr>
              <w:t>质控模块-面向临床关键环节与关键结果的深度内涵质控-处置措施完整性评估内涵质控</w:t>
            </w:r>
          </w:p>
        </w:tc>
        <w:tc>
          <w:tcPr>
            <w:tcW w:w="1829" w:type="pct"/>
            <w:tcBorders>
              <w:top w:val="nil"/>
              <w:left w:val="nil"/>
              <w:bottom w:val="single" w:color="000000" w:sz="4" w:space="0"/>
              <w:right w:val="single" w:color="000000" w:sz="4" w:space="0"/>
            </w:tcBorders>
            <w:shd w:val="clear" w:color="auto" w:fill="auto"/>
            <w:vAlign w:val="center"/>
          </w:tcPr>
          <w:p w14:paraId="0604AA8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评估对于关键结果或关键变化是否采取了相应的处置措施。检查处置措施是否及时、有效，是否存在延误或不当处理的情况。</w:t>
            </w:r>
          </w:p>
        </w:tc>
      </w:tr>
      <w:tr w14:paraId="7F69D74F">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6A93F7D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70</w:t>
            </w:r>
          </w:p>
        </w:tc>
        <w:tc>
          <w:tcPr>
            <w:tcW w:w="1418" w:type="pct"/>
            <w:vMerge w:val="continue"/>
            <w:tcBorders>
              <w:top w:val="nil"/>
              <w:left w:val="single" w:color="000000" w:sz="4" w:space="0"/>
              <w:bottom w:val="single" w:color="000000" w:sz="4" w:space="0"/>
              <w:right w:val="single" w:color="000000" w:sz="4" w:space="0"/>
            </w:tcBorders>
            <w:vAlign w:val="center"/>
          </w:tcPr>
          <w:p w14:paraId="49975AC1">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4E8176AE">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电子病历内涵</w:t>
            </w:r>
            <w:r>
              <w:rPr>
                <w:rFonts w:hint="eastAsia" w:cs="宋体"/>
                <w:color w:val="000000"/>
                <w:kern w:val="0"/>
                <w:sz w:val="22"/>
                <w:szCs w:val="22"/>
              </w:rPr>
              <w:br w:type="textWrapping"/>
            </w:r>
            <w:r>
              <w:rPr>
                <w:rFonts w:hint="eastAsia" w:cs="宋体"/>
                <w:color w:val="000000"/>
                <w:kern w:val="0"/>
                <w:sz w:val="22"/>
                <w:szCs w:val="22"/>
              </w:rPr>
              <w:t>质控模块-面向临床关键环节与关键结果的深度内涵质控-因果关系合理性内涵质控</w:t>
            </w:r>
          </w:p>
        </w:tc>
        <w:tc>
          <w:tcPr>
            <w:tcW w:w="1829" w:type="pct"/>
            <w:tcBorders>
              <w:top w:val="nil"/>
              <w:left w:val="nil"/>
              <w:bottom w:val="single" w:color="000000" w:sz="4" w:space="0"/>
              <w:right w:val="single" w:color="000000" w:sz="4" w:space="0"/>
            </w:tcBorders>
            <w:shd w:val="clear" w:color="auto" w:fill="auto"/>
            <w:vAlign w:val="center"/>
          </w:tcPr>
          <w:p w14:paraId="57B2BF8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分析主诉与诊断、用药与疾病等之间的因果关系是否合理。识别是否存在因果关系不紧密、逻辑不清晰的情况。</w:t>
            </w:r>
          </w:p>
        </w:tc>
      </w:tr>
      <w:tr w14:paraId="53D524EE">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1A75DFE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71</w:t>
            </w:r>
          </w:p>
        </w:tc>
        <w:tc>
          <w:tcPr>
            <w:tcW w:w="1418" w:type="pct"/>
            <w:vMerge w:val="continue"/>
            <w:tcBorders>
              <w:top w:val="nil"/>
              <w:left w:val="single" w:color="000000" w:sz="4" w:space="0"/>
              <w:bottom w:val="single" w:color="000000" w:sz="4" w:space="0"/>
              <w:right w:val="single" w:color="000000" w:sz="4" w:space="0"/>
            </w:tcBorders>
            <w:vAlign w:val="center"/>
          </w:tcPr>
          <w:p w14:paraId="371C1BB4">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4C5FA05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电子病历内涵</w:t>
            </w:r>
            <w:r>
              <w:rPr>
                <w:rFonts w:hint="eastAsia" w:cs="宋体"/>
                <w:color w:val="000000"/>
                <w:kern w:val="0"/>
                <w:sz w:val="22"/>
                <w:szCs w:val="22"/>
              </w:rPr>
              <w:br w:type="textWrapping"/>
            </w:r>
            <w:r>
              <w:rPr>
                <w:rFonts w:hint="eastAsia" w:cs="宋体"/>
                <w:color w:val="000000"/>
                <w:kern w:val="0"/>
                <w:sz w:val="22"/>
                <w:szCs w:val="22"/>
              </w:rPr>
              <w:t>质控模块-模型支撑的内涵质控模块-内涵质控指标管理</w:t>
            </w:r>
          </w:p>
        </w:tc>
        <w:tc>
          <w:tcPr>
            <w:tcW w:w="1829" w:type="pct"/>
            <w:tcBorders>
              <w:top w:val="nil"/>
              <w:left w:val="nil"/>
              <w:bottom w:val="single" w:color="000000" w:sz="4" w:space="0"/>
              <w:right w:val="single" w:color="000000" w:sz="4" w:space="0"/>
            </w:tcBorders>
            <w:shd w:val="clear" w:color="auto" w:fill="auto"/>
            <w:vAlign w:val="center"/>
          </w:tcPr>
          <w:p w14:paraId="0B97A658">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根据质控需求定义各类指标，如质控指标、风险指标等。为指标设定合理的阈值和权重。</w:t>
            </w:r>
          </w:p>
        </w:tc>
      </w:tr>
      <w:tr w14:paraId="5CD0CE2B">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32F6A9A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72</w:t>
            </w:r>
          </w:p>
        </w:tc>
        <w:tc>
          <w:tcPr>
            <w:tcW w:w="1418" w:type="pct"/>
            <w:vMerge w:val="continue"/>
            <w:tcBorders>
              <w:top w:val="nil"/>
              <w:left w:val="single" w:color="000000" w:sz="4" w:space="0"/>
              <w:bottom w:val="single" w:color="000000" w:sz="4" w:space="0"/>
              <w:right w:val="single" w:color="000000" w:sz="4" w:space="0"/>
            </w:tcBorders>
            <w:vAlign w:val="center"/>
          </w:tcPr>
          <w:p w14:paraId="3BD875A4">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7A25F0F6">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电子病历内涵</w:t>
            </w:r>
            <w:r>
              <w:rPr>
                <w:rFonts w:hint="eastAsia" w:cs="宋体"/>
                <w:color w:val="000000"/>
                <w:kern w:val="0"/>
                <w:sz w:val="22"/>
                <w:szCs w:val="22"/>
              </w:rPr>
              <w:br w:type="textWrapping"/>
            </w:r>
            <w:r>
              <w:rPr>
                <w:rFonts w:hint="eastAsia" w:cs="宋体"/>
                <w:color w:val="000000"/>
                <w:kern w:val="0"/>
                <w:sz w:val="22"/>
                <w:szCs w:val="22"/>
              </w:rPr>
              <w:t>质控模块-模型支撑的内涵质控模块-指标执行管理</w:t>
            </w:r>
          </w:p>
        </w:tc>
        <w:tc>
          <w:tcPr>
            <w:tcW w:w="1829" w:type="pct"/>
            <w:tcBorders>
              <w:top w:val="nil"/>
              <w:left w:val="nil"/>
              <w:bottom w:val="single" w:color="000000" w:sz="4" w:space="0"/>
              <w:right w:val="single" w:color="000000" w:sz="4" w:space="0"/>
            </w:tcBorders>
            <w:shd w:val="clear" w:color="auto" w:fill="auto"/>
            <w:vAlign w:val="center"/>
          </w:tcPr>
          <w:p w14:paraId="1C9A0C26">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从数据源获取与指标相关的数据。对数据进行必要的处理和转换，以满足指标计算的要求。</w:t>
            </w:r>
          </w:p>
        </w:tc>
      </w:tr>
      <w:tr w14:paraId="6434B891">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5182229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73</w:t>
            </w:r>
          </w:p>
        </w:tc>
        <w:tc>
          <w:tcPr>
            <w:tcW w:w="1418" w:type="pct"/>
            <w:vMerge w:val="continue"/>
            <w:tcBorders>
              <w:top w:val="nil"/>
              <w:left w:val="single" w:color="000000" w:sz="4" w:space="0"/>
              <w:bottom w:val="single" w:color="000000" w:sz="4" w:space="0"/>
              <w:right w:val="single" w:color="000000" w:sz="4" w:space="0"/>
            </w:tcBorders>
            <w:vAlign w:val="center"/>
          </w:tcPr>
          <w:p w14:paraId="08759B9A">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22DF24E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电子病历内涵质控模块-模型支撑的内涵质控模块-智能预警管理</w:t>
            </w:r>
          </w:p>
        </w:tc>
        <w:tc>
          <w:tcPr>
            <w:tcW w:w="1829" w:type="pct"/>
            <w:tcBorders>
              <w:top w:val="nil"/>
              <w:left w:val="nil"/>
              <w:bottom w:val="single" w:color="000000" w:sz="4" w:space="0"/>
              <w:right w:val="single" w:color="000000" w:sz="4" w:space="0"/>
            </w:tcBorders>
            <w:shd w:val="clear" w:color="auto" w:fill="auto"/>
            <w:vAlign w:val="center"/>
          </w:tcPr>
          <w:p w14:paraId="6596C5F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系统可以设定预警的触发条件和阈值。配置预警的接收方和通知方式。根据指标的执行结果和预警规则进行实时判断。当满足预警条件时，自动触发预警通知。</w:t>
            </w:r>
          </w:p>
        </w:tc>
      </w:tr>
      <w:tr w14:paraId="26FC964C">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559982D8">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74</w:t>
            </w:r>
          </w:p>
        </w:tc>
        <w:tc>
          <w:tcPr>
            <w:tcW w:w="1418" w:type="pct"/>
            <w:vMerge w:val="continue"/>
            <w:tcBorders>
              <w:top w:val="nil"/>
              <w:left w:val="single" w:color="000000" w:sz="4" w:space="0"/>
              <w:bottom w:val="single" w:color="000000" w:sz="4" w:space="0"/>
              <w:right w:val="single" w:color="000000" w:sz="4" w:space="0"/>
            </w:tcBorders>
            <w:vAlign w:val="center"/>
          </w:tcPr>
          <w:p w14:paraId="7D3D6F15">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38DB77E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电子病历内涵</w:t>
            </w:r>
            <w:r>
              <w:rPr>
                <w:rFonts w:hint="eastAsia" w:cs="宋体"/>
                <w:color w:val="000000"/>
                <w:kern w:val="0"/>
                <w:sz w:val="22"/>
                <w:szCs w:val="22"/>
              </w:rPr>
              <w:br w:type="textWrapping"/>
            </w:r>
            <w:r>
              <w:rPr>
                <w:rFonts w:hint="eastAsia" w:cs="宋体"/>
                <w:color w:val="000000"/>
                <w:kern w:val="0"/>
                <w:sz w:val="22"/>
                <w:szCs w:val="22"/>
              </w:rPr>
              <w:t>质控模块-模型支撑的内涵质控模块-统计分析管理</w:t>
            </w:r>
          </w:p>
        </w:tc>
        <w:tc>
          <w:tcPr>
            <w:tcW w:w="1829" w:type="pct"/>
            <w:tcBorders>
              <w:top w:val="nil"/>
              <w:left w:val="nil"/>
              <w:bottom w:val="single" w:color="000000" w:sz="4" w:space="0"/>
              <w:right w:val="single" w:color="000000" w:sz="4" w:space="0"/>
            </w:tcBorders>
            <w:shd w:val="clear" w:color="auto" w:fill="auto"/>
            <w:vAlign w:val="center"/>
          </w:tcPr>
          <w:p w14:paraId="5694D6A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对指标的执行结果和预警记录进行汇总。</w:t>
            </w:r>
          </w:p>
        </w:tc>
      </w:tr>
      <w:tr w14:paraId="3C1376F5">
        <w:tblPrEx>
          <w:tblCellMar>
            <w:top w:w="0" w:type="dxa"/>
            <w:left w:w="108" w:type="dxa"/>
            <w:bottom w:w="0" w:type="dxa"/>
            <w:right w:w="108" w:type="dxa"/>
          </w:tblCellMar>
        </w:tblPrEx>
        <w:trPr>
          <w:trHeight w:val="5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431EA738">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75</w:t>
            </w:r>
          </w:p>
        </w:tc>
        <w:tc>
          <w:tcPr>
            <w:tcW w:w="1418" w:type="pct"/>
            <w:vMerge w:val="continue"/>
            <w:tcBorders>
              <w:top w:val="nil"/>
              <w:left w:val="single" w:color="000000" w:sz="4" w:space="0"/>
              <w:bottom w:val="single" w:color="000000" w:sz="4" w:space="0"/>
              <w:right w:val="single" w:color="000000" w:sz="4" w:space="0"/>
            </w:tcBorders>
            <w:vAlign w:val="center"/>
          </w:tcPr>
          <w:p w14:paraId="0A01DF5F">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04E2F2B1">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基于电子病历的医疗服务管理决策支持模块-临床辅助决策应用-不同方案的诊疗效果对标</w:t>
            </w:r>
          </w:p>
        </w:tc>
        <w:tc>
          <w:tcPr>
            <w:tcW w:w="1829" w:type="pct"/>
            <w:tcBorders>
              <w:top w:val="nil"/>
              <w:left w:val="nil"/>
              <w:bottom w:val="single" w:color="000000" w:sz="4" w:space="0"/>
              <w:right w:val="single" w:color="000000" w:sz="4" w:space="0"/>
            </w:tcBorders>
            <w:shd w:val="clear" w:color="auto" w:fill="auto"/>
            <w:vAlign w:val="center"/>
          </w:tcPr>
          <w:p w14:paraId="1185261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基于知识图谱中的临床数据和治疗结果等数据，开发出不同方案的诊疗效果对标的应用</w:t>
            </w:r>
          </w:p>
        </w:tc>
      </w:tr>
      <w:tr w14:paraId="20CB7B78">
        <w:tblPrEx>
          <w:tblCellMar>
            <w:top w:w="0" w:type="dxa"/>
            <w:left w:w="108" w:type="dxa"/>
            <w:bottom w:w="0" w:type="dxa"/>
            <w:right w:w="108" w:type="dxa"/>
          </w:tblCellMar>
        </w:tblPrEx>
        <w:trPr>
          <w:trHeight w:val="5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51C761B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76</w:t>
            </w:r>
          </w:p>
        </w:tc>
        <w:tc>
          <w:tcPr>
            <w:tcW w:w="1418" w:type="pct"/>
            <w:vMerge w:val="continue"/>
            <w:tcBorders>
              <w:top w:val="nil"/>
              <w:left w:val="single" w:color="000000" w:sz="4" w:space="0"/>
              <w:bottom w:val="single" w:color="000000" w:sz="4" w:space="0"/>
              <w:right w:val="single" w:color="000000" w:sz="4" w:space="0"/>
            </w:tcBorders>
            <w:vAlign w:val="center"/>
          </w:tcPr>
          <w:p w14:paraId="68FD1CC5">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5145A99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基于电子病历的医疗服务管理决策支持模块-临床辅助决策应用-医疗风险的早期预警</w:t>
            </w:r>
          </w:p>
        </w:tc>
        <w:tc>
          <w:tcPr>
            <w:tcW w:w="1829" w:type="pct"/>
            <w:tcBorders>
              <w:top w:val="nil"/>
              <w:left w:val="nil"/>
              <w:bottom w:val="single" w:color="000000" w:sz="4" w:space="0"/>
              <w:right w:val="single" w:color="000000" w:sz="4" w:space="0"/>
            </w:tcBorders>
            <w:shd w:val="clear" w:color="auto" w:fill="auto"/>
            <w:vAlign w:val="center"/>
          </w:tcPr>
          <w:p w14:paraId="7888525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利用知识图谱进行模式识别和趋势分析，实现对潜在医疗风险的早期预警</w:t>
            </w:r>
          </w:p>
        </w:tc>
      </w:tr>
      <w:tr w14:paraId="0056ECF4">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394C765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77</w:t>
            </w:r>
          </w:p>
        </w:tc>
        <w:tc>
          <w:tcPr>
            <w:tcW w:w="1418" w:type="pct"/>
            <w:vMerge w:val="continue"/>
            <w:tcBorders>
              <w:top w:val="nil"/>
              <w:left w:val="single" w:color="000000" w:sz="4" w:space="0"/>
              <w:bottom w:val="single" w:color="000000" w:sz="4" w:space="0"/>
              <w:right w:val="single" w:color="000000" w:sz="4" w:space="0"/>
            </w:tcBorders>
            <w:vAlign w:val="center"/>
          </w:tcPr>
          <w:p w14:paraId="4565004F">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4EC9B79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基于电子病历数据自动采集与测试场景动态采样的的自动化评估模块-电子病历系统应用水平评价指标与数据关联映射-电子病历数据抽取映射</w:t>
            </w:r>
          </w:p>
        </w:tc>
        <w:tc>
          <w:tcPr>
            <w:tcW w:w="1829" w:type="pct"/>
            <w:tcBorders>
              <w:top w:val="nil"/>
              <w:left w:val="nil"/>
              <w:bottom w:val="single" w:color="000000" w:sz="4" w:space="0"/>
              <w:right w:val="single" w:color="000000" w:sz="4" w:space="0"/>
            </w:tcBorders>
            <w:shd w:val="clear" w:color="auto" w:fill="auto"/>
            <w:vAlign w:val="center"/>
          </w:tcPr>
          <w:p w14:paraId="2B94A3A6">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将数据相关评价指标，映射成基于电子病历数据的处理和计算问题，如数据抽取的关联映射</w:t>
            </w:r>
          </w:p>
        </w:tc>
      </w:tr>
      <w:tr w14:paraId="31872882">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21CCF15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78</w:t>
            </w:r>
          </w:p>
        </w:tc>
        <w:tc>
          <w:tcPr>
            <w:tcW w:w="1418" w:type="pct"/>
            <w:vMerge w:val="continue"/>
            <w:tcBorders>
              <w:top w:val="nil"/>
              <w:left w:val="single" w:color="000000" w:sz="4" w:space="0"/>
              <w:bottom w:val="single" w:color="000000" w:sz="4" w:space="0"/>
              <w:right w:val="single" w:color="000000" w:sz="4" w:space="0"/>
            </w:tcBorders>
            <w:vAlign w:val="center"/>
          </w:tcPr>
          <w:p w14:paraId="4E540A0C">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09125C5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基于电子病历数据自动采集与测试场景动态采样的的自动化评估模块-电子病历系统应用水平评价指标与数据关联映射-电子病历数据分类映射</w:t>
            </w:r>
          </w:p>
        </w:tc>
        <w:tc>
          <w:tcPr>
            <w:tcW w:w="1829" w:type="pct"/>
            <w:tcBorders>
              <w:top w:val="nil"/>
              <w:left w:val="nil"/>
              <w:bottom w:val="single" w:color="000000" w:sz="4" w:space="0"/>
              <w:right w:val="single" w:color="000000" w:sz="4" w:space="0"/>
            </w:tcBorders>
            <w:shd w:val="clear" w:color="auto" w:fill="auto"/>
            <w:vAlign w:val="center"/>
          </w:tcPr>
          <w:p w14:paraId="206DDB6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将数据相关评价指标，映射成基于电子病历数据的处理和计算问题，如数据分类的关联映射</w:t>
            </w:r>
          </w:p>
        </w:tc>
      </w:tr>
      <w:tr w14:paraId="60B08AE7">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2929C32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79</w:t>
            </w:r>
          </w:p>
        </w:tc>
        <w:tc>
          <w:tcPr>
            <w:tcW w:w="1418" w:type="pct"/>
            <w:vMerge w:val="continue"/>
            <w:tcBorders>
              <w:top w:val="nil"/>
              <w:left w:val="single" w:color="000000" w:sz="4" w:space="0"/>
              <w:bottom w:val="single" w:color="000000" w:sz="4" w:space="0"/>
              <w:right w:val="single" w:color="000000" w:sz="4" w:space="0"/>
            </w:tcBorders>
            <w:vAlign w:val="center"/>
          </w:tcPr>
          <w:p w14:paraId="42301398">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496C8E0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基于电子病历数据自动采集与测试场景动态采样的的自动化评估模块-电子病历系统应用水平评价指标与数据关联映射-电子病历长文本问答映射</w:t>
            </w:r>
          </w:p>
        </w:tc>
        <w:tc>
          <w:tcPr>
            <w:tcW w:w="1829" w:type="pct"/>
            <w:tcBorders>
              <w:top w:val="nil"/>
              <w:left w:val="nil"/>
              <w:bottom w:val="single" w:color="000000" w:sz="4" w:space="0"/>
              <w:right w:val="single" w:color="000000" w:sz="4" w:space="0"/>
            </w:tcBorders>
            <w:shd w:val="clear" w:color="auto" w:fill="auto"/>
            <w:vAlign w:val="center"/>
          </w:tcPr>
          <w:p w14:paraId="64926EC6">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将数据相关评价指标，映射成基于电子病历数据的处理和计算问题，如长文本问答，查询以及上述问题的排列组合的关联映射</w:t>
            </w:r>
          </w:p>
        </w:tc>
      </w:tr>
      <w:tr w14:paraId="2F806B87">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6FCDAC1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80</w:t>
            </w:r>
          </w:p>
        </w:tc>
        <w:tc>
          <w:tcPr>
            <w:tcW w:w="1418" w:type="pct"/>
            <w:vMerge w:val="continue"/>
            <w:tcBorders>
              <w:top w:val="nil"/>
              <w:left w:val="single" w:color="000000" w:sz="4" w:space="0"/>
              <w:bottom w:val="single" w:color="000000" w:sz="4" w:space="0"/>
              <w:right w:val="single" w:color="000000" w:sz="4" w:space="0"/>
            </w:tcBorders>
            <w:vAlign w:val="center"/>
          </w:tcPr>
          <w:p w14:paraId="4050B977">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73E7D77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基于电子病历数据自动采集与测试场景动态采样的的自动化评估模块-基于人工智能的指标自动计算-场景指标数据预处理</w:t>
            </w:r>
          </w:p>
        </w:tc>
        <w:tc>
          <w:tcPr>
            <w:tcW w:w="1829" w:type="pct"/>
            <w:tcBorders>
              <w:top w:val="nil"/>
              <w:left w:val="nil"/>
              <w:bottom w:val="single" w:color="000000" w:sz="4" w:space="0"/>
              <w:right w:val="single" w:color="000000" w:sz="4" w:space="0"/>
            </w:tcBorders>
            <w:shd w:val="clear" w:color="auto" w:fill="auto"/>
            <w:vAlign w:val="center"/>
          </w:tcPr>
          <w:p w14:paraId="20426DF1">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在人工智能的框架下，实施指标数据的预处理工作，这一过程包括清洗、转换和规范化数据，以确保输入数据的质量，为后续的分析和模型训练打下坚实的基础。通过智能化的预处理步骤，提升数据处理的效率和准确性。</w:t>
            </w:r>
          </w:p>
        </w:tc>
      </w:tr>
      <w:tr w14:paraId="1320E582">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6CA9DDA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81</w:t>
            </w:r>
          </w:p>
        </w:tc>
        <w:tc>
          <w:tcPr>
            <w:tcW w:w="1418" w:type="pct"/>
            <w:vMerge w:val="continue"/>
            <w:tcBorders>
              <w:top w:val="nil"/>
              <w:left w:val="single" w:color="000000" w:sz="4" w:space="0"/>
              <w:bottom w:val="single" w:color="000000" w:sz="4" w:space="0"/>
              <w:right w:val="single" w:color="000000" w:sz="4" w:space="0"/>
            </w:tcBorders>
            <w:vAlign w:val="center"/>
          </w:tcPr>
          <w:p w14:paraId="4BA83D2F">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104009D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基于电子病历数据自动采集与测试场景动态采样的的自动化评估模块-基于人工智能的指标自动计算-指标自动计算</w:t>
            </w:r>
          </w:p>
        </w:tc>
        <w:tc>
          <w:tcPr>
            <w:tcW w:w="1829" w:type="pct"/>
            <w:tcBorders>
              <w:top w:val="nil"/>
              <w:left w:val="nil"/>
              <w:bottom w:val="single" w:color="000000" w:sz="4" w:space="0"/>
              <w:right w:val="single" w:color="000000" w:sz="4" w:space="0"/>
            </w:tcBorders>
            <w:shd w:val="clear" w:color="auto" w:fill="auto"/>
            <w:vAlign w:val="center"/>
          </w:tcPr>
          <w:p w14:paraId="03C762A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基于指标数据定义方法，研究指标的计算，面向大量的病历文本以及复合文档场景，拟采用模型以方便指标的精准计算。</w:t>
            </w:r>
          </w:p>
        </w:tc>
      </w:tr>
      <w:tr w14:paraId="7B7477A4">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70116638">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82</w:t>
            </w:r>
          </w:p>
        </w:tc>
        <w:tc>
          <w:tcPr>
            <w:tcW w:w="1418" w:type="pct"/>
            <w:vMerge w:val="continue"/>
            <w:tcBorders>
              <w:top w:val="nil"/>
              <w:left w:val="single" w:color="000000" w:sz="4" w:space="0"/>
              <w:bottom w:val="single" w:color="000000" w:sz="4" w:space="0"/>
              <w:right w:val="single" w:color="000000" w:sz="4" w:space="0"/>
            </w:tcBorders>
            <w:vAlign w:val="center"/>
          </w:tcPr>
          <w:p w14:paraId="668B62CF">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0C5A91C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基于电子病历数据自动采集与测试场景动态采样的的自动化评估模块-评估模块构建-评估申请管理</w:t>
            </w:r>
          </w:p>
        </w:tc>
        <w:tc>
          <w:tcPr>
            <w:tcW w:w="1829" w:type="pct"/>
            <w:tcBorders>
              <w:top w:val="nil"/>
              <w:left w:val="nil"/>
              <w:bottom w:val="single" w:color="000000" w:sz="4" w:space="0"/>
              <w:right w:val="single" w:color="000000" w:sz="4" w:space="0"/>
            </w:tcBorders>
            <w:shd w:val="clear" w:color="auto" w:fill="auto"/>
            <w:vAlign w:val="center"/>
          </w:tcPr>
          <w:p w14:paraId="0996DBA1">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提供用户提交评估申请的界面，包括填写必要信息和上传相关材料。管理所有提交的评估申请，包括申请状态跟踪、申请信息修改和删除。</w:t>
            </w:r>
          </w:p>
        </w:tc>
      </w:tr>
      <w:tr w14:paraId="3083BA42">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3E1ECBB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83</w:t>
            </w:r>
          </w:p>
        </w:tc>
        <w:tc>
          <w:tcPr>
            <w:tcW w:w="1418" w:type="pct"/>
            <w:vMerge w:val="continue"/>
            <w:tcBorders>
              <w:top w:val="nil"/>
              <w:left w:val="single" w:color="000000" w:sz="4" w:space="0"/>
              <w:bottom w:val="single" w:color="000000" w:sz="4" w:space="0"/>
              <w:right w:val="single" w:color="000000" w:sz="4" w:space="0"/>
            </w:tcBorders>
            <w:vAlign w:val="center"/>
          </w:tcPr>
          <w:p w14:paraId="3E79C5C8">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60A55A21">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基于电子病历数据自动采集与测试场景动态采样的的自动化评估模块-评估模块构建-评估数据采集</w:t>
            </w:r>
          </w:p>
        </w:tc>
        <w:tc>
          <w:tcPr>
            <w:tcW w:w="1829" w:type="pct"/>
            <w:tcBorders>
              <w:top w:val="nil"/>
              <w:left w:val="nil"/>
              <w:bottom w:val="single" w:color="000000" w:sz="4" w:space="0"/>
              <w:right w:val="single" w:color="000000" w:sz="4" w:space="0"/>
            </w:tcBorders>
            <w:shd w:val="clear" w:color="auto" w:fill="auto"/>
            <w:vAlign w:val="center"/>
          </w:tcPr>
          <w:p w14:paraId="427F80F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根据评估需求，自动或手动采集相关数据。支持多种数据源，如数据库、API接口、文件导入等。</w:t>
            </w:r>
          </w:p>
        </w:tc>
      </w:tr>
      <w:tr w14:paraId="4110F84F">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488D3BB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84</w:t>
            </w:r>
          </w:p>
        </w:tc>
        <w:tc>
          <w:tcPr>
            <w:tcW w:w="1418" w:type="pct"/>
            <w:vMerge w:val="continue"/>
            <w:tcBorders>
              <w:top w:val="nil"/>
              <w:left w:val="single" w:color="000000" w:sz="4" w:space="0"/>
              <w:bottom w:val="single" w:color="000000" w:sz="4" w:space="0"/>
              <w:right w:val="single" w:color="000000" w:sz="4" w:space="0"/>
            </w:tcBorders>
            <w:vAlign w:val="center"/>
          </w:tcPr>
          <w:p w14:paraId="6D397941">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50EDAA46">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基于电子病历数据自动采集与测试场景动态采样的的自动化评估模块-评估模块构建-评估计算</w:t>
            </w:r>
          </w:p>
        </w:tc>
        <w:tc>
          <w:tcPr>
            <w:tcW w:w="1829" w:type="pct"/>
            <w:tcBorders>
              <w:top w:val="nil"/>
              <w:left w:val="nil"/>
              <w:bottom w:val="single" w:color="000000" w:sz="4" w:space="0"/>
              <w:right w:val="single" w:color="000000" w:sz="4" w:space="0"/>
            </w:tcBorders>
            <w:shd w:val="clear" w:color="auto" w:fill="auto"/>
            <w:vAlign w:val="center"/>
          </w:tcPr>
          <w:p w14:paraId="48AA1C6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根据预定义的评估标准和算法，对采集的数据进行计算和分析</w:t>
            </w:r>
          </w:p>
        </w:tc>
      </w:tr>
      <w:tr w14:paraId="47381679">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4312B47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85</w:t>
            </w:r>
          </w:p>
        </w:tc>
        <w:tc>
          <w:tcPr>
            <w:tcW w:w="1418" w:type="pct"/>
            <w:vMerge w:val="continue"/>
            <w:tcBorders>
              <w:top w:val="nil"/>
              <w:left w:val="single" w:color="000000" w:sz="4" w:space="0"/>
              <w:bottom w:val="single" w:color="000000" w:sz="4" w:space="0"/>
              <w:right w:val="single" w:color="000000" w:sz="4" w:space="0"/>
            </w:tcBorders>
            <w:vAlign w:val="center"/>
          </w:tcPr>
          <w:p w14:paraId="3FA1CA77">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3CE1088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基于电子病历数据自动采集与测试场景动态采样的的自动化评估模块-评估模块构建-评估结果展示</w:t>
            </w:r>
          </w:p>
        </w:tc>
        <w:tc>
          <w:tcPr>
            <w:tcW w:w="1829" w:type="pct"/>
            <w:tcBorders>
              <w:top w:val="nil"/>
              <w:left w:val="nil"/>
              <w:bottom w:val="single" w:color="000000" w:sz="4" w:space="0"/>
              <w:right w:val="single" w:color="000000" w:sz="4" w:space="0"/>
            </w:tcBorders>
            <w:shd w:val="clear" w:color="auto" w:fill="auto"/>
            <w:vAlign w:val="center"/>
          </w:tcPr>
          <w:p w14:paraId="2010FFF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以可视化方式展示评估结果，如图表、报告等。提供详细的评估报告</w:t>
            </w:r>
          </w:p>
        </w:tc>
      </w:tr>
      <w:tr w14:paraId="4AB020B9">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4DC2E9D6">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86</w:t>
            </w:r>
          </w:p>
        </w:tc>
        <w:tc>
          <w:tcPr>
            <w:tcW w:w="1418" w:type="pct"/>
            <w:vMerge w:val="continue"/>
            <w:tcBorders>
              <w:top w:val="nil"/>
              <w:left w:val="single" w:color="000000" w:sz="4" w:space="0"/>
              <w:bottom w:val="single" w:color="000000" w:sz="4" w:space="0"/>
              <w:right w:val="single" w:color="000000" w:sz="4" w:space="0"/>
            </w:tcBorders>
            <w:vAlign w:val="center"/>
          </w:tcPr>
          <w:p w14:paraId="49919454">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70F42F5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基于电子病历数据自动采集与测试场景动态采样的的自动化评估模块-评估模块构建-人工审核</w:t>
            </w:r>
          </w:p>
        </w:tc>
        <w:tc>
          <w:tcPr>
            <w:tcW w:w="1829" w:type="pct"/>
            <w:tcBorders>
              <w:top w:val="nil"/>
              <w:left w:val="nil"/>
              <w:bottom w:val="single" w:color="000000" w:sz="4" w:space="0"/>
              <w:right w:val="single" w:color="000000" w:sz="4" w:space="0"/>
            </w:tcBorders>
            <w:shd w:val="clear" w:color="auto" w:fill="auto"/>
            <w:vAlign w:val="center"/>
          </w:tcPr>
          <w:p w14:paraId="62C8C16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提供人工审核界面，允许管理员或专家对评估结果进行复核和确认。支持审核记录的查看和管理，确保审核过程的透明度和可追溯性。</w:t>
            </w:r>
          </w:p>
        </w:tc>
      </w:tr>
      <w:tr w14:paraId="5DEC8EED">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61E43BA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87</w:t>
            </w:r>
          </w:p>
        </w:tc>
        <w:tc>
          <w:tcPr>
            <w:tcW w:w="1418" w:type="pct"/>
            <w:vMerge w:val="continue"/>
            <w:tcBorders>
              <w:top w:val="nil"/>
              <w:left w:val="single" w:color="000000" w:sz="4" w:space="0"/>
              <w:bottom w:val="single" w:color="000000" w:sz="4" w:space="0"/>
              <w:right w:val="single" w:color="000000" w:sz="4" w:space="0"/>
            </w:tcBorders>
            <w:vAlign w:val="center"/>
          </w:tcPr>
          <w:p w14:paraId="0BD1B62A">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07460EB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基于电子病历数据自动采集与测试场景动态采样的的自动化评估模块-评估模块构建-定期自动化评估</w:t>
            </w:r>
          </w:p>
        </w:tc>
        <w:tc>
          <w:tcPr>
            <w:tcW w:w="1829" w:type="pct"/>
            <w:tcBorders>
              <w:top w:val="nil"/>
              <w:left w:val="nil"/>
              <w:bottom w:val="single" w:color="000000" w:sz="4" w:space="0"/>
              <w:right w:val="single" w:color="000000" w:sz="4" w:space="0"/>
            </w:tcBorders>
            <w:shd w:val="clear" w:color="auto" w:fill="auto"/>
            <w:vAlign w:val="center"/>
          </w:tcPr>
          <w:p w14:paraId="25AFA228">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根据预设的评估周期和规则，自动触发评估流程。支持定时任务管理和调度，确保评估任务的按时执行。</w:t>
            </w:r>
          </w:p>
        </w:tc>
      </w:tr>
      <w:tr w14:paraId="3B1B3C5C">
        <w:tblPrEx>
          <w:tblCellMar>
            <w:top w:w="0" w:type="dxa"/>
            <w:left w:w="108" w:type="dxa"/>
            <w:bottom w:w="0" w:type="dxa"/>
            <w:right w:w="108" w:type="dxa"/>
          </w:tblCellMar>
        </w:tblPrEx>
        <w:trPr>
          <w:trHeight w:val="5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5734155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88</w:t>
            </w:r>
          </w:p>
        </w:tc>
        <w:tc>
          <w:tcPr>
            <w:tcW w:w="1418" w:type="pct"/>
            <w:vMerge w:val="restart"/>
            <w:tcBorders>
              <w:top w:val="nil"/>
              <w:left w:val="single" w:color="000000" w:sz="4" w:space="0"/>
              <w:bottom w:val="single" w:color="000000" w:sz="4" w:space="0"/>
              <w:right w:val="single" w:color="000000" w:sz="4" w:space="0"/>
            </w:tcBorders>
            <w:shd w:val="clear" w:color="auto" w:fill="auto"/>
            <w:vAlign w:val="center"/>
          </w:tcPr>
          <w:p w14:paraId="0424162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基于全面质量管理的医疗机构运行管理分析</w:t>
            </w:r>
          </w:p>
        </w:tc>
        <w:tc>
          <w:tcPr>
            <w:tcW w:w="1418" w:type="pct"/>
            <w:tcBorders>
              <w:top w:val="nil"/>
              <w:left w:val="nil"/>
              <w:bottom w:val="single" w:color="000000" w:sz="4" w:space="0"/>
              <w:right w:val="single" w:color="000000" w:sz="4" w:space="0"/>
            </w:tcBorders>
            <w:shd w:val="clear" w:color="auto" w:fill="auto"/>
            <w:vAlign w:val="center"/>
          </w:tcPr>
          <w:p w14:paraId="7773BF8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医疗资源模型</w:t>
            </w:r>
          </w:p>
        </w:tc>
        <w:tc>
          <w:tcPr>
            <w:tcW w:w="1829" w:type="pct"/>
            <w:tcBorders>
              <w:top w:val="nil"/>
              <w:left w:val="nil"/>
              <w:bottom w:val="single" w:color="000000" w:sz="4" w:space="0"/>
              <w:right w:val="single" w:color="000000" w:sz="4" w:space="0"/>
            </w:tcBorders>
            <w:shd w:val="clear" w:color="auto" w:fill="auto"/>
            <w:vAlign w:val="center"/>
          </w:tcPr>
          <w:p w14:paraId="2E8839B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构建医疗资源相关模型：包含人力资源、设备、抗菌药品、耗材等医疗资源信息，支撑相关数据的应用分析。</w:t>
            </w:r>
          </w:p>
        </w:tc>
      </w:tr>
      <w:tr w14:paraId="045DB2B7">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1EE75A3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89</w:t>
            </w:r>
          </w:p>
        </w:tc>
        <w:tc>
          <w:tcPr>
            <w:tcW w:w="1418" w:type="pct"/>
            <w:vMerge w:val="continue"/>
            <w:tcBorders>
              <w:top w:val="nil"/>
              <w:left w:val="single" w:color="000000" w:sz="4" w:space="0"/>
              <w:bottom w:val="single" w:color="000000" w:sz="4" w:space="0"/>
              <w:right w:val="single" w:color="000000" w:sz="4" w:space="0"/>
            </w:tcBorders>
            <w:vAlign w:val="center"/>
          </w:tcPr>
          <w:p w14:paraId="2C7C735B">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3D62243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运行效率模型</w:t>
            </w:r>
          </w:p>
        </w:tc>
        <w:tc>
          <w:tcPr>
            <w:tcW w:w="1829" w:type="pct"/>
            <w:tcBorders>
              <w:top w:val="nil"/>
              <w:left w:val="nil"/>
              <w:bottom w:val="single" w:color="000000" w:sz="4" w:space="0"/>
              <w:right w:val="single" w:color="000000" w:sz="4" w:space="0"/>
            </w:tcBorders>
            <w:shd w:val="clear" w:color="auto" w:fill="auto"/>
            <w:vAlign w:val="center"/>
          </w:tcPr>
          <w:p w14:paraId="7913B6EE">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构建运行效率相关模型：包含床位周转率、平均住院日、手术量等相关信息，为医院运营效率的分析提供有力支撑。</w:t>
            </w:r>
          </w:p>
        </w:tc>
      </w:tr>
      <w:tr w14:paraId="054EAD8B">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199DB97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90</w:t>
            </w:r>
          </w:p>
        </w:tc>
        <w:tc>
          <w:tcPr>
            <w:tcW w:w="1418" w:type="pct"/>
            <w:vMerge w:val="continue"/>
            <w:tcBorders>
              <w:top w:val="nil"/>
              <w:left w:val="single" w:color="000000" w:sz="4" w:space="0"/>
              <w:bottom w:val="single" w:color="000000" w:sz="4" w:space="0"/>
              <w:right w:val="single" w:color="000000" w:sz="4" w:space="0"/>
            </w:tcBorders>
            <w:vAlign w:val="center"/>
          </w:tcPr>
          <w:p w14:paraId="52E12A20">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2319FF4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财务运行模型</w:t>
            </w:r>
          </w:p>
        </w:tc>
        <w:tc>
          <w:tcPr>
            <w:tcW w:w="1829" w:type="pct"/>
            <w:tcBorders>
              <w:top w:val="nil"/>
              <w:left w:val="nil"/>
              <w:bottom w:val="single" w:color="000000" w:sz="4" w:space="0"/>
              <w:right w:val="single" w:color="000000" w:sz="4" w:space="0"/>
            </w:tcBorders>
            <w:shd w:val="clear" w:color="auto" w:fill="auto"/>
            <w:vAlign w:val="center"/>
          </w:tcPr>
          <w:p w14:paraId="3763A8C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构建财务运行相关模型：整合收入、支出、利润、资产负债等核心财务信息，为医院财务运营情况的分析提供有力支撑。</w:t>
            </w:r>
          </w:p>
        </w:tc>
      </w:tr>
      <w:tr w14:paraId="4176B0B7">
        <w:tblPrEx>
          <w:tblCellMar>
            <w:top w:w="0" w:type="dxa"/>
            <w:left w:w="108" w:type="dxa"/>
            <w:bottom w:w="0" w:type="dxa"/>
            <w:right w:w="108" w:type="dxa"/>
          </w:tblCellMar>
        </w:tblPrEx>
        <w:trPr>
          <w:trHeight w:val="5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36645968">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91</w:t>
            </w:r>
          </w:p>
        </w:tc>
        <w:tc>
          <w:tcPr>
            <w:tcW w:w="1418" w:type="pct"/>
            <w:vMerge w:val="continue"/>
            <w:tcBorders>
              <w:top w:val="nil"/>
              <w:left w:val="single" w:color="000000" w:sz="4" w:space="0"/>
              <w:bottom w:val="single" w:color="000000" w:sz="4" w:space="0"/>
              <w:right w:val="single" w:color="000000" w:sz="4" w:space="0"/>
            </w:tcBorders>
            <w:vAlign w:val="center"/>
          </w:tcPr>
          <w:p w14:paraId="42C6AF31">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5B3BBE6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医疗质量安全模型</w:t>
            </w:r>
          </w:p>
        </w:tc>
        <w:tc>
          <w:tcPr>
            <w:tcW w:w="1829" w:type="pct"/>
            <w:tcBorders>
              <w:top w:val="nil"/>
              <w:left w:val="nil"/>
              <w:bottom w:val="single" w:color="000000" w:sz="4" w:space="0"/>
              <w:right w:val="single" w:color="000000" w:sz="4" w:space="0"/>
            </w:tcBorders>
            <w:shd w:val="clear" w:color="auto" w:fill="auto"/>
            <w:vAlign w:val="center"/>
          </w:tcPr>
          <w:p w14:paraId="1E0503F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构建医疗质量相关模型：涵盖不良事件、感染控制等关键医疗质量信息，为医院质量分析提供数据支撑。</w:t>
            </w:r>
          </w:p>
        </w:tc>
      </w:tr>
      <w:tr w14:paraId="0928A675">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016631F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92</w:t>
            </w:r>
          </w:p>
        </w:tc>
        <w:tc>
          <w:tcPr>
            <w:tcW w:w="1418" w:type="pct"/>
            <w:vMerge w:val="continue"/>
            <w:tcBorders>
              <w:top w:val="nil"/>
              <w:left w:val="single" w:color="000000" w:sz="4" w:space="0"/>
              <w:bottom w:val="single" w:color="000000" w:sz="4" w:space="0"/>
              <w:right w:val="single" w:color="000000" w:sz="4" w:space="0"/>
            </w:tcBorders>
            <w:vAlign w:val="center"/>
          </w:tcPr>
          <w:p w14:paraId="489800F6">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0A69BF9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可持续发展模型</w:t>
            </w:r>
          </w:p>
        </w:tc>
        <w:tc>
          <w:tcPr>
            <w:tcW w:w="1829" w:type="pct"/>
            <w:tcBorders>
              <w:top w:val="nil"/>
              <w:left w:val="nil"/>
              <w:bottom w:val="single" w:color="000000" w:sz="4" w:space="0"/>
              <w:right w:val="single" w:color="000000" w:sz="4" w:space="0"/>
            </w:tcBorders>
            <w:shd w:val="clear" w:color="auto" w:fill="auto"/>
            <w:vAlign w:val="center"/>
          </w:tcPr>
          <w:p w14:paraId="15E83AE8">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构建可持续发展模型：整合能耗使用、社会责任履行、经济效益等核心数据，为医院可持续发展的数据分析提供全面支撑。</w:t>
            </w:r>
          </w:p>
        </w:tc>
      </w:tr>
      <w:tr w14:paraId="51E81A3C">
        <w:tblPrEx>
          <w:tblCellMar>
            <w:top w:w="0" w:type="dxa"/>
            <w:left w:w="108" w:type="dxa"/>
            <w:bottom w:w="0" w:type="dxa"/>
            <w:right w:w="108" w:type="dxa"/>
          </w:tblCellMar>
        </w:tblPrEx>
        <w:trPr>
          <w:trHeight w:val="5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7786979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93</w:t>
            </w:r>
          </w:p>
        </w:tc>
        <w:tc>
          <w:tcPr>
            <w:tcW w:w="1418" w:type="pct"/>
            <w:vMerge w:val="continue"/>
            <w:tcBorders>
              <w:top w:val="nil"/>
              <w:left w:val="single" w:color="000000" w:sz="4" w:space="0"/>
              <w:bottom w:val="single" w:color="000000" w:sz="4" w:space="0"/>
              <w:right w:val="single" w:color="000000" w:sz="4" w:space="0"/>
            </w:tcBorders>
            <w:vAlign w:val="center"/>
          </w:tcPr>
          <w:p w14:paraId="01735C53">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41A97A0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医疗服务评价模型</w:t>
            </w:r>
          </w:p>
        </w:tc>
        <w:tc>
          <w:tcPr>
            <w:tcW w:w="1829" w:type="pct"/>
            <w:tcBorders>
              <w:top w:val="nil"/>
              <w:left w:val="nil"/>
              <w:bottom w:val="single" w:color="000000" w:sz="4" w:space="0"/>
              <w:right w:val="single" w:color="000000" w:sz="4" w:space="0"/>
            </w:tcBorders>
            <w:shd w:val="clear" w:color="auto" w:fill="auto"/>
            <w:vAlign w:val="center"/>
          </w:tcPr>
          <w:p w14:paraId="1DBC0A6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构建医疗服务评价模型：涵盖服务结构、服务流程、患者满意度，为医疗服务评价的数据分析提供有力支撑。</w:t>
            </w:r>
          </w:p>
        </w:tc>
      </w:tr>
      <w:tr w14:paraId="7D271771">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5043638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94</w:t>
            </w:r>
          </w:p>
        </w:tc>
        <w:tc>
          <w:tcPr>
            <w:tcW w:w="1418" w:type="pct"/>
            <w:vMerge w:val="continue"/>
            <w:tcBorders>
              <w:top w:val="nil"/>
              <w:left w:val="single" w:color="000000" w:sz="4" w:space="0"/>
              <w:bottom w:val="single" w:color="000000" w:sz="4" w:space="0"/>
              <w:right w:val="single" w:color="000000" w:sz="4" w:space="0"/>
            </w:tcBorders>
            <w:vAlign w:val="center"/>
          </w:tcPr>
          <w:p w14:paraId="444F5724">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32CED306">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运行管理指标库</w:t>
            </w:r>
          </w:p>
        </w:tc>
        <w:tc>
          <w:tcPr>
            <w:tcW w:w="1829" w:type="pct"/>
            <w:tcBorders>
              <w:top w:val="nil"/>
              <w:left w:val="nil"/>
              <w:bottom w:val="single" w:color="000000" w:sz="4" w:space="0"/>
              <w:right w:val="single" w:color="000000" w:sz="4" w:space="0"/>
            </w:tcBorders>
            <w:shd w:val="clear" w:color="auto" w:fill="auto"/>
            <w:vAlign w:val="center"/>
          </w:tcPr>
          <w:p w14:paraId="438269F1">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构建运行管理指标库，包括运行效率，医疗质量安全，持续发展，满意度评价，资源分析等相关的指标体系，为指标的可视化分析做好指标基础支撑。</w:t>
            </w:r>
          </w:p>
        </w:tc>
      </w:tr>
      <w:tr w14:paraId="79056DC1">
        <w:tblPrEx>
          <w:tblCellMar>
            <w:top w:w="0" w:type="dxa"/>
            <w:left w:w="108" w:type="dxa"/>
            <w:bottom w:w="0" w:type="dxa"/>
            <w:right w:w="108" w:type="dxa"/>
          </w:tblCellMar>
        </w:tblPrEx>
        <w:trPr>
          <w:trHeight w:val="5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5FBB428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95</w:t>
            </w:r>
          </w:p>
        </w:tc>
        <w:tc>
          <w:tcPr>
            <w:tcW w:w="1418" w:type="pct"/>
            <w:vMerge w:val="continue"/>
            <w:tcBorders>
              <w:top w:val="nil"/>
              <w:left w:val="single" w:color="000000" w:sz="4" w:space="0"/>
              <w:bottom w:val="single" w:color="000000" w:sz="4" w:space="0"/>
              <w:right w:val="single" w:color="000000" w:sz="4" w:space="0"/>
            </w:tcBorders>
            <w:vAlign w:val="center"/>
          </w:tcPr>
          <w:p w14:paraId="2DF45E9B">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12DE3C2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指标计算公式管理</w:t>
            </w:r>
          </w:p>
        </w:tc>
        <w:tc>
          <w:tcPr>
            <w:tcW w:w="1829" w:type="pct"/>
            <w:tcBorders>
              <w:top w:val="nil"/>
              <w:left w:val="nil"/>
              <w:bottom w:val="single" w:color="000000" w:sz="4" w:space="0"/>
              <w:right w:val="single" w:color="000000" w:sz="4" w:space="0"/>
            </w:tcBorders>
            <w:shd w:val="clear" w:color="auto" w:fill="auto"/>
            <w:vAlign w:val="center"/>
          </w:tcPr>
          <w:p w14:paraId="72B731F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支持配置运营指标的分子、分母等公式，以便对运营指标进行统一的可视化管理。</w:t>
            </w:r>
          </w:p>
        </w:tc>
      </w:tr>
      <w:tr w14:paraId="111039A7">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605083D1">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96</w:t>
            </w:r>
          </w:p>
        </w:tc>
        <w:tc>
          <w:tcPr>
            <w:tcW w:w="1418" w:type="pct"/>
            <w:vMerge w:val="continue"/>
            <w:tcBorders>
              <w:top w:val="nil"/>
              <w:left w:val="single" w:color="000000" w:sz="4" w:space="0"/>
              <w:bottom w:val="single" w:color="000000" w:sz="4" w:space="0"/>
              <w:right w:val="single" w:color="000000" w:sz="4" w:space="0"/>
            </w:tcBorders>
            <w:vAlign w:val="center"/>
          </w:tcPr>
          <w:p w14:paraId="0BDDC8C3">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566BA08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运行情况总览</w:t>
            </w:r>
          </w:p>
        </w:tc>
        <w:tc>
          <w:tcPr>
            <w:tcW w:w="1829" w:type="pct"/>
            <w:tcBorders>
              <w:top w:val="nil"/>
              <w:left w:val="nil"/>
              <w:bottom w:val="single" w:color="000000" w:sz="4" w:space="0"/>
              <w:right w:val="single" w:color="000000" w:sz="4" w:space="0"/>
            </w:tcBorders>
            <w:shd w:val="clear" w:color="auto" w:fill="auto"/>
            <w:vAlign w:val="center"/>
          </w:tcPr>
          <w:p w14:paraId="79FA440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对医疗机构运行情况总览，具体包括总体医疗指标、门诊服务指标、住院服务指标、医技服务指标以及医疗资源的利用效率等多个方面。</w:t>
            </w:r>
          </w:p>
        </w:tc>
      </w:tr>
      <w:tr w14:paraId="10065164">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36807A3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97</w:t>
            </w:r>
          </w:p>
        </w:tc>
        <w:tc>
          <w:tcPr>
            <w:tcW w:w="1418" w:type="pct"/>
            <w:vMerge w:val="continue"/>
            <w:tcBorders>
              <w:top w:val="nil"/>
              <w:left w:val="single" w:color="000000" w:sz="4" w:space="0"/>
              <w:bottom w:val="single" w:color="000000" w:sz="4" w:space="0"/>
              <w:right w:val="single" w:color="000000" w:sz="4" w:space="0"/>
            </w:tcBorders>
            <w:vAlign w:val="center"/>
          </w:tcPr>
          <w:p w14:paraId="79DE1CF8">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590A59BE">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医院财务运行管理</w:t>
            </w:r>
          </w:p>
        </w:tc>
        <w:tc>
          <w:tcPr>
            <w:tcW w:w="1829" w:type="pct"/>
            <w:tcBorders>
              <w:top w:val="nil"/>
              <w:left w:val="nil"/>
              <w:bottom w:val="single" w:color="000000" w:sz="4" w:space="0"/>
              <w:right w:val="single" w:color="000000" w:sz="4" w:space="0"/>
            </w:tcBorders>
            <w:shd w:val="clear" w:color="auto" w:fill="auto"/>
            <w:vAlign w:val="center"/>
          </w:tcPr>
          <w:p w14:paraId="7D21AD6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医院的财务运行管理是确保医疗机构稳健运行的关键，对医院的财务运营管理，主要包括医院收入、支出、利润、资产负债等相关指标数据的分析。</w:t>
            </w:r>
          </w:p>
        </w:tc>
      </w:tr>
      <w:tr w14:paraId="22508842">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5D6D1E4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98</w:t>
            </w:r>
          </w:p>
        </w:tc>
        <w:tc>
          <w:tcPr>
            <w:tcW w:w="1418" w:type="pct"/>
            <w:vMerge w:val="continue"/>
            <w:tcBorders>
              <w:top w:val="nil"/>
              <w:left w:val="single" w:color="000000" w:sz="4" w:space="0"/>
              <w:bottom w:val="single" w:color="000000" w:sz="4" w:space="0"/>
              <w:right w:val="single" w:color="000000" w:sz="4" w:space="0"/>
            </w:tcBorders>
            <w:vAlign w:val="center"/>
          </w:tcPr>
          <w:p w14:paraId="3E3059EC">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5FF6866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医院运行效率评估</w:t>
            </w:r>
          </w:p>
        </w:tc>
        <w:tc>
          <w:tcPr>
            <w:tcW w:w="1829" w:type="pct"/>
            <w:tcBorders>
              <w:top w:val="nil"/>
              <w:left w:val="nil"/>
              <w:bottom w:val="single" w:color="000000" w:sz="4" w:space="0"/>
              <w:right w:val="single" w:color="000000" w:sz="4" w:space="0"/>
            </w:tcBorders>
            <w:shd w:val="clear" w:color="auto" w:fill="auto"/>
            <w:vAlign w:val="center"/>
          </w:tcPr>
          <w:p w14:paraId="0F8FFFA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实现对各家医院运行效率的综合评估，内容涵盖床位周转率、平均住院日，手术量、设备利用率以及人均出院人数、每人手术量、人均门诊量等指标。</w:t>
            </w:r>
          </w:p>
        </w:tc>
      </w:tr>
      <w:tr w14:paraId="1805AED9">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068821D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99</w:t>
            </w:r>
          </w:p>
        </w:tc>
        <w:tc>
          <w:tcPr>
            <w:tcW w:w="1418" w:type="pct"/>
            <w:vMerge w:val="continue"/>
            <w:tcBorders>
              <w:top w:val="nil"/>
              <w:left w:val="single" w:color="000000" w:sz="4" w:space="0"/>
              <w:bottom w:val="single" w:color="000000" w:sz="4" w:space="0"/>
              <w:right w:val="single" w:color="000000" w:sz="4" w:space="0"/>
            </w:tcBorders>
            <w:vAlign w:val="center"/>
          </w:tcPr>
          <w:p w14:paraId="2F873B74">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72009EC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医院可持续发展状态分析</w:t>
            </w:r>
          </w:p>
        </w:tc>
        <w:tc>
          <w:tcPr>
            <w:tcW w:w="1829" w:type="pct"/>
            <w:tcBorders>
              <w:top w:val="nil"/>
              <w:left w:val="nil"/>
              <w:bottom w:val="single" w:color="000000" w:sz="4" w:space="0"/>
              <w:right w:val="single" w:color="000000" w:sz="4" w:space="0"/>
            </w:tcBorders>
            <w:shd w:val="clear" w:color="auto" w:fill="auto"/>
            <w:vAlign w:val="center"/>
          </w:tcPr>
          <w:p w14:paraId="1CD7A5F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对医院的可持续发展状态进行全面评估，如人员结构、学科建设、员工满意度、能耗使用、品牌效应、创新能力等多个维度。通过综合考量这些关键因素，体现医院的长期稳定发展情况。</w:t>
            </w:r>
          </w:p>
        </w:tc>
      </w:tr>
      <w:tr w14:paraId="16ACD170">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2D11795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100</w:t>
            </w:r>
          </w:p>
        </w:tc>
        <w:tc>
          <w:tcPr>
            <w:tcW w:w="1418" w:type="pct"/>
            <w:vMerge w:val="continue"/>
            <w:tcBorders>
              <w:top w:val="nil"/>
              <w:left w:val="single" w:color="000000" w:sz="4" w:space="0"/>
              <w:bottom w:val="single" w:color="000000" w:sz="4" w:space="0"/>
              <w:right w:val="single" w:color="000000" w:sz="4" w:space="0"/>
            </w:tcBorders>
            <w:vAlign w:val="center"/>
          </w:tcPr>
          <w:p w14:paraId="12682B5D">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415449D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医院服务评价</w:t>
            </w:r>
          </w:p>
        </w:tc>
        <w:tc>
          <w:tcPr>
            <w:tcW w:w="1829" w:type="pct"/>
            <w:tcBorders>
              <w:top w:val="nil"/>
              <w:left w:val="nil"/>
              <w:bottom w:val="single" w:color="000000" w:sz="4" w:space="0"/>
              <w:right w:val="single" w:color="000000" w:sz="4" w:space="0"/>
            </w:tcBorders>
            <w:shd w:val="clear" w:color="auto" w:fill="auto"/>
            <w:vAlign w:val="center"/>
          </w:tcPr>
          <w:p w14:paraId="59A128F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实现对医院对患者开展医疗专项服务的多维度分析与评估，包括门诊患者满意度、住院患者满意度、员工满意度的构成要素各方面综合比较和评价，辅助医院制定有效提升满意度策略提供依据。</w:t>
            </w:r>
          </w:p>
        </w:tc>
      </w:tr>
      <w:tr w14:paraId="2FFB8323">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7EEB836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101</w:t>
            </w:r>
          </w:p>
        </w:tc>
        <w:tc>
          <w:tcPr>
            <w:tcW w:w="1418" w:type="pct"/>
            <w:vMerge w:val="continue"/>
            <w:tcBorders>
              <w:top w:val="nil"/>
              <w:left w:val="single" w:color="000000" w:sz="4" w:space="0"/>
              <w:bottom w:val="single" w:color="000000" w:sz="4" w:space="0"/>
              <w:right w:val="single" w:color="000000" w:sz="4" w:space="0"/>
            </w:tcBorders>
            <w:vAlign w:val="center"/>
          </w:tcPr>
          <w:p w14:paraId="2C1C54AB">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55E8E69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医院的医疗技术创新评价</w:t>
            </w:r>
          </w:p>
        </w:tc>
        <w:tc>
          <w:tcPr>
            <w:tcW w:w="1829" w:type="pct"/>
            <w:tcBorders>
              <w:top w:val="nil"/>
              <w:left w:val="nil"/>
              <w:bottom w:val="single" w:color="000000" w:sz="4" w:space="0"/>
              <w:right w:val="single" w:color="000000" w:sz="4" w:space="0"/>
            </w:tcBorders>
            <w:shd w:val="clear" w:color="auto" w:fill="auto"/>
            <w:vAlign w:val="center"/>
          </w:tcPr>
          <w:p w14:paraId="62E2C06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对医院的技术创新进行综合评价，主要包括新技术新项目的开展情况，科研成果与专利、临床研究与实践等相关内容。</w:t>
            </w:r>
          </w:p>
        </w:tc>
      </w:tr>
      <w:tr w14:paraId="32512C94">
        <w:tblPrEx>
          <w:tblCellMar>
            <w:top w:w="0" w:type="dxa"/>
            <w:left w:w="108" w:type="dxa"/>
            <w:bottom w:w="0" w:type="dxa"/>
            <w:right w:w="108" w:type="dxa"/>
          </w:tblCellMar>
        </w:tblPrEx>
        <w:trPr>
          <w:trHeight w:val="140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5EE2A22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102</w:t>
            </w:r>
          </w:p>
        </w:tc>
        <w:tc>
          <w:tcPr>
            <w:tcW w:w="1418" w:type="pct"/>
            <w:vMerge w:val="continue"/>
            <w:tcBorders>
              <w:top w:val="nil"/>
              <w:left w:val="single" w:color="000000" w:sz="4" w:space="0"/>
              <w:bottom w:val="single" w:color="000000" w:sz="4" w:space="0"/>
              <w:right w:val="single" w:color="000000" w:sz="4" w:space="0"/>
            </w:tcBorders>
            <w:vAlign w:val="center"/>
          </w:tcPr>
          <w:p w14:paraId="37732368">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57222EF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重症医疗服务专项分析</w:t>
            </w:r>
          </w:p>
        </w:tc>
        <w:tc>
          <w:tcPr>
            <w:tcW w:w="1829" w:type="pct"/>
            <w:tcBorders>
              <w:top w:val="nil"/>
              <w:left w:val="nil"/>
              <w:bottom w:val="single" w:color="000000" w:sz="4" w:space="0"/>
              <w:right w:val="single" w:color="000000" w:sz="4" w:space="0"/>
            </w:tcBorders>
            <w:shd w:val="clear" w:color="auto" w:fill="auto"/>
            <w:vAlign w:val="center"/>
          </w:tcPr>
          <w:p w14:paraId="556F851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对各医疗机构重症资源使用运行情况进行可视化展示、专项分析，内容涵盖实时服务情况、重症医疗资源、重症患者结构、重症医疗质量、重症医疗安全、重症技术能力、重症单病种（脓毒症休克、ARDS）分析，全面监测、评估重症医疗服务的资源效率和运行情况。</w:t>
            </w:r>
          </w:p>
        </w:tc>
      </w:tr>
      <w:tr w14:paraId="38841791">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6F27FB36">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103</w:t>
            </w:r>
          </w:p>
        </w:tc>
        <w:tc>
          <w:tcPr>
            <w:tcW w:w="1418" w:type="pct"/>
            <w:vMerge w:val="continue"/>
            <w:tcBorders>
              <w:top w:val="nil"/>
              <w:left w:val="single" w:color="000000" w:sz="4" w:space="0"/>
              <w:bottom w:val="single" w:color="000000" w:sz="4" w:space="0"/>
              <w:right w:val="single" w:color="000000" w:sz="4" w:space="0"/>
            </w:tcBorders>
            <w:vAlign w:val="center"/>
          </w:tcPr>
          <w:p w14:paraId="6BDD3176">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1FBF7CF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急诊医疗服务专项分析</w:t>
            </w:r>
          </w:p>
        </w:tc>
        <w:tc>
          <w:tcPr>
            <w:tcW w:w="1829" w:type="pct"/>
            <w:tcBorders>
              <w:top w:val="nil"/>
              <w:left w:val="nil"/>
              <w:bottom w:val="single" w:color="000000" w:sz="4" w:space="0"/>
              <w:right w:val="single" w:color="000000" w:sz="4" w:space="0"/>
            </w:tcBorders>
            <w:shd w:val="clear" w:color="auto" w:fill="auto"/>
            <w:vAlign w:val="center"/>
          </w:tcPr>
          <w:p w14:paraId="102A0EB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实现对各医疗机构急诊资源使用运行情况可视化展示、专项分析，涵盖急诊人力资源、设备资源、患者结构、患者流量、急诊负荷、急诊病种、急诊质量等，旨在全面监测、评估急诊资源的利用效率和运行状况。</w:t>
            </w:r>
          </w:p>
        </w:tc>
      </w:tr>
      <w:tr w14:paraId="76BFC41C">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3E88E44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104</w:t>
            </w:r>
          </w:p>
        </w:tc>
        <w:tc>
          <w:tcPr>
            <w:tcW w:w="1418" w:type="pct"/>
            <w:vMerge w:val="continue"/>
            <w:tcBorders>
              <w:top w:val="nil"/>
              <w:left w:val="single" w:color="000000" w:sz="4" w:space="0"/>
              <w:bottom w:val="single" w:color="000000" w:sz="4" w:space="0"/>
              <w:right w:val="single" w:color="000000" w:sz="4" w:space="0"/>
            </w:tcBorders>
            <w:vAlign w:val="center"/>
          </w:tcPr>
          <w:p w14:paraId="24AA4007">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326703E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大型设备专项分析</w:t>
            </w:r>
          </w:p>
        </w:tc>
        <w:tc>
          <w:tcPr>
            <w:tcW w:w="1829" w:type="pct"/>
            <w:tcBorders>
              <w:top w:val="nil"/>
              <w:left w:val="nil"/>
              <w:bottom w:val="single" w:color="000000" w:sz="4" w:space="0"/>
              <w:right w:val="single" w:color="000000" w:sz="4" w:space="0"/>
            </w:tcBorders>
            <w:shd w:val="clear" w:color="auto" w:fill="auto"/>
            <w:vAlign w:val="center"/>
          </w:tcPr>
          <w:p w14:paraId="350E0AC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实现对各医院大型设备资源利用情况分析，涵盖大型医疗设备做检查的平均预约等待时间、设备使用率、检查量分析等关键指标，评估和优化设备资源的配置与使用效率。</w:t>
            </w:r>
          </w:p>
        </w:tc>
      </w:tr>
      <w:tr w14:paraId="5413D8D1">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35D36E3E">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105</w:t>
            </w:r>
          </w:p>
        </w:tc>
        <w:tc>
          <w:tcPr>
            <w:tcW w:w="1418" w:type="pct"/>
            <w:vMerge w:val="continue"/>
            <w:tcBorders>
              <w:top w:val="nil"/>
              <w:left w:val="single" w:color="000000" w:sz="4" w:space="0"/>
              <w:bottom w:val="single" w:color="000000" w:sz="4" w:space="0"/>
              <w:right w:val="single" w:color="000000" w:sz="4" w:space="0"/>
            </w:tcBorders>
            <w:vAlign w:val="center"/>
          </w:tcPr>
          <w:p w14:paraId="0B3914F9">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27E63CC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抗菌药物管理专项分析</w:t>
            </w:r>
          </w:p>
        </w:tc>
        <w:tc>
          <w:tcPr>
            <w:tcW w:w="1829" w:type="pct"/>
            <w:tcBorders>
              <w:top w:val="nil"/>
              <w:left w:val="nil"/>
              <w:bottom w:val="single" w:color="000000" w:sz="4" w:space="0"/>
              <w:right w:val="single" w:color="000000" w:sz="4" w:space="0"/>
            </w:tcBorders>
            <w:shd w:val="clear" w:color="auto" w:fill="auto"/>
            <w:vAlign w:val="center"/>
          </w:tcPr>
          <w:p w14:paraId="46B620C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实现对各家医院抗菌药物使用情况的全面监控，监测内容应涵盖抗菌药物种类、使用量等关键信息，旨在提升抗菌药物的临床应用合理性，确保患者用药安全。</w:t>
            </w:r>
          </w:p>
        </w:tc>
      </w:tr>
      <w:tr w14:paraId="3E672F78">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1871AD0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106</w:t>
            </w:r>
          </w:p>
        </w:tc>
        <w:tc>
          <w:tcPr>
            <w:tcW w:w="1418" w:type="pct"/>
            <w:vMerge w:val="continue"/>
            <w:tcBorders>
              <w:top w:val="nil"/>
              <w:left w:val="single" w:color="000000" w:sz="4" w:space="0"/>
              <w:bottom w:val="single" w:color="000000" w:sz="4" w:space="0"/>
              <w:right w:val="single" w:color="000000" w:sz="4" w:space="0"/>
            </w:tcBorders>
            <w:vAlign w:val="center"/>
          </w:tcPr>
          <w:p w14:paraId="5C08D7D6">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5A4D203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耗材管理专项分析</w:t>
            </w:r>
          </w:p>
        </w:tc>
        <w:tc>
          <w:tcPr>
            <w:tcW w:w="1829" w:type="pct"/>
            <w:tcBorders>
              <w:top w:val="nil"/>
              <w:left w:val="nil"/>
              <w:bottom w:val="single" w:color="000000" w:sz="4" w:space="0"/>
              <w:right w:val="single" w:color="000000" w:sz="4" w:space="0"/>
            </w:tcBorders>
            <w:shd w:val="clear" w:color="auto" w:fill="auto"/>
            <w:vAlign w:val="center"/>
          </w:tcPr>
          <w:p w14:paraId="5BD9679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实现对各家医院耗材管理的专项分析，涵盖耗材占比、高值耗材占比、进口耗材占比，并进一步细化至不同年龄段（老年、中年、青年）的分析，旨在全面评估和优化医院的耗材使用合理情况。</w:t>
            </w:r>
          </w:p>
        </w:tc>
      </w:tr>
      <w:tr w14:paraId="75BAB654">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1794E9D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107</w:t>
            </w:r>
          </w:p>
        </w:tc>
        <w:tc>
          <w:tcPr>
            <w:tcW w:w="1418" w:type="pct"/>
            <w:vMerge w:val="continue"/>
            <w:tcBorders>
              <w:top w:val="nil"/>
              <w:left w:val="single" w:color="000000" w:sz="4" w:space="0"/>
              <w:bottom w:val="single" w:color="000000" w:sz="4" w:space="0"/>
              <w:right w:val="single" w:color="000000" w:sz="4" w:space="0"/>
            </w:tcBorders>
            <w:vAlign w:val="center"/>
          </w:tcPr>
          <w:p w14:paraId="46DC598A">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0E63DAF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不良事件专项分析</w:t>
            </w:r>
          </w:p>
        </w:tc>
        <w:tc>
          <w:tcPr>
            <w:tcW w:w="1829" w:type="pct"/>
            <w:tcBorders>
              <w:top w:val="nil"/>
              <w:left w:val="nil"/>
              <w:bottom w:val="single" w:color="000000" w:sz="4" w:space="0"/>
              <w:right w:val="single" w:color="000000" w:sz="4" w:space="0"/>
            </w:tcBorders>
            <w:shd w:val="clear" w:color="auto" w:fill="auto"/>
            <w:vAlign w:val="center"/>
          </w:tcPr>
          <w:p w14:paraId="27D3719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实现对各家医院不良事件的全面分析，涵盖不良事件的总例数，以及药物不良事件、输血不良事件、药物及器械相关不良事件的比例等关键指标，衡量比较各家医院的医疗服务质量情况。</w:t>
            </w:r>
          </w:p>
        </w:tc>
      </w:tr>
      <w:tr w14:paraId="4F77381C">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16F19EFE">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108</w:t>
            </w:r>
          </w:p>
        </w:tc>
        <w:tc>
          <w:tcPr>
            <w:tcW w:w="1418" w:type="pct"/>
            <w:vMerge w:val="continue"/>
            <w:tcBorders>
              <w:top w:val="nil"/>
              <w:left w:val="single" w:color="000000" w:sz="4" w:space="0"/>
              <w:bottom w:val="single" w:color="000000" w:sz="4" w:space="0"/>
              <w:right w:val="single" w:color="000000" w:sz="4" w:space="0"/>
            </w:tcBorders>
            <w:vAlign w:val="center"/>
          </w:tcPr>
          <w:p w14:paraId="4E6D2E18">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4D8E34E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感染控制专项分析</w:t>
            </w:r>
          </w:p>
        </w:tc>
        <w:tc>
          <w:tcPr>
            <w:tcW w:w="1829" w:type="pct"/>
            <w:tcBorders>
              <w:top w:val="nil"/>
              <w:left w:val="nil"/>
              <w:bottom w:val="single" w:color="000000" w:sz="4" w:space="0"/>
              <w:right w:val="single" w:color="000000" w:sz="4" w:space="0"/>
            </w:tcBorders>
            <w:shd w:val="clear" w:color="auto" w:fill="auto"/>
            <w:vAlign w:val="center"/>
          </w:tcPr>
          <w:p w14:paraId="63911248">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实现对各家医院院感专项的全面评估分析，涵盖医院感染率、手术部位感染率、手术患者肺部感染率、新生儿患者感染率等关键指标，分析医院在感染控制方面的能力和效果。</w:t>
            </w:r>
          </w:p>
        </w:tc>
      </w:tr>
      <w:tr w14:paraId="24B81673">
        <w:tblPrEx>
          <w:tblCellMar>
            <w:top w:w="0" w:type="dxa"/>
            <w:left w:w="108" w:type="dxa"/>
            <w:bottom w:w="0" w:type="dxa"/>
            <w:right w:w="108" w:type="dxa"/>
          </w:tblCellMar>
        </w:tblPrEx>
        <w:trPr>
          <w:trHeight w:val="19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2BB06FD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109</w:t>
            </w:r>
          </w:p>
        </w:tc>
        <w:tc>
          <w:tcPr>
            <w:tcW w:w="1418" w:type="pct"/>
            <w:vMerge w:val="continue"/>
            <w:tcBorders>
              <w:top w:val="nil"/>
              <w:left w:val="single" w:color="000000" w:sz="4" w:space="0"/>
              <w:bottom w:val="single" w:color="000000" w:sz="4" w:space="0"/>
              <w:right w:val="single" w:color="000000" w:sz="4" w:space="0"/>
            </w:tcBorders>
            <w:vAlign w:val="center"/>
          </w:tcPr>
          <w:p w14:paraId="2ABFC454">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19DBA4F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医疗机构可视化查询</w:t>
            </w:r>
          </w:p>
        </w:tc>
        <w:tc>
          <w:tcPr>
            <w:tcW w:w="1829" w:type="pct"/>
            <w:tcBorders>
              <w:top w:val="nil"/>
              <w:left w:val="nil"/>
              <w:bottom w:val="single" w:color="000000" w:sz="4" w:space="0"/>
              <w:right w:val="single" w:color="000000" w:sz="4" w:space="0"/>
            </w:tcBorders>
            <w:shd w:val="clear" w:color="auto" w:fill="auto"/>
            <w:vAlign w:val="center"/>
          </w:tcPr>
          <w:p w14:paraId="1A5407B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展示全市各级各类医疗机构的数量、类型及分布等基本情况。在地图上直观、清晰地了解医疗机构的分布情况。机构查询功能提供多样化的查询方式，包括按名称、类型、地址等快速查找医疗机构。同时，可深入展示医疗机构的详细情况，包括科室设置、专家团队构成、特色诊疗项目等关键信息，可全面了解各医疗机构的医疗服务能力和特色。</w:t>
            </w:r>
          </w:p>
        </w:tc>
      </w:tr>
      <w:tr w14:paraId="59AA2541">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45420B0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110</w:t>
            </w:r>
          </w:p>
        </w:tc>
        <w:tc>
          <w:tcPr>
            <w:tcW w:w="1418" w:type="pct"/>
            <w:vMerge w:val="continue"/>
            <w:tcBorders>
              <w:top w:val="nil"/>
              <w:left w:val="single" w:color="000000" w:sz="4" w:space="0"/>
              <w:bottom w:val="single" w:color="000000" w:sz="4" w:space="0"/>
              <w:right w:val="single" w:color="000000" w:sz="4" w:space="0"/>
            </w:tcBorders>
            <w:vAlign w:val="center"/>
          </w:tcPr>
          <w:p w14:paraId="11ACD4F2">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2E720881">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医疗机构资源综合查询</w:t>
            </w:r>
          </w:p>
        </w:tc>
        <w:tc>
          <w:tcPr>
            <w:tcW w:w="1829" w:type="pct"/>
            <w:tcBorders>
              <w:top w:val="nil"/>
              <w:left w:val="nil"/>
              <w:bottom w:val="single" w:color="000000" w:sz="4" w:space="0"/>
              <w:right w:val="single" w:color="000000" w:sz="4" w:space="0"/>
            </w:tcBorders>
            <w:shd w:val="clear" w:color="auto" w:fill="auto"/>
            <w:vAlign w:val="center"/>
          </w:tcPr>
          <w:p w14:paraId="67BD065E">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通过可视化点击，可查看各级医疗机构的资源信息，包括床位、设备、医护等各类资源的具体数量，实现资源信息的直观展示。</w:t>
            </w:r>
          </w:p>
        </w:tc>
      </w:tr>
      <w:tr w14:paraId="382491CE">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6F64180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111</w:t>
            </w:r>
          </w:p>
        </w:tc>
        <w:tc>
          <w:tcPr>
            <w:tcW w:w="1418" w:type="pct"/>
            <w:vMerge w:val="continue"/>
            <w:tcBorders>
              <w:top w:val="nil"/>
              <w:left w:val="single" w:color="000000" w:sz="4" w:space="0"/>
              <w:bottom w:val="single" w:color="000000" w:sz="4" w:space="0"/>
              <w:right w:val="single" w:color="000000" w:sz="4" w:space="0"/>
            </w:tcBorders>
            <w:vAlign w:val="center"/>
          </w:tcPr>
          <w:p w14:paraId="6DFB00E9">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515EDD5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各区医疗资源密度分析</w:t>
            </w:r>
          </w:p>
        </w:tc>
        <w:tc>
          <w:tcPr>
            <w:tcW w:w="1829" w:type="pct"/>
            <w:tcBorders>
              <w:top w:val="nil"/>
              <w:left w:val="nil"/>
              <w:bottom w:val="single" w:color="000000" w:sz="4" w:space="0"/>
              <w:right w:val="single" w:color="000000" w:sz="4" w:space="0"/>
            </w:tcBorders>
            <w:shd w:val="clear" w:color="auto" w:fill="auto"/>
            <w:vAlign w:val="center"/>
          </w:tcPr>
          <w:p w14:paraId="3F5EEFD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对上海各个区域进行医疗资源密度分析，运用热力图、点密度图等多种直观形式，全面展示医疗资源的分布情况，有效识别并区分不同区域的医疗资源密度状态。</w:t>
            </w:r>
          </w:p>
        </w:tc>
      </w:tr>
      <w:tr w14:paraId="32C19234">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6DFA5F3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112</w:t>
            </w:r>
          </w:p>
        </w:tc>
        <w:tc>
          <w:tcPr>
            <w:tcW w:w="1418" w:type="pct"/>
            <w:vMerge w:val="continue"/>
            <w:tcBorders>
              <w:top w:val="nil"/>
              <w:left w:val="single" w:color="000000" w:sz="4" w:space="0"/>
              <w:bottom w:val="single" w:color="000000" w:sz="4" w:space="0"/>
              <w:right w:val="single" w:color="000000" w:sz="4" w:space="0"/>
            </w:tcBorders>
            <w:vAlign w:val="center"/>
          </w:tcPr>
          <w:p w14:paraId="39243AA4">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3DEA881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医疗资源利用效率评估</w:t>
            </w:r>
          </w:p>
        </w:tc>
        <w:tc>
          <w:tcPr>
            <w:tcW w:w="1829" w:type="pct"/>
            <w:tcBorders>
              <w:top w:val="nil"/>
              <w:left w:val="nil"/>
              <w:bottom w:val="single" w:color="000000" w:sz="4" w:space="0"/>
              <w:right w:val="single" w:color="000000" w:sz="4" w:space="0"/>
            </w:tcBorders>
            <w:shd w:val="clear" w:color="auto" w:fill="auto"/>
            <w:vAlign w:val="center"/>
          </w:tcPr>
          <w:p w14:paraId="69746E8A">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对各医疗机构的床位使用率、医师日均诊疗人次等关键效率指标进行深入评估，支撑机构的横向对比和分析，以准确查询并评估各个医院的医疗资源的利用效率。</w:t>
            </w:r>
          </w:p>
        </w:tc>
      </w:tr>
      <w:tr w14:paraId="27190157">
        <w:tblPrEx>
          <w:tblCellMar>
            <w:top w:w="0" w:type="dxa"/>
            <w:left w:w="108" w:type="dxa"/>
            <w:bottom w:w="0" w:type="dxa"/>
            <w:right w:w="108" w:type="dxa"/>
          </w:tblCellMar>
        </w:tblPrEx>
        <w:trPr>
          <w:trHeight w:val="5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4712A836">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113</w:t>
            </w:r>
          </w:p>
        </w:tc>
        <w:tc>
          <w:tcPr>
            <w:tcW w:w="1418" w:type="pct"/>
            <w:vMerge w:val="continue"/>
            <w:tcBorders>
              <w:top w:val="nil"/>
              <w:left w:val="single" w:color="000000" w:sz="4" w:space="0"/>
              <w:bottom w:val="single" w:color="000000" w:sz="4" w:space="0"/>
              <w:right w:val="single" w:color="000000" w:sz="4" w:space="0"/>
            </w:tcBorders>
            <w:vAlign w:val="center"/>
          </w:tcPr>
          <w:p w14:paraId="31CBF8DC">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7916D03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经济运行管理驾驶舱总览</w:t>
            </w:r>
          </w:p>
        </w:tc>
        <w:tc>
          <w:tcPr>
            <w:tcW w:w="1829" w:type="pct"/>
            <w:tcBorders>
              <w:top w:val="nil"/>
              <w:left w:val="nil"/>
              <w:bottom w:val="single" w:color="000000" w:sz="4" w:space="0"/>
              <w:right w:val="single" w:color="000000" w:sz="4" w:space="0"/>
            </w:tcBorders>
            <w:shd w:val="clear" w:color="auto" w:fill="auto"/>
            <w:vAlign w:val="center"/>
          </w:tcPr>
          <w:p w14:paraId="7B3E7B9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实时动态监测各医疗机构的经济运行管理关键指标，支持调整展示的内容。</w:t>
            </w:r>
          </w:p>
        </w:tc>
      </w:tr>
      <w:tr w14:paraId="4A9A4AE6">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05552F3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114</w:t>
            </w:r>
          </w:p>
        </w:tc>
        <w:tc>
          <w:tcPr>
            <w:tcW w:w="1418" w:type="pct"/>
            <w:vMerge w:val="continue"/>
            <w:tcBorders>
              <w:top w:val="nil"/>
              <w:left w:val="single" w:color="000000" w:sz="4" w:space="0"/>
              <w:bottom w:val="single" w:color="000000" w:sz="4" w:space="0"/>
              <w:right w:val="single" w:color="000000" w:sz="4" w:space="0"/>
            </w:tcBorders>
            <w:vAlign w:val="center"/>
          </w:tcPr>
          <w:p w14:paraId="300104D5">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32232D88">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人力资源场景驾驶舱</w:t>
            </w:r>
          </w:p>
        </w:tc>
        <w:tc>
          <w:tcPr>
            <w:tcW w:w="1829" w:type="pct"/>
            <w:tcBorders>
              <w:top w:val="nil"/>
              <w:left w:val="nil"/>
              <w:bottom w:val="single" w:color="000000" w:sz="4" w:space="0"/>
              <w:right w:val="single" w:color="000000" w:sz="4" w:space="0"/>
            </w:tcBorders>
            <w:shd w:val="clear" w:color="auto" w:fill="auto"/>
            <w:vAlign w:val="center"/>
          </w:tcPr>
          <w:p w14:paraId="0A967F3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构建人力资源场景驾驶舱，利用大屏直观、清晰地展示各机构人力资源的分布和状态，并支持根据需求调整展示内容。</w:t>
            </w:r>
          </w:p>
        </w:tc>
      </w:tr>
      <w:tr w14:paraId="2BEEC6FF">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1C383A11">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115</w:t>
            </w:r>
          </w:p>
        </w:tc>
        <w:tc>
          <w:tcPr>
            <w:tcW w:w="1418" w:type="pct"/>
            <w:vMerge w:val="continue"/>
            <w:tcBorders>
              <w:top w:val="nil"/>
              <w:left w:val="single" w:color="000000" w:sz="4" w:space="0"/>
              <w:bottom w:val="single" w:color="000000" w:sz="4" w:space="0"/>
              <w:right w:val="single" w:color="000000" w:sz="4" w:space="0"/>
            </w:tcBorders>
            <w:vAlign w:val="center"/>
          </w:tcPr>
          <w:p w14:paraId="34184FDB">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23BC487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设备管理场景驾驶舱</w:t>
            </w:r>
          </w:p>
        </w:tc>
        <w:tc>
          <w:tcPr>
            <w:tcW w:w="1829" w:type="pct"/>
            <w:tcBorders>
              <w:top w:val="nil"/>
              <w:left w:val="nil"/>
              <w:bottom w:val="single" w:color="000000" w:sz="4" w:space="0"/>
              <w:right w:val="single" w:color="000000" w:sz="4" w:space="0"/>
            </w:tcBorders>
            <w:shd w:val="clear" w:color="auto" w:fill="auto"/>
            <w:vAlign w:val="center"/>
          </w:tcPr>
          <w:p w14:paraId="0934069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构建设备管理场景驾驶舱，借助大屏直观、清晰地展示各机构大型设备的使用情况，并支持根据实际需求灵活调整展示内容。</w:t>
            </w:r>
          </w:p>
        </w:tc>
      </w:tr>
      <w:tr w14:paraId="0D06F3AE">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0254F83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116</w:t>
            </w:r>
          </w:p>
        </w:tc>
        <w:tc>
          <w:tcPr>
            <w:tcW w:w="1418" w:type="pct"/>
            <w:vMerge w:val="continue"/>
            <w:tcBorders>
              <w:top w:val="nil"/>
              <w:left w:val="single" w:color="000000" w:sz="4" w:space="0"/>
              <w:bottom w:val="single" w:color="000000" w:sz="4" w:space="0"/>
              <w:right w:val="single" w:color="000000" w:sz="4" w:space="0"/>
            </w:tcBorders>
            <w:vAlign w:val="center"/>
          </w:tcPr>
          <w:p w14:paraId="10C1EADC">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7A5BADD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抗菌药物管理场景驾驶舱</w:t>
            </w:r>
          </w:p>
        </w:tc>
        <w:tc>
          <w:tcPr>
            <w:tcW w:w="1829" w:type="pct"/>
            <w:tcBorders>
              <w:top w:val="nil"/>
              <w:left w:val="nil"/>
              <w:bottom w:val="single" w:color="000000" w:sz="4" w:space="0"/>
              <w:right w:val="single" w:color="000000" w:sz="4" w:space="0"/>
            </w:tcBorders>
            <w:shd w:val="clear" w:color="auto" w:fill="auto"/>
            <w:vAlign w:val="center"/>
          </w:tcPr>
          <w:p w14:paraId="2A2949F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构建抗菌药物管理场景驾驶舱，利用大屏直观、清晰地展示抗菌药物的使用情况，并支持根据实际需求灵活调整展示内容。</w:t>
            </w:r>
          </w:p>
        </w:tc>
      </w:tr>
      <w:tr w14:paraId="5B9EA0A3">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5EBF0C1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117</w:t>
            </w:r>
          </w:p>
        </w:tc>
        <w:tc>
          <w:tcPr>
            <w:tcW w:w="1418" w:type="pct"/>
            <w:vMerge w:val="continue"/>
            <w:tcBorders>
              <w:top w:val="nil"/>
              <w:left w:val="single" w:color="000000" w:sz="4" w:space="0"/>
              <w:bottom w:val="single" w:color="000000" w:sz="4" w:space="0"/>
              <w:right w:val="single" w:color="000000" w:sz="4" w:space="0"/>
            </w:tcBorders>
            <w:vAlign w:val="center"/>
          </w:tcPr>
          <w:p w14:paraId="62408D53">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617A8C5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耗材管理场景驾驶舱</w:t>
            </w:r>
          </w:p>
        </w:tc>
        <w:tc>
          <w:tcPr>
            <w:tcW w:w="1829" w:type="pct"/>
            <w:tcBorders>
              <w:top w:val="nil"/>
              <w:left w:val="nil"/>
              <w:bottom w:val="single" w:color="000000" w:sz="4" w:space="0"/>
              <w:right w:val="single" w:color="000000" w:sz="4" w:space="0"/>
            </w:tcBorders>
            <w:shd w:val="clear" w:color="auto" w:fill="auto"/>
            <w:vAlign w:val="center"/>
          </w:tcPr>
          <w:p w14:paraId="35676BC8">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构建耗材管理场景驾驶舱，借助大屏直观、清晰地展示各医疗耗材的使用情况，并支持根据实际需求灵活调整展示内容，以便高效管理耗材资源。</w:t>
            </w:r>
          </w:p>
        </w:tc>
      </w:tr>
      <w:tr w14:paraId="7B139D92">
        <w:tblPrEx>
          <w:tblCellMar>
            <w:top w:w="0" w:type="dxa"/>
            <w:left w:w="108" w:type="dxa"/>
            <w:bottom w:w="0" w:type="dxa"/>
            <w:right w:w="108" w:type="dxa"/>
          </w:tblCellMar>
        </w:tblPrEx>
        <w:trPr>
          <w:trHeight w:val="5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6F8563E8">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118</w:t>
            </w:r>
          </w:p>
        </w:tc>
        <w:tc>
          <w:tcPr>
            <w:tcW w:w="1418" w:type="pct"/>
            <w:vMerge w:val="restart"/>
            <w:tcBorders>
              <w:top w:val="nil"/>
              <w:left w:val="single" w:color="000000" w:sz="4" w:space="0"/>
              <w:bottom w:val="single" w:color="000000" w:sz="4" w:space="0"/>
              <w:right w:val="single" w:color="000000" w:sz="4" w:space="0"/>
            </w:tcBorders>
            <w:shd w:val="clear" w:color="auto" w:fill="auto"/>
            <w:vAlign w:val="center"/>
          </w:tcPr>
          <w:p w14:paraId="6B569B3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业财融合应用1.0</w:t>
            </w:r>
          </w:p>
        </w:tc>
        <w:tc>
          <w:tcPr>
            <w:tcW w:w="1418" w:type="pct"/>
            <w:tcBorders>
              <w:top w:val="nil"/>
              <w:left w:val="nil"/>
              <w:bottom w:val="single" w:color="000000" w:sz="4" w:space="0"/>
              <w:right w:val="single" w:color="000000" w:sz="4" w:space="0"/>
            </w:tcBorders>
            <w:shd w:val="clear" w:color="auto" w:fill="auto"/>
            <w:vAlign w:val="center"/>
          </w:tcPr>
          <w:p w14:paraId="748C6D7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市级业财融合数据体系-业财数据模型扩展-医疗支出模型</w:t>
            </w:r>
          </w:p>
        </w:tc>
        <w:tc>
          <w:tcPr>
            <w:tcW w:w="1829" w:type="pct"/>
            <w:tcBorders>
              <w:top w:val="nil"/>
              <w:left w:val="nil"/>
              <w:bottom w:val="single" w:color="000000" w:sz="4" w:space="0"/>
              <w:right w:val="single" w:color="000000" w:sz="4" w:space="0"/>
            </w:tcBorders>
            <w:shd w:val="clear" w:color="auto" w:fill="auto"/>
            <w:vAlign w:val="center"/>
          </w:tcPr>
          <w:p w14:paraId="4A50066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构建一个综合业务与财务数据的医疗支出模型，以实现对医疗服务支出的全面监控和深入分析。</w:t>
            </w:r>
          </w:p>
        </w:tc>
      </w:tr>
      <w:tr w14:paraId="15900E04">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3A90F4A8">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119</w:t>
            </w:r>
          </w:p>
        </w:tc>
        <w:tc>
          <w:tcPr>
            <w:tcW w:w="1418" w:type="pct"/>
            <w:vMerge w:val="continue"/>
            <w:tcBorders>
              <w:top w:val="nil"/>
              <w:left w:val="single" w:color="000000" w:sz="4" w:space="0"/>
              <w:bottom w:val="single" w:color="000000" w:sz="4" w:space="0"/>
              <w:right w:val="single" w:color="000000" w:sz="4" w:space="0"/>
            </w:tcBorders>
            <w:vAlign w:val="center"/>
          </w:tcPr>
          <w:p w14:paraId="6606AC5E">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290F7C1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市级业财融合数据体系-业财数据模型扩展-业务映射模型</w:t>
            </w:r>
          </w:p>
        </w:tc>
        <w:tc>
          <w:tcPr>
            <w:tcW w:w="1829" w:type="pct"/>
            <w:tcBorders>
              <w:top w:val="nil"/>
              <w:left w:val="nil"/>
              <w:bottom w:val="single" w:color="000000" w:sz="4" w:space="0"/>
              <w:right w:val="single" w:color="000000" w:sz="4" w:space="0"/>
            </w:tcBorders>
            <w:shd w:val="clear" w:color="auto" w:fill="auto"/>
            <w:vAlign w:val="center"/>
          </w:tcPr>
          <w:p w14:paraId="52189EC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构建一个融合业务与财务的诊疗活动分析模型，涵盖关键指标如门诊人次、住院人次和手术次数等，这些指标直观地映射了医院的业务活动量和规模，为医院运营和财务决策提供了量化依据</w:t>
            </w:r>
          </w:p>
        </w:tc>
      </w:tr>
      <w:tr w14:paraId="083156A1">
        <w:tblPrEx>
          <w:tblCellMar>
            <w:top w:w="0" w:type="dxa"/>
            <w:left w:w="108" w:type="dxa"/>
            <w:bottom w:w="0" w:type="dxa"/>
            <w:right w:w="108" w:type="dxa"/>
          </w:tblCellMar>
        </w:tblPrEx>
        <w:trPr>
          <w:trHeight w:val="5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52765B2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120</w:t>
            </w:r>
          </w:p>
        </w:tc>
        <w:tc>
          <w:tcPr>
            <w:tcW w:w="1418" w:type="pct"/>
            <w:vMerge w:val="continue"/>
            <w:tcBorders>
              <w:top w:val="nil"/>
              <w:left w:val="single" w:color="000000" w:sz="4" w:space="0"/>
              <w:bottom w:val="single" w:color="000000" w:sz="4" w:space="0"/>
              <w:right w:val="single" w:color="000000" w:sz="4" w:space="0"/>
            </w:tcBorders>
            <w:vAlign w:val="center"/>
          </w:tcPr>
          <w:p w14:paraId="21932396">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24C8EB1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市级业财融合数据体系-业财数据模型扩展-收入映射模型</w:t>
            </w:r>
          </w:p>
        </w:tc>
        <w:tc>
          <w:tcPr>
            <w:tcW w:w="1829" w:type="pct"/>
            <w:tcBorders>
              <w:top w:val="nil"/>
              <w:left w:val="nil"/>
              <w:bottom w:val="single" w:color="000000" w:sz="4" w:space="0"/>
              <w:right w:val="single" w:color="000000" w:sz="4" w:space="0"/>
            </w:tcBorders>
            <w:shd w:val="clear" w:color="auto" w:fill="auto"/>
            <w:vAlign w:val="center"/>
          </w:tcPr>
          <w:p w14:paraId="4AF0852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构建业财融合的收入活动模型，包括门诊、住院各项收入明细数据</w:t>
            </w:r>
          </w:p>
        </w:tc>
      </w:tr>
      <w:tr w14:paraId="1C18E172">
        <w:tblPrEx>
          <w:tblCellMar>
            <w:top w:w="0" w:type="dxa"/>
            <w:left w:w="108" w:type="dxa"/>
            <w:bottom w:w="0" w:type="dxa"/>
            <w:right w:w="108" w:type="dxa"/>
          </w:tblCellMar>
        </w:tblPrEx>
        <w:trPr>
          <w:trHeight w:val="5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67D5251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121</w:t>
            </w:r>
          </w:p>
        </w:tc>
        <w:tc>
          <w:tcPr>
            <w:tcW w:w="1418" w:type="pct"/>
            <w:vMerge w:val="continue"/>
            <w:tcBorders>
              <w:top w:val="nil"/>
              <w:left w:val="single" w:color="000000" w:sz="4" w:space="0"/>
              <w:bottom w:val="single" w:color="000000" w:sz="4" w:space="0"/>
              <w:right w:val="single" w:color="000000" w:sz="4" w:space="0"/>
            </w:tcBorders>
            <w:vAlign w:val="center"/>
          </w:tcPr>
          <w:p w14:paraId="76FC016C">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3CCF7CE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市级业财融合数据体系-业财融合指标管理-业财指标统一管理</w:t>
            </w:r>
          </w:p>
        </w:tc>
        <w:tc>
          <w:tcPr>
            <w:tcW w:w="1829" w:type="pct"/>
            <w:tcBorders>
              <w:top w:val="nil"/>
              <w:left w:val="nil"/>
              <w:bottom w:val="single" w:color="000000" w:sz="4" w:space="0"/>
              <w:right w:val="single" w:color="000000" w:sz="4" w:space="0"/>
            </w:tcBorders>
            <w:shd w:val="clear" w:color="auto" w:fill="auto"/>
            <w:vAlign w:val="center"/>
          </w:tcPr>
          <w:p w14:paraId="7EF87120">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通过工具实现业财的指标体系统一管理，包含考核的指标名称，指标分类，指标口径说明等内容</w:t>
            </w:r>
          </w:p>
        </w:tc>
      </w:tr>
      <w:tr w14:paraId="689B5A5C">
        <w:tblPrEx>
          <w:tblCellMar>
            <w:top w:w="0" w:type="dxa"/>
            <w:left w:w="108" w:type="dxa"/>
            <w:bottom w:w="0" w:type="dxa"/>
            <w:right w:w="108" w:type="dxa"/>
          </w:tblCellMar>
        </w:tblPrEx>
        <w:trPr>
          <w:trHeight w:val="56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018D9FF8">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122</w:t>
            </w:r>
          </w:p>
        </w:tc>
        <w:tc>
          <w:tcPr>
            <w:tcW w:w="1418" w:type="pct"/>
            <w:vMerge w:val="continue"/>
            <w:tcBorders>
              <w:top w:val="nil"/>
              <w:left w:val="single" w:color="000000" w:sz="4" w:space="0"/>
              <w:bottom w:val="single" w:color="000000" w:sz="4" w:space="0"/>
              <w:right w:val="single" w:color="000000" w:sz="4" w:space="0"/>
            </w:tcBorders>
            <w:vAlign w:val="center"/>
          </w:tcPr>
          <w:p w14:paraId="313EA07F">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4A9FF2D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市级业财融合数据体系-业财融合指标管理-业财指标权重管理</w:t>
            </w:r>
          </w:p>
        </w:tc>
        <w:tc>
          <w:tcPr>
            <w:tcW w:w="1829" w:type="pct"/>
            <w:tcBorders>
              <w:top w:val="nil"/>
              <w:left w:val="nil"/>
              <w:bottom w:val="single" w:color="000000" w:sz="4" w:space="0"/>
              <w:right w:val="single" w:color="000000" w:sz="4" w:space="0"/>
            </w:tcBorders>
            <w:shd w:val="clear" w:color="auto" w:fill="auto"/>
            <w:vAlign w:val="center"/>
          </w:tcPr>
          <w:p w14:paraId="75340B1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通过工具实现业务指标的权重管理，为后续的各机构的业财融合的对比分析做好数据支撑</w:t>
            </w:r>
          </w:p>
        </w:tc>
      </w:tr>
      <w:tr w14:paraId="5C4DCF70">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2AE65AF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123</w:t>
            </w:r>
          </w:p>
        </w:tc>
        <w:tc>
          <w:tcPr>
            <w:tcW w:w="1418" w:type="pct"/>
            <w:vMerge w:val="continue"/>
            <w:tcBorders>
              <w:top w:val="nil"/>
              <w:left w:val="single" w:color="000000" w:sz="4" w:space="0"/>
              <w:bottom w:val="single" w:color="000000" w:sz="4" w:space="0"/>
              <w:right w:val="single" w:color="000000" w:sz="4" w:space="0"/>
            </w:tcBorders>
            <w:vAlign w:val="center"/>
          </w:tcPr>
          <w:p w14:paraId="623C332E">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3A84652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市级业财融合管理体系-业财总体概览-业财总体分析</w:t>
            </w:r>
          </w:p>
        </w:tc>
        <w:tc>
          <w:tcPr>
            <w:tcW w:w="1829" w:type="pct"/>
            <w:tcBorders>
              <w:top w:val="nil"/>
              <w:left w:val="nil"/>
              <w:bottom w:val="single" w:color="000000" w:sz="4" w:space="0"/>
              <w:right w:val="single" w:color="000000" w:sz="4" w:space="0"/>
            </w:tcBorders>
            <w:shd w:val="clear" w:color="auto" w:fill="auto"/>
            <w:vAlign w:val="center"/>
          </w:tcPr>
          <w:p w14:paraId="042A0D5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实现市级业财的总体分析，包括资源配置、服务数量、收支总量、收入结构、支出结构、收入总量、财务状况等相关情况综合展示和分析</w:t>
            </w:r>
          </w:p>
        </w:tc>
      </w:tr>
      <w:tr w14:paraId="0F977286">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301BF4EC">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124</w:t>
            </w:r>
          </w:p>
        </w:tc>
        <w:tc>
          <w:tcPr>
            <w:tcW w:w="1418" w:type="pct"/>
            <w:vMerge w:val="continue"/>
            <w:tcBorders>
              <w:top w:val="nil"/>
              <w:left w:val="single" w:color="000000" w:sz="4" w:space="0"/>
              <w:bottom w:val="single" w:color="000000" w:sz="4" w:space="0"/>
              <w:right w:val="single" w:color="000000" w:sz="4" w:space="0"/>
            </w:tcBorders>
            <w:vAlign w:val="center"/>
          </w:tcPr>
          <w:p w14:paraId="3B8FD787">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184C2F0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市级业财融合管理体系-业财总体概览-医院业财运营分析</w:t>
            </w:r>
          </w:p>
        </w:tc>
        <w:tc>
          <w:tcPr>
            <w:tcW w:w="1829" w:type="pct"/>
            <w:tcBorders>
              <w:top w:val="nil"/>
              <w:left w:val="nil"/>
              <w:bottom w:val="single" w:color="000000" w:sz="4" w:space="0"/>
              <w:right w:val="single" w:color="000000" w:sz="4" w:space="0"/>
            </w:tcBorders>
            <w:shd w:val="clear" w:color="auto" w:fill="auto"/>
            <w:vAlign w:val="center"/>
          </w:tcPr>
          <w:p w14:paraId="3DB6243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实现二级和三级及专科医院维度的资源配置、服务数量、收支总量、收入结构、支出结构、收入总量、财务状况等相关情况综合展示和分析</w:t>
            </w:r>
          </w:p>
        </w:tc>
      </w:tr>
      <w:tr w14:paraId="444D4AA9">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401148C9">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125</w:t>
            </w:r>
          </w:p>
        </w:tc>
        <w:tc>
          <w:tcPr>
            <w:tcW w:w="1418" w:type="pct"/>
            <w:vMerge w:val="continue"/>
            <w:tcBorders>
              <w:top w:val="nil"/>
              <w:left w:val="single" w:color="000000" w:sz="4" w:space="0"/>
              <w:bottom w:val="single" w:color="000000" w:sz="4" w:space="0"/>
              <w:right w:val="single" w:color="000000" w:sz="4" w:space="0"/>
            </w:tcBorders>
            <w:vAlign w:val="center"/>
          </w:tcPr>
          <w:p w14:paraId="72221325">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2045614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市级业财融合管理体系-业财总体概览-社区业财运营分析</w:t>
            </w:r>
          </w:p>
        </w:tc>
        <w:tc>
          <w:tcPr>
            <w:tcW w:w="1829" w:type="pct"/>
            <w:tcBorders>
              <w:top w:val="nil"/>
              <w:left w:val="nil"/>
              <w:bottom w:val="single" w:color="000000" w:sz="4" w:space="0"/>
              <w:right w:val="single" w:color="000000" w:sz="4" w:space="0"/>
            </w:tcBorders>
            <w:shd w:val="clear" w:color="auto" w:fill="auto"/>
            <w:vAlign w:val="center"/>
          </w:tcPr>
          <w:p w14:paraId="20B113B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实现社区的资源配置、服务数量、收支总量、收入结构、支出结构、收入总量、财务状况等相关情况综合展示和分析</w:t>
            </w:r>
          </w:p>
        </w:tc>
      </w:tr>
      <w:tr w14:paraId="22638A16">
        <w:tblPrEx>
          <w:tblCellMar>
            <w:top w:w="0" w:type="dxa"/>
            <w:left w:w="108" w:type="dxa"/>
            <w:bottom w:w="0" w:type="dxa"/>
            <w:right w:w="108" w:type="dxa"/>
          </w:tblCellMar>
        </w:tblPrEx>
        <w:trPr>
          <w:trHeight w:val="140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64361BA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126</w:t>
            </w:r>
          </w:p>
        </w:tc>
        <w:tc>
          <w:tcPr>
            <w:tcW w:w="1418" w:type="pct"/>
            <w:vMerge w:val="continue"/>
            <w:tcBorders>
              <w:top w:val="nil"/>
              <w:left w:val="single" w:color="000000" w:sz="4" w:space="0"/>
              <w:bottom w:val="single" w:color="000000" w:sz="4" w:space="0"/>
              <w:right w:val="single" w:color="000000" w:sz="4" w:space="0"/>
            </w:tcBorders>
            <w:vAlign w:val="center"/>
          </w:tcPr>
          <w:p w14:paraId="0AD06D01">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78F278D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市级业财融合管理体系-业财专题场景分析-医疗资源场景分析</w:t>
            </w:r>
          </w:p>
        </w:tc>
        <w:tc>
          <w:tcPr>
            <w:tcW w:w="1829" w:type="pct"/>
            <w:tcBorders>
              <w:top w:val="nil"/>
              <w:left w:val="nil"/>
              <w:bottom w:val="single" w:color="000000" w:sz="4" w:space="0"/>
              <w:right w:val="single" w:color="000000" w:sz="4" w:space="0"/>
            </w:tcBorders>
            <w:shd w:val="clear" w:color="auto" w:fill="auto"/>
            <w:vAlign w:val="center"/>
          </w:tcPr>
          <w:p w14:paraId="0912696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医疗资源场景分析涵盖了医疗机构的基础设施、人力资源以及病床容量等多个维度，具体包括对医院和其他医疗服务提供机构的设施布局、医疗专业人员的配置、以及病床使用效率和分配情况的深入评估。可实现各个机构的横向比较分析。</w:t>
            </w:r>
          </w:p>
        </w:tc>
      </w:tr>
      <w:tr w14:paraId="777681B3">
        <w:tblPrEx>
          <w:tblCellMar>
            <w:top w:w="0" w:type="dxa"/>
            <w:left w:w="108" w:type="dxa"/>
            <w:bottom w:w="0" w:type="dxa"/>
            <w:right w:w="108" w:type="dxa"/>
          </w:tblCellMar>
        </w:tblPrEx>
        <w:trPr>
          <w:trHeight w:val="84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5FB541C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127</w:t>
            </w:r>
          </w:p>
        </w:tc>
        <w:tc>
          <w:tcPr>
            <w:tcW w:w="1418" w:type="pct"/>
            <w:vMerge w:val="continue"/>
            <w:tcBorders>
              <w:top w:val="nil"/>
              <w:left w:val="single" w:color="000000" w:sz="4" w:space="0"/>
              <w:bottom w:val="single" w:color="000000" w:sz="4" w:space="0"/>
              <w:right w:val="single" w:color="000000" w:sz="4" w:space="0"/>
            </w:tcBorders>
            <w:vAlign w:val="center"/>
          </w:tcPr>
          <w:p w14:paraId="47A8B287">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2DD5B2F8">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市级业财融合管理体系-业财专题场景分析-医疗业务场景分析</w:t>
            </w:r>
          </w:p>
        </w:tc>
        <w:tc>
          <w:tcPr>
            <w:tcW w:w="1829" w:type="pct"/>
            <w:tcBorders>
              <w:top w:val="nil"/>
              <w:left w:val="nil"/>
              <w:bottom w:val="single" w:color="000000" w:sz="4" w:space="0"/>
              <w:right w:val="single" w:color="000000" w:sz="4" w:space="0"/>
            </w:tcBorders>
            <w:shd w:val="clear" w:color="auto" w:fill="auto"/>
            <w:vAlign w:val="center"/>
          </w:tcPr>
          <w:p w14:paraId="7A3FAA5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医疗业务场景分析专注于对医疗服务流程的关键环节进行深入剖析，核心内容包括对门诊和急诊服务的运作效率、医疗服务质量和安全。可实现各个机构的横向比较分析。</w:t>
            </w:r>
          </w:p>
        </w:tc>
      </w:tr>
      <w:tr w14:paraId="2737EBDB">
        <w:tblPrEx>
          <w:tblCellMar>
            <w:top w:w="0" w:type="dxa"/>
            <w:left w:w="108" w:type="dxa"/>
            <w:bottom w:w="0" w:type="dxa"/>
            <w:right w:w="108" w:type="dxa"/>
          </w:tblCellMar>
        </w:tblPrEx>
        <w:trPr>
          <w:trHeight w:val="140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185AB5ED">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128</w:t>
            </w:r>
          </w:p>
        </w:tc>
        <w:tc>
          <w:tcPr>
            <w:tcW w:w="1418" w:type="pct"/>
            <w:vMerge w:val="continue"/>
            <w:tcBorders>
              <w:top w:val="nil"/>
              <w:left w:val="single" w:color="000000" w:sz="4" w:space="0"/>
              <w:bottom w:val="single" w:color="000000" w:sz="4" w:space="0"/>
              <w:right w:val="single" w:color="000000" w:sz="4" w:space="0"/>
            </w:tcBorders>
            <w:vAlign w:val="center"/>
          </w:tcPr>
          <w:p w14:paraId="6B020F59">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4913C9C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市级业财融合管理体系-业财专题场景分析-医疗财务情况分析</w:t>
            </w:r>
          </w:p>
        </w:tc>
        <w:tc>
          <w:tcPr>
            <w:tcW w:w="1829" w:type="pct"/>
            <w:tcBorders>
              <w:top w:val="nil"/>
              <w:left w:val="nil"/>
              <w:bottom w:val="single" w:color="000000" w:sz="4" w:space="0"/>
              <w:right w:val="single" w:color="000000" w:sz="4" w:space="0"/>
            </w:tcBorders>
            <w:shd w:val="clear" w:color="auto" w:fill="auto"/>
            <w:vAlign w:val="center"/>
          </w:tcPr>
          <w:p w14:paraId="172FFE3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医疗财务场景分析深入探讨医院的财务状况，涵盖了收入与支出的总体概况，细致分析了门诊、急诊及住院部门的收入贡献，同时对收入来源和支出项目的结构进行梳理，旨在评估医院的财务健康度和运营效率。可实现各个机构的横向比较分析。</w:t>
            </w:r>
          </w:p>
        </w:tc>
      </w:tr>
      <w:tr w14:paraId="009983BA">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275FF7A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129</w:t>
            </w:r>
          </w:p>
        </w:tc>
        <w:tc>
          <w:tcPr>
            <w:tcW w:w="1418" w:type="pct"/>
            <w:vMerge w:val="continue"/>
            <w:tcBorders>
              <w:top w:val="nil"/>
              <w:left w:val="single" w:color="000000" w:sz="4" w:space="0"/>
              <w:bottom w:val="single" w:color="000000" w:sz="4" w:space="0"/>
              <w:right w:val="single" w:color="000000" w:sz="4" w:space="0"/>
            </w:tcBorders>
            <w:vAlign w:val="center"/>
          </w:tcPr>
          <w:p w14:paraId="27AD1D0F">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37409C4B">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市级业财融合管理体系-业财专题场景分析-医疗盈亏情况分析</w:t>
            </w:r>
          </w:p>
        </w:tc>
        <w:tc>
          <w:tcPr>
            <w:tcW w:w="1829" w:type="pct"/>
            <w:tcBorders>
              <w:top w:val="nil"/>
              <w:left w:val="nil"/>
              <w:bottom w:val="single" w:color="000000" w:sz="4" w:space="0"/>
              <w:right w:val="single" w:color="000000" w:sz="4" w:space="0"/>
            </w:tcBorders>
            <w:shd w:val="clear" w:color="auto" w:fill="auto"/>
            <w:vAlign w:val="center"/>
          </w:tcPr>
          <w:p w14:paraId="44B8CCE7">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医疗盈亏情况分析提供了对医院当前财年与上一财年盈亏状况的对比视角，使管理者能够清晰地识别收入与支出的变化趋势，评估财务表现，并据此作出战略性调整。可实现各个机构的横向比较分析。</w:t>
            </w:r>
          </w:p>
        </w:tc>
      </w:tr>
      <w:tr w14:paraId="7DA4C7F4">
        <w:tblPrEx>
          <w:tblCellMar>
            <w:top w:w="0" w:type="dxa"/>
            <w:left w:w="108" w:type="dxa"/>
            <w:bottom w:w="0" w:type="dxa"/>
            <w:right w:w="108" w:type="dxa"/>
          </w:tblCellMar>
        </w:tblPrEx>
        <w:trPr>
          <w:trHeight w:val="140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1C5F26D4">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130</w:t>
            </w:r>
          </w:p>
        </w:tc>
        <w:tc>
          <w:tcPr>
            <w:tcW w:w="1418" w:type="pct"/>
            <w:vMerge w:val="continue"/>
            <w:tcBorders>
              <w:top w:val="nil"/>
              <w:left w:val="single" w:color="000000" w:sz="4" w:space="0"/>
              <w:bottom w:val="single" w:color="000000" w:sz="4" w:space="0"/>
              <w:right w:val="single" w:color="000000" w:sz="4" w:space="0"/>
            </w:tcBorders>
            <w:vAlign w:val="center"/>
          </w:tcPr>
          <w:p w14:paraId="09614599">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73B7AE7F">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市级业财融合管理体系-业财专题场景分析-医疗资产负债分析</w:t>
            </w:r>
          </w:p>
        </w:tc>
        <w:tc>
          <w:tcPr>
            <w:tcW w:w="1829" w:type="pct"/>
            <w:tcBorders>
              <w:top w:val="nil"/>
              <w:left w:val="nil"/>
              <w:bottom w:val="single" w:color="000000" w:sz="4" w:space="0"/>
              <w:right w:val="single" w:color="000000" w:sz="4" w:space="0"/>
            </w:tcBorders>
            <w:shd w:val="clear" w:color="auto" w:fill="auto"/>
            <w:vAlign w:val="center"/>
          </w:tcPr>
          <w:p w14:paraId="68AE3143">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医疗资产负债分析深入评估医院的财务稳定性和资本结构，关键指标包括总资产、总负债、净资产的量化统计，以及资产负债率等关键财务比率的计算，旨在揭示医院的财务健康状况和偿债能力。可实现各个机构的横向比较分析。</w:t>
            </w:r>
          </w:p>
        </w:tc>
      </w:tr>
      <w:tr w14:paraId="3C3DD88E">
        <w:tblPrEx>
          <w:tblCellMar>
            <w:top w:w="0" w:type="dxa"/>
            <w:left w:w="108" w:type="dxa"/>
            <w:bottom w:w="0" w:type="dxa"/>
            <w:right w:w="108" w:type="dxa"/>
          </w:tblCellMar>
        </w:tblPrEx>
        <w:trPr>
          <w:trHeight w:val="1120" w:hRule="atLeast"/>
        </w:trPr>
        <w:tc>
          <w:tcPr>
            <w:tcW w:w="334" w:type="pct"/>
            <w:tcBorders>
              <w:top w:val="nil"/>
              <w:left w:val="single" w:color="000000" w:sz="4" w:space="0"/>
              <w:bottom w:val="single" w:color="000000" w:sz="4" w:space="0"/>
              <w:right w:val="single" w:color="000000" w:sz="4" w:space="0"/>
            </w:tcBorders>
            <w:shd w:val="clear" w:color="auto" w:fill="auto"/>
            <w:vAlign w:val="center"/>
          </w:tcPr>
          <w:p w14:paraId="3597DC1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131</w:t>
            </w:r>
          </w:p>
        </w:tc>
        <w:tc>
          <w:tcPr>
            <w:tcW w:w="1418" w:type="pct"/>
            <w:vMerge w:val="continue"/>
            <w:tcBorders>
              <w:top w:val="nil"/>
              <w:left w:val="single" w:color="000000" w:sz="4" w:space="0"/>
              <w:bottom w:val="single" w:color="000000" w:sz="4" w:space="0"/>
              <w:right w:val="single" w:color="000000" w:sz="4" w:space="0"/>
            </w:tcBorders>
            <w:vAlign w:val="center"/>
          </w:tcPr>
          <w:p w14:paraId="1DE25EE8">
            <w:pPr>
              <w:widowControl/>
              <w:spacing w:line="240" w:lineRule="auto"/>
              <w:ind w:firstLine="0" w:firstLineChars="0"/>
              <w:rPr>
                <w:rFonts w:hint="eastAsia" w:cs="宋体"/>
                <w:color w:val="000000"/>
                <w:kern w:val="0"/>
                <w:sz w:val="22"/>
                <w:szCs w:val="22"/>
              </w:rPr>
            </w:pPr>
          </w:p>
        </w:tc>
        <w:tc>
          <w:tcPr>
            <w:tcW w:w="1418" w:type="pct"/>
            <w:tcBorders>
              <w:top w:val="nil"/>
              <w:left w:val="nil"/>
              <w:bottom w:val="single" w:color="000000" w:sz="4" w:space="0"/>
              <w:right w:val="single" w:color="000000" w:sz="4" w:space="0"/>
            </w:tcBorders>
            <w:shd w:val="clear" w:color="auto" w:fill="auto"/>
            <w:vAlign w:val="center"/>
          </w:tcPr>
          <w:p w14:paraId="105F9EE2">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市级业财融合管理体系-业财专题场景分析-服务效率情况分析</w:t>
            </w:r>
          </w:p>
        </w:tc>
        <w:tc>
          <w:tcPr>
            <w:tcW w:w="1829" w:type="pct"/>
            <w:tcBorders>
              <w:top w:val="nil"/>
              <w:left w:val="nil"/>
              <w:bottom w:val="single" w:color="000000" w:sz="4" w:space="0"/>
              <w:right w:val="single" w:color="000000" w:sz="4" w:space="0"/>
            </w:tcBorders>
            <w:shd w:val="clear" w:color="auto" w:fill="auto"/>
            <w:vAlign w:val="center"/>
          </w:tcPr>
          <w:p w14:paraId="3F5F0B35">
            <w:pPr>
              <w:widowControl/>
              <w:spacing w:line="240" w:lineRule="auto"/>
              <w:ind w:firstLine="0" w:firstLineChars="0"/>
              <w:rPr>
                <w:rFonts w:hint="eastAsia" w:cs="宋体"/>
                <w:color w:val="000000"/>
                <w:kern w:val="0"/>
                <w:sz w:val="22"/>
                <w:szCs w:val="22"/>
              </w:rPr>
            </w:pPr>
            <w:r>
              <w:rPr>
                <w:rFonts w:hint="eastAsia" w:cs="宋体"/>
                <w:color w:val="000000"/>
                <w:kern w:val="0"/>
                <w:sz w:val="22"/>
                <w:szCs w:val="22"/>
              </w:rPr>
              <w:t>对医疗效率情况进行综合分析，包含医师日均担负门急诊人次、医师日均担负住院床日、病床使用率、出院者平均住院天数、门急诊次均费用、每床日平均收费水平、住院次均费用等相关指标。可实现各个机构的横向比较分析。</w:t>
            </w:r>
          </w:p>
        </w:tc>
      </w:tr>
    </w:tbl>
    <w:p w14:paraId="2BA9936F">
      <w:pPr>
        <w:rPr>
          <w:rFonts w:hint="eastAsia"/>
        </w:rPr>
      </w:pPr>
    </w:p>
    <w:p w14:paraId="2389C69E">
      <w:pPr>
        <w:pStyle w:val="3"/>
        <w:rPr>
          <w:rFonts w:hint="eastAsia"/>
        </w:rPr>
      </w:pPr>
      <w:r>
        <w:rPr>
          <w:rFonts w:hint="eastAsia"/>
        </w:rPr>
        <w:t>安全产品清单</w:t>
      </w:r>
    </w:p>
    <w:tbl>
      <w:tblPr>
        <w:tblStyle w:val="59"/>
        <w:tblW w:w="5000" w:type="pct"/>
        <w:tblInd w:w="0" w:type="dxa"/>
        <w:tblLayout w:type="autofit"/>
        <w:tblCellMar>
          <w:top w:w="0" w:type="dxa"/>
          <w:left w:w="0" w:type="dxa"/>
          <w:bottom w:w="0" w:type="dxa"/>
          <w:right w:w="0" w:type="dxa"/>
        </w:tblCellMar>
      </w:tblPr>
      <w:tblGrid>
        <w:gridCol w:w="541"/>
        <w:gridCol w:w="1730"/>
        <w:gridCol w:w="1138"/>
        <w:gridCol w:w="3866"/>
        <w:gridCol w:w="540"/>
        <w:gridCol w:w="517"/>
      </w:tblGrid>
      <w:tr w14:paraId="6A056A26">
        <w:tblPrEx>
          <w:tblCellMar>
            <w:top w:w="0" w:type="dxa"/>
            <w:left w:w="0" w:type="dxa"/>
            <w:bottom w:w="0" w:type="dxa"/>
            <w:right w:w="0" w:type="dxa"/>
          </w:tblCellMar>
        </w:tblPrEx>
        <w:trPr>
          <w:trHeight w:val="270" w:hRule="atLeast"/>
        </w:trPr>
        <w:tc>
          <w:tcPr>
            <w:tcW w:w="325" w:type="pct"/>
            <w:tcBorders>
              <w:top w:val="single" w:color="auto"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77956533">
            <w:pPr>
              <w:widowControl/>
              <w:spacing w:line="240" w:lineRule="auto"/>
              <w:ind w:firstLine="0" w:firstLineChars="0"/>
              <w:jc w:val="center"/>
              <w:textAlignment w:val="center"/>
              <w:rPr>
                <w:rFonts w:hint="eastAsia" w:cs="宋体"/>
                <w:b/>
                <w:bCs/>
                <w:color w:val="000000"/>
                <w:sz w:val="22"/>
                <w:szCs w:val="22"/>
              </w:rPr>
            </w:pPr>
            <w:r>
              <w:rPr>
                <w:rFonts w:hint="eastAsia" w:cs="宋体"/>
                <w:b/>
                <w:bCs/>
                <w:color w:val="000000"/>
                <w:kern w:val="0"/>
                <w:sz w:val="22"/>
                <w:szCs w:val="22"/>
              </w:rPr>
              <w:t>序号</w:t>
            </w:r>
          </w:p>
        </w:tc>
        <w:tc>
          <w:tcPr>
            <w:tcW w:w="1038" w:type="pct"/>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585282">
            <w:pPr>
              <w:widowControl/>
              <w:spacing w:line="240" w:lineRule="auto"/>
              <w:ind w:firstLine="0" w:firstLineChars="0"/>
              <w:jc w:val="center"/>
              <w:textAlignment w:val="center"/>
              <w:rPr>
                <w:rFonts w:hint="eastAsia" w:cs="宋体"/>
                <w:b/>
                <w:bCs/>
                <w:color w:val="000000"/>
                <w:sz w:val="22"/>
                <w:szCs w:val="22"/>
              </w:rPr>
            </w:pPr>
            <w:r>
              <w:rPr>
                <w:rFonts w:hint="eastAsia" w:cs="宋体"/>
                <w:b/>
                <w:bCs/>
                <w:color w:val="000000"/>
                <w:kern w:val="0"/>
                <w:sz w:val="22"/>
                <w:szCs w:val="22"/>
              </w:rPr>
              <w:t>名称</w:t>
            </w:r>
          </w:p>
        </w:tc>
        <w:tc>
          <w:tcPr>
            <w:tcW w:w="683" w:type="pct"/>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621E2B">
            <w:pPr>
              <w:widowControl/>
              <w:spacing w:line="240" w:lineRule="auto"/>
              <w:ind w:firstLine="0" w:firstLineChars="0"/>
              <w:jc w:val="center"/>
              <w:textAlignment w:val="center"/>
              <w:rPr>
                <w:rFonts w:hint="eastAsia" w:cs="宋体"/>
                <w:b/>
                <w:bCs/>
                <w:color w:val="000000"/>
                <w:sz w:val="22"/>
                <w:szCs w:val="22"/>
              </w:rPr>
            </w:pPr>
            <w:r>
              <w:rPr>
                <w:rFonts w:hint="eastAsia" w:cs="宋体"/>
                <w:b/>
                <w:bCs/>
                <w:color w:val="000000"/>
                <w:kern w:val="0"/>
                <w:sz w:val="22"/>
                <w:szCs w:val="22"/>
              </w:rPr>
              <w:t>类别</w:t>
            </w:r>
          </w:p>
        </w:tc>
        <w:tc>
          <w:tcPr>
            <w:tcW w:w="2320" w:type="pct"/>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2C2267">
            <w:pPr>
              <w:widowControl/>
              <w:spacing w:line="240" w:lineRule="auto"/>
              <w:ind w:firstLine="0" w:firstLineChars="0"/>
              <w:jc w:val="center"/>
              <w:textAlignment w:val="center"/>
              <w:rPr>
                <w:rFonts w:hint="eastAsia" w:cs="宋体"/>
                <w:b/>
                <w:bCs/>
                <w:color w:val="000000"/>
                <w:sz w:val="22"/>
                <w:szCs w:val="22"/>
              </w:rPr>
            </w:pPr>
            <w:r>
              <w:rPr>
                <w:rFonts w:hint="eastAsia" w:cs="宋体"/>
                <w:b/>
                <w:bCs/>
                <w:color w:val="000000"/>
                <w:kern w:val="0"/>
                <w:sz w:val="22"/>
                <w:szCs w:val="22"/>
              </w:rPr>
              <w:t>功能说明/配置要求</w:t>
            </w:r>
          </w:p>
        </w:tc>
        <w:tc>
          <w:tcPr>
            <w:tcW w:w="324" w:type="pct"/>
            <w:tcBorders>
              <w:top w:val="single" w:color="auto"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57308788">
            <w:pPr>
              <w:widowControl/>
              <w:spacing w:line="240" w:lineRule="auto"/>
              <w:ind w:firstLine="0" w:firstLineChars="0"/>
              <w:jc w:val="center"/>
              <w:textAlignment w:val="center"/>
              <w:rPr>
                <w:rFonts w:hint="eastAsia" w:cs="宋体"/>
                <w:b/>
                <w:bCs/>
                <w:color w:val="000000"/>
                <w:sz w:val="22"/>
                <w:szCs w:val="22"/>
              </w:rPr>
            </w:pPr>
            <w:r>
              <w:rPr>
                <w:rFonts w:hint="eastAsia" w:cs="宋体"/>
                <w:b/>
                <w:bCs/>
                <w:color w:val="000000"/>
                <w:kern w:val="0"/>
                <w:sz w:val="22"/>
                <w:szCs w:val="22"/>
              </w:rPr>
              <w:t>数量</w:t>
            </w:r>
          </w:p>
        </w:tc>
        <w:tc>
          <w:tcPr>
            <w:tcW w:w="310" w:type="pct"/>
            <w:tcBorders>
              <w:top w:val="single" w:color="auto" w:sz="4" w:space="0"/>
              <w:left w:val="single" w:color="000000" w:sz="4" w:space="0"/>
              <w:bottom w:val="single" w:color="000000" w:sz="4" w:space="0"/>
              <w:right w:val="single" w:color="auto" w:sz="4" w:space="0"/>
            </w:tcBorders>
            <w:vAlign w:val="center"/>
          </w:tcPr>
          <w:p w14:paraId="7BCC5C7F">
            <w:pPr>
              <w:widowControl/>
              <w:spacing w:line="240" w:lineRule="auto"/>
              <w:ind w:firstLine="0" w:firstLineChars="0"/>
              <w:jc w:val="center"/>
              <w:textAlignment w:val="center"/>
              <w:rPr>
                <w:rFonts w:hint="eastAsia" w:cs="宋体"/>
                <w:b/>
                <w:bCs/>
                <w:color w:val="000000"/>
                <w:kern w:val="0"/>
                <w:sz w:val="22"/>
                <w:szCs w:val="22"/>
              </w:rPr>
            </w:pPr>
            <w:r>
              <w:rPr>
                <w:rFonts w:hint="eastAsia" w:cs="宋体"/>
                <w:b/>
                <w:bCs/>
                <w:color w:val="000000"/>
                <w:kern w:val="0"/>
                <w:sz w:val="22"/>
                <w:szCs w:val="22"/>
              </w:rPr>
              <w:t>单位</w:t>
            </w:r>
          </w:p>
        </w:tc>
      </w:tr>
      <w:tr w14:paraId="7DCC22E4">
        <w:tblPrEx>
          <w:tblCellMar>
            <w:top w:w="0" w:type="dxa"/>
            <w:left w:w="0" w:type="dxa"/>
            <w:bottom w:w="0" w:type="dxa"/>
            <w:right w:w="0" w:type="dxa"/>
          </w:tblCellMar>
        </w:tblPrEx>
        <w:trPr>
          <w:trHeight w:val="825" w:hRule="atLeast"/>
        </w:trPr>
        <w:tc>
          <w:tcPr>
            <w:tcW w:w="32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6CC610F0">
            <w:pPr>
              <w:widowControl/>
              <w:spacing w:line="240" w:lineRule="auto"/>
              <w:ind w:firstLine="0" w:firstLineChars="0"/>
              <w:jc w:val="center"/>
              <w:textAlignment w:val="center"/>
              <w:rPr>
                <w:rFonts w:hint="eastAsia" w:cs="宋体"/>
                <w:color w:val="000000"/>
                <w:sz w:val="22"/>
                <w:szCs w:val="22"/>
              </w:rPr>
            </w:pPr>
            <w:r>
              <w:rPr>
                <w:rFonts w:hint="eastAsia"/>
                <w:color w:val="000000"/>
                <w:sz w:val="22"/>
                <w:szCs w:val="22"/>
              </w:rPr>
              <w:t>1</w:t>
            </w:r>
          </w:p>
        </w:tc>
        <w:tc>
          <w:tcPr>
            <w:tcW w:w="10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4BEED">
            <w:pPr>
              <w:ind w:firstLine="0" w:firstLineChars="0"/>
              <w:jc w:val="center"/>
              <w:rPr>
                <w:rFonts w:hint="eastAsia"/>
                <w:sz w:val="22"/>
                <w:szCs w:val="22"/>
              </w:rPr>
            </w:pPr>
            <w:r>
              <w:rPr>
                <w:rFonts w:hint="eastAsia"/>
                <w:color w:val="000000"/>
                <w:sz w:val="22"/>
                <w:szCs w:val="22"/>
              </w:rPr>
              <w:t>安全管理与支持</w:t>
            </w:r>
          </w:p>
        </w:tc>
        <w:tc>
          <w:tcPr>
            <w:tcW w:w="68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D47C3">
            <w:pPr>
              <w:ind w:firstLine="0" w:firstLineChars="0"/>
              <w:jc w:val="center"/>
              <w:rPr>
                <w:rFonts w:hint="eastAsia"/>
                <w:sz w:val="22"/>
                <w:szCs w:val="22"/>
              </w:rPr>
            </w:pPr>
            <w:r>
              <w:rPr>
                <w:rFonts w:hint="eastAsia"/>
                <w:color w:val="000000"/>
                <w:sz w:val="22"/>
                <w:szCs w:val="22"/>
              </w:rPr>
              <w:t>安全管理平台产品</w:t>
            </w:r>
          </w:p>
        </w:tc>
        <w:tc>
          <w:tcPr>
            <w:tcW w:w="23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D6F07D">
            <w:pPr>
              <w:spacing w:line="240" w:lineRule="auto"/>
              <w:ind w:firstLine="0" w:firstLineChars="0"/>
              <w:rPr>
                <w:rFonts w:hint="eastAsia" w:cs="宋体"/>
                <w:color w:val="000000"/>
                <w:sz w:val="22"/>
                <w:szCs w:val="22"/>
              </w:rPr>
            </w:pPr>
            <w:r>
              <w:rPr>
                <w:rFonts w:hint="eastAsia"/>
                <w:color w:val="000000"/>
                <w:sz w:val="22"/>
                <w:szCs w:val="22"/>
              </w:rPr>
              <w:t>实现全市卫生行业数字证书发放管理、汇总统计</w:t>
            </w:r>
          </w:p>
        </w:tc>
        <w:tc>
          <w:tcPr>
            <w:tcW w:w="324"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CD4AD6D">
            <w:pPr>
              <w:widowControl/>
              <w:spacing w:line="240" w:lineRule="auto"/>
              <w:ind w:firstLine="0" w:firstLineChars="0"/>
              <w:jc w:val="center"/>
              <w:textAlignment w:val="center"/>
              <w:rPr>
                <w:rFonts w:hint="eastAsia" w:cs="宋体"/>
                <w:color w:val="000000"/>
                <w:sz w:val="22"/>
                <w:szCs w:val="22"/>
              </w:rPr>
            </w:pPr>
            <w:r>
              <w:rPr>
                <w:rFonts w:hint="eastAsia"/>
                <w:color w:val="000000"/>
                <w:sz w:val="22"/>
                <w:szCs w:val="22"/>
              </w:rPr>
              <w:t>1</w:t>
            </w:r>
          </w:p>
        </w:tc>
        <w:tc>
          <w:tcPr>
            <w:tcW w:w="310" w:type="pct"/>
            <w:tcBorders>
              <w:top w:val="single" w:color="000000" w:sz="4" w:space="0"/>
              <w:left w:val="single" w:color="000000" w:sz="4" w:space="0"/>
              <w:bottom w:val="single" w:color="000000" w:sz="4" w:space="0"/>
              <w:right w:val="single" w:color="auto" w:sz="4" w:space="0"/>
            </w:tcBorders>
            <w:vAlign w:val="center"/>
          </w:tcPr>
          <w:p w14:paraId="260DE30D">
            <w:pPr>
              <w:widowControl/>
              <w:spacing w:line="240" w:lineRule="auto"/>
              <w:ind w:firstLine="0" w:firstLineChars="0"/>
              <w:jc w:val="center"/>
              <w:textAlignment w:val="center"/>
              <w:rPr>
                <w:rFonts w:hint="eastAsia" w:cs="宋体"/>
                <w:color w:val="000000"/>
                <w:kern w:val="0"/>
                <w:sz w:val="22"/>
                <w:szCs w:val="22"/>
              </w:rPr>
            </w:pPr>
            <w:r>
              <w:rPr>
                <w:rFonts w:hint="eastAsia" w:cs="宋体"/>
                <w:color w:val="000000"/>
                <w:kern w:val="0"/>
                <w:sz w:val="22"/>
                <w:szCs w:val="22"/>
              </w:rPr>
              <w:t>套</w:t>
            </w:r>
          </w:p>
        </w:tc>
      </w:tr>
      <w:tr w14:paraId="46A52B8F">
        <w:tblPrEx>
          <w:tblCellMar>
            <w:top w:w="0" w:type="dxa"/>
            <w:left w:w="0" w:type="dxa"/>
            <w:bottom w:w="0" w:type="dxa"/>
            <w:right w:w="0" w:type="dxa"/>
          </w:tblCellMar>
        </w:tblPrEx>
        <w:trPr>
          <w:trHeight w:val="825" w:hRule="atLeast"/>
        </w:trPr>
        <w:tc>
          <w:tcPr>
            <w:tcW w:w="32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1B63755F">
            <w:pPr>
              <w:widowControl/>
              <w:spacing w:line="240" w:lineRule="auto"/>
              <w:ind w:firstLine="0" w:firstLineChars="0"/>
              <w:jc w:val="center"/>
              <w:textAlignment w:val="center"/>
              <w:rPr>
                <w:rFonts w:hint="eastAsia" w:cs="宋体"/>
                <w:color w:val="000000"/>
                <w:kern w:val="0"/>
                <w:sz w:val="22"/>
                <w:szCs w:val="22"/>
              </w:rPr>
            </w:pPr>
            <w:r>
              <w:rPr>
                <w:rFonts w:hint="eastAsia"/>
                <w:color w:val="000000"/>
                <w:sz w:val="22"/>
                <w:szCs w:val="22"/>
              </w:rPr>
              <w:t>2</w:t>
            </w:r>
          </w:p>
        </w:tc>
        <w:tc>
          <w:tcPr>
            <w:tcW w:w="10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A90C2">
            <w:pPr>
              <w:ind w:firstLine="0" w:firstLineChars="0"/>
              <w:jc w:val="center"/>
              <w:rPr>
                <w:rFonts w:hint="eastAsia"/>
                <w:sz w:val="22"/>
                <w:szCs w:val="22"/>
              </w:rPr>
            </w:pPr>
            <w:r>
              <w:rPr>
                <w:rFonts w:hint="eastAsia"/>
                <w:color w:val="000000"/>
                <w:sz w:val="22"/>
                <w:szCs w:val="22"/>
              </w:rPr>
              <w:t>安全管理与支持</w:t>
            </w:r>
          </w:p>
        </w:tc>
        <w:tc>
          <w:tcPr>
            <w:tcW w:w="68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034C0">
            <w:pPr>
              <w:ind w:firstLine="0" w:firstLineChars="0"/>
              <w:jc w:val="center"/>
              <w:rPr>
                <w:rFonts w:hint="eastAsia"/>
                <w:sz w:val="22"/>
                <w:szCs w:val="22"/>
              </w:rPr>
            </w:pPr>
            <w:r>
              <w:rPr>
                <w:rFonts w:hint="eastAsia"/>
                <w:color w:val="000000"/>
                <w:sz w:val="22"/>
                <w:szCs w:val="22"/>
              </w:rPr>
              <w:t>安全管理平台产品</w:t>
            </w:r>
          </w:p>
        </w:tc>
        <w:tc>
          <w:tcPr>
            <w:tcW w:w="23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E46E29">
            <w:pPr>
              <w:spacing w:line="240" w:lineRule="auto"/>
              <w:ind w:firstLine="0" w:firstLineChars="0"/>
              <w:rPr>
                <w:rFonts w:hint="eastAsia" w:cs="宋体"/>
                <w:color w:val="000000"/>
                <w:kern w:val="0"/>
                <w:sz w:val="22"/>
                <w:szCs w:val="22"/>
              </w:rPr>
            </w:pPr>
            <w:r>
              <w:rPr>
                <w:rFonts w:hint="eastAsia"/>
                <w:color w:val="000000"/>
                <w:sz w:val="22"/>
                <w:szCs w:val="22"/>
              </w:rPr>
              <w:t>按照卫生格式软件,部署签名验签软件产品</w:t>
            </w:r>
          </w:p>
        </w:tc>
        <w:tc>
          <w:tcPr>
            <w:tcW w:w="324"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0962EE85">
            <w:pPr>
              <w:widowControl/>
              <w:spacing w:line="240" w:lineRule="auto"/>
              <w:ind w:firstLine="0" w:firstLineChars="0"/>
              <w:jc w:val="center"/>
              <w:textAlignment w:val="center"/>
              <w:rPr>
                <w:rFonts w:hint="eastAsia" w:cs="宋体"/>
                <w:color w:val="000000"/>
                <w:kern w:val="0"/>
                <w:sz w:val="22"/>
                <w:szCs w:val="22"/>
              </w:rPr>
            </w:pPr>
            <w:r>
              <w:rPr>
                <w:rFonts w:hint="eastAsia"/>
                <w:color w:val="000000"/>
                <w:sz w:val="22"/>
                <w:szCs w:val="22"/>
              </w:rPr>
              <w:t>1</w:t>
            </w:r>
          </w:p>
        </w:tc>
        <w:tc>
          <w:tcPr>
            <w:tcW w:w="310" w:type="pct"/>
            <w:tcBorders>
              <w:top w:val="single" w:color="000000" w:sz="4" w:space="0"/>
              <w:left w:val="single" w:color="000000" w:sz="4" w:space="0"/>
              <w:bottom w:val="single" w:color="000000" w:sz="4" w:space="0"/>
              <w:right w:val="single" w:color="auto" w:sz="4" w:space="0"/>
            </w:tcBorders>
            <w:vAlign w:val="center"/>
          </w:tcPr>
          <w:p w14:paraId="33650CB4">
            <w:pPr>
              <w:widowControl/>
              <w:spacing w:line="240" w:lineRule="auto"/>
              <w:ind w:firstLine="0" w:firstLineChars="0"/>
              <w:jc w:val="center"/>
              <w:textAlignment w:val="center"/>
              <w:rPr>
                <w:rFonts w:hint="eastAsia" w:cs="宋体"/>
                <w:color w:val="000000"/>
                <w:kern w:val="0"/>
                <w:sz w:val="22"/>
                <w:szCs w:val="22"/>
              </w:rPr>
            </w:pPr>
            <w:r>
              <w:rPr>
                <w:rFonts w:hint="eastAsia"/>
                <w:sz w:val="22"/>
                <w:szCs w:val="22"/>
              </w:rPr>
              <w:t>套</w:t>
            </w:r>
          </w:p>
        </w:tc>
      </w:tr>
      <w:tr w14:paraId="51902903">
        <w:tblPrEx>
          <w:tblCellMar>
            <w:top w:w="0" w:type="dxa"/>
            <w:left w:w="0" w:type="dxa"/>
            <w:bottom w:w="0" w:type="dxa"/>
            <w:right w:w="0" w:type="dxa"/>
          </w:tblCellMar>
        </w:tblPrEx>
        <w:trPr>
          <w:trHeight w:val="825" w:hRule="atLeast"/>
        </w:trPr>
        <w:tc>
          <w:tcPr>
            <w:tcW w:w="32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4984E271">
            <w:pPr>
              <w:widowControl/>
              <w:spacing w:line="240" w:lineRule="auto"/>
              <w:ind w:firstLine="0" w:firstLineChars="0"/>
              <w:jc w:val="center"/>
              <w:textAlignment w:val="center"/>
              <w:rPr>
                <w:rFonts w:hint="eastAsia" w:cs="宋体"/>
                <w:color w:val="000000"/>
                <w:kern w:val="0"/>
                <w:sz w:val="22"/>
                <w:szCs w:val="22"/>
              </w:rPr>
            </w:pPr>
            <w:r>
              <w:rPr>
                <w:rFonts w:hint="eastAsia"/>
                <w:color w:val="000000"/>
                <w:sz w:val="22"/>
                <w:szCs w:val="22"/>
              </w:rPr>
              <w:t>3</w:t>
            </w:r>
          </w:p>
        </w:tc>
        <w:tc>
          <w:tcPr>
            <w:tcW w:w="10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EFEC8F">
            <w:pPr>
              <w:ind w:firstLine="0" w:firstLineChars="0"/>
              <w:jc w:val="center"/>
              <w:rPr>
                <w:rFonts w:hint="eastAsia"/>
                <w:sz w:val="22"/>
                <w:szCs w:val="22"/>
              </w:rPr>
            </w:pPr>
            <w:r>
              <w:rPr>
                <w:rFonts w:hint="eastAsia"/>
                <w:color w:val="000000"/>
                <w:sz w:val="22"/>
                <w:szCs w:val="22"/>
              </w:rPr>
              <w:t>主机及计算机环境安全</w:t>
            </w:r>
          </w:p>
        </w:tc>
        <w:tc>
          <w:tcPr>
            <w:tcW w:w="68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2E5D1">
            <w:pPr>
              <w:ind w:firstLine="0" w:firstLineChars="0"/>
              <w:jc w:val="center"/>
              <w:rPr>
                <w:rFonts w:hint="eastAsia"/>
                <w:sz w:val="22"/>
                <w:szCs w:val="22"/>
              </w:rPr>
            </w:pPr>
            <w:r>
              <w:rPr>
                <w:rFonts w:hint="eastAsia"/>
                <w:color w:val="000000"/>
                <w:sz w:val="22"/>
                <w:szCs w:val="22"/>
              </w:rPr>
              <w:t>统一身份认证</w:t>
            </w:r>
          </w:p>
        </w:tc>
        <w:tc>
          <w:tcPr>
            <w:tcW w:w="23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4761CA">
            <w:pPr>
              <w:spacing w:line="240" w:lineRule="auto"/>
              <w:ind w:firstLine="0" w:firstLineChars="0"/>
              <w:rPr>
                <w:rFonts w:hint="eastAsia" w:cs="宋体"/>
                <w:color w:val="000000"/>
                <w:kern w:val="0"/>
                <w:sz w:val="22"/>
                <w:szCs w:val="22"/>
              </w:rPr>
            </w:pPr>
            <w:r>
              <w:rPr>
                <w:rFonts w:hint="eastAsia"/>
                <w:color w:val="000000"/>
                <w:sz w:val="22"/>
                <w:szCs w:val="22"/>
              </w:rPr>
              <w:t>实现基于数字证书应用统一身份认证、单点登录和身份认证服务</w:t>
            </w:r>
          </w:p>
        </w:tc>
        <w:tc>
          <w:tcPr>
            <w:tcW w:w="324"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4C7F3436">
            <w:pPr>
              <w:widowControl/>
              <w:spacing w:line="240" w:lineRule="auto"/>
              <w:ind w:firstLine="0" w:firstLineChars="0"/>
              <w:jc w:val="center"/>
              <w:textAlignment w:val="center"/>
              <w:rPr>
                <w:rFonts w:hint="eastAsia" w:cs="宋体"/>
                <w:color w:val="000000"/>
                <w:kern w:val="0"/>
                <w:sz w:val="22"/>
                <w:szCs w:val="22"/>
              </w:rPr>
            </w:pPr>
            <w:r>
              <w:rPr>
                <w:rFonts w:hint="eastAsia"/>
                <w:color w:val="000000"/>
                <w:sz w:val="22"/>
                <w:szCs w:val="22"/>
              </w:rPr>
              <w:t>2</w:t>
            </w:r>
          </w:p>
        </w:tc>
        <w:tc>
          <w:tcPr>
            <w:tcW w:w="310" w:type="pct"/>
            <w:tcBorders>
              <w:top w:val="single" w:color="000000" w:sz="4" w:space="0"/>
              <w:left w:val="single" w:color="000000" w:sz="4" w:space="0"/>
              <w:bottom w:val="single" w:color="000000" w:sz="4" w:space="0"/>
              <w:right w:val="single" w:color="auto" w:sz="4" w:space="0"/>
            </w:tcBorders>
            <w:vAlign w:val="center"/>
          </w:tcPr>
          <w:p w14:paraId="4702CD70">
            <w:pPr>
              <w:widowControl/>
              <w:spacing w:line="240" w:lineRule="auto"/>
              <w:ind w:firstLine="0" w:firstLineChars="0"/>
              <w:jc w:val="center"/>
              <w:textAlignment w:val="center"/>
              <w:rPr>
                <w:rFonts w:hint="eastAsia" w:cs="宋体"/>
                <w:color w:val="000000"/>
                <w:kern w:val="0"/>
                <w:sz w:val="22"/>
                <w:szCs w:val="22"/>
              </w:rPr>
            </w:pPr>
            <w:r>
              <w:rPr>
                <w:rFonts w:hint="eastAsia"/>
                <w:sz w:val="22"/>
                <w:szCs w:val="22"/>
              </w:rPr>
              <w:t>套</w:t>
            </w:r>
          </w:p>
        </w:tc>
      </w:tr>
      <w:tr w14:paraId="2CC6AEA4">
        <w:tblPrEx>
          <w:tblCellMar>
            <w:top w:w="0" w:type="dxa"/>
            <w:left w:w="0" w:type="dxa"/>
            <w:bottom w:w="0" w:type="dxa"/>
            <w:right w:w="0" w:type="dxa"/>
          </w:tblCellMar>
        </w:tblPrEx>
        <w:trPr>
          <w:trHeight w:val="825" w:hRule="atLeast"/>
        </w:trPr>
        <w:tc>
          <w:tcPr>
            <w:tcW w:w="32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2824470">
            <w:pPr>
              <w:widowControl/>
              <w:spacing w:line="240" w:lineRule="auto"/>
              <w:ind w:firstLine="0" w:firstLineChars="0"/>
              <w:jc w:val="center"/>
              <w:textAlignment w:val="center"/>
              <w:rPr>
                <w:rFonts w:hint="eastAsia" w:cs="宋体"/>
                <w:color w:val="000000"/>
                <w:kern w:val="0"/>
                <w:sz w:val="22"/>
                <w:szCs w:val="22"/>
              </w:rPr>
            </w:pPr>
            <w:r>
              <w:rPr>
                <w:rFonts w:hint="eastAsia"/>
                <w:color w:val="000000"/>
                <w:sz w:val="22"/>
                <w:szCs w:val="22"/>
              </w:rPr>
              <w:t>4</w:t>
            </w:r>
          </w:p>
        </w:tc>
        <w:tc>
          <w:tcPr>
            <w:tcW w:w="10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884930">
            <w:pPr>
              <w:ind w:firstLine="0" w:firstLineChars="0"/>
              <w:jc w:val="center"/>
              <w:rPr>
                <w:rFonts w:hint="eastAsia"/>
                <w:sz w:val="22"/>
                <w:szCs w:val="22"/>
              </w:rPr>
            </w:pPr>
            <w:r>
              <w:rPr>
                <w:rFonts w:hint="eastAsia"/>
                <w:color w:val="000000"/>
                <w:sz w:val="22"/>
                <w:szCs w:val="22"/>
              </w:rPr>
              <w:t>主机及计算机环境安全</w:t>
            </w:r>
          </w:p>
        </w:tc>
        <w:tc>
          <w:tcPr>
            <w:tcW w:w="68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6CA1BC">
            <w:pPr>
              <w:ind w:firstLine="0" w:firstLineChars="0"/>
              <w:jc w:val="center"/>
              <w:rPr>
                <w:rFonts w:hint="eastAsia"/>
                <w:sz w:val="22"/>
                <w:szCs w:val="22"/>
              </w:rPr>
            </w:pPr>
            <w:r>
              <w:rPr>
                <w:rFonts w:hint="eastAsia"/>
                <w:color w:val="000000"/>
                <w:sz w:val="22"/>
                <w:szCs w:val="22"/>
              </w:rPr>
              <w:t>访问控制</w:t>
            </w:r>
          </w:p>
        </w:tc>
        <w:tc>
          <w:tcPr>
            <w:tcW w:w="23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858755">
            <w:pPr>
              <w:spacing w:line="240" w:lineRule="auto"/>
              <w:ind w:firstLine="0" w:firstLineChars="0"/>
              <w:rPr>
                <w:rFonts w:hint="eastAsia" w:cs="宋体"/>
                <w:color w:val="000000"/>
                <w:kern w:val="0"/>
                <w:sz w:val="22"/>
                <w:szCs w:val="22"/>
              </w:rPr>
            </w:pPr>
            <w:r>
              <w:rPr>
                <w:rFonts w:hint="eastAsia"/>
                <w:color w:val="000000"/>
                <w:sz w:val="22"/>
                <w:szCs w:val="22"/>
              </w:rPr>
              <w:t>实现医护人员、工作人员基于移动终端的数字证书申请、发放、认证、签名功能服务</w:t>
            </w:r>
          </w:p>
        </w:tc>
        <w:tc>
          <w:tcPr>
            <w:tcW w:w="324"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8A5A026">
            <w:pPr>
              <w:widowControl/>
              <w:spacing w:line="240" w:lineRule="auto"/>
              <w:ind w:firstLine="0" w:firstLineChars="0"/>
              <w:jc w:val="center"/>
              <w:textAlignment w:val="center"/>
              <w:rPr>
                <w:rFonts w:hint="eastAsia" w:cs="宋体"/>
                <w:color w:val="000000"/>
                <w:kern w:val="0"/>
                <w:sz w:val="22"/>
                <w:szCs w:val="22"/>
              </w:rPr>
            </w:pPr>
            <w:r>
              <w:rPr>
                <w:rFonts w:hint="eastAsia"/>
                <w:color w:val="000000"/>
                <w:sz w:val="22"/>
                <w:szCs w:val="22"/>
              </w:rPr>
              <w:t>2</w:t>
            </w:r>
          </w:p>
        </w:tc>
        <w:tc>
          <w:tcPr>
            <w:tcW w:w="310" w:type="pct"/>
            <w:tcBorders>
              <w:top w:val="single" w:color="000000" w:sz="4" w:space="0"/>
              <w:left w:val="single" w:color="000000" w:sz="4" w:space="0"/>
              <w:bottom w:val="single" w:color="000000" w:sz="4" w:space="0"/>
              <w:right w:val="single" w:color="auto" w:sz="4" w:space="0"/>
            </w:tcBorders>
            <w:vAlign w:val="center"/>
          </w:tcPr>
          <w:p w14:paraId="24FD843C">
            <w:pPr>
              <w:widowControl/>
              <w:spacing w:line="240" w:lineRule="auto"/>
              <w:ind w:firstLine="0" w:firstLineChars="0"/>
              <w:jc w:val="center"/>
              <w:textAlignment w:val="center"/>
              <w:rPr>
                <w:rFonts w:hint="eastAsia" w:cs="宋体"/>
                <w:color w:val="000000"/>
                <w:kern w:val="0"/>
                <w:sz w:val="22"/>
                <w:szCs w:val="22"/>
              </w:rPr>
            </w:pPr>
            <w:r>
              <w:rPr>
                <w:rFonts w:hint="eastAsia"/>
                <w:sz w:val="22"/>
                <w:szCs w:val="22"/>
              </w:rPr>
              <w:t>套</w:t>
            </w:r>
          </w:p>
        </w:tc>
      </w:tr>
      <w:tr w14:paraId="52E3C589">
        <w:tblPrEx>
          <w:tblCellMar>
            <w:top w:w="0" w:type="dxa"/>
            <w:left w:w="0" w:type="dxa"/>
            <w:bottom w:w="0" w:type="dxa"/>
            <w:right w:w="0" w:type="dxa"/>
          </w:tblCellMar>
        </w:tblPrEx>
        <w:trPr>
          <w:trHeight w:val="825" w:hRule="atLeast"/>
        </w:trPr>
        <w:tc>
          <w:tcPr>
            <w:tcW w:w="32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D268FEF">
            <w:pPr>
              <w:widowControl/>
              <w:spacing w:line="240" w:lineRule="auto"/>
              <w:ind w:firstLine="0" w:firstLineChars="0"/>
              <w:jc w:val="center"/>
              <w:textAlignment w:val="center"/>
              <w:rPr>
                <w:rFonts w:hint="eastAsia" w:cs="宋体"/>
                <w:color w:val="000000"/>
                <w:kern w:val="0"/>
                <w:sz w:val="22"/>
                <w:szCs w:val="22"/>
              </w:rPr>
            </w:pPr>
            <w:r>
              <w:rPr>
                <w:rFonts w:hint="eastAsia"/>
                <w:color w:val="000000"/>
                <w:sz w:val="22"/>
                <w:szCs w:val="22"/>
              </w:rPr>
              <w:t>5</w:t>
            </w:r>
          </w:p>
        </w:tc>
        <w:tc>
          <w:tcPr>
            <w:tcW w:w="10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6CB32B">
            <w:pPr>
              <w:ind w:firstLine="0" w:firstLineChars="0"/>
              <w:jc w:val="center"/>
              <w:rPr>
                <w:rFonts w:hint="eastAsia"/>
                <w:sz w:val="22"/>
                <w:szCs w:val="22"/>
              </w:rPr>
            </w:pPr>
            <w:r>
              <w:rPr>
                <w:rFonts w:hint="eastAsia"/>
                <w:color w:val="000000"/>
                <w:sz w:val="22"/>
                <w:szCs w:val="22"/>
              </w:rPr>
              <w:t>主机及计算机环境安全</w:t>
            </w:r>
          </w:p>
        </w:tc>
        <w:tc>
          <w:tcPr>
            <w:tcW w:w="68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24F51">
            <w:pPr>
              <w:ind w:firstLine="0" w:firstLineChars="0"/>
              <w:jc w:val="center"/>
              <w:rPr>
                <w:rFonts w:hint="eastAsia"/>
                <w:sz w:val="22"/>
                <w:szCs w:val="22"/>
              </w:rPr>
            </w:pPr>
            <w:r>
              <w:rPr>
                <w:rFonts w:hint="eastAsia"/>
                <w:color w:val="000000"/>
                <w:sz w:val="22"/>
                <w:szCs w:val="22"/>
              </w:rPr>
              <w:t>访问控制</w:t>
            </w:r>
          </w:p>
        </w:tc>
        <w:tc>
          <w:tcPr>
            <w:tcW w:w="23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98FF9">
            <w:pPr>
              <w:spacing w:line="240" w:lineRule="auto"/>
              <w:ind w:firstLine="0" w:firstLineChars="0"/>
              <w:rPr>
                <w:rFonts w:hint="eastAsia" w:cs="宋体"/>
                <w:color w:val="000000"/>
                <w:kern w:val="0"/>
                <w:sz w:val="22"/>
                <w:szCs w:val="22"/>
              </w:rPr>
            </w:pPr>
            <w:r>
              <w:rPr>
                <w:rFonts w:hint="eastAsia"/>
                <w:color w:val="000000"/>
                <w:sz w:val="22"/>
                <w:szCs w:val="22"/>
              </w:rPr>
              <w:t>实现医护人员、工作人员基于移动终端的数字证书申请、发放、认证、签名功能服务</w:t>
            </w:r>
          </w:p>
        </w:tc>
        <w:tc>
          <w:tcPr>
            <w:tcW w:w="324"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8250A1E">
            <w:pPr>
              <w:widowControl/>
              <w:spacing w:line="240" w:lineRule="auto"/>
              <w:ind w:firstLine="0" w:firstLineChars="0"/>
              <w:jc w:val="center"/>
              <w:textAlignment w:val="center"/>
              <w:rPr>
                <w:rFonts w:hint="eastAsia" w:cs="宋体"/>
                <w:color w:val="000000"/>
                <w:kern w:val="0"/>
                <w:sz w:val="22"/>
                <w:szCs w:val="22"/>
              </w:rPr>
            </w:pPr>
            <w:r>
              <w:rPr>
                <w:rFonts w:hint="eastAsia"/>
                <w:color w:val="000000"/>
                <w:sz w:val="22"/>
                <w:szCs w:val="22"/>
              </w:rPr>
              <w:t>1</w:t>
            </w:r>
          </w:p>
        </w:tc>
        <w:tc>
          <w:tcPr>
            <w:tcW w:w="310" w:type="pct"/>
            <w:tcBorders>
              <w:top w:val="single" w:color="000000" w:sz="4" w:space="0"/>
              <w:left w:val="single" w:color="000000" w:sz="4" w:space="0"/>
              <w:bottom w:val="single" w:color="000000" w:sz="4" w:space="0"/>
              <w:right w:val="single" w:color="auto" w:sz="4" w:space="0"/>
            </w:tcBorders>
            <w:vAlign w:val="center"/>
          </w:tcPr>
          <w:p w14:paraId="3001DF64">
            <w:pPr>
              <w:widowControl/>
              <w:spacing w:line="240" w:lineRule="auto"/>
              <w:ind w:firstLine="0" w:firstLineChars="0"/>
              <w:jc w:val="center"/>
              <w:textAlignment w:val="center"/>
              <w:rPr>
                <w:rFonts w:hint="eastAsia" w:cs="宋体"/>
                <w:color w:val="000000"/>
                <w:kern w:val="0"/>
                <w:sz w:val="22"/>
                <w:szCs w:val="22"/>
              </w:rPr>
            </w:pPr>
            <w:r>
              <w:rPr>
                <w:rFonts w:hint="eastAsia"/>
                <w:sz w:val="22"/>
                <w:szCs w:val="22"/>
              </w:rPr>
              <w:t>套</w:t>
            </w:r>
          </w:p>
        </w:tc>
      </w:tr>
      <w:tr w14:paraId="1D1A4915">
        <w:tblPrEx>
          <w:tblCellMar>
            <w:top w:w="0" w:type="dxa"/>
            <w:left w:w="0" w:type="dxa"/>
            <w:bottom w:w="0" w:type="dxa"/>
            <w:right w:w="0" w:type="dxa"/>
          </w:tblCellMar>
        </w:tblPrEx>
        <w:trPr>
          <w:trHeight w:val="825" w:hRule="atLeast"/>
        </w:trPr>
        <w:tc>
          <w:tcPr>
            <w:tcW w:w="32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71DFA2E">
            <w:pPr>
              <w:widowControl/>
              <w:spacing w:line="240" w:lineRule="auto"/>
              <w:ind w:firstLine="0" w:firstLineChars="0"/>
              <w:jc w:val="center"/>
              <w:textAlignment w:val="center"/>
              <w:rPr>
                <w:rFonts w:hint="eastAsia" w:cs="宋体"/>
                <w:color w:val="000000"/>
                <w:kern w:val="0"/>
                <w:sz w:val="22"/>
                <w:szCs w:val="22"/>
              </w:rPr>
            </w:pPr>
            <w:r>
              <w:rPr>
                <w:rFonts w:hint="eastAsia"/>
                <w:color w:val="000000"/>
                <w:sz w:val="22"/>
                <w:szCs w:val="22"/>
              </w:rPr>
              <w:t>6</w:t>
            </w:r>
          </w:p>
        </w:tc>
        <w:tc>
          <w:tcPr>
            <w:tcW w:w="10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136F49">
            <w:pPr>
              <w:ind w:firstLine="0" w:firstLineChars="0"/>
              <w:jc w:val="center"/>
              <w:rPr>
                <w:rFonts w:hint="eastAsia"/>
                <w:sz w:val="22"/>
                <w:szCs w:val="22"/>
              </w:rPr>
            </w:pPr>
            <w:r>
              <w:rPr>
                <w:rFonts w:hint="eastAsia"/>
                <w:color w:val="000000"/>
                <w:sz w:val="22"/>
                <w:szCs w:val="22"/>
              </w:rPr>
              <w:t>安全管理与支持</w:t>
            </w:r>
          </w:p>
        </w:tc>
        <w:tc>
          <w:tcPr>
            <w:tcW w:w="68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A0FC51">
            <w:pPr>
              <w:ind w:firstLine="0" w:firstLineChars="0"/>
              <w:jc w:val="center"/>
              <w:rPr>
                <w:rFonts w:hint="eastAsia"/>
                <w:sz w:val="22"/>
                <w:szCs w:val="22"/>
              </w:rPr>
            </w:pPr>
            <w:r>
              <w:rPr>
                <w:rFonts w:hint="eastAsia"/>
                <w:color w:val="000000"/>
                <w:sz w:val="22"/>
                <w:szCs w:val="22"/>
              </w:rPr>
              <w:t>安全管理平台产品</w:t>
            </w:r>
          </w:p>
        </w:tc>
        <w:tc>
          <w:tcPr>
            <w:tcW w:w="23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FC7D20">
            <w:pPr>
              <w:spacing w:line="240" w:lineRule="auto"/>
              <w:ind w:firstLine="0" w:firstLineChars="0"/>
              <w:rPr>
                <w:rFonts w:hint="eastAsia" w:cs="宋体"/>
                <w:color w:val="000000"/>
                <w:kern w:val="0"/>
                <w:sz w:val="22"/>
                <w:szCs w:val="22"/>
              </w:rPr>
            </w:pPr>
            <w:r>
              <w:rPr>
                <w:rFonts w:hint="eastAsia"/>
                <w:color w:val="000000"/>
                <w:sz w:val="22"/>
                <w:szCs w:val="22"/>
              </w:rPr>
              <w:t>对接平台的密码服务基础设备、密码服务管理与数据体系，面向平台用户、平台运维人员以及第三方开发者三类不同的平台角色，分别统一提供对应的支撑服务，保障密码安全体系运行的安全健壮和高效便捷。</w:t>
            </w:r>
            <w:r>
              <w:rPr>
                <w:rFonts w:hint="eastAsia"/>
                <w:color w:val="000000"/>
                <w:sz w:val="22"/>
                <w:szCs w:val="22"/>
              </w:rPr>
              <w:br w:type="textWrapping"/>
            </w:r>
            <w:r>
              <w:rPr>
                <w:rFonts w:hint="eastAsia"/>
                <w:color w:val="000000"/>
                <w:sz w:val="22"/>
                <w:szCs w:val="22"/>
              </w:rPr>
              <w:t>围绕服务提供方、服务应用方（依赖方）和服务管理方（平台）三个维度展开，将碎片化的密码用户、设备、服务、应用及其访问控制策略实行统一的登记备案和协同管理。针对不同类型的密码应用分别提供不同的管理策略，从简单的登记备案到严格的访问控制，管理子系统都可以灵活定制。</w:t>
            </w:r>
          </w:p>
        </w:tc>
        <w:tc>
          <w:tcPr>
            <w:tcW w:w="324"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5B591C53">
            <w:pPr>
              <w:widowControl/>
              <w:spacing w:line="240" w:lineRule="auto"/>
              <w:ind w:firstLine="0" w:firstLineChars="0"/>
              <w:jc w:val="center"/>
              <w:textAlignment w:val="center"/>
              <w:rPr>
                <w:rFonts w:hint="eastAsia" w:cs="宋体"/>
                <w:color w:val="000000"/>
                <w:kern w:val="0"/>
                <w:sz w:val="22"/>
                <w:szCs w:val="22"/>
              </w:rPr>
            </w:pPr>
            <w:r>
              <w:rPr>
                <w:rFonts w:hint="eastAsia"/>
                <w:color w:val="000000"/>
                <w:sz w:val="22"/>
                <w:szCs w:val="22"/>
              </w:rPr>
              <w:t>1</w:t>
            </w:r>
          </w:p>
        </w:tc>
        <w:tc>
          <w:tcPr>
            <w:tcW w:w="310" w:type="pct"/>
            <w:tcBorders>
              <w:top w:val="single" w:color="000000" w:sz="4" w:space="0"/>
              <w:left w:val="single" w:color="000000" w:sz="4" w:space="0"/>
              <w:bottom w:val="single" w:color="000000" w:sz="4" w:space="0"/>
              <w:right w:val="single" w:color="auto" w:sz="4" w:space="0"/>
            </w:tcBorders>
            <w:vAlign w:val="center"/>
          </w:tcPr>
          <w:p w14:paraId="04A084FB">
            <w:pPr>
              <w:widowControl/>
              <w:spacing w:line="240" w:lineRule="auto"/>
              <w:ind w:firstLine="0" w:firstLineChars="0"/>
              <w:jc w:val="center"/>
              <w:textAlignment w:val="center"/>
              <w:rPr>
                <w:rFonts w:hint="eastAsia" w:cs="宋体"/>
                <w:color w:val="000000"/>
                <w:kern w:val="0"/>
                <w:sz w:val="22"/>
                <w:szCs w:val="22"/>
              </w:rPr>
            </w:pPr>
            <w:r>
              <w:rPr>
                <w:rFonts w:hint="eastAsia"/>
                <w:sz w:val="22"/>
                <w:szCs w:val="22"/>
              </w:rPr>
              <w:t>套</w:t>
            </w:r>
          </w:p>
        </w:tc>
      </w:tr>
    </w:tbl>
    <w:p w14:paraId="14727170">
      <w:pPr>
        <w:pStyle w:val="25"/>
      </w:pPr>
    </w:p>
    <w:p w14:paraId="0576A21E">
      <w:pPr>
        <w:pStyle w:val="2"/>
        <w:rPr>
          <w:rFonts w:hint="eastAsia"/>
        </w:rPr>
      </w:pPr>
      <w:bookmarkStart w:id="36" w:name="_Toc63785502"/>
      <w:r>
        <w:rPr>
          <w:rFonts w:hint="eastAsia"/>
        </w:rPr>
        <w:t>电子政务云资源需求</w:t>
      </w:r>
      <w:bookmarkEnd w:id="36"/>
    </w:p>
    <w:p w14:paraId="333616DE">
      <w:pPr>
        <w:rPr>
          <w:rFonts w:hint="eastAsia"/>
        </w:rPr>
      </w:pPr>
      <w:r>
        <w:rPr>
          <w:rFonts w:hint="eastAsia"/>
        </w:rPr>
        <w:t>本项目依托上海市电子政务云申请服务器资源为</w:t>
      </w:r>
      <w:r>
        <w:t>127</w:t>
      </w:r>
      <w:r>
        <w:rPr>
          <w:rFonts w:hint="eastAsia"/>
        </w:rPr>
        <w:t>台服务器资源</w:t>
      </w:r>
      <w:r>
        <w:t>，CPU</w:t>
      </w:r>
      <w:r>
        <w:rPr>
          <w:rFonts w:hint="eastAsia"/>
        </w:rPr>
        <w:t>1190</w:t>
      </w:r>
      <w:r>
        <w:t>核、内存</w:t>
      </w:r>
      <w:r>
        <w:rPr>
          <w:rFonts w:hint="eastAsia"/>
        </w:rPr>
        <w:t>4760</w:t>
      </w:r>
      <w:r>
        <w:t>GB、存储</w:t>
      </w:r>
      <w:r>
        <w:rPr>
          <w:rFonts w:hint="eastAsia"/>
        </w:rPr>
        <w:t>267300</w:t>
      </w:r>
      <w:r>
        <w:t>GB</w:t>
      </w:r>
      <w:r>
        <w:rPr>
          <w:rFonts w:hint="eastAsia"/>
        </w:rPr>
        <w:t>，其中虚拟机121</w:t>
      </w:r>
      <w:r>
        <w:t>台，物理机</w:t>
      </w:r>
      <w:r>
        <w:rPr>
          <w:rFonts w:hint="eastAsia"/>
        </w:rPr>
        <w:t>6</w:t>
      </w:r>
      <w:r>
        <w:t>台。项目实施过程中，按电子政务云平台提供的实际资源情况做调整。</w:t>
      </w:r>
    </w:p>
    <w:p w14:paraId="3D17FE71">
      <w:pPr>
        <w:pStyle w:val="2"/>
        <w:rPr>
          <w:rFonts w:hint="eastAsia"/>
        </w:rPr>
      </w:pPr>
      <w:bookmarkStart w:id="37" w:name="_Toc63785503"/>
      <w:bookmarkStart w:id="38" w:name="_Hlk152590954"/>
      <w:r>
        <w:rPr>
          <w:rFonts w:hint="eastAsia"/>
        </w:rPr>
        <w:t>其他工作要求</w:t>
      </w:r>
      <w:bookmarkEnd w:id="37"/>
      <w:bookmarkStart w:id="39" w:name="_Toc61968111"/>
      <w:bookmarkEnd w:id="39"/>
      <w:bookmarkStart w:id="40" w:name="_Toc63785439"/>
      <w:bookmarkEnd w:id="40"/>
      <w:bookmarkStart w:id="41" w:name="_Toc63785504"/>
      <w:bookmarkEnd w:id="41"/>
      <w:bookmarkStart w:id="42" w:name="_Toc62209488"/>
      <w:bookmarkEnd w:id="42"/>
      <w:bookmarkStart w:id="43" w:name="_Toc63585480"/>
      <w:bookmarkEnd w:id="43"/>
      <w:bookmarkStart w:id="44" w:name="_Toc63151871"/>
      <w:bookmarkEnd w:id="44"/>
      <w:bookmarkStart w:id="45" w:name="_Toc62219358"/>
      <w:bookmarkEnd w:id="45"/>
      <w:bookmarkStart w:id="46" w:name="_Toc63762370"/>
      <w:bookmarkEnd w:id="46"/>
    </w:p>
    <w:p w14:paraId="5C890CF1">
      <w:pPr>
        <w:pStyle w:val="3"/>
        <w:jc w:val="left"/>
        <w:rPr>
          <w:rFonts w:hint="eastAsia"/>
        </w:rPr>
      </w:pPr>
      <w:bookmarkStart w:id="47" w:name="_Toc63785505"/>
      <w:r>
        <w:rPr>
          <w:rFonts w:hint="eastAsia"/>
        </w:rPr>
        <w:t>售后服务要求</w:t>
      </w:r>
      <w:bookmarkEnd w:id="47"/>
    </w:p>
    <w:p w14:paraId="10C255DE">
      <w:pPr>
        <w:pStyle w:val="136"/>
        <w:snapToGrid w:val="0"/>
        <w:spacing w:line="360" w:lineRule="auto"/>
        <w:ind w:firstLine="480"/>
        <w:rPr>
          <w:rFonts w:hint="eastAsia" w:ascii="宋体" w:hAnsi="宋体"/>
          <w:sz w:val="24"/>
          <w:szCs w:val="24"/>
        </w:rPr>
      </w:pPr>
      <w:r>
        <w:rPr>
          <w:rFonts w:hint="eastAsia" w:ascii="宋体" w:hAnsi="宋体"/>
          <w:sz w:val="24"/>
          <w:szCs w:val="24"/>
        </w:rPr>
        <w:t>本项目从系统验收通过之日起1年内提供</w:t>
      </w:r>
      <w:r>
        <w:rPr>
          <w:rFonts w:ascii="宋体" w:hAnsi="宋体"/>
          <w:sz w:val="24"/>
          <w:szCs w:val="24"/>
        </w:rPr>
        <w:t>7*24小时免费技术支持</w:t>
      </w:r>
      <w:r>
        <w:rPr>
          <w:rFonts w:hint="eastAsia" w:ascii="宋体" w:hAnsi="宋体"/>
          <w:sz w:val="24"/>
          <w:szCs w:val="24"/>
        </w:rPr>
        <w:t>和售后服务，1年后进入有偿维护期。</w:t>
      </w:r>
    </w:p>
    <w:p w14:paraId="0A64D0BC">
      <w:pPr>
        <w:pStyle w:val="136"/>
        <w:snapToGrid w:val="0"/>
        <w:spacing w:line="360" w:lineRule="auto"/>
        <w:ind w:firstLine="480"/>
        <w:rPr>
          <w:rFonts w:hint="eastAsia" w:ascii="宋体" w:hAnsi="宋体"/>
          <w:sz w:val="24"/>
          <w:szCs w:val="24"/>
        </w:rPr>
      </w:pPr>
      <w:r>
        <w:rPr>
          <w:rFonts w:hint="eastAsia" w:ascii="宋体" w:hAnsi="宋体"/>
          <w:sz w:val="24"/>
          <w:szCs w:val="24"/>
        </w:rPr>
        <w:t>在质量保证期内，供应商将按照售后服务的承诺提供保修和运行维护服务。</w:t>
      </w:r>
    </w:p>
    <w:p w14:paraId="58A880C8">
      <w:pPr>
        <w:pStyle w:val="136"/>
        <w:snapToGrid w:val="0"/>
        <w:spacing w:line="360" w:lineRule="auto"/>
        <w:ind w:firstLine="480"/>
        <w:rPr>
          <w:rFonts w:hint="eastAsia" w:ascii="宋体" w:hAnsi="宋体"/>
          <w:sz w:val="24"/>
          <w:szCs w:val="24"/>
        </w:rPr>
      </w:pPr>
      <w:r>
        <w:rPr>
          <w:rFonts w:hint="eastAsia" w:ascii="宋体" w:hAnsi="宋体"/>
          <w:sz w:val="24"/>
          <w:szCs w:val="24"/>
        </w:rPr>
        <w:t>在质量保证期内，供应商负责信息系统的运行维护工作，确保信息系统安全、稳定、可靠地运行。本项目涉及的运行维护工作范围包括但不限于：远程技术支持、预防性维护、故障修复、重大活动现场保障、技术交流与培训、性能优化等。</w:t>
      </w:r>
    </w:p>
    <w:p w14:paraId="5361533E">
      <w:pPr>
        <w:pStyle w:val="3"/>
        <w:rPr>
          <w:rFonts w:hint="eastAsia"/>
        </w:rPr>
      </w:pPr>
      <w:bookmarkStart w:id="48" w:name="_Toc63785506"/>
      <w:r>
        <w:rPr>
          <w:rFonts w:hint="eastAsia"/>
        </w:rPr>
        <w:t>应急响应要求</w:t>
      </w:r>
      <w:bookmarkEnd w:id="48"/>
    </w:p>
    <w:p w14:paraId="57C36284">
      <w:pPr>
        <w:pStyle w:val="136"/>
        <w:snapToGrid w:val="0"/>
        <w:spacing w:line="360" w:lineRule="auto"/>
        <w:ind w:firstLine="480"/>
        <w:rPr>
          <w:rFonts w:hint="eastAsia" w:ascii="宋体" w:hAnsi="宋体"/>
          <w:sz w:val="24"/>
          <w:szCs w:val="24"/>
        </w:rPr>
      </w:pPr>
      <w:r>
        <w:rPr>
          <w:rFonts w:hint="eastAsia" w:ascii="宋体" w:hAnsi="宋体"/>
          <w:sz w:val="24"/>
          <w:szCs w:val="24"/>
        </w:rPr>
        <w:t>供应商对系统故障应能够实时响应，若系统发生故障，接到通知后</w:t>
      </w:r>
      <w:r>
        <w:rPr>
          <w:rFonts w:ascii="宋体" w:hAnsi="宋体"/>
          <w:sz w:val="24"/>
          <w:szCs w:val="24"/>
        </w:rPr>
        <w:t>30分钟之内响应，专业工程师2小时内到达现场</w:t>
      </w:r>
      <w:r>
        <w:rPr>
          <w:rFonts w:hint="eastAsia" w:ascii="宋体" w:hAnsi="宋体"/>
          <w:sz w:val="24"/>
          <w:szCs w:val="24"/>
        </w:rPr>
        <w:t>。特殊故障与客户沟通协商后，按照协商的方式制定解决方案并进行处理。</w:t>
      </w:r>
    </w:p>
    <w:p w14:paraId="7DA7387E">
      <w:pPr>
        <w:pStyle w:val="136"/>
        <w:snapToGrid w:val="0"/>
        <w:spacing w:line="360" w:lineRule="auto"/>
        <w:ind w:firstLine="480"/>
        <w:rPr>
          <w:rFonts w:hint="eastAsia" w:ascii="宋体" w:hAnsi="宋体"/>
          <w:sz w:val="24"/>
          <w:szCs w:val="24"/>
        </w:rPr>
      </w:pPr>
      <w:r>
        <w:rPr>
          <w:rFonts w:hint="eastAsia" w:ascii="宋体" w:hAnsi="宋体"/>
          <w:sz w:val="24"/>
          <w:szCs w:val="24"/>
        </w:rPr>
        <w:t>具体故障级别及对应的应急响应要求如下：</w:t>
      </w:r>
    </w:p>
    <w:p w14:paraId="132F321D">
      <w:pPr>
        <w:pStyle w:val="136"/>
        <w:snapToGrid w:val="0"/>
        <w:spacing w:line="360" w:lineRule="auto"/>
        <w:ind w:firstLine="480"/>
        <w:rPr>
          <w:rFonts w:hint="eastAsia" w:ascii="宋体" w:hAnsi="宋体"/>
          <w:sz w:val="24"/>
          <w:szCs w:val="24"/>
        </w:rPr>
      </w:pPr>
      <w:r>
        <w:rPr>
          <w:rFonts w:hint="eastAsia" w:ascii="宋体" w:hAnsi="宋体"/>
          <w:sz w:val="24"/>
          <w:szCs w:val="24"/>
        </w:rPr>
        <w:t>一级故障：在</w:t>
      </w:r>
      <w:r>
        <w:rPr>
          <w:rFonts w:ascii="宋体" w:hAnsi="宋体"/>
          <w:sz w:val="24"/>
          <w:szCs w:val="24"/>
        </w:rPr>
        <w:t>1小时内确诊，总故障解决时间不超过4小时。</w:t>
      </w:r>
    </w:p>
    <w:p w14:paraId="14A22B39">
      <w:pPr>
        <w:pStyle w:val="136"/>
        <w:snapToGrid w:val="0"/>
        <w:spacing w:line="360" w:lineRule="auto"/>
        <w:ind w:firstLine="480"/>
        <w:rPr>
          <w:rFonts w:hint="eastAsia" w:ascii="宋体" w:hAnsi="宋体"/>
          <w:sz w:val="24"/>
          <w:szCs w:val="24"/>
        </w:rPr>
      </w:pPr>
      <w:r>
        <w:rPr>
          <w:rFonts w:hint="eastAsia" w:ascii="宋体" w:hAnsi="宋体"/>
          <w:sz w:val="24"/>
          <w:szCs w:val="24"/>
        </w:rPr>
        <w:t>二级故障：在</w:t>
      </w:r>
      <w:r>
        <w:rPr>
          <w:rFonts w:ascii="宋体" w:hAnsi="宋体"/>
          <w:sz w:val="24"/>
          <w:szCs w:val="24"/>
        </w:rPr>
        <w:t>2小时内确诊，并在4小时内由专家到达现场确诊并解决，总故障解决时间不超过8小时；</w:t>
      </w:r>
    </w:p>
    <w:p w14:paraId="2C60F563">
      <w:pPr>
        <w:pStyle w:val="136"/>
        <w:snapToGrid w:val="0"/>
        <w:spacing w:line="360" w:lineRule="auto"/>
        <w:ind w:firstLine="480"/>
        <w:rPr>
          <w:rFonts w:hint="eastAsia" w:ascii="宋体" w:hAnsi="宋体"/>
          <w:sz w:val="24"/>
          <w:szCs w:val="24"/>
        </w:rPr>
      </w:pPr>
      <w:r>
        <w:rPr>
          <w:rFonts w:hint="eastAsia" w:ascii="宋体" w:hAnsi="宋体"/>
          <w:sz w:val="24"/>
          <w:szCs w:val="24"/>
        </w:rPr>
        <w:t>三、四级故障：在</w:t>
      </w:r>
      <w:r>
        <w:rPr>
          <w:rFonts w:ascii="宋体" w:hAnsi="宋体"/>
          <w:sz w:val="24"/>
          <w:szCs w:val="24"/>
        </w:rPr>
        <w:t>4小时内确诊故障，总故障解决时间不超过16小时。</w:t>
      </w:r>
    </w:p>
    <w:p w14:paraId="1EB29BFA">
      <w:pPr>
        <w:pStyle w:val="3"/>
        <w:rPr>
          <w:rFonts w:hint="eastAsia"/>
        </w:rPr>
      </w:pPr>
      <w:bookmarkStart w:id="49" w:name="_Toc63785507"/>
      <w:r>
        <w:rPr>
          <w:rFonts w:hint="eastAsia"/>
        </w:rPr>
        <w:t>培训要求</w:t>
      </w:r>
      <w:bookmarkEnd w:id="49"/>
    </w:p>
    <w:p w14:paraId="45168476">
      <w:pPr>
        <w:rPr>
          <w:rFonts w:hint="eastAsia"/>
        </w:rPr>
      </w:pPr>
      <w:r>
        <w:rPr>
          <w:rFonts w:hint="eastAsia"/>
        </w:rPr>
        <w:t>供应商应提供业务操作培训，应提供详细培训方案。</w:t>
      </w:r>
    </w:p>
    <w:p w14:paraId="0BE47704">
      <w:pPr>
        <w:rPr>
          <w:rFonts w:hint="eastAsia"/>
        </w:rPr>
      </w:pPr>
      <w:r>
        <w:rPr>
          <w:rFonts w:hint="eastAsia"/>
        </w:rPr>
        <w:t>(1)项目验收前提供至少1次系统操作培训。在12个月的质量保证期内，至少提供</w:t>
      </w:r>
      <w:r>
        <w:t>1</w:t>
      </w:r>
      <w:r>
        <w:rPr>
          <w:rFonts w:hint="eastAsia"/>
        </w:rPr>
        <w:t>次与项目相关的必要培训。</w:t>
      </w:r>
    </w:p>
    <w:p w14:paraId="56B68741">
      <w:pPr>
        <w:rPr>
          <w:rFonts w:hint="eastAsia"/>
        </w:rPr>
      </w:pPr>
      <w:r>
        <w:rPr>
          <w:rFonts w:hint="eastAsia"/>
        </w:rPr>
        <w:t>(2)供应商需要开展分层次的人员培训工作，每次培训后应提供培训签到表、培训记录和培训报告。培训应具有培训教材、培训环境和高水平的培训讲师。</w:t>
      </w:r>
    </w:p>
    <w:p w14:paraId="336FA84C">
      <w:pPr>
        <w:rPr>
          <w:rFonts w:hint="eastAsia"/>
        </w:rPr>
      </w:pPr>
      <w:r>
        <w:rPr>
          <w:rFonts w:hint="eastAsia"/>
        </w:rPr>
        <w:t>(3)供应商应提供一般用户的基础操作培训和系统管理员的日常应用维护培训，确保用户对象能够掌握对应的操作技能。</w:t>
      </w:r>
    </w:p>
    <w:p w14:paraId="5D9843B9">
      <w:pPr>
        <w:pStyle w:val="3"/>
        <w:rPr>
          <w:rFonts w:hint="eastAsia"/>
        </w:rPr>
      </w:pPr>
      <w:bookmarkStart w:id="50" w:name="_Toc63785508"/>
      <w:r>
        <w:rPr>
          <w:rFonts w:hint="eastAsia"/>
        </w:rPr>
        <w:t>验收要求</w:t>
      </w:r>
      <w:bookmarkEnd w:id="50"/>
    </w:p>
    <w:p w14:paraId="356B016D">
      <w:pPr>
        <w:rPr>
          <w:rFonts w:hint="eastAsia"/>
          <w:szCs w:val="21"/>
        </w:rPr>
      </w:pPr>
      <w:r>
        <w:rPr>
          <w:rFonts w:hint="eastAsia"/>
          <w:szCs w:val="21"/>
        </w:rPr>
        <w:t>本项目按下述方式开展验收。</w:t>
      </w:r>
    </w:p>
    <w:p w14:paraId="652277AE">
      <w:pPr>
        <w:rPr>
          <w:rFonts w:hint="eastAsia"/>
          <w:szCs w:val="21"/>
        </w:rPr>
      </w:pPr>
      <w:r>
        <w:rPr>
          <w:rFonts w:hint="eastAsia"/>
          <w:szCs w:val="21"/>
        </w:rPr>
        <w:t>（</w:t>
      </w:r>
      <w:r>
        <w:rPr>
          <w:szCs w:val="21"/>
        </w:rPr>
        <w:t>1）验收分初验和终验。</w:t>
      </w:r>
    </w:p>
    <w:p w14:paraId="76563A2E">
      <w:pPr>
        <w:rPr>
          <w:rFonts w:hint="eastAsia"/>
          <w:szCs w:val="21"/>
        </w:rPr>
      </w:pPr>
      <w:r>
        <w:rPr>
          <w:rFonts w:hint="eastAsia"/>
          <w:szCs w:val="21"/>
        </w:rPr>
        <w:t>（</w:t>
      </w:r>
      <w:r>
        <w:rPr>
          <w:szCs w:val="21"/>
        </w:rPr>
        <w:t>2）初验前，供应商须完成软件开发和信息系统的调试等，并对本项目进行功能和运行检测，确保所有信息系统功能模块能够正常运行且已达到本项目约定的各类标准要求。供应商应以书面形式向招标方递交初验</w:t>
      </w:r>
      <w:r>
        <w:rPr>
          <w:rFonts w:hint="eastAsia"/>
          <w:szCs w:val="21"/>
        </w:rPr>
        <w:t>申请，</w:t>
      </w:r>
      <w:r>
        <w:rPr>
          <w:szCs w:val="21"/>
        </w:rPr>
        <w:t>招标方应当在接到通知后的</w:t>
      </w:r>
      <w:r>
        <w:rPr>
          <w:rFonts w:hint="eastAsia"/>
          <w:szCs w:val="21"/>
        </w:rPr>
        <w:t>5</w:t>
      </w:r>
      <w:r>
        <w:rPr>
          <w:szCs w:val="21"/>
        </w:rPr>
        <w:t>个工作日内确定初验的具体日期，由双方按照本项目的约定完成本项目的初验。招标方有权委托第三方检测机构进行验收，对此供应商应当配合。</w:t>
      </w:r>
    </w:p>
    <w:p w14:paraId="6502ED18">
      <w:pPr>
        <w:rPr>
          <w:rFonts w:hint="eastAsia"/>
          <w:szCs w:val="21"/>
        </w:rPr>
      </w:pPr>
      <w:r>
        <w:rPr>
          <w:rFonts w:hint="eastAsia"/>
          <w:szCs w:val="21"/>
        </w:rPr>
        <w:t>（</w:t>
      </w:r>
      <w:r>
        <w:rPr>
          <w:szCs w:val="21"/>
        </w:rPr>
        <w:t>3）初验时，供应商须提供软件文档包括《需求</w:t>
      </w:r>
      <w:r>
        <w:rPr>
          <w:rFonts w:hint="eastAsia"/>
          <w:szCs w:val="21"/>
        </w:rPr>
        <w:t>规格</w:t>
      </w:r>
      <w:r>
        <w:rPr>
          <w:szCs w:val="21"/>
        </w:rPr>
        <w:t>说明书》、《概要设计说明书》、《详细设计说明书》、《测试报告》、《用户使用手册》、《系统部署</w:t>
      </w:r>
      <w:r>
        <w:rPr>
          <w:rFonts w:hint="eastAsia"/>
          <w:szCs w:val="21"/>
        </w:rPr>
        <w:t>手册</w:t>
      </w:r>
      <w:r>
        <w:rPr>
          <w:szCs w:val="21"/>
        </w:rPr>
        <w:t>》等）及可安装的程序运行文件。所交付的文档与文件应当是可供自然人阅读的书面和电子文档。</w:t>
      </w:r>
      <w:r>
        <w:rPr>
          <w:rFonts w:hint="eastAsia"/>
          <w:szCs w:val="21"/>
        </w:rPr>
        <w:t>项目通过招标方组织的初验评审，并且所有初验材料</w:t>
      </w:r>
      <w:r>
        <w:rPr>
          <w:szCs w:val="21"/>
        </w:rPr>
        <w:t>通过验收后，视为初验通过。如有缺陷，招标方应向供应商出具书面</w:t>
      </w:r>
      <w:r>
        <w:rPr>
          <w:rFonts w:hint="eastAsia"/>
          <w:szCs w:val="21"/>
        </w:rPr>
        <w:t>意见</w:t>
      </w:r>
      <w:r>
        <w:rPr>
          <w:szCs w:val="21"/>
        </w:rPr>
        <w:t>，陈述需要改进的缺陷。供应商应立即严格依照招标方的书面报告中的要求改进缺陷，并再次进行初验。</w:t>
      </w:r>
    </w:p>
    <w:p w14:paraId="3C4EB19F">
      <w:pPr>
        <w:rPr>
          <w:rFonts w:hint="eastAsia"/>
          <w:szCs w:val="21"/>
        </w:rPr>
      </w:pPr>
      <w:r>
        <w:rPr>
          <w:rFonts w:hint="eastAsia"/>
          <w:szCs w:val="21"/>
        </w:rPr>
        <w:t>（</w:t>
      </w:r>
      <w:r>
        <w:rPr>
          <w:szCs w:val="21"/>
        </w:rPr>
        <w:t>4）自初验通过之日起，招标方享有供应商免费提供的30天的信息系统试运行现场驻场服务期。该期间内，供应商应当按照招标方的要求提供现场技术支持服务，解决信息系统试运行期间可能出现的各类问题，或进一步提高与完善信息系统运行水平。</w:t>
      </w:r>
    </w:p>
    <w:p w14:paraId="3200FCED">
      <w:pPr>
        <w:rPr>
          <w:rFonts w:hint="eastAsia"/>
          <w:szCs w:val="21"/>
        </w:rPr>
      </w:pPr>
      <w:r>
        <w:rPr>
          <w:rFonts w:hint="eastAsia"/>
          <w:szCs w:val="21"/>
        </w:rPr>
        <w:t>（</w:t>
      </w:r>
      <w:r>
        <w:rPr>
          <w:szCs w:val="21"/>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15个工作日内发起组织专家验收会。</w:t>
      </w:r>
    </w:p>
    <w:p w14:paraId="6AF3D39B">
      <w:pPr>
        <w:rPr>
          <w:rFonts w:hint="eastAsia"/>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14:paraId="2709D466">
      <w:pPr>
        <w:rPr>
          <w:rFonts w:hint="eastAsia"/>
          <w:szCs w:val="21"/>
        </w:rPr>
      </w:pPr>
      <w:r>
        <w:rPr>
          <w:rFonts w:hint="eastAsia"/>
          <w:szCs w:val="21"/>
        </w:rPr>
        <w:t>（7</w:t>
      </w:r>
      <w:r>
        <w:rPr>
          <w:szCs w:val="21"/>
        </w:rPr>
        <w:t>）如果由于招标方原因导致本项目在终验通过前出现故障或问题，供应商应及时配合排除该方面的故障或问题。</w:t>
      </w:r>
    </w:p>
    <w:p w14:paraId="3F2626E5">
      <w:pPr>
        <w:rPr>
          <w:rFonts w:hint="eastAsia"/>
          <w:szCs w:val="21"/>
        </w:rPr>
      </w:pPr>
      <w:r>
        <w:rPr>
          <w:rFonts w:hint="eastAsia"/>
          <w:szCs w:val="21"/>
        </w:rPr>
        <w:t>（8</w:t>
      </w:r>
      <w:r>
        <w:rPr>
          <w:szCs w:val="21"/>
        </w:rPr>
        <w:t>）如本项目连续3次验收未通过（含初验未通过或终验未通过），招标方有权解除项目，并有权依照本项目约定的违约条款追究供应商的违约责任。</w:t>
      </w:r>
    </w:p>
    <w:p w14:paraId="35AEF0DD">
      <w:pPr>
        <w:pStyle w:val="3"/>
        <w:rPr>
          <w:rFonts w:hint="eastAsia"/>
        </w:rPr>
      </w:pPr>
      <w:bookmarkStart w:id="51" w:name="_Toc63785509"/>
      <w:r>
        <w:rPr>
          <w:rFonts w:hint="eastAsia"/>
        </w:rPr>
        <w:t>进度要求</w:t>
      </w:r>
      <w:bookmarkEnd w:id="51"/>
    </w:p>
    <w:p w14:paraId="135B27AD">
      <w:pPr>
        <w:rPr>
          <w:rFonts w:hint="eastAsia"/>
        </w:rPr>
      </w:pPr>
      <w:r>
        <w:rPr>
          <w:rFonts w:hint="eastAsia"/>
        </w:rPr>
        <w:t>投标人应根据建设内容，分阶段制定合理的时间进度，并且应根据招标方要求进行调整和细化。</w:t>
      </w:r>
    </w:p>
    <w:p w14:paraId="2B0DE613">
      <w:pPr>
        <w:rPr>
          <w:rFonts w:hint="eastAsia"/>
        </w:rPr>
      </w:pPr>
      <w:r>
        <w:rPr>
          <w:rFonts w:hint="eastAsia"/>
        </w:rPr>
        <w:t>项目总体建设周期计划分为</w:t>
      </w:r>
      <w:r>
        <w:t>2</w:t>
      </w:r>
      <w:r>
        <w:rPr>
          <w:rFonts w:hint="eastAsia"/>
        </w:rPr>
        <w:t>个阶段：</w:t>
      </w:r>
    </w:p>
    <w:p w14:paraId="4F4032A7">
      <w:pPr>
        <w:rPr>
          <w:rFonts w:hint="eastAsia"/>
        </w:rPr>
      </w:pPr>
      <w:r>
        <w:rPr>
          <w:rFonts w:hint="eastAsia"/>
        </w:rPr>
        <w:t>第一阶段为合同签订之日起至2</w:t>
      </w:r>
      <w:r>
        <w:t>02</w:t>
      </w:r>
      <w:r>
        <w:rPr>
          <w:rFonts w:hint="eastAsia"/>
        </w:rPr>
        <w:t>5年9月底前，完成项目需求调研、设计、开发和测试等。</w:t>
      </w:r>
    </w:p>
    <w:p w14:paraId="6CE42302">
      <w:pPr>
        <w:rPr>
          <w:rFonts w:hint="eastAsia"/>
        </w:rPr>
      </w:pPr>
      <w:r>
        <w:rPr>
          <w:rFonts w:hint="eastAsia"/>
        </w:rPr>
        <w:t>第二阶段为2</w:t>
      </w:r>
      <w:r>
        <w:t>02</w:t>
      </w:r>
      <w:r>
        <w:rPr>
          <w:rFonts w:hint="eastAsia"/>
        </w:rPr>
        <w:t>5年1</w:t>
      </w:r>
      <w:r>
        <w:t>0</w:t>
      </w:r>
      <w:r>
        <w:rPr>
          <w:rFonts w:hint="eastAsia"/>
        </w:rPr>
        <w:t>月至2</w:t>
      </w:r>
      <w:r>
        <w:t>02</w:t>
      </w:r>
      <w:r>
        <w:rPr>
          <w:rFonts w:hint="eastAsia"/>
        </w:rPr>
        <w:t>6年3月3</w:t>
      </w:r>
      <w:r>
        <w:t>1</w:t>
      </w:r>
      <w:r>
        <w:rPr>
          <w:rFonts w:hint="eastAsia"/>
        </w:rPr>
        <w:t>日前，完成项目试运行和验收。</w:t>
      </w:r>
    </w:p>
    <w:p w14:paraId="071FE49D">
      <w:pPr>
        <w:pStyle w:val="3"/>
        <w:rPr>
          <w:rFonts w:hint="eastAsia"/>
        </w:rPr>
      </w:pPr>
      <w:bookmarkStart w:id="52" w:name="_Toc63785510"/>
      <w:r>
        <w:rPr>
          <w:rFonts w:hint="eastAsia"/>
        </w:rPr>
        <w:t>项目团队及驻场人员要求</w:t>
      </w:r>
      <w:bookmarkEnd w:id="52"/>
    </w:p>
    <w:p w14:paraId="6D920943">
      <w:pPr>
        <w:rPr>
          <w:rFonts w:hint="eastAsia"/>
        </w:rPr>
      </w:pPr>
      <w:r>
        <w:t>1）投标人须具有稳定的在职技术保障力量，能够提供及时的技术支援或服务，应针对本项目提供不少于</w:t>
      </w:r>
      <w:r>
        <w:rPr>
          <w:rFonts w:hint="eastAsia"/>
        </w:rPr>
        <w:t>54</w:t>
      </w:r>
      <w:r>
        <w:t>人的项目服务团队（包括项目经理、产品经理、技术负责人、研发等），</w:t>
      </w:r>
      <w:r>
        <w:rPr>
          <w:rFonts w:hint="eastAsia"/>
        </w:rPr>
        <w:t>其中至少1人驻场，</w:t>
      </w:r>
      <w:r>
        <w:t>投标单位的相关服务人员需具备相应的服务能力，需提供相关证明。</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2363"/>
        <w:gridCol w:w="1276"/>
        <w:gridCol w:w="1984"/>
        <w:gridCol w:w="1180"/>
      </w:tblGrid>
      <w:tr w14:paraId="2DD0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167A5251">
            <w:pPr>
              <w:widowControl/>
              <w:spacing w:line="240" w:lineRule="auto"/>
              <w:ind w:firstLine="0" w:firstLineChars="0"/>
              <w:jc w:val="center"/>
              <w:rPr>
                <w:rFonts w:hint="eastAsia"/>
                <w:b/>
              </w:rPr>
            </w:pPr>
            <w:r>
              <w:rPr>
                <w:rFonts w:hint="eastAsia"/>
                <w:b/>
              </w:rPr>
              <w:t>角色</w:t>
            </w:r>
          </w:p>
        </w:tc>
        <w:tc>
          <w:tcPr>
            <w:tcW w:w="2363" w:type="dxa"/>
            <w:shd w:val="clear" w:color="auto" w:fill="auto"/>
            <w:noWrap/>
            <w:vAlign w:val="center"/>
          </w:tcPr>
          <w:p w14:paraId="6DB4B461">
            <w:pPr>
              <w:widowControl/>
              <w:spacing w:line="240" w:lineRule="auto"/>
              <w:ind w:firstLine="0" w:firstLineChars="0"/>
              <w:jc w:val="center"/>
              <w:rPr>
                <w:rFonts w:hint="eastAsia"/>
                <w:b/>
              </w:rPr>
            </w:pPr>
            <w:r>
              <w:rPr>
                <w:rFonts w:hint="eastAsia"/>
                <w:b/>
              </w:rPr>
              <w:t>主要职责</w:t>
            </w:r>
          </w:p>
        </w:tc>
        <w:tc>
          <w:tcPr>
            <w:tcW w:w="1276" w:type="dxa"/>
            <w:shd w:val="clear" w:color="auto" w:fill="auto"/>
            <w:noWrap/>
            <w:vAlign w:val="center"/>
          </w:tcPr>
          <w:p w14:paraId="4878EDF7">
            <w:pPr>
              <w:widowControl/>
              <w:spacing w:line="240" w:lineRule="auto"/>
              <w:ind w:firstLine="0" w:firstLineChars="0"/>
              <w:jc w:val="center"/>
              <w:rPr>
                <w:rFonts w:hint="eastAsia"/>
                <w:b/>
              </w:rPr>
            </w:pPr>
            <w:r>
              <w:rPr>
                <w:rFonts w:hint="eastAsia"/>
                <w:b/>
              </w:rPr>
              <w:t>人员数量</w:t>
            </w:r>
          </w:p>
        </w:tc>
        <w:tc>
          <w:tcPr>
            <w:tcW w:w="1984" w:type="dxa"/>
            <w:vAlign w:val="center"/>
          </w:tcPr>
          <w:p w14:paraId="624DF8F7">
            <w:pPr>
              <w:widowControl/>
              <w:spacing w:line="240" w:lineRule="auto"/>
              <w:ind w:firstLine="0" w:firstLineChars="0"/>
              <w:jc w:val="center"/>
              <w:rPr>
                <w:rFonts w:hint="eastAsia"/>
                <w:b/>
              </w:rPr>
            </w:pPr>
            <w:r>
              <w:rPr>
                <w:rFonts w:hint="eastAsia"/>
                <w:b/>
              </w:rPr>
              <w:t>人员要求</w:t>
            </w:r>
          </w:p>
        </w:tc>
        <w:tc>
          <w:tcPr>
            <w:tcW w:w="0" w:type="auto"/>
            <w:shd w:val="clear" w:color="auto" w:fill="auto"/>
            <w:noWrap/>
            <w:vAlign w:val="center"/>
          </w:tcPr>
          <w:p w14:paraId="64550C92">
            <w:pPr>
              <w:widowControl/>
              <w:spacing w:line="240" w:lineRule="auto"/>
              <w:ind w:firstLine="0" w:firstLineChars="0"/>
              <w:jc w:val="center"/>
              <w:rPr>
                <w:rFonts w:hint="eastAsia"/>
                <w:b/>
              </w:rPr>
            </w:pPr>
            <w:r>
              <w:rPr>
                <w:rFonts w:hint="eastAsia"/>
                <w:b/>
              </w:rPr>
              <w:t>驻场要求</w:t>
            </w:r>
          </w:p>
        </w:tc>
      </w:tr>
      <w:tr w14:paraId="7B7C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263522F1">
            <w:pPr>
              <w:widowControl/>
              <w:spacing w:line="240" w:lineRule="auto"/>
              <w:ind w:firstLine="0" w:firstLineChars="0"/>
              <w:jc w:val="center"/>
              <w:rPr>
                <w:rFonts w:hint="eastAsia"/>
              </w:rPr>
            </w:pPr>
            <w:r>
              <w:rPr>
                <w:rFonts w:hint="eastAsia"/>
              </w:rPr>
              <w:t>项目经理</w:t>
            </w:r>
          </w:p>
        </w:tc>
        <w:tc>
          <w:tcPr>
            <w:tcW w:w="2363" w:type="dxa"/>
            <w:shd w:val="clear" w:color="auto" w:fill="auto"/>
            <w:vAlign w:val="center"/>
          </w:tcPr>
          <w:p w14:paraId="5F8A45B3">
            <w:pPr>
              <w:widowControl/>
              <w:spacing w:line="240" w:lineRule="auto"/>
              <w:ind w:firstLine="0" w:firstLineChars="0"/>
              <w:jc w:val="center"/>
              <w:rPr>
                <w:rFonts w:hint="eastAsia"/>
              </w:rPr>
            </w:pPr>
            <w:r>
              <w:rPr>
                <w:rFonts w:hint="eastAsia"/>
              </w:rPr>
              <w:t>负责项目质量和进度控制</w:t>
            </w:r>
          </w:p>
        </w:tc>
        <w:tc>
          <w:tcPr>
            <w:tcW w:w="1276" w:type="dxa"/>
            <w:shd w:val="clear" w:color="auto" w:fill="auto"/>
            <w:noWrap/>
            <w:vAlign w:val="center"/>
          </w:tcPr>
          <w:p w14:paraId="56A0CF2C">
            <w:pPr>
              <w:widowControl/>
              <w:spacing w:line="240" w:lineRule="auto"/>
              <w:ind w:firstLine="0" w:firstLineChars="0"/>
              <w:jc w:val="center"/>
              <w:rPr>
                <w:rFonts w:hint="eastAsia"/>
              </w:rPr>
            </w:pPr>
            <w:r>
              <w:t>1</w:t>
            </w:r>
            <w:r>
              <w:rPr>
                <w:rFonts w:hint="eastAsia"/>
              </w:rPr>
              <w:t>人</w:t>
            </w:r>
          </w:p>
        </w:tc>
        <w:tc>
          <w:tcPr>
            <w:tcW w:w="1984" w:type="dxa"/>
            <w:vAlign w:val="center"/>
          </w:tcPr>
          <w:p w14:paraId="7238C171">
            <w:pPr>
              <w:widowControl/>
              <w:spacing w:line="240" w:lineRule="auto"/>
              <w:ind w:firstLine="0" w:firstLineChars="0"/>
              <w:jc w:val="center"/>
              <w:rPr>
                <w:rFonts w:hint="eastAsia"/>
              </w:rPr>
            </w:pPr>
            <w:r>
              <w:rPr>
                <w:rFonts w:hint="eastAsia"/>
              </w:rPr>
              <w:t>具备信息系统项目管理师资质证书</w:t>
            </w:r>
          </w:p>
        </w:tc>
        <w:tc>
          <w:tcPr>
            <w:tcW w:w="0" w:type="auto"/>
            <w:shd w:val="clear" w:color="auto" w:fill="auto"/>
            <w:noWrap/>
            <w:vAlign w:val="center"/>
          </w:tcPr>
          <w:p w14:paraId="066212ED">
            <w:pPr>
              <w:widowControl/>
              <w:spacing w:line="240" w:lineRule="auto"/>
              <w:ind w:firstLine="0" w:firstLineChars="0"/>
              <w:jc w:val="center"/>
              <w:rPr>
                <w:rFonts w:hint="eastAsia"/>
              </w:rPr>
            </w:pPr>
            <w:r>
              <w:rPr>
                <w:rFonts w:hint="eastAsia"/>
              </w:rPr>
              <w:t>驻场</w:t>
            </w:r>
          </w:p>
        </w:tc>
      </w:tr>
      <w:tr w14:paraId="5444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7BD5F92D">
            <w:pPr>
              <w:widowControl/>
              <w:spacing w:line="240" w:lineRule="auto"/>
              <w:ind w:firstLine="0" w:firstLineChars="0"/>
              <w:jc w:val="center"/>
              <w:rPr>
                <w:rFonts w:hint="eastAsia"/>
              </w:rPr>
            </w:pPr>
            <w:r>
              <w:rPr>
                <w:rFonts w:hint="eastAsia"/>
              </w:rPr>
              <w:t>产品经理</w:t>
            </w:r>
          </w:p>
        </w:tc>
        <w:tc>
          <w:tcPr>
            <w:tcW w:w="2363" w:type="dxa"/>
            <w:shd w:val="clear" w:color="auto" w:fill="auto"/>
            <w:vAlign w:val="center"/>
          </w:tcPr>
          <w:p w14:paraId="5AC52310">
            <w:pPr>
              <w:widowControl/>
              <w:spacing w:line="240" w:lineRule="auto"/>
              <w:ind w:firstLine="0" w:firstLineChars="0"/>
              <w:jc w:val="center"/>
              <w:rPr>
                <w:rFonts w:hint="eastAsia"/>
              </w:rPr>
            </w:pPr>
            <w:r>
              <w:rPr>
                <w:rFonts w:hint="eastAsia"/>
              </w:rPr>
              <w:t>负责项目需求评估与产品设计</w:t>
            </w:r>
          </w:p>
        </w:tc>
        <w:tc>
          <w:tcPr>
            <w:tcW w:w="1276" w:type="dxa"/>
            <w:shd w:val="clear" w:color="auto" w:fill="auto"/>
            <w:noWrap/>
            <w:vAlign w:val="center"/>
          </w:tcPr>
          <w:p w14:paraId="57DF166C">
            <w:pPr>
              <w:widowControl/>
              <w:spacing w:line="240" w:lineRule="auto"/>
              <w:ind w:firstLine="0" w:firstLineChars="0"/>
              <w:jc w:val="center"/>
              <w:rPr>
                <w:rFonts w:hint="eastAsia"/>
              </w:rPr>
            </w:pPr>
            <w:r>
              <w:rPr>
                <w:rFonts w:hint="eastAsia"/>
              </w:rPr>
              <w:t>3人</w:t>
            </w:r>
          </w:p>
        </w:tc>
        <w:tc>
          <w:tcPr>
            <w:tcW w:w="1984" w:type="dxa"/>
            <w:vAlign w:val="center"/>
          </w:tcPr>
          <w:p w14:paraId="246BFF82">
            <w:pPr>
              <w:widowControl/>
              <w:spacing w:line="240" w:lineRule="auto"/>
              <w:ind w:firstLine="0" w:firstLineChars="0"/>
              <w:jc w:val="center"/>
              <w:rPr>
                <w:rFonts w:hint="eastAsia"/>
              </w:rPr>
            </w:pPr>
            <w:r>
              <w:rPr>
                <w:rFonts w:hint="eastAsia" w:hAnsi="仿宋"/>
              </w:rPr>
              <w:t>具备系统架构设计师（高级）不少于1人、具备系统分析师（高级）资质证书不少于1人。</w:t>
            </w:r>
          </w:p>
        </w:tc>
        <w:tc>
          <w:tcPr>
            <w:tcW w:w="0" w:type="auto"/>
            <w:shd w:val="clear" w:color="auto" w:fill="auto"/>
            <w:noWrap/>
            <w:vAlign w:val="center"/>
          </w:tcPr>
          <w:p w14:paraId="5E35E2A2">
            <w:pPr>
              <w:widowControl/>
              <w:spacing w:line="240" w:lineRule="auto"/>
              <w:ind w:firstLine="0" w:firstLineChars="0"/>
              <w:jc w:val="center"/>
              <w:rPr>
                <w:rFonts w:hint="eastAsia"/>
              </w:rPr>
            </w:pPr>
            <w:r>
              <w:rPr>
                <w:rFonts w:hint="eastAsia"/>
              </w:rPr>
              <w:t>不驻场</w:t>
            </w:r>
          </w:p>
        </w:tc>
      </w:tr>
      <w:tr w14:paraId="21E7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5D5D927E">
            <w:pPr>
              <w:widowControl/>
              <w:spacing w:line="240" w:lineRule="auto"/>
              <w:ind w:firstLine="0" w:firstLineChars="0"/>
              <w:jc w:val="center"/>
              <w:rPr>
                <w:rFonts w:hint="eastAsia"/>
              </w:rPr>
            </w:pPr>
            <w:r>
              <w:rPr>
                <w:rFonts w:hint="eastAsia"/>
              </w:rPr>
              <w:t>研发</w:t>
            </w:r>
          </w:p>
        </w:tc>
        <w:tc>
          <w:tcPr>
            <w:tcW w:w="2363" w:type="dxa"/>
            <w:shd w:val="clear" w:color="auto" w:fill="auto"/>
            <w:noWrap/>
            <w:vAlign w:val="center"/>
          </w:tcPr>
          <w:p w14:paraId="69C9C1F0">
            <w:pPr>
              <w:widowControl/>
              <w:spacing w:line="240" w:lineRule="auto"/>
              <w:ind w:firstLine="0" w:firstLineChars="0"/>
              <w:jc w:val="center"/>
              <w:rPr>
                <w:rFonts w:hint="eastAsia"/>
              </w:rPr>
            </w:pPr>
            <w:r>
              <w:rPr>
                <w:rFonts w:hint="eastAsia"/>
              </w:rPr>
              <w:t>负责项目具体开发与实施</w:t>
            </w:r>
          </w:p>
        </w:tc>
        <w:tc>
          <w:tcPr>
            <w:tcW w:w="1276" w:type="dxa"/>
            <w:shd w:val="clear" w:color="auto" w:fill="auto"/>
            <w:noWrap/>
            <w:vAlign w:val="center"/>
          </w:tcPr>
          <w:p w14:paraId="7C22100A">
            <w:pPr>
              <w:widowControl/>
              <w:spacing w:line="240" w:lineRule="auto"/>
              <w:ind w:firstLine="0" w:firstLineChars="0"/>
              <w:jc w:val="center"/>
              <w:rPr>
                <w:rFonts w:hint="eastAsia"/>
              </w:rPr>
            </w:pPr>
            <w:r>
              <w:rPr>
                <w:rFonts w:hint="eastAsia"/>
              </w:rPr>
              <w:t>50人</w:t>
            </w:r>
          </w:p>
        </w:tc>
        <w:tc>
          <w:tcPr>
            <w:tcW w:w="1984" w:type="dxa"/>
            <w:vAlign w:val="center"/>
          </w:tcPr>
          <w:p w14:paraId="41CE5980">
            <w:pPr>
              <w:widowControl/>
              <w:spacing w:line="240" w:lineRule="auto"/>
              <w:ind w:firstLine="0" w:firstLineChars="0"/>
              <w:jc w:val="center"/>
              <w:rPr>
                <w:rFonts w:hint="eastAsia"/>
              </w:rPr>
            </w:pPr>
            <w:r>
              <w:rPr>
                <w:rFonts w:hint="eastAsia"/>
              </w:rPr>
              <w:t>具有相关工作经验</w:t>
            </w:r>
          </w:p>
        </w:tc>
        <w:tc>
          <w:tcPr>
            <w:tcW w:w="0" w:type="auto"/>
            <w:shd w:val="clear" w:color="auto" w:fill="auto"/>
            <w:noWrap/>
            <w:vAlign w:val="center"/>
          </w:tcPr>
          <w:p w14:paraId="244C65BC">
            <w:pPr>
              <w:widowControl/>
              <w:spacing w:line="240" w:lineRule="auto"/>
              <w:ind w:firstLine="0" w:firstLineChars="0"/>
              <w:jc w:val="center"/>
              <w:rPr>
                <w:rFonts w:hint="eastAsia"/>
              </w:rPr>
            </w:pPr>
            <w:r>
              <w:rPr>
                <w:rFonts w:hint="eastAsia"/>
              </w:rPr>
              <w:t>不驻场</w:t>
            </w:r>
          </w:p>
        </w:tc>
      </w:tr>
    </w:tbl>
    <w:p w14:paraId="4C6A64F0">
      <w:pPr>
        <w:rPr>
          <w:rFonts w:hint="eastAsia"/>
        </w:rPr>
      </w:pPr>
      <w:r>
        <w:t>2）投标人应针对本项目提供不少于</w:t>
      </w:r>
      <w:r>
        <w:rPr>
          <w:rFonts w:hint="eastAsia"/>
        </w:rPr>
        <w:t>10</w:t>
      </w:r>
      <w:r>
        <w:t>人的质保期间支撑团队（其中技术经理1人，产品经理1人，技术工程师不少于</w:t>
      </w:r>
      <w:r>
        <w:rPr>
          <w:rFonts w:hint="eastAsia"/>
        </w:rPr>
        <w:t>8</w:t>
      </w:r>
      <w:r>
        <w:t>人）；投标人的相关服务人员需具备相应的服务能力，需提供相关证明（最近一个季度依法缴纳社保费的证明）。</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410"/>
        <w:gridCol w:w="1180"/>
        <w:gridCol w:w="2219"/>
        <w:gridCol w:w="1077"/>
      </w:tblGrid>
      <w:tr w14:paraId="55B6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14:paraId="28AF1D03">
            <w:pPr>
              <w:widowControl/>
              <w:spacing w:line="240" w:lineRule="auto"/>
              <w:ind w:firstLine="0" w:firstLineChars="0"/>
              <w:jc w:val="center"/>
              <w:rPr>
                <w:rFonts w:hint="eastAsia"/>
                <w:b/>
              </w:rPr>
            </w:pPr>
            <w:r>
              <w:rPr>
                <w:rFonts w:hint="eastAsia"/>
                <w:b/>
              </w:rPr>
              <w:t>角色</w:t>
            </w:r>
          </w:p>
        </w:tc>
        <w:tc>
          <w:tcPr>
            <w:tcW w:w="2410" w:type="dxa"/>
            <w:shd w:val="clear" w:color="auto" w:fill="auto"/>
            <w:noWrap/>
            <w:vAlign w:val="center"/>
          </w:tcPr>
          <w:p w14:paraId="60F8BD0D">
            <w:pPr>
              <w:widowControl/>
              <w:spacing w:line="240" w:lineRule="auto"/>
              <w:ind w:firstLine="0" w:firstLineChars="0"/>
              <w:jc w:val="center"/>
              <w:rPr>
                <w:rFonts w:hint="eastAsia"/>
                <w:b/>
              </w:rPr>
            </w:pPr>
            <w:r>
              <w:rPr>
                <w:rFonts w:hint="eastAsia"/>
                <w:b/>
              </w:rPr>
              <w:t>主要职责</w:t>
            </w:r>
          </w:p>
        </w:tc>
        <w:tc>
          <w:tcPr>
            <w:tcW w:w="1180" w:type="dxa"/>
            <w:shd w:val="clear" w:color="auto" w:fill="auto"/>
            <w:noWrap/>
            <w:vAlign w:val="center"/>
          </w:tcPr>
          <w:p w14:paraId="41798812">
            <w:pPr>
              <w:widowControl/>
              <w:spacing w:line="240" w:lineRule="auto"/>
              <w:ind w:firstLine="0" w:firstLineChars="0"/>
              <w:jc w:val="center"/>
              <w:rPr>
                <w:rFonts w:hint="eastAsia"/>
                <w:b/>
              </w:rPr>
            </w:pPr>
            <w:r>
              <w:rPr>
                <w:rFonts w:hint="eastAsia"/>
                <w:b/>
              </w:rPr>
              <w:t>人员数量</w:t>
            </w:r>
          </w:p>
        </w:tc>
        <w:tc>
          <w:tcPr>
            <w:tcW w:w="2219" w:type="dxa"/>
            <w:vAlign w:val="center"/>
          </w:tcPr>
          <w:p w14:paraId="6E65E70A">
            <w:pPr>
              <w:widowControl/>
              <w:spacing w:line="240" w:lineRule="auto"/>
              <w:ind w:firstLine="0" w:firstLineChars="0"/>
              <w:jc w:val="center"/>
              <w:rPr>
                <w:rFonts w:hint="eastAsia"/>
                <w:b/>
              </w:rPr>
            </w:pPr>
            <w:r>
              <w:rPr>
                <w:rFonts w:hint="eastAsia"/>
                <w:b/>
              </w:rPr>
              <w:t>人员要求</w:t>
            </w:r>
          </w:p>
        </w:tc>
        <w:tc>
          <w:tcPr>
            <w:tcW w:w="1077" w:type="dxa"/>
            <w:shd w:val="clear" w:color="auto" w:fill="auto"/>
            <w:noWrap/>
            <w:vAlign w:val="center"/>
          </w:tcPr>
          <w:p w14:paraId="565D55EE">
            <w:pPr>
              <w:widowControl/>
              <w:spacing w:line="240" w:lineRule="auto"/>
              <w:ind w:firstLine="0" w:firstLineChars="0"/>
              <w:jc w:val="center"/>
              <w:rPr>
                <w:rFonts w:hint="eastAsia"/>
                <w:b/>
              </w:rPr>
            </w:pPr>
            <w:r>
              <w:rPr>
                <w:rFonts w:hint="eastAsia"/>
                <w:b/>
              </w:rPr>
              <w:t>驻场要求</w:t>
            </w:r>
          </w:p>
        </w:tc>
      </w:tr>
      <w:tr w14:paraId="267C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14:paraId="51FA0567">
            <w:pPr>
              <w:widowControl/>
              <w:spacing w:line="240" w:lineRule="auto"/>
              <w:ind w:firstLine="0" w:firstLineChars="0"/>
              <w:jc w:val="center"/>
              <w:rPr>
                <w:rFonts w:hint="eastAsia"/>
              </w:rPr>
            </w:pPr>
            <w:r>
              <w:rPr>
                <w:rFonts w:hint="eastAsia"/>
              </w:rPr>
              <w:t>项目经理</w:t>
            </w:r>
          </w:p>
        </w:tc>
        <w:tc>
          <w:tcPr>
            <w:tcW w:w="2410" w:type="dxa"/>
            <w:shd w:val="clear" w:color="auto" w:fill="auto"/>
            <w:vAlign w:val="center"/>
          </w:tcPr>
          <w:p w14:paraId="7FAE1934">
            <w:pPr>
              <w:widowControl/>
              <w:spacing w:line="240" w:lineRule="auto"/>
              <w:ind w:firstLine="0" w:firstLineChars="0"/>
              <w:jc w:val="center"/>
              <w:rPr>
                <w:rFonts w:hint="eastAsia"/>
              </w:rPr>
            </w:pPr>
            <w:r>
              <w:rPr>
                <w:rFonts w:hint="eastAsia"/>
              </w:rPr>
              <w:t>负责项目质量和进度控制</w:t>
            </w:r>
          </w:p>
        </w:tc>
        <w:tc>
          <w:tcPr>
            <w:tcW w:w="1180" w:type="dxa"/>
            <w:shd w:val="clear" w:color="auto" w:fill="auto"/>
            <w:noWrap/>
            <w:vAlign w:val="center"/>
          </w:tcPr>
          <w:p w14:paraId="5509E975">
            <w:pPr>
              <w:widowControl/>
              <w:spacing w:line="240" w:lineRule="auto"/>
              <w:ind w:firstLine="0" w:firstLineChars="0"/>
              <w:jc w:val="center"/>
              <w:rPr>
                <w:rFonts w:hint="eastAsia"/>
              </w:rPr>
            </w:pPr>
            <w:r>
              <w:t>1</w:t>
            </w:r>
            <w:r>
              <w:rPr>
                <w:rFonts w:hint="eastAsia"/>
              </w:rPr>
              <w:t>人</w:t>
            </w:r>
          </w:p>
        </w:tc>
        <w:tc>
          <w:tcPr>
            <w:tcW w:w="2219" w:type="dxa"/>
            <w:vAlign w:val="center"/>
          </w:tcPr>
          <w:p w14:paraId="784E1A39">
            <w:pPr>
              <w:widowControl/>
              <w:spacing w:line="240" w:lineRule="auto"/>
              <w:ind w:firstLine="0" w:firstLineChars="0"/>
              <w:jc w:val="center"/>
              <w:rPr>
                <w:rFonts w:hint="eastAsia"/>
              </w:rPr>
            </w:pPr>
            <w:r>
              <w:rPr>
                <w:rFonts w:hint="eastAsia"/>
              </w:rPr>
              <w:t>具备信息系统项目管理师资质证书</w:t>
            </w:r>
          </w:p>
        </w:tc>
        <w:tc>
          <w:tcPr>
            <w:tcW w:w="1077" w:type="dxa"/>
            <w:shd w:val="clear" w:color="auto" w:fill="auto"/>
            <w:noWrap/>
            <w:vAlign w:val="center"/>
          </w:tcPr>
          <w:p w14:paraId="6750EC0C">
            <w:pPr>
              <w:widowControl/>
              <w:spacing w:line="240" w:lineRule="auto"/>
              <w:ind w:firstLine="0" w:firstLineChars="0"/>
              <w:jc w:val="center"/>
              <w:rPr>
                <w:rFonts w:hint="eastAsia"/>
              </w:rPr>
            </w:pPr>
            <w:r>
              <w:rPr>
                <w:rFonts w:hint="eastAsia"/>
              </w:rPr>
              <w:t>不驻场</w:t>
            </w:r>
          </w:p>
        </w:tc>
      </w:tr>
      <w:tr w14:paraId="1483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14:paraId="121CD329">
            <w:pPr>
              <w:widowControl/>
              <w:spacing w:line="240" w:lineRule="auto"/>
              <w:ind w:firstLine="0" w:firstLineChars="0"/>
              <w:jc w:val="center"/>
              <w:rPr>
                <w:rFonts w:hint="eastAsia"/>
              </w:rPr>
            </w:pPr>
            <w:r>
              <w:rPr>
                <w:rFonts w:hint="eastAsia"/>
              </w:rPr>
              <w:t>产品经理</w:t>
            </w:r>
          </w:p>
        </w:tc>
        <w:tc>
          <w:tcPr>
            <w:tcW w:w="2410" w:type="dxa"/>
            <w:shd w:val="clear" w:color="auto" w:fill="auto"/>
            <w:vAlign w:val="center"/>
          </w:tcPr>
          <w:p w14:paraId="76DD8A4F">
            <w:pPr>
              <w:widowControl/>
              <w:spacing w:line="240" w:lineRule="auto"/>
              <w:ind w:firstLine="0" w:firstLineChars="0"/>
              <w:jc w:val="center"/>
              <w:rPr>
                <w:rFonts w:hint="eastAsia"/>
              </w:rPr>
            </w:pPr>
            <w:r>
              <w:rPr>
                <w:rFonts w:hint="eastAsia"/>
              </w:rPr>
              <w:t>负责项目需求评估与产品设计</w:t>
            </w:r>
          </w:p>
        </w:tc>
        <w:tc>
          <w:tcPr>
            <w:tcW w:w="1180" w:type="dxa"/>
            <w:shd w:val="clear" w:color="auto" w:fill="auto"/>
            <w:noWrap/>
            <w:vAlign w:val="center"/>
          </w:tcPr>
          <w:p w14:paraId="2C0FDE4E">
            <w:pPr>
              <w:widowControl/>
              <w:spacing w:line="240" w:lineRule="auto"/>
              <w:ind w:firstLine="0" w:firstLineChars="0"/>
              <w:jc w:val="center"/>
              <w:rPr>
                <w:rFonts w:hint="eastAsia"/>
              </w:rPr>
            </w:pPr>
            <w:r>
              <w:t>1</w:t>
            </w:r>
            <w:r>
              <w:rPr>
                <w:rFonts w:hint="eastAsia"/>
              </w:rPr>
              <w:t>人</w:t>
            </w:r>
          </w:p>
        </w:tc>
        <w:tc>
          <w:tcPr>
            <w:tcW w:w="2219" w:type="dxa"/>
            <w:vAlign w:val="center"/>
          </w:tcPr>
          <w:p w14:paraId="77D0157F">
            <w:pPr>
              <w:widowControl/>
              <w:spacing w:line="240" w:lineRule="auto"/>
              <w:ind w:firstLine="0" w:firstLineChars="0"/>
              <w:jc w:val="center"/>
              <w:rPr>
                <w:rFonts w:hint="eastAsia"/>
              </w:rPr>
            </w:pPr>
            <w:r>
              <w:t>具有计算机技术与软件专业相关证书</w:t>
            </w:r>
          </w:p>
        </w:tc>
        <w:tc>
          <w:tcPr>
            <w:tcW w:w="1077" w:type="dxa"/>
            <w:shd w:val="clear" w:color="auto" w:fill="auto"/>
            <w:noWrap/>
            <w:vAlign w:val="center"/>
          </w:tcPr>
          <w:p w14:paraId="04D5AE10">
            <w:pPr>
              <w:widowControl/>
              <w:spacing w:line="240" w:lineRule="auto"/>
              <w:ind w:firstLine="0" w:firstLineChars="0"/>
              <w:jc w:val="center"/>
              <w:rPr>
                <w:rFonts w:hint="eastAsia"/>
              </w:rPr>
            </w:pPr>
            <w:r>
              <w:rPr>
                <w:rFonts w:hint="eastAsia"/>
              </w:rPr>
              <w:t>不驻场</w:t>
            </w:r>
          </w:p>
        </w:tc>
      </w:tr>
      <w:tr w14:paraId="383D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14:paraId="0DDE8C0A">
            <w:pPr>
              <w:widowControl/>
              <w:spacing w:line="240" w:lineRule="auto"/>
              <w:ind w:firstLine="0" w:firstLineChars="0"/>
              <w:jc w:val="center"/>
              <w:rPr>
                <w:rFonts w:hint="eastAsia"/>
              </w:rPr>
            </w:pPr>
            <w:r>
              <w:rPr>
                <w:rFonts w:hint="eastAsia"/>
              </w:rPr>
              <w:t>技术工程师</w:t>
            </w:r>
          </w:p>
        </w:tc>
        <w:tc>
          <w:tcPr>
            <w:tcW w:w="2410" w:type="dxa"/>
            <w:shd w:val="clear" w:color="auto" w:fill="auto"/>
            <w:noWrap/>
            <w:vAlign w:val="center"/>
          </w:tcPr>
          <w:p w14:paraId="2DAF12DB">
            <w:pPr>
              <w:widowControl/>
              <w:spacing w:line="240" w:lineRule="auto"/>
              <w:ind w:firstLine="0" w:firstLineChars="0"/>
              <w:jc w:val="center"/>
              <w:rPr>
                <w:rFonts w:hint="eastAsia"/>
              </w:rPr>
            </w:pPr>
            <w:r>
              <w:rPr>
                <w:rFonts w:hint="eastAsia"/>
              </w:rPr>
              <w:t>负责项目运行维护</w:t>
            </w:r>
          </w:p>
        </w:tc>
        <w:tc>
          <w:tcPr>
            <w:tcW w:w="1180" w:type="dxa"/>
            <w:shd w:val="clear" w:color="auto" w:fill="auto"/>
            <w:noWrap/>
            <w:vAlign w:val="center"/>
          </w:tcPr>
          <w:p w14:paraId="30733061">
            <w:pPr>
              <w:widowControl/>
              <w:spacing w:line="240" w:lineRule="auto"/>
              <w:ind w:firstLine="0" w:firstLineChars="0"/>
              <w:jc w:val="center"/>
              <w:rPr>
                <w:rFonts w:hint="eastAsia"/>
              </w:rPr>
            </w:pPr>
            <w:r>
              <w:rPr>
                <w:rFonts w:hint="eastAsia"/>
              </w:rPr>
              <w:t>8人</w:t>
            </w:r>
          </w:p>
        </w:tc>
        <w:tc>
          <w:tcPr>
            <w:tcW w:w="2219" w:type="dxa"/>
            <w:vAlign w:val="center"/>
          </w:tcPr>
          <w:p w14:paraId="4E13C464">
            <w:pPr>
              <w:widowControl/>
              <w:spacing w:line="240" w:lineRule="auto"/>
              <w:ind w:firstLine="0" w:firstLineChars="0"/>
              <w:jc w:val="center"/>
              <w:rPr>
                <w:rFonts w:hint="eastAsia"/>
              </w:rPr>
            </w:pPr>
            <w:r>
              <w:t>具有</w:t>
            </w:r>
            <w:r>
              <w:rPr>
                <w:rFonts w:hint="eastAsia"/>
              </w:rPr>
              <w:t>相关工作经验</w:t>
            </w:r>
          </w:p>
        </w:tc>
        <w:tc>
          <w:tcPr>
            <w:tcW w:w="1077" w:type="dxa"/>
            <w:shd w:val="clear" w:color="auto" w:fill="auto"/>
            <w:noWrap/>
            <w:vAlign w:val="center"/>
          </w:tcPr>
          <w:p w14:paraId="67621149">
            <w:pPr>
              <w:widowControl/>
              <w:spacing w:line="240" w:lineRule="auto"/>
              <w:ind w:firstLine="0" w:firstLineChars="0"/>
              <w:jc w:val="center"/>
              <w:rPr>
                <w:rFonts w:hint="eastAsia"/>
              </w:rPr>
            </w:pPr>
            <w:r>
              <w:rPr>
                <w:rFonts w:hint="eastAsia"/>
              </w:rPr>
              <w:t>不驻场</w:t>
            </w:r>
          </w:p>
        </w:tc>
      </w:tr>
    </w:tbl>
    <w:p w14:paraId="3C869340">
      <w:pPr>
        <w:pStyle w:val="3"/>
        <w:rPr>
          <w:rFonts w:hint="eastAsia"/>
        </w:rPr>
      </w:pPr>
      <w:bookmarkStart w:id="53" w:name="_Toc63785511"/>
      <w:r>
        <w:t>等级保护要求</w:t>
      </w:r>
      <w:bookmarkEnd w:id="53"/>
    </w:p>
    <w:p w14:paraId="11CBC9B5">
      <w:pPr>
        <w:rPr>
          <w:rFonts w:hint="eastAsia" w:cs="宋体"/>
        </w:rPr>
      </w:pPr>
      <w:r>
        <w:rPr>
          <w:rFonts w:hint="eastAsia" w:cs="宋体"/>
        </w:rPr>
        <w:t>本项目按照信息系统网络安全等级保护三级建设。</w:t>
      </w:r>
    </w:p>
    <w:p w14:paraId="5205D4DB">
      <w:pPr>
        <w:pStyle w:val="3"/>
        <w:rPr>
          <w:rFonts w:hint="eastAsia"/>
        </w:rPr>
      </w:pPr>
      <w:r>
        <w:rPr>
          <w:rFonts w:hint="eastAsia"/>
        </w:rPr>
        <w:t>商业密码应用需求</w:t>
      </w:r>
    </w:p>
    <w:p w14:paraId="44C3C6ED">
      <w:pPr>
        <w:rPr>
          <w:rFonts w:hint="eastAsia"/>
        </w:rPr>
      </w:pPr>
      <w:r>
        <w:rPr>
          <w:rFonts w:hint="eastAsia"/>
        </w:rPr>
        <w:t>本项目应按照国家商用密码第三级的相关要求进行建设</w:t>
      </w:r>
      <w:r>
        <w:rPr>
          <w:rFonts w:hint="eastAsia" w:ascii="仿宋_GB2312" w:eastAsia="仿宋_GB2312" w:cs="仿宋_GB2312"/>
          <w:kern w:val="0"/>
          <w:sz w:val="28"/>
          <w:szCs w:val="28"/>
        </w:rPr>
        <w:t>。</w:t>
      </w:r>
    </w:p>
    <w:p w14:paraId="25B3451F">
      <w:pPr>
        <w:pStyle w:val="3"/>
        <w:rPr>
          <w:rFonts w:hint="eastAsia"/>
        </w:rPr>
      </w:pPr>
      <w:r>
        <w:rPr>
          <w:rFonts w:hint="eastAsia"/>
        </w:rPr>
        <w:t>技术文件要求</w:t>
      </w:r>
    </w:p>
    <w:p w14:paraId="696F73A0">
      <w:pPr>
        <w:rPr>
          <w:rFonts w:hint="eastAsia"/>
        </w:rPr>
      </w:pPr>
      <w:r>
        <w:rPr>
          <w:rFonts w:hint="eastAsia"/>
        </w:rPr>
        <w:t>投标人提供的书面技术资料应能确保系统正常运行所需的管理、运营及维护有关的全套文件。技术文件应该全面、完整、详细。投标人提供的技术文件至少应包括：</w:t>
      </w:r>
    </w:p>
    <w:p w14:paraId="73B3B842">
      <w:pPr>
        <w:rPr>
          <w:rFonts w:hint="eastAsia"/>
        </w:rPr>
      </w:pPr>
      <w:r>
        <w:rPr>
          <w:rFonts w:hint="eastAsia"/>
        </w:rPr>
        <w:t>－</w:t>
      </w:r>
      <w:r>
        <w:t xml:space="preserve"> 系统说明文件； </w:t>
      </w:r>
    </w:p>
    <w:p w14:paraId="50B0B4D6">
      <w:pPr>
        <w:rPr>
          <w:rFonts w:hint="eastAsia"/>
        </w:rPr>
      </w:pPr>
      <w:r>
        <w:rPr>
          <w:rFonts w:hint="eastAsia"/>
        </w:rPr>
        <w:t>－</w:t>
      </w:r>
      <w:r>
        <w:t xml:space="preserve"> 技术手册(安装、测试、操作、维护、故障排除等)； </w:t>
      </w:r>
    </w:p>
    <w:p w14:paraId="26164F22">
      <w:pPr>
        <w:rPr>
          <w:rFonts w:hint="eastAsia"/>
        </w:rPr>
      </w:pPr>
      <w:r>
        <w:rPr>
          <w:rFonts w:hint="eastAsia"/>
        </w:rPr>
        <w:t>－</w:t>
      </w:r>
      <w:r>
        <w:t xml:space="preserve"> 项目文档，应该包括：</w:t>
      </w:r>
    </w:p>
    <w:p w14:paraId="40E69994">
      <w:pPr>
        <w:ind w:left="360"/>
        <w:rPr>
          <w:rFonts w:hint="eastAsia"/>
        </w:rPr>
      </w:pPr>
      <w:r>
        <w:t>(1)软件需求说明书</w:t>
      </w:r>
    </w:p>
    <w:p w14:paraId="699E8E84">
      <w:pPr>
        <w:ind w:left="360"/>
        <w:rPr>
          <w:rFonts w:hint="eastAsia"/>
        </w:rPr>
      </w:pPr>
      <w:r>
        <w:t>(2)</w:t>
      </w:r>
      <w:r>
        <w:tab/>
      </w:r>
      <w:r>
        <w:t>系统总体设计说明书</w:t>
      </w:r>
    </w:p>
    <w:p w14:paraId="02CE504C">
      <w:pPr>
        <w:ind w:left="360"/>
        <w:rPr>
          <w:rFonts w:hint="eastAsia"/>
        </w:rPr>
      </w:pPr>
      <w:r>
        <w:t>(3)</w:t>
      </w:r>
      <w:r>
        <w:tab/>
      </w:r>
      <w:r>
        <w:t>应用软件功能清单</w:t>
      </w:r>
    </w:p>
    <w:p w14:paraId="3FEB2E21">
      <w:pPr>
        <w:rPr>
          <w:rFonts w:hint="eastAsia"/>
        </w:rPr>
      </w:pPr>
      <w:r>
        <w:rPr>
          <w:rFonts w:hint="eastAsia"/>
        </w:rPr>
        <w:t>－招标人提出的其他项目验收文档。</w:t>
      </w:r>
    </w:p>
    <w:p w14:paraId="3C557C83">
      <w:pPr>
        <w:rPr>
          <w:rFonts w:hint="eastAsia"/>
        </w:rPr>
      </w:pPr>
      <w:r>
        <w:rPr>
          <w:rFonts w:hint="eastAsia"/>
        </w:rPr>
        <w:t>根据招标人项目验收要求，提供项目验收册纸质</w:t>
      </w:r>
      <w:r>
        <w:t>5</w:t>
      </w:r>
      <w:r>
        <w:rPr>
          <w:rFonts w:hint="eastAsia"/>
        </w:rPr>
        <w:t>套以上，项目全过程材料</w:t>
      </w:r>
      <w:r>
        <w:t>1套以及电子文件2套</w:t>
      </w:r>
      <w:r>
        <w:rPr>
          <w:rFonts w:hint="eastAsia"/>
        </w:rPr>
        <w:t>，源代码光盘等</w:t>
      </w:r>
      <w:r>
        <w:t>。</w:t>
      </w:r>
    </w:p>
    <w:bookmarkEnd w:id="38"/>
    <w:p w14:paraId="5693797D">
      <w:pPr>
        <w:pStyle w:val="2"/>
        <w:rPr>
          <w:rFonts w:hint="eastAsia"/>
        </w:rPr>
      </w:pPr>
      <w:r>
        <w:rPr>
          <w:rFonts w:hint="eastAsia"/>
        </w:rPr>
        <w:t>供应商管理要求</w:t>
      </w:r>
    </w:p>
    <w:p w14:paraId="72A8A226">
      <w:pPr>
        <w:pStyle w:val="110"/>
        <w:ind w:firstLine="480"/>
        <w:rPr>
          <w:rFonts w:hint="eastAsia"/>
          <w:sz w:val="24"/>
          <w:szCs w:val="24"/>
        </w:rPr>
      </w:pPr>
      <w:r>
        <w:rPr>
          <w:rFonts w:hint="eastAsia"/>
          <w:sz w:val="24"/>
          <w:szCs w:val="24"/>
        </w:rPr>
        <w:t>1、在项目实施期间，中标人应严格执行国家、地方、行业有关本项目业务管理和安全作业的法律、法规和制度并按规定承担相应的费用。中标人因违反规定等原因造成的一切损失和责任由中标人自行承担。</w:t>
      </w:r>
    </w:p>
    <w:p w14:paraId="4A6181AB">
      <w:pPr>
        <w:pStyle w:val="110"/>
        <w:ind w:firstLine="480"/>
        <w:rPr>
          <w:rFonts w:hint="eastAsia"/>
          <w:sz w:val="24"/>
          <w:szCs w:val="24"/>
        </w:rPr>
      </w:pPr>
      <w:r>
        <w:rPr>
          <w:rFonts w:hint="eastAsia"/>
          <w:sz w:val="24"/>
          <w:szCs w:val="24"/>
        </w:rPr>
        <w:t>2、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14:paraId="19B84C53">
      <w:pPr>
        <w:pStyle w:val="110"/>
        <w:ind w:firstLine="480"/>
        <w:rPr>
          <w:rFonts w:hint="eastAsia"/>
          <w:sz w:val="24"/>
          <w:szCs w:val="24"/>
        </w:rPr>
      </w:pPr>
      <w:r>
        <w:rPr>
          <w:rFonts w:hint="eastAsia"/>
          <w:sz w:val="24"/>
          <w:szCs w:val="24"/>
        </w:rPr>
        <w:t>3、中标人在项目实施期间，应按项目实际进度与环节落实所对应项目整体及各环节管理工作，按照规范做好项目实施期间相关管理与实施记录。</w:t>
      </w:r>
    </w:p>
    <w:p w14:paraId="4E54BF67">
      <w:pPr>
        <w:pStyle w:val="110"/>
        <w:ind w:firstLine="480"/>
        <w:rPr>
          <w:rFonts w:hint="eastAsia"/>
          <w:sz w:val="24"/>
          <w:szCs w:val="24"/>
        </w:rPr>
      </w:pPr>
      <w:r>
        <w:rPr>
          <w:rFonts w:hint="eastAsia"/>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14:paraId="243FB58D">
      <w:pPr>
        <w:pStyle w:val="110"/>
        <w:ind w:firstLine="480"/>
        <w:rPr>
          <w:rFonts w:hint="eastAsia"/>
          <w:sz w:val="24"/>
          <w:szCs w:val="24"/>
        </w:rPr>
      </w:pPr>
      <w:r>
        <w:rPr>
          <w:rFonts w:hint="eastAsia"/>
          <w:sz w:val="24"/>
          <w:szCs w:val="24"/>
        </w:rPr>
        <w:t>5、中标人在项目实施期间必须遵守采购人的规章制度并提供实施人员名单。</w:t>
      </w:r>
    </w:p>
    <w:p w14:paraId="3B24A19D">
      <w:pPr>
        <w:pStyle w:val="110"/>
        <w:ind w:firstLine="480"/>
        <w:rPr>
          <w:rFonts w:hint="eastAsia"/>
          <w:sz w:val="24"/>
          <w:szCs w:val="24"/>
        </w:rPr>
      </w:pPr>
      <w:r>
        <w:rPr>
          <w:rFonts w:hint="eastAsia"/>
          <w:sz w:val="24"/>
          <w:szCs w:val="24"/>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14:paraId="0758D124">
      <w:pPr>
        <w:pStyle w:val="110"/>
        <w:ind w:firstLine="480"/>
        <w:rPr>
          <w:rFonts w:hint="eastAsia"/>
        </w:rPr>
      </w:pPr>
      <w:r>
        <w:rPr>
          <w:rFonts w:hint="eastAsia"/>
          <w:sz w:val="24"/>
          <w:szCs w:val="24"/>
        </w:rPr>
        <w:t>7、本项目软件开发及调试将纳入采购人的管理范围，中标人在此过程中须服从上述单位的管理协调。</w:t>
      </w:r>
    </w:p>
    <w:p w14:paraId="17334E95">
      <w:pPr>
        <w:pStyle w:val="2"/>
        <w:rPr>
          <w:rFonts w:hint="eastAsia"/>
        </w:rPr>
      </w:pPr>
      <w:r>
        <w:rPr>
          <w:rFonts w:hint="eastAsia"/>
        </w:rPr>
        <w:t>知识产权及保密要求</w:t>
      </w:r>
    </w:p>
    <w:p w14:paraId="265A6DB7">
      <w:pPr>
        <w:ind w:firstLine="482"/>
        <w:rPr>
          <w:rFonts w:hint="eastAsia"/>
          <w:b/>
        </w:rPr>
      </w:pPr>
      <w:r>
        <w:rPr>
          <w:b/>
        </w:rPr>
        <w:t>1、中标人数据、文件、资料知识产权</w:t>
      </w:r>
    </w:p>
    <w:p w14:paraId="762FD92C">
      <w:pPr>
        <w:rPr>
          <w:rFonts w:hint="eastAsia"/>
        </w:rPr>
      </w:pPr>
      <w:r>
        <w:rPr>
          <w:rFonts w:hint="eastAsia"/>
        </w:rPr>
        <w:t>中标人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中标人应负责与第三方解决纠纷，若因此导致采购人损失的，采购人有权要求中标人赔偿采购人因此遭受的全部损失，包括但不限于直接损失、间接损失、诉讼费／仲裁费、律师费、公证费、鉴定费等。</w:t>
      </w:r>
    </w:p>
    <w:p w14:paraId="24AB6911">
      <w:pPr>
        <w:rPr>
          <w:rFonts w:hint="eastAsia"/>
        </w:rPr>
      </w:pPr>
      <w:r>
        <w:rPr>
          <w:rFonts w:hint="eastAsia"/>
        </w:rPr>
        <w:t>中标人因履行本项目而产生的所有成果的知识产权等权利均归采购人所有，中标人应配合采购人进行相关权利登记或申请。未经采购人书面同意，中标人不得以任何形式使用或许可他人使用本项目成果的相关内容，不得擅自对外公开发表或向任何第三方透露。</w:t>
      </w:r>
    </w:p>
    <w:p w14:paraId="5EEA8338">
      <w:pPr>
        <w:rPr>
          <w:rFonts w:hint="eastAsia"/>
        </w:rPr>
      </w:pPr>
      <w:r>
        <w:rPr>
          <w:rFonts w:hint="eastAsia"/>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65B8F793">
      <w:pPr>
        <w:ind w:firstLine="482"/>
        <w:rPr>
          <w:rFonts w:hint="eastAsia"/>
          <w:b/>
        </w:rPr>
      </w:pPr>
      <w:r>
        <w:rPr>
          <w:b/>
        </w:rPr>
        <w:t>2、项目保密要求</w:t>
      </w:r>
    </w:p>
    <w:p w14:paraId="03FEA264">
      <w:pPr>
        <w:rPr>
          <w:rFonts w:hint="eastAsia"/>
        </w:rPr>
      </w:pPr>
      <w:r>
        <w:rPr>
          <w:rFonts w:hint="eastAsia"/>
        </w:rPr>
        <w:t>中标人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仲裁费、调查费、公证费等。</w:t>
      </w:r>
    </w:p>
    <w:p w14:paraId="5AA87D97">
      <w:pPr>
        <w:rPr>
          <w:rFonts w:hint="eastAsia"/>
        </w:rPr>
      </w:pPr>
      <w:r>
        <w:rPr>
          <w:rFonts w:hint="eastAsia"/>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人人员或中标人合作方违反保密规定，中标人应承担连带责任。</w:t>
      </w:r>
    </w:p>
    <w:p w14:paraId="0CE6EA97">
      <w:pPr>
        <w:rPr>
          <w:rFonts w:hint="eastAsia"/>
        </w:rPr>
      </w:pPr>
      <w:r>
        <w:rPr>
          <w:rFonts w:hint="eastAsia"/>
        </w:rPr>
        <w:t>中标人（含中标人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11C26971">
      <w:pPr>
        <w:rPr>
          <w:rFonts w:hint="eastAsia"/>
        </w:rPr>
      </w:pPr>
      <w:r>
        <w:rPr>
          <w:rFonts w:hint="eastAsia"/>
        </w:rPr>
        <w:t>以上内容的保密期限自中标人知悉保密信息起始至保密信息被合法公开之日止。</w:t>
      </w:r>
    </w:p>
    <w:p w14:paraId="6A53CB92">
      <w:pPr>
        <w:ind w:firstLine="482"/>
        <w:rPr>
          <w:rFonts w:hint="eastAsia"/>
          <w:b/>
        </w:rPr>
      </w:pPr>
      <w:r>
        <w:rPr>
          <w:b/>
        </w:rPr>
        <w:t>3、临时账号等使用要求</w:t>
      </w:r>
    </w:p>
    <w:p w14:paraId="2BB590BC">
      <w:pPr>
        <w:rPr>
          <w:rFonts w:hint="eastAsia"/>
        </w:rPr>
      </w:pPr>
      <w:r>
        <w:rPr>
          <w:rFonts w:hint="eastAsia"/>
        </w:rPr>
        <w:t>中标人对采购人提拱的临时使用账号要保密，不得公开，对组件开发的账号密码需进行加密，避免信息安全的泄露。中标人在项目建设期间应做好系统特权账号的管理和使用记录。未经采购人的同意不得利用采购人的网络及平台进行短信、彩信、微信发送</w:t>
      </w:r>
      <w:r>
        <w:t>,造成的一切后果由中标人负责。</w:t>
      </w:r>
    </w:p>
    <w:p w14:paraId="6F7E36F7">
      <w:pPr>
        <w:pStyle w:val="2"/>
        <w:rPr>
          <w:rFonts w:hint="eastAsia"/>
        </w:rPr>
      </w:pPr>
      <w:r>
        <w:t>项目的变更、解除和终止</w:t>
      </w:r>
    </w:p>
    <w:p w14:paraId="580F842F">
      <w:pPr>
        <w:rPr>
          <w:rFonts w:hint="eastAsia"/>
        </w:rPr>
      </w:pPr>
      <w:r>
        <w:rPr>
          <w:rFonts w:hint="eastAsia"/>
        </w:rPr>
        <w:t>如果中标人丧失履约能力、发生资不抵债或进入破产程序，采购人可在任何时候以书面形式通知中标人终止本项目的执行而不给予中标人补偿。该终止本项目将不损害或影响采购人已经采取或将要采取任何行动或补救措施的权利。</w:t>
      </w:r>
    </w:p>
    <w:p w14:paraId="664EF2FC">
      <w:pPr>
        <w:rPr>
          <w:rFonts w:hint="eastAsia"/>
        </w:rPr>
      </w:pPr>
      <w:r>
        <w:rPr>
          <w:rFonts w:hint="eastAsia"/>
        </w:rPr>
        <w:t>如遇国家、行业管理部门等机构的有关标准和规定调整的，导致本项目内容须做相应调整时，双方应按照公平、合理的原则共同协商修改本项目对应的合同的相关条款。</w:t>
      </w:r>
    </w:p>
    <w:p w14:paraId="340439ED">
      <w:pPr>
        <w:pStyle w:val="2"/>
        <w:rPr>
          <w:rFonts w:hint="eastAsia"/>
        </w:rPr>
      </w:pPr>
      <w:bookmarkStart w:id="56" w:name="_GoBack"/>
      <w:bookmarkEnd w:id="56"/>
      <w:bookmarkStart w:id="54" w:name="_Toc68798863"/>
      <w:bookmarkStart w:id="55" w:name="_Hlk152598452"/>
      <w:r>
        <w:rPr>
          <w:rFonts w:hint="eastAsia"/>
        </w:rPr>
        <w:t>附录</w:t>
      </w:r>
      <w:bookmarkEnd w:id="54"/>
    </w:p>
    <w:p w14:paraId="212EFE7C">
      <w:pPr>
        <w:ind w:firstLine="482"/>
        <w:rPr>
          <w:rFonts w:hint="eastAsia"/>
          <w:b/>
        </w:rPr>
      </w:pPr>
      <w:r>
        <w:rPr>
          <w:rFonts w:hint="eastAsia"/>
          <w:b/>
        </w:rPr>
        <w:t>若项目建设过程中需符合相关技术标准或规范文件的要求，请将相关文件作为附件列出。</w:t>
      </w:r>
    </w:p>
    <w:p w14:paraId="22E5A1AB">
      <w:pPr>
        <w:ind w:firstLine="482"/>
        <w:rPr>
          <w:rFonts w:hint="eastAsia"/>
        </w:rPr>
      </w:pPr>
      <w:r>
        <w:rPr>
          <w:rFonts w:hint="eastAsia"/>
          <w:b/>
        </w:rPr>
        <w:t>参考如下：</w:t>
      </w:r>
    </w:p>
    <w:p w14:paraId="5E77EB4F">
      <w:pPr>
        <w:ind w:firstLine="0" w:firstLineChars="0"/>
        <w:rPr>
          <w:rFonts w:hint="eastAsia"/>
        </w:rPr>
      </w:pPr>
      <w:r>
        <w:rPr>
          <w:rFonts w:hint="eastAsia"/>
        </w:rPr>
        <w:t>1、</w:t>
      </w:r>
      <w:r>
        <w:t>《政务网络安全监测平台总体技术要求》</w:t>
      </w:r>
    </w:p>
    <w:p w14:paraId="398B1126">
      <w:pPr>
        <w:ind w:firstLine="0" w:firstLineChars="0"/>
        <w:rPr>
          <w:rFonts w:hint="eastAsia"/>
        </w:rPr>
      </w:pPr>
      <w:r>
        <w:object>
          <v:shape id="_x0000_i1025" o:spt="75" type="#_x0000_t75" style="height:57pt;width:76.15pt;" o:ole="t" filled="f" o:preferrelative="t" stroked="f" coordsize="21600,21600">
            <v:path/>
            <v:fill on="f" focussize="0,0"/>
            <v:stroke on="f" joinstyle="miter"/>
            <v:imagedata r:id="rId15" o:title=""/>
            <o:lock v:ext="edit" aspectratio="t"/>
            <w10:wrap type="none"/>
            <w10:anchorlock/>
          </v:shape>
          <o:OLEObject Type="Embed" ProgID="Package" ShapeID="_x0000_i1025" DrawAspect="Icon" ObjectID="_1468075725" r:id="rId14">
            <o:LockedField>false</o:LockedField>
          </o:OLEObject>
        </w:object>
      </w:r>
    </w:p>
    <w:p w14:paraId="271DC010">
      <w:pPr>
        <w:ind w:firstLine="0" w:firstLineChars="0"/>
        <w:rPr>
          <w:rFonts w:hint="eastAsia"/>
        </w:rPr>
      </w:pPr>
    </w:p>
    <w:p w14:paraId="3B5DF6D0">
      <w:pPr>
        <w:ind w:firstLine="0" w:firstLineChars="0"/>
        <w:jc w:val="left"/>
        <w:rPr>
          <w:rFonts w:hint="eastAsia"/>
        </w:rPr>
      </w:pPr>
      <w:r>
        <w:rPr>
          <w:rFonts w:hint="eastAsia"/>
        </w:rPr>
        <w:t>2、《上海市电子政务外网建设和运行管理指南（试行）》</w:t>
      </w:r>
    </w:p>
    <w:p w14:paraId="1ED24A9A">
      <w:pPr>
        <w:ind w:firstLine="0" w:firstLineChars="0"/>
        <w:jc w:val="left"/>
        <w:rPr>
          <w:rFonts w:hint="eastAsia"/>
        </w:rPr>
      </w:pPr>
      <w:r>
        <w:object>
          <v:shape id="_x0000_i1026" o:spt="75" type="#_x0000_t75" style="height:57pt;width:76.15pt;" o:ole="t" filled="f" o:preferrelative="t" stroked="f" coordsize="21600,21600">
            <v:path/>
            <v:fill on="f" focussize="0,0"/>
            <v:stroke on="f" joinstyle="miter"/>
            <v:imagedata r:id="rId17" o:title=""/>
            <o:lock v:ext="edit" aspectratio="t"/>
            <w10:wrap type="none"/>
            <w10:anchorlock/>
          </v:shape>
          <o:OLEObject Type="Embed" ProgID="Package" ShapeID="_x0000_i1026" DrawAspect="Icon" ObjectID="_1468075726" r:id="rId16">
            <o:LockedField>false</o:LockedField>
          </o:OLEObject>
        </w:object>
      </w:r>
    </w:p>
    <w:p w14:paraId="0484C2E7">
      <w:pPr>
        <w:ind w:firstLine="0" w:firstLineChars="0"/>
        <w:jc w:val="left"/>
        <w:rPr>
          <w:rFonts w:hint="eastAsia"/>
          <w:b/>
          <w:bCs/>
        </w:rPr>
      </w:pPr>
      <w:r>
        <w:rPr>
          <w:rFonts w:hint="eastAsia"/>
        </w:rPr>
        <w:t>3、其他标准</w:t>
      </w:r>
      <w:bookmarkEnd w:id="55"/>
    </w:p>
    <w:p w14:paraId="7CD7668D">
      <w:pPr>
        <w:rPr>
          <w:rFonts w:hint="eastAsia"/>
        </w:rPr>
      </w:pPr>
    </w:p>
    <w:p w14:paraId="159F637D">
      <w:pPr>
        <w:rPr>
          <w:rFonts w:hint="eastAsia"/>
        </w:rPr>
      </w:pPr>
    </w:p>
    <w:p w14:paraId="540205CA">
      <w:pPr>
        <w:rPr>
          <w:rFonts w:hint="eastAsia"/>
        </w:rPr>
      </w:pPr>
    </w:p>
    <w:p w14:paraId="5EAD0E50">
      <w:pPr>
        <w:rPr>
          <w:rFonts w:hint="eastAsia"/>
        </w:rPr>
      </w:pP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Arial">
    <w:altName w:val="DejaVu Sans"/>
    <w:panose1 w:val="020B0604020202020204"/>
    <w:charset w:val="00"/>
    <w:family w:val="swiss"/>
    <w:pitch w:val="default"/>
    <w:sig w:usb0="00000000" w:usb1="00000000" w:usb2="00000009" w:usb3="00000000" w:csb0="000001FF"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03" w:usb1="2BDF3C10" w:usb2="00000016" w:usb3="00000000" w:csb0="602E0107" w:csb1="00000000"/>
  </w:font>
  <w:font w:name="仿宋_GB2312">
    <w:altName w:val="方正仿宋_GBK"/>
    <w:panose1 w:val="02010609030101010101"/>
    <w:charset w:val="86"/>
    <w:family w:val="modern"/>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Calibri Light">
    <w:altName w:val="DejaVu Sans"/>
    <w:panose1 w:val="020F0302020204030204"/>
    <w:charset w:val="00"/>
    <w:family w:val="swiss"/>
    <w:pitch w:val="default"/>
    <w:sig w:usb0="00000000" w:usb1="00000000" w:usb2="00000009" w:usb3="00000000" w:csb0="000001FF" w:csb1="00000000"/>
  </w:font>
  <w:font w:name="微软雅黑">
    <w:altName w:val="方正黑体_GBK"/>
    <w:panose1 w:val="020B0503020204020204"/>
    <w:charset w:val="86"/>
    <w:family w:val="auto"/>
    <w:pitch w:val="default"/>
    <w:sig w:usb0="00000000" w:usb1="00000000" w:usb2="00000016" w:usb3="00000000" w:csb0="0004001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汉仪叶叶相思体简"/>
    <w:panose1 w:val="00000000000000000000"/>
    <w:charset w:val="00"/>
    <w:family w:val="roman"/>
    <w:pitch w:val="default"/>
    <w:sig w:usb0="00000000" w:usb1="00000000" w:usb2="00000000" w:usb3="00000000" w:csb0="00000001" w:csb1="00000000"/>
  </w:font>
  <w:font w:name="汉仪叶叶相思体简">
    <w:panose1 w:val="02010509060101010101"/>
    <w:charset w:val="86"/>
    <w:family w:val="auto"/>
    <w:pitch w:val="default"/>
    <w:sig w:usb0="00000001" w:usb1="080E0000" w:usb2="00000000" w:usb3="00000000" w:csb0="00040000"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DejaVu Sans"/>
    <w:panose1 w:val="020B0604020202020204"/>
    <w:charset w:val="00"/>
    <w:family w:val="swiss"/>
    <w:pitch w:val="default"/>
    <w:sig w:usb0="00000000" w:usb1="00000000" w:usb2="00000008" w:usb3="00000000" w:csb0="200101FF" w:csb1="2028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Segoe UI">
    <w:altName w:val="Noto Naskh Arabic"/>
    <w:panose1 w:val="020B0502040204020203"/>
    <w:charset w:val="00"/>
    <w:family w:val="swiss"/>
    <w:pitch w:val="default"/>
    <w:sig w:usb0="00000000" w:usb1="00000000" w:usb2="00000009" w:usb3="00000000" w:csb0="200001FF" w:csb1="00000000"/>
  </w:font>
  <w:font w:name="Noto Naskh Arabic">
    <w:panose1 w:val="020B0502040504020204"/>
    <w:charset w:val="00"/>
    <w:family w:val="auto"/>
    <w:pitch w:val="default"/>
    <w:sig w:usb0="80002003" w:usb1="80002000" w:usb2="00000008" w:usb3="00000000" w:csb0="00000041" w:csb1="00080000"/>
  </w:font>
  <w:font w:name="华文仿宋">
    <w:altName w:val="汉仪仿宋简"/>
    <w:panose1 w:val="02010600040101010101"/>
    <w:charset w:val="86"/>
    <w:family w:val="auto"/>
    <w:pitch w:val="default"/>
    <w:sig w:usb0="00000000" w:usb1="00000000" w:usb2="00000000" w:usb3="00000000" w:csb0="0004009F" w:csb1="DFD70000"/>
  </w:font>
  <w:font w:name="汉仪仿宋简">
    <w:panose1 w:val="02010600000101010101"/>
    <w:charset w:val="86"/>
    <w:family w:val="auto"/>
    <w:pitch w:val="default"/>
    <w:sig w:usb0="00000001" w:usb1="080E0800" w:usb2="00000002" w:usb3="00000000" w:csb0="00040000" w:csb1="00000000"/>
  </w:font>
  <w:font w:name="Times">
    <w:altName w:val="DejaVu Sans"/>
    <w:panose1 w:val="02020603050405020304"/>
    <w:charset w:val="00"/>
    <w:family w:val="roman"/>
    <w:pitch w:val="default"/>
    <w:sig w:usb0="00000000" w:usb1="00000000" w:usb2="00000009" w:usb3="00000000" w:csb0="000001FF" w:csb1="00000000"/>
  </w:font>
  <w:font w:name="Verdana">
    <w:altName w:val="DejaVu Sans"/>
    <w:panose1 w:val="020B0604030504040204"/>
    <w:charset w:val="00"/>
    <w:family w:val="swiss"/>
    <w:pitch w:val="default"/>
    <w:sig w:usb0="00000000" w:usb1="00000000" w:usb2="00000010" w:usb3="00000000" w:csb0="2000019F" w:csb1="00000000"/>
  </w:font>
  <w:font w:name="Tahoma">
    <w:altName w:val="DejaVu Sans"/>
    <w:panose1 w:val="020B0604030504040204"/>
    <w:charset w:val="00"/>
    <w:family w:val="auto"/>
    <w:pitch w:val="default"/>
    <w:sig w:usb0="00000000" w:usb1="00000000" w:usb2="00000029" w:usb3="00000000" w:csb0="200101FF" w:csb1="20280000"/>
  </w:font>
  <w:font w:name="Century Gothic">
    <w:altName w:val="Noto Naskh Arabic"/>
    <w:panose1 w:val="020B0502020202020204"/>
    <w:charset w:val="00"/>
    <w:family w:val="swiss"/>
    <w:pitch w:val="default"/>
    <w:sig w:usb0="00000000" w:usb1="00000000" w:usb2="00000000" w:usb3="00000000" w:csb0="2000009F" w:csb1="DFD70000"/>
  </w:font>
  <w:font w:name="Book Antiqua">
    <w:altName w:val="Noto Sans Syriac Eastern"/>
    <w:panose1 w:val="02040602050305030304"/>
    <w:charset w:val="00"/>
    <w:family w:val="roman"/>
    <w:pitch w:val="default"/>
    <w:sig w:usb0="00000000" w:usb1="00000000" w:usb2="00000000" w:usb3="00000000" w:csb0="2000009F" w:csb1="DFD70000"/>
  </w:font>
  <w:font w:name="DejaVu Sans Mono">
    <w:panose1 w:val="020B0609030804020204"/>
    <w:charset w:val="00"/>
    <w:family w:val="modern"/>
    <w:pitch w:val="default"/>
    <w:sig w:usb0="E70026FF" w:usb1="D200F9FB" w:usb2="02000028" w:usb3="00000000" w:csb0="600001DF" w:csb1="FFDF0000"/>
  </w:font>
  <w:font w:name="AvenirNext-Regular">
    <w:altName w:val="国标宋体-超大字符集"/>
    <w:panose1 w:val="00000000000000000000"/>
    <w:charset w:val="00"/>
    <w:family w:val="swiss"/>
    <w:pitch w:val="default"/>
    <w:sig w:usb0="00000000" w:usb1="00000000" w:usb2="00000000" w:usb3="00000000" w:csb0="0000009B" w:csb1="00000000"/>
  </w:font>
  <w:font w:name="国标宋体-超大字符集">
    <w:panose1 w:val="03000509000000000000"/>
    <w:charset w:val="86"/>
    <w:family w:val="auto"/>
    <w:pitch w:val="default"/>
    <w:sig w:usb0="00000001" w:usb1="08000000" w:usb2="00000000" w:usb3="00000000" w:csb0="00040001" w:csb1="00000000"/>
  </w:font>
  <w:font w:name="长城仿宋">
    <w:altName w:val="方正仿宋_GBK"/>
    <w:panose1 w:val="00000000000000000000"/>
    <w:charset w:val="86"/>
    <w:family w:val="modern"/>
    <w:pitch w:val="default"/>
    <w:sig w:usb0="00000000" w:usb1="00000000" w:usb2="00000010" w:usb3="00000000" w:csb0="000401FF" w:csb1="00000000"/>
  </w:font>
  <w:font w:name="华文中宋">
    <w:altName w:val="汉仪中宋简"/>
    <w:panose1 w:val="02010600040101010101"/>
    <w:charset w:val="86"/>
    <w:family w:val="auto"/>
    <w:pitch w:val="default"/>
    <w:sig w:usb0="00000000" w:usb1="00000000" w:usb2="00000010" w:usb3="00000000" w:csb0="0004009F" w:csb1="00000000"/>
  </w:font>
  <w:font w:name="汉仪中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97652">
    <w:pPr>
      <w:ind w:firstLine="0" w:firstLineChars="0"/>
      <w:jc w:val="center"/>
      <w:rPr>
        <w:rFonts w:hint="eastAsia"/>
      </w:rPr>
    </w:pPr>
    <w:r>
      <w:fldChar w:fldCharType="begin"/>
    </w:r>
    <w:r>
      <w:instrText xml:space="preserve">PAGE   \* MERGEFORMAT</w:instrText>
    </w:r>
    <w:r>
      <w:fldChar w:fldCharType="separate"/>
    </w:r>
    <w:r>
      <w:rPr>
        <w:lang w:val="zh-CN"/>
      </w:rPr>
      <w:t>19</w:t>
    </w:r>
    <w:r>
      <w:rPr>
        <w:lang w:val="zh-CN"/>
      </w:rPr>
      <w:fldChar w:fldCharType="end"/>
    </w:r>
  </w:p>
  <w:p w14:paraId="050CD281">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DB1DE">
    <w:pPr>
      <w:rPr>
        <w:rFonts w:hint="eastAsia"/>
      </w:rPr>
    </w:pPr>
  </w:p>
  <w:p w14:paraId="754D9106">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93F0A">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3DFD0">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737E1DFA">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32308">
    <w:pPr>
      <w:pStyle w:val="3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883E7">
    <w:pPr>
      <w:rPr>
        <w:rFonts w:hint="eastAsia"/>
      </w:rPr>
    </w:pPr>
  </w:p>
  <w:p w14:paraId="54190803">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B840E">
    <w:pPr>
      <w:pStyle w:val="38"/>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62EBFB"/>
    <w:multiLevelType w:val="singleLevel"/>
    <w:tmpl w:val="B262EBFB"/>
    <w:lvl w:ilvl="0" w:tentative="0">
      <w:start w:val="1"/>
      <w:numFmt w:val="chineseCounting"/>
      <w:suff w:val="nothing"/>
      <w:lvlText w:val="（%1）"/>
      <w:lvlJc w:val="left"/>
      <w:pPr>
        <w:ind w:left="0" w:firstLine="420"/>
      </w:pPr>
      <w:rPr>
        <w:rFonts w:hint="eastAsia"/>
      </w:rPr>
    </w:lvl>
  </w:abstractNum>
  <w:abstractNum w:abstractNumId="1">
    <w:nsid w:val="E51B7408"/>
    <w:multiLevelType w:val="multilevel"/>
    <w:tmpl w:val="E51B7408"/>
    <w:lvl w:ilvl="0" w:tentative="0">
      <w:start w:val="0"/>
      <w:numFmt w:val="decimal"/>
      <w:pStyle w:val="389"/>
      <w:lvlText w:val=""/>
      <w:lvlJc w:val="left"/>
      <w:pPr>
        <w:tabs>
          <w:tab w:val="left" w:pos="0"/>
        </w:tabs>
        <w:ind w:left="0" w:firstLine="0"/>
      </w:p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2">
    <w:nsid w:val="FFFFFF81"/>
    <w:multiLevelType w:val="singleLevel"/>
    <w:tmpl w:val="FFFFFF81"/>
    <w:lvl w:ilvl="0" w:tentative="0">
      <w:start w:val="1"/>
      <w:numFmt w:val="bullet"/>
      <w:pStyle w:val="13"/>
      <w:lvlText w:val=""/>
      <w:lvlJc w:val="left"/>
      <w:pPr>
        <w:tabs>
          <w:tab w:val="left" w:pos="1620"/>
        </w:tabs>
        <w:ind w:left="1620" w:leftChars="600" w:hanging="360" w:hangingChars="200"/>
      </w:pPr>
      <w:rPr>
        <w:rFonts w:hint="default" w:ascii="Wingdings" w:hAnsi="Wingdings"/>
      </w:rPr>
    </w:lvl>
  </w:abstractNum>
  <w:abstractNum w:abstractNumId="3">
    <w:nsid w:val="FFFFFF89"/>
    <w:multiLevelType w:val="singleLevel"/>
    <w:tmpl w:val="FFFFFF89"/>
    <w:lvl w:ilvl="0" w:tentative="0">
      <w:start w:val="1"/>
      <w:numFmt w:val="bullet"/>
      <w:pStyle w:val="19"/>
      <w:lvlText w:val=""/>
      <w:lvlJc w:val="left"/>
      <w:pPr>
        <w:tabs>
          <w:tab w:val="left" w:pos="748"/>
        </w:tabs>
        <w:ind w:left="748" w:hanging="374"/>
      </w:pPr>
      <w:rPr>
        <w:rFonts w:hint="default" w:ascii="Wingdings" w:hAnsi="Wingdings"/>
        <w:sz w:val="21"/>
      </w:rPr>
    </w:lvl>
  </w:abstractNum>
  <w:abstractNum w:abstractNumId="4">
    <w:nsid w:val="00000011"/>
    <w:multiLevelType w:val="multilevel"/>
    <w:tmpl w:val="00000011"/>
    <w:lvl w:ilvl="0" w:tentative="0">
      <w:start w:val="1"/>
      <w:numFmt w:val="bullet"/>
      <w:pStyle w:val="547"/>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5">
    <w:nsid w:val="023B3218"/>
    <w:multiLevelType w:val="multilevel"/>
    <w:tmpl w:val="023B3218"/>
    <w:lvl w:ilvl="0" w:tentative="0">
      <w:start w:val="1"/>
      <w:numFmt w:val="bullet"/>
      <w:pStyle w:val="495"/>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06AE7411"/>
    <w:multiLevelType w:val="multilevel"/>
    <w:tmpl w:val="06AE7411"/>
    <w:lvl w:ilvl="0" w:tentative="0">
      <w:start w:val="1"/>
      <w:numFmt w:val="bullet"/>
      <w:pStyle w:val="317"/>
      <w:lvlText w:val=""/>
      <w:lvlJc w:val="left"/>
      <w:pPr>
        <w:ind w:left="817"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7">
    <w:nsid w:val="0AE367E9"/>
    <w:multiLevelType w:val="multilevel"/>
    <w:tmpl w:val="0AE367E9"/>
    <w:lvl w:ilvl="0" w:tentative="0">
      <w:start w:val="1"/>
      <w:numFmt w:val="none"/>
      <w:pStyle w:val="638"/>
      <w:suff w:val="nothing"/>
      <w:lvlText w:val="%1示例："/>
      <w:lvlJc w:val="left"/>
      <w:pPr>
        <w:ind w:left="0" w:firstLine="363"/>
      </w:pPr>
      <w:rPr>
        <w:rFonts w:hint="eastAsia" w:ascii="黑体" w:eastAsia="黑体"/>
        <w:b w:val="0"/>
        <w:i w:val="0"/>
        <w:sz w:val="18"/>
        <w:szCs w:val="18"/>
      </w:rPr>
    </w:lvl>
    <w:lvl w:ilvl="1" w:tentative="0">
      <w:start w:val="1"/>
      <w:numFmt w:val="lowerLetter"/>
      <w:pStyle w:val="643"/>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8">
    <w:nsid w:val="1B000663"/>
    <w:multiLevelType w:val="multilevel"/>
    <w:tmpl w:val="1B000663"/>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pStyle w:val="226"/>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9">
    <w:nsid w:val="1BE25B4A"/>
    <w:multiLevelType w:val="multilevel"/>
    <w:tmpl w:val="1BE25B4A"/>
    <w:lvl w:ilvl="0" w:tentative="0">
      <w:start w:val="1"/>
      <w:numFmt w:val="decimal"/>
      <w:pStyle w:val="371"/>
      <w:suff w:val="space"/>
      <w:lvlText w:val="%1"/>
      <w:lvlJc w:val="left"/>
      <w:pPr>
        <w:ind w:left="0" w:firstLine="0"/>
      </w:pPr>
    </w:lvl>
    <w:lvl w:ilvl="1" w:tentative="0">
      <w:start w:val="1"/>
      <w:numFmt w:val="decimal"/>
      <w:pStyle w:val="373"/>
      <w:suff w:val="space"/>
      <w:lvlText w:val="%1.%2"/>
      <w:lvlJc w:val="left"/>
      <w:pPr>
        <w:ind w:left="0" w:firstLine="0"/>
      </w:pPr>
    </w:lvl>
    <w:lvl w:ilvl="2" w:tentative="0">
      <w:start w:val="1"/>
      <w:numFmt w:val="decimal"/>
      <w:pStyle w:val="375"/>
      <w:suff w:val="space"/>
      <w:lvlText w:val="%1.%2.%3"/>
      <w:lvlJc w:val="left"/>
      <w:pPr>
        <w:ind w:left="0" w:firstLine="0"/>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0">
    <w:nsid w:val="1C5818EB"/>
    <w:multiLevelType w:val="multilevel"/>
    <w:tmpl w:val="1C5818EB"/>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pStyle w:val="188"/>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1">
    <w:nsid w:val="1F5404EC"/>
    <w:multiLevelType w:val="multilevel"/>
    <w:tmpl w:val="1F5404EC"/>
    <w:lvl w:ilvl="0" w:tentative="0">
      <w:start w:val="1"/>
      <w:numFmt w:val="chineseCountingThousand"/>
      <w:pStyle w:val="692"/>
      <w:suff w:val="space"/>
      <w:lvlText w:val="第%1章"/>
      <w:lvlJc w:val="left"/>
      <w:pPr>
        <w:ind w:left="0" w:firstLine="0"/>
      </w:pPr>
      <w:rPr>
        <w:rFonts w:hint="default" w:ascii="Times New Roman" w:hAnsi="Times New Roman" w:eastAsia="仿宋"/>
        <w:b/>
        <w:i w:val="0"/>
        <w:color w:val="ED7D31"/>
        <w:sz w:val="40"/>
      </w:rPr>
    </w:lvl>
    <w:lvl w:ilvl="1" w:tentative="0">
      <w:start w:val="1"/>
      <w:numFmt w:val="decimal"/>
      <w:pStyle w:val="693"/>
      <w:isLgl/>
      <w:suff w:val="space"/>
      <w:lvlText w:val="%1.%2"/>
      <w:lvlJc w:val="left"/>
      <w:pPr>
        <w:ind w:left="0" w:firstLine="0"/>
      </w:pPr>
      <w:rPr>
        <w:rFonts w:hint="default" w:ascii="Times New Roman" w:hAnsi="Times New Roman" w:eastAsia="仿宋"/>
        <w:b/>
        <w:i w:val="0"/>
        <w:color w:val="0066FF"/>
        <w:sz w:val="28"/>
      </w:rPr>
    </w:lvl>
    <w:lvl w:ilvl="2" w:tentative="0">
      <w:start w:val="1"/>
      <w:numFmt w:val="decimal"/>
      <w:pStyle w:val="694"/>
      <w:isLgl/>
      <w:suff w:val="space"/>
      <w:lvlText w:val="%1.%2.%3"/>
      <w:lvlJc w:val="left"/>
      <w:pPr>
        <w:ind w:left="0" w:firstLine="0"/>
      </w:pPr>
      <w:rPr>
        <w:rFonts w:hint="eastAsia"/>
      </w:rPr>
    </w:lvl>
    <w:lvl w:ilvl="3" w:tentative="0">
      <w:start w:val="1"/>
      <w:numFmt w:val="decimal"/>
      <w:pStyle w:val="695"/>
      <w:isLgl/>
      <w:suff w:val="space"/>
      <w:lvlText w:val="%1.%2.%3.%4"/>
      <w:lvlJc w:val="left"/>
      <w:pPr>
        <w:ind w:left="0" w:firstLine="0"/>
      </w:pPr>
      <w:rPr>
        <w:rFonts w:hint="eastAsia"/>
      </w:rPr>
    </w:lvl>
    <w:lvl w:ilvl="4" w:tentative="0">
      <w:start w:val="1"/>
      <w:numFmt w:val="decimal"/>
      <w:pStyle w:val="697"/>
      <w:isLgl/>
      <w:suff w:val="space"/>
      <w:lvlText w:val="%1.%2.%3.%4.%5"/>
      <w:lvlJc w:val="left"/>
      <w:pPr>
        <w:ind w:left="0" w:firstLine="0"/>
      </w:pPr>
      <w:rPr>
        <w:rFonts w:hint="eastAsia"/>
      </w:rPr>
    </w:lvl>
    <w:lvl w:ilvl="5" w:tentative="0">
      <w:start w:val="1"/>
      <w:numFmt w:val="decimal"/>
      <w:pStyle w:val="698"/>
      <w:isLgl/>
      <w:suff w:val="space"/>
      <w:lvlText w:val="%1.%2.%3.%4.%5.%6"/>
      <w:lvlJc w:val="left"/>
      <w:pPr>
        <w:ind w:left="0" w:firstLine="0"/>
      </w:pPr>
      <w:rPr>
        <w:rFonts w:hint="eastAsia"/>
      </w:rPr>
    </w:lvl>
    <w:lvl w:ilvl="6" w:tentative="0">
      <w:start w:val="1"/>
      <w:numFmt w:val="decimal"/>
      <w:pStyle w:val="701"/>
      <w:suff w:val="space"/>
      <w:lvlText w:val="%7、"/>
      <w:lvlJc w:val="right"/>
      <w:pPr>
        <w:ind w:left="851" w:firstLine="0"/>
      </w:pPr>
      <w:rPr>
        <w:rFonts w:hint="eastAsia"/>
      </w:rPr>
    </w:lvl>
    <w:lvl w:ilvl="7" w:tentative="0">
      <w:start w:val="1"/>
      <w:numFmt w:val="decimal"/>
      <w:pStyle w:val="703"/>
      <w:suff w:val="space"/>
      <w:lvlText w:val="%8)"/>
      <w:lvlJc w:val="right"/>
      <w:pPr>
        <w:ind w:left="1077" w:firstLine="0"/>
      </w:pPr>
      <w:rPr>
        <w:rFonts w:hint="eastAsia"/>
      </w:rPr>
    </w:lvl>
    <w:lvl w:ilvl="8" w:tentative="0">
      <w:start w:val="1"/>
      <w:numFmt w:val="decimal"/>
      <w:lvlText w:val="1.%2.%3.%4.%5.%6.%7.%8.%9"/>
      <w:lvlJc w:val="left"/>
      <w:pPr>
        <w:ind w:left="0" w:firstLine="0"/>
      </w:pPr>
      <w:rPr>
        <w:rFonts w:hint="eastAsia"/>
      </w:rPr>
    </w:lvl>
  </w:abstractNum>
  <w:abstractNum w:abstractNumId="12">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4"/>
      <w:numFmt w:val="decimal"/>
      <w:pStyle w:val="343"/>
      <w:suff w:val="nothing"/>
      <w:lvlText w:val="%1.%2　"/>
      <w:lvlJc w:val="left"/>
      <w:pPr>
        <w:ind w:left="142"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344"/>
      <w:suff w:val="nothing"/>
      <w:lvlText w:val="%1.%2.%3　"/>
      <w:lvlJc w:val="left"/>
      <w:pPr>
        <w:ind w:left="0" w:firstLine="0"/>
      </w:pPr>
      <w:rPr>
        <w:rFonts w:hint="eastAsia" w:ascii="黑体" w:hAnsi="Times New Roman" w:eastAsia="黑体"/>
        <w:b w:val="0"/>
        <w:i w:val="0"/>
        <w:sz w:val="21"/>
      </w:rPr>
    </w:lvl>
    <w:lvl w:ilvl="3" w:tentative="0">
      <w:start w:val="1"/>
      <w:numFmt w:val="decimal"/>
      <w:pStyle w:val="345"/>
      <w:suff w:val="nothing"/>
      <w:lvlText w:val="%1.%2.%3.%4　"/>
      <w:lvlJc w:val="left"/>
      <w:pPr>
        <w:ind w:left="840" w:firstLine="0"/>
      </w:pPr>
      <w:rPr>
        <w:rFonts w:hint="eastAsia" w:ascii="黑体" w:hAnsi="Times New Roman" w:eastAsia="黑体"/>
        <w:b w:val="0"/>
        <w:i w:val="0"/>
        <w:sz w:val="21"/>
      </w:rPr>
    </w:lvl>
    <w:lvl w:ilvl="4" w:tentative="0">
      <w:start w:val="1"/>
      <w:numFmt w:val="decimal"/>
      <w:pStyle w:val="346"/>
      <w:suff w:val="nothing"/>
      <w:lvlText w:val="%1.%2.%3.%4.%5　"/>
      <w:lvlJc w:val="left"/>
      <w:pPr>
        <w:ind w:left="0" w:firstLine="0"/>
      </w:pPr>
      <w:rPr>
        <w:rFonts w:hint="eastAsia" w:ascii="黑体" w:hAnsi="Times New Roman" w:eastAsia="黑体"/>
        <w:b w:val="0"/>
        <w:i w:val="0"/>
        <w:sz w:val="21"/>
      </w:rPr>
    </w:lvl>
    <w:lvl w:ilvl="5" w:tentative="0">
      <w:start w:val="1"/>
      <w:numFmt w:val="decimal"/>
      <w:pStyle w:val="347"/>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abstractNum w:abstractNumId="13">
    <w:nsid w:val="22CF0F0C"/>
    <w:multiLevelType w:val="multilevel"/>
    <w:tmpl w:val="22CF0F0C"/>
    <w:lvl w:ilvl="0" w:tentative="0">
      <w:start w:val="1"/>
      <w:numFmt w:val="bullet"/>
      <w:pStyle w:val="394"/>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24BD0EB6"/>
    <w:multiLevelType w:val="multilevel"/>
    <w:tmpl w:val="24BD0EB6"/>
    <w:lvl w:ilvl="0" w:tentative="0">
      <w:start w:val="1"/>
      <w:numFmt w:val="chineseCountingThousand"/>
      <w:pStyle w:val="458"/>
      <w:lvlText w:val="(%1)"/>
      <w:lvlJc w:val="left"/>
      <w:pPr>
        <w:tabs>
          <w:tab w:val="left" w:pos="1247"/>
        </w:tabs>
        <w:ind w:left="1247" w:hanging="567"/>
      </w:pPr>
      <w:rPr>
        <w:rFonts w:hint="eastAsia" w:ascii="Times New Roman" w:hAnsi="Times New Roman" w:eastAsia="宋体"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27A10307"/>
    <w:multiLevelType w:val="multilevel"/>
    <w:tmpl w:val="27A10307"/>
    <w:lvl w:ilvl="0" w:tentative="0">
      <w:start w:val="1"/>
      <w:numFmt w:val="bullet"/>
      <w:pStyle w:val="503"/>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6">
    <w:nsid w:val="2A8F7113"/>
    <w:multiLevelType w:val="multilevel"/>
    <w:tmpl w:val="2A8F7113"/>
    <w:lvl w:ilvl="0" w:tentative="0">
      <w:start w:val="1"/>
      <w:numFmt w:val="upperLetter"/>
      <w:pStyle w:val="611"/>
      <w:suff w:val="space"/>
      <w:lvlText w:val="%1"/>
      <w:lvlJc w:val="left"/>
      <w:pPr>
        <w:ind w:left="623" w:hanging="425"/>
      </w:pPr>
      <w:rPr>
        <w:rFonts w:hint="eastAsia"/>
      </w:rPr>
    </w:lvl>
    <w:lvl w:ilvl="1" w:tentative="0">
      <w:start w:val="1"/>
      <w:numFmt w:val="decimal"/>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17">
    <w:nsid w:val="2BE34EC2"/>
    <w:multiLevelType w:val="multilevel"/>
    <w:tmpl w:val="2BE34EC2"/>
    <w:lvl w:ilvl="0" w:tentative="0">
      <w:start w:val="1"/>
      <w:numFmt w:val="decimal"/>
      <w:pStyle w:val="358"/>
      <w:lvlText w:val="%1"/>
      <w:lvlJc w:val="left"/>
      <w:pPr>
        <w:tabs>
          <w:tab w:val="left" w:pos="425"/>
        </w:tabs>
        <w:ind w:left="425" w:hanging="425"/>
      </w:pPr>
      <w:rPr>
        <w:rFonts w:hint="eastAsia" w:ascii="宋体" w:eastAsia="宋体"/>
      </w:rPr>
    </w:lvl>
    <w:lvl w:ilvl="1" w:tentative="0">
      <w:start w:val="1"/>
      <w:numFmt w:val="decimal"/>
      <w:pStyle w:val="359"/>
      <w:lvlText w:val="%1.%2"/>
      <w:lvlJc w:val="left"/>
      <w:pPr>
        <w:tabs>
          <w:tab w:val="left" w:pos="851"/>
        </w:tabs>
        <w:ind w:left="851" w:hanging="567"/>
      </w:pPr>
      <w:rPr>
        <w:rFonts w:hint="eastAsia" w:ascii="黑体" w:eastAsia="黑体"/>
        <w:sz w:val="30"/>
        <w:szCs w:val="30"/>
      </w:rPr>
    </w:lvl>
    <w:lvl w:ilvl="2" w:tentative="0">
      <w:start w:val="1"/>
      <w:numFmt w:val="decimal"/>
      <w:lvlText w:val="%1.%2.%3"/>
      <w:lvlJc w:val="left"/>
      <w:pPr>
        <w:tabs>
          <w:tab w:val="left" w:pos="567"/>
        </w:tabs>
        <w:ind w:left="567" w:hanging="567"/>
      </w:pPr>
      <w:rPr>
        <w:rFonts w:hint="eastAsia" w:eastAsia="黑体"/>
        <w:b w:val="0"/>
        <w:bCs w:val="0"/>
        <w:i w:val="0"/>
        <w:iCs w:val="0"/>
        <w:sz w:val="28"/>
        <w:szCs w:val="28"/>
      </w:rPr>
    </w:lvl>
    <w:lvl w:ilvl="3" w:tentative="0">
      <w:start w:val="1"/>
      <w:numFmt w:val="decimal"/>
      <w:lvlText w:val="%1.%2.%3.%4"/>
      <w:lvlJc w:val="left"/>
      <w:pPr>
        <w:tabs>
          <w:tab w:val="left" w:pos="948"/>
        </w:tabs>
        <w:ind w:left="948" w:hanging="708"/>
      </w:pPr>
      <w:rPr>
        <w:rFonts w:hint="eastAsia" w:ascii="宋体" w:eastAsia="宋体"/>
        <w:b/>
        <w:bCs w:val="0"/>
        <w:i w:val="0"/>
        <w:iCs w:val="0"/>
        <w:color w:val="auto"/>
        <w:sz w:val="24"/>
        <w:szCs w:val="24"/>
        <w:u w:val="none"/>
      </w:rPr>
    </w:lvl>
    <w:lvl w:ilvl="4" w:tentative="0">
      <w:start w:val="1"/>
      <w:numFmt w:val="decimal"/>
      <w:lvlText w:val="%1.%2.%3.%4.%5"/>
      <w:lvlJc w:val="left"/>
      <w:pPr>
        <w:tabs>
          <w:tab w:val="left" w:pos="2551"/>
        </w:tabs>
        <w:ind w:left="2551" w:hanging="850"/>
      </w:pPr>
      <w:rPr>
        <w:rFonts w:hint="eastAsia" w:eastAsia="宋体"/>
        <w:sz w:val="24"/>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8">
    <w:nsid w:val="2C56166E"/>
    <w:multiLevelType w:val="multilevel"/>
    <w:tmpl w:val="2C56166E"/>
    <w:lvl w:ilvl="0" w:tentative="0">
      <w:start w:val="1"/>
      <w:numFmt w:val="bullet"/>
      <w:pStyle w:val="613"/>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9">
    <w:nsid w:val="2F17497E"/>
    <w:multiLevelType w:val="multilevel"/>
    <w:tmpl w:val="2F17497E"/>
    <w:lvl w:ilvl="0" w:tentative="0">
      <w:start w:val="1"/>
      <w:numFmt w:val="decimal"/>
      <w:pStyle w:val="422"/>
      <w:lvlText w:val="%1"/>
      <w:lvlJc w:val="left"/>
      <w:pPr>
        <w:tabs>
          <w:tab w:val="left" w:pos="567"/>
        </w:tabs>
        <w:ind w:left="567" w:hanging="567"/>
      </w:pPr>
      <w:rPr>
        <w:rFonts w:hint="default" w:ascii="Times New Roman" w:hAnsi="Times New Roman" w:cs="Times New Roman"/>
        <w:b/>
        <w:i w:val="0"/>
        <w:iCs w:val="0"/>
        <w:caps w:val="0"/>
        <w:smallCaps w:val="0"/>
        <w:strike w:val="0"/>
        <w:dstrike w:val="0"/>
        <w:vanish w:val="0"/>
        <w:color w:val="000000"/>
        <w:spacing w:val="0"/>
        <w:position w:val="0"/>
        <w:sz w:val="32"/>
        <w:szCs w:val="32"/>
        <w:u w:val="none"/>
        <w:vertAlign w:val="baseline"/>
      </w:rPr>
    </w:lvl>
    <w:lvl w:ilvl="1" w:tentative="0">
      <w:start w:val="1"/>
      <w:numFmt w:val="decimal"/>
      <w:pStyle w:val="423"/>
      <w:isLgl/>
      <w:lvlText w:val="%1.%2"/>
      <w:lvlJc w:val="left"/>
      <w:pPr>
        <w:tabs>
          <w:tab w:val="left" w:pos="567"/>
        </w:tabs>
        <w:ind w:left="567" w:hanging="567"/>
      </w:pPr>
      <w:rPr>
        <w:rFonts w:hint="default" w:ascii="Times New Roman" w:hAnsi="Times New Roman"/>
        <w:b/>
        <w:i w:val="0"/>
        <w:sz w:val="30"/>
        <w:szCs w:val="30"/>
      </w:rPr>
    </w:lvl>
    <w:lvl w:ilvl="2" w:tentative="0">
      <w:start w:val="1"/>
      <w:numFmt w:val="decimal"/>
      <w:pStyle w:val="424"/>
      <w:isLgl/>
      <w:lvlText w:val="%1.%2.%3"/>
      <w:lvlJc w:val="left"/>
      <w:pPr>
        <w:tabs>
          <w:tab w:val="left" w:pos="567"/>
        </w:tabs>
        <w:ind w:left="567" w:hanging="567"/>
      </w:pPr>
      <w:rPr>
        <w:rFonts w:hint="eastAsia"/>
      </w:rPr>
    </w:lvl>
    <w:lvl w:ilvl="3" w:tentative="0">
      <w:start w:val="1"/>
      <w:numFmt w:val="decimal"/>
      <w:pStyle w:val="426"/>
      <w:isLgl/>
      <w:lvlText w:val="%1.%2.%3.%4"/>
      <w:lvlJc w:val="left"/>
      <w:pPr>
        <w:tabs>
          <w:tab w:val="left" w:pos="567"/>
        </w:tabs>
        <w:ind w:left="567" w:hanging="567"/>
      </w:pPr>
      <w:rPr>
        <w:rFonts w:hint="default" w:ascii="Times New Roman" w:hAnsi="Times New Roman" w:eastAsia="黑体"/>
        <w:b/>
        <w:i w:val="0"/>
        <w:sz w:val="28"/>
        <w:szCs w:val="28"/>
      </w:rPr>
    </w:lvl>
    <w:lvl w:ilvl="4" w:tentative="0">
      <w:start w:val="1"/>
      <w:numFmt w:val="decimal"/>
      <w:pStyle w:val="427"/>
      <w:lvlText w:val="%5）"/>
      <w:lvlJc w:val="left"/>
      <w:pPr>
        <w:tabs>
          <w:tab w:val="left" w:pos="767"/>
        </w:tabs>
        <w:ind w:left="767" w:hanging="567"/>
      </w:pPr>
      <w:rPr>
        <w:rFonts w:hint="default" w:ascii="Times New Roman" w:hAnsi="Times New Roman" w:eastAsia="仿宋_GB2312"/>
        <w:b/>
        <w:i w:val="0"/>
        <w:sz w:val="28"/>
        <w:szCs w:val="28"/>
      </w:rPr>
    </w:lvl>
    <w:lvl w:ilvl="5" w:tentative="0">
      <w:start w:val="1"/>
      <w:numFmt w:val="bullet"/>
      <w:pStyle w:val="428"/>
      <w:lvlText w:val=""/>
      <w:lvlJc w:val="left"/>
      <w:pPr>
        <w:tabs>
          <w:tab w:val="left" w:pos="284"/>
        </w:tabs>
        <w:ind w:left="0" w:firstLine="200"/>
      </w:pPr>
      <w:rPr>
        <w:rFonts w:hint="default" w:ascii="Wingdings" w:hAnsi="Wingdings" w:eastAsia="仿宋_GB2312"/>
        <w:b w:val="0"/>
        <w:i w:val="0"/>
        <w:sz w:val="24"/>
        <w:szCs w:val="24"/>
      </w:rPr>
    </w:lvl>
    <w:lvl w:ilvl="6" w:tentative="0">
      <w:start w:val="1"/>
      <w:numFmt w:val="lowerRoman"/>
      <w:pStyle w:val="429"/>
      <w:lvlText w:val="%7."/>
      <w:lvlJc w:val="left"/>
      <w:pPr>
        <w:tabs>
          <w:tab w:val="left" w:pos="907"/>
        </w:tabs>
        <w:ind w:left="907" w:hanging="507"/>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7" w:tentative="0">
      <w:start w:val="1"/>
      <w:numFmt w:val="decimal"/>
      <w:lvlText w:val="%1.%2.%3.%4.%5.%6.%7.%8."/>
      <w:lvlJc w:val="left"/>
      <w:pPr>
        <w:tabs>
          <w:tab w:val="left" w:pos="1618"/>
        </w:tabs>
        <w:ind w:left="1618" w:hanging="1418"/>
      </w:pPr>
      <w:rPr>
        <w:rFonts w:hint="eastAsia"/>
      </w:rPr>
    </w:lvl>
    <w:lvl w:ilvl="8" w:tentative="0">
      <w:start w:val="1"/>
      <w:numFmt w:val="decimal"/>
      <w:lvlText w:val="%1.%2.%3.%4.%5.%6.%7.%8.%9."/>
      <w:lvlJc w:val="left"/>
      <w:pPr>
        <w:tabs>
          <w:tab w:val="left" w:pos="1759"/>
        </w:tabs>
        <w:ind w:left="1759" w:hanging="1559"/>
      </w:pPr>
      <w:rPr>
        <w:rFonts w:hint="eastAsia"/>
      </w:rPr>
    </w:lvl>
  </w:abstractNum>
  <w:abstractNum w:abstractNumId="20">
    <w:nsid w:val="3D733618"/>
    <w:multiLevelType w:val="multilevel"/>
    <w:tmpl w:val="3D733618"/>
    <w:lvl w:ilvl="0" w:tentative="0">
      <w:start w:val="1"/>
      <w:numFmt w:val="decimal"/>
      <w:pStyle w:val="658"/>
      <w:lvlText w:val="%1)"/>
      <w:lvlJc w:val="left"/>
      <w:pPr>
        <w:tabs>
          <w:tab w:val="left" w:pos="0"/>
        </w:tabs>
        <w:ind w:left="720" w:hanging="357"/>
      </w:pPr>
      <w:rPr>
        <w:rFonts w:hint="eastAsia"/>
      </w:rPr>
    </w:lvl>
    <w:lvl w:ilvl="1" w:tentative="0">
      <w:start w:val="1"/>
      <w:numFmt w:val="lowerLetter"/>
      <w:pStyle w:val="657"/>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21">
    <w:nsid w:val="44C50F90"/>
    <w:multiLevelType w:val="multilevel"/>
    <w:tmpl w:val="44C50F90"/>
    <w:lvl w:ilvl="0" w:tentative="0">
      <w:start w:val="0"/>
      <w:numFmt w:val="decimal"/>
      <w:pStyle w:val="453"/>
      <w:lvlText w:val=""/>
      <w:lvlJc w:val="left"/>
    </w:lvl>
    <w:lvl w:ilvl="1" w:tentative="0">
      <w:start w:val="0"/>
      <w:numFmt w:val="decimal"/>
      <w:pStyle w:val="452"/>
      <w:lvlText w:val=""/>
      <w:lvlJc w:val="left"/>
    </w:lvl>
    <w:lvl w:ilvl="2" w:tentative="0">
      <w:start w:val="0"/>
      <w:numFmt w:val="decimal"/>
      <w:pStyle w:val="454"/>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
    <w:nsid w:val="485F2004"/>
    <w:multiLevelType w:val="multilevel"/>
    <w:tmpl w:val="485F2004"/>
    <w:lvl w:ilvl="0" w:tentative="0">
      <w:start w:val="1"/>
      <w:numFmt w:val="decimal"/>
      <w:suff w:val="space"/>
      <w:lvlText w:val="第%1章"/>
      <w:lvlJc w:val="left"/>
      <w:pPr>
        <w:ind w:left="0" w:firstLine="0"/>
      </w:pPr>
      <w:rPr>
        <w:rFonts w:hint="eastAsia" w:ascii="宋体" w:hAnsi="宋体" w:eastAsia="宋体"/>
      </w:rPr>
    </w:lvl>
    <w:lvl w:ilvl="1" w:tentative="0">
      <w:start w:val="1"/>
      <w:numFmt w:val="decimal"/>
      <w:suff w:val="space"/>
      <w:lvlText w:val="%1.%2"/>
      <w:lvlJc w:val="left"/>
      <w:pPr>
        <w:ind w:left="0" w:firstLine="0"/>
      </w:pPr>
      <w:rPr>
        <w:rFonts w:hint="eastAsia" w:ascii="宋体" w:hAnsi="宋体" w:eastAsia="宋体"/>
      </w:rPr>
    </w:lvl>
    <w:lvl w:ilvl="2" w:tentative="0">
      <w:start w:val="1"/>
      <w:numFmt w:val="decimal"/>
      <w:suff w:val="space"/>
      <w:lvlText w:val="%1.%2.%3"/>
      <w:lvlJc w:val="left"/>
      <w:pPr>
        <w:ind w:left="0" w:firstLine="0"/>
      </w:pPr>
      <w:rPr>
        <w:rFonts w:hint="eastAsia" w:ascii="宋体" w:hAnsi="宋体" w:eastAsia="宋体"/>
      </w:rPr>
    </w:lvl>
    <w:lvl w:ilvl="3" w:tentative="0">
      <w:start w:val="1"/>
      <w:numFmt w:val="decimal"/>
      <w:pStyle w:val="204"/>
      <w:suff w:val="space"/>
      <w:lvlText w:val="%1.%2.%3.%4"/>
      <w:lvlJc w:val="left"/>
      <w:pPr>
        <w:ind w:left="720" w:firstLine="0"/>
      </w:pPr>
      <w:rPr>
        <w:rFonts w:hint="eastAsia" w:ascii="宋体" w:hAnsi="宋体" w:eastAsia="宋体"/>
      </w:rPr>
    </w:lvl>
    <w:lvl w:ilvl="4" w:tentative="0">
      <w:start w:val="1"/>
      <w:numFmt w:val="decimal"/>
      <w:suff w:val="space"/>
      <w:lvlText w:val="%1.%2.%3.%4.%5"/>
      <w:lvlJc w:val="left"/>
      <w:pPr>
        <w:ind w:left="0" w:firstLine="0"/>
      </w:pPr>
      <w:rPr>
        <w:rFonts w:hint="eastAsia" w:ascii="宋体" w:hAnsi="宋体" w:eastAsia="宋体"/>
      </w:rPr>
    </w:lvl>
    <w:lvl w:ilvl="5" w:tentative="0">
      <w:start w:val="1"/>
      <w:numFmt w:val="none"/>
      <w:suff w:val="nothing"/>
      <w:lvlText w:val="%6."/>
      <w:lvlJc w:val="left"/>
      <w:pPr>
        <w:ind w:left="4320" w:hanging="360"/>
      </w:pPr>
      <w:rPr>
        <w:rFonts w:hint="eastAsia"/>
      </w:rPr>
    </w:lvl>
    <w:lvl w:ilvl="6" w:tentative="0">
      <w:start w:val="1"/>
      <w:numFmt w:val="none"/>
      <w:suff w:val="nothing"/>
      <w:lvlText w:val="%7."/>
      <w:lvlJc w:val="left"/>
      <w:pPr>
        <w:ind w:left="5040" w:hanging="360"/>
      </w:pPr>
      <w:rPr>
        <w:rFonts w:hint="eastAsia"/>
      </w:rPr>
    </w:lvl>
    <w:lvl w:ilvl="7" w:tentative="0">
      <w:start w:val="1"/>
      <w:numFmt w:val="none"/>
      <w:suff w:val="nothing"/>
      <w:lvlText w:val="%8."/>
      <w:lvlJc w:val="left"/>
      <w:pPr>
        <w:ind w:left="5760" w:hanging="360"/>
      </w:pPr>
      <w:rPr>
        <w:rFonts w:hint="eastAsia"/>
      </w:rPr>
    </w:lvl>
    <w:lvl w:ilvl="8" w:tentative="0">
      <w:start w:val="1"/>
      <w:numFmt w:val="none"/>
      <w:suff w:val="nothing"/>
      <w:lvlText w:val="%9."/>
      <w:lvlJc w:val="left"/>
      <w:pPr>
        <w:ind w:left="6480" w:hanging="360"/>
      </w:pPr>
      <w:rPr>
        <w:rFonts w:hint="eastAsia"/>
      </w:rPr>
    </w:lvl>
  </w:abstractNum>
  <w:abstractNum w:abstractNumId="23">
    <w:nsid w:val="4B733A5F"/>
    <w:multiLevelType w:val="multilevel"/>
    <w:tmpl w:val="4B733A5F"/>
    <w:lvl w:ilvl="0" w:tentative="0">
      <w:start w:val="1"/>
      <w:numFmt w:val="decimal"/>
      <w:pStyle w:val="640"/>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pStyle w:val="627"/>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24">
    <w:nsid w:val="4CA763EE"/>
    <w:multiLevelType w:val="multilevel"/>
    <w:tmpl w:val="4CA763EE"/>
    <w:lvl w:ilvl="0" w:tentative="0">
      <w:start w:val="1"/>
      <w:numFmt w:val="bullet"/>
      <w:pStyle w:val="433"/>
      <w:lvlText w:val=""/>
      <w:lvlJc w:val="left"/>
      <w:pPr>
        <w:tabs>
          <w:tab w:val="left" w:pos="620"/>
        </w:tabs>
        <w:ind w:left="6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4E7107F0"/>
    <w:multiLevelType w:val="multilevel"/>
    <w:tmpl w:val="4E7107F0"/>
    <w:lvl w:ilvl="0" w:tentative="0">
      <w:start w:val="1"/>
      <w:numFmt w:val="bullet"/>
      <w:pStyle w:val="486"/>
      <w:lvlText w:val=""/>
      <w:lvlJc w:val="left"/>
      <w:pPr>
        <w:tabs>
          <w:tab w:val="left" w:pos="520"/>
        </w:tabs>
        <w:ind w:left="520" w:hanging="420"/>
      </w:pPr>
      <w:rPr>
        <w:rFonts w:hint="default" w:ascii="Wingdings" w:hAnsi="Wingdings"/>
      </w:rPr>
    </w:lvl>
    <w:lvl w:ilvl="1" w:tentative="0">
      <w:start w:val="1"/>
      <w:numFmt w:val="decimal"/>
      <w:suff w:val="nothing"/>
      <w:lvlText w:val="%2.%1 "/>
      <w:lvlJc w:val="left"/>
      <w:pPr>
        <w:ind w:left="420" w:firstLine="0"/>
      </w:pPr>
      <w:rPr>
        <w:rFonts w:hint="eastAsia"/>
      </w:rPr>
    </w:lvl>
    <w:lvl w:ilvl="2" w:tentative="0">
      <w:start w:val="1"/>
      <w:numFmt w:val="decimal"/>
      <w:suff w:val="nothing"/>
      <w:lvlText w:val="%1.%2.%3 "/>
      <w:lvlJc w:val="left"/>
      <w:pPr>
        <w:ind w:left="420" w:firstLine="0"/>
      </w:pPr>
      <w:rPr>
        <w:rFonts w:hint="eastAsia"/>
      </w:rPr>
    </w:lvl>
    <w:lvl w:ilvl="3" w:tentative="0">
      <w:start w:val="1"/>
      <w:numFmt w:val="decimal"/>
      <w:suff w:val="nothing"/>
      <w:lvlText w:val="%1.%2.%3.%4 "/>
      <w:lvlJc w:val="left"/>
      <w:pPr>
        <w:ind w:left="420" w:firstLine="0"/>
      </w:pPr>
      <w:rPr>
        <w:rFonts w:hint="eastAsia"/>
      </w:rPr>
    </w:lvl>
    <w:lvl w:ilvl="4" w:tentative="0">
      <w:start w:val="1"/>
      <w:numFmt w:val="decimal"/>
      <w:suff w:val="nothing"/>
      <w:lvlText w:val="%1.%2.%3.%4.%5 "/>
      <w:lvlJc w:val="left"/>
      <w:pPr>
        <w:ind w:left="420" w:firstLine="0"/>
      </w:pPr>
      <w:rPr>
        <w:rFonts w:hint="eastAsia"/>
      </w:rPr>
    </w:lvl>
    <w:lvl w:ilvl="5" w:tentative="0">
      <w:start w:val="1"/>
      <w:numFmt w:val="decimal"/>
      <w:suff w:val="nothing"/>
      <w:lvlText w:val="%1.%2.%3.%4.%5.%6 "/>
      <w:lvlJc w:val="left"/>
      <w:pPr>
        <w:ind w:left="420" w:firstLine="0"/>
      </w:pPr>
      <w:rPr>
        <w:rFonts w:hint="eastAsia"/>
      </w:rPr>
    </w:lvl>
    <w:lvl w:ilvl="6" w:tentative="0">
      <w:start w:val="1"/>
      <w:numFmt w:val="decimal"/>
      <w:suff w:val="nothing"/>
      <w:lvlText w:val="%7."/>
      <w:lvlJc w:val="left"/>
      <w:pPr>
        <w:ind w:left="420" w:firstLine="0"/>
      </w:pPr>
      <w:rPr>
        <w:rFonts w:hint="eastAsia"/>
      </w:rPr>
    </w:lvl>
    <w:lvl w:ilvl="7" w:tentative="0">
      <w:start w:val="1"/>
      <w:numFmt w:val="none"/>
      <w:suff w:val="nothing"/>
      <w:lvlText w:val=""/>
      <w:lvlJc w:val="left"/>
      <w:pPr>
        <w:ind w:left="420" w:firstLine="0"/>
      </w:pPr>
      <w:rPr>
        <w:rFonts w:hint="eastAsia"/>
      </w:rPr>
    </w:lvl>
    <w:lvl w:ilvl="8" w:tentative="0">
      <w:start w:val="1"/>
      <w:numFmt w:val="none"/>
      <w:suff w:val="nothing"/>
      <w:lvlText w:val=""/>
      <w:lvlJc w:val="left"/>
      <w:pPr>
        <w:ind w:left="420" w:firstLine="0"/>
      </w:pPr>
      <w:rPr>
        <w:rFonts w:hint="eastAsia"/>
      </w:rPr>
    </w:lvl>
  </w:abstractNum>
  <w:abstractNum w:abstractNumId="26">
    <w:nsid w:val="53F22205"/>
    <w:multiLevelType w:val="multilevel"/>
    <w:tmpl w:val="53F22205"/>
    <w:lvl w:ilvl="0" w:tentative="0">
      <w:start w:val="1"/>
      <w:numFmt w:val="decimal"/>
      <w:pStyle w:val="15"/>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7">
    <w:nsid w:val="55E166D7"/>
    <w:multiLevelType w:val="multilevel"/>
    <w:tmpl w:val="55E166D7"/>
    <w:lvl w:ilvl="0" w:tentative="0">
      <w:start w:val="1"/>
      <w:numFmt w:val="bullet"/>
      <w:pStyle w:val="499"/>
      <w:lvlText w:val=""/>
      <w:lvlJc w:val="left"/>
      <w:pPr>
        <w:ind w:left="986" w:hanging="420"/>
      </w:pPr>
      <w:rPr>
        <w:rFonts w:hint="default" w:ascii="Wingdings" w:hAnsi="Wingdings"/>
      </w:rPr>
    </w:lvl>
    <w:lvl w:ilvl="1" w:tentative="0">
      <w:start w:val="1"/>
      <w:numFmt w:val="bullet"/>
      <w:lvlText w:val=""/>
      <w:lvlJc w:val="left"/>
      <w:pPr>
        <w:ind w:left="1406" w:hanging="420"/>
      </w:pPr>
      <w:rPr>
        <w:rFonts w:hint="default" w:ascii="Wingdings" w:hAnsi="Wingdings"/>
      </w:rPr>
    </w:lvl>
    <w:lvl w:ilvl="2" w:tentative="0">
      <w:start w:val="1"/>
      <w:numFmt w:val="bullet"/>
      <w:pStyle w:val="501"/>
      <w:lvlText w:val=""/>
      <w:lvlJc w:val="left"/>
      <w:pPr>
        <w:ind w:left="1826" w:hanging="420"/>
      </w:pPr>
      <w:rPr>
        <w:rFonts w:hint="default" w:ascii="Wingdings" w:hAnsi="Wingdings"/>
      </w:rPr>
    </w:lvl>
    <w:lvl w:ilvl="3" w:tentative="0">
      <w:start w:val="1"/>
      <w:numFmt w:val="bullet"/>
      <w:lvlText w:val=""/>
      <w:lvlJc w:val="left"/>
      <w:pPr>
        <w:ind w:left="2246" w:hanging="420"/>
      </w:pPr>
      <w:rPr>
        <w:rFonts w:hint="default" w:ascii="Wingdings" w:hAnsi="Wingdings"/>
      </w:rPr>
    </w:lvl>
    <w:lvl w:ilvl="4" w:tentative="0">
      <w:start w:val="1"/>
      <w:numFmt w:val="bullet"/>
      <w:lvlText w:val=""/>
      <w:lvlJc w:val="left"/>
      <w:pPr>
        <w:ind w:left="2666" w:hanging="420"/>
      </w:pPr>
      <w:rPr>
        <w:rFonts w:hint="default" w:ascii="Wingdings" w:hAnsi="Wingdings"/>
      </w:rPr>
    </w:lvl>
    <w:lvl w:ilvl="5" w:tentative="0">
      <w:start w:val="1"/>
      <w:numFmt w:val="bullet"/>
      <w:lvlText w:val=""/>
      <w:lvlJc w:val="left"/>
      <w:pPr>
        <w:ind w:left="3086" w:hanging="420"/>
      </w:pPr>
      <w:rPr>
        <w:rFonts w:hint="default" w:ascii="Wingdings" w:hAnsi="Wingdings"/>
      </w:rPr>
    </w:lvl>
    <w:lvl w:ilvl="6" w:tentative="0">
      <w:start w:val="1"/>
      <w:numFmt w:val="bullet"/>
      <w:lvlText w:val=""/>
      <w:lvlJc w:val="left"/>
      <w:pPr>
        <w:ind w:left="3506" w:hanging="420"/>
      </w:pPr>
      <w:rPr>
        <w:rFonts w:hint="default" w:ascii="Wingdings" w:hAnsi="Wingdings"/>
      </w:rPr>
    </w:lvl>
    <w:lvl w:ilvl="7" w:tentative="0">
      <w:start w:val="1"/>
      <w:numFmt w:val="bullet"/>
      <w:lvlText w:val=""/>
      <w:lvlJc w:val="left"/>
      <w:pPr>
        <w:ind w:left="3926" w:hanging="420"/>
      </w:pPr>
      <w:rPr>
        <w:rFonts w:hint="default" w:ascii="Wingdings" w:hAnsi="Wingdings"/>
      </w:rPr>
    </w:lvl>
    <w:lvl w:ilvl="8" w:tentative="0">
      <w:start w:val="1"/>
      <w:numFmt w:val="bullet"/>
      <w:lvlText w:val=""/>
      <w:lvlJc w:val="left"/>
      <w:pPr>
        <w:ind w:left="4346" w:hanging="420"/>
      </w:pPr>
      <w:rPr>
        <w:rFonts w:hint="default" w:ascii="Wingdings" w:hAnsi="Wingdings"/>
      </w:rPr>
    </w:lvl>
  </w:abstractNum>
  <w:abstractNum w:abstractNumId="28">
    <w:nsid w:val="57DC4EDD"/>
    <w:multiLevelType w:val="multilevel"/>
    <w:tmpl w:val="57DC4EDD"/>
    <w:lvl w:ilvl="0" w:tentative="0">
      <w:start w:val="1"/>
      <w:numFmt w:val="decimal"/>
      <w:pStyle w:val="369"/>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9">
    <w:nsid w:val="594D164A"/>
    <w:multiLevelType w:val="multilevel"/>
    <w:tmpl w:val="594D164A"/>
    <w:lvl w:ilvl="0" w:tentative="0">
      <w:start w:val="1"/>
      <w:numFmt w:val="bullet"/>
      <w:pStyle w:val="376"/>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322"/>
        </w:tabs>
        <w:ind w:left="1322" w:hanging="420"/>
      </w:pPr>
      <w:rPr>
        <w:rFonts w:hint="default" w:ascii="Wingdings" w:hAnsi="Wingdings"/>
      </w:rPr>
    </w:lvl>
    <w:lvl w:ilvl="2" w:tentative="0">
      <w:start w:val="1"/>
      <w:numFmt w:val="bullet"/>
      <w:lvlText w:val=""/>
      <w:lvlJc w:val="left"/>
      <w:pPr>
        <w:tabs>
          <w:tab w:val="left" w:pos="1742"/>
        </w:tabs>
        <w:ind w:left="1742" w:hanging="420"/>
      </w:pPr>
      <w:rPr>
        <w:rFonts w:hint="default" w:ascii="Wingdings" w:hAnsi="Wingdings"/>
      </w:rPr>
    </w:lvl>
    <w:lvl w:ilvl="3" w:tentative="0">
      <w:start w:val="1"/>
      <w:numFmt w:val="bullet"/>
      <w:lvlText w:val=""/>
      <w:lvlJc w:val="left"/>
      <w:pPr>
        <w:tabs>
          <w:tab w:val="left" w:pos="2162"/>
        </w:tabs>
        <w:ind w:left="2162" w:hanging="420"/>
      </w:pPr>
      <w:rPr>
        <w:rFonts w:hint="default" w:ascii="Wingdings" w:hAnsi="Wingdings"/>
      </w:rPr>
    </w:lvl>
    <w:lvl w:ilvl="4" w:tentative="0">
      <w:start w:val="1"/>
      <w:numFmt w:val="bullet"/>
      <w:lvlText w:val=""/>
      <w:lvlJc w:val="left"/>
      <w:pPr>
        <w:tabs>
          <w:tab w:val="left" w:pos="2582"/>
        </w:tabs>
        <w:ind w:left="2582" w:hanging="420"/>
      </w:pPr>
      <w:rPr>
        <w:rFonts w:hint="default" w:ascii="Wingdings" w:hAnsi="Wingdings"/>
      </w:rPr>
    </w:lvl>
    <w:lvl w:ilvl="5" w:tentative="0">
      <w:start w:val="1"/>
      <w:numFmt w:val="bullet"/>
      <w:lvlText w:val=""/>
      <w:lvlJc w:val="left"/>
      <w:pPr>
        <w:tabs>
          <w:tab w:val="left" w:pos="3002"/>
        </w:tabs>
        <w:ind w:left="3002" w:hanging="420"/>
      </w:pPr>
      <w:rPr>
        <w:rFonts w:hint="default" w:ascii="Wingdings" w:hAnsi="Wingdings"/>
      </w:rPr>
    </w:lvl>
    <w:lvl w:ilvl="6" w:tentative="0">
      <w:start w:val="1"/>
      <w:numFmt w:val="bullet"/>
      <w:lvlText w:val=""/>
      <w:lvlJc w:val="left"/>
      <w:pPr>
        <w:tabs>
          <w:tab w:val="left" w:pos="3422"/>
        </w:tabs>
        <w:ind w:left="3422" w:hanging="420"/>
      </w:pPr>
      <w:rPr>
        <w:rFonts w:hint="default" w:ascii="Wingdings" w:hAnsi="Wingdings"/>
      </w:rPr>
    </w:lvl>
    <w:lvl w:ilvl="7" w:tentative="0">
      <w:start w:val="1"/>
      <w:numFmt w:val="bullet"/>
      <w:lvlText w:val=""/>
      <w:lvlJc w:val="left"/>
      <w:pPr>
        <w:tabs>
          <w:tab w:val="left" w:pos="3842"/>
        </w:tabs>
        <w:ind w:left="3842" w:hanging="420"/>
      </w:pPr>
      <w:rPr>
        <w:rFonts w:hint="default" w:ascii="Wingdings" w:hAnsi="Wingdings"/>
      </w:rPr>
    </w:lvl>
    <w:lvl w:ilvl="8" w:tentative="0">
      <w:start w:val="1"/>
      <w:numFmt w:val="bullet"/>
      <w:lvlText w:val=""/>
      <w:lvlJc w:val="left"/>
      <w:pPr>
        <w:tabs>
          <w:tab w:val="left" w:pos="4262"/>
        </w:tabs>
        <w:ind w:left="4262" w:hanging="420"/>
      </w:pPr>
      <w:rPr>
        <w:rFonts w:hint="default" w:ascii="Wingdings" w:hAnsi="Wingdings"/>
      </w:rPr>
    </w:lvl>
  </w:abstractNum>
  <w:abstractNum w:abstractNumId="30">
    <w:nsid w:val="5A7E523C"/>
    <w:multiLevelType w:val="multilevel"/>
    <w:tmpl w:val="5A7E523C"/>
    <w:lvl w:ilvl="0" w:tentative="0">
      <w:start w:val="1"/>
      <w:numFmt w:val="bullet"/>
      <w:pStyle w:val="480"/>
      <w:lvlText w:val=""/>
      <w:lvlJc w:val="left"/>
      <w:pPr>
        <w:ind w:left="1694" w:hanging="420"/>
      </w:pPr>
      <w:rPr>
        <w:rFonts w:hint="default" w:ascii="Wingdings" w:hAnsi="Wingdings"/>
      </w:rPr>
    </w:lvl>
    <w:lvl w:ilvl="1" w:tentative="0">
      <w:start w:val="1"/>
      <w:numFmt w:val="bullet"/>
      <w:lvlText w:val=""/>
      <w:lvlJc w:val="left"/>
      <w:pPr>
        <w:ind w:left="2114" w:hanging="420"/>
      </w:pPr>
      <w:rPr>
        <w:rFonts w:hint="default" w:ascii="Wingdings" w:hAnsi="Wingdings"/>
      </w:rPr>
    </w:lvl>
    <w:lvl w:ilvl="2" w:tentative="0">
      <w:start w:val="1"/>
      <w:numFmt w:val="bullet"/>
      <w:lvlText w:val=""/>
      <w:lvlJc w:val="left"/>
      <w:pPr>
        <w:ind w:left="2534" w:hanging="420"/>
      </w:pPr>
      <w:rPr>
        <w:rFonts w:hint="default" w:ascii="Wingdings" w:hAnsi="Wingdings"/>
      </w:rPr>
    </w:lvl>
    <w:lvl w:ilvl="3" w:tentative="0">
      <w:start w:val="1"/>
      <w:numFmt w:val="bullet"/>
      <w:lvlText w:val=""/>
      <w:lvlJc w:val="left"/>
      <w:pPr>
        <w:ind w:left="2954" w:hanging="420"/>
      </w:pPr>
      <w:rPr>
        <w:rFonts w:hint="default" w:ascii="Wingdings" w:hAnsi="Wingdings"/>
      </w:rPr>
    </w:lvl>
    <w:lvl w:ilvl="4" w:tentative="0">
      <w:start w:val="1"/>
      <w:numFmt w:val="bullet"/>
      <w:lvlText w:val=""/>
      <w:lvlJc w:val="left"/>
      <w:pPr>
        <w:ind w:left="3374" w:hanging="420"/>
      </w:pPr>
      <w:rPr>
        <w:rFonts w:hint="default" w:ascii="Wingdings" w:hAnsi="Wingdings"/>
      </w:rPr>
    </w:lvl>
    <w:lvl w:ilvl="5" w:tentative="0">
      <w:start w:val="1"/>
      <w:numFmt w:val="bullet"/>
      <w:lvlText w:val=""/>
      <w:lvlJc w:val="left"/>
      <w:pPr>
        <w:ind w:left="3794" w:hanging="420"/>
      </w:pPr>
      <w:rPr>
        <w:rFonts w:hint="default" w:ascii="Wingdings" w:hAnsi="Wingdings"/>
      </w:rPr>
    </w:lvl>
    <w:lvl w:ilvl="6" w:tentative="0">
      <w:start w:val="1"/>
      <w:numFmt w:val="bullet"/>
      <w:lvlText w:val=""/>
      <w:lvlJc w:val="left"/>
      <w:pPr>
        <w:ind w:left="4214" w:hanging="420"/>
      </w:pPr>
      <w:rPr>
        <w:rFonts w:hint="default" w:ascii="Wingdings" w:hAnsi="Wingdings"/>
      </w:rPr>
    </w:lvl>
    <w:lvl w:ilvl="7" w:tentative="0">
      <w:start w:val="1"/>
      <w:numFmt w:val="bullet"/>
      <w:lvlText w:val=""/>
      <w:lvlJc w:val="left"/>
      <w:pPr>
        <w:ind w:left="4634" w:hanging="420"/>
      </w:pPr>
      <w:rPr>
        <w:rFonts w:hint="default" w:ascii="Wingdings" w:hAnsi="Wingdings"/>
      </w:rPr>
    </w:lvl>
    <w:lvl w:ilvl="8" w:tentative="0">
      <w:start w:val="1"/>
      <w:numFmt w:val="bullet"/>
      <w:lvlText w:val=""/>
      <w:lvlJc w:val="left"/>
      <w:pPr>
        <w:ind w:left="5054" w:hanging="420"/>
      </w:pPr>
      <w:rPr>
        <w:rFonts w:hint="default" w:ascii="Wingdings" w:hAnsi="Wingdings"/>
      </w:rPr>
    </w:lvl>
  </w:abstractNum>
  <w:abstractNum w:abstractNumId="31">
    <w:nsid w:val="5BDEA4DE"/>
    <w:multiLevelType w:val="singleLevel"/>
    <w:tmpl w:val="5BDEA4DE"/>
    <w:lvl w:ilvl="0" w:tentative="0">
      <w:start w:val="1"/>
      <w:numFmt w:val="decimal"/>
      <w:pStyle w:val="516"/>
      <w:lvlText w:val="%1)"/>
      <w:lvlJc w:val="left"/>
      <w:pPr>
        <w:ind w:left="425" w:hanging="425"/>
      </w:pPr>
      <w:rPr>
        <w:rFonts w:hint="default"/>
      </w:rPr>
    </w:lvl>
  </w:abstractNum>
  <w:abstractNum w:abstractNumId="32">
    <w:nsid w:val="5C7E2522"/>
    <w:multiLevelType w:val="multilevel"/>
    <w:tmpl w:val="5C7E2522"/>
    <w:lvl w:ilvl="0" w:tentative="0">
      <w:start w:val="1"/>
      <w:numFmt w:val="bullet"/>
      <w:pStyle w:val="491"/>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3">
    <w:nsid w:val="60B55DC2"/>
    <w:multiLevelType w:val="multilevel"/>
    <w:tmpl w:val="60B55DC2"/>
    <w:lvl w:ilvl="0" w:tentative="0">
      <w:start w:val="1"/>
      <w:numFmt w:val="upperLetter"/>
      <w:pStyle w:val="44"/>
      <w:lvlText w:val="%1"/>
      <w:lvlJc w:val="left"/>
      <w:pPr>
        <w:tabs>
          <w:tab w:val="left" w:pos="0"/>
        </w:tabs>
        <w:ind w:left="0" w:hanging="425"/>
      </w:pPr>
      <w:rPr>
        <w:rFonts w:hint="eastAsia"/>
      </w:rPr>
    </w:lvl>
    <w:lvl w:ilvl="1" w:tentative="0">
      <w:start w:val="1"/>
      <w:numFmt w:val="decimal"/>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34">
    <w:nsid w:val="61164534"/>
    <w:multiLevelType w:val="multilevel"/>
    <w:tmpl w:val="61164534"/>
    <w:lvl w:ilvl="0" w:tentative="0">
      <w:start w:val="1"/>
      <w:numFmt w:val="bullet"/>
      <w:pStyle w:val="566"/>
      <w:lvlText w:val=""/>
      <w:lvlJc w:val="left"/>
      <w:pPr>
        <w:tabs>
          <w:tab w:val="left" w:pos="987"/>
        </w:tabs>
        <w:ind w:left="987" w:hanging="420"/>
      </w:pPr>
      <w:rPr>
        <w:rFonts w:hint="default" w:ascii="Wingdings" w:hAnsi="Wingdings"/>
      </w:rPr>
    </w:lvl>
    <w:lvl w:ilvl="1" w:tentative="0">
      <w:start w:val="1"/>
      <w:numFmt w:val="bullet"/>
      <w:lvlText w:val=""/>
      <w:lvlJc w:val="left"/>
      <w:pPr>
        <w:tabs>
          <w:tab w:val="left" w:pos="927"/>
        </w:tabs>
        <w:ind w:left="927" w:hanging="420"/>
      </w:pPr>
      <w:rPr>
        <w:rFonts w:hint="default" w:ascii="Wingdings" w:hAnsi="Wingdings"/>
      </w:rPr>
    </w:lvl>
    <w:lvl w:ilvl="2" w:tentative="0">
      <w:start w:val="1"/>
      <w:numFmt w:val="bullet"/>
      <w:lvlText w:val=""/>
      <w:lvlJc w:val="left"/>
      <w:pPr>
        <w:tabs>
          <w:tab w:val="left" w:pos="1347"/>
        </w:tabs>
        <w:ind w:left="1347" w:hanging="420"/>
      </w:pPr>
      <w:rPr>
        <w:rFonts w:hint="default" w:ascii="Wingdings" w:hAnsi="Wingdings"/>
      </w:rPr>
    </w:lvl>
    <w:lvl w:ilvl="3" w:tentative="0">
      <w:start w:val="1"/>
      <w:numFmt w:val="bullet"/>
      <w:lvlText w:val=""/>
      <w:lvlJc w:val="left"/>
      <w:pPr>
        <w:tabs>
          <w:tab w:val="left" w:pos="1767"/>
        </w:tabs>
        <w:ind w:left="1767" w:hanging="420"/>
      </w:pPr>
      <w:rPr>
        <w:rFonts w:hint="default" w:ascii="Wingdings" w:hAnsi="Wingdings"/>
      </w:rPr>
    </w:lvl>
    <w:lvl w:ilvl="4" w:tentative="0">
      <w:start w:val="1"/>
      <w:numFmt w:val="bullet"/>
      <w:lvlText w:val=""/>
      <w:lvlJc w:val="left"/>
      <w:pPr>
        <w:tabs>
          <w:tab w:val="left" w:pos="2187"/>
        </w:tabs>
        <w:ind w:left="2187" w:hanging="420"/>
      </w:pPr>
      <w:rPr>
        <w:rFonts w:hint="default" w:ascii="Wingdings" w:hAnsi="Wingdings"/>
      </w:rPr>
    </w:lvl>
    <w:lvl w:ilvl="5" w:tentative="0">
      <w:start w:val="1"/>
      <w:numFmt w:val="bullet"/>
      <w:lvlText w:val=""/>
      <w:lvlJc w:val="left"/>
      <w:pPr>
        <w:tabs>
          <w:tab w:val="left" w:pos="2607"/>
        </w:tabs>
        <w:ind w:left="2607" w:hanging="420"/>
      </w:pPr>
      <w:rPr>
        <w:rFonts w:hint="default" w:ascii="Wingdings" w:hAnsi="Wingdings"/>
      </w:rPr>
    </w:lvl>
    <w:lvl w:ilvl="6" w:tentative="0">
      <w:start w:val="1"/>
      <w:numFmt w:val="bullet"/>
      <w:lvlText w:val=""/>
      <w:lvlJc w:val="left"/>
      <w:pPr>
        <w:tabs>
          <w:tab w:val="left" w:pos="3027"/>
        </w:tabs>
        <w:ind w:left="3027" w:hanging="420"/>
      </w:pPr>
      <w:rPr>
        <w:rFonts w:hint="default" w:ascii="Wingdings" w:hAnsi="Wingdings"/>
      </w:rPr>
    </w:lvl>
    <w:lvl w:ilvl="7" w:tentative="0">
      <w:start w:val="1"/>
      <w:numFmt w:val="bullet"/>
      <w:lvlText w:val=""/>
      <w:lvlJc w:val="left"/>
      <w:pPr>
        <w:tabs>
          <w:tab w:val="left" w:pos="3447"/>
        </w:tabs>
        <w:ind w:left="3447" w:hanging="420"/>
      </w:pPr>
      <w:rPr>
        <w:rFonts w:hint="default" w:ascii="Wingdings" w:hAnsi="Wingdings"/>
      </w:rPr>
    </w:lvl>
    <w:lvl w:ilvl="8" w:tentative="0">
      <w:start w:val="1"/>
      <w:numFmt w:val="bullet"/>
      <w:lvlText w:val=""/>
      <w:lvlJc w:val="left"/>
      <w:pPr>
        <w:tabs>
          <w:tab w:val="left" w:pos="3867"/>
        </w:tabs>
        <w:ind w:left="3867" w:hanging="420"/>
      </w:pPr>
      <w:rPr>
        <w:rFonts w:hint="default" w:ascii="Wingdings" w:hAnsi="Wingdings"/>
      </w:rPr>
    </w:lvl>
  </w:abstractNum>
  <w:abstractNum w:abstractNumId="35">
    <w:nsid w:val="61947298"/>
    <w:multiLevelType w:val="multilevel"/>
    <w:tmpl w:val="61947298"/>
    <w:lvl w:ilvl="0" w:tentative="0">
      <w:start w:val="1"/>
      <w:numFmt w:val="decimal"/>
      <w:lvlText w:val="第%1章."/>
      <w:lvlJc w:val="left"/>
      <w:pPr>
        <w:ind w:left="425" w:hanging="425"/>
      </w:pPr>
      <w:rPr>
        <w:rFonts w:hint="default"/>
        <w:b/>
        <w:i w:val="0"/>
        <w:color w:val="auto"/>
        <w:sz w:val="32"/>
        <w:szCs w:val="32"/>
      </w:rPr>
    </w:lvl>
    <w:lvl w:ilvl="1" w:tentative="0">
      <w:start w:val="1"/>
      <w:numFmt w:val="decimal"/>
      <w:lvlText w:val="%1.%2."/>
      <w:lvlJc w:val="left"/>
      <w:pPr>
        <w:ind w:left="567" w:hanging="567"/>
      </w:pPr>
      <w:rPr>
        <w:rFonts w:hint="default"/>
        <w:color w:val="auto"/>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1" w:hanging="851"/>
      </w:pPr>
      <w:rPr>
        <w:rFonts w:hint="default"/>
      </w:rPr>
    </w:lvl>
    <w:lvl w:ilvl="4" w:tentative="0">
      <w:start w:val="1"/>
      <w:numFmt w:val="decimal"/>
      <w:lvlText w:val="%1.%2.%3.%4.%5."/>
      <w:lvlJc w:val="left"/>
      <w:pPr>
        <w:ind w:left="992" w:hanging="992"/>
      </w:pPr>
      <w:rPr>
        <w:rFonts w:hint="default"/>
      </w:rPr>
    </w:lvl>
    <w:lvl w:ilvl="5" w:tentative="0">
      <w:start w:val="1"/>
      <w:numFmt w:val="decimal"/>
      <w:lvlText w:val="%1.%2.%3.%4.%5.%6."/>
      <w:lvlJc w:val="left"/>
      <w:pPr>
        <w:ind w:left="1134" w:hanging="1134"/>
      </w:pPr>
      <w:rPr>
        <w:rFonts w:hint="default" w:ascii="宋体" w:hAnsi="宋体" w:eastAsia="宋体" w:cs="宋体"/>
      </w:rPr>
    </w:lvl>
    <w:lvl w:ilvl="6" w:tentative="0">
      <w:start w:val="1"/>
      <w:numFmt w:val="decimal"/>
      <w:lvlText w:val="%1.%2.%3.%4.%5.%6.%7."/>
      <w:lvlJc w:val="left"/>
      <w:pPr>
        <w:ind w:left="1276" w:hanging="1276"/>
      </w:pPr>
      <w:rPr>
        <w:rFonts w:hint="default" w:ascii="宋体" w:hAnsi="宋体" w:eastAsia="宋体" w:cs="宋体"/>
      </w:rPr>
    </w:lvl>
    <w:lvl w:ilvl="7" w:tentative="0">
      <w:start w:val="1"/>
      <w:numFmt w:val="decimal"/>
      <w:pStyle w:val="595"/>
      <w:lvlText w:val="%1.%2.%3.%4.%5.%6.%7.%8."/>
      <w:lvlJc w:val="left"/>
      <w:pPr>
        <w:ind w:left="1418" w:hanging="1418"/>
      </w:pPr>
      <w:rPr>
        <w:rFonts w:hint="default" w:ascii="宋体" w:hAnsi="宋体" w:eastAsia="宋体" w:cs="宋体"/>
      </w:rPr>
    </w:lvl>
    <w:lvl w:ilvl="8" w:tentative="0">
      <w:start w:val="1"/>
      <w:numFmt w:val="decimal"/>
      <w:lvlText w:val="%1.%2.%3.%4.%5.%6.%7.%8.%9."/>
      <w:lvlJc w:val="left"/>
      <w:pPr>
        <w:ind w:left="1559" w:hanging="1559"/>
      </w:pPr>
      <w:rPr>
        <w:rFonts w:hint="eastAsia"/>
      </w:rPr>
    </w:lvl>
  </w:abstractNum>
  <w:abstractNum w:abstractNumId="36">
    <w:nsid w:val="6314305D"/>
    <w:multiLevelType w:val="multilevel"/>
    <w:tmpl w:val="6314305D"/>
    <w:lvl w:ilvl="0" w:tentative="0">
      <w:start w:val="1"/>
      <w:numFmt w:val="bullet"/>
      <w:pStyle w:val="436"/>
      <w:lvlText w:val=""/>
      <w:lvlJc w:val="left"/>
      <w:pPr>
        <w:tabs>
          <w:tab w:val="left" w:pos="620"/>
        </w:tabs>
        <w:ind w:left="6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pStyle w:val="437"/>
      <w:lvlText w:val="%3."/>
      <w:lvlJc w:val="left"/>
      <w:pPr>
        <w:tabs>
          <w:tab w:val="left" w:pos="2160"/>
        </w:tabs>
        <w:ind w:left="2160" w:hanging="360"/>
      </w:p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6350366A"/>
    <w:multiLevelType w:val="multilevel"/>
    <w:tmpl w:val="6350366A"/>
    <w:lvl w:ilvl="0" w:tentative="0">
      <w:start w:val="1"/>
      <w:numFmt w:val="none"/>
      <w:pStyle w:val="14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8">
    <w:nsid w:val="646260FA"/>
    <w:multiLevelType w:val="multilevel"/>
    <w:tmpl w:val="646260FA"/>
    <w:lvl w:ilvl="0" w:tentative="0">
      <w:start w:val="1"/>
      <w:numFmt w:val="decimal"/>
      <w:pStyle w:val="350"/>
      <w:suff w:val="nothing"/>
      <w:lvlText w:val="表%1　"/>
      <w:lvlJc w:val="left"/>
      <w:pPr>
        <w:ind w:left="3675" w:firstLine="0"/>
      </w:pPr>
      <w:rPr>
        <w:rFonts w:hint="eastAsia" w:ascii="黑体" w:hAnsi="Times New Roman" w:eastAsia="黑体"/>
        <w:b w:val="0"/>
        <w:i w:val="0"/>
        <w:color w:val="000000"/>
        <w:sz w:val="21"/>
      </w:rPr>
    </w:lvl>
    <w:lvl w:ilvl="1" w:tentative="0">
      <w:start w:val="1"/>
      <w:numFmt w:val="decimal"/>
      <w:lvlText w:val="%1.%2"/>
      <w:lvlJc w:val="left"/>
      <w:pPr>
        <w:tabs>
          <w:tab w:val="left" w:pos="887"/>
        </w:tabs>
        <w:ind w:left="887" w:hanging="567"/>
      </w:pPr>
    </w:lvl>
    <w:lvl w:ilvl="2" w:tentative="0">
      <w:start w:val="1"/>
      <w:numFmt w:val="decimal"/>
      <w:lvlText w:val="%1.%2.%3"/>
      <w:lvlJc w:val="left"/>
      <w:pPr>
        <w:tabs>
          <w:tab w:val="left" w:pos="1313"/>
        </w:tabs>
        <w:ind w:left="1313" w:hanging="567"/>
      </w:pPr>
    </w:lvl>
    <w:lvl w:ilvl="3" w:tentative="0">
      <w:start w:val="1"/>
      <w:numFmt w:val="decimal"/>
      <w:lvlText w:val="%1.%2.%3.%4"/>
      <w:lvlJc w:val="left"/>
      <w:pPr>
        <w:tabs>
          <w:tab w:val="left" w:pos="1879"/>
        </w:tabs>
        <w:ind w:left="1879" w:hanging="708"/>
      </w:pPr>
    </w:lvl>
    <w:lvl w:ilvl="4" w:tentative="0">
      <w:start w:val="1"/>
      <w:numFmt w:val="decimal"/>
      <w:lvlText w:val="%1.%2.%3.%4.%5"/>
      <w:lvlJc w:val="left"/>
      <w:pPr>
        <w:tabs>
          <w:tab w:val="left" w:pos="2446"/>
        </w:tabs>
        <w:ind w:left="2446" w:hanging="850"/>
      </w:pPr>
    </w:lvl>
    <w:lvl w:ilvl="5" w:tentative="0">
      <w:start w:val="1"/>
      <w:numFmt w:val="decimal"/>
      <w:lvlText w:val="%1.%2.%3.%4.%5.%6"/>
      <w:lvlJc w:val="left"/>
      <w:pPr>
        <w:tabs>
          <w:tab w:val="left" w:pos="3155"/>
        </w:tabs>
        <w:ind w:left="3155" w:hanging="1134"/>
      </w:pPr>
    </w:lvl>
    <w:lvl w:ilvl="6" w:tentative="0">
      <w:start w:val="1"/>
      <w:numFmt w:val="decimal"/>
      <w:lvlText w:val="%1.%2.%3.%4.%5.%6.%7"/>
      <w:lvlJc w:val="left"/>
      <w:pPr>
        <w:tabs>
          <w:tab w:val="left" w:pos="3722"/>
        </w:tabs>
        <w:ind w:left="3722" w:hanging="1276"/>
      </w:pPr>
    </w:lvl>
    <w:lvl w:ilvl="7" w:tentative="0">
      <w:start w:val="1"/>
      <w:numFmt w:val="decimal"/>
      <w:lvlText w:val="%1.%2.%3.%4.%5.%6.%7.%8"/>
      <w:lvlJc w:val="left"/>
      <w:pPr>
        <w:tabs>
          <w:tab w:val="left" w:pos="4289"/>
        </w:tabs>
        <w:ind w:left="4289" w:hanging="1418"/>
      </w:pPr>
    </w:lvl>
    <w:lvl w:ilvl="8" w:tentative="0">
      <w:start w:val="1"/>
      <w:numFmt w:val="decimal"/>
      <w:lvlText w:val="%1.%2.%3.%4.%5.%6.%7.%8.%9"/>
      <w:lvlJc w:val="left"/>
      <w:pPr>
        <w:tabs>
          <w:tab w:val="left" w:pos="4997"/>
        </w:tabs>
        <w:ind w:left="4997" w:hanging="1700"/>
      </w:pPr>
    </w:lvl>
  </w:abstractNum>
  <w:abstractNum w:abstractNumId="39">
    <w:nsid w:val="653B5CB5"/>
    <w:multiLevelType w:val="multilevel"/>
    <w:tmpl w:val="653B5CB5"/>
    <w:lvl w:ilvl="0" w:tentative="0">
      <w:start w:val="1"/>
      <w:numFmt w:val="decimal"/>
      <w:pStyle w:val="198"/>
      <w:suff w:val="space"/>
      <w:lvlText w:val="第%1章"/>
      <w:lvlJc w:val="left"/>
      <w:pPr>
        <w:ind w:left="0" w:firstLine="0"/>
      </w:pPr>
      <w:rPr>
        <w:rFonts w:hint="eastAsia"/>
      </w:rPr>
    </w:lvl>
    <w:lvl w:ilvl="1" w:tentative="0">
      <w:start w:val="1"/>
      <w:numFmt w:val="decimal"/>
      <w:pStyle w:val="200"/>
      <w:suff w:val="space"/>
      <w:lvlText w:val="%1.%2"/>
      <w:lvlJc w:val="left"/>
      <w:pPr>
        <w:ind w:left="0" w:firstLine="0"/>
      </w:pPr>
      <w:rPr>
        <w:rFonts w:hint="default" w:ascii="Cambria" w:hAnsi="Cambria"/>
      </w:rPr>
    </w:lvl>
    <w:lvl w:ilvl="2" w:tentative="0">
      <w:start w:val="1"/>
      <w:numFmt w:val="decimal"/>
      <w:pStyle w:val="202"/>
      <w:suff w:val="space"/>
      <w:lvlText w:val="%1.%2.%3"/>
      <w:lvlJc w:val="left"/>
      <w:pPr>
        <w:ind w:left="0" w:firstLine="0"/>
      </w:pPr>
      <w:rPr>
        <w:rFonts w:hint="default" w:ascii="Cambria" w:hAnsi="Cambria"/>
      </w:rPr>
    </w:lvl>
    <w:lvl w:ilvl="3" w:tentative="0">
      <w:start w:val="1"/>
      <w:numFmt w:val="decimal"/>
      <w:lvlText w:val="%4."/>
      <w:lvlJc w:val="left"/>
      <w:pPr>
        <w:ind w:left="480" w:hanging="480"/>
      </w:pPr>
      <w:rPr>
        <w:rFonts w:hint="default"/>
      </w:rPr>
    </w:lvl>
    <w:lvl w:ilvl="4" w:tentative="0">
      <w:start w:val="1"/>
      <w:numFmt w:val="decimal"/>
      <w:pStyle w:val="206"/>
      <w:lvlText w:val="%1.%2.%3.%4.%5"/>
      <w:lvlJc w:val="left"/>
      <w:pPr>
        <w:ind w:left="2551" w:hanging="850"/>
      </w:pPr>
      <w:rPr>
        <w:rFonts w:hint="eastAsia"/>
      </w:rPr>
    </w:lvl>
    <w:lvl w:ilvl="5" w:tentative="0">
      <w:start w:val="1"/>
      <w:numFmt w:val="decimal"/>
      <w:pStyle w:val="208"/>
      <w:lvlText w:val="%1.%2.%3.%4.%5.%6"/>
      <w:lvlJc w:val="left"/>
      <w:pPr>
        <w:ind w:left="3260" w:hanging="1134"/>
      </w:pPr>
      <w:rPr>
        <w:rFonts w:hint="default" w:ascii="Cambria" w:hAnsi="Cambria"/>
      </w:rPr>
    </w:lvl>
    <w:lvl w:ilvl="6" w:tentative="0">
      <w:start w:val="1"/>
      <w:numFmt w:val="decimal"/>
      <w:lvlText w:val="%1.%2.%3.%4.%5.%6.%7"/>
      <w:lvlJc w:val="left"/>
      <w:pPr>
        <w:ind w:left="3827" w:hanging="1276"/>
      </w:pPr>
      <w:rPr>
        <w:rFonts w:hint="default" w:ascii="Cambria" w:hAnsi="Cambr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0">
    <w:nsid w:val="657D3FBC"/>
    <w:multiLevelType w:val="multilevel"/>
    <w:tmpl w:val="657D3FBC"/>
    <w:lvl w:ilvl="0" w:tentative="0">
      <w:start w:val="1"/>
      <w:numFmt w:val="upperLetter"/>
      <w:pStyle w:val="318"/>
      <w:suff w:val="nothing"/>
      <w:lvlText w:val="附　录　%1"/>
      <w:lvlJc w:val="left"/>
      <w:pPr>
        <w:ind w:left="0" w:firstLine="0"/>
      </w:pPr>
      <w:rPr>
        <w:rFonts w:hint="eastAsia" w:ascii="黑体" w:eastAsia="黑体" w:cs="Times New Roman"/>
        <w:b/>
        <w:bCs/>
        <w:i w:val="0"/>
        <w:iCs w:val="0"/>
        <w:caps w:val="0"/>
        <w:smallCaps w:val="0"/>
        <w:strike w:val="0"/>
        <w:dstrike w:val="0"/>
        <w:vanish w:val="0"/>
        <w:color w:val="auto"/>
        <w:spacing w:val="0"/>
        <w:w w:val="100"/>
        <w:kern w:val="0"/>
        <w:position w:val="0"/>
        <w:sz w:val="28"/>
        <w:u w:val="none"/>
        <w:shd w:val="clear" w:color="auto" w:fill="auto"/>
        <w:vertAlign w:val="baseline"/>
        <w:lang w:val="en-US"/>
      </w:rPr>
    </w:lvl>
    <w:lvl w:ilvl="1" w:tentative="0">
      <w:start w:val="1"/>
      <w:numFmt w:val="decimal"/>
      <w:suff w:val="nothing"/>
      <w:lvlText w:val="%1.%2　"/>
      <w:lvlJc w:val="left"/>
      <w:pPr>
        <w:ind w:left="0" w:firstLine="0"/>
      </w:pPr>
      <w:rPr>
        <w:rFonts w:hint="eastAsia" w:ascii="黑体" w:hAnsi="Times New Roman" w:eastAsia="黑体"/>
        <w:b/>
        <w:i w:val="0"/>
        <w:snapToGrid/>
        <w:spacing w:val="0"/>
        <w:w w:val="100"/>
        <w:kern w:val="21"/>
        <w:sz w:val="28"/>
      </w:rPr>
    </w:lvl>
    <w:lvl w:ilvl="2" w:tentative="0">
      <w:start w:val="1"/>
      <w:numFmt w:val="decimal"/>
      <w:suff w:val="nothing"/>
      <w:lvlText w:val="%1.%2.%3　"/>
      <w:lvlJc w:val="left"/>
      <w:pPr>
        <w:ind w:left="0" w:firstLine="0"/>
      </w:pPr>
      <w:rPr>
        <w:rFonts w:hint="eastAsia" w:ascii="黑体" w:hAnsi="Times New Roman" w:eastAsia="黑体"/>
        <w:b/>
        <w:i w:val="0"/>
        <w:sz w:val="28"/>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1">
    <w:nsid w:val="65E13960"/>
    <w:multiLevelType w:val="multilevel"/>
    <w:tmpl w:val="65E13960"/>
    <w:lvl w:ilvl="0" w:tentative="0">
      <w:start w:val="1"/>
      <w:numFmt w:val="bullet"/>
      <w:pStyle w:val="383"/>
      <w:lvlText w:val=""/>
      <w:lvlJc w:val="left"/>
      <w:pPr>
        <w:tabs>
          <w:tab w:val="left" w:pos="1350"/>
        </w:tabs>
        <w:ind w:left="1350" w:hanging="510"/>
      </w:pPr>
      <w:rPr>
        <w:rFonts w:hint="default" w:ascii="Wingdings" w:hAnsi="Wingdings" w:cs="Wingdings"/>
        <w:color w:val="000000"/>
        <w:sz w:val="13"/>
        <w:szCs w:val="13"/>
        <w:u w:val="none"/>
      </w:rPr>
    </w:lvl>
    <w:lvl w:ilvl="1" w:tentative="0">
      <w:start w:val="1"/>
      <w:numFmt w:val="bullet"/>
      <w:lvlText w:val=""/>
      <w:lvlJc w:val="left"/>
      <w:pPr>
        <w:tabs>
          <w:tab w:val="left" w:pos="546"/>
        </w:tabs>
        <w:ind w:left="546" w:hanging="420"/>
      </w:pPr>
      <w:rPr>
        <w:rFonts w:hint="default" w:ascii="Wingdings" w:hAnsi="Wingdings"/>
      </w:rPr>
    </w:lvl>
    <w:lvl w:ilvl="2" w:tentative="0">
      <w:start w:val="1"/>
      <w:numFmt w:val="bullet"/>
      <w:lvlText w:val=""/>
      <w:lvlJc w:val="left"/>
      <w:pPr>
        <w:tabs>
          <w:tab w:val="left" w:pos="966"/>
        </w:tabs>
        <w:ind w:left="966" w:hanging="420"/>
      </w:pPr>
      <w:rPr>
        <w:rFonts w:hint="default" w:ascii="Wingdings" w:hAnsi="Wingdings"/>
      </w:rPr>
    </w:lvl>
    <w:lvl w:ilvl="3" w:tentative="0">
      <w:start w:val="1"/>
      <w:numFmt w:val="bullet"/>
      <w:lvlText w:val=""/>
      <w:lvlJc w:val="left"/>
      <w:pPr>
        <w:tabs>
          <w:tab w:val="left" w:pos="1386"/>
        </w:tabs>
        <w:ind w:left="1386" w:hanging="420"/>
      </w:pPr>
      <w:rPr>
        <w:rFonts w:hint="default" w:ascii="Wingdings" w:hAnsi="Wingdings"/>
      </w:rPr>
    </w:lvl>
    <w:lvl w:ilvl="4" w:tentative="0">
      <w:start w:val="1"/>
      <w:numFmt w:val="bullet"/>
      <w:lvlText w:val=""/>
      <w:lvlJc w:val="left"/>
      <w:pPr>
        <w:tabs>
          <w:tab w:val="left" w:pos="1806"/>
        </w:tabs>
        <w:ind w:left="1806" w:hanging="420"/>
      </w:pPr>
      <w:rPr>
        <w:rFonts w:hint="default" w:ascii="Wingdings" w:hAnsi="Wingdings"/>
      </w:rPr>
    </w:lvl>
    <w:lvl w:ilvl="5" w:tentative="0">
      <w:start w:val="1"/>
      <w:numFmt w:val="bullet"/>
      <w:lvlText w:val=""/>
      <w:lvlJc w:val="left"/>
      <w:pPr>
        <w:tabs>
          <w:tab w:val="left" w:pos="2226"/>
        </w:tabs>
        <w:ind w:left="2226" w:hanging="420"/>
      </w:pPr>
      <w:rPr>
        <w:rFonts w:hint="default" w:ascii="Wingdings" w:hAnsi="Wingdings"/>
      </w:rPr>
    </w:lvl>
    <w:lvl w:ilvl="6" w:tentative="0">
      <w:start w:val="1"/>
      <w:numFmt w:val="bullet"/>
      <w:lvlText w:val=""/>
      <w:lvlJc w:val="left"/>
      <w:pPr>
        <w:tabs>
          <w:tab w:val="left" w:pos="2646"/>
        </w:tabs>
        <w:ind w:left="2646" w:hanging="420"/>
      </w:pPr>
      <w:rPr>
        <w:rFonts w:hint="default" w:ascii="Wingdings" w:hAnsi="Wingdings"/>
      </w:rPr>
    </w:lvl>
    <w:lvl w:ilvl="7" w:tentative="0">
      <w:start w:val="1"/>
      <w:numFmt w:val="bullet"/>
      <w:lvlText w:val=""/>
      <w:lvlJc w:val="left"/>
      <w:pPr>
        <w:tabs>
          <w:tab w:val="left" w:pos="3066"/>
        </w:tabs>
        <w:ind w:left="3066" w:hanging="420"/>
      </w:pPr>
      <w:rPr>
        <w:rFonts w:hint="default" w:ascii="Wingdings" w:hAnsi="Wingdings"/>
      </w:rPr>
    </w:lvl>
    <w:lvl w:ilvl="8" w:tentative="0">
      <w:start w:val="1"/>
      <w:numFmt w:val="bullet"/>
      <w:lvlText w:val=""/>
      <w:lvlJc w:val="left"/>
      <w:pPr>
        <w:tabs>
          <w:tab w:val="left" w:pos="3486"/>
        </w:tabs>
        <w:ind w:left="3486" w:hanging="420"/>
      </w:pPr>
      <w:rPr>
        <w:rFonts w:hint="default" w:ascii="Wingdings" w:hAnsi="Wingdings"/>
      </w:rPr>
    </w:lvl>
  </w:abstractNum>
  <w:abstractNum w:abstractNumId="42">
    <w:nsid w:val="67917FB3"/>
    <w:multiLevelType w:val="multilevel"/>
    <w:tmpl w:val="67917FB3"/>
    <w:lvl w:ilvl="0" w:tentative="0">
      <w:start w:val="1"/>
      <w:numFmt w:val="bullet"/>
      <w:pStyle w:val="568"/>
      <w:lvlText w:val=""/>
      <w:lvlJc w:val="left"/>
      <w:pPr>
        <w:ind w:left="980" w:hanging="420"/>
      </w:pPr>
      <w:rPr>
        <w:rFonts w:hint="default" w:ascii="Wingdings" w:hAnsi="Wingdings"/>
      </w:rPr>
    </w:lvl>
    <w:lvl w:ilvl="1" w:tentative="0">
      <w:start w:val="1"/>
      <w:numFmt w:val="bullet"/>
      <w:lvlText w:val=""/>
      <w:lvlJc w:val="left"/>
      <w:pPr>
        <w:ind w:left="1400" w:hanging="420"/>
      </w:pPr>
    </w:lvl>
    <w:lvl w:ilvl="2" w:tentative="0">
      <w:start w:val="1"/>
      <w:numFmt w:val="bullet"/>
      <w:lvlText w:val=""/>
      <w:lvlJc w:val="left"/>
      <w:pPr>
        <w:ind w:left="1820" w:hanging="420"/>
      </w:pPr>
    </w:lvl>
    <w:lvl w:ilvl="3" w:tentative="0">
      <w:start w:val="1"/>
      <w:numFmt w:val="bullet"/>
      <w:lvlText w:val=""/>
      <w:lvlJc w:val="left"/>
      <w:pPr>
        <w:ind w:left="2240" w:hanging="420"/>
      </w:pPr>
    </w:lvl>
    <w:lvl w:ilvl="4" w:tentative="0">
      <w:start w:val="1"/>
      <w:numFmt w:val="bullet"/>
      <w:lvlText w:val=""/>
      <w:lvlJc w:val="left"/>
      <w:pPr>
        <w:ind w:left="2660" w:hanging="420"/>
      </w:pPr>
    </w:lvl>
    <w:lvl w:ilvl="5" w:tentative="0">
      <w:start w:val="1"/>
      <w:numFmt w:val="bullet"/>
      <w:lvlText w:val=""/>
      <w:lvlJc w:val="left"/>
      <w:pPr>
        <w:ind w:left="3080" w:hanging="420"/>
      </w:pPr>
    </w:lvl>
    <w:lvl w:ilvl="6" w:tentative="0">
      <w:start w:val="1"/>
      <w:numFmt w:val="bullet"/>
      <w:lvlText w:val=""/>
      <w:lvlJc w:val="left"/>
      <w:pPr>
        <w:ind w:left="3500" w:hanging="420"/>
      </w:pPr>
    </w:lvl>
    <w:lvl w:ilvl="7" w:tentative="0">
      <w:start w:val="1"/>
      <w:numFmt w:val="bullet"/>
      <w:lvlText w:val=""/>
      <w:lvlJc w:val="left"/>
      <w:pPr>
        <w:ind w:left="3920" w:hanging="420"/>
      </w:pPr>
    </w:lvl>
    <w:lvl w:ilvl="8" w:tentative="0">
      <w:start w:val="1"/>
      <w:numFmt w:val="bullet"/>
      <w:lvlText w:val=""/>
      <w:lvlJc w:val="left"/>
      <w:pPr>
        <w:ind w:left="4340" w:hanging="420"/>
      </w:pPr>
    </w:lvl>
  </w:abstractNum>
  <w:abstractNum w:abstractNumId="43">
    <w:nsid w:val="6A2F4AB3"/>
    <w:multiLevelType w:val="multilevel"/>
    <w:tmpl w:val="6A2F4AB3"/>
    <w:lvl w:ilvl="0" w:tentative="0">
      <w:start w:val="1"/>
      <w:numFmt w:val="chineseCountingThousand"/>
      <w:pStyle w:val="2"/>
      <w:suff w:val="nothing"/>
      <w:lvlText w:val="%1、"/>
      <w:lvlJc w:val="left"/>
      <w:pPr>
        <w:ind w:left="3260"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44">
    <w:nsid w:val="6BA85088"/>
    <w:multiLevelType w:val="multilevel"/>
    <w:tmpl w:val="6BA85088"/>
    <w:lvl w:ilvl="0" w:tentative="0">
      <w:start w:val="1"/>
      <w:numFmt w:val="bullet"/>
      <w:pStyle w:val="478"/>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5">
    <w:nsid w:val="6DBF04F4"/>
    <w:multiLevelType w:val="multilevel"/>
    <w:tmpl w:val="6DBF04F4"/>
    <w:lvl w:ilvl="0" w:tentative="0">
      <w:start w:val="1"/>
      <w:numFmt w:val="none"/>
      <w:pStyle w:val="673"/>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46">
    <w:nsid w:val="6DD96184"/>
    <w:multiLevelType w:val="multilevel"/>
    <w:tmpl w:val="6DD96184"/>
    <w:lvl w:ilvl="0" w:tentative="0">
      <w:start w:val="1"/>
      <w:numFmt w:val="decimal"/>
      <w:pStyle w:val="411"/>
      <w:lvlText w:val="%1."/>
      <w:lvlJc w:val="left"/>
      <w:pPr>
        <w:ind w:left="425" w:hanging="425"/>
      </w:pPr>
      <w:rPr>
        <w:rFonts w:hint="eastAsia"/>
      </w:rPr>
    </w:lvl>
    <w:lvl w:ilvl="1" w:tentative="0">
      <w:start w:val="1"/>
      <w:numFmt w:val="decimal"/>
      <w:pStyle w:val="412"/>
      <w:lvlText w:val="%1.%2"/>
      <w:lvlJc w:val="left"/>
      <w:pPr>
        <w:ind w:left="454" w:hanging="454"/>
      </w:pPr>
      <w:rPr>
        <w:rFonts w:hint="eastAsia"/>
      </w:rPr>
    </w:lvl>
    <w:lvl w:ilvl="2" w:tentative="0">
      <w:start w:val="1"/>
      <w:numFmt w:val="decimal"/>
      <w:pStyle w:val="415"/>
      <w:lvlText w:val="%1.%2.%3"/>
      <w:lvlJc w:val="left"/>
      <w:pPr>
        <w:ind w:left="425" w:firstLine="29"/>
      </w:pPr>
      <w:rPr>
        <w:rFonts w:hint="eastAsia"/>
      </w:rPr>
    </w:lvl>
    <w:lvl w:ilvl="3" w:tentative="0">
      <w:start w:val="1"/>
      <w:numFmt w:val="decimal"/>
      <w:pStyle w:val="416"/>
      <w:lvlText w:val="%1.%2.%3.%4"/>
      <w:lvlJc w:val="left"/>
      <w:pPr>
        <w:tabs>
          <w:tab w:val="left" w:pos="709"/>
        </w:tabs>
        <w:ind w:left="851" w:hanging="142"/>
      </w:pPr>
      <w:rPr>
        <w:rFonts w:hint="eastAsia"/>
      </w:rPr>
    </w:lvl>
    <w:lvl w:ilvl="4" w:tentative="0">
      <w:start w:val="1"/>
      <w:numFmt w:val="decimal"/>
      <w:lvlText w:val="%1.%2.%3.%4.%5"/>
      <w:lvlJc w:val="left"/>
      <w:pPr>
        <w:ind w:left="905" w:hanging="425"/>
      </w:pPr>
      <w:rPr>
        <w:rFonts w:hint="eastAsia"/>
      </w:rPr>
    </w:lvl>
    <w:lvl w:ilvl="5" w:tentative="0">
      <w:start w:val="1"/>
      <w:numFmt w:val="decimal"/>
      <w:lvlText w:val="%1.%2.%3.%4.%5.%6"/>
      <w:lvlJc w:val="left"/>
      <w:pPr>
        <w:ind w:left="2550" w:hanging="425"/>
      </w:pPr>
      <w:rPr>
        <w:rFonts w:hint="eastAsia"/>
      </w:rPr>
    </w:lvl>
    <w:lvl w:ilvl="6" w:tentative="0">
      <w:start w:val="1"/>
      <w:numFmt w:val="decimal"/>
      <w:lvlText w:val="%1.%2.%3.%4.%5.%6.%7"/>
      <w:lvlJc w:val="left"/>
      <w:pPr>
        <w:ind w:left="2975" w:hanging="425"/>
      </w:pPr>
      <w:rPr>
        <w:rFonts w:hint="eastAsia"/>
      </w:rPr>
    </w:lvl>
    <w:lvl w:ilvl="7" w:tentative="0">
      <w:start w:val="1"/>
      <w:numFmt w:val="decimal"/>
      <w:lvlText w:val="%1.%2.%3.%4.%5.%6.%7.%8"/>
      <w:lvlJc w:val="left"/>
      <w:pPr>
        <w:ind w:left="3400" w:hanging="425"/>
      </w:pPr>
      <w:rPr>
        <w:rFonts w:hint="eastAsia"/>
      </w:rPr>
    </w:lvl>
    <w:lvl w:ilvl="8" w:tentative="0">
      <w:start w:val="1"/>
      <w:numFmt w:val="decimal"/>
      <w:lvlText w:val="%1.%2.%3.%4.%5.%6.%7.%8.%9"/>
      <w:lvlJc w:val="left"/>
      <w:pPr>
        <w:ind w:left="3825" w:hanging="425"/>
      </w:pPr>
      <w:rPr>
        <w:rFonts w:hint="eastAsia"/>
      </w:rPr>
    </w:lvl>
  </w:abstractNum>
  <w:abstractNum w:abstractNumId="47">
    <w:nsid w:val="7027624F"/>
    <w:multiLevelType w:val="multilevel"/>
    <w:tmpl w:val="7027624F"/>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48">
    <w:nsid w:val="77DC7C85"/>
    <w:multiLevelType w:val="multilevel"/>
    <w:tmpl w:val="77DC7C85"/>
    <w:lvl w:ilvl="0" w:tentative="0">
      <w:start w:val="1"/>
      <w:numFmt w:val="bullet"/>
      <w:pStyle w:val="387"/>
      <w:lvlText w:val=""/>
      <w:lvlJc w:val="left"/>
      <w:pPr>
        <w:ind w:left="0" w:firstLine="48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9">
    <w:nsid w:val="79F74223"/>
    <w:multiLevelType w:val="multilevel"/>
    <w:tmpl w:val="79F74223"/>
    <w:lvl w:ilvl="0" w:tentative="0">
      <w:start w:val="1"/>
      <w:numFmt w:val="decimal"/>
      <w:pStyle w:val="450"/>
      <w:lvlText w:val="[%1]."/>
      <w:lvlJc w:val="left"/>
      <w:pPr>
        <w:tabs>
          <w:tab w:val="left" w:pos="200"/>
        </w:tabs>
        <w:ind w:left="397" w:hanging="39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0">
    <w:nsid w:val="7A1A191B"/>
    <w:multiLevelType w:val="multilevel"/>
    <w:tmpl w:val="7A1A191B"/>
    <w:lvl w:ilvl="0" w:tentative="0">
      <w:start w:val="1"/>
      <w:numFmt w:val="chineseCountingThousand"/>
      <w:pStyle w:val="573"/>
      <w:lvlText w:val="第%1章"/>
      <w:lvlJc w:val="left"/>
      <w:pPr>
        <w:ind w:left="0" w:firstLine="0"/>
      </w:pPr>
      <w:rPr>
        <w:rFonts w:hint="eastAsia" w:ascii="宋体" w:hAnsi="宋体" w:eastAsia="宋体"/>
        <w:b/>
        <w:bCs/>
        <w:i w:val="0"/>
        <w:color w:val="auto"/>
        <w:spacing w:val="0"/>
        <w:sz w:val="32"/>
        <w:szCs w:val="32"/>
        <w:lang w:val="en-US"/>
      </w:rPr>
    </w:lvl>
    <w:lvl w:ilvl="1" w:tentative="0">
      <w:start w:val="1"/>
      <w:numFmt w:val="chineseCountingThousand"/>
      <w:pStyle w:val="574"/>
      <w:suff w:val="space"/>
      <w:lvlText w:val="第%2节"/>
      <w:lvlJc w:val="left"/>
      <w:pPr>
        <w:ind w:left="0" w:firstLine="0"/>
      </w:pPr>
      <w:rPr>
        <w:rFonts w:hint="default" w:ascii="Times New Roman" w:hAnsi="Times New Roman" w:eastAsia="宋体" w:cs="Times New Roman"/>
        <w:b/>
        <w:bCs/>
        <w:i w:val="0"/>
        <w:color w:val="auto"/>
        <w:sz w:val="28"/>
        <w:szCs w:val="22"/>
      </w:rPr>
    </w:lvl>
    <w:lvl w:ilvl="2" w:tentative="0">
      <w:start w:val="2"/>
      <w:numFmt w:val="decimal"/>
      <w:pStyle w:val="575"/>
      <w:suff w:val="space"/>
      <w:lvlText w:val="%3."/>
      <w:lvlJc w:val="left"/>
      <w:pPr>
        <w:ind w:left="0" w:firstLine="0"/>
      </w:pPr>
    </w:lvl>
    <w:lvl w:ilvl="3" w:tentative="0">
      <w:start w:val="1"/>
      <w:numFmt w:val="decimal"/>
      <w:pStyle w:val="576"/>
      <w:suff w:val="space"/>
      <w:lvlText w:val="%3.%4"/>
      <w:lvlJc w:val="left"/>
      <w:pPr>
        <w:ind w:left="0" w:firstLine="0"/>
      </w:pPr>
    </w:lvl>
    <w:lvl w:ilvl="4" w:tentative="0">
      <w:start w:val="1"/>
      <w:numFmt w:val="decimal"/>
      <w:pStyle w:val="581"/>
      <w:suff w:val="space"/>
      <w:lvlText w:val="%3.%4.%5"/>
      <w:lvlJc w:val="left"/>
      <w:pPr>
        <w:ind w:left="0" w:firstLine="0"/>
      </w:pPr>
      <w:rPr>
        <w:rFonts w:hint="eastAsia" w:ascii="宋体" w:hAnsi="宋体" w:eastAsia="宋体"/>
        <w:b w:val="0"/>
        <w:bCs w:val="0"/>
        <w:i w:val="0"/>
        <w:iCs w:val="0"/>
        <w:caps w:val="0"/>
        <w:smallCaps w:val="0"/>
        <w:strike w:val="0"/>
        <w:dstrike w:val="0"/>
        <w:color w:val="auto"/>
        <w:spacing w:val="0"/>
        <w:w w:val="100"/>
        <w:kern w:val="2"/>
        <w:position w:val="0"/>
        <w:sz w:val="24"/>
        <w:u w:val="none"/>
        <w:vertAlign w:val="baseline"/>
      </w:rPr>
    </w:lvl>
    <w:lvl w:ilvl="5" w:tentative="0">
      <w:start w:val="1"/>
      <w:numFmt w:val="chineseCountingThousand"/>
      <w:pStyle w:val="577"/>
      <w:suff w:val="space"/>
      <w:lvlText w:val="%6、"/>
      <w:lvlJc w:val="left"/>
      <w:pPr>
        <w:ind w:left="0" w:firstLine="0"/>
      </w:pPr>
      <w:rPr>
        <w:rFonts w:hint="eastAsia" w:ascii="宋体" w:hAnsi="宋体" w:eastAsia="宋体"/>
        <w:b w:val="0"/>
        <w:i w:val="0"/>
        <w:color w:val="auto"/>
        <w:sz w:val="22"/>
      </w:rPr>
    </w:lvl>
    <w:lvl w:ilvl="6" w:tentative="0">
      <w:start w:val="1"/>
      <w:numFmt w:val="decimal"/>
      <w:lvlRestart w:val="1"/>
      <w:pStyle w:val="580"/>
      <w:suff w:val="space"/>
      <w:lvlText w:val="%7."/>
      <w:lvlJc w:val="left"/>
      <w:rPr>
        <w:rFonts w:hint="default" w:ascii="Times New Roman" w:hAnsi="Times New Roman" w:eastAsia="仿宋"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14:shadow w14:blurRad="0" w14:dist="0" w14:dir="0" w14:sx="0" w14:sy="0" w14:kx="0" w14:ky="0" w14:algn="none">
          <w14:srgbClr w14:val="000000"/>
        </w14:shadow>
      </w:rPr>
    </w:lvl>
    <w:lvl w:ilvl="7" w:tentative="0">
      <w:start w:val="1"/>
      <w:numFmt w:val="decimal"/>
      <w:lvlRestart w:val="1"/>
      <w:pStyle w:val="579"/>
      <w:suff w:val="space"/>
      <w:lvlText w:val="表-%8"/>
      <w:lvlJc w:val="left"/>
      <w:pPr>
        <w:ind w:left="0" w:firstLine="0"/>
      </w:pPr>
      <w:rPr>
        <w:rFonts w:hint="eastAsia" w:ascii="仿宋" w:hAnsi="Times New Roman" w:eastAsia="仿宋"/>
        <w:b w:val="0"/>
        <w:i w:val="0"/>
        <w:color w:val="auto"/>
        <w:sz w:val="20"/>
      </w:rPr>
    </w:lvl>
    <w:lvl w:ilvl="8" w:tentative="0">
      <w:start w:val="1"/>
      <w:numFmt w:val="decimal"/>
      <w:lvlRestart w:val="1"/>
      <w:pStyle w:val="578"/>
      <w:suff w:val="space"/>
      <w:lvlText w:val="图-%9"/>
      <w:lvlJc w:val="left"/>
      <w:pPr>
        <w:ind w:left="0" w:firstLine="0"/>
      </w:pPr>
      <w:rPr>
        <w:rFonts w:hint="eastAsia" w:ascii="仿宋" w:hAnsi="Times New Roman" w:eastAsia="仿宋"/>
        <w:b w:val="0"/>
        <w:i w:val="0"/>
        <w:color w:val="auto"/>
        <w:sz w:val="20"/>
      </w:rPr>
    </w:lvl>
  </w:abstractNum>
  <w:abstractNum w:abstractNumId="51">
    <w:nsid w:val="7C50593F"/>
    <w:multiLevelType w:val="multilevel"/>
    <w:tmpl w:val="7C50593F"/>
    <w:lvl w:ilvl="0" w:tentative="0">
      <w:start w:val="1"/>
      <w:numFmt w:val="decimal"/>
      <w:lvlText w:val="%1."/>
      <w:lvlJc w:val="left"/>
      <w:pPr>
        <w:tabs>
          <w:tab w:val="left" w:pos="210"/>
        </w:tabs>
        <w:ind w:left="210" w:hanging="425"/>
      </w:pPr>
      <w:rPr>
        <w:rFonts w:hint="eastAsia"/>
      </w:rPr>
    </w:lvl>
    <w:lvl w:ilvl="1" w:tentative="0">
      <w:start w:val="1"/>
      <w:numFmt w:val="decimal"/>
      <w:pStyle w:val="321"/>
      <w:lvlText w:val="%1.%2"/>
      <w:lvlJc w:val="left"/>
      <w:pPr>
        <w:tabs>
          <w:tab w:val="left" w:pos="210"/>
        </w:tabs>
        <w:ind w:left="210" w:firstLine="0"/>
      </w:pPr>
      <w:rPr>
        <w:rFonts w:hint="eastAsia"/>
      </w:rPr>
    </w:lvl>
    <w:lvl w:ilvl="2" w:tentative="0">
      <w:start w:val="1"/>
      <w:numFmt w:val="decimal"/>
      <w:lvlText w:val="%1.%2.%3"/>
      <w:lvlJc w:val="left"/>
      <w:pPr>
        <w:tabs>
          <w:tab w:val="left" w:pos="636"/>
        </w:tabs>
        <w:ind w:left="636" w:firstLine="0"/>
      </w:pPr>
      <w:rPr>
        <w:rFonts w:hint="eastAsia"/>
      </w:rPr>
    </w:lvl>
    <w:lvl w:ilvl="3" w:tentative="0">
      <w:start w:val="1"/>
      <w:numFmt w:val="decimal"/>
      <w:pStyle w:val="320"/>
      <w:lvlText w:val="%1.%2.%3.%4"/>
      <w:lvlJc w:val="left"/>
      <w:pPr>
        <w:tabs>
          <w:tab w:val="left" w:pos="2141"/>
        </w:tabs>
        <w:ind w:left="0" w:firstLine="1061"/>
      </w:pPr>
      <w:rPr>
        <w:rFonts w:hint="eastAsia"/>
      </w:rPr>
    </w:lvl>
    <w:lvl w:ilvl="4" w:tentative="0">
      <w:start w:val="1"/>
      <w:numFmt w:val="decimal"/>
      <w:lvlText w:val="%1.%2.%3.%4.%5"/>
      <w:lvlJc w:val="left"/>
      <w:pPr>
        <w:tabs>
          <w:tab w:val="left" w:pos="2566"/>
        </w:tabs>
        <w:ind w:left="2336" w:hanging="850"/>
      </w:pPr>
      <w:rPr>
        <w:rFonts w:hint="eastAsia"/>
      </w:rPr>
    </w:lvl>
    <w:lvl w:ilvl="5" w:tentative="0">
      <w:start w:val="1"/>
      <w:numFmt w:val="decimal"/>
      <w:lvlText w:val="%1.%2.%3.%4.%5.%6"/>
      <w:lvlJc w:val="left"/>
      <w:pPr>
        <w:tabs>
          <w:tab w:val="left" w:pos="3351"/>
        </w:tabs>
        <w:ind w:left="3045" w:hanging="1134"/>
      </w:pPr>
      <w:rPr>
        <w:rFonts w:hint="eastAsia"/>
      </w:rPr>
    </w:lvl>
    <w:lvl w:ilvl="6" w:tentative="0">
      <w:start w:val="1"/>
      <w:numFmt w:val="decimal"/>
      <w:lvlText w:val="%1.%2.%3.%4.%5.%6.%7"/>
      <w:lvlJc w:val="left"/>
      <w:pPr>
        <w:tabs>
          <w:tab w:val="left" w:pos="3776"/>
        </w:tabs>
        <w:ind w:left="3612" w:hanging="1276"/>
      </w:pPr>
      <w:rPr>
        <w:rFonts w:hint="eastAsia"/>
      </w:rPr>
    </w:lvl>
    <w:lvl w:ilvl="7" w:tentative="0">
      <w:start w:val="1"/>
      <w:numFmt w:val="decimal"/>
      <w:lvlText w:val="%1.%2.%3.%4.%5.%6.%7.%8"/>
      <w:lvlJc w:val="left"/>
      <w:pPr>
        <w:tabs>
          <w:tab w:val="left" w:pos="4561"/>
        </w:tabs>
        <w:ind w:left="4179" w:hanging="1418"/>
      </w:pPr>
      <w:rPr>
        <w:rFonts w:hint="eastAsia"/>
      </w:rPr>
    </w:lvl>
    <w:lvl w:ilvl="8" w:tentative="0">
      <w:start w:val="1"/>
      <w:numFmt w:val="decimal"/>
      <w:lvlText w:val="%1.%2.%3.%4.%5.%6.%7.%8.%9"/>
      <w:lvlJc w:val="left"/>
      <w:pPr>
        <w:tabs>
          <w:tab w:val="left" w:pos="5347"/>
        </w:tabs>
        <w:ind w:left="4887" w:hanging="1700"/>
      </w:pPr>
      <w:rPr>
        <w:rFonts w:hint="eastAsia"/>
      </w:rPr>
    </w:lvl>
  </w:abstractNum>
  <w:abstractNum w:abstractNumId="52">
    <w:nsid w:val="7CB7501E"/>
    <w:multiLevelType w:val="multilevel"/>
    <w:tmpl w:val="7CB7501E"/>
    <w:lvl w:ilvl="0" w:tentative="0">
      <w:start w:val="1"/>
      <w:numFmt w:val="decimal"/>
      <w:pStyle w:val="177"/>
      <w:lvlText w:val="第%1章"/>
      <w:lvlJc w:val="left"/>
      <w:pPr>
        <w:ind w:left="420" w:hanging="420"/>
      </w:pPr>
      <w:rPr>
        <w:rFonts w:hint="eastAsia"/>
      </w:rPr>
    </w:lvl>
    <w:lvl w:ilvl="1" w:tentative="0">
      <w:start w:val="1"/>
      <w:numFmt w:val="decimal"/>
      <w:pStyle w:val="179"/>
      <w:suff w:val="space"/>
      <w:lvlText w:val="%1.%2"/>
      <w:lvlJc w:val="left"/>
      <w:pPr>
        <w:ind w:left="0" w:firstLine="0"/>
      </w:pPr>
    </w:lvl>
    <w:lvl w:ilvl="2" w:tentative="0">
      <w:start w:val="1"/>
      <w:numFmt w:val="decimal"/>
      <w:pStyle w:val="181"/>
      <w:suff w:val="space"/>
      <w:lvlText w:val="%1.%2.%3"/>
      <w:lvlJc w:val="left"/>
      <w:pPr>
        <w:ind w:left="0" w:firstLine="0"/>
      </w:pPr>
    </w:lvl>
    <w:lvl w:ilvl="3" w:tentative="0">
      <w:start w:val="1"/>
      <w:numFmt w:val="decimal"/>
      <w:pStyle w:val="183"/>
      <w:suff w:val="space"/>
      <w:lvlText w:val="%1.%2.%3.%4"/>
      <w:lvlJc w:val="left"/>
      <w:pPr>
        <w:ind w:left="0" w:firstLine="0"/>
      </w:pPr>
    </w:lvl>
    <w:lvl w:ilvl="4" w:tentative="0">
      <w:start w:val="1"/>
      <w:numFmt w:val="decimal"/>
      <w:pStyle w:val="185"/>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43"/>
  </w:num>
  <w:num w:numId="2">
    <w:abstractNumId w:val="2"/>
  </w:num>
  <w:num w:numId="3">
    <w:abstractNumId w:val="26"/>
  </w:num>
  <w:num w:numId="4">
    <w:abstractNumId w:val="3"/>
  </w:num>
  <w:num w:numId="5">
    <w:abstractNumId w:val="33"/>
  </w:num>
  <w:num w:numId="6">
    <w:abstractNumId w:val="37"/>
  </w:num>
  <w:num w:numId="7">
    <w:abstractNumId w:val="52"/>
  </w:num>
  <w:num w:numId="8">
    <w:abstractNumId w:val="10"/>
  </w:num>
  <w:num w:numId="9">
    <w:abstractNumId w:val="39"/>
  </w:num>
  <w:num w:numId="10">
    <w:abstractNumId w:val="22"/>
  </w:num>
  <w:num w:numId="11">
    <w:abstractNumId w:val="8"/>
  </w:num>
  <w:num w:numId="12">
    <w:abstractNumId w:val="6"/>
  </w:num>
  <w:num w:numId="13">
    <w:abstractNumId w:val="40"/>
  </w:num>
  <w:num w:numId="14">
    <w:abstractNumId w:val="51"/>
  </w:num>
  <w:num w:numId="15">
    <w:abstractNumId w:val="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8"/>
  </w:num>
  <w:num w:numId="19">
    <w:abstractNumId w:val="9"/>
  </w:num>
  <w:num w:numId="20">
    <w:abstractNumId w:val="29"/>
  </w:num>
  <w:num w:numId="21">
    <w:abstractNumId w:val="41"/>
  </w:num>
  <w:num w:numId="22">
    <w:abstractNumId w:val="48"/>
  </w:num>
  <w:num w:numId="23">
    <w:abstractNumId w:val="1"/>
  </w:num>
  <w:num w:numId="24">
    <w:abstractNumId w:val="1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5">
    <w:abstractNumId w:val="46"/>
  </w:num>
  <w:num w:numId="26">
    <w:abstractNumId w:val="19"/>
  </w:num>
  <w:num w:numId="27">
    <w:abstractNumId w:val="2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8">
    <w:abstractNumId w:val="36"/>
    <w:lvlOverride w:ilvl="1">
      <w:startOverride w:val="1"/>
    </w:lvlOverride>
    <w:lvlOverride w:ilvl="2">
      <w:startOverride w:val="1"/>
    </w:lvlOverride>
  </w:num>
  <w:num w:numId="29">
    <w:abstractNumId w:val="49"/>
  </w:num>
  <w:num w:numId="30">
    <w:abstractNumId w:val="21"/>
  </w:num>
  <w:num w:numId="31">
    <w:abstractNumId w:val="14"/>
  </w:num>
  <w:num w:numId="32">
    <w:abstractNumId w:val="44"/>
  </w:num>
  <w:num w:numId="33">
    <w:abstractNumId w:val="30"/>
  </w:num>
  <w:num w:numId="34">
    <w:abstractNumId w:val="25"/>
  </w:num>
  <w:num w:numId="35">
    <w:abstractNumId w:val="32"/>
  </w:num>
  <w:num w:numId="36">
    <w:abstractNumId w:val="5"/>
  </w:num>
  <w:num w:numId="37">
    <w:abstractNumId w:val="27"/>
  </w:num>
  <w:num w:numId="38">
    <w:abstractNumId w:val="15"/>
  </w:num>
  <w:num w:numId="39">
    <w:abstractNumId w:val="31"/>
  </w:num>
  <w:num w:numId="40">
    <w:abstractNumId w:val="4"/>
  </w:num>
  <w:num w:numId="41">
    <w:abstractNumId w:val="34"/>
  </w:num>
  <w:num w:numId="42">
    <w:abstractNumId w:val="42"/>
  </w:num>
  <w:num w:numId="43">
    <w:abstractNumId w:val="5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16"/>
  </w:num>
  <w:num w:numId="46">
    <w:abstractNumId w:val="18"/>
  </w:num>
  <w:num w:numId="47">
    <w:abstractNumId w:val="23"/>
  </w:num>
  <w:num w:numId="48">
    <w:abstractNumId w:val="7"/>
  </w:num>
  <w:num w:numId="49">
    <w:abstractNumId w:val="20"/>
  </w:num>
  <w:num w:numId="50">
    <w:abstractNumId w:val="45"/>
  </w:num>
  <w:num w:numId="51">
    <w:abstractNumId w:val="11"/>
  </w:num>
  <w:num w:numId="52">
    <w:abstractNumId w:val="0"/>
  </w:num>
  <w:num w:numId="53">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lMzJiYTgyNTJkM2E5NzA5NDNiNGU0YmVkYTRiODEifQ=="/>
  </w:docVars>
  <w:rsids>
    <w:rsidRoot w:val="006910C0"/>
    <w:rsid w:val="0000005A"/>
    <w:rsid w:val="00000AED"/>
    <w:rsid w:val="00003516"/>
    <w:rsid w:val="0000380E"/>
    <w:rsid w:val="00005AFD"/>
    <w:rsid w:val="00006563"/>
    <w:rsid w:val="000074F1"/>
    <w:rsid w:val="00007A41"/>
    <w:rsid w:val="00007DA7"/>
    <w:rsid w:val="00012726"/>
    <w:rsid w:val="00012EF0"/>
    <w:rsid w:val="000156DE"/>
    <w:rsid w:val="000165AD"/>
    <w:rsid w:val="000179E9"/>
    <w:rsid w:val="00020C18"/>
    <w:rsid w:val="00021EE6"/>
    <w:rsid w:val="0002280E"/>
    <w:rsid w:val="00022BBF"/>
    <w:rsid w:val="00022C74"/>
    <w:rsid w:val="00025122"/>
    <w:rsid w:val="000252D5"/>
    <w:rsid w:val="00026997"/>
    <w:rsid w:val="00027A64"/>
    <w:rsid w:val="00032D27"/>
    <w:rsid w:val="00035325"/>
    <w:rsid w:val="00035D5B"/>
    <w:rsid w:val="000378D0"/>
    <w:rsid w:val="00037F2C"/>
    <w:rsid w:val="00042C2A"/>
    <w:rsid w:val="000430EC"/>
    <w:rsid w:val="000447CB"/>
    <w:rsid w:val="000460F3"/>
    <w:rsid w:val="00047915"/>
    <w:rsid w:val="00047D06"/>
    <w:rsid w:val="00050FBD"/>
    <w:rsid w:val="0005107A"/>
    <w:rsid w:val="00051254"/>
    <w:rsid w:val="0005192C"/>
    <w:rsid w:val="00052929"/>
    <w:rsid w:val="0005299F"/>
    <w:rsid w:val="000541D7"/>
    <w:rsid w:val="000545C0"/>
    <w:rsid w:val="0005586D"/>
    <w:rsid w:val="00056C0E"/>
    <w:rsid w:val="000574A8"/>
    <w:rsid w:val="000574F8"/>
    <w:rsid w:val="00057A49"/>
    <w:rsid w:val="0006043B"/>
    <w:rsid w:val="0006231F"/>
    <w:rsid w:val="00062A05"/>
    <w:rsid w:val="00062EE6"/>
    <w:rsid w:val="0006344E"/>
    <w:rsid w:val="000649E6"/>
    <w:rsid w:val="0006794B"/>
    <w:rsid w:val="00067DCA"/>
    <w:rsid w:val="00070063"/>
    <w:rsid w:val="0007087A"/>
    <w:rsid w:val="000709B9"/>
    <w:rsid w:val="000710EC"/>
    <w:rsid w:val="00072237"/>
    <w:rsid w:val="00072ABE"/>
    <w:rsid w:val="000747B1"/>
    <w:rsid w:val="00080B39"/>
    <w:rsid w:val="0008135B"/>
    <w:rsid w:val="00083950"/>
    <w:rsid w:val="0008452F"/>
    <w:rsid w:val="00084E8E"/>
    <w:rsid w:val="00085A68"/>
    <w:rsid w:val="00090625"/>
    <w:rsid w:val="00090948"/>
    <w:rsid w:val="00091955"/>
    <w:rsid w:val="00091CD1"/>
    <w:rsid w:val="000934F8"/>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2F8"/>
    <w:rsid w:val="000B5363"/>
    <w:rsid w:val="000B53BA"/>
    <w:rsid w:val="000B642F"/>
    <w:rsid w:val="000B6C99"/>
    <w:rsid w:val="000C2AFB"/>
    <w:rsid w:val="000C2B86"/>
    <w:rsid w:val="000C359C"/>
    <w:rsid w:val="000C3F3C"/>
    <w:rsid w:val="000C5A75"/>
    <w:rsid w:val="000C75F7"/>
    <w:rsid w:val="000C7B32"/>
    <w:rsid w:val="000D0AB2"/>
    <w:rsid w:val="000D225C"/>
    <w:rsid w:val="000D36F2"/>
    <w:rsid w:val="000D4B26"/>
    <w:rsid w:val="000D74DB"/>
    <w:rsid w:val="000D7E1F"/>
    <w:rsid w:val="000E24D6"/>
    <w:rsid w:val="000E6072"/>
    <w:rsid w:val="000E6D61"/>
    <w:rsid w:val="000E7A23"/>
    <w:rsid w:val="000F02D3"/>
    <w:rsid w:val="000F1C29"/>
    <w:rsid w:val="000F1E9E"/>
    <w:rsid w:val="000F2B10"/>
    <w:rsid w:val="000F3F72"/>
    <w:rsid w:val="001055B2"/>
    <w:rsid w:val="001068F0"/>
    <w:rsid w:val="00106AB8"/>
    <w:rsid w:val="00106C9E"/>
    <w:rsid w:val="00106E16"/>
    <w:rsid w:val="001074FE"/>
    <w:rsid w:val="0010768B"/>
    <w:rsid w:val="00111701"/>
    <w:rsid w:val="00112A29"/>
    <w:rsid w:val="00112FE7"/>
    <w:rsid w:val="001167F6"/>
    <w:rsid w:val="00116C86"/>
    <w:rsid w:val="00120A52"/>
    <w:rsid w:val="00121ACF"/>
    <w:rsid w:val="00121D8F"/>
    <w:rsid w:val="00122037"/>
    <w:rsid w:val="0012210C"/>
    <w:rsid w:val="00122A7F"/>
    <w:rsid w:val="00123788"/>
    <w:rsid w:val="00123F98"/>
    <w:rsid w:val="001242A5"/>
    <w:rsid w:val="00124531"/>
    <w:rsid w:val="00126EDF"/>
    <w:rsid w:val="00127139"/>
    <w:rsid w:val="00127BBE"/>
    <w:rsid w:val="00130DB9"/>
    <w:rsid w:val="00131D52"/>
    <w:rsid w:val="001329C1"/>
    <w:rsid w:val="00132C16"/>
    <w:rsid w:val="00136320"/>
    <w:rsid w:val="00136FFA"/>
    <w:rsid w:val="00137AC6"/>
    <w:rsid w:val="0014288C"/>
    <w:rsid w:val="00145512"/>
    <w:rsid w:val="001465BD"/>
    <w:rsid w:val="00147869"/>
    <w:rsid w:val="00147B45"/>
    <w:rsid w:val="001500E0"/>
    <w:rsid w:val="00150803"/>
    <w:rsid w:val="00151D83"/>
    <w:rsid w:val="001546C9"/>
    <w:rsid w:val="00154FAE"/>
    <w:rsid w:val="00155E77"/>
    <w:rsid w:val="00156A70"/>
    <w:rsid w:val="0016017F"/>
    <w:rsid w:val="00160A61"/>
    <w:rsid w:val="00160FC0"/>
    <w:rsid w:val="0016429B"/>
    <w:rsid w:val="00164525"/>
    <w:rsid w:val="00164C50"/>
    <w:rsid w:val="00165CB2"/>
    <w:rsid w:val="00166203"/>
    <w:rsid w:val="00166767"/>
    <w:rsid w:val="00167A9B"/>
    <w:rsid w:val="001707CB"/>
    <w:rsid w:val="00171477"/>
    <w:rsid w:val="00172A1A"/>
    <w:rsid w:val="00173251"/>
    <w:rsid w:val="00176BED"/>
    <w:rsid w:val="0017759D"/>
    <w:rsid w:val="001804A5"/>
    <w:rsid w:val="00181C94"/>
    <w:rsid w:val="00182C84"/>
    <w:rsid w:val="0018674A"/>
    <w:rsid w:val="00187031"/>
    <w:rsid w:val="00191EA4"/>
    <w:rsid w:val="00192B6C"/>
    <w:rsid w:val="00192C30"/>
    <w:rsid w:val="0019381E"/>
    <w:rsid w:val="00194CF5"/>
    <w:rsid w:val="0019503C"/>
    <w:rsid w:val="0019533B"/>
    <w:rsid w:val="00195D94"/>
    <w:rsid w:val="00196F7B"/>
    <w:rsid w:val="001971CB"/>
    <w:rsid w:val="0019795C"/>
    <w:rsid w:val="001A053A"/>
    <w:rsid w:val="001A22A2"/>
    <w:rsid w:val="001A2971"/>
    <w:rsid w:val="001A3D52"/>
    <w:rsid w:val="001A460A"/>
    <w:rsid w:val="001A4A4C"/>
    <w:rsid w:val="001A4D24"/>
    <w:rsid w:val="001B00EE"/>
    <w:rsid w:val="001B0230"/>
    <w:rsid w:val="001B13AB"/>
    <w:rsid w:val="001B3907"/>
    <w:rsid w:val="001B3B49"/>
    <w:rsid w:val="001B4907"/>
    <w:rsid w:val="001B4DC5"/>
    <w:rsid w:val="001B5505"/>
    <w:rsid w:val="001C1502"/>
    <w:rsid w:val="001C2180"/>
    <w:rsid w:val="001C29CC"/>
    <w:rsid w:val="001C3217"/>
    <w:rsid w:val="001C3B98"/>
    <w:rsid w:val="001C6028"/>
    <w:rsid w:val="001C6365"/>
    <w:rsid w:val="001C7F57"/>
    <w:rsid w:val="001D0E79"/>
    <w:rsid w:val="001D149A"/>
    <w:rsid w:val="001D6049"/>
    <w:rsid w:val="001D7339"/>
    <w:rsid w:val="001E05DA"/>
    <w:rsid w:val="001E2750"/>
    <w:rsid w:val="001E4343"/>
    <w:rsid w:val="001E52BB"/>
    <w:rsid w:val="001E660A"/>
    <w:rsid w:val="001F05D6"/>
    <w:rsid w:val="001F5B0A"/>
    <w:rsid w:val="001F640F"/>
    <w:rsid w:val="001F6794"/>
    <w:rsid w:val="001F6F65"/>
    <w:rsid w:val="002002DF"/>
    <w:rsid w:val="00203A6F"/>
    <w:rsid w:val="002047AF"/>
    <w:rsid w:val="00205646"/>
    <w:rsid w:val="002063F7"/>
    <w:rsid w:val="00211C3B"/>
    <w:rsid w:val="0021222F"/>
    <w:rsid w:val="002129E5"/>
    <w:rsid w:val="00212AA4"/>
    <w:rsid w:val="00212E13"/>
    <w:rsid w:val="002163C8"/>
    <w:rsid w:val="002179FE"/>
    <w:rsid w:val="00220CC0"/>
    <w:rsid w:val="00221A36"/>
    <w:rsid w:val="002220F4"/>
    <w:rsid w:val="00223296"/>
    <w:rsid w:val="0022329B"/>
    <w:rsid w:val="002239DB"/>
    <w:rsid w:val="002240F7"/>
    <w:rsid w:val="0022486F"/>
    <w:rsid w:val="00225314"/>
    <w:rsid w:val="00225DF4"/>
    <w:rsid w:val="00226C70"/>
    <w:rsid w:val="00230C8A"/>
    <w:rsid w:val="00231F98"/>
    <w:rsid w:val="002324F8"/>
    <w:rsid w:val="002348B0"/>
    <w:rsid w:val="00235CDC"/>
    <w:rsid w:val="00237E76"/>
    <w:rsid w:val="0024073C"/>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752"/>
    <w:rsid w:val="00257D64"/>
    <w:rsid w:val="0026065C"/>
    <w:rsid w:val="0026340A"/>
    <w:rsid w:val="002654EA"/>
    <w:rsid w:val="002665D2"/>
    <w:rsid w:val="002704EA"/>
    <w:rsid w:val="0027061A"/>
    <w:rsid w:val="002719CC"/>
    <w:rsid w:val="002730C5"/>
    <w:rsid w:val="0027337C"/>
    <w:rsid w:val="0027602B"/>
    <w:rsid w:val="00277F5E"/>
    <w:rsid w:val="00280084"/>
    <w:rsid w:val="00280490"/>
    <w:rsid w:val="00284718"/>
    <w:rsid w:val="002860B8"/>
    <w:rsid w:val="00290BF1"/>
    <w:rsid w:val="0029206E"/>
    <w:rsid w:val="00293382"/>
    <w:rsid w:val="00294F51"/>
    <w:rsid w:val="002A2342"/>
    <w:rsid w:val="002A279E"/>
    <w:rsid w:val="002A379A"/>
    <w:rsid w:val="002A4FA3"/>
    <w:rsid w:val="002A6210"/>
    <w:rsid w:val="002B3606"/>
    <w:rsid w:val="002B3D80"/>
    <w:rsid w:val="002B4402"/>
    <w:rsid w:val="002B4946"/>
    <w:rsid w:val="002B4C41"/>
    <w:rsid w:val="002B588D"/>
    <w:rsid w:val="002C1839"/>
    <w:rsid w:val="002C214A"/>
    <w:rsid w:val="002C28E8"/>
    <w:rsid w:val="002C3027"/>
    <w:rsid w:val="002C4CE8"/>
    <w:rsid w:val="002C674D"/>
    <w:rsid w:val="002C7648"/>
    <w:rsid w:val="002C7DC4"/>
    <w:rsid w:val="002D0821"/>
    <w:rsid w:val="002D1929"/>
    <w:rsid w:val="002D1AD1"/>
    <w:rsid w:val="002D1B73"/>
    <w:rsid w:val="002D3CB0"/>
    <w:rsid w:val="002D4800"/>
    <w:rsid w:val="002D5B21"/>
    <w:rsid w:val="002D6F6D"/>
    <w:rsid w:val="002E021B"/>
    <w:rsid w:val="002E1FE6"/>
    <w:rsid w:val="002E2EA7"/>
    <w:rsid w:val="002E36D2"/>
    <w:rsid w:val="002E5B55"/>
    <w:rsid w:val="002E748B"/>
    <w:rsid w:val="002E77D9"/>
    <w:rsid w:val="002F2002"/>
    <w:rsid w:val="002F2D5F"/>
    <w:rsid w:val="002F335D"/>
    <w:rsid w:val="002F4E32"/>
    <w:rsid w:val="002F503F"/>
    <w:rsid w:val="002F51DD"/>
    <w:rsid w:val="002F5D08"/>
    <w:rsid w:val="002F6895"/>
    <w:rsid w:val="002F6D13"/>
    <w:rsid w:val="00301731"/>
    <w:rsid w:val="003038D3"/>
    <w:rsid w:val="003043A1"/>
    <w:rsid w:val="003049C7"/>
    <w:rsid w:val="003059BA"/>
    <w:rsid w:val="00305F0E"/>
    <w:rsid w:val="0030667A"/>
    <w:rsid w:val="00307F0C"/>
    <w:rsid w:val="003106DE"/>
    <w:rsid w:val="00311530"/>
    <w:rsid w:val="00312D31"/>
    <w:rsid w:val="0031389A"/>
    <w:rsid w:val="00313B23"/>
    <w:rsid w:val="00315216"/>
    <w:rsid w:val="003152C9"/>
    <w:rsid w:val="0031691C"/>
    <w:rsid w:val="0031762C"/>
    <w:rsid w:val="00317AEF"/>
    <w:rsid w:val="00317F49"/>
    <w:rsid w:val="0032089B"/>
    <w:rsid w:val="00323450"/>
    <w:rsid w:val="00323D93"/>
    <w:rsid w:val="0032489B"/>
    <w:rsid w:val="0032525B"/>
    <w:rsid w:val="00326A7A"/>
    <w:rsid w:val="00326FEE"/>
    <w:rsid w:val="003302B9"/>
    <w:rsid w:val="003315D7"/>
    <w:rsid w:val="00334DE6"/>
    <w:rsid w:val="0033536D"/>
    <w:rsid w:val="003353FF"/>
    <w:rsid w:val="00335E30"/>
    <w:rsid w:val="003366D2"/>
    <w:rsid w:val="00337C79"/>
    <w:rsid w:val="00337FEF"/>
    <w:rsid w:val="0034084C"/>
    <w:rsid w:val="00340D5E"/>
    <w:rsid w:val="00340E2E"/>
    <w:rsid w:val="003420B5"/>
    <w:rsid w:val="00342CF7"/>
    <w:rsid w:val="00343646"/>
    <w:rsid w:val="00344CCB"/>
    <w:rsid w:val="00345897"/>
    <w:rsid w:val="0035098D"/>
    <w:rsid w:val="00351BFC"/>
    <w:rsid w:val="0035575E"/>
    <w:rsid w:val="003565B4"/>
    <w:rsid w:val="00356914"/>
    <w:rsid w:val="00361666"/>
    <w:rsid w:val="00362E75"/>
    <w:rsid w:val="003631AA"/>
    <w:rsid w:val="003632D5"/>
    <w:rsid w:val="00363575"/>
    <w:rsid w:val="00363E1B"/>
    <w:rsid w:val="00363EC1"/>
    <w:rsid w:val="00364C10"/>
    <w:rsid w:val="00364E99"/>
    <w:rsid w:val="00364EF9"/>
    <w:rsid w:val="00367579"/>
    <w:rsid w:val="0036795B"/>
    <w:rsid w:val="00370A29"/>
    <w:rsid w:val="00371F5A"/>
    <w:rsid w:val="003722F9"/>
    <w:rsid w:val="00372349"/>
    <w:rsid w:val="00372CBC"/>
    <w:rsid w:val="00372DD9"/>
    <w:rsid w:val="00373A61"/>
    <w:rsid w:val="00374BDE"/>
    <w:rsid w:val="00376B39"/>
    <w:rsid w:val="003772C0"/>
    <w:rsid w:val="00377BAC"/>
    <w:rsid w:val="00380142"/>
    <w:rsid w:val="00380558"/>
    <w:rsid w:val="0038057C"/>
    <w:rsid w:val="00381D3C"/>
    <w:rsid w:val="0038223E"/>
    <w:rsid w:val="00382D92"/>
    <w:rsid w:val="00385AEF"/>
    <w:rsid w:val="003860EA"/>
    <w:rsid w:val="00386E91"/>
    <w:rsid w:val="0038781A"/>
    <w:rsid w:val="0039080B"/>
    <w:rsid w:val="0039326E"/>
    <w:rsid w:val="00394E22"/>
    <w:rsid w:val="003967A4"/>
    <w:rsid w:val="00397FA3"/>
    <w:rsid w:val="003A1596"/>
    <w:rsid w:val="003A2B51"/>
    <w:rsid w:val="003A314F"/>
    <w:rsid w:val="003A317E"/>
    <w:rsid w:val="003A345B"/>
    <w:rsid w:val="003A49EE"/>
    <w:rsid w:val="003A674D"/>
    <w:rsid w:val="003A7123"/>
    <w:rsid w:val="003B0C24"/>
    <w:rsid w:val="003B102E"/>
    <w:rsid w:val="003B2167"/>
    <w:rsid w:val="003B5F5D"/>
    <w:rsid w:val="003B62C8"/>
    <w:rsid w:val="003C06F8"/>
    <w:rsid w:val="003C0C62"/>
    <w:rsid w:val="003C0F3B"/>
    <w:rsid w:val="003C12DC"/>
    <w:rsid w:val="003C2CDA"/>
    <w:rsid w:val="003D000A"/>
    <w:rsid w:val="003D31E9"/>
    <w:rsid w:val="003D44D5"/>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998"/>
    <w:rsid w:val="00412B2F"/>
    <w:rsid w:val="00415281"/>
    <w:rsid w:val="00415716"/>
    <w:rsid w:val="0041604D"/>
    <w:rsid w:val="00417842"/>
    <w:rsid w:val="00417A6E"/>
    <w:rsid w:val="0042285D"/>
    <w:rsid w:val="00423037"/>
    <w:rsid w:val="00423200"/>
    <w:rsid w:val="004264A7"/>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0F7E"/>
    <w:rsid w:val="004511FC"/>
    <w:rsid w:val="00456784"/>
    <w:rsid w:val="00456DCA"/>
    <w:rsid w:val="00461140"/>
    <w:rsid w:val="004611DB"/>
    <w:rsid w:val="00462728"/>
    <w:rsid w:val="004658B0"/>
    <w:rsid w:val="0046614B"/>
    <w:rsid w:val="00467FD7"/>
    <w:rsid w:val="00470073"/>
    <w:rsid w:val="00471B07"/>
    <w:rsid w:val="004730F8"/>
    <w:rsid w:val="00474353"/>
    <w:rsid w:val="00474555"/>
    <w:rsid w:val="004750F4"/>
    <w:rsid w:val="00476CB1"/>
    <w:rsid w:val="004802EC"/>
    <w:rsid w:val="00480A48"/>
    <w:rsid w:val="00482501"/>
    <w:rsid w:val="00482E7D"/>
    <w:rsid w:val="00484395"/>
    <w:rsid w:val="004865FB"/>
    <w:rsid w:val="00486C03"/>
    <w:rsid w:val="00491AB3"/>
    <w:rsid w:val="00494588"/>
    <w:rsid w:val="00494FB4"/>
    <w:rsid w:val="00497A33"/>
    <w:rsid w:val="004A1112"/>
    <w:rsid w:val="004A1DA0"/>
    <w:rsid w:val="004A1F20"/>
    <w:rsid w:val="004A2393"/>
    <w:rsid w:val="004A3569"/>
    <w:rsid w:val="004A452A"/>
    <w:rsid w:val="004A5F2C"/>
    <w:rsid w:val="004A6E4F"/>
    <w:rsid w:val="004A720D"/>
    <w:rsid w:val="004B00D0"/>
    <w:rsid w:val="004B1003"/>
    <w:rsid w:val="004B6084"/>
    <w:rsid w:val="004B7AE0"/>
    <w:rsid w:val="004C0405"/>
    <w:rsid w:val="004C0BC4"/>
    <w:rsid w:val="004C260D"/>
    <w:rsid w:val="004C2D47"/>
    <w:rsid w:val="004C4357"/>
    <w:rsid w:val="004C4477"/>
    <w:rsid w:val="004C5730"/>
    <w:rsid w:val="004C5908"/>
    <w:rsid w:val="004C6397"/>
    <w:rsid w:val="004C668F"/>
    <w:rsid w:val="004C682B"/>
    <w:rsid w:val="004D142C"/>
    <w:rsid w:val="004D29F7"/>
    <w:rsid w:val="004D36D8"/>
    <w:rsid w:val="004D4350"/>
    <w:rsid w:val="004D4C5C"/>
    <w:rsid w:val="004D5AB0"/>
    <w:rsid w:val="004D5EAE"/>
    <w:rsid w:val="004D7A0E"/>
    <w:rsid w:val="004E06E7"/>
    <w:rsid w:val="004E0AE3"/>
    <w:rsid w:val="004E20D3"/>
    <w:rsid w:val="004E2C82"/>
    <w:rsid w:val="004E4FAE"/>
    <w:rsid w:val="004E6092"/>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2A9D"/>
    <w:rsid w:val="00513EBC"/>
    <w:rsid w:val="00514CE1"/>
    <w:rsid w:val="00517155"/>
    <w:rsid w:val="00517DB3"/>
    <w:rsid w:val="005200DC"/>
    <w:rsid w:val="005200F2"/>
    <w:rsid w:val="005229F5"/>
    <w:rsid w:val="0052369D"/>
    <w:rsid w:val="005271DB"/>
    <w:rsid w:val="0053083B"/>
    <w:rsid w:val="00530D2F"/>
    <w:rsid w:val="0053487C"/>
    <w:rsid w:val="005356E1"/>
    <w:rsid w:val="00536A8B"/>
    <w:rsid w:val="00540418"/>
    <w:rsid w:val="0054180F"/>
    <w:rsid w:val="00541A96"/>
    <w:rsid w:val="00541C6A"/>
    <w:rsid w:val="00542C54"/>
    <w:rsid w:val="00546A43"/>
    <w:rsid w:val="00546C70"/>
    <w:rsid w:val="00547258"/>
    <w:rsid w:val="00550CF0"/>
    <w:rsid w:val="00552F45"/>
    <w:rsid w:val="005559FE"/>
    <w:rsid w:val="005560D6"/>
    <w:rsid w:val="00556C04"/>
    <w:rsid w:val="00556D07"/>
    <w:rsid w:val="005577A1"/>
    <w:rsid w:val="005611F2"/>
    <w:rsid w:val="00561734"/>
    <w:rsid w:val="00561952"/>
    <w:rsid w:val="00564B9A"/>
    <w:rsid w:val="00565694"/>
    <w:rsid w:val="00565C25"/>
    <w:rsid w:val="00566DD6"/>
    <w:rsid w:val="00567343"/>
    <w:rsid w:val="005714EF"/>
    <w:rsid w:val="00571CEC"/>
    <w:rsid w:val="00572FCE"/>
    <w:rsid w:val="005750DB"/>
    <w:rsid w:val="005759FC"/>
    <w:rsid w:val="00575B85"/>
    <w:rsid w:val="00576DB9"/>
    <w:rsid w:val="0057738F"/>
    <w:rsid w:val="005805E4"/>
    <w:rsid w:val="0058202F"/>
    <w:rsid w:val="00584221"/>
    <w:rsid w:val="00584EB6"/>
    <w:rsid w:val="00586B68"/>
    <w:rsid w:val="005874BF"/>
    <w:rsid w:val="0058774E"/>
    <w:rsid w:val="005878CF"/>
    <w:rsid w:val="00590CA0"/>
    <w:rsid w:val="005915DB"/>
    <w:rsid w:val="00595B01"/>
    <w:rsid w:val="00596D98"/>
    <w:rsid w:val="005979A5"/>
    <w:rsid w:val="005A0021"/>
    <w:rsid w:val="005A017B"/>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744"/>
    <w:rsid w:val="005E19B4"/>
    <w:rsid w:val="005E1D6B"/>
    <w:rsid w:val="005E227A"/>
    <w:rsid w:val="005E2CF8"/>
    <w:rsid w:val="005E3126"/>
    <w:rsid w:val="005E7075"/>
    <w:rsid w:val="005E75A7"/>
    <w:rsid w:val="005F34A3"/>
    <w:rsid w:val="005F38E2"/>
    <w:rsid w:val="005F3EE6"/>
    <w:rsid w:val="005F6736"/>
    <w:rsid w:val="00602C10"/>
    <w:rsid w:val="00602EBD"/>
    <w:rsid w:val="00603FFF"/>
    <w:rsid w:val="00604CF2"/>
    <w:rsid w:val="00606DFF"/>
    <w:rsid w:val="00606FB7"/>
    <w:rsid w:val="00610533"/>
    <w:rsid w:val="006110F6"/>
    <w:rsid w:val="00611FA1"/>
    <w:rsid w:val="00612522"/>
    <w:rsid w:val="00612912"/>
    <w:rsid w:val="00612BF6"/>
    <w:rsid w:val="00612DA6"/>
    <w:rsid w:val="0061365B"/>
    <w:rsid w:val="006138B6"/>
    <w:rsid w:val="00614BC6"/>
    <w:rsid w:val="00614E33"/>
    <w:rsid w:val="006158B8"/>
    <w:rsid w:val="0061706D"/>
    <w:rsid w:val="006173DA"/>
    <w:rsid w:val="00617EF9"/>
    <w:rsid w:val="00620295"/>
    <w:rsid w:val="00622F8E"/>
    <w:rsid w:val="00623309"/>
    <w:rsid w:val="00625789"/>
    <w:rsid w:val="00626AC8"/>
    <w:rsid w:val="00627912"/>
    <w:rsid w:val="0063195F"/>
    <w:rsid w:val="00636C0A"/>
    <w:rsid w:val="00637EC6"/>
    <w:rsid w:val="0064240C"/>
    <w:rsid w:val="00642FF5"/>
    <w:rsid w:val="006430FB"/>
    <w:rsid w:val="00643992"/>
    <w:rsid w:val="006444E8"/>
    <w:rsid w:val="00644DBC"/>
    <w:rsid w:val="00646FE6"/>
    <w:rsid w:val="006474CD"/>
    <w:rsid w:val="00647744"/>
    <w:rsid w:val="006479A0"/>
    <w:rsid w:val="006500D9"/>
    <w:rsid w:val="00653B54"/>
    <w:rsid w:val="006541A3"/>
    <w:rsid w:val="00654FAD"/>
    <w:rsid w:val="00655C9F"/>
    <w:rsid w:val="006567FF"/>
    <w:rsid w:val="00656867"/>
    <w:rsid w:val="0066109F"/>
    <w:rsid w:val="006620BC"/>
    <w:rsid w:val="00664B26"/>
    <w:rsid w:val="0066596B"/>
    <w:rsid w:val="00670295"/>
    <w:rsid w:val="006704F5"/>
    <w:rsid w:val="00672894"/>
    <w:rsid w:val="00674B47"/>
    <w:rsid w:val="00675676"/>
    <w:rsid w:val="0067609E"/>
    <w:rsid w:val="0067699D"/>
    <w:rsid w:val="00677749"/>
    <w:rsid w:val="00680E07"/>
    <w:rsid w:val="00682B9D"/>
    <w:rsid w:val="00683806"/>
    <w:rsid w:val="00686AF9"/>
    <w:rsid w:val="0069086C"/>
    <w:rsid w:val="006910C0"/>
    <w:rsid w:val="00691954"/>
    <w:rsid w:val="0069320E"/>
    <w:rsid w:val="00693D13"/>
    <w:rsid w:val="006948F0"/>
    <w:rsid w:val="00694F58"/>
    <w:rsid w:val="006955BC"/>
    <w:rsid w:val="006959E2"/>
    <w:rsid w:val="00696920"/>
    <w:rsid w:val="00697B7D"/>
    <w:rsid w:val="00697EB9"/>
    <w:rsid w:val="006A0738"/>
    <w:rsid w:val="006A0B16"/>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C716C"/>
    <w:rsid w:val="006D0D78"/>
    <w:rsid w:val="006D1128"/>
    <w:rsid w:val="006D2848"/>
    <w:rsid w:val="006D2C49"/>
    <w:rsid w:val="006D30E0"/>
    <w:rsid w:val="006D32FE"/>
    <w:rsid w:val="006D5521"/>
    <w:rsid w:val="006D5FE9"/>
    <w:rsid w:val="006D6CBB"/>
    <w:rsid w:val="006D6EF2"/>
    <w:rsid w:val="006D7378"/>
    <w:rsid w:val="006D76A9"/>
    <w:rsid w:val="006D77F4"/>
    <w:rsid w:val="006E0898"/>
    <w:rsid w:val="006E41CD"/>
    <w:rsid w:val="006F2C35"/>
    <w:rsid w:val="006F3BEC"/>
    <w:rsid w:val="00700B21"/>
    <w:rsid w:val="0070129C"/>
    <w:rsid w:val="00702CBB"/>
    <w:rsid w:val="00703C00"/>
    <w:rsid w:val="007057CC"/>
    <w:rsid w:val="007066F2"/>
    <w:rsid w:val="00706AE5"/>
    <w:rsid w:val="0070740A"/>
    <w:rsid w:val="00711F93"/>
    <w:rsid w:val="007123DB"/>
    <w:rsid w:val="00712940"/>
    <w:rsid w:val="0071428C"/>
    <w:rsid w:val="00715A16"/>
    <w:rsid w:val="007164B0"/>
    <w:rsid w:val="007166FF"/>
    <w:rsid w:val="00722906"/>
    <w:rsid w:val="007260CC"/>
    <w:rsid w:val="00726543"/>
    <w:rsid w:val="0073353E"/>
    <w:rsid w:val="00734504"/>
    <w:rsid w:val="00736633"/>
    <w:rsid w:val="00741EE7"/>
    <w:rsid w:val="00743A79"/>
    <w:rsid w:val="007444D4"/>
    <w:rsid w:val="00745674"/>
    <w:rsid w:val="0074594D"/>
    <w:rsid w:val="007459F3"/>
    <w:rsid w:val="00745DF0"/>
    <w:rsid w:val="00746E35"/>
    <w:rsid w:val="007470E2"/>
    <w:rsid w:val="00750724"/>
    <w:rsid w:val="007509F1"/>
    <w:rsid w:val="0075232F"/>
    <w:rsid w:val="00753132"/>
    <w:rsid w:val="00754E64"/>
    <w:rsid w:val="007550B3"/>
    <w:rsid w:val="00760451"/>
    <w:rsid w:val="00762F84"/>
    <w:rsid w:val="0077182A"/>
    <w:rsid w:val="00771913"/>
    <w:rsid w:val="00771C88"/>
    <w:rsid w:val="00772718"/>
    <w:rsid w:val="00775BCF"/>
    <w:rsid w:val="0077641F"/>
    <w:rsid w:val="007818AA"/>
    <w:rsid w:val="00783140"/>
    <w:rsid w:val="007838B6"/>
    <w:rsid w:val="00783E77"/>
    <w:rsid w:val="00785622"/>
    <w:rsid w:val="007906F1"/>
    <w:rsid w:val="0079243D"/>
    <w:rsid w:val="00794A9B"/>
    <w:rsid w:val="0079583B"/>
    <w:rsid w:val="00796602"/>
    <w:rsid w:val="00797185"/>
    <w:rsid w:val="007971EF"/>
    <w:rsid w:val="007976B7"/>
    <w:rsid w:val="00797A7E"/>
    <w:rsid w:val="00797D6F"/>
    <w:rsid w:val="007B014B"/>
    <w:rsid w:val="007B0D88"/>
    <w:rsid w:val="007B306F"/>
    <w:rsid w:val="007B4714"/>
    <w:rsid w:val="007B4E82"/>
    <w:rsid w:val="007B7134"/>
    <w:rsid w:val="007C1996"/>
    <w:rsid w:val="007C3773"/>
    <w:rsid w:val="007C3F1F"/>
    <w:rsid w:val="007D2D0D"/>
    <w:rsid w:val="007D3325"/>
    <w:rsid w:val="007D3818"/>
    <w:rsid w:val="007D6DC5"/>
    <w:rsid w:val="007D7425"/>
    <w:rsid w:val="007E320E"/>
    <w:rsid w:val="007E3280"/>
    <w:rsid w:val="007E4A02"/>
    <w:rsid w:val="007E595C"/>
    <w:rsid w:val="007E59A5"/>
    <w:rsid w:val="007F273A"/>
    <w:rsid w:val="007F3B8C"/>
    <w:rsid w:val="007F41D0"/>
    <w:rsid w:val="007F4B8B"/>
    <w:rsid w:val="007F5957"/>
    <w:rsid w:val="007F70B6"/>
    <w:rsid w:val="007F74CA"/>
    <w:rsid w:val="00800F1E"/>
    <w:rsid w:val="0080195A"/>
    <w:rsid w:val="0080239C"/>
    <w:rsid w:val="00802841"/>
    <w:rsid w:val="008037D5"/>
    <w:rsid w:val="00805447"/>
    <w:rsid w:val="008054FA"/>
    <w:rsid w:val="008067B1"/>
    <w:rsid w:val="0080717A"/>
    <w:rsid w:val="00807DFA"/>
    <w:rsid w:val="0081009F"/>
    <w:rsid w:val="00810152"/>
    <w:rsid w:val="008115AB"/>
    <w:rsid w:val="00812D2C"/>
    <w:rsid w:val="008159F4"/>
    <w:rsid w:val="008167C1"/>
    <w:rsid w:val="008167C6"/>
    <w:rsid w:val="00816B8F"/>
    <w:rsid w:val="00820331"/>
    <w:rsid w:val="00820A42"/>
    <w:rsid w:val="00820BF5"/>
    <w:rsid w:val="008212B1"/>
    <w:rsid w:val="0082155A"/>
    <w:rsid w:val="0082209F"/>
    <w:rsid w:val="008223C2"/>
    <w:rsid w:val="00824906"/>
    <w:rsid w:val="008250A2"/>
    <w:rsid w:val="00825951"/>
    <w:rsid w:val="00825D64"/>
    <w:rsid w:val="0082650B"/>
    <w:rsid w:val="008301CE"/>
    <w:rsid w:val="008312E3"/>
    <w:rsid w:val="00831D5B"/>
    <w:rsid w:val="00832DD6"/>
    <w:rsid w:val="00832F0C"/>
    <w:rsid w:val="008336F2"/>
    <w:rsid w:val="008345D9"/>
    <w:rsid w:val="008347CB"/>
    <w:rsid w:val="00835647"/>
    <w:rsid w:val="00837A2E"/>
    <w:rsid w:val="00841558"/>
    <w:rsid w:val="00841B0A"/>
    <w:rsid w:val="00842A68"/>
    <w:rsid w:val="008435BA"/>
    <w:rsid w:val="0084558B"/>
    <w:rsid w:val="0084654A"/>
    <w:rsid w:val="00847654"/>
    <w:rsid w:val="00851064"/>
    <w:rsid w:val="00855543"/>
    <w:rsid w:val="0085639E"/>
    <w:rsid w:val="008566B3"/>
    <w:rsid w:val="008576B7"/>
    <w:rsid w:val="00857F7B"/>
    <w:rsid w:val="00863DA1"/>
    <w:rsid w:val="008654A6"/>
    <w:rsid w:val="00865D86"/>
    <w:rsid w:val="00870495"/>
    <w:rsid w:val="00870EA1"/>
    <w:rsid w:val="008710C5"/>
    <w:rsid w:val="008725BB"/>
    <w:rsid w:val="0087332A"/>
    <w:rsid w:val="00874438"/>
    <w:rsid w:val="00874E75"/>
    <w:rsid w:val="008767F3"/>
    <w:rsid w:val="00876CEF"/>
    <w:rsid w:val="00877342"/>
    <w:rsid w:val="008803C3"/>
    <w:rsid w:val="00881450"/>
    <w:rsid w:val="008817C7"/>
    <w:rsid w:val="00881875"/>
    <w:rsid w:val="008821C5"/>
    <w:rsid w:val="00882E23"/>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5A58"/>
    <w:rsid w:val="008B6910"/>
    <w:rsid w:val="008C0B5C"/>
    <w:rsid w:val="008C1343"/>
    <w:rsid w:val="008C3912"/>
    <w:rsid w:val="008C4E35"/>
    <w:rsid w:val="008C5598"/>
    <w:rsid w:val="008C6053"/>
    <w:rsid w:val="008C69EA"/>
    <w:rsid w:val="008C6F8B"/>
    <w:rsid w:val="008C7AB7"/>
    <w:rsid w:val="008C7FB4"/>
    <w:rsid w:val="008D2C8C"/>
    <w:rsid w:val="008D3040"/>
    <w:rsid w:val="008D3ECD"/>
    <w:rsid w:val="008D44D6"/>
    <w:rsid w:val="008D5C03"/>
    <w:rsid w:val="008D6157"/>
    <w:rsid w:val="008D7580"/>
    <w:rsid w:val="008D7C35"/>
    <w:rsid w:val="008E0563"/>
    <w:rsid w:val="008E5698"/>
    <w:rsid w:val="008E5733"/>
    <w:rsid w:val="008E77D2"/>
    <w:rsid w:val="008E78FD"/>
    <w:rsid w:val="008E7A78"/>
    <w:rsid w:val="008F199D"/>
    <w:rsid w:val="008F38A0"/>
    <w:rsid w:val="008F39C9"/>
    <w:rsid w:val="008F5EB5"/>
    <w:rsid w:val="008F678C"/>
    <w:rsid w:val="008F75A7"/>
    <w:rsid w:val="008F7B6F"/>
    <w:rsid w:val="008F7E5A"/>
    <w:rsid w:val="00900A7F"/>
    <w:rsid w:val="009036EE"/>
    <w:rsid w:val="00905815"/>
    <w:rsid w:val="00905D1D"/>
    <w:rsid w:val="009079A1"/>
    <w:rsid w:val="0091016D"/>
    <w:rsid w:val="00910C98"/>
    <w:rsid w:val="00911910"/>
    <w:rsid w:val="00912A58"/>
    <w:rsid w:val="00913908"/>
    <w:rsid w:val="00913D26"/>
    <w:rsid w:val="0091438B"/>
    <w:rsid w:val="009147E3"/>
    <w:rsid w:val="00914C9F"/>
    <w:rsid w:val="00915956"/>
    <w:rsid w:val="00920FD2"/>
    <w:rsid w:val="00923A43"/>
    <w:rsid w:val="0092439C"/>
    <w:rsid w:val="0092498E"/>
    <w:rsid w:val="00925B91"/>
    <w:rsid w:val="009328A7"/>
    <w:rsid w:val="00934461"/>
    <w:rsid w:val="00934F7E"/>
    <w:rsid w:val="00936A1C"/>
    <w:rsid w:val="0093713B"/>
    <w:rsid w:val="0094365C"/>
    <w:rsid w:val="00943E35"/>
    <w:rsid w:val="00945278"/>
    <w:rsid w:val="0094658D"/>
    <w:rsid w:val="00947678"/>
    <w:rsid w:val="00947878"/>
    <w:rsid w:val="009504C2"/>
    <w:rsid w:val="00951F14"/>
    <w:rsid w:val="0095254A"/>
    <w:rsid w:val="0095273B"/>
    <w:rsid w:val="009559E1"/>
    <w:rsid w:val="009568D5"/>
    <w:rsid w:val="00957CD3"/>
    <w:rsid w:val="0096269B"/>
    <w:rsid w:val="00962DA6"/>
    <w:rsid w:val="00963FB0"/>
    <w:rsid w:val="00964C86"/>
    <w:rsid w:val="00965E82"/>
    <w:rsid w:val="009664BB"/>
    <w:rsid w:val="009669F8"/>
    <w:rsid w:val="00966F89"/>
    <w:rsid w:val="00973B5D"/>
    <w:rsid w:val="009751EB"/>
    <w:rsid w:val="00975943"/>
    <w:rsid w:val="0097755E"/>
    <w:rsid w:val="00981467"/>
    <w:rsid w:val="00981C24"/>
    <w:rsid w:val="009852F6"/>
    <w:rsid w:val="00985DE5"/>
    <w:rsid w:val="00986254"/>
    <w:rsid w:val="0098729E"/>
    <w:rsid w:val="009875F3"/>
    <w:rsid w:val="00990067"/>
    <w:rsid w:val="009908B0"/>
    <w:rsid w:val="00990F1F"/>
    <w:rsid w:val="009915C5"/>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02B5"/>
    <w:rsid w:val="009F110B"/>
    <w:rsid w:val="009F1498"/>
    <w:rsid w:val="009F1E9F"/>
    <w:rsid w:val="009F3793"/>
    <w:rsid w:val="009F46B8"/>
    <w:rsid w:val="009F54F2"/>
    <w:rsid w:val="009F63E1"/>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3840"/>
    <w:rsid w:val="00A25F1B"/>
    <w:rsid w:val="00A325F3"/>
    <w:rsid w:val="00A33103"/>
    <w:rsid w:val="00A33294"/>
    <w:rsid w:val="00A35324"/>
    <w:rsid w:val="00A35DCB"/>
    <w:rsid w:val="00A3690E"/>
    <w:rsid w:val="00A37751"/>
    <w:rsid w:val="00A406B1"/>
    <w:rsid w:val="00A40A20"/>
    <w:rsid w:val="00A4113E"/>
    <w:rsid w:val="00A42435"/>
    <w:rsid w:val="00A438BA"/>
    <w:rsid w:val="00A446FD"/>
    <w:rsid w:val="00A456FA"/>
    <w:rsid w:val="00A46F46"/>
    <w:rsid w:val="00A47731"/>
    <w:rsid w:val="00A508CB"/>
    <w:rsid w:val="00A52CB6"/>
    <w:rsid w:val="00A52F99"/>
    <w:rsid w:val="00A538BB"/>
    <w:rsid w:val="00A54164"/>
    <w:rsid w:val="00A56737"/>
    <w:rsid w:val="00A60002"/>
    <w:rsid w:val="00A603D8"/>
    <w:rsid w:val="00A60AE2"/>
    <w:rsid w:val="00A61834"/>
    <w:rsid w:val="00A618B0"/>
    <w:rsid w:val="00A62790"/>
    <w:rsid w:val="00A6291F"/>
    <w:rsid w:val="00A63010"/>
    <w:rsid w:val="00A63F53"/>
    <w:rsid w:val="00A66E22"/>
    <w:rsid w:val="00A7111E"/>
    <w:rsid w:val="00A71A33"/>
    <w:rsid w:val="00A72A05"/>
    <w:rsid w:val="00A755B6"/>
    <w:rsid w:val="00A75B1A"/>
    <w:rsid w:val="00A80678"/>
    <w:rsid w:val="00A80ED4"/>
    <w:rsid w:val="00A816C4"/>
    <w:rsid w:val="00A825F2"/>
    <w:rsid w:val="00A82981"/>
    <w:rsid w:val="00A86F10"/>
    <w:rsid w:val="00A87AF2"/>
    <w:rsid w:val="00A90B23"/>
    <w:rsid w:val="00A93193"/>
    <w:rsid w:val="00A93C2B"/>
    <w:rsid w:val="00A94556"/>
    <w:rsid w:val="00A95937"/>
    <w:rsid w:val="00A974CB"/>
    <w:rsid w:val="00AA1EAC"/>
    <w:rsid w:val="00AA45E2"/>
    <w:rsid w:val="00AA664C"/>
    <w:rsid w:val="00AA7AC1"/>
    <w:rsid w:val="00AB0220"/>
    <w:rsid w:val="00AB0638"/>
    <w:rsid w:val="00AB6327"/>
    <w:rsid w:val="00AB6B8F"/>
    <w:rsid w:val="00AC0C65"/>
    <w:rsid w:val="00AC0FB2"/>
    <w:rsid w:val="00AC3721"/>
    <w:rsid w:val="00AC41C6"/>
    <w:rsid w:val="00AC59F9"/>
    <w:rsid w:val="00AC70C7"/>
    <w:rsid w:val="00AC76B7"/>
    <w:rsid w:val="00AD0223"/>
    <w:rsid w:val="00AD123A"/>
    <w:rsid w:val="00AD15FF"/>
    <w:rsid w:val="00AD1AA5"/>
    <w:rsid w:val="00AD261F"/>
    <w:rsid w:val="00AD2920"/>
    <w:rsid w:val="00AD2CD5"/>
    <w:rsid w:val="00AD2DFC"/>
    <w:rsid w:val="00AD38C4"/>
    <w:rsid w:val="00AD3C12"/>
    <w:rsid w:val="00AD468A"/>
    <w:rsid w:val="00AD5A4A"/>
    <w:rsid w:val="00AD60EE"/>
    <w:rsid w:val="00AD6A2B"/>
    <w:rsid w:val="00AD73D4"/>
    <w:rsid w:val="00AE1EA2"/>
    <w:rsid w:val="00AE1FEA"/>
    <w:rsid w:val="00AE2874"/>
    <w:rsid w:val="00AE2BA2"/>
    <w:rsid w:val="00AE2F98"/>
    <w:rsid w:val="00AE3602"/>
    <w:rsid w:val="00AE5342"/>
    <w:rsid w:val="00AE5987"/>
    <w:rsid w:val="00AE6472"/>
    <w:rsid w:val="00AE64B6"/>
    <w:rsid w:val="00AF1345"/>
    <w:rsid w:val="00AF275E"/>
    <w:rsid w:val="00AF38A8"/>
    <w:rsid w:val="00AF63EB"/>
    <w:rsid w:val="00B016D2"/>
    <w:rsid w:val="00B018EC"/>
    <w:rsid w:val="00B027E6"/>
    <w:rsid w:val="00B0592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81D5B"/>
    <w:rsid w:val="00B83BA4"/>
    <w:rsid w:val="00B900FE"/>
    <w:rsid w:val="00B9064C"/>
    <w:rsid w:val="00B92BB3"/>
    <w:rsid w:val="00BA0A14"/>
    <w:rsid w:val="00BA228D"/>
    <w:rsid w:val="00BA398D"/>
    <w:rsid w:val="00BA39D3"/>
    <w:rsid w:val="00BA5C56"/>
    <w:rsid w:val="00BA5D39"/>
    <w:rsid w:val="00BA776F"/>
    <w:rsid w:val="00BB0C0D"/>
    <w:rsid w:val="00BB0D69"/>
    <w:rsid w:val="00BB366E"/>
    <w:rsid w:val="00BB3AF0"/>
    <w:rsid w:val="00BB4F70"/>
    <w:rsid w:val="00BB67FF"/>
    <w:rsid w:val="00BB685E"/>
    <w:rsid w:val="00BB700E"/>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0B18"/>
    <w:rsid w:val="00BE24B9"/>
    <w:rsid w:val="00BE27A9"/>
    <w:rsid w:val="00BE2AE8"/>
    <w:rsid w:val="00BE2D55"/>
    <w:rsid w:val="00BE38DD"/>
    <w:rsid w:val="00BE4AB1"/>
    <w:rsid w:val="00BE61EA"/>
    <w:rsid w:val="00BE7F34"/>
    <w:rsid w:val="00BF16C3"/>
    <w:rsid w:val="00BF268D"/>
    <w:rsid w:val="00BF38E0"/>
    <w:rsid w:val="00BF44FA"/>
    <w:rsid w:val="00BF57E1"/>
    <w:rsid w:val="00BF5CE5"/>
    <w:rsid w:val="00C003B4"/>
    <w:rsid w:val="00C00A5F"/>
    <w:rsid w:val="00C042E0"/>
    <w:rsid w:val="00C051D9"/>
    <w:rsid w:val="00C06333"/>
    <w:rsid w:val="00C06468"/>
    <w:rsid w:val="00C06B37"/>
    <w:rsid w:val="00C06F68"/>
    <w:rsid w:val="00C075BA"/>
    <w:rsid w:val="00C10A3A"/>
    <w:rsid w:val="00C11E20"/>
    <w:rsid w:val="00C15D16"/>
    <w:rsid w:val="00C17ECF"/>
    <w:rsid w:val="00C20015"/>
    <w:rsid w:val="00C21765"/>
    <w:rsid w:val="00C247DD"/>
    <w:rsid w:val="00C25B43"/>
    <w:rsid w:val="00C26A54"/>
    <w:rsid w:val="00C31454"/>
    <w:rsid w:val="00C31CB6"/>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47CC"/>
    <w:rsid w:val="00C54F80"/>
    <w:rsid w:val="00C55143"/>
    <w:rsid w:val="00C5611B"/>
    <w:rsid w:val="00C5695E"/>
    <w:rsid w:val="00C61528"/>
    <w:rsid w:val="00C63457"/>
    <w:rsid w:val="00C64964"/>
    <w:rsid w:val="00C6631E"/>
    <w:rsid w:val="00C67473"/>
    <w:rsid w:val="00C67AA4"/>
    <w:rsid w:val="00C7148C"/>
    <w:rsid w:val="00C72192"/>
    <w:rsid w:val="00C732B1"/>
    <w:rsid w:val="00C732E5"/>
    <w:rsid w:val="00C73D0B"/>
    <w:rsid w:val="00C75017"/>
    <w:rsid w:val="00C765B4"/>
    <w:rsid w:val="00C80FD1"/>
    <w:rsid w:val="00C813EA"/>
    <w:rsid w:val="00C81496"/>
    <w:rsid w:val="00C82CE6"/>
    <w:rsid w:val="00C82E22"/>
    <w:rsid w:val="00C85144"/>
    <w:rsid w:val="00C86738"/>
    <w:rsid w:val="00C86A27"/>
    <w:rsid w:val="00C91517"/>
    <w:rsid w:val="00C929BD"/>
    <w:rsid w:val="00C931A2"/>
    <w:rsid w:val="00C94E94"/>
    <w:rsid w:val="00CA02E1"/>
    <w:rsid w:val="00CA15DA"/>
    <w:rsid w:val="00CA224E"/>
    <w:rsid w:val="00CA41C5"/>
    <w:rsid w:val="00CA42B7"/>
    <w:rsid w:val="00CA4A53"/>
    <w:rsid w:val="00CA51F5"/>
    <w:rsid w:val="00CA6369"/>
    <w:rsid w:val="00CB218A"/>
    <w:rsid w:val="00CB225A"/>
    <w:rsid w:val="00CB647E"/>
    <w:rsid w:val="00CB69E6"/>
    <w:rsid w:val="00CB761B"/>
    <w:rsid w:val="00CB7E33"/>
    <w:rsid w:val="00CC13DF"/>
    <w:rsid w:val="00CC1EEE"/>
    <w:rsid w:val="00CC4BE1"/>
    <w:rsid w:val="00CC562B"/>
    <w:rsid w:val="00CC6C15"/>
    <w:rsid w:val="00CC7FCF"/>
    <w:rsid w:val="00CD2749"/>
    <w:rsid w:val="00CD2A60"/>
    <w:rsid w:val="00CD306F"/>
    <w:rsid w:val="00CD36E8"/>
    <w:rsid w:val="00CD3971"/>
    <w:rsid w:val="00CD3DAB"/>
    <w:rsid w:val="00CD3E73"/>
    <w:rsid w:val="00CD6C6E"/>
    <w:rsid w:val="00CE0DF1"/>
    <w:rsid w:val="00CE3786"/>
    <w:rsid w:val="00CE4027"/>
    <w:rsid w:val="00CE47CC"/>
    <w:rsid w:val="00CE5939"/>
    <w:rsid w:val="00CE68F6"/>
    <w:rsid w:val="00CE7E27"/>
    <w:rsid w:val="00CF0590"/>
    <w:rsid w:val="00CF22AC"/>
    <w:rsid w:val="00CF2F0A"/>
    <w:rsid w:val="00CF67F4"/>
    <w:rsid w:val="00CF79E8"/>
    <w:rsid w:val="00D0023F"/>
    <w:rsid w:val="00D015AA"/>
    <w:rsid w:val="00D021B8"/>
    <w:rsid w:val="00D03A4F"/>
    <w:rsid w:val="00D03D23"/>
    <w:rsid w:val="00D03D90"/>
    <w:rsid w:val="00D04024"/>
    <w:rsid w:val="00D043EB"/>
    <w:rsid w:val="00D06705"/>
    <w:rsid w:val="00D06A9B"/>
    <w:rsid w:val="00D07472"/>
    <w:rsid w:val="00D0750D"/>
    <w:rsid w:val="00D07DD8"/>
    <w:rsid w:val="00D1038F"/>
    <w:rsid w:val="00D10BF7"/>
    <w:rsid w:val="00D10FEB"/>
    <w:rsid w:val="00D140A0"/>
    <w:rsid w:val="00D203D1"/>
    <w:rsid w:val="00D2057A"/>
    <w:rsid w:val="00D21D98"/>
    <w:rsid w:val="00D2317F"/>
    <w:rsid w:val="00D231A9"/>
    <w:rsid w:val="00D24391"/>
    <w:rsid w:val="00D2472B"/>
    <w:rsid w:val="00D2511B"/>
    <w:rsid w:val="00D253DD"/>
    <w:rsid w:val="00D26FFA"/>
    <w:rsid w:val="00D3215D"/>
    <w:rsid w:val="00D33352"/>
    <w:rsid w:val="00D33857"/>
    <w:rsid w:val="00D347D9"/>
    <w:rsid w:val="00D35565"/>
    <w:rsid w:val="00D36A19"/>
    <w:rsid w:val="00D40DCF"/>
    <w:rsid w:val="00D41075"/>
    <w:rsid w:val="00D417FA"/>
    <w:rsid w:val="00D41C76"/>
    <w:rsid w:val="00D41DD8"/>
    <w:rsid w:val="00D4222C"/>
    <w:rsid w:val="00D425CE"/>
    <w:rsid w:val="00D42F40"/>
    <w:rsid w:val="00D4396C"/>
    <w:rsid w:val="00D43BFD"/>
    <w:rsid w:val="00D4446F"/>
    <w:rsid w:val="00D44B55"/>
    <w:rsid w:val="00D45490"/>
    <w:rsid w:val="00D457B8"/>
    <w:rsid w:val="00D457E1"/>
    <w:rsid w:val="00D47BEB"/>
    <w:rsid w:val="00D50487"/>
    <w:rsid w:val="00D50563"/>
    <w:rsid w:val="00D50F50"/>
    <w:rsid w:val="00D5235F"/>
    <w:rsid w:val="00D52D25"/>
    <w:rsid w:val="00D52F50"/>
    <w:rsid w:val="00D55A98"/>
    <w:rsid w:val="00D56B49"/>
    <w:rsid w:val="00D6053F"/>
    <w:rsid w:val="00D6073D"/>
    <w:rsid w:val="00D60CDF"/>
    <w:rsid w:val="00D618D6"/>
    <w:rsid w:val="00D62426"/>
    <w:rsid w:val="00D62804"/>
    <w:rsid w:val="00D639DC"/>
    <w:rsid w:val="00D70F55"/>
    <w:rsid w:val="00D70FA5"/>
    <w:rsid w:val="00D74171"/>
    <w:rsid w:val="00D7474C"/>
    <w:rsid w:val="00D8032C"/>
    <w:rsid w:val="00D80CE2"/>
    <w:rsid w:val="00D83080"/>
    <w:rsid w:val="00D84D5F"/>
    <w:rsid w:val="00D84DDD"/>
    <w:rsid w:val="00D851E2"/>
    <w:rsid w:val="00D87FFA"/>
    <w:rsid w:val="00D90E02"/>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59C1"/>
    <w:rsid w:val="00DA7769"/>
    <w:rsid w:val="00DB08C6"/>
    <w:rsid w:val="00DB1BC2"/>
    <w:rsid w:val="00DB1CBB"/>
    <w:rsid w:val="00DB31ED"/>
    <w:rsid w:val="00DB4124"/>
    <w:rsid w:val="00DB4511"/>
    <w:rsid w:val="00DB4D3F"/>
    <w:rsid w:val="00DB4F0C"/>
    <w:rsid w:val="00DB5962"/>
    <w:rsid w:val="00DC0176"/>
    <w:rsid w:val="00DC043F"/>
    <w:rsid w:val="00DC093E"/>
    <w:rsid w:val="00DC0E29"/>
    <w:rsid w:val="00DC0E7A"/>
    <w:rsid w:val="00DC2A65"/>
    <w:rsid w:val="00DC2A86"/>
    <w:rsid w:val="00DC3631"/>
    <w:rsid w:val="00DC37F7"/>
    <w:rsid w:val="00DC6760"/>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E75F7"/>
    <w:rsid w:val="00DF10B1"/>
    <w:rsid w:val="00DF1FDA"/>
    <w:rsid w:val="00DF3DD0"/>
    <w:rsid w:val="00DF4D50"/>
    <w:rsid w:val="00DF538C"/>
    <w:rsid w:val="00DF5A44"/>
    <w:rsid w:val="00E00EDE"/>
    <w:rsid w:val="00E01D63"/>
    <w:rsid w:val="00E021C2"/>
    <w:rsid w:val="00E024A3"/>
    <w:rsid w:val="00E0423D"/>
    <w:rsid w:val="00E057B5"/>
    <w:rsid w:val="00E0581E"/>
    <w:rsid w:val="00E066E0"/>
    <w:rsid w:val="00E079C5"/>
    <w:rsid w:val="00E07CBD"/>
    <w:rsid w:val="00E07F56"/>
    <w:rsid w:val="00E106CA"/>
    <w:rsid w:val="00E10A16"/>
    <w:rsid w:val="00E1112F"/>
    <w:rsid w:val="00E1318F"/>
    <w:rsid w:val="00E13B3B"/>
    <w:rsid w:val="00E13E29"/>
    <w:rsid w:val="00E16857"/>
    <w:rsid w:val="00E16C3A"/>
    <w:rsid w:val="00E20651"/>
    <w:rsid w:val="00E2107C"/>
    <w:rsid w:val="00E21E70"/>
    <w:rsid w:val="00E224DE"/>
    <w:rsid w:val="00E231FC"/>
    <w:rsid w:val="00E23DCE"/>
    <w:rsid w:val="00E2599A"/>
    <w:rsid w:val="00E26363"/>
    <w:rsid w:val="00E272A4"/>
    <w:rsid w:val="00E305F9"/>
    <w:rsid w:val="00E306AC"/>
    <w:rsid w:val="00E34446"/>
    <w:rsid w:val="00E3633B"/>
    <w:rsid w:val="00E36870"/>
    <w:rsid w:val="00E374E1"/>
    <w:rsid w:val="00E40D7B"/>
    <w:rsid w:val="00E417AB"/>
    <w:rsid w:val="00E43D48"/>
    <w:rsid w:val="00E4542D"/>
    <w:rsid w:val="00E45BE0"/>
    <w:rsid w:val="00E46CAD"/>
    <w:rsid w:val="00E47521"/>
    <w:rsid w:val="00E4760C"/>
    <w:rsid w:val="00E507A6"/>
    <w:rsid w:val="00E52CB3"/>
    <w:rsid w:val="00E5375C"/>
    <w:rsid w:val="00E561AD"/>
    <w:rsid w:val="00E57EE9"/>
    <w:rsid w:val="00E57FAF"/>
    <w:rsid w:val="00E60BA9"/>
    <w:rsid w:val="00E63510"/>
    <w:rsid w:val="00E635EA"/>
    <w:rsid w:val="00E645BC"/>
    <w:rsid w:val="00E64C9A"/>
    <w:rsid w:val="00E655E5"/>
    <w:rsid w:val="00E65F4E"/>
    <w:rsid w:val="00E662E0"/>
    <w:rsid w:val="00E67D5D"/>
    <w:rsid w:val="00E71C7A"/>
    <w:rsid w:val="00E73119"/>
    <w:rsid w:val="00E73E1E"/>
    <w:rsid w:val="00E767FF"/>
    <w:rsid w:val="00E8362E"/>
    <w:rsid w:val="00E84C91"/>
    <w:rsid w:val="00E84E60"/>
    <w:rsid w:val="00E8556E"/>
    <w:rsid w:val="00E86B2D"/>
    <w:rsid w:val="00E86F4D"/>
    <w:rsid w:val="00E87D08"/>
    <w:rsid w:val="00E90D0E"/>
    <w:rsid w:val="00E91B2D"/>
    <w:rsid w:val="00E92FCA"/>
    <w:rsid w:val="00E9473D"/>
    <w:rsid w:val="00E95CAA"/>
    <w:rsid w:val="00EA0A39"/>
    <w:rsid w:val="00EA0EB2"/>
    <w:rsid w:val="00EA236F"/>
    <w:rsid w:val="00EA29D4"/>
    <w:rsid w:val="00EA3023"/>
    <w:rsid w:val="00EA3E49"/>
    <w:rsid w:val="00EA3FC8"/>
    <w:rsid w:val="00EA42CF"/>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2E92"/>
    <w:rsid w:val="00ED3134"/>
    <w:rsid w:val="00ED38E2"/>
    <w:rsid w:val="00ED5C44"/>
    <w:rsid w:val="00ED635B"/>
    <w:rsid w:val="00EE077B"/>
    <w:rsid w:val="00EE742D"/>
    <w:rsid w:val="00EF0A22"/>
    <w:rsid w:val="00EF1267"/>
    <w:rsid w:val="00EF180C"/>
    <w:rsid w:val="00EF3B6B"/>
    <w:rsid w:val="00EF4B43"/>
    <w:rsid w:val="00EF6750"/>
    <w:rsid w:val="00EF770B"/>
    <w:rsid w:val="00F02836"/>
    <w:rsid w:val="00F02FB5"/>
    <w:rsid w:val="00F0534E"/>
    <w:rsid w:val="00F05C30"/>
    <w:rsid w:val="00F10F1B"/>
    <w:rsid w:val="00F1214A"/>
    <w:rsid w:val="00F12418"/>
    <w:rsid w:val="00F14179"/>
    <w:rsid w:val="00F15786"/>
    <w:rsid w:val="00F167C5"/>
    <w:rsid w:val="00F20B5A"/>
    <w:rsid w:val="00F21F0B"/>
    <w:rsid w:val="00F236AB"/>
    <w:rsid w:val="00F24EA4"/>
    <w:rsid w:val="00F25907"/>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6269"/>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3CC2"/>
    <w:rsid w:val="00F8412F"/>
    <w:rsid w:val="00F84791"/>
    <w:rsid w:val="00F85995"/>
    <w:rsid w:val="00F85FC5"/>
    <w:rsid w:val="00F86C22"/>
    <w:rsid w:val="00F901D6"/>
    <w:rsid w:val="00F90CB3"/>
    <w:rsid w:val="00F912A2"/>
    <w:rsid w:val="00F913A3"/>
    <w:rsid w:val="00F925C3"/>
    <w:rsid w:val="00F942BC"/>
    <w:rsid w:val="00F95D32"/>
    <w:rsid w:val="00FA0109"/>
    <w:rsid w:val="00FA458B"/>
    <w:rsid w:val="00FA5EC5"/>
    <w:rsid w:val="00FA7016"/>
    <w:rsid w:val="00FA7174"/>
    <w:rsid w:val="00FA76E7"/>
    <w:rsid w:val="00FA793D"/>
    <w:rsid w:val="00FB020E"/>
    <w:rsid w:val="00FB0F17"/>
    <w:rsid w:val="00FB4B9D"/>
    <w:rsid w:val="00FB50ED"/>
    <w:rsid w:val="00FB6E18"/>
    <w:rsid w:val="00FC144B"/>
    <w:rsid w:val="00FC2169"/>
    <w:rsid w:val="00FC28E2"/>
    <w:rsid w:val="00FC3BF6"/>
    <w:rsid w:val="00FC3D22"/>
    <w:rsid w:val="00FC6FE1"/>
    <w:rsid w:val="00FC72EC"/>
    <w:rsid w:val="00FD0386"/>
    <w:rsid w:val="00FD0C3D"/>
    <w:rsid w:val="00FD2F6B"/>
    <w:rsid w:val="00FE064A"/>
    <w:rsid w:val="00FE0B55"/>
    <w:rsid w:val="00FE1E98"/>
    <w:rsid w:val="00FE2452"/>
    <w:rsid w:val="00FE294A"/>
    <w:rsid w:val="00FE3B09"/>
    <w:rsid w:val="00FE5469"/>
    <w:rsid w:val="00FE66C2"/>
    <w:rsid w:val="00FE684A"/>
    <w:rsid w:val="00FE6F23"/>
    <w:rsid w:val="00FF0F8C"/>
    <w:rsid w:val="00FF408B"/>
    <w:rsid w:val="00FF43E1"/>
    <w:rsid w:val="00FF522A"/>
    <w:rsid w:val="03430854"/>
    <w:rsid w:val="039F5FA6"/>
    <w:rsid w:val="04F8686E"/>
    <w:rsid w:val="09305ADA"/>
    <w:rsid w:val="0E8013B7"/>
    <w:rsid w:val="10D604C6"/>
    <w:rsid w:val="11B515E0"/>
    <w:rsid w:val="13A53267"/>
    <w:rsid w:val="13F970D2"/>
    <w:rsid w:val="14AA4136"/>
    <w:rsid w:val="163A420B"/>
    <w:rsid w:val="19413B26"/>
    <w:rsid w:val="19F24176"/>
    <w:rsid w:val="1C6D3688"/>
    <w:rsid w:val="1CC63D0A"/>
    <w:rsid w:val="1DC2081A"/>
    <w:rsid w:val="1DD94266"/>
    <w:rsid w:val="1F9D0947"/>
    <w:rsid w:val="1FFB29C6"/>
    <w:rsid w:val="22AF3620"/>
    <w:rsid w:val="22E70AD4"/>
    <w:rsid w:val="24F1508D"/>
    <w:rsid w:val="266F634F"/>
    <w:rsid w:val="291059EA"/>
    <w:rsid w:val="2BBF12EC"/>
    <w:rsid w:val="2BC649D9"/>
    <w:rsid w:val="2C523716"/>
    <w:rsid w:val="2FFC3CB3"/>
    <w:rsid w:val="343C25D6"/>
    <w:rsid w:val="3515160D"/>
    <w:rsid w:val="3C7D00D8"/>
    <w:rsid w:val="3CA06C0C"/>
    <w:rsid w:val="3CAC0976"/>
    <w:rsid w:val="3EA25851"/>
    <w:rsid w:val="3F411B3E"/>
    <w:rsid w:val="3F6C3757"/>
    <w:rsid w:val="3F991CD9"/>
    <w:rsid w:val="405D6A10"/>
    <w:rsid w:val="41DA6594"/>
    <w:rsid w:val="444C1A75"/>
    <w:rsid w:val="44A3526F"/>
    <w:rsid w:val="44B032F4"/>
    <w:rsid w:val="457D25F7"/>
    <w:rsid w:val="468341CD"/>
    <w:rsid w:val="472C2589"/>
    <w:rsid w:val="4A760AEB"/>
    <w:rsid w:val="4F3162CA"/>
    <w:rsid w:val="50D95873"/>
    <w:rsid w:val="526102AF"/>
    <w:rsid w:val="528444DA"/>
    <w:rsid w:val="537745D5"/>
    <w:rsid w:val="53B95916"/>
    <w:rsid w:val="552306F6"/>
    <w:rsid w:val="56E352D5"/>
    <w:rsid w:val="57E435FE"/>
    <w:rsid w:val="582D0655"/>
    <w:rsid w:val="5951205C"/>
    <w:rsid w:val="59D079E8"/>
    <w:rsid w:val="59D40847"/>
    <w:rsid w:val="5AE37F25"/>
    <w:rsid w:val="5B8214E7"/>
    <w:rsid w:val="5CB23D47"/>
    <w:rsid w:val="5D27EA33"/>
    <w:rsid w:val="5FAF09C4"/>
    <w:rsid w:val="608C4642"/>
    <w:rsid w:val="62795572"/>
    <w:rsid w:val="64DD6417"/>
    <w:rsid w:val="66004745"/>
    <w:rsid w:val="6A567F20"/>
    <w:rsid w:val="6CD97953"/>
    <w:rsid w:val="6ED30FD7"/>
    <w:rsid w:val="727D78FD"/>
    <w:rsid w:val="730275C0"/>
    <w:rsid w:val="73CC655F"/>
    <w:rsid w:val="73FB76C0"/>
    <w:rsid w:val="75957445"/>
    <w:rsid w:val="75D01AE1"/>
    <w:rsid w:val="77524363"/>
    <w:rsid w:val="7756B677"/>
    <w:rsid w:val="77B917B5"/>
    <w:rsid w:val="78703975"/>
    <w:rsid w:val="791E4000"/>
    <w:rsid w:val="7A8229B4"/>
    <w:rsid w:val="7BE420FD"/>
    <w:rsid w:val="7D0D296B"/>
    <w:rsid w:val="7D4E0B54"/>
    <w:rsid w:val="7D503E78"/>
    <w:rsid w:val="7E0160D4"/>
    <w:rsid w:val="7FFAB51C"/>
    <w:rsid w:val="84EE0742"/>
    <w:rsid w:val="F7F3E655"/>
    <w:rsid w:val="FDE2622D"/>
    <w:rsid w:val="FDFDF957"/>
    <w:rsid w:val="FFE7924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iPriority="0" w:semiHidden="0" w:name="table of figures"/>
    <w:lsdException w:uiPriority="0" w:name="envelope address"/>
    <w:lsdException w:uiPriority="0" w:name="envelope return"/>
    <w:lsdException w:qFormat="1" w:unhideWhenUsed="0" w:uiPriority="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name="endnote reference"/>
    <w:lsdException w:qFormat="1" w:unhideWhenUsed="0" w:uiPriority="0" w:name="endnote text"/>
    <w:lsdException w:qFormat="1" w:unhideWhenUsed="0" w:uiPriority="0" w:semiHidden="0" w:name="table of authorities"/>
    <w:lsdException w:uiPriority="0" w:name="macro"/>
    <w:lsdException w:qFormat="1" w:unhideWhenUsed="0" w:uiPriority="0" w:semiHidden="0" w:name="toa heading"/>
    <w:lsdException w:unhideWhenUsed="0" w:uiPriority="0" w:semiHidden="0" w:name="List"/>
    <w:lsdException w:qFormat="1" w:unhideWhenUsed="0" w:uiPriority="0" w:semiHidden="0" w:name="List Bullet"/>
    <w:lsdException w:qFormat="1" w:unhideWhenUsed="0" w:uiPriority="99"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qFormat="1" w:uiPriority="0" w:semiHidden="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99" w:semiHidden="0" w:name="Body Text"/>
    <w:lsdException w:qFormat="1" w:unhideWhenUsed="0"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99" w:semiHidden="0" w:name="Subtitle"/>
    <w:lsdException w:uiPriority="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0" w:name="Note Heading"/>
    <w:lsdException w:qFormat="1" w:uiPriority="99" w:name="Body Text 2"/>
    <w:lsdException w:qFormat="1" w:unhideWhenUsed="0" w:uiPriority="0" w:semiHidden="0" w:name="Body Text 3"/>
    <w:lsdException w:qFormat="1" w:unhideWhenUsed="0" w:uiPriority="99" w:semiHidden="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iPriority="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105"/>
    <w:qFormat/>
    <w:uiPriority w:val="9"/>
    <w:pPr>
      <w:keepNext/>
      <w:keepLines/>
      <w:numPr>
        <w:ilvl w:val="0"/>
        <w:numId w:val="1"/>
      </w:numPr>
      <w:spacing w:before="120" w:after="120"/>
      <w:ind w:left="425" w:firstLine="0" w:firstLineChars="0"/>
      <w:outlineLvl w:val="0"/>
    </w:pPr>
    <w:rPr>
      <w:rFonts w:eastAsia="黑体"/>
      <w:b/>
      <w:bCs/>
      <w:kern w:val="44"/>
      <w:sz w:val="32"/>
      <w:szCs w:val="28"/>
    </w:rPr>
  </w:style>
  <w:style w:type="paragraph" w:styleId="3">
    <w:name w:val="heading 2"/>
    <w:basedOn w:val="1"/>
    <w:next w:val="1"/>
    <w:link w:val="118"/>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111"/>
    <w:autoRedefine/>
    <w:qFormat/>
    <w:uiPriority w:val="9"/>
    <w:pPr>
      <w:keepNext/>
      <w:keepLines/>
      <w:numPr>
        <w:ilvl w:val="2"/>
        <w:numId w:val="1"/>
      </w:numPr>
      <w:spacing w:before="120" w:after="120"/>
      <w:ind w:firstLine="0" w:firstLineChars="0"/>
      <w:outlineLvl w:val="2"/>
    </w:pPr>
    <w:rPr>
      <w:b/>
      <w:bCs/>
      <w:szCs w:val="28"/>
    </w:rPr>
  </w:style>
  <w:style w:type="paragraph" w:styleId="5">
    <w:name w:val="heading 4"/>
    <w:basedOn w:val="1"/>
    <w:next w:val="1"/>
    <w:link w:val="88"/>
    <w:qFormat/>
    <w:uiPriority w:val="9"/>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116"/>
    <w:qFormat/>
    <w:uiPriority w:val="9"/>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129"/>
    <w:qFormat/>
    <w:uiPriority w:val="9"/>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102"/>
    <w:autoRedefine/>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128"/>
    <w:autoRedefine/>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78"/>
    <w:autoRedefine/>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63">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2520" w:leftChars="1200"/>
    </w:pPr>
    <w:rPr>
      <w:rFonts w:ascii="等线" w:hAnsi="等线" w:eastAsia="等线"/>
      <w:szCs w:val="22"/>
    </w:rPr>
  </w:style>
  <w:style w:type="paragraph" w:styleId="12">
    <w:name w:val="table of authorities"/>
    <w:basedOn w:val="1"/>
    <w:next w:val="1"/>
    <w:autoRedefine/>
    <w:qFormat/>
    <w:uiPriority w:val="0"/>
    <w:pPr>
      <w:widowControl/>
      <w:spacing w:line="240" w:lineRule="auto"/>
      <w:ind w:left="420" w:leftChars="200" w:firstLine="0" w:firstLineChars="0"/>
      <w:jc w:val="left"/>
    </w:pPr>
    <w:rPr>
      <w:rFonts w:ascii="Times New Roman" w:hAnsi="Times New Roman"/>
      <w:kern w:val="0"/>
    </w:rPr>
  </w:style>
  <w:style w:type="paragraph" w:styleId="13">
    <w:name w:val="List Bullet 4"/>
    <w:basedOn w:val="1"/>
    <w:autoRedefine/>
    <w:unhideWhenUsed/>
    <w:qFormat/>
    <w:uiPriority w:val="0"/>
    <w:pPr>
      <w:widowControl/>
      <w:numPr>
        <w:ilvl w:val="0"/>
        <w:numId w:val="2"/>
      </w:numPr>
      <w:tabs>
        <w:tab w:val="clear" w:pos="1620"/>
      </w:tabs>
      <w:spacing w:line="240" w:lineRule="auto"/>
      <w:ind w:left="420" w:leftChars="0" w:hanging="420" w:firstLineChars="0"/>
      <w:contextualSpacing/>
      <w:jc w:val="left"/>
    </w:pPr>
    <w:rPr>
      <w:rFonts w:ascii="Calibri" w:hAnsi="Calibri"/>
      <w:kern w:val="0"/>
    </w:rPr>
  </w:style>
  <w:style w:type="paragraph" w:styleId="14">
    <w:name w:val="index 8"/>
    <w:basedOn w:val="1"/>
    <w:next w:val="1"/>
    <w:autoRedefine/>
    <w:qFormat/>
    <w:uiPriority w:val="0"/>
    <w:pPr>
      <w:widowControl/>
      <w:ind w:left="1680" w:hanging="210" w:firstLineChars="0"/>
      <w:jc w:val="left"/>
    </w:pPr>
    <w:rPr>
      <w:rFonts w:ascii="Calibri" w:hAnsi="Calibri"/>
      <w:kern w:val="0"/>
      <w:sz w:val="20"/>
      <w:szCs w:val="20"/>
    </w:rPr>
  </w:style>
  <w:style w:type="paragraph" w:styleId="15">
    <w:name w:val="List Number"/>
    <w:basedOn w:val="1"/>
    <w:autoRedefine/>
    <w:qFormat/>
    <w:uiPriority w:val="99"/>
    <w:pPr>
      <w:widowControl/>
      <w:numPr>
        <w:ilvl w:val="0"/>
        <w:numId w:val="3"/>
      </w:numPr>
      <w:ind w:firstLine="0"/>
      <w:contextualSpacing/>
      <w:jc w:val="left"/>
    </w:pPr>
    <w:rPr>
      <w:rFonts w:ascii="Arial" w:hAnsi="Arial" w:eastAsia="仿宋_GB2312"/>
      <w:kern w:val="0"/>
      <w:sz w:val="28"/>
      <w:szCs w:val="28"/>
    </w:rPr>
  </w:style>
  <w:style w:type="paragraph" w:styleId="16">
    <w:name w:val="Normal Indent"/>
    <w:basedOn w:val="1"/>
    <w:link w:val="192"/>
    <w:autoRedefine/>
    <w:unhideWhenUsed/>
    <w:qFormat/>
    <w:uiPriority w:val="99"/>
    <w:pPr>
      <w:spacing w:line="240" w:lineRule="auto"/>
      <w:ind w:firstLine="420"/>
    </w:pPr>
    <w:rPr>
      <w:rFonts w:ascii="Calibri" w:hAnsi="Calibri"/>
      <w:sz w:val="21"/>
    </w:rPr>
  </w:style>
  <w:style w:type="paragraph" w:styleId="17">
    <w:name w:val="caption"/>
    <w:basedOn w:val="1"/>
    <w:next w:val="1"/>
    <w:link w:val="84"/>
    <w:autoRedefine/>
    <w:qFormat/>
    <w:uiPriority w:val="0"/>
    <w:pPr>
      <w:spacing w:afterLines="50"/>
      <w:ind w:firstLine="200"/>
    </w:pPr>
    <w:rPr>
      <w:rFonts w:ascii="Arial" w:hAnsi="Arial" w:eastAsia="黑体"/>
      <w:sz w:val="20"/>
      <w:szCs w:val="20"/>
    </w:rPr>
  </w:style>
  <w:style w:type="paragraph" w:styleId="18">
    <w:name w:val="index 5"/>
    <w:basedOn w:val="1"/>
    <w:next w:val="1"/>
    <w:autoRedefine/>
    <w:qFormat/>
    <w:uiPriority w:val="0"/>
    <w:pPr>
      <w:widowControl/>
      <w:ind w:left="1050" w:hanging="210" w:firstLineChars="0"/>
      <w:jc w:val="left"/>
    </w:pPr>
    <w:rPr>
      <w:rFonts w:ascii="Calibri" w:hAnsi="Calibri"/>
      <w:kern w:val="0"/>
      <w:sz w:val="20"/>
      <w:szCs w:val="20"/>
    </w:rPr>
  </w:style>
  <w:style w:type="paragraph" w:styleId="19">
    <w:name w:val="List Bullet"/>
    <w:basedOn w:val="1"/>
    <w:autoRedefine/>
    <w:qFormat/>
    <w:uiPriority w:val="0"/>
    <w:pPr>
      <w:widowControl/>
      <w:numPr>
        <w:ilvl w:val="0"/>
        <w:numId w:val="4"/>
      </w:numPr>
      <w:ind w:firstLine="0" w:firstLineChars="0"/>
      <w:jc w:val="left"/>
    </w:pPr>
    <w:rPr>
      <w:rFonts w:ascii="Times New Roman" w:hAnsi="Times New Roman"/>
      <w:kern w:val="0"/>
    </w:rPr>
  </w:style>
  <w:style w:type="paragraph" w:styleId="20">
    <w:name w:val="Document Map"/>
    <w:basedOn w:val="1"/>
    <w:link w:val="121"/>
    <w:autoRedefine/>
    <w:qFormat/>
    <w:uiPriority w:val="0"/>
    <w:rPr>
      <w:rFonts w:hAnsi="Times New Roman"/>
      <w:sz w:val="18"/>
      <w:szCs w:val="18"/>
    </w:rPr>
  </w:style>
  <w:style w:type="paragraph" w:styleId="21">
    <w:name w:val="toa heading"/>
    <w:basedOn w:val="1"/>
    <w:next w:val="1"/>
    <w:autoRedefine/>
    <w:qFormat/>
    <w:uiPriority w:val="0"/>
    <w:pPr>
      <w:widowControl/>
      <w:spacing w:line="240" w:lineRule="auto"/>
      <w:ind w:firstLine="0" w:firstLineChars="0"/>
      <w:jc w:val="left"/>
    </w:pPr>
    <w:rPr>
      <w:rFonts w:ascii="Arial" w:hAnsi="Arial"/>
      <w:kern w:val="0"/>
    </w:rPr>
  </w:style>
  <w:style w:type="paragraph" w:styleId="22">
    <w:name w:val="annotation text"/>
    <w:basedOn w:val="1"/>
    <w:link w:val="75"/>
    <w:autoRedefine/>
    <w:qFormat/>
    <w:uiPriority w:val="0"/>
    <w:pPr>
      <w:jc w:val="left"/>
    </w:pPr>
    <w:rPr>
      <w:rFonts w:ascii="Times New Roman" w:hAnsi="Times New Roman" w:eastAsia="仿宋"/>
      <w:sz w:val="28"/>
    </w:rPr>
  </w:style>
  <w:style w:type="paragraph" w:styleId="23">
    <w:name w:val="index 6"/>
    <w:basedOn w:val="1"/>
    <w:next w:val="1"/>
    <w:autoRedefine/>
    <w:qFormat/>
    <w:uiPriority w:val="0"/>
    <w:pPr>
      <w:widowControl/>
      <w:ind w:left="1260" w:hanging="210" w:firstLineChars="0"/>
      <w:jc w:val="left"/>
    </w:pPr>
    <w:rPr>
      <w:rFonts w:ascii="Calibri" w:hAnsi="Calibri"/>
      <w:kern w:val="0"/>
      <w:sz w:val="20"/>
      <w:szCs w:val="20"/>
    </w:rPr>
  </w:style>
  <w:style w:type="paragraph" w:styleId="24">
    <w:name w:val="Body Text 3"/>
    <w:basedOn w:val="1"/>
    <w:link w:val="168"/>
    <w:autoRedefine/>
    <w:qFormat/>
    <w:uiPriority w:val="0"/>
    <w:pPr>
      <w:widowControl/>
      <w:spacing w:after="120" w:line="240" w:lineRule="auto"/>
      <w:ind w:firstLine="0" w:firstLineChars="0"/>
      <w:jc w:val="left"/>
    </w:pPr>
    <w:rPr>
      <w:rFonts w:ascii="Times New Roman" w:hAnsi="Times New Roman"/>
      <w:kern w:val="0"/>
      <w:sz w:val="16"/>
      <w:szCs w:val="16"/>
    </w:rPr>
  </w:style>
  <w:style w:type="paragraph" w:styleId="25">
    <w:name w:val="Body Text"/>
    <w:basedOn w:val="1"/>
    <w:link w:val="89"/>
    <w:autoRedefine/>
    <w:unhideWhenUsed/>
    <w:qFormat/>
    <w:uiPriority w:val="99"/>
    <w:pPr>
      <w:spacing w:after="120" w:line="240" w:lineRule="auto"/>
      <w:ind w:firstLine="0" w:firstLineChars="0"/>
    </w:pPr>
    <w:rPr>
      <w:rFonts w:ascii="Times New Roman" w:hAnsi="Times New Roman"/>
      <w:sz w:val="21"/>
    </w:rPr>
  </w:style>
  <w:style w:type="paragraph" w:styleId="26">
    <w:name w:val="Body Text Indent"/>
    <w:basedOn w:val="1"/>
    <w:link w:val="115"/>
    <w:autoRedefine/>
    <w:qFormat/>
    <w:uiPriority w:val="99"/>
    <w:pPr>
      <w:spacing w:after="120"/>
      <w:ind w:firstLine="200"/>
    </w:pPr>
    <w:rPr>
      <w:rFonts w:ascii="Times New Roman" w:hAnsi="Times New Roman"/>
      <w:sz w:val="21"/>
      <w:szCs w:val="20"/>
    </w:rPr>
  </w:style>
  <w:style w:type="paragraph" w:styleId="27">
    <w:name w:val="index 4"/>
    <w:basedOn w:val="1"/>
    <w:next w:val="1"/>
    <w:autoRedefine/>
    <w:qFormat/>
    <w:uiPriority w:val="0"/>
    <w:pPr>
      <w:widowControl/>
      <w:ind w:left="840" w:hanging="210" w:firstLineChars="0"/>
      <w:jc w:val="left"/>
    </w:pPr>
    <w:rPr>
      <w:rFonts w:ascii="Calibri" w:hAnsi="Calibri"/>
      <w:kern w:val="0"/>
      <w:sz w:val="20"/>
      <w:szCs w:val="20"/>
    </w:rPr>
  </w:style>
  <w:style w:type="paragraph" w:styleId="28">
    <w:name w:val="toc 5"/>
    <w:basedOn w:val="1"/>
    <w:next w:val="1"/>
    <w:autoRedefine/>
    <w:unhideWhenUsed/>
    <w:qFormat/>
    <w:uiPriority w:val="39"/>
    <w:pPr>
      <w:ind w:left="1680" w:leftChars="800"/>
    </w:pPr>
    <w:rPr>
      <w:rFonts w:ascii="等线" w:hAnsi="等线" w:eastAsia="等线"/>
      <w:szCs w:val="22"/>
    </w:rPr>
  </w:style>
  <w:style w:type="paragraph" w:styleId="29">
    <w:name w:val="toc 3"/>
    <w:basedOn w:val="1"/>
    <w:next w:val="1"/>
    <w:autoRedefine/>
    <w:qFormat/>
    <w:uiPriority w:val="39"/>
    <w:pPr>
      <w:tabs>
        <w:tab w:val="right" w:leader="dot" w:pos="8302"/>
      </w:tabs>
      <w:ind w:left="840" w:leftChars="400"/>
    </w:pPr>
  </w:style>
  <w:style w:type="paragraph" w:styleId="30">
    <w:name w:val="Plain Text"/>
    <w:basedOn w:val="1"/>
    <w:link w:val="96"/>
    <w:autoRedefine/>
    <w:qFormat/>
    <w:uiPriority w:val="0"/>
    <w:pPr>
      <w:spacing w:line="240" w:lineRule="auto"/>
      <w:ind w:firstLine="0" w:firstLineChars="0"/>
    </w:pPr>
    <w:rPr>
      <w:rFonts w:hAnsi="Courier New"/>
      <w:sz w:val="21"/>
      <w:szCs w:val="20"/>
    </w:rPr>
  </w:style>
  <w:style w:type="paragraph" w:styleId="31">
    <w:name w:val="toc 8"/>
    <w:basedOn w:val="1"/>
    <w:next w:val="1"/>
    <w:autoRedefine/>
    <w:unhideWhenUsed/>
    <w:qFormat/>
    <w:uiPriority w:val="39"/>
    <w:pPr>
      <w:ind w:left="2940" w:leftChars="1400"/>
    </w:pPr>
    <w:rPr>
      <w:rFonts w:ascii="等线" w:hAnsi="等线" w:eastAsia="等线"/>
      <w:szCs w:val="22"/>
    </w:rPr>
  </w:style>
  <w:style w:type="paragraph" w:styleId="32">
    <w:name w:val="index 3"/>
    <w:basedOn w:val="1"/>
    <w:next w:val="1"/>
    <w:autoRedefine/>
    <w:qFormat/>
    <w:uiPriority w:val="0"/>
    <w:pPr>
      <w:widowControl/>
      <w:ind w:left="630" w:hanging="210" w:firstLineChars="0"/>
      <w:jc w:val="left"/>
    </w:pPr>
    <w:rPr>
      <w:rFonts w:ascii="Calibri" w:hAnsi="Calibri"/>
      <w:kern w:val="0"/>
      <w:sz w:val="20"/>
      <w:szCs w:val="20"/>
    </w:rPr>
  </w:style>
  <w:style w:type="paragraph" w:styleId="33">
    <w:name w:val="Date"/>
    <w:basedOn w:val="1"/>
    <w:next w:val="1"/>
    <w:link w:val="77"/>
    <w:autoRedefine/>
    <w:qFormat/>
    <w:uiPriority w:val="0"/>
    <w:pPr>
      <w:ind w:left="100" w:leftChars="2500"/>
    </w:pPr>
    <w:rPr>
      <w:rFonts w:ascii="Times New Roman" w:hAnsi="Times New Roman"/>
      <w:sz w:val="21"/>
    </w:rPr>
  </w:style>
  <w:style w:type="paragraph" w:styleId="34">
    <w:name w:val="Body Text Indent 2"/>
    <w:basedOn w:val="1"/>
    <w:link w:val="169"/>
    <w:autoRedefine/>
    <w:qFormat/>
    <w:uiPriority w:val="99"/>
    <w:pPr>
      <w:widowControl/>
      <w:spacing w:beforeLines="50"/>
      <w:jc w:val="left"/>
    </w:pPr>
    <w:rPr>
      <w:kern w:val="0"/>
    </w:rPr>
  </w:style>
  <w:style w:type="paragraph" w:styleId="35">
    <w:name w:val="endnote text"/>
    <w:basedOn w:val="1"/>
    <w:link w:val="170"/>
    <w:autoRedefine/>
    <w:semiHidden/>
    <w:qFormat/>
    <w:uiPriority w:val="0"/>
    <w:pPr>
      <w:widowControl/>
      <w:snapToGrid w:val="0"/>
      <w:ind w:firstLine="0" w:firstLineChars="0"/>
      <w:jc w:val="left"/>
    </w:pPr>
    <w:rPr>
      <w:rFonts w:ascii="Calibri" w:hAnsi="Calibri"/>
      <w:kern w:val="0"/>
      <w:sz w:val="28"/>
    </w:rPr>
  </w:style>
  <w:style w:type="paragraph" w:styleId="36">
    <w:name w:val="Balloon Text"/>
    <w:basedOn w:val="1"/>
    <w:link w:val="126"/>
    <w:autoRedefine/>
    <w:qFormat/>
    <w:uiPriority w:val="0"/>
    <w:rPr>
      <w:rFonts w:ascii="Times New Roman" w:hAnsi="Times New Roman"/>
      <w:sz w:val="18"/>
      <w:szCs w:val="18"/>
    </w:rPr>
  </w:style>
  <w:style w:type="paragraph" w:styleId="37">
    <w:name w:val="footer"/>
    <w:basedOn w:val="1"/>
    <w:link w:val="119"/>
    <w:autoRedefine/>
    <w:qFormat/>
    <w:uiPriority w:val="99"/>
    <w:pPr>
      <w:tabs>
        <w:tab w:val="center" w:pos="4153"/>
        <w:tab w:val="right" w:pos="8306"/>
      </w:tabs>
      <w:snapToGrid w:val="0"/>
      <w:jc w:val="center"/>
    </w:pPr>
    <w:rPr>
      <w:rFonts w:ascii="Times New Roman" w:hAnsi="Times New Roman"/>
      <w:sz w:val="18"/>
      <w:szCs w:val="18"/>
    </w:rPr>
  </w:style>
  <w:style w:type="paragraph" w:styleId="38">
    <w:name w:val="header"/>
    <w:basedOn w:val="1"/>
    <w:link w:val="127"/>
    <w:autoRedefine/>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39">
    <w:name w:val="toc 1"/>
    <w:basedOn w:val="1"/>
    <w:next w:val="1"/>
    <w:autoRedefine/>
    <w:qFormat/>
    <w:uiPriority w:val="39"/>
  </w:style>
  <w:style w:type="paragraph" w:styleId="40">
    <w:name w:val="toc 4"/>
    <w:basedOn w:val="1"/>
    <w:next w:val="1"/>
    <w:unhideWhenUsed/>
    <w:qFormat/>
    <w:uiPriority w:val="39"/>
    <w:pPr>
      <w:ind w:left="1260" w:leftChars="600"/>
    </w:pPr>
    <w:rPr>
      <w:rFonts w:ascii="等线" w:hAnsi="等线" w:eastAsia="等线"/>
      <w:szCs w:val="22"/>
    </w:rPr>
  </w:style>
  <w:style w:type="paragraph" w:styleId="41">
    <w:name w:val="index heading"/>
    <w:basedOn w:val="1"/>
    <w:next w:val="42"/>
    <w:autoRedefine/>
    <w:qFormat/>
    <w:uiPriority w:val="0"/>
    <w:pPr>
      <w:widowControl/>
      <w:spacing w:before="120" w:after="120"/>
      <w:ind w:firstLine="0" w:firstLineChars="0"/>
      <w:jc w:val="center"/>
    </w:pPr>
    <w:rPr>
      <w:rFonts w:ascii="Calibri" w:hAnsi="Calibri"/>
      <w:b/>
      <w:bCs/>
      <w:iCs/>
      <w:kern w:val="0"/>
      <w:sz w:val="28"/>
      <w:szCs w:val="20"/>
    </w:rPr>
  </w:style>
  <w:style w:type="paragraph" w:styleId="42">
    <w:name w:val="index 1"/>
    <w:basedOn w:val="1"/>
    <w:next w:val="1"/>
    <w:autoRedefine/>
    <w:unhideWhenUsed/>
    <w:qFormat/>
    <w:uiPriority w:val="0"/>
    <w:pPr>
      <w:ind w:firstLine="0"/>
    </w:pPr>
  </w:style>
  <w:style w:type="paragraph" w:styleId="43">
    <w:name w:val="Subtitle"/>
    <w:basedOn w:val="1"/>
    <w:next w:val="1"/>
    <w:link w:val="117"/>
    <w:qFormat/>
    <w:uiPriority w:val="99"/>
    <w:pPr>
      <w:spacing w:before="240" w:after="60" w:line="312" w:lineRule="auto"/>
      <w:jc w:val="center"/>
      <w:outlineLvl w:val="1"/>
    </w:pPr>
    <w:rPr>
      <w:rFonts w:ascii="Calibri Light" w:hAnsi="Calibri Light"/>
      <w:b/>
      <w:bCs/>
      <w:kern w:val="28"/>
      <w:sz w:val="32"/>
      <w:szCs w:val="32"/>
    </w:rPr>
  </w:style>
  <w:style w:type="paragraph" w:styleId="44">
    <w:name w:val="footnote text"/>
    <w:basedOn w:val="1"/>
    <w:link w:val="171"/>
    <w:autoRedefine/>
    <w:qFormat/>
    <w:uiPriority w:val="0"/>
    <w:pPr>
      <w:widowControl/>
      <w:numPr>
        <w:ilvl w:val="0"/>
        <w:numId w:val="5"/>
      </w:numPr>
      <w:snapToGrid w:val="0"/>
      <w:ind w:firstLine="0" w:firstLineChars="0"/>
      <w:jc w:val="left"/>
    </w:pPr>
    <w:rPr>
      <w:rFonts w:hAnsi="Calibri"/>
      <w:kern w:val="0"/>
      <w:sz w:val="18"/>
      <w:szCs w:val="18"/>
    </w:rPr>
  </w:style>
  <w:style w:type="paragraph" w:styleId="45">
    <w:name w:val="toc 6"/>
    <w:basedOn w:val="1"/>
    <w:next w:val="1"/>
    <w:autoRedefine/>
    <w:unhideWhenUsed/>
    <w:qFormat/>
    <w:uiPriority w:val="39"/>
    <w:pPr>
      <w:ind w:left="2100" w:leftChars="1000"/>
    </w:pPr>
    <w:rPr>
      <w:rFonts w:ascii="等线" w:hAnsi="等线" w:eastAsia="等线"/>
      <w:szCs w:val="22"/>
    </w:rPr>
  </w:style>
  <w:style w:type="paragraph" w:styleId="46">
    <w:name w:val="index 7"/>
    <w:basedOn w:val="1"/>
    <w:next w:val="1"/>
    <w:autoRedefine/>
    <w:qFormat/>
    <w:uiPriority w:val="0"/>
    <w:pPr>
      <w:widowControl/>
      <w:ind w:left="1470" w:hanging="210" w:firstLineChars="0"/>
      <w:jc w:val="left"/>
    </w:pPr>
    <w:rPr>
      <w:rFonts w:ascii="Calibri" w:hAnsi="Calibri"/>
      <w:kern w:val="0"/>
      <w:sz w:val="20"/>
      <w:szCs w:val="20"/>
    </w:rPr>
  </w:style>
  <w:style w:type="paragraph" w:styleId="47">
    <w:name w:val="index 9"/>
    <w:basedOn w:val="1"/>
    <w:next w:val="1"/>
    <w:autoRedefine/>
    <w:qFormat/>
    <w:uiPriority w:val="0"/>
    <w:pPr>
      <w:widowControl/>
      <w:ind w:left="1890" w:hanging="210" w:firstLineChars="0"/>
      <w:jc w:val="left"/>
    </w:pPr>
    <w:rPr>
      <w:rFonts w:ascii="Calibri" w:hAnsi="Calibri"/>
      <w:kern w:val="0"/>
      <w:sz w:val="20"/>
      <w:szCs w:val="20"/>
    </w:rPr>
  </w:style>
  <w:style w:type="paragraph" w:styleId="48">
    <w:name w:val="table of figures"/>
    <w:basedOn w:val="1"/>
    <w:next w:val="1"/>
    <w:autoRedefine/>
    <w:unhideWhenUsed/>
    <w:qFormat/>
    <w:uiPriority w:val="0"/>
    <w:pPr>
      <w:widowControl/>
      <w:spacing w:line="240" w:lineRule="auto"/>
      <w:ind w:left="200" w:leftChars="200" w:hanging="200" w:hangingChars="200"/>
      <w:jc w:val="left"/>
    </w:pPr>
    <w:rPr>
      <w:rFonts w:ascii="Arial" w:hAnsi="Arial" w:eastAsia="微软雅黑"/>
      <w:kern w:val="0"/>
    </w:rPr>
  </w:style>
  <w:style w:type="paragraph" w:styleId="49">
    <w:name w:val="toc 2"/>
    <w:basedOn w:val="1"/>
    <w:next w:val="1"/>
    <w:autoRedefine/>
    <w:qFormat/>
    <w:uiPriority w:val="39"/>
    <w:pPr>
      <w:tabs>
        <w:tab w:val="right" w:leader="dot" w:pos="8302"/>
      </w:tabs>
      <w:ind w:left="420" w:leftChars="200"/>
    </w:pPr>
  </w:style>
  <w:style w:type="paragraph" w:styleId="50">
    <w:name w:val="toc 9"/>
    <w:basedOn w:val="1"/>
    <w:next w:val="1"/>
    <w:autoRedefine/>
    <w:unhideWhenUsed/>
    <w:qFormat/>
    <w:uiPriority w:val="39"/>
    <w:pPr>
      <w:ind w:left="3360" w:leftChars="1600"/>
    </w:pPr>
    <w:rPr>
      <w:rFonts w:ascii="等线" w:hAnsi="等线" w:eastAsia="等线"/>
      <w:szCs w:val="22"/>
    </w:rPr>
  </w:style>
  <w:style w:type="paragraph" w:styleId="51">
    <w:name w:val="Body Text 2"/>
    <w:basedOn w:val="1"/>
    <w:link w:val="172"/>
    <w:semiHidden/>
    <w:unhideWhenUsed/>
    <w:qFormat/>
    <w:uiPriority w:val="99"/>
    <w:pPr>
      <w:widowControl/>
      <w:spacing w:after="120" w:line="480" w:lineRule="auto"/>
      <w:ind w:firstLine="0" w:firstLineChars="0"/>
      <w:jc w:val="left"/>
    </w:pPr>
    <w:rPr>
      <w:rFonts w:cs="宋体"/>
      <w:kern w:val="0"/>
    </w:rPr>
  </w:style>
  <w:style w:type="paragraph" w:styleId="52">
    <w:name w:val="HTML Preformatted"/>
    <w:basedOn w:val="1"/>
    <w:link w:val="173"/>
    <w:autoRedefine/>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line="300" w:lineRule="auto"/>
      <w:ind w:firstLine="0" w:firstLineChars="0"/>
      <w:jc w:val="left"/>
    </w:pPr>
    <w:rPr>
      <w:kern w:val="0"/>
      <w:lang w:val="zh-CN"/>
    </w:rPr>
  </w:style>
  <w:style w:type="paragraph" w:styleId="53">
    <w:name w:val="Normal (Web)"/>
    <w:basedOn w:val="1"/>
    <w:link w:val="193"/>
    <w:qFormat/>
    <w:uiPriority w:val="99"/>
    <w:pPr>
      <w:widowControl/>
      <w:spacing w:before="100" w:after="100"/>
      <w:jc w:val="left"/>
    </w:pPr>
    <w:rPr>
      <w:rFonts w:hint="eastAsia" w:ascii="Arial Unicode MS" w:hAnsi="Arial Unicode MS" w:eastAsia="Arial Unicode MS"/>
      <w:kern w:val="0"/>
    </w:rPr>
  </w:style>
  <w:style w:type="paragraph" w:styleId="54">
    <w:name w:val="index 2"/>
    <w:basedOn w:val="1"/>
    <w:next w:val="1"/>
    <w:autoRedefine/>
    <w:qFormat/>
    <w:uiPriority w:val="0"/>
    <w:pPr>
      <w:widowControl/>
      <w:ind w:left="420" w:hanging="210" w:firstLineChars="0"/>
      <w:jc w:val="left"/>
    </w:pPr>
    <w:rPr>
      <w:rFonts w:ascii="Calibri" w:hAnsi="Calibri"/>
      <w:kern w:val="0"/>
      <w:sz w:val="20"/>
      <w:szCs w:val="20"/>
    </w:rPr>
  </w:style>
  <w:style w:type="paragraph" w:styleId="55">
    <w:name w:val="Title"/>
    <w:basedOn w:val="1"/>
    <w:next w:val="1"/>
    <w:link w:val="125"/>
    <w:autoRedefine/>
    <w:qFormat/>
    <w:uiPriority w:val="10"/>
    <w:pPr>
      <w:spacing w:before="240" w:after="60" w:line="960" w:lineRule="auto"/>
      <w:jc w:val="center"/>
    </w:pPr>
    <w:rPr>
      <w:rFonts w:ascii="Cambria" w:hAnsi="Cambria" w:eastAsia="黑体"/>
      <w:b/>
      <w:bCs/>
      <w:sz w:val="52"/>
      <w:szCs w:val="32"/>
    </w:rPr>
  </w:style>
  <w:style w:type="paragraph" w:styleId="56">
    <w:name w:val="annotation subject"/>
    <w:basedOn w:val="22"/>
    <w:next w:val="22"/>
    <w:link w:val="113"/>
    <w:autoRedefine/>
    <w:qFormat/>
    <w:uiPriority w:val="99"/>
    <w:rPr>
      <w:b/>
      <w:bCs/>
      <w:sz w:val="21"/>
    </w:rPr>
  </w:style>
  <w:style w:type="paragraph" w:styleId="57">
    <w:name w:val="Body Text First Indent"/>
    <w:basedOn w:val="25"/>
    <w:link w:val="167"/>
    <w:autoRedefine/>
    <w:unhideWhenUsed/>
    <w:qFormat/>
    <w:uiPriority w:val="0"/>
    <w:pPr>
      <w:spacing w:line="360" w:lineRule="auto"/>
      <w:ind w:firstLine="420" w:firstLineChars="100"/>
    </w:pPr>
    <w:rPr>
      <w:rFonts w:ascii="宋体" w:hAnsi="宋体"/>
      <w:sz w:val="24"/>
    </w:rPr>
  </w:style>
  <w:style w:type="paragraph" w:styleId="58">
    <w:name w:val="Body Text First Indent 2"/>
    <w:basedOn w:val="1"/>
    <w:link w:val="174"/>
    <w:autoRedefine/>
    <w:qFormat/>
    <w:uiPriority w:val="0"/>
    <w:pPr>
      <w:widowControl/>
      <w:spacing w:afterLines="50" w:line="336" w:lineRule="auto"/>
      <w:ind w:firstLine="200"/>
      <w:jc w:val="left"/>
    </w:pPr>
    <w:rPr>
      <w:rFonts w:ascii="Times New Roman" w:hAnsi="Times New Roman"/>
      <w:kern w:val="0"/>
      <w:szCs w:val="28"/>
      <w:lang w:val="zh-CN"/>
    </w:rPr>
  </w:style>
  <w:style w:type="table" w:styleId="60">
    <w:name w:val="Table Grid"/>
    <w:basedOn w:val="59"/>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1">
    <w:name w:val="Table Grid 5"/>
    <w:basedOn w:val="59"/>
    <w:autoRedefine/>
    <w:semiHidden/>
    <w:unhideWhenUsed/>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62">
    <w:name w:val="Colorful List Accent 1"/>
    <w:basedOn w:val="59"/>
    <w:semiHidden/>
    <w:unhideWhenUsed/>
    <w:qFormat/>
    <w:uiPriority w:val="0"/>
    <w:rPr>
      <w:rFonts w:ascii="Calibri" w:hAnsi="Calibri"/>
      <w:kern w:val="2"/>
      <w:sz w:val="21"/>
      <w:szCs w:val="22"/>
    </w:rPr>
    <w:tblPr>
      <w:tblStyleRowBandSize w:val="1"/>
      <w:tblStyleColBandSize w:val="1"/>
    </w:tblPr>
    <w:tcPr>
      <w:shd w:val="clear" w:color="auto" w:fill="EDF2F8" w:themeFill="accent1" w:themeFillTint="19"/>
    </w:tcPr>
    <w:tblStylePr w:type="firstRow">
      <w:rPr>
        <w:b/>
        <w:bCs/>
        <w:color w:val="FFFFFF"/>
      </w:rPr>
      <w:tblPr/>
      <w:tcPr>
        <w:tcBorders>
          <w:bottom w:val="single" w:color="FFFFFF" w:themeColor="background1" w:sz="12" w:space="0"/>
        </w:tcBorders>
        <w:shd w:val="clear" w:color="auto" w:fill="9E3A38" w:themeFill="accent2" w:themeFillShade="CC"/>
      </w:tcPr>
    </w:tblStylePr>
    <w:tblStylePr w:type="lastRow">
      <w:rPr>
        <w:b/>
        <w:bCs/>
        <w:color w:val="9E3A38"/>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64">
    <w:name w:val="Strong"/>
    <w:basedOn w:val="63"/>
    <w:qFormat/>
    <w:uiPriority w:val="0"/>
    <w:rPr>
      <w:b/>
      <w:bCs/>
    </w:rPr>
  </w:style>
  <w:style w:type="character" w:styleId="65">
    <w:name w:val="endnote reference"/>
    <w:semiHidden/>
    <w:qFormat/>
    <w:uiPriority w:val="0"/>
    <w:rPr>
      <w:vertAlign w:val="superscript"/>
    </w:rPr>
  </w:style>
  <w:style w:type="character" w:styleId="66">
    <w:name w:val="page number"/>
    <w:basedOn w:val="63"/>
    <w:qFormat/>
    <w:uiPriority w:val="0"/>
  </w:style>
  <w:style w:type="character" w:styleId="67">
    <w:name w:val="FollowedHyperlink"/>
    <w:unhideWhenUsed/>
    <w:qFormat/>
    <w:uiPriority w:val="99"/>
    <w:rPr>
      <w:color w:val="954F72"/>
      <w:u w:val="single"/>
    </w:rPr>
  </w:style>
  <w:style w:type="character" w:styleId="68">
    <w:name w:val="Emphasis"/>
    <w:qFormat/>
    <w:uiPriority w:val="20"/>
    <w:rPr>
      <w:rFonts w:ascii="Calibri" w:hAnsi="Calibri"/>
      <w:b/>
      <w:i/>
      <w:iCs/>
    </w:rPr>
  </w:style>
  <w:style w:type="character" w:styleId="69">
    <w:name w:val="Hyperlink"/>
    <w:qFormat/>
    <w:uiPriority w:val="99"/>
    <w:rPr>
      <w:color w:val="0000FF"/>
      <w:u w:val="single"/>
    </w:rPr>
  </w:style>
  <w:style w:type="character" w:styleId="70">
    <w:name w:val="annotation reference"/>
    <w:autoRedefine/>
    <w:qFormat/>
    <w:uiPriority w:val="0"/>
    <w:rPr>
      <w:sz w:val="21"/>
      <w:szCs w:val="21"/>
    </w:rPr>
  </w:style>
  <w:style w:type="character" w:styleId="71">
    <w:name w:val="footnote reference"/>
    <w:semiHidden/>
    <w:qFormat/>
    <w:uiPriority w:val="0"/>
    <w:rPr>
      <w:vertAlign w:val="superscript"/>
    </w:rPr>
  </w:style>
  <w:style w:type="character" w:customStyle="1" w:styleId="72">
    <w:name w:val="标题 3 字符1"/>
    <w:autoRedefine/>
    <w:qFormat/>
    <w:uiPriority w:val="0"/>
    <w:rPr>
      <w:rFonts w:ascii="宋体" w:hAnsi="宋体"/>
      <w:b/>
      <w:bCs/>
      <w:kern w:val="2"/>
      <w:sz w:val="28"/>
      <w:szCs w:val="28"/>
    </w:rPr>
  </w:style>
  <w:style w:type="character" w:customStyle="1" w:styleId="73">
    <w:name w:val="首行缩进正文 Char"/>
    <w:link w:val="74"/>
    <w:qFormat/>
    <w:uiPriority w:val="0"/>
    <w:rPr>
      <w:kern w:val="2"/>
      <w:sz w:val="24"/>
    </w:rPr>
  </w:style>
  <w:style w:type="paragraph" w:customStyle="1" w:styleId="74">
    <w:name w:val="首行缩进正文"/>
    <w:basedOn w:val="1"/>
    <w:link w:val="7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75">
    <w:name w:val="批注文字 字符1"/>
    <w:link w:val="22"/>
    <w:autoRedefine/>
    <w:qFormat/>
    <w:uiPriority w:val="0"/>
    <w:rPr>
      <w:rFonts w:eastAsia="仿宋"/>
      <w:kern w:val="2"/>
      <w:sz w:val="28"/>
      <w:szCs w:val="24"/>
    </w:rPr>
  </w:style>
  <w:style w:type="character" w:customStyle="1" w:styleId="76">
    <w:name w:val="日期 字符"/>
    <w:qFormat/>
    <w:uiPriority w:val="99"/>
    <w:rPr>
      <w:rFonts w:ascii="宋体" w:hAnsi="宋体"/>
      <w:kern w:val="2"/>
      <w:sz w:val="24"/>
      <w:szCs w:val="24"/>
    </w:rPr>
  </w:style>
  <w:style w:type="character" w:customStyle="1" w:styleId="77">
    <w:name w:val="日期 字符1"/>
    <w:link w:val="33"/>
    <w:qFormat/>
    <w:uiPriority w:val="0"/>
    <w:rPr>
      <w:kern w:val="2"/>
      <w:sz w:val="21"/>
      <w:szCs w:val="24"/>
    </w:rPr>
  </w:style>
  <w:style w:type="character" w:customStyle="1" w:styleId="78">
    <w:name w:val="标题 9 字符"/>
    <w:link w:val="10"/>
    <w:qFormat/>
    <w:uiPriority w:val="9"/>
    <w:rPr>
      <w:rFonts w:ascii="Cambria" w:hAnsi="Cambria"/>
      <w:kern w:val="2"/>
      <w:sz w:val="21"/>
      <w:szCs w:val="21"/>
    </w:rPr>
  </w:style>
  <w:style w:type="character" w:customStyle="1" w:styleId="79">
    <w:name w:val="未处理的提及1"/>
    <w:unhideWhenUsed/>
    <w:qFormat/>
    <w:uiPriority w:val="99"/>
    <w:rPr>
      <w:color w:val="605E5C"/>
      <w:shd w:val="clear" w:color="auto" w:fill="E1DFDD"/>
    </w:rPr>
  </w:style>
  <w:style w:type="character" w:customStyle="1" w:styleId="80">
    <w:name w:val="标题 1 字符"/>
    <w:qFormat/>
    <w:uiPriority w:val="9"/>
    <w:rPr>
      <w:rFonts w:ascii="宋体" w:hAnsi="宋体"/>
      <w:b/>
      <w:bCs/>
      <w:kern w:val="44"/>
      <w:sz w:val="44"/>
      <w:szCs w:val="44"/>
    </w:rPr>
  </w:style>
  <w:style w:type="character" w:customStyle="1" w:styleId="81">
    <w:name w:val="标题 3 字符"/>
    <w:qFormat/>
    <w:uiPriority w:val="0"/>
    <w:rPr>
      <w:rFonts w:ascii="宋体" w:hAnsi="宋体"/>
      <w:b/>
      <w:bCs/>
      <w:kern w:val="2"/>
      <w:sz w:val="32"/>
      <w:szCs w:val="32"/>
    </w:rPr>
  </w:style>
  <w:style w:type="character" w:customStyle="1" w:styleId="82">
    <w:name w:val="页脚 字符"/>
    <w:qFormat/>
    <w:uiPriority w:val="99"/>
  </w:style>
  <w:style w:type="character" w:customStyle="1" w:styleId="83">
    <w:name w:val="标题 5 字符"/>
    <w:qFormat/>
    <w:uiPriority w:val="0"/>
    <w:rPr>
      <w:rFonts w:ascii="宋体" w:hAnsi="宋体"/>
      <w:b/>
      <w:bCs/>
      <w:kern w:val="2"/>
      <w:sz w:val="28"/>
      <w:szCs w:val="28"/>
    </w:rPr>
  </w:style>
  <w:style w:type="character" w:customStyle="1" w:styleId="84">
    <w:name w:val="题注 字符"/>
    <w:link w:val="17"/>
    <w:qFormat/>
    <w:locked/>
    <w:uiPriority w:val="0"/>
    <w:rPr>
      <w:rFonts w:ascii="Arial" w:hAnsi="Arial" w:eastAsia="黑体"/>
      <w:kern w:val="2"/>
    </w:rPr>
  </w:style>
  <w:style w:type="character" w:customStyle="1" w:styleId="85">
    <w:name w:val="标题 2 字符"/>
    <w:qFormat/>
    <w:uiPriority w:val="0"/>
    <w:rPr>
      <w:rFonts w:ascii="等线 Light" w:hAnsi="等线 Light" w:eastAsia="等线 Light" w:cs="Times New Roman"/>
      <w:b/>
      <w:bCs/>
      <w:kern w:val="2"/>
      <w:sz w:val="32"/>
      <w:szCs w:val="32"/>
    </w:rPr>
  </w:style>
  <w:style w:type="character" w:customStyle="1" w:styleId="86">
    <w:name w:val="纯文本 字符"/>
    <w:qFormat/>
    <w:uiPriority w:val="0"/>
    <w:rPr>
      <w:rFonts w:ascii="宋体" w:hAnsi="Courier New" w:cs="Courier New"/>
      <w:kern w:val="2"/>
      <w:sz w:val="21"/>
      <w:szCs w:val="21"/>
    </w:rPr>
  </w:style>
  <w:style w:type="character" w:customStyle="1" w:styleId="87">
    <w:name w:val="列表段落 字符"/>
    <w:qFormat/>
    <w:uiPriority w:val="34"/>
    <w:rPr>
      <w:kern w:val="2"/>
      <w:sz w:val="21"/>
      <w:szCs w:val="22"/>
    </w:rPr>
  </w:style>
  <w:style w:type="character" w:customStyle="1" w:styleId="88">
    <w:name w:val="标题 4 字符1"/>
    <w:link w:val="5"/>
    <w:qFormat/>
    <w:uiPriority w:val="9"/>
    <w:rPr>
      <w:rFonts w:ascii="宋体" w:hAnsi="宋体"/>
      <w:b/>
      <w:bCs/>
      <w:kern w:val="2"/>
      <w:sz w:val="30"/>
      <w:szCs w:val="30"/>
    </w:rPr>
  </w:style>
  <w:style w:type="character" w:customStyle="1" w:styleId="89">
    <w:name w:val="正文文本 字符"/>
    <w:link w:val="25"/>
    <w:qFormat/>
    <w:uiPriority w:val="99"/>
    <w:rPr>
      <w:kern w:val="2"/>
      <w:sz w:val="21"/>
      <w:szCs w:val="24"/>
    </w:rPr>
  </w:style>
  <w:style w:type="character" w:customStyle="1" w:styleId="90">
    <w:name w:val="列表段落 字符1"/>
    <w:link w:val="91"/>
    <w:autoRedefine/>
    <w:qFormat/>
    <w:uiPriority w:val="34"/>
    <w:rPr>
      <w:kern w:val="2"/>
      <w:sz w:val="21"/>
      <w:szCs w:val="24"/>
    </w:rPr>
  </w:style>
  <w:style w:type="paragraph" w:styleId="91">
    <w:name w:val="List Paragraph"/>
    <w:basedOn w:val="1"/>
    <w:link w:val="90"/>
    <w:autoRedefine/>
    <w:qFormat/>
    <w:uiPriority w:val="34"/>
    <w:pPr>
      <w:ind w:firstLine="420"/>
    </w:pPr>
    <w:rPr>
      <w:rFonts w:ascii="Times New Roman" w:hAnsi="Times New Roman"/>
      <w:sz w:val="21"/>
    </w:rPr>
  </w:style>
  <w:style w:type="character" w:customStyle="1" w:styleId="92">
    <w:name w:val="font21"/>
    <w:autoRedefine/>
    <w:qFormat/>
    <w:uiPriority w:val="0"/>
    <w:rPr>
      <w:rFonts w:ascii="Calibri" w:hAnsi="Calibri" w:cs="Calibri"/>
      <w:color w:val="000000"/>
      <w:sz w:val="21"/>
      <w:szCs w:val="21"/>
      <w:u w:val="none"/>
    </w:rPr>
  </w:style>
  <w:style w:type="character" w:customStyle="1" w:styleId="93">
    <w:name w:val="*正文 Char"/>
    <w:link w:val="94"/>
    <w:autoRedefine/>
    <w:qFormat/>
    <w:uiPriority w:val="0"/>
    <w:rPr>
      <w:rFonts w:ascii="time" w:hAnsi="time"/>
      <w:sz w:val="24"/>
      <w:szCs w:val="24"/>
      <w:lang w:bidi="en-US"/>
    </w:rPr>
  </w:style>
  <w:style w:type="paragraph" w:customStyle="1" w:styleId="94">
    <w:name w:val="*正文"/>
    <w:basedOn w:val="1"/>
    <w:link w:val="93"/>
    <w:autoRedefine/>
    <w:qFormat/>
    <w:uiPriority w:val="0"/>
    <w:pPr>
      <w:widowControl/>
      <w:ind w:firstLine="200"/>
      <w:contextualSpacing/>
    </w:pPr>
    <w:rPr>
      <w:rFonts w:ascii="time" w:hAnsi="time"/>
      <w:kern w:val="0"/>
      <w:lang w:bidi="en-US"/>
    </w:rPr>
  </w:style>
  <w:style w:type="character" w:customStyle="1" w:styleId="95">
    <w:name w:val="正文文本缩进 字符"/>
    <w:autoRedefine/>
    <w:qFormat/>
    <w:uiPriority w:val="99"/>
    <w:rPr>
      <w:rFonts w:ascii="宋体" w:hAnsi="宋体"/>
      <w:kern w:val="2"/>
      <w:sz w:val="24"/>
      <w:szCs w:val="24"/>
    </w:rPr>
  </w:style>
  <w:style w:type="character" w:customStyle="1" w:styleId="96">
    <w:name w:val="纯文本 字符1"/>
    <w:link w:val="30"/>
    <w:autoRedefine/>
    <w:qFormat/>
    <w:locked/>
    <w:uiPriority w:val="0"/>
    <w:rPr>
      <w:rFonts w:ascii="宋体" w:hAnsi="Courier New"/>
      <w:kern w:val="2"/>
      <w:sz w:val="21"/>
    </w:rPr>
  </w:style>
  <w:style w:type="character" w:customStyle="1" w:styleId="97">
    <w:name w:val="my正文 Char"/>
    <w:link w:val="98"/>
    <w:qFormat/>
    <w:uiPriority w:val="0"/>
    <w:rPr>
      <w:kern w:val="2"/>
      <w:sz w:val="21"/>
      <w:szCs w:val="24"/>
    </w:rPr>
  </w:style>
  <w:style w:type="paragraph" w:customStyle="1" w:styleId="98">
    <w:name w:val="my正文"/>
    <w:basedOn w:val="1"/>
    <w:link w:val="97"/>
    <w:qFormat/>
    <w:uiPriority w:val="0"/>
    <w:pPr>
      <w:spacing w:line="240" w:lineRule="auto"/>
      <w:ind w:firstLine="0" w:firstLineChars="0"/>
    </w:pPr>
    <w:rPr>
      <w:rFonts w:ascii="Times New Roman" w:hAnsi="Times New Roman"/>
      <w:sz w:val="21"/>
    </w:rPr>
  </w:style>
  <w:style w:type="character" w:customStyle="1" w:styleId="99">
    <w:name w:val="正文2 字符"/>
    <w:link w:val="100"/>
    <w:autoRedefine/>
    <w:qFormat/>
    <w:uiPriority w:val="0"/>
    <w:rPr>
      <w:kern w:val="2"/>
      <w:sz w:val="21"/>
      <w:szCs w:val="24"/>
    </w:rPr>
  </w:style>
  <w:style w:type="paragraph" w:customStyle="1" w:styleId="100">
    <w:name w:val="正文2"/>
    <w:basedOn w:val="1"/>
    <w:link w:val="99"/>
    <w:autoRedefine/>
    <w:qFormat/>
    <w:uiPriority w:val="0"/>
    <w:pPr>
      <w:ind w:firstLine="420"/>
    </w:pPr>
    <w:rPr>
      <w:rFonts w:ascii="Times New Roman" w:hAnsi="Times New Roman"/>
      <w:sz w:val="21"/>
    </w:rPr>
  </w:style>
  <w:style w:type="character" w:customStyle="1" w:styleId="101">
    <w:name w:val="font41"/>
    <w:autoRedefine/>
    <w:qFormat/>
    <w:uiPriority w:val="0"/>
    <w:rPr>
      <w:rFonts w:hint="eastAsia" w:ascii="宋体" w:hAnsi="宋体" w:eastAsia="宋体" w:cs="宋体"/>
      <w:color w:val="000000"/>
      <w:sz w:val="21"/>
      <w:szCs w:val="21"/>
      <w:u w:val="none"/>
    </w:rPr>
  </w:style>
  <w:style w:type="character" w:customStyle="1" w:styleId="102">
    <w:name w:val="标题 7 字符"/>
    <w:link w:val="8"/>
    <w:autoRedefine/>
    <w:qFormat/>
    <w:uiPriority w:val="9"/>
    <w:rPr>
      <w:b/>
      <w:bCs/>
      <w:kern w:val="2"/>
      <w:sz w:val="21"/>
      <w:szCs w:val="24"/>
    </w:rPr>
  </w:style>
  <w:style w:type="character" w:customStyle="1" w:styleId="103">
    <w:name w:val="批注框文本 字符"/>
    <w:autoRedefine/>
    <w:qFormat/>
    <w:uiPriority w:val="0"/>
    <w:rPr>
      <w:rFonts w:ascii="宋体" w:hAnsi="宋体"/>
      <w:kern w:val="2"/>
      <w:sz w:val="18"/>
      <w:szCs w:val="18"/>
    </w:rPr>
  </w:style>
  <w:style w:type="character" w:customStyle="1" w:styleId="104">
    <w:name w:val="副标题 Char1"/>
    <w:autoRedefine/>
    <w:qFormat/>
    <w:uiPriority w:val="0"/>
    <w:rPr>
      <w:rFonts w:ascii="Calibri Light" w:hAnsi="Calibri Light" w:cs="Times New Roman"/>
      <w:b/>
      <w:bCs/>
      <w:kern w:val="28"/>
      <w:sz w:val="32"/>
      <w:szCs w:val="32"/>
    </w:rPr>
  </w:style>
  <w:style w:type="character" w:customStyle="1" w:styleId="105">
    <w:name w:val="标题 1 字符1"/>
    <w:link w:val="2"/>
    <w:autoRedefine/>
    <w:qFormat/>
    <w:uiPriority w:val="9"/>
    <w:rPr>
      <w:rFonts w:ascii="宋体" w:hAnsi="宋体" w:eastAsia="黑体"/>
      <w:b/>
      <w:bCs/>
      <w:kern w:val="44"/>
      <w:sz w:val="32"/>
      <w:szCs w:val="28"/>
    </w:rPr>
  </w:style>
  <w:style w:type="character" w:customStyle="1" w:styleId="106">
    <w:name w:val="批注文字 字符"/>
    <w:autoRedefine/>
    <w:qFormat/>
    <w:uiPriority w:val="99"/>
    <w:rPr>
      <w:rFonts w:ascii="宋体" w:hAnsi="宋体"/>
      <w:kern w:val="2"/>
      <w:sz w:val="24"/>
      <w:szCs w:val="24"/>
    </w:rPr>
  </w:style>
  <w:style w:type="character" w:customStyle="1" w:styleId="107">
    <w:name w:val="文档结构图 字符"/>
    <w:autoRedefine/>
    <w:qFormat/>
    <w:uiPriority w:val="0"/>
    <w:rPr>
      <w:rFonts w:ascii="Microsoft YaHei UI" w:hAnsi="宋体" w:eastAsia="Microsoft YaHei UI"/>
      <w:kern w:val="2"/>
      <w:sz w:val="18"/>
      <w:szCs w:val="18"/>
    </w:rPr>
  </w:style>
  <w:style w:type="character" w:customStyle="1" w:styleId="108">
    <w:name w:val="标题 6 字符"/>
    <w:qFormat/>
    <w:uiPriority w:val="9"/>
    <w:rPr>
      <w:rFonts w:ascii="等线 Light" w:hAnsi="等线 Light" w:eastAsia="等线 Light" w:cs="Times New Roman"/>
      <w:b/>
      <w:bCs/>
      <w:kern w:val="2"/>
      <w:sz w:val="24"/>
      <w:szCs w:val="24"/>
    </w:rPr>
  </w:style>
  <w:style w:type="character" w:customStyle="1" w:styleId="109">
    <w:name w:val="正文正文2 Char"/>
    <w:link w:val="110"/>
    <w:qFormat/>
    <w:uiPriority w:val="0"/>
    <w:rPr>
      <w:rFonts w:ascii="宋体" w:hAnsi="宋体"/>
      <w:kern w:val="2"/>
      <w:sz w:val="21"/>
      <w:szCs w:val="21"/>
    </w:rPr>
  </w:style>
  <w:style w:type="paragraph" w:customStyle="1" w:styleId="110">
    <w:name w:val="正文正文2"/>
    <w:basedOn w:val="1"/>
    <w:link w:val="109"/>
    <w:qFormat/>
    <w:uiPriority w:val="0"/>
    <w:pPr>
      <w:ind w:firstLine="460"/>
    </w:pPr>
    <w:rPr>
      <w:sz w:val="21"/>
      <w:szCs w:val="21"/>
    </w:rPr>
  </w:style>
  <w:style w:type="character" w:customStyle="1" w:styleId="111">
    <w:name w:val="标题 3 字符2"/>
    <w:link w:val="4"/>
    <w:autoRedefine/>
    <w:qFormat/>
    <w:uiPriority w:val="9"/>
    <w:rPr>
      <w:rFonts w:ascii="宋体" w:hAnsi="宋体"/>
      <w:b/>
      <w:bCs/>
      <w:kern w:val="2"/>
      <w:sz w:val="24"/>
      <w:szCs w:val="28"/>
    </w:rPr>
  </w:style>
  <w:style w:type="character" w:customStyle="1" w:styleId="112">
    <w:name w:val="标题 4 字符"/>
    <w:autoRedefine/>
    <w:qFormat/>
    <w:uiPriority w:val="0"/>
    <w:rPr>
      <w:rFonts w:ascii="等线 Light" w:hAnsi="等线 Light" w:eastAsia="等线 Light" w:cs="Times New Roman"/>
      <w:b/>
      <w:bCs/>
      <w:kern w:val="2"/>
      <w:sz w:val="28"/>
      <w:szCs w:val="28"/>
    </w:rPr>
  </w:style>
  <w:style w:type="character" w:customStyle="1" w:styleId="113">
    <w:name w:val="批注主题 字符1"/>
    <w:link w:val="56"/>
    <w:autoRedefine/>
    <w:qFormat/>
    <w:uiPriority w:val="99"/>
    <w:rPr>
      <w:rFonts w:eastAsia="仿宋"/>
      <w:b/>
      <w:bCs/>
      <w:kern w:val="2"/>
      <w:sz w:val="21"/>
      <w:szCs w:val="24"/>
    </w:rPr>
  </w:style>
  <w:style w:type="character" w:customStyle="1" w:styleId="114">
    <w:name w:val="页眉 字符"/>
    <w:autoRedefine/>
    <w:qFormat/>
    <w:uiPriority w:val="99"/>
    <w:rPr>
      <w:rFonts w:ascii="宋体" w:hAnsi="宋体"/>
      <w:kern w:val="2"/>
      <w:sz w:val="18"/>
      <w:szCs w:val="18"/>
    </w:rPr>
  </w:style>
  <w:style w:type="character" w:customStyle="1" w:styleId="115">
    <w:name w:val="正文文本缩进 字符1"/>
    <w:link w:val="26"/>
    <w:autoRedefine/>
    <w:qFormat/>
    <w:uiPriority w:val="0"/>
    <w:rPr>
      <w:kern w:val="2"/>
      <w:sz w:val="21"/>
    </w:rPr>
  </w:style>
  <w:style w:type="character" w:customStyle="1" w:styleId="116">
    <w:name w:val="标题 5 字符1"/>
    <w:link w:val="6"/>
    <w:autoRedefine/>
    <w:qFormat/>
    <w:uiPriority w:val="9"/>
    <w:rPr>
      <w:rFonts w:ascii="宋体" w:hAnsi="宋体"/>
      <w:b/>
      <w:bCs/>
      <w:kern w:val="2"/>
      <w:sz w:val="24"/>
      <w:szCs w:val="28"/>
    </w:rPr>
  </w:style>
  <w:style w:type="character" w:customStyle="1" w:styleId="117">
    <w:name w:val="副标题 字符1"/>
    <w:link w:val="43"/>
    <w:autoRedefine/>
    <w:qFormat/>
    <w:uiPriority w:val="0"/>
    <w:rPr>
      <w:rFonts w:ascii="Calibri Light" w:hAnsi="Calibri Light"/>
      <w:b/>
      <w:bCs/>
      <w:kern w:val="28"/>
      <w:sz w:val="32"/>
      <w:szCs w:val="32"/>
    </w:rPr>
  </w:style>
  <w:style w:type="character" w:customStyle="1" w:styleId="118">
    <w:name w:val="标题 2 字符1"/>
    <w:link w:val="3"/>
    <w:autoRedefine/>
    <w:qFormat/>
    <w:uiPriority w:val="9"/>
    <w:rPr>
      <w:rFonts w:ascii="宋体" w:hAnsi="宋体"/>
      <w:b/>
      <w:bCs/>
      <w:kern w:val="2"/>
      <w:sz w:val="30"/>
      <w:szCs w:val="32"/>
    </w:rPr>
  </w:style>
  <w:style w:type="character" w:customStyle="1" w:styleId="119">
    <w:name w:val="页脚 字符1"/>
    <w:link w:val="37"/>
    <w:autoRedefine/>
    <w:qFormat/>
    <w:uiPriority w:val="99"/>
    <w:rPr>
      <w:kern w:val="2"/>
      <w:sz w:val="18"/>
      <w:szCs w:val="18"/>
    </w:rPr>
  </w:style>
  <w:style w:type="character" w:customStyle="1" w:styleId="120">
    <w:name w:val="批注主题 字符"/>
    <w:autoRedefine/>
    <w:qFormat/>
    <w:uiPriority w:val="99"/>
    <w:rPr>
      <w:rFonts w:ascii="宋体" w:hAnsi="宋体"/>
      <w:b/>
      <w:bCs/>
      <w:kern w:val="2"/>
      <w:sz w:val="24"/>
      <w:szCs w:val="24"/>
    </w:rPr>
  </w:style>
  <w:style w:type="character" w:customStyle="1" w:styleId="121">
    <w:name w:val="文档结构图 字符1"/>
    <w:link w:val="20"/>
    <w:autoRedefine/>
    <w:qFormat/>
    <w:uiPriority w:val="0"/>
    <w:rPr>
      <w:rFonts w:ascii="宋体"/>
      <w:kern w:val="2"/>
      <w:sz w:val="18"/>
      <w:szCs w:val="18"/>
    </w:rPr>
  </w:style>
  <w:style w:type="character" w:customStyle="1" w:styleId="122">
    <w:name w:val="font31"/>
    <w:autoRedefine/>
    <w:qFormat/>
    <w:uiPriority w:val="0"/>
    <w:rPr>
      <w:rFonts w:hint="eastAsia" w:ascii="宋体" w:hAnsi="宋体" w:eastAsia="宋体" w:cs="宋体"/>
      <w:color w:val="000000"/>
      <w:sz w:val="21"/>
      <w:szCs w:val="21"/>
      <w:u w:val="none"/>
    </w:rPr>
  </w:style>
  <w:style w:type="character" w:customStyle="1" w:styleId="123">
    <w:name w:val="标准正文 Char"/>
    <w:link w:val="124"/>
    <w:qFormat/>
    <w:uiPriority w:val="0"/>
    <w:rPr>
      <w:rFonts w:ascii="Arial" w:hAnsi="Arial"/>
      <w:kern w:val="2"/>
      <w:sz w:val="24"/>
    </w:rPr>
  </w:style>
  <w:style w:type="paragraph" w:customStyle="1" w:styleId="124">
    <w:name w:val="标准正文"/>
    <w:basedOn w:val="26"/>
    <w:link w:val="123"/>
    <w:autoRedefine/>
    <w:qFormat/>
    <w:uiPriority w:val="0"/>
    <w:pPr>
      <w:spacing w:before="60" w:after="60"/>
      <w:ind w:firstLine="482" w:firstLineChars="0"/>
    </w:pPr>
    <w:rPr>
      <w:rFonts w:ascii="Arial" w:hAnsi="Arial"/>
      <w:sz w:val="24"/>
    </w:rPr>
  </w:style>
  <w:style w:type="character" w:customStyle="1" w:styleId="125">
    <w:name w:val="标题 字符1"/>
    <w:link w:val="55"/>
    <w:autoRedefine/>
    <w:qFormat/>
    <w:uiPriority w:val="0"/>
    <w:rPr>
      <w:rFonts w:ascii="Cambria" w:hAnsi="Cambria" w:eastAsia="黑体"/>
      <w:b/>
      <w:bCs/>
      <w:kern w:val="2"/>
      <w:sz w:val="52"/>
      <w:szCs w:val="32"/>
    </w:rPr>
  </w:style>
  <w:style w:type="character" w:customStyle="1" w:styleId="126">
    <w:name w:val="批注框文本 字符1"/>
    <w:link w:val="36"/>
    <w:autoRedefine/>
    <w:qFormat/>
    <w:uiPriority w:val="99"/>
    <w:rPr>
      <w:kern w:val="2"/>
      <w:sz w:val="18"/>
      <w:szCs w:val="18"/>
    </w:rPr>
  </w:style>
  <w:style w:type="character" w:customStyle="1" w:styleId="127">
    <w:name w:val="页眉 字符1"/>
    <w:link w:val="38"/>
    <w:autoRedefine/>
    <w:qFormat/>
    <w:uiPriority w:val="99"/>
    <w:rPr>
      <w:kern w:val="2"/>
      <w:sz w:val="18"/>
      <w:szCs w:val="18"/>
    </w:rPr>
  </w:style>
  <w:style w:type="character" w:customStyle="1" w:styleId="128">
    <w:name w:val="标题 8 字符"/>
    <w:link w:val="9"/>
    <w:autoRedefine/>
    <w:qFormat/>
    <w:uiPriority w:val="9"/>
    <w:rPr>
      <w:rFonts w:ascii="Cambria" w:hAnsi="Cambria"/>
      <w:kern w:val="2"/>
      <w:sz w:val="21"/>
      <w:szCs w:val="24"/>
    </w:rPr>
  </w:style>
  <w:style w:type="character" w:customStyle="1" w:styleId="129">
    <w:name w:val="标题 6 字符1"/>
    <w:link w:val="7"/>
    <w:qFormat/>
    <w:uiPriority w:val="9"/>
    <w:rPr>
      <w:rFonts w:ascii="Cambria" w:hAnsi="Cambria"/>
      <w:b/>
      <w:bCs/>
      <w:kern w:val="2"/>
      <w:sz w:val="24"/>
      <w:szCs w:val="24"/>
    </w:rPr>
  </w:style>
  <w:style w:type="character" w:customStyle="1" w:styleId="130">
    <w:name w:val="标题 字符"/>
    <w:autoRedefine/>
    <w:qFormat/>
    <w:uiPriority w:val="10"/>
    <w:rPr>
      <w:rFonts w:ascii="等线 Light" w:hAnsi="等线 Light" w:eastAsia="等线 Light" w:cs="Times New Roman"/>
      <w:b/>
      <w:bCs/>
      <w:kern w:val="2"/>
      <w:sz w:val="32"/>
      <w:szCs w:val="32"/>
    </w:rPr>
  </w:style>
  <w:style w:type="character" w:customStyle="1" w:styleId="131">
    <w:name w:val="副标题 字符"/>
    <w:autoRedefine/>
    <w:qFormat/>
    <w:uiPriority w:val="99"/>
    <w:rPr>
      <w:rFonts w:ascii="等线" w:hAnsi="等线" w:eastAsia="等线" w:cs="Times New Roman"/>
      <w:b/>
      <w:bCs/>
      <w:kern w:val="28"/>
      <w:sz w:val="32"/>
      <w:szCs w:val="32"/>
    </w:rPr>
  </w:style>
  <w:style w:type="paragraph" w:customStyle="1" w:styleId="132">
    <w:name w:val="xl72"/>
    <w:basedOn w:val="1"/>
    <w:autoRedefine/>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33">
    <w:name w:val="正文（深信服）"/>
    <w:autoRedefine/>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34">
    <w:name w:val="xl70"/>
    <w:basedOn w:val="1"/>
    <w:autoRedefine/>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35">
    <w:name w:val="_Style 2"/>
    <w:basedOn w:val="2"/>
    <w:next w:val="1"/>
    <w:autoRedefine/>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36">
    <w:name w:val="正文缩进1"/>
    <w:basedOn w:val="1"/>
    <w:autoRedefine/>
    <w:qFormat/>
    <w:uiPriority w:val="0"/>
    <w:pPr>
      <w:spacing w:line="240" w:lineRule="auto"/>
      <w:ind w:firstLine="420"/>
    </w:pPr>
    <w:rPr>
      <w:rFonts w:ascii="Times New Roman" w:hAnsi="Times New Roman"/>
      <w:sz w:val="21"/>
      <w:szCs w:val="20"/>
    </w:rPr>
  </w:style>
  <w:style w:type="paragraph" w:customStyle="1" w:styleId="13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38">
    <w:name w:val="前言、引言标题"/>
    <w:next w:val="1"/>
    <w:autoRedefine/>
    <w:qFormat/>
    <w:uiPriority w:val="0"/>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39">
    <w:name w:val="Indent Normal"/>
    <w:basedOn w:val="1"/>
    <w:autoRedefine/>
    <w:qFormat/>
    <w:uiPriority w:val="0"/>
    <w:pPr>
      <w:ind w:firstLine="150" w:firstLineChars="150"/>
    </w:pPr>
  </w:style>
  <w:style w:type="paragraph" w:customStyle="1" w:styleId="14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41">
    <w:name w:val="正文 缩进2字符"/>
    <w:basedOn w:val="1"/>
    <w:autoRedefine/>
    <w:qFormat/>
    <w:uiPriority w:val="0"/>
    <w:pPr>
      <w:spacing w:afterLines="50" w:line="240" w:lineRule="auto"/>
      <w:ind w:firstLine="0" w:firstLineChars="0"/>
    </w:pPr>
    <w:rPr>
      <w:rFonts w:ascii="Times New Roman" w:hAnsi="Times New Roman" w:cs="宋体"/>
      <w:sz w:val="21"/>
      <w:szCs w:val="20"/>
    </w:rPr>
  </w:style>
  <w:style w:type="paragraph" w:customStyle="1" w:styleId="142">
    <w:name w:val="列项●（二级）"/>
    <w:autoRedefine/>
    <w:qFormat/>
    <w:uiPriority w:val="0"/>
    <w:pPr>
      <w:numPr>
        <w:ilvl w:val="0"/>
        <w:numId w:val="6"/>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43">
    <w:name w:val="助手文本"/>
    <w:basedOn w:val="1"/>
    <w:autoRedefine/>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44">
    <w:name w:val="xl67"/>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45">
    <w:name w:val="段"/>
    <w:link w:val="220"/>
    <w:autoRedefine/>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46">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47">
    <w:name w:val="Char Char Char Char Char Char1 Char"/>
    <w:basedOn w:val="1"/>
    <w:autoRedefine/>
    <w:qFormat/>
    <w:uiPriority w:val="0"/>
    <w:pPr>
      <w:widowControl/>
      <w:spacing w:after="160" w:line="240" w:lineRule="exact"/>
      <w:jc w:val="left"/>
    </w:pPr>
  </w:style>
  <w:style w:type="paragraph" w:customStyle="1" w:styleId="148">
    <w:name w:val="PM_Body"/>
    <w:basedOn w:val="1"/>
    <w:autoRedefine/>
    <w:qFormat/>
    <w:locked/>
    <w:uiPriority w:val="0"/>
    <w:rPr>
      <w:szCs w:val="21"/>
    </w:rPr>
  </w:style>
  <w:style w:type="paragraph" w:customStyle="1" w:styleId="149">
    <w:name w:val="Char Char1"/>
    <w:basedOn w:val="1"/>
    <w:autoRedefine/>
    <w:qFormat/>
    <w:uiPriority w:val="0"/>
    <w:pPr>
      <w:widowControl/>
      <w:spacing w:before="120" w:after="120"/>
    </w:pPr>
    <w:rPr>
      <w:rFonts w:ascii="Times New Roman" w:hAnsi="Times New Roman" w:cs="宋体"/>
    </w:rPr>
  </w:style>
  <w:style w:type="paragraph" w:customStyle="1" w:styleId="15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51">
    <w:name w:val="修订1"/>
    <w:unhideWhenUsed/>
    <w:qFormat/>
    <w:uiPriority w:val="99"/>
    <w:rPr>
      <w:rFonts w:ascii="宋体" w:hAnsi="宋体" w:eastAsia="宋体" w:cs="Times New Roman"/>
      <w:kern w:val="2"/>
      <w:sz w:val="24"/>
      <w:szCs w:val="24"/>
      <w:lang w:val="en-US" w:eastAsia="zh-CN" w:bidi="ar-SA"/>
    </w:rPr>
  </w:style>
  <w:style w:type="paragraph" w:customStyle="1" w:styleId="152">
    <w:name w:val="列出段落2"/>
    <w:basedOn w:val="1"/>
    <w:qFormat/>
    <w:uiPriority w:val="0"/>
    <w:pPr>
      <w:spacing w:line="240" w:lineRule="auto"/>
      <w:ind w:firstLine="420"/>
    </w:pPr>
    <w:rPr>
      <w:rFonts w:ascii="等线" w:hAnsi="等线" w:eastAsia="等线" w:cs="等线"/>
      <w:sz w:val="21"/>
      <w:szCs w:val="21"/>
    </w:rPr>
  </w:style>
  <w:style w:type="paragraph" w:customStyle="1" w:styleId="15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5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5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5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57">
    <w:name w:val="正文样式"/>
    <w:link w:val="565"/>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5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5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60">
    <w:name w:val="!我的表格1"/>
    <w:basedOn w:val="5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
    <w:name w:val="网格型1"/>
    <w:basedOn w:val="59"/>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2">
    <w:name w:val="标题 1 Char"/>
    <w:qFormat/>
    <w:uiPriority w:val="0"/>
    <w:rPr>
      <w:rFonts w:ascii="宋体" w:hAnsi="宋体" w:eastAsia="黑体"/>
      <w:b/>
      <w:bCs/>
      <w:kern w:val="44"/>
      <w:sz w:val="32"/>
      <w:szCs w:val="28"/>
    </w:rPr>
  </w:style>
  <w:style w:type="character" w:customStyle="1" w:styleId="163">
    <w:name w:val="纯文本 Char2"/>
    <w:qFormat/>
    <w:uiPriority w:val="0"/>
    <w:rPr>
      <w:rFonts w:ascii="宋体" w:hAnsi="宋体" w:eastAsia="宋体" w:cs="Times New Roman"/>
      <w:color w:val="000000"/>
      <w:kern w:val="0"/>
      <w:sz w:val="24"/>
      <w:szCs w:val="24"/>
    </w:rPr>
  </w:style>
  <w:style w:type="paragraph" w:customStyle="1" w:styleId="164">
    <w:name w:val="可研正文"/>
    <w:basedOn w:val="1"/>
    <w:link w:val="165"/>
    <w:qFormat/>
    <w:uiPriority w:val="0"/>
    <w:pPr>
      <w:widowControl/>
      <w:ind w:firstLine="200"/>
      <w:jc w:val="left"/>
    </w:pPr>
    <w:rPr>
      <w:rFonts w:ascii="仿宋" w:hAnsi="仿宋" w:eastAsia="仿宋" w:cs="宋体"/>
      <w:kern w:val="0"/>
      <w:sz w:val="28"/>
      <w:szCs w:val="28"/>
    </w:rPr>
  </w:style>
  <w:style w:type="character" w:customStyle="1" w:styleId="165">
    <w:name w:val="可研正文 Char"/>
    <w:link w:val="164"/>
    <w:qFormat/>
    <w:uiPriority w:val="0"/>
    <w:rPr>
      <w:rFonts w:ascii="仿宋" w:hAnsi="仿宋" w:eastAsia="仿宋" w:cs="宋体"/>
      <w:sz w:val="28"/>
      <w:szCs w:val="28"/>
    </w:rPr>
  </w:style>
  <w:style w:type="paragraph" w:customStyle="1" w:styleId="166">
    <w:name w:val="修订2"/>
    <w:hidden/>
    <w:unhideWhenUsed/>
    <w:qFormat/>
    <w:uiPriority w:val="99"/>
    <w:rPr>
      <w:rFonts w:ascii="宋体" w:hAnsi="宋体" w:eastAsia="宋体" w:cs="Times New Roman"/>
      <w:kern w:val="2"/>
      <w:sz w:val="24"/>
      <w:szCs w:val="24"/>
      <w:lang w:val="en-US" w:eastAsia="zh-CN" w:bidi="ar-SA"/>
    </w:rPr>
  </w:style>
  <w:style w:type="character" w:customStyle="1" w:styleId="167">
    <w:name w:val="正文文本首行缩进 字符"/>
    <w:basedOn w:val="89"/>
    <w:link w:val="57"/>
    <w:qFormat/>
    <w:uiPriority w:val="0"/>
    <w:rPr>
      <w:rFonts w:ascii="宋体" w:hAnsi="宋体"/>
      <w:kern w:val="2"/>
      <w:sz w:val="24"/>
      <w:szCs w:val="24"/>
    </w:rPr>
  </w:style>
  <w:style w:type="character" w:customStyle="1" w:styleId="168">
    <w:name w:val="正文文本 3 字符"/>
    <w:basedOn w:val="63"/>
    <w:link w:val="24"/>
    <w:qFormat/>
    <w:uiPriority w:val="0"/>
    <w:rPr>
      <w:sz w:val="16"/>
      <w:szCs w:val="16"/>
    </w:rPr>
  </w:style>
  <w:style w:type="character" w:customStyle="1" w:styleId="169">
    <w:name w:val="正文文本缩进 2 字符"/>
    <w:basedOn w:val="63"/>
    <w:link w:val="34"/>
    <w:qFormat/>
    <w:uiPriority w:val="99"/>
    <w:rPr>
      <w:rFonts w:ascii="宋体" w:hAnsi="宋体"/>
      <w:sz w:val="24"/>
      <w:szCs w:val="24"/>
    </w:rPr>
  </w:style>
  <w:style w:type="character" w:customStyle="1" w:styleId="170">
    <w:name w:val="尾注文本 字符"/>
    <w:basedOn w:val="63"/>
    <w:link w:val="35"/>
    <w:semiHidden/>
    <w:qFormat/>
    <w:uiPriority w:val="0"/>
    <w:rPr>
      <w:rFonts w:ascii="Calibri" w:hAnsi="Calibri"/>
      <w:sz w:val="28"/>
      <w:szCs w:val="24"/>
    </w:rPr>
  </w:style>
  <w:style w:type="character" w:customStyle="1" w:styleId="171">
    <w:name w:val="脚注文本 字符"/>
    <w:basedOn w:val="63"/>
    <w:link w:val="44"/>
    <w:qFormat/>
    <w:uiPriority w:val="0"/>
    <w:rPr>
      <w:rFonts w:ascii="宋体" w:hAnsi="Calibri"/>
      <w:sz w:val="18"/>
      <w:szCs w:val="18"/>
    </w:rPr>
  </w:style>
  <w:style w:type="character" w:customStyle="1" w:styleId="172">
    <w:name w:val="正文文本 2 字符"/>
    <w:basedOn w:val="63"/>
    <w:link w:val="51"/>
    <w:semiHidden/>
    <w:qFormat/>
    <w:uiPriority w:val="99"/>
    <w:rPr>
      <w:rFonts w:ascii="宋体" w:hAnsi="宋体" w:cs="宋体"/>
      <w:sz w:val="24"/>
      <w:szCs w:val="24"/>
    </w:rPr>
  </w:style>
  <w:style w:type="character" w:customStyle="1" w:styleId="173">
    <w:name w:val="HTML 预设格式 字符"/>
    <w:basedOn w:val="63"/>
    <w:link w:val="52"/>
    <w:qFormat/>
    <w:uiPriority w:val="0"/>
    <w:rPr>
      <w:rFonts w:ascii="宋体" w:hAnsi="宋体"/>
      <w:sz w:val="24"/>
      <w:szCs w:val="24"/>
      <w:lang w:val="zh-CN"/>
    </w:rPr>
  </w:style>
  <w:style w:type="character" w:customStyle="1" w:styleId="174">
    <w:name w:val="正文文本首行缩进 2 字符"/>
    <w:basedOn w:val="115"/>
    <w:link w:val="58"/>
    <w:qFormat/>
    <w:uiPriority w:val="0"/>
    <w:rPr>
      <w:kern w:val="2"/>
      <w:sz w:val="24"/>
      <w:szCs w:val="28"/>
      <w:lang w:val="zh-CN"/>
    </w:rPr>
  </w:style>
  <w:style w:type="paragraph" w:customStyle="1" w:styleId="175">
    <w:name w:val="可研标题"/>
    <w:basedOn w:val="55"/>
    <w:link w:val="176"/>
    <w:qFormat/>
    <w:uiPriority w:val="0"/>
    <w:pPr>
      <w:widowControl/>
      <w:spacing w:line="360" w:lineRule="auto"/>
      <w:ind w:firstLine="0" w:firstLineChars="0"/>
      <w:outlineLvl w:val="0"/>
    </w:pPr>
    <w:rPr>
      <w:rFonts w:ascii="微软雅黑" w:hAnsi="微软雅黑" w:eastAsia="微软雅黑" w:cstheme="majorBidi"/>
      <w:b w:val="0"/>
      <w:szCs w:val="52"/>
    </w:rPr>
  </w:style>
  <w:style w:type="character" w:customStyle="1" w:styleId="176">
    <w:name w:val="可研标题 Char"/>
    <w:basedOn w:val="130"/>
    <w:link w:val="175"/>
    <w:qFormat/>
    <w:uiPriority w:val="0"/>
    <w:rPr>
      <w:rFonts w:ascii="微软雅黑" w:hAnsi="微软雅黑" w:eastAsia="微软雅黑" w:cstheme="majorBidi"/>
      <w:b w:val="0"/>
      <w:kern w:val="2"/>
      <w:sz w:val="52"/>
      <w:szCs w:val="52"/>
    </w:rPr>
  </w:style>
  <w:style w:type="paragraph" w:customStyle="1" w:styleId="177">
    <w:name w:val="可研标题1级"/>
    <w:basedOn w:val="2"/>
    <w:next w:val="1"/>
    <w:link w:val="178"/>
    <w:qFormat/>
    <w:uiPriority w:val="0"/>
    <w:pPr>
      <w:pageBreakBefore/>
      <w:widowControl/>
      <w:numPr>
        <w:numId w:val="7"/>
      </w:numPr>
      <w:spacing w:before="400" w:after="400"/>
      <w:jc w:val="center"/>
    </w:pPr>
    <w:rPr>
      <w:rFonts w:eastAsia="宋体" w:cs="宋体"/>
      <w:sz w:val="44"/>
      <w:szCs w:val="44"/>
    </w:rPr>
  </w:style>
  <w:style w:type="character" w:customStyle="1" w:styleId="178">
    <w:name w:val="可研标题1级 Char"/>
    <w:basedOn w:val="80"/>
    <w:link w:val="177"/>
    <w:qFormat/>
    <w:uiPriority w:val="0"/>
    <w:rPr>
      <w:rFonts w:ascii="宋体" w:hAnsi="宋体" w:cs="宋体"/>
      <w:kern w:val="44"/>
      <w:sz w:val="44"/>
      <w:szCs w:val="44"/>
    </w:rPr>
  </w:style>
  <w:style w:type="paragraph" w:customStyle="1" w:styleId="179">
    <w:name w:val="可研标题2级"/>
    <w:basedOn w:val="3"/>
    <w:next w:val="164"/>
    <w:link w:val="180"/>
    <w:qFormat/>
    <w:uiPriority w:val="0"/>
    <w:pPr>
      <w:widowControl/>
      <w:numPr>
        <w:numId w:val="7"/>
      </w:numPr>
      <w:spacing w:before="260" w:after="260" w:line="416" w:lineRule="auto"/>
      <w:jc w:val="left"/>
    </w:pPr>
    <w:rPr>
      <w:rFonts w:ascii="黑体" w:hAnsi="黑体" w:eastAsia="黑体" w:cstheme="majorBidi"/>
      <w:sz w:val="36"/>
      <w:szCs w:val="36"/>
    </w:rPr>
  </w:style>
  <w:style w:type="character" w:customStyle="1" w:styleId="180">
    <w:name w:val="可研标题2级 Char"/>
    <w:basedOn w:val="85"/>
    <w:link w:val="179"/>
    <w:qFormat/>
    <w:uiPriority w:val="0"/>
    <w:rPr>
      <w:rFonts w:ascii="黑体" w:hAnsi="黑体" w:eastAsia="黑体" w:cstheme="majorBidi"/>
      <w:kern w:val="2"/>
      <w:sz w:val="36"/>
      <w:szCs w:val="36"/>
    </w:rPr>
  </w:style>
  <w:style w:type="paragraph" w:customStyle="1" w:styleId="181">
    <w:name w:val="可研标题3级"/>
    <w:basedOn w:val="4"/>
    <w:next w:val="164"/>
    <w:link w:val="182"/>
    <w:qFormat/>
    <w:uiPriority w:val="0"/>
    <w:pPr>
      <w:widowControl/>
      <w:numPr>
        <w:numId w:val="7"/>
      </w:numPr>
      <w:spacing w:before="260" w:after="260" w:line="416" w:lineRule="auto"/>
      <w:jc w:val="left"/>
    </w:pPr>
    <w:rPr>
      <w:rFonts w:ascii="黑体" w:hAnsi="黑体" w:eastAsia="黑体" w:cstheme="majorBidi"/>
      <w:sz w:val="32"/>
      <w:szCs w:val="32"/>
    </w:rPr>
  </w:style>
  <w:style w:type="character" w:customStyle="1" w:styleId="182">
    <w:name w:val="可研标题3级 Char"/>
    <w:basedOn w:val="81"/>
    <w:link w:val="181"/>
    <w:qFormat/>
    <w:uiPriority w:val="0"/>
    <w:rPr>
      <w:rFonts w:ascii="黑体" w:hAnsi="黑体" w:eastAsia="黑体" w:cstheme="majorBidi"/>
      <w:kern w:val="2"/>
      <w:sz w:val="32"/>
      <w:szCs w:val="32"/>
    </w:rPr>
  </w:style>
  <w:style w:type="paragraph" w:customStyle="1" w:styleId="183">
    <w:name w:val="可研标题4级"/>
    <w:basedOn w:val="5"/>
    <w:next w:val="164"/>
    <w:link w:val="184"/>
    <w:qFormat/>
    <w:uiPriority w:val="0"/>
    <w:pPr>
      <w:widowControl/>
      <w:numPr>
        <w:numId w:val="7"/>
      </w:numPr>
      <w:spacing w:before="240" w:after="240"/>
      <w:ind w:right="100" w:rightChars="100"/>
      <w:jc w:val="left"/>
    </w:pPr>
    <w:rPr>
      <w:rFonts w:ascii="黑体" w:hAnsi="黑体" w:eastAsia="黑体" w:cstheme="majorBidi"/>
      <w:b w:val="0"/>
    </w:rPr>
  </w:style>
  <w:style w:type="character" w:customStyle="1" w:styleId="184">
    <w:name w:val="可研标题4级 Char"/>
    <w:basedOn w:val="112"/>
    <w:link w:val="183"/>
    <w:qFormat/>
    <w:uiPriority w:val="0"/>
    <w:rPr>
      <w:rFonts w:ascii="黑体" w:hAnsi="黑体" w:eastAsia="黑体" w:cstheme="majorBidi"/>
      <w:b w:val="0"/>
      <w:kern w:val="2"/>
      <w:sz w:val="30"/>
      <w:szCs w:val="30"/>
    </w:rPr>
  </w:style>
  <w:style w:type="paragraph" w:customStyle="1" w:styleId="185">
    <w:name w:val="可研标题5级"/>
    <w:basedOn w:val="6"/>
    <w:next w:val="164"/>
    <w:link w:val="186"/>
    <w:qFormat/>
    <w:uiPriority w:val="0"/>
    <w:pPr>
      <w:numPr>
        <w:numId w:val="7"/>
      </w:numPr>
      <w:spacing w:before="0" w:beforeLines="50" w:after="0"/>
    </w:pPr>
    <w:rPr>
      <w:rFonts w:ascii="仿宋" w:hAnsi="仿宋" w:eastAsia="仿宋" w:cs="宋体"/>
      <w:sz w:val="28"/>
    </w:rPr>
  </w:style>
  <w:style w:type="character" w:customStyle="1" w:styleId="186">
    <w:name w:val="可研标题5级 Char"/>
    <w:basedOn w:val="83"/>
    <w:link w:val="185"/>
    <w:qFormat/>
    <w:uiPriority w:val="0"/>
    <w:rPr>
      <w:rFonts w:ascii="仿宋" w:hAnsi="仿宋" w:eastAsia="仿宋" w:cs="宋体"/>
      <w:kern w:val="2"/>
      <w:sz w:val="28"/>
      <w:szCs w:val="28"/>
    </w:rPr>
  </w:style>
  <w:style w:type="paragraph" w:customStyle="1" w:styleId="187">
    <w:name w:val="图表题注"/>
    <w:basedOn w:val="17"/>
    <w:next w:val="1"/>
    <w:qFormat/>
    <w:uiPriority w:val="0"/>
    <w:pPr>
      <w:widowControl/>
      <w:spacing w:afterLines="0" w:line="240" w:lineRule="auto"/>
      <w:ind w:firstLine="0" w:firstLineChars="0"/>
      <w:jc w:val="center"/>
    </w:pPr>
    <w:rPr>
      <w:rFonts w:ascii="仿宋" w:hAnsi="仿宋" w:eastAsia="仿宋" w:cstheme="majorBidi"/>
      <w:kern w:val="0"/>
      <w:sz w:val="28"/>
      <w:szCs w:val="28"/>
    </w:rPr>
  </w:style>
  <w:style w:type="paragraph" w:customStyle="1" w:styleId="188">
    <w:name w:val="N-4"/>
    <w:basedOn w:val="5"/>
    <w:qFormat/>
    <w:uiPriority w:val="0"/>
    <w:pPr>
      <w:widowControl/>
      <w:numPr>
        <w:numId w:val="8"/>
      </w:numPr>
      <w:tabs>
        <w:tab w:val="left" w:pos="2160"/>
      </w:tabs>
      <w:spacing w:before="160" w:after="160" w:line="240" w:lineRule="auto"/>
      <w:ind w:right="100" w:rightChars="100"/>
      <w:jc w:val="left"/>
    </w:pPr>
    <w:rPr>
      <w:rFonts w:ascii="Arial" w:hAnsi="Arial" w:eastAsia="黑体"/>
      <w:b w:val="0"/>
      <w:kern w:val="0"/>
      <w:sz w:val="21"/>
      <w:szCs w:val="20"/>
    </w:rPr>
  </w:style>
  <w:style w:type="paragraph" w:customStyle="1" w:styleId="189">
    <w:name w:val="正文内容"/>
    <w:basedOn w:val="1"/>
    <w:link w:val="190"/>
    <w:qFormat/>
    <w:uiPriority w:val="0"/>
    <w:pPr>
      <w:widowControl/>
      <w:ind w:firstLine="0" w:firstLineChars="0"/>
      <w:jc w:val="left"/>
    </w:pPr>
    <w:rPr>
      <w:rFonts w:ascii="黑体" w:hAnsi="黑体" w:cs="宋体"/>
      <w:kern w:val="0"/>
      <w:szCs w:val="40"/>
    </w:rPr>
  </w:style>
  <w:style w:type="character" w:customStyle="1" w:styleId="190">
    <w:name w:val="正文内容 字符"/>
    <w:basedOn w:val="63"/>
    <w:link w:val="189"/>
    <w:qFormat/>
    <w:uiPriority w:val="0"/>
    <w:rPr>
      <w:rFonts w:ascii="黑体" w:hAnsi="黑体" w:cs="宋体"/>
      <w:sz w:val="24"/>
      <w:szCs w:val="40"/>
    </w:rPr>
  </w:style>
  <w:style w:type="paragraph" w:customStyle="1" w:styleId="191">
    <w:name w:val="彩色列表 - 着色 11"/>
    <w:basedOn w:val="1"/>
    <w:link w:val="582"/>
    <w:qFormat/>
    <w:uiPriority w:val="34"/>
    <w:pPr>
      <w:widowControl/>
      <w:spacing w:line="240" w:lineRule="auto"/>
      <w:ind w:firstLine="420"/>
      <w:jc w:val="left"/>
    </w:pPr>
    <w:rPr>
      <w:rFonts w:ascii="Segoe UI" w:hAnsi="Segoe UI"/>
      <w:kern w:val="0"/>
    </w:rPr>
  </w:style>
  <w:style w:type="character" w:customStyle="1" w:styleId="192">
    <w:name w:val="正文缩进 字符"/>
    <w:link w:val="16"/>
    <w:qFormat/>
    <w:uiPriority w:val="99"/>
    <w:rPr>
      <w:rFonts w:ascii="Calibri" w:hAnsi="Calibri"/>
      <w:kern w:val="2"/>
      <w:sz w:val="21"/>
      <w:szCs w:val="24"/>
    </w:rPr>
  </w:style>
  <w:style w:type="character" w:customStyle="1" w:styleId="193">
    <w:name w:val="普通(网站) 字符"/>
    <w:link w:val="53"/>
    <w:qFormat/>
    <w:uiPriority w:val="99"/>
    <w:rPr>
      <w:rFonts w:ascii="Arial Unicode MS" w:hAnsi="Arial Unicode MS" w:eastAsia="Arial Unicode MS"/>
      <w:sz w:val="24"/>
      <w:szCs w:val="24"/>
    </w:rPr>
  </w:style>
  <w:style w:type="paragraph" w:customStyle="1" w:styleId="194">
    <w:name w:val="TOC 标题11"/>
    <w:basedOn w:val="2"/>
    <w:next w:val="1"/>
    <w:unhideWhenUsed/>
    <w:qFormat/>
    <w:uiPriority w:val="39"/>
    <w:pPr>
      <w:pageBreakBefore/>
      <w:widowControl/>
      <w:numPr>
        <w:numId w:val="0"/>
      </w:numPr>
      <w:spacing w:before="240" w:after="0" w:line="259" w:lineRule="auto"/>
      <w:jc w:val="center"/>
      <w:outlineLvl w:val="9"/>
    </w:pPr>
    <w:rPr>
      <w:rFonts w:asciiTheme="majorHAnsi" w:hAnsiTheme="majorHAnsi" w:eastAsiaTheme="majorEastAsia" w:cstheme="majorBidi"/>
      <w:b w:val="0"/>
      <w:bCs w:val="0"/>
      <w:color w:val="376092" w:themeColor="accent1" w:themeShade="BF"/>
      <w:kern w:val="0"/>
      <w:szCs w:val="32"/>
      <w:lang w:val="zh-CN"/>
    </w:rPr>
  </w:style>
  <w:style w:type="character" w:customStyle="1" w:styleId="195">
    <w:name w:val="*正文 Char Char"/>
    <w:qFormat/>
    <w:locked/>
    <w:uiPriority w:val="0"/>
    <w:rPr>
      <w:rFonts w:ascii="宋体" w:hAnsi="宋体"/>
      <w:sz w:val="22"/>
    </w:rPr>
  </w:style>
  <w:style w:type="paragraph" w:customStyle="1" w:styleId="196">
    <w:name w:val="列出段落1"/>
    <w:basedOn w:val="1"/>
    <w:link w:val="197"/>
    <w:qFormat/>
    <w:uiPriority w:val="34"/>
    <w:pPr>
      <w:widowControl/>
      <w:spacing w:line="240" w:lineRule="auto"/>
      <w:ind w:firstLine="420"/>
      <w:jc w:val="left"/>
    </w:pPr>
    <w:rPr>
      <w:rFonts w:ascii="等线" w:hAnsi="等线" w:eastAsia="等线"/>
      <w:kern w:val="0"/>
    </w:rPr>
  </w:style>
  <w:style w:type="character" w:customStyle="1" w:styleId="197">
    <w:name w:val="列出段落字符"/>
    <w:link w:val="196"/>
    <w:qFormat/>
    <w:uiPriority w:val="34"/>
    <w:rPr>
      <w:rFonts w:ascii="等线" w:hAnsi="等线" w:eastAsia="等线"/>
      <w:sz w:val="24"/>
      <w:szCs w:val="24"/>
    </w:rPr>
  </w:style>
  <w:style w:type="paragraph" w:customStyle="1" w:styleId="198">
    <w:name w:val="1级"/>
    <w:basedOn w:val="1"/>
    <w:next w:val="1"/>
    <w:link w:val="199"/>
    <w:qFormat/>
    <w:uiPriority w:val="0"/>
    <w:pPr>
      <w:widowControl/>
      <w:numPr>
        <w:ilvl w:val="0"/>
        <w:numId w:val="9"/>
      </w:numPr>
      <w:spacing w:before="240" w:after="240" w:line="240" w:lineRule="auto"/>
      <w:ind w:firstLineChars="0"/>
      <w:jc w:val="center"/>
      <w:outlineLvl w:val="0"/>
    </w:pPr>
    <w:rPr>
      <w:rFonts w:ascii="Cambria" w:hAnsi="Cambria"/>
      <w:b/>
      <w:bCs/>
      <w:kern w:val="0"/>
      <w:sz w:val="44"/>
      <w:szCs w:val="44"/>
    </w:rPr>
  </w:style>
  <w:style w:type="character" w:customStyle="1" w:styleId="199">
    <w:name w:val="1级 Char"/>
    <w:basedOn w:val="63"/>
    <w:link w:val="198"/>
    <w:qFormat/>
    <w:uiPriority w:val="0"/>
    <w:rPr>
      <w:rFonts w:ascii="Cambria" w:hAnsi="Cambria"/>
      <w:b/>
      <w:bCs/>
      <w:sz w:val="44"/>
      <w:szCs w:val="44"/>
    </w:rPr>
  </w:style>
  <w:style w:type="paragraph" w:customStyle="1" w:styleId="200">
    <w:name w:val="2级"/>
    <w:basedOn w:val="1"/>
    <w:next w:val="1"/>
    <w:link w:val="201"/>
    <w:qFormat/>
    <w:uiPriority w:val="0"/>
    <w:pPr>
      <w:keepNext/>
      <w:keepLines/>
      <w:widowControl/>
      <w:numPr>
        <w:ilvl w:val="1"/>
        <w:numId w:val="9"/>
      </w:numPr>
      <w:spacing w:before="260" w:after="260" w:line="415" w:lineRule="auto"/>
      <w:ind w:firstLineChars="0"/>
      <w:jc w:val="left"/>
      <w:outlineLvl w:val="2"/>
    </w:pPr>
    <w:rPr>
      <w:rFonts w:eastAsia="等线 Light"/>
      <w:b/>
      <w:bCs/>
      <w:sz w:val="32"/>
      <w:szCs w:val="32"/>
      <w:lang w:val="zh-CN"/>
    </w:rPr>
  </w:style>
  <w:style w:type="character" w:customStyle="1" w:styleId="201">
    <w:name w:val="2级 Char"/>
    <w:basedOn w:val="85"/>
    <w:link w:val="200"/>
    <w:qFormat/>
    <w:uiPriority w:val="0"/>
    <w:rPr>
      <w:rFonts w:ascii="宋体" w:hAnsi="宋体" w:eastAsia="等线 Light" w:cs="Times New Roman"/>
      <w:kern w:val="2"/>
      <w:sz w:val="32"/>
      <w:szCs w:val="32"/>
      <w:lang w:val="zh-CN"/>
    </w:rPr>
  </w:style>
  <w:style w:type="paragraph" w:customStyle="1" w:styleId="202">
    <w:name w:val="3级"/>
    <w:basedOn w:val="1"/>
    <w:next w:val="1"/>
    <w:link w:val="203"/>
    <w:qFormat/>
    <w:uiPriority w:val="0"/>
    <w:pPr>
      <w:keepNext/>
      <w:keepLines/>
      <w:widowControl/>
      <w:numPr>
        <w:ilvl w:val="2"/>
        <w:numId w:val="9"/>
      </w:numPr>
      <w:spacing w:before="280" w:after="290" w:line="377" w:lineRule="auto"/>
      <w:ind w:firstLineChars="0"/>
      <w:jc w:val="left"/>
      <w:outlineLvl w:val="3"/>
    </w:pPr>
    <w:rPr>
      <w:rFonts w:eastAsia="等线 Light"/>
      <w:b/>
      <w:bCs/>
      <w:sz w:val="32"/>
      <w:szCs w:val="32"/>
    </w:rPr>
  </w:style>
  <w:style w:type="character" w:customStyle="1" w:styleId="203">
    <w:name w:val="3级 Char"/>
    <w:basedOn w:val="85"/>
    <w:link w:val="202"/>
    <w:qFormat/>
    <w:uiPriority w:val="0"/>
    <w:rPr>
      <w:rFonts w:ascii="宋体" w:hAnsi="宋体" w:eastAsia="等线 Light" w:cs="Times New Roman"/>
      <w:kern w:val="2"/>
      <w:sz w:val="32"/>
      <w:szCs w:val="32"/>
    </w:rPr>
  </w:style>
  <w:style w:type="paragraph" w:customStyle="1" w:styleId="204">
    <w:name w:val="4级"/>
    <w:basedOn w:val="5"/>
    <w:next w:val="1"/>
    <w:link w:val="205"/>
    <w:qFormat/>
    <w:uiPriority w:val="0"/>
    <w:pPr>
      <w:widowControl/>
      <w:numPr>
        <w:numId w:val="10"/>
      </w:numPr>
      <w:spacing w:before="280" w:after="290" w:line="377" w:lineRule="auto"/>
      <w:ind w:right="100" w:rightChars="100"/>
      <w:jc w:val="left"/>
      <w:outlineLvl w:val="4"/>
    </w:pPr>
    <w:rPr>
      <w:kern w:val="0"/>
      <w:sz w:val="28"/>
      <w:szCs w:val="28"/>
    </w:rPr>
  </w:style>
  <w:style w:type="character" w:customStyle="1" w:styleId="205">
    <w:name w:val="4级 Char"/>
    <w:link w:val="204"/>
    <w:qFormat/>
    <w:uiPriority w:val="0"/>
    <w:rPr>
      <w:rFonts w:ascii="宋体" w:hAnsi="宋体"/>
      <w:b/>
      <w:bCs/>
      <w:sz w:val="28"/>
      <w:szCs w:val="28"/>
    </w:rPr>
  </w:style>
  <w:style w:type="paragraph" w:customStyle="1" w:styleId="206">
    <w:name w:val="5级"/>
    <w:basedOn w:val="1"/>
    <w:next w:val="1"/>
    <w:link w:val="207"/>
    <w:qFormat/>
    <w:uiPriority w:val="0"/>
    <w:pPr>
      <w:keepNext/>
      <w:keepLines/>
      <w:widowControl/>
      <w:numPr>
        <w:ilvl w:val="4"/>
        <w:numId w:val="9"/>
      </w:numPr>
      <w:spacing w:before="240" w:after="64" w:line="319" w:lineRule="auto"/>
      <w:ind w:firstLine="0" w:firstLineChars="0"/>
      <w:jc w:val="left"/>
      <w:outlineLvl w:val="5"/>
    </w:pPr>
    <w:rPr>
      <w:rFonts w:ascii="Cambria" w:hAnsi="Cambria"/>
      <w:b/>
      <w:bCs/>
      <w:kern w:val="0"/>
      <w:sz w:val="28"/>
      <w:szCs w:val="28"/>
    </w:rPr>
  </w:style>
  <w:style w:type="character" w:customStyle="1" w:styleId="207">
    <w:name w:val="5级 Char"/>
    <w:basedOn w:val="63"/>
    <w:link w:val="206"/>
    <w:qFormat/>
    <w:uiPriority w:val="0"/>
    <w:rPr>
      <w:rFonts w:ascii="Cambria" w:hAnsi="Cambria"/>
      <w:b/>
      <w:bCs/>
      <w:sz w:val="28"/>
      <w:szCs w:val="28"/>
    </w:rPr>
  </w:style>
  <w:style w:type="paragraph" w:customStyle="1" w:styleId="208">
    <w:name w:val="6级"/>
    <w:basedOn w:val="1"/>
    <w:next w:val="1"/>
    <w:qFormat/>
    <w:uiPriority w:val="0"/>
    <w:pPr>
      <w:keepNext/>
      <w:keepLines/>
      <w:widowControl/>
      <w:numPr>
        <w:ilvl w:val="5"/>
        <w:numId w:val="9"/>
      </w:numPr>
      <w:spacing w:before="240" w:after="64" w:line="319" w:lineRule="auto"/>
      <w:ind w:firstLine="0" w:firstLineChars="0"/>
      <w:jc w:val="left"/>
      <w:outlineLvl w:val="6"/>
    </w:pPr>
    <w:rPr>
      <w:b/>
      <w:bCs/>
      <w:kern w:val="0"/>
    </w:rPr>
  </w:style>
  <w:style w:type="paragraph" w:customStyle="1" w:styleId="209">
    <w:name w:val="7级"/>
    <w:basedOn w:val="1"/>
    <w:next w:val="1"/>
    <w:qFormat/>
    <w:uiPriority w:val="0"/>
    <w:pPr>
      <w:keepNext/>
      <w:keepLines/>
      <w:widowControl/>
      <w:spacing w:before="240" w:after="64" w:line="319" w:lineRule="auto"/>
      <w:ind w:left="3827" w:hanging="1276" w:firstLineChars="0"/>
      <w:jc w:val="left"/>
      <w:outlineLvl w:val="7"/>
    </w:pPr>
    <w:rPr>
      <w:b/>
      <w:kern w:val="0"/>
    </w:rPr>
  </w:style>
  <w:style w:type="paragraph" w:customStyle="1" w:styleId="210">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11">
    <w:name w:val="正文文本首行缩进1"/>
    <w:basedOn w:val="25"/>
    <w:qFormat/>
    <w:uiPriority w:val="0"/>
    <w:pPr>
      <w:widowControl/>
      <w:spacing w:before="100" w:beforeAutospacing="1" w:line="360" w:lineRule="auto"/>
      <w:ind w:firstLine="420" w:firstLineChars="100"/>
      <w:jc w:val="left"/>
    </w:pPr>
    <w:rPr>
      <w:rFonts w:ascii="Calibri" w:hAnsi="Calibri"/>
      <w:kern w:val="0"/>
      <w:sz w:val="24"/>
    </w:rPr>
  </w:style>
  <w:style w:type="paragraph" w:customStyle="1" w:styleId="212">
    <w:name w:val="列表段落1"/>
    <w:basedOn w:val="1"/>
    <w:qFormat/>
    <w:uiPriority w:val="34"/>
    <w:pPr>
      <w:widowControl/>
      <w:spacing w:line="240" w:lineRule="auto"/>
      <w:ind w:firstLine="420"/>
      <w:jc w:val="left"/>
    </w:pPr>
    <w:rPr>
      <w:rFonts w:ascii="Calibri" w:hAnsi="Calibri"/>
      <w:kern w:val="0"/>
      <w:szCs w:val="21"/>
    </w:rPr>
  </w:style>
  <w:style w:type="paragraph" w:customStyle="1" w:styleId="213">
    <w:name w:val="正文Z"/>
    <w:basedOn w:val="1"/>
    <w:qFormat/>
    <w:uiPriority w:val="0"/>
    <w:pPr>
      <w:widowControl/>
      <w:spacing w:line="600" w:lineRule="exact"/>
      <w:ind w:firstLine="640"/>
      <w:jc w:val="left"/>
    </w:pPr>
    <w:rPr>
      <w:rFonts w:ascii="方正仿宋_GBK" w:hAnsi="仿宋" w:cs="仿宋"/>
      <w:color w:val="000000"/>
      <w:kern w:val="0"/>
      <w:sz w:val="32"/>
      <w:szCs w:val="32"/>
    </w:rPr>
  </w:style>
  <w:style w:type="paragraph" w:customStyle="1" w:styleId="214">
    <w:name w:val="插图居中"/>
    <w:next w:val="1"/>
    <w:qFormat/>
    <w:uiPriority w:val="0"/>
    <w:pPr>
      <w:spacing w:beforeLines="50" w:line="360" w:lineRule="auto"/>
      <w:jc w:val="center"/>
    </w:pPr>
    <w:rPr>
      <w:rFonts w:ascii="Times New Roman" w:hAnsi="Times New Roman" w:eastAsia="宋体" w:cs="Times New Roman"/>
      <w:kern w:val="2"/>
      <w:sz w:val="24"/>
      <w:szCs w:val="24"/>
      <w:lang w:val="en-US" w:eastAsia="zh-CN" w:bidi="ar-SA"/>
    </w:rPr>
  </w:style>
  <w:style w:type="paragraph" w:customStyle="1" w:styleId="215">
    <w:name w:val="图片居中"/>
    <w:basedOn w:val="1"/>
    <w:qFormat/>
    <w:uiPriority w:val="0"/>
    <w:pPr>
      <w:widowControl/>
      <w:spacing w:line="240" w:lineRule="auto"/>
      <w:ind w:firstLine="0" w:firstLineChars="0"/>
      <w:jc w:val="center"/>
    </w:pPr>
    <w:rPr>
      <w:rFonts w:ascii="Times New Roman" w:hAnsi="Times New Roman" w:eastAsia="仿宋_GB2312" w:cs="宋体"/>
      <w:kern w:val="0"/>
      <w:sz w:val="32"/>
    </w:rPr>
  </w:style>
  <w:style w:type="paragraph" w:customStyle="1" w:styleId="216">
    <w:name w:val="标准正文样式"/>
    <w:basedOn w:val="213"/>
    <w:link w:val="217"/>
    <w:qFormat/>
    <w:uiPriority w:val="0"/>
    <w:pPr>
      <w:spacing w:line="560" w:lineRule="exact"/>
    </w:pPr>
    <w:rPr>
      <w:rFonts w:ascii="Times New Roman" w:hAnsi="Times New Roman" w:eastAsia="仿宋_GB2312" w:cs="Times New Roman"/>
      <w:color w:val="auto"/>
      <w:u w:color="000000"/>
    </w:rPr>
  </w:style>
  <w:style w:type="character" w:customStyle="1" w:styleId="217">
    <w:name w:val="标准正文样式 Char"/>
    <w:link w:val="216"/>
    <w:qFormat/>
    <w:uiPriority w:val="0"/>
    <w:rPr>
      <w:rFonts w:eastAsia="仿宋_GB2312"/>
      <w:sz w:val="32"/>
      <w:szCs w:val="32"/>
      <w:u w:color="000000"/>
    </w:rPr>
  </w:style>
  <w:style w:type="paragraph" w:customStyle="1" w:styleId="218">
    <w:name w:val="标准图样式"/>
    <w:basedOn w:val="216"/>
    <w:autoRedefine/>
    <w:qFormat/>
    <w:uiPriority w:val="0"/>
    <w:pPr>
      <w:spacing w:line="360" w:lineRule="auto"/>
      <w:ind w:firstLine="0" w:firstLineChars="0"/>
      <w:jc w:val="center"/>
    </w:pPr>
    <w:rPr>
      <w:rFonts w:eastAsia="方正仿宋_GBK"/>
      <w:color w:val="000000"/>
      <w:lang w:val="zh-TW" w:eastAsia="zh-TW"/>
    </w:rPr>
  </w:style>
  <w:style w:type="paragraph" w:customStyle="1" w:styleId="219">
    <w:name w:val="正文 sosopeng"/>
    <w:basedOn w:val="1"/>
    <w:qFormat/>
    <w:uiPriority w:val="0"/>
    <w:pPr>
      <w:widowControl/>
      <w:spacing w:line="520" w:lineRule="exact"/>
      <w:ind w:firstLine="200"/>
      <w:jc w:val="left"/>
    </w:pPr>
    <w:rPr>
      <w:color w:val="000000"/>
      <w:kern w:val="0"/>
      <w:shd w:val="clear" w:color="auto" w:fill="FFFFFF"/>
    </w:rPr>
  </w:style>
  <w:style w:type="character" w:customStyle="1" w:styleId="220">
    <w:name w:val="段 Char"/>
    <w:link w:val="145"/>
    <w:qFormat/>
    <w:uiPriority w:val="0"/>
    <w:rPr>
      <w:rFonts w:ascii="宋体" w:cs="Calibri"/>
      <w:sz w:val="21"/>
    </w:rPr>
  </w:style>
  <w:style w:type="paragraph" w:customStyle="1" w:styleId="221">
    <w:name w:val="列出段落11"/>
    <w:basedOn w:val="1"/>
    <w:qFormat/>
    <w:uiPriority w:val="0"/>
    <w:pPr>
      <w:widowControl/>
      <w:ind w:firstLine="420"/>
      <w:jc w:val="left"/>
    </w:pPr>
    <w:rPr>
      <w:rFonts w:eastAsia="仿宋"/>
      <w:kern w:val="0"/>
      <w:sz w:val="28"/>
      <w:szCs w:val="28"/>
    </w:rPr>
  </w:style>
  <w:style w:type="paragraph" w:customStyle="1" w:styleId="222">
    <w:name w:val="表格"/>
    <w:basedOn w:val="1"/>
    <w:next w:val="1"/>
    <w:link w:val="597"/>
    <w:qFormat/>
    <w:uiPriority w:val="9"/>
    <w:pPr>
      <w:widowControl/>
      <w:adjustRightInd w:val="0"/>
      <w:snapToGrid w:val="0"/>
      <w:spacing w:line="240" w:lineRule="auto"/>
      <w:ind w:firstLine="0" w:firstLineChars="0"/>
      <w:jc w:val="left"/>
    </w:pPr>
    <w:rPr>
      <w:rFonts w:cs="宋体"/>
      <w:kern w:val="0"/>
      <w:szCs w:val="20"/>
    </w:rPr>
  </w:style>
  <w:style w:type="paragraph" w:customStyle="1" w:styleId="223">
    <w:name w:val="图表样式"/>
    <w:basedOn w:val="1"/>
    <w:next w:val="1"/>
    <w:link w:val="224"/>
    <w:qFormat/>
    <w:uiPriority w:val="0"/>
    <w:pPr>
      <w:widowControl/>
      <w:spacing w:line="240" w:lineRule="auto"/>
      <w:ind w:firstLine="0" w:firstLineChars="0"/>
      <w:contextualSpacing/>
      <w:jc w:val="center"/>
    </w:pPr>
    <w:rPr>
      <w:rFonts w:ascii="仿宋" w:hAnsi="仿宋" w:eastAsia="仿宋"/>
      <w:kern w:val="0"/>
      <w:sz w:val="28"/>
      <w:szCs w:val="28"/>
      <w:lang w:val="zh-CN"/>
    </w:rPr>
  </w:style>
  <w:style w:type="character" w:customStyle="1" w:styleId="224">
    <w:name w:val="图表样式 字符"/>
    <w:basedOn w:val="63"/>
    <w:link w:val="223"/>
    <w:qFormat/>
    <w:uiPriority w:val="0"/>
    <w:rPr>
      <w:rFonts w:ascii="仿宋" w:hAnsi="仿宋" w:eastAsia="仿宋"/>
      <w:sz w:val="28"/>
      <w:szCs w:val="28"/>
      <w:lang w:val="zh-CN"/>
    </w:rPr>
  </w:style>
  <w:style w:type="paragraph" w:customStyle="1" w:styleId="225">
    <w:name w:val="TOC 标题2"/>
    <w:basedOn w:val="2"/>
    <w:next w:val="1"/>
    <w:unhideWhenUsed/>
    <w:qFormat/>
    <w:uiPriority w:val="39"/>
    <w:pPr>
      <w:pageBreakBefore/>
      <w:widowControl/>
      <w:numPr>
        <w:numId w:val="0"/>
      </w:numPr>
      <w:spacing w:before="240" w:after="0" w:line="259" w:lineRule="auto"/>
      <w:jc w:val="center"/>
      <w:outlineLvl w:val="9"/>
    </w:pPr>
    <w:rPr>
      <w:rFonts w:asciiTheme="majorHAnsi" w:hAnsiTheme="majorHAnsi" w:eastAsiaTheme="majorEastAsia" w:cstheme="majorBidi"/>
      <w:b w:val="0"/>
      <w:bCs w:val="0"/>
      <w:color w:val="376092" w:themeColor="accent1" w:themeShade="BF"/>
      <w:kern w:val="0"/>
      <w:szCs w:val="32"/>
      <w:lang w:val="zh-CN"/>
    </w:rPr>
  </w:style>
  <w:style w:type="paragraph" w:customStyle="1" w:styleId="226">
    <w:name w:val="标题三"/>
    <w:basedOn w:val="1"/>
    <w:link w:val="227"/>
    <w:qFormat/>
    <w:uiPriority w:val="0"/>
    <w:pPr>
      <w:keepNext/>
      <w:keepLines/>
      <w:widowControl/>
      <w:numPr>
        <w:ilvl w:val="2"/>
        <w:numId w:val="11"/>
      </w:numPr>
      <w:tabs>
        <w:tab w:val="left" w:pos="432"/>
        <w:tab w:val="left" w:pos="720"/>
      </w:tabs>
      <w:spacing w:before="260" w:after="260" w:line="240" w:lineRule="auto"/>
      <w:ind w:firstLine="0" w:firstLineChars="0"/>
      <w:jc w:val="left"/>
      <w:outlineLvl w:val="2"/>
    </w:pPr>
    <w:rPr>
      <w:rFonts w:ascii="Times New Roman" w:hAnsi="Times New Roman" w:eastAsia="华文仿宋"/>
      <w:b/>
      <w:bCs/>
      <w:color w:val="000000" w:themeColor="text1"/>
      <w:kern w:val="28"/>
      <w:sz w:val="30"/>
      <w:szCs w:val="32"/>
      <w:lang w:eastAsia="en-US"/>
      <w14:textFill>
        <w14:solidFill>
          <w14:schemeClr w14:val="tx1"/>
        </w14:solidFill>
      </w14:textFill>
    </w:rPr>
  </w:style>
  <w:style w:type="character" w:customStyle="1" w:styleId="227">
    <w:name w:val="标题三 字符"/>
    <w:basedOn w:val="63"/>
    <w:link w:val="226"/>
    <w:qFormat/>
    <w:uiPriority w:val="0"/>
    <w:rPr>
      <w:rFonts w:eastAsia="华文仿宋"/>
      <w:b/>
      <w:bCs/>
      <w:color w:val="000000" w:themeColor="text1"/>
      <w:kern w:val="28"/>
      <w:sz w:val="30"/>
      <w:szCs w:val="32"/>
      <w:lang w:eastAsia="en-US"/>
      <w14:textFill>
        <w14:solidFill>
          <w14:schemeClr w14:val="tx1"/>
        </w14:solidFill>
      </w14:textFill>
    </w:rPr>
  </w:style>
  <w:style w:type="paragraph" w:customStyle="1" w:styleId="228">
    <w:name w:val="font5"/>
    <w:basedOn w:val="1"/>
    <w:qFormat/>
    <w:uiPriority w:val="0"/>
    <w:pPr>
      <w:widowControl/>
      <w:spacing w:before="100" w:beforeAutospacing="1" w:after="100" w:afterAutospacing="1" w:line="240" w:lineRule="auto"/>
      <w:ind w:firstLine="0" w:firstLineChars="0"/>
      <w:jc w:val="left"/>
    </w:pPr>
    <w:rPr>
      <w:rFonts w:cs="宋体"/>
      <w:kern w:val="0"/>
      <w:sz w:val="18"/>
      <w:szCs w:val="18"/>
    </w:rPr>
  </w:style>
  <w:style w:type="paragraph" w:customStyle="1" w:styleId="229">
    <w:name w:val="xl64"/>
    <w:basedOn w:val="1"/>
    <w:qFormat/>
    <w:uiPriority w:val="0"/>
    <w:pPr>
      <w:widowControl/>
      <w:spacing w:before="100" w:beforeAutospacing="1" w:after="100" w:afterAutospacing="1" w:line="240" w:lineRule="auto"/>
      <w:ind w:firstLine="0" w:firstLineChars="0"/>
      <w:jc w:val="left"/>
    </w:pPr>
    <w:rPr>
      <w:rFonts w:cs="宋体"/>
      <w:kern w:val="0"/>
      <w:sz w:val="20"/>
      <w:szCs w:val="20"/>
    </w:rPr>
  </w:style>
  <w:style w:type="paragraph" w:customStyle="1" w:styleId="230">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line="240" w:lineRule="auto"/>
      <w:ind w:firstLine="0" w:firstLineChars="0"/>
      <w:jc w:val="center"/>
    </w:pPr>
    <w:rPr>
      <w:rFonts w:cs="宋体"/>
      <w:b/>
      <w:bCs/>
      <w:color w:val="000000"/>
      <w:kern w:val="0"/>
      <w:sz w:val="20"/>
      <w:szCs w:val="20"/>
    </w:rPr>
  </w:style>
  <w:style w:type="paragraph" w:customStyle="1" w:styleId="231">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line="240" w:lineRule="auto"/>
      <w:ind w:firstLine="0" w:firstLineChars="0"/>
      <w:jc w:val="left"/>
    </w:pPr>
    <w:rPr>
      <w:rFonts w:cs="宋体"/>
      <w:kern w:val="0"/>
      <w:sz w:val="20"/>
      <w:szCs w:val="20"/>
    </w:rPr>
  </w:style>
  <w:style w:type="paragraph" w:customStyle="1" w:styleId="23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33">
    <w:name w:val="xl7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34">
    <w:name w:val="xl7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0"/>
      <w:szCs w:val="20"/>
    </w:rPr>
  </w:style>
  <w:style w:type="paragraph" w:customStyle="1" w:styleId="235">
    <w:name w:val="xl7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0"/>
      <w:szCs w:val="20"/>
    </w:rPr>
  </w:style>
  <w:style w:type="paragraph" w:customStyle="1" w:styleId="236">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37">
    <w:name w:val="xl8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3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3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center"/>
    </w:pPr>
    <w:rPr>
      <w:rFonts w:cs="宋体"/>
      <w:b/>
      <w:bCs/>
      <w:color w:val="000000"/>
      <w:kern w:val="0"/>
      <w:sz w:val="20"/>
      <w:szCs w:val="20"/>
    </w:rPr>
  </w:style>
  <w:style w:type="paragraph" w:customStyle="1" w:styleId="24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left"/>
    </w:pPr>
    <w:rPr>
      <w:rFonts w:cs="宋体"/>
      <w:kern w:val="0"/>
      <w:sz w:val="20"/>
      <w:szCs w:val="20"/>
    </w:rPr>
  </w:style>
  <w:style w:type="paragraph" w:customStyle="1" w:styleId="24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仿宋_GB2312" w:eastAsia="仿宋_GB2312" w:cs="宋体"/>
      <w:kern w:val="0"/>
      <w:sz w:val="18"/>
      <w:szCs w:val="18"/>
    </w:rPr>
  </w:style>
  <w:style w:type="paragraph" w:customStyle="1" w:styleId="242">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color w:val="000000"/>
      <w:kern w:val="0"/>
      <w:sz w:val="18"/>
      <w:szCs w:val="18"/>
    </w:rPr>
  </w:style>
  <w:style w:type="paragraph" w:customStyle="1" w:styleId="243">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仿宋_GB2312" w:eastAsia="仿宋_GB2312" w:cs="宋体"/>
      <w:kern w:val="0"/>
      <w:sz w:val="18"/>
      <w:szCs w:val="18"/>
    </w:rPr>
  </w:style>
  <w:style w:type="paragraph" w:customStyle="1" w:styleId="24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sz w:val="18"/>
      <w:szCs w:val="18"/>
    </w:rPr>
  </w:style>
  <w:style w:type="paragraph" w:customStyle="1" w:styleId="24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center"/>
    </w:pPr>
    <w:rPr>
      <w:rFonts w:ascii="仿宋_GB2312" w:eastAsia="仿宋_GB2312" w:cs="宋体"/>
      <w:b/>
      <w:bCs/>
      <w:kern w:val="0"/>
      <w:sz w:val="20"/>
      <w:szCs w:val="20"/>
    </w:rPr>
  </w:style>
  <w:style w:type="paragraph" w:customStyle="1" w:styleId="24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center"/>
    </w:pPr>
    <w:rPr>
      <w:rFonts w:ascii="仿宋_GB2312" w:eastAsia="仿宋_GB2312" w:cs="宋体"/>
      <w:b/>
      <w:bCs/>
      <w:color w:val="000000"/>
      <w:kern w:val="0"/>
      <w:sz w:val="20"/>
      <w:szCs w:val="20"/>
    </w:rPr>
  </w:style>
  <w:style w:type="paragraph" w:customStyle="1" w:styleId="247">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left"/>
    </w:pPr>
    <w:rPr>
      <w:rFonts w:ascii="仿宋_GB2312" w:eastAsia="仿宋_GB2312" w:cs="宋体"/>
      <w:b/>
      <w:bCs/>
      <w:kern w:val="0"/>
      <w:sz w:val="20"/>
      <w:szCs w:val="20"/>
    </w:rPr>
  </w:style>
  <w:style w:type="paragraph" w:customStyle="1" w:styleId="248">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sz w:val="20"/>
      <w:szCs w:val="20"/>
    </w:rPr>
  </w:style>
  <w:style w:type="paragraph" w:customStyle="1" w:styleId="249">
    <w:name w:val="xl93"/>
    <w:basedOn w:val="1"/>
    <w:qFormat/>
    <w:uiPriority w:val="0"/>
    <w:pPr>
      <w:widowControl/>
      <w:shd w:val="clear" w:color="000000" w:fill="FFFFFF"/>
      <w:spacing w:before="100" w:beforeAutospacing="1" w:after="100" w:afterAutospacing="1" w:line="240" w:lineRule="auto"/>
      <w:ind w:firstLine="0" w:firstLineChars="0"/>
      <w:jc w:val="left"/>
    </w:pPr>
    <w:rPr>
      <w:rFonts w:ascii="仿宋_GB2312" w:eastAsia="仿宋_GB2312" w:cs="宋体"/>
      <w:kern w:val="0"/>
      <w:sz w:val="20"/>
      <w:szCs w:val="20"/>
    </w:rPr>
  </w:style>
  <w:style w:type="paragraph" w:customStyle="1" w:styleId="250">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b/>
      <w:bCs/>
      <w:color w:val="000000"/>
      <w:kern w:val="0"/>
      <w:sz w:val="20"/>
      <w:szCs w:val="20"/>
    </w:rPr>
  </w:style>
  <w:style w:type="paragraph" w:customStyle="1" w:styleId="251">
    <w:name w:val="xl95"/>
    <w:basedOn w:val="1"/>
    <w:qFormat/>
    <w:uiPriority w:val="0"/>
    <w:pPr>
      <w:widowControl/>
      <w:spacing w:before="100" w:beforeAutospacing="1" w:after="100" w:afterAutospacing="1" w:line="240" w:lineRule="auto"/>
      <w:ind w:firstLine="0" w:firstLineChars="0"/>
      <w:jc w:val="left"/>
    </w:pPr>
    <w:rPr>
      <w:rFonts w:ascii="微软雅黑" w:hAnsi="微软雅黑" w:eastAsia="微软雅黑" w:cs="宋体"/>
      <w:kern w:val="0"/>
      <w:sz w:val="18"/>
      <w:szCs w:val="18"/>
    </w:rPr>
  </w:style>
  <w:style w:type="paragraph" w:customStyle="1" w:styleId="252">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rPr>
  </w:style>
  <w:style w:type="paragraph" w:customStyle="1" w:styleId="253">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微软雅黑" w:hAnsi="微软雅黑" w:eastAsia="微软雅黑" w:cs="宋体"/>
      <w:color w:val="000000"/>
      <w:kern w:val="0"/>
      <w:sz w:val="18"/>
      <w:szCs w:val="18"/>
    </w:rPr>
  </w:style>
  <w:style w:type="paragraph" w:customStyle="1" w:styleId="254">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微软雅黑" w:hAnsi="微软雅黑" w:eastAsia="微软雅黑" w:cs="宋体"/>
      <w:kern w:val="0"/>
      <w:sz w:val="18"/>
      <w:szCs w:val="18"/>
    </w:rPr>
  </w:style>
  <w:style w:type="paragraph" w:customStyle="1" w:styleId="255">
    <w:name w:val="xl99"/>
    <w:basedOn w:val="1"/>
    <w:qFormat/>
    <w:uiPriority w:val="0"/>
    <w:pPr>
      <w:widowControl/>
      <w:spacing w:before="100" w:beforeAutospacing="1" w:after="100" w:afterAutospacing="1" w:line="240" w:lineRule="auto"/>
      <w:ind w:firstLine="0" w:firstLineChars="0"/>
      <w:jc w:val="left"/>
    </w:pPr>
    <w:rPr>
      <w:rFonts w:cs="宋体"/>
      <w:color w:val="000000"/>
      <w:kern w:val="0"/>
      <w:sz w:val="20"/>
      <w:szCs w:val="20"/>
    </w:rPr>
  </w:style>
  <w:style w:type="paragraph" w:customStyle="1" w:styleId="256">
    <w:name w:val="xl100"/>
    <w:basedOn w:val="1"/>
    <w:qFormat/>
    <w:uiPriority w:val="0"/>
    <w:pPr>
      <w:widowControl/>
      <w:spacing w:before="100" w:beforeAutospacing="1" w:after="100" w:afterAutospacing="1" w:line="240" w:lineRule="auto"/>
      <w:ind w:firstLine="0" w:firstLineChars="0"/>
      <w:jc w:val="left"/>
    </w:pPr>
    <w:rPr>
      <w:rFonts w:cs="宋体"/>
      <w:color w:val="000000"/>
      <w:kern w:val="0"/>
      <w:sz w:val="20"/>
      <w:szCs w:val="20"/>
    </w:rPr>
  </w:style>
  <w:style w:type="paragraph" w:customStyle="1" w:styleId="257">
    <w:name w:val="xl101"/>
    <w:basedOn w:val="1"/>
    <w:qFormat/>
    <w:uiPriority w:val="0"/>
    <w:pPr>
      <w:widowControl/>
      <w:spacing w:before="100" w:beforeAutospacing="1" w:after="100" w:afterAutospacing="1" w:line="240" w:lineRule="auto"/>
      <w:ind w:firstLine="0" w:firstLineChars="0"/>
      <w:jc w:val="left"/>
    </w:pPr>
    <w:rPr>
      <w:rFonts w:cs="宋体"/>
      <w:color w:val="000000"/>
      <w:kern w:val="0"/>
      <w:sz w:val="20"/>
      <w:szCs w:val="20"/>
    </w:rPr>
  </w:style>
  <w:style w:type="paragraph" w:customStyle="1" w:styleId="258">
    <w:name w:val="xl102"/>
    <w:basedOn w:val="1"/>
    <w:qFormat/>
    <w:uiPriority w:val="0"/>
    <w:pPr>
      <w:widowControl/>
      <w:spacing w:before="100" w:beforeAutospacing="1" w:after="100" w:afterAutospacing="1" w:line="240" w:lineRule="auto"/>
      <w:ind w:firstLine="0" w:firstLineChars="0"/>
      <w:jc w:val="left"/>
    </w:pPr>
    <w:rPr>
      <w:rFonts w:cs="宋体"/>
      <w:color w:val="000000"/>
      <w:kern w:val="0"/>
      <w:sz w:val="20"/>
      <w:szCs w:val="20"/>
    </w:rPr>
  </w:style>
  <w:style w:type="paragraph" w:customStyle="1" w:styleId="259">
    <w:name w:val="xl103"/>
    <w:basedOn w:val="1"/>
    <w:qFormat/>
    <w:uiPriority w:val="0"/>
    <w:pPr>
      <w:widowControl/>
      <w:spacing w:before="100" w:beforeAutospacing="1" w:after="100" w:afterAutospacing="1" w:line="240" w:lineRule="auto"/>
      <w:ind w:firstLine="0" w:firstLineChars="0"/>
      <w:jc w:val="right"/>
    </w:pPr>
    <w:rPr>
      <w:rFonts w:cs="宋体"/>
      <w:color w:val="000000"/>
      <w:kern w:val="0"/>
      <w:sz w:val="20"/>
      <w:szCs w:val="20"/>
    </w:rPr>
  </w:style>
  <w:style w:type="paragraph" w:customStyle="1" w:styleId="260">
    <w:name w:val="xl104"/>
    <w:basedOn w:val="1"/>
    <w:qFormat/>
    <w:uiPriority w:val="0"/>
    <w:pPr>
      <w:widowControl/>
      <w:spacing w:before="100" w:beforeAutospacing="1" w:after="100" w:afterAutospacing="1" w:line="240" w:lineRule="auto"/>
      <w:ind w:firstLine="0" w:firstLineChars="0"/>
      <w:jc w:val="center"/>
    </w:pPr>
    <w:rPr>
      <w:rFonts w:cs="宋体"/>
      <w:b/>
      <w:bCs/>
      <w:kern w:val="0"/>
      <w:sz w:val="20"/>
      <w:szCs w:val="20"/>
    </w:rPr>
  </w:style>
  <w:style w:type="paragraph" w:customStyle="1" w:styleId="261">
    <w:name w:val="xl105"/>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0"/>
      <w:szCs w:val="20"/>
    </w:rPr>
  </w:style>
  <w:style w:type="paragraph" w:customStyle="1" w:styleId="262">
    <w:name w:val="xl106"/>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63">
    <w:name w:val="xl10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64">
    <w:name w:val="xl108"/>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65">
    <w:name w:val="xl10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kern w:val="0"/>
    </w:rPr>
  </w:style>
  <w:style w:type="paragraph" w:customStyle="1" w:styleId="266">
    <w:name w:val="xl11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rPr>
  </w:style>
  <w:style w:type="paragraph" w:customStyle="1" w:styleId="267">
    <w:name w:val="xl111"/>
    <w:basedOn w:val="1"/>
    <w:qFormat/>
    <w:uiPriority w:val="0"/>
    <w:pPr>
      <w:widowControl/>
      <w:pBdr>
        <w:top w:val="single" w:color="auto" w:sz="4" w:space="0"/>
        <w:left w:val="single" w:color="auto" w:sz="4" w:space="0"/>
        <w:bottom w:val="single" w:color="auto" w:sz="4" w:space="0"/>
      </w:pBdr>
      <w:shd w:val="clear" w:color="000000" w:fill="C5D9F1"/>
      <w:spacing w:before="100" w:beforeAutospacing="1" w:after="100" w:afterAutospacing="1" w:line="240" w:lineRule="auto"/>
      <w:ind w:firstLine="0" w:firstLineChars="0"/>
      <w:jc w:val="center"/>
    </w:pPr>
    <w:rPr>
      <w:rFonts w:cs="宋体"/>
      <w:kern w:val="0"/>
      <w:sz w:val="20"/>
      <w:szCs w:val="20"/>
    </w:rPr>
  </w:style>
  <w:style w:type="paragraph" w:customStyle="1" w:styleId="268">
    <w:name w:val="xl112"/>
    <w:basedOn w:val="1"/>
    <w:qFormat/>
    <w:uiPriority w:val="0"/>
    <w:pPr>
      <w:widowControl/>
      <w:pBdr>
        <w:top w:val="single" w:color="auto" w:sz="4" w:space="0"/>
        <w:bottom w:val="single" w:color="auto" w:sz="4" w:space="0"/>
      </w:pBdr>
      <w:shd w:val="clear" w:color="000000" w:fill="C5D9F1"/>
      <w:spacing w:before="100" w:beforeAutospacing="1" w:after="100" w:afterAutospacing="1" w:line="240" w:lineRule="auto"/>
      <w:ind w:firstLine="0" w:firstLineChars="0"/>
      <w:jc w:val="left"/>
    </w:pPr>
    <w:rPr>
      <w:rFonts w:cs="宋体"/>
      <w:kern w:val="0"/>
    </w:rPr>
  </w:style>
  <w:style w:type="paragraph" w:customStyle="1" w:styleId="269">
    <w:name w:val="xl113"/>
    <w:basedOn w:val="1"/>
    <w:qFormat/>
    <w:uiPriority w:val="0"/>
    <w:pPr>
      <w:widowControl/>
      <w:pBdr>
        <w:top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left"/>
    </w:pPr>
    <w:rPr>
      <w:rFonts w:cs="宋体"/>
      <w:kern w:val="0"/>
    </w:rPr>
  </w:style>
  <w:style w:type="paragraph" w:customStyle="1" w:styleId="270">
    <w:name w:val="xl114"/>
    <w:basedOn w:val="1"/>
    <w:qFormat/>
    <w:uiPriority w:val="0"/>
    <w:pPr>
      <w:widowControl/>
      <w:spacing w:before="100" w:beforeAutospacing="1" w:after="100" w:afterAutospacing="1" w:line="240" w:lineRule="auto"/>
      <w:ind w:firstLine="0" w:firstLineChars="0"/>
      <w:jc w:val="left"/>
    </w:pPr>
    <w:rPr>
      <w:rFonts w:cs="宋体"/>
      <w:b/>
      <w:bCs/>
      <w:kern w:val="0"/>
      <w:sz w:val="20"/>
      <w:szCs w:val="20"/>
    </w:rPr>
  </w:style>
  <w:style w:type="paragraph" w:customStyle="1" w:styleId="271">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2">
    <w:name w:val="xl11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3">
    <w:name w:val="xl11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4">
    <w:name w:val="xl118"/>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5">
    <w:name w:val="xl11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7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rPr>
  </w:style>
  <w:style w:type="paragraph" w:customStyle="1" w:styleId="278">
    <w:name w:val="xl122"/>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center"/>
    </w:pPr>
    <w:rPr>
      <w:rFonts w:cs="宋体"/>
      <w:kern w:val="0"/>
      <w:sz w:val="20"/>
      <w:szCs w:val="20"/>
    </w:rPr>
  </w:style>
  <w:style w:type="paragraph" w:customStyle="1" w:styleId="279">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left"/>
    </w:pPr>
    <w:rPr>
      <w:rFonts w:cs="宋体"/>
      <w:kern w:val="0"/>
    </w:rPr>
  </w:style>
  <w:style w:type="paragraph" w:customStyle="1" w:styleId="280">
    <w:name w:val="xl124"/>
    <w:basedOn w:val="1"/>
    <w:qFormat/>
    <w:uiPriority w:val="0"/>
    <w:pPr>
      <w:widowControl/>
      <w:pBdr>
        <w:top w:val="single" w:color="auto" w:sz="4" w:space="0"/>
        <w:left w:val="single" w:color="auto" w:sz="4" w:space="0"/>
        <w:bottom w:val="single" w:color="auto" w:sz="4" w:space="0"/>
      </w:pBdr>
      <w:shd w:val="clear" w:color="000000" w:fill="8DB4E2"/>
      <w:spacing w:before="100" w:beforeAutospacing="1" w:after="100" w:afterAutospacing="1" w:line="240" w:lineRule="auto"/>
      <w:ind w:firstLine="0" w:firstLineChars="0"/>
      <w:jc w:val="center"/>
    </w:pPr>
    <w:rPr>
      <w:rFonts w:cs="宋体"/>
      <w:b/>
      <w:bCs/>
      <w:kern w:val="0"/>
      <w:sz w:val="20"/>
      <w:szCs w:val="20"/>
    </w:rPr>
  </w:style>
  <w:style w:type="paragraph" w:customStyle="1" w:styleId="281">
    <w:name w:val="xl125"/>
    <w:basedOn w:val="1"/>
    <w:qFormat/>
    <w:uiPriority w:val="0"/>
    <w:pPr>
      <w:widowControl/>
      <w:pBdr>
        <w:top w:val="single" w:color="auto" w:sz="4" w:space="0"/>
        <w:bottom w:val="single" w:color="auto" w:sz="4" w:space="0"/>
      </w:pBdr>
      <w:shd w:val="clear" w:color="000000" w:fill="8DB4E2"/>
      <w:spacing w:before="100" w:beforeAutospacing="1" w:after="100" w:afterAutospacing="1" w:line="240" w:lineRule="auto"/>
      <w:ind w:firstLine="0" w:firstLineChars="0"/>
      <w:jc w:val="left"/>
    </w:pPr>
    <w:rPr>
      <w:rFonts w:cs="宋体"/>
      <w:b/>
      <w:bCs/>
      <w:kern w:val="0"/>
    </w:rPr>
  </w:style>
  <w:style w:type="paragraph" w:customStyle="1" w:styleId="282">
    <w:name w:val="xl126"/>
    <w:basedOn w:val="1"/>
    <w:qFormat/>
    <w:uiPriority w:val="0"/>
    <w:pPr>
      <w:widowControl/>
      <w:pBdr>
        <w:top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left"/>
    </w:pPr>
    <w:rPr>
      <w:rFonts w:cs="宋体"/>
      <w:b/>
      <w:bCs/>
      <w:kern w:val="0"/>
    </w:rPr>
  </w:style>
  <w:style w:type="paragraph" w:customStyle="1" w:styleId="283">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rPr>
  </w:style>
  <w:style w:type="paragraph" w:customStyle="1" w:styleId="284">
    <w:name w:val="xl1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kern w:val="0"/>
      <w:sz w:val="20"/>
      <w:szCs w:val="20"/>
    </w:rPr>
  </w:style>
  <w:style w:type="paragraph" w:customStyle="1" w:styleId="285">
    <w:name w:val="xl129"/>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sz w:val="20"/>
      <w:szCs w:val="20"/>
    </w:rPr>
  </w:style>
  <w:style w:type="paragraph" w:customStyle="1" w:styleId="286">
    <w:name w:val="xl13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pPr>
    <w:rPr>
      <w:rFonts w:cs="宋体"/>
      <w:kern w:val="0"/>
    </w:rPr>
  </w:style>
  <w:style w:type="paragraph" w:customStyle="1" w:styleId="287">
    <w:name w:val="xl13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rPr>
  </w:style>
  <w:style w:type="paragraph" w:customStyle="1" w:styleId="288">
    <w:name w:val="xl13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b/>
      <w:bCs/>
      <w:color w:val="000000"/>
      <w:kern w:val="0"/>
      <w:sz w:val="20"/>
      <w:szCs w:val="20"/>
    </w:rPr>
  </w:style>
  <w:style w:type="paragraph" w:customStyle="1" w:styleId="289">
    <w:name w:val="xl13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kern w:val="0"/>
      <w:sz w:val="18"/>
      <w:szCs w:val="18"/>
    </w:rPr>
  </w:style>
  <w:style w:type="paragraph" w:customStyle="1" w:styleId="290">
    <w:name w:val="xl134"/>
    <w:basedOn w:val="1"/>
    <w:qFormat/>
    <w:uiPriority w:val="0"/>
    <w:pPr>
      <w:widowControl/>
      <w:pBdr>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kern w:val="0"/>
      <w:sz w:val="18"/>
      <w:szCs w:val="18"/>
    </w:rPr>
  </w:style>
  <w:style w:type="paragraph" w:customStyle="1" w:styleId="291">
    <w:name w:val="xl135"/>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kern w:val="0"/>
      <w:sz w:val="18"/>
      <w:szCs w:val="18"/>
    </w:rPr>
  </w:style>
  <w:style w:type="paragraph" w:customStyle="1" w:styleId="292">
    <w:name w:val="xl13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kern w:val="0"/>
      <w:sz w:val="18"/>
      <w:szCs w:val="18"/>
    </w:rPr>
  </w:style>
  <w:style w:type="paragraph" w:customStyle="1" w:styleId="293">
    <w:name w:val="xl137"/>
    <w:basedOn w:val="1"/>
    <w:qFormat/>
    <w:uiPriority w:val="0"/>
    <w:pPr>
      <w:widowControl/>
      <w:pBdr>
        <w:top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kern w:val="0"/>
      <w:sz w:val="20"/>
      <w:szCs w:val="20"/>
    </w:rPr>
  </w:style>
  <w:style w:type="paragraph" w:customStyle="1" w:styleId="294">
    <w:name w:val="xl138"/>
    <w:basedOn w:val="1"/>
    <w:qFormat/>
    <w:uiPriority w:val="0"/>
    <w:pPr>
      <w:widowControl/>
      <w:pBdr>
        <w:right w:val="single" w:color="auto" w:sz="4" w:space="0"/>
      </w:pBdr>
      <w:shd w:val="clear" w:color="000000" w:fill="FFFFFF"/>
      <w:spacing w:before="100" w:beforeAutospacing="1" w:after="100" w:afterAutospacing="1" w:line="240" w:lineRule="auto"/>
      <w:ind w:firstLine="0" w:firstLineChars="0"/>
      <w:jc w:val="left"/>
    </w:pPr>
    <w:rPr>
      <w:rFonts w:cs="宋体"/>
      <w:kern w:val="0"/>
    </w:rPr>
  </w:style>
  <w:style w:type="paragraph" w:customStyle="1" w:styleId="295">
    <w:name w:val="font6"/>
    <w:basedOn w:val="1"/>
    <w:qFormat/>
    <w:uiPriority w:val="0"/>
    <w:pPr>
      <w:widowControl/>
      <w:spacing w:before="100" w:beforeAutospacing="1" w:after="100" w:afterAutospacing="1" w:line="240" w:lineRule="auto"/>
      <w:ind w:firstLine="0" w:firstLineChars="0"/>
      <w:jc w:val="left"/>
    </w:pPr>
    <w:rPr>
      <w:rFonts w:cs="宋体"/>
      <w:kern w:val="0"/>
      <w:sz w:val="18"/>
      <w:szCs w:val="18"/>
    </w:rPr>
  </w:style>
  <w:style w:type="paragraph" w:customStyle="1" w:styleId="296">
    <w:name w:val="xl13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rPr>
  </w:style>
  <w:style w:type="paragraph" w:customStyle="1" w:styleId="297">
    <w:name w:val="xl14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0"/>
      <w:szCs w:val="20"/>
    </w:rPr>
  </w:style>
  <w:style w:type="paragraph" w:customStyle="1" w:styleId="298">
    <w:name w:val="Default"/>
    <w:link w:val="299"/>
    <w:qFormat/>
    <w:uiPriority w:val="0"/>
    <w:pPr>
      <w:widowControl w:val="0"/>
      <w:autoSpaceDE w:val="0"/>
      <w:autoSpaceDN w:val="0"/>
      <w:adjustRightInd w:val="0"/>
    </w:pPr>
    <w:rPr>
      <w:rFonts w:ascii="仿宋" w:eastAsia="仿宋" w:cs="仿宋" w:hAnsiTheme="minorHAnsi"/>
      <w:color w:val="000000"/>
      <w:sz w:val="24"/>
      <w:szCs w:val="24"/>
      <w:lang w:val="en-US" w:eastAsia="zh-CN" w:bidi="ar-SA"/>
    </w:rPr>
  </w:style>
  <w:style w:type="character" w:customStyle="1" w:styleId="299">
    <w:name w:val="Default Char"/>
    <w:link w:val="298"/>
    <w:qFormat/>
    <w:uiPriority w:val="0"/>
    <w:rPr>
      <w:rFonts w:ascii="仿宋" w:eastAsia="仿宋" w:cs="仿宋" w:hAnsiTheme="minorHAnsi"/>
      <w:color w:val="000000"/>
      <w:sz w:val="24"/>
      <w:szCs w:val="24"/>
    </w:rPr>
  </w:style>
  <w:style w:type="paragraph" w:customStyle="1" w:styleId="300">
    <w:name w:val="nomal正文5号"/>
    <w:basedOn w:val="1"/>
    <w:link w:val="301"/>
    <w:qFormat/>
    <w:uiPriority w:val="0"/>
    <w:pPr>
      <w:widowControl/>
      <w:ind w:firstLine="200"/>
      <w:jc w:val="left"/>
    </w:pPr>
    <w:rPr>
      <w:rFonts w:ascii="Times" w:hAnsi="Times" w:cs="Times"/>
      <w:color w:val="080808"/>
      <w:kern w:val="0"/>
      <w:szCs w:val="21"/>
    </w:rPr>
  </w:style>
  <w:style w:type="character" w:customStyle="1" w:styleId="301">
    <w:name w:val="nomal正文5号 Char"/>
    <w:basedOn w:val="63"/>
    <w:link w:val="300"/>
    <w:qFormat/>
    <w:uiPriority w:val="0"/>
    <w:rPr>
      <w:rFonts w:ascii="Times" w:hAnsi="Times" w:cs="Times"/>
      <w:color w:val="080808"/>
      <w:sz w:val="24"/>
      <w:szCs w:val="21"/>
    </w:rPr>
  </w:style>
  <w:style w:type="paragraph" w:customStyle="1" w:styleId="302">
    <w:name w:val="正文缩进2字符"/>
    <w:basedOn w:val="1"/>
    <w:link w:val="303"/>
    <w:qFormat/>
    <w:uiPriority w:val="0"/>
    <w:pPr>
      <w:widowControl/>
      <w:jc w:val="left"/>
    </w:pPr>
    <w:rPr>
      <w:rFonts w:ascii="Times New Roman" w:hAnsi="Times New Roman"/>
      <w:kern w:val="0"/>
    </w:rPr>
  </w:style>
  <w:style w:type="character" w:customStyle="1" w:styleId="303">
    <w:name w:val="正文缩进2字符 Char"/>
    <w:link w:val="302"/>
    <w:qFormat/>
    <w:uiPriority w:val="0"/>
    <w:rPr>
      <w:sz w:val="24"/>
      <w:szCs w:val="24"/>
    </w:rPr>
  </w:style>
  <w:style w:type="character" w:customStyle="1" w:styleId="304">
    <w:name w:val="正文文本缩进 2 Char1"/>
    <w:qFormat/>
    <w:uiPriority w:val="0"/>
    <w:rPr>
      <w:kern w:val="2"/>
      <w:sz w:val="21"/>
      <w:szCs w:val="24"/>
    </w:rPr>
  </w:style>
  <w:style w:type="paragraph" w:customStyle="1" w:styleId="305">
    <w:name w:val="样式 小四 行距: 1.5 倍行距"/>
    <w:basedOn w:val="1"/>
    <w:qFormat/>
    <w:uiPriority w:val="0"/>
    <w:pPr>
      <w:widowControl/>
      <w:tabs>
        <w:tab w:val="left" w:pos="720"/>
      </w:tabs>
      <w:ind w:left="720" w:hanging="720" w:firstLineChars="0"/>
      <w:jc w:val="left"/>
    </w:pPr>
    <w:rPr>
      <w:rFonts w:ascii="Times New Roman" w:hAnsi="Times New Roman"/>
      <w:kern w:val="0"/>
      <w:szCs w:val="20"/>
      <w:lang w:val="zh-CN"/>
    </w:rPr>
  </w:style>
  <w:style w:type="paragraph" w:customStyle="1" w:styleId="306">
    <w:name w:val="Char Char Char Char Char Char Char"/>
    <w:basedOn w:val="1"/>
    <w:qFormat/>
    <w:uiPriority w:val="0"/>
    <w:pPr>
      <w:widowControl/>
      <w:spacing w:after="160" w:line="240" w:lineRule="exact"/>
      <w:ind w:firstLine="0" w:firstLineChars="0"/>
      <w:jc w:val="left"/>
    </w:pPr>
    <w:rPr>
      <w:rFonts w:ascii="Arial" w:hAnsi="Arial" w:eastAsia="Times New Roman" w:cs="Verdana"/>
      <w:b/>
      <w:kern w:val="0"/>
      <w:lang w:eastAsia="en-US"/>
    </w:rPr>
  </w:style>
  <w:style w:type="paragraph" w:customStyle="1" w:styleId="307">
    <w:name w:val="样式 标题 2 + 段前: 0.5 行"/>
    <w:basedOn w:val="3"/>
    <w:qFormat/>
    <w:uiPriority w:val="0"/>
    <w:pPr>
      <w:widowControl/>
      <w:numPr>
        <w:ilvl w:val="0"/>
        <w:numId w:val="0"/>
      </w:numPr>
      <w:tabs>
        <w:tab w:val="left" w:pos="576"/>
        <w:tab w:val="left" w:pos="992"/>
      </w:tabs>
      <w:snapToGrid w:val="0"/>
      <w:spacing w:before="260" w:beforeLines="50" w:after="0" w:line="415" w:lineRule="auto"/>
      <w:ind w:left="992" w:hanging="567"/>
      <w:jc w:val="left"/>
    </w:pPr>
    <w:rPr>
      <w:rFonts w:ascii="Arial" w:hAnsi="Arial" w:eastAsia="黑体" w:cs="Arial"/>
      <w:b w:val="0"/>
      <w:bCs w:val="0"/>
      <w:kern w:val="0"/>
      <w:szCs w:val="30"/>
      <w:lang w:val="zh-CN"/>
    </w:rPr>
  </w:style>
  <w:style w:type="paragraph" w:customStyle="1" w:styleId="308">
    <w:name w:val="ECS正文1"/>
    <w:basedOn w:val="1"/>
    <w:qFormat/>
    <w:uiPriority w:val="0"/>
    <w:pPr>
      <w:widowControl/>
      <w:adjustRightInd w:val="0"/>
      <w:snapToGrid w:val="0"/>
      <w:ind w:firstLine="0" w:firstLineChars="0"/>
      <w:jc w:val="left"/>
    </w:pPr>
    <w:rPr>
      <w:kern w:val="0"/>
      <w:szCs w:val="20"/>
    </w:rPr>
  </w:style>
  <w:style w:type="paragraph" w:customStyle="1" w:styleId="309">
    <w:name w:val="样式 小四 段前: 1.55 磅 段后: 1.55 磅 行距: 1.5 倍行距"/>
    <w:basedOn w:val="1"/>
    <w:qFormat/>
    <w:uiPriority w:val="0"/>
    <w:pPr>
      <w:widowControl/>
      <w:spacing w:before="31" w:after="31"/>
      <w:ind w:firstLine="0" w:firstLineChars="0"/>
      <w:jc w:val="left"/>
    </w:pPr>
    <w:rPr>
      <w:rFonts w:ascii="Times New Roman" w:hAnsi="Times New Roman"/>
      <w:kern w:val="0"/>
      <w:sz w:val="28"/>
      <w:szCs w:val="20"/>
    </w:rPr>
  </w:style>
  <w:style w:type="paragraph" w:customStyle="1" w:styleId="310">
    <w:name w:val="表正文"/>
    <w:basedOn w:val="1"/>
    <w:qFormat/>
    <w:uiPriority w:val="0"/>
    <w:pPr>
      <w:widowControl/>
      <w:spacing w:line="240" w:lineRule="auto"/>
      <w:ind w:firstLine="0" w:firstLineChars="0"/>
      <w:jc w:val="left"/>
    </w:pPr>
    <w:rPr>
      <w:rFonts w:hAnsi="Courier New" w:cs="宋体"/>
      <w:kern w:val="0"/>
      <w:szCs w:val="21"/>
    </w:rPr>
  </w:style>
  <w:style w:type="character" w:customStyle="1" w:styleId="311">
    <w:name w:val="样式 仿宋_GB2312"/>
    <w:qFormat/>
    <w:uiPriority w:val="0"/>
    <w:rPr>
      <w:rFonts w:ascii="仿宋_GB2312" w:eastAsia="仿宋_GB2312" w:cs="Times New Roman"/>
      <w:sz w:val="30"/>
      <w:szCs w:val="30"/>
    </w:rPr>
  </w:style>
  <w:style w:type="character" w:customStyle="1" w:styleId="312">
    <w:name w:val="论文正文 Char Char"/>
    <w:link w:val="313"/>
    <w:qFormat/>
    <w:uiPriority w:val="0"/>
    <w:rPr>
      <w:sz w:val="24"/>
    </w:rPr>
  </w:style>
  <w:style w:type="paragraph" w:customStyle="1" w:styleId="313">
    <w:name w:val="论文正文"/>
    <w:basedOn w:val="1"/>
    <w:link w:val="312"/>
    <w:qFormat/>
    <w:uiPriority w:val="0"/>
    <w:pPr>
      <w:widowControl/>
      <w:adjustRightInd w:val="0"/>
      <w:spacing w:line="300" w:lineRule="auto"/>
      <w:ind w:firstLine="420" w:firstLineChars="0"/>
      <w:jc w:val="left"/>
    </w:pPr>
    <w:rPr>
      <w:rFonts w:ascii="Times New Roman" w:hAnsi="Times New Roman"/>
      <w:kern w:val="0"/>
      <w:szCs w:val="20"/>
    </w:rPr>
  </w:style>
  <w:style w:type="paragraph" w:customStyle="1" w:styleId="314">
    <w:name w:val="正文＋小四＋缩进2字符"/>
    <w:basedOn w:val="1"/>
    <w:qFormat/>
    <w:uiPriority w:val="0"/>
    <w:pPr>
      <w:widowControl/>
      <w:ind w:firstLine="200"/>
      <w:jc w:val="left"/>
    </w:pPr>
    <w:rPr>
      <w:rFonts w:ascii="Times New Roman" w:hAnsi="Times New Roman"/>
      <w:kern w:val="0"/>
    </w:rPr>
  </w:style>
  <w:style w:type="paragraph" w:customStyle="1" w:styleId="315">
    <w:name w:val="样式 标题 4 + 段前: 0.5 行 段后: 0.5 行"/>
    <w:basedOn w:val="5"/>
    <w:qFormat/>
    <w:uiPriority w:val="99"/>
    <w:pPr>
      <w:widowControl/>
      <w:numPr>
        <w:ilvl w:val="0"/>
        <w:numId w:val="0"/>
      </w:numPr>
      <w:tabs>
        <w:tab w:val="left" w:pos="1574"/>
      </w:tabs>
      <w:adjustRightInd w:val="0"/>
      <w:snapToGrid w:val="0"/>
      <w:spacing w:before="240" w:beforeLines="50" w:after="0" w:line="376" w:lineRule="auto"/>
      <w:ind w:left="1574" w:right="100" w:rightChars="100" w:hanging="864"/>
      <w:jc w:val="left"/>
    </w:pPr>
    <w:rPr>
      <w:rFonts w:ascii="Arial" w:hAnsi="Arial" w:cs="宋体" w:eastAsiaTheme="minorEastAsia"/>
      <w:b w:val="0"/>
      <w:bCs w:val="0"/>
      <w:kern w:val="0"/>
      <w:sz w:val="28"/>
      <w:szCs w:val="20"/>
      <w:lang w:val="zh-CN"/>
    </w:rPr>
  </w:style>
  <w:style w:type="paragraph" w:customStyle="1" w:styleId="316">
    <w:name w:val="样式 (西文) Times New Roman 四号 段后: 6 磅 行距: 固定值 20 磅"/>
    <w:basedOn w:val="1"/>
    <w:qFormat/>
    <w:uiPriority w:val="0"/>
    <w:pPr>
      <w:widowControl/>
      <w:spacing w:beforeLines="50" w:afterLines="50"/>
      <w:ind w:firstLine="0" w:firstLineChars="0"/>
      <w:jc w:val="left"/>
    </w:pPr>
    <w:rPr>
      <w:rFonts w:ascii="Times New Roman" w:hAnsi="Times New Roman" w:cs="宋体"/>
      <w:kern w:val="0"/>
      <w:sz w:val="28"/>
      <w:szCs w:val="20"/>
    </w:rPr>
  </w:style>
  <w:style w:type="paragraph" w:customStyle="1" w:styleId="317">
    <w:name w:val="项目 1"/>
    <w:qFormat/>
    <w:uiPriority w:val="0"/>
    <w:pPr>
      <w:numPr>
        <w:ilvl w:val="0"/>
        <w:numId w:val="12"/>
      </w:numPr>
      <w:spacing w:line="360" w:lineRule="auto"/>
    </w:pPr>
    <w:rPr>
      <w:rFonts w:ascii="Arial" w:hAnsi="Arial" w:eastAsia="宋体" w:cs="Times New Roman"/>
      <w:b/>
      <w:snapToGrid w:val="0"/>
      <w:sz w:val="24"/>
      <w:szCs w:val="21"/>
      <w:lang w:val="en-US" w:eastAsia="zh-CN" w:bidi="ar-SA"/>
    </w:rPr>
  </w:style>
  <w:style w:type="paragraph" w:customStyle="1" w:styleId="318">
    <w:name w:val="附录标识"/>
    <w:basedOn w:val="1"/>
    <w:qFormat/>
    <w:uiPriority w:val="0"/>
    <w:pPr>
      <w:widowControl/>
      <w:numPr>
        <w:ilvl w:val="0"/>
        <w:numId w:val="13"/>
      </w:numPr>
      <w:shd w:val="clear" w:color="FFFFFF" w:fill="FFFFFF"/>
      <w:tabs>
        <w:tab w:val="left" w:pos="6405"/>
      </w:tabs>
      <w:spacing w:beforeLines="50" w:afterLines="50" w:line="240" w:lineRule="auto"/>
      <w:ind w:firstLineChars="0"/>
      <w:jc w:val="center"/>
      <w:outlineLvl w:val="0"/>
    </w:pPr>
    <w:rPr>
      <w:rFonts w:ascii="黑体" w:hAnsi="Calibri" w:eastAsia="黑体"/>
      <w:kern w:val="0"/>
      <w:sz w:val="28"/>
    </w:rPr>
  </w:style>
  <w:style w:type="paragraph" w:customStyle="1" w:styleId="319">
    <w:name w:val="样式 首行缩进:  1.5 字符"/>
    <w:basedOn w:val="1"/>
    <w:qFormat/>
    <w:uiPriority w:val="0"/>
    <w:pPr>
      <w:widowControl/>
      <w:jc w:val="center"/>
    </w:pPr>
    <w:rPr>
      <w:kern w:val="0"/>
    </w:rPr>
  </w:style>
  <w:style w:type="paragraph" w:customStyle="1" w:styleId="320">
    <w:name w:val="样式 标题 4 + 左侧:  0.37 厘米 右侧:  0.37 厘米"/>
    <w:basedOn w:val="5"/>
    <w:qFormat/>
    <w:uiPriority w:val="0"/>
    <w:pPr>
      <w:widowControl/>
      <w:numPr>
        <w:numId w:val="14"/>
      </w:numPr>
      <w:tabs>
        <w:tab w:val="left" w:pos="210"/>
        <w:tab w:val="left" w:pos="2141"/>
      </w:tabs>
      <w:spacing w:before="60" w:after="60"/>
      <w:ind w:right="210" w:rightChars="100"/>
      <w:jc w:val="left"/>
    </w:pPr>
    <w:rPr>
      <w:rFonts w:ascii="Times New Roman" w:hAnsi="Times New Roman" w:cs="宋体"/>
      <w:kern w:val="0"/>
      <w:sz w:val="24"/>
      <w:szCs w:val="20"/>
      <w:lang w:val="zh-CN"/>
    </w:rPr>
  </w:style>
  <w:style w:type="paragraph" w:customStyle="1" w:styleId="321">
    <w:name w:val="样式 标题 2 + (符号) Times New Roman 两端对齐 段前: 13 磅 段后: 6 磅 行距: 多倍行..."/>
    <w:basedOn w:val="1"/>
    <w:qFormat/>
    <w:uiPriority w:val="0"/>
    <w:pPr>
      <w:widowControl/>
      <w:numPr>
        <w:ilvl w:val="1"/>
        <w:numId w:val="14"/>
      </w:numPr>
      <w:spacing w:line="240" w:lineRule="auto"/>
      <w:ind w:firstLineChars="0"/>
      <w:jc w:val="left"/>
    </w:pPr>
    <w:rPr>
      <w:rFonts w:ascii="Times New Roman" w:hAnsi="Times New Roman"/>
      <w:kern w:val="0"/>
    </w:rPr>
  </w:style>
  <w:style w:type="paragraph" w:customStyle="1" w:styleId="322">
    <w:name w:val="样式 正文首行缩进 2 + 首行缩进:  2 字符 段后: 0.5 行"/>
    <w:basedOn w:val="58"/>
    <w:qFormat/>
    <w:uiPriority w:val="0"/>
    <w:pPr>
      <w:spacing w:after="156"/>
      <w:ind w:firstLine="480"/>
    </w:pPr>
    <w:rPr>
      <w:rFonts w:cs="宋体"/>
      <w:szCs w:val="20"/>
    </w:rPr>
  </w:style>
  <w:style w:type="paragraph" w:customStyle="1" w:styleId="323">
    <w:name w:val="封面-扉页文本"/>
    <w:qFormat/>
    <w:uiPriority w:val="0"/>
    <w:pPr>
      <w:jc w:val="center"/>
    </w:pPr>
    <w:rPr>
      <w:rFonts w:ascii="宋体" w:hAnsi="Times New Roman" w:eastAsia="宋体" w:cs="Times New Roman"/>
      <w:kern w:val="2"/>
      <w:sz w:val="32"/>
      <w:szCs w:val="28"/>
      <w:lang w:val="en-US" w:eastAsia="zh-CN" w:bidi="ar-SA"/>
    </w:rPr>
  </w:style>
  <w:style w:type="character" w:customStyle="1" w:styleId="324">
    <w:name w:val="Char Char10"/>
    <w:qFormat/>
    <w:uiPriority w:val="0"/>
    <w:rPr>
      <w:sz w:val="18"/>
      <w:szCs w:val="18"/>
    </w:rPr>
  </w:style>
  <w:style w:type="paragraph" w:customStyle="1" w:styleId="325">
    <w:name w:val="TOC 标题3"/>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lang w:val="zh-CN"/>
    </w:rPr>
  </w:style>
  <w:style w:type="paragraph" w:customStyle="1" w:styleId="326">
    <w:name w:val="样式 文本样式 + Arial 段后: 0.5 行"/>
    <w:basedOn w:val="1"/>
    <w:link w:val="327"/>
    <w:qFormat/>
    <w:uiPriority w:val="0"/>
    <w:pPr>
      <w:widowControl/>
      <w:adjustRightInd w:val="0"/>
      <w:spacing w:afterLines="50"/>
      <w:ind w:firstLine="560"/>
      <w:jc w:val="left"/>
      <w:textAlignment w:val="baseline"/>
    </w:pPr>
    <w:rPr>
      <w:rFonts w:ascii="Arial" w:hAnsi="Arial"/>
      <w:kern w:val="0"/>
      <w:sz w:val="28"/>
      <w:szCs w:val="20"/>
      <w:lang w:val="zh-CN"/>
    </w:rPr>
  </w:style>
  <w:style w:type="character" w:customStyle="1" w:styleId="327">
    <w:name w:val="样式 文本样式 + Arial 段后: 0.5 行 Char"/>
    <w:link w:val="326"/>
    <w:qFormat/>
    <w:uiPriority w:val="0"/>
    <w:rPr>
      <w:rFonts w:ascii="Arial" w:hAnsi="Arial"/>
      <w:sz w:val="28"/>
      <w:lang w:val="zh-CN"/>
    </w:rPr>
  </w:style>
  <w:style w:type="paragraph" w:customStyle="1" w:styleId="328">
    <w:name w:val="列项——（一级）"/>
    <w:qFormat/>
    <w:uiPriority w:val="0"/>
    <w:pPr>
      <w:widowControl w:val="0"/>
      <w:ind w:left="833" w:hanging="408"/>
      <w:jc w:val="both"/>
    </w:pPr>
    <w:rPr>
      <w:rFonts w:ascii="宋体" w:hAnsi="Times New Roman" w:eastAsia="宋体" w:cs="Times New Roman"/>
      <w:sz w:val="22"/>
      <w:lang w:val="en-US" w:eastAsia="zh-CN" w:bidi="ar-SA"/>
    </w:rPr>
  </w:style>
  <w:style w:type="paragraph" w:customStyle="1" w:styleId="329">
    <w:name w:val="列项◆（三级）"/>
    <w:basedOn w:val="1"/>
    <w:qFormat/>
    <w:uiPriority w:val="0"/>
    <w:pPr>
      <w:widowControl/>
      <w:tabs>
        <w:tab w:val="left" w:pos="1678"/>
      </w:tabs>
      <w:spacing w:beforeLines="50" w:line="300" w:lineRule="auto"/>
      <w:ind w:left="1678" w:hanging="414" w:firstLineChars="0"/>
      <w:jc w:val="left"/>
    </w:pPr>
    <w:rPr>
      <w:rFonts w:hAnsi="Times New Roman"/>
      <w:kern w:val="0"/>
      <w:szCs w:val="21"/>
    </w:rPr>
  </w:style>
  <w:style w:type="paragraph" w:styleId="330">
    <w:name w:val="No Spacing"/>
    <w:basedOn w:val="1"/>
    <w:link w:val="331"/>
    <w:qFormat/>
    <w:uiPriority w:val="99"/>
    <w:pPr>
      <w:widowControl/>
      <w:spacing w:beforeLines="50" w:line="300" w:lineRule="auto"/>
      <w:ind w:firstLine="0" w:firstLineChars="0"/>
      <w:jc w:val="left"/>
    </w:pPr>
    <w:rPr>
      <w:rFonts w:ascii="Calibri" w:hAnsi="Calibri"/>
      <w:kern w:val="0"/>
      <w:szCs w:val="32"/>
      <w:lang w:val="zh-CN"/>
    </w:rPr>
  </w:style>
  <w:style w:type="character" w:customStyle="1" w:styleId="331">
    <w:name w:val="无间隔 字符"/>
    <w:link w:val="330"/>
    <w:qFormat/>
    <w:uiPriority w:val="99"/>
    <w:rPr>
      <w:rFonts w:ascii="Calibri" w:hAnsi="Calibri"/>
      <w:sz w:val="24"/>
      <w:szCs w:val="32"/>
      <w:lang w:val="zh-CN"/>
    </w:rPr>
  </w:style>
  <w:style w:type="paragraph" w:styleId="332">
    <w:name w:val="Quote"/>
    <w:basedOn w:val="1"/>
    <w:next w:val="1"/>
    <w:link w:val="333"/>
    <w:qFormat/>
    <w:uiPriority w:val="0"/>
    <w:pPr>
      <w:widowControl/>
      <w:spacing w:beforeLines="50" w:line="300" w:lineRule="auto"/>
      <w:ind w:firstLine="0" w:firstLineChars="0"/>
      <w:jc w:val="left"/>
    </w:pPr>
    <w:rPr>
      <w:rFonts w:ascii="Calibri" w:hAnsi="Calibri"/>
      <w:i/>
      <w:kern w:val="0"/>
      <w:lang w:val="zh-CN"/>
    </w:rPr>
  </w:style>
  <w:style w:type="character" w:customStyle="1" w:styleId="333">
    <w:name w:val="引用 字符"/>
    <w:basedOn w:val="63"/>
    <w:link w:val="332"/>
    <w:qFormat/>
    <w:uiPriority w:val="0"/>
    <w:rPr>
      <w:rFonts w:ascii="Calibri" w:hAnsi="Calibri"/>
      <w:i/>
      <w:sz w:val="24"/>
      <w:szCs w:val="24"/>
      <w:lang w:val="zh-CN"/>
    </w:rPr>
  </w:style>
  <w:style w:type="paragraph" w:styleId="334">
    <w:name w:val="Intense Quote"/>
    <w:basedOn w:val="1"/>
    <w:next w:val="1"/>
    <w:link w:val="335"/>
    <w:qFormat/>
    <w:uiPriority w:val="0"/>
    <w:pPr>
      <w:widowControl/>
      <w:spacing w:beforeLines="50" w:line="300" w:lineRule="auto"/>
      <w:ind w:left="720" w:right="720" w:firstLine="0" w:firstLineChars="0"/>
      <w:jc w:val="left"/>
    </w:pPr>
    <w:rPr>
      <w:rFonts w:ascii="Calibri" w:hAnsi="Calibri"/>
      <w:b/>
      <w:i/>
      <w:kern w:val="0"/>
      <w:szCs w:val="20"/>
      <w:lang w:val="zh-CN"/>
    </w:rPr>
  </w:style>
  <w:style w:type="character" w:customStyle="1" w:styleId="335">
    <w:name w:val="明显引用 字符"/>
    <w:basedOn w:val="63"/>
    <w:link w:val="334"/>
    <w:qFormat/>
    <w:uiPriority w:val="0"/>
    <w:rPr>
      <w:rFonts w:ascii="Calibri" w:hAnsi="Calibri"/>
      <w:b/>
      <w:i/>
      <w:sz w:val="24"/>
      <w:lang w:val="zh-CN"/>
    </w:rPr>
  </w:style>
  <w:style w:type="character" w:customStyle="1" w:styleId="336">
    <w:name w:val="不明显强调1"/>
    <w:qFormat/>
    <w:uiPriority w:val="19"/>
    <w:rPr>
      <w:i/>
      <w:color w:val="5A5A5A"/>
    </w:rPr>
  </w:style>
  <w:style w:type="character" w:customStyle="1" w:styleId="337">
    <w:name w:val="明显强调1"/>
    <w:qFormat/>
    <w:uiPriority w:val="0"/>
    <w:rPr>
      <w:b/>
      <w:i/>
      <w:sz w:val="24"/>
      <w:szCs w:val="24"/>
      <w:u w:val="single"/>
    </w:rPr>
  </w:style>
  <w:style w:type="character" w:customStyle="1" w:styleId="338">
    <w:name w:val="不明显参考1"/>
    <w:qFormat/>
    <w:uiPriority w:val="0"/>
    <w:rPr>
      <w:sz w:val="24"/>
      <w:szCs w:val="24"/>
      <w:u w:val="single"/>
    </w:rPr>
  </w:style>
  <w:style w:type="character" w:customStyle="1" w:styleId="339">
    <w:name w:val="明显参考1"/>
    <w:qFormat/>
    <w:uiPriority w:val="0"/>
    <w:rPr>
      <w:b/>
      <w:sz w:val="24"/>
      <w:u w:val="single"/>
    </w:rPr>
  </w:style>
  <w:style w:type="character" w:customStyle="1" w:styleId="340">
    <w:name w:val="书籍标题1"/>
    <w:qFormat/>
    <w:uiPriority w:val="0"/>
    <w:rPr>
      <w:rFonts w:ascii="Cambria" w:hAnsi="Cambria" w:eastAsia="宋体"/>
      <w:b/>
      <w:i/>
      <w:sz w:val="24"/>
      <w:szCs w:val="24"/>
    </w:rPr>
  </w:style>
  <w:style w:type="paragraph" w:customStyle="1" w:styleId="341">
    <w:name w:val="评估结论"/>
    <w:basedOn w:val="91"/>
    <w:link w:val="342"/>
    <w:qFormat/>
    <w:uiPriority w:val="0"/>
    <w:pPr>
      <w:widowControl/>
      <w:spacing w:before="100" w:beforeAutospacing="1" w:after="100" w:afterAutospacing="1"/>
      <w:ind w:firstLine="0" w:firstLineChars="0"/>
      <w:jc w:val="left"/>
    </w:pPr>
    <w:rPr>
      <w:rFonts w:ascii="Arial" w:hAnsi="Arial"/>
      <w:kern w:val="0"/>
      <w:sz w:val="24"/>
      <w:lang w:val="zh-CN"/>
    </w:rPr>
  </w:style>
  <w:style w:type="character" w:customStyle="1" w:styleId="342">
    <w:name w:val="评估结论 Char"/>
    <w:link w:val="341"/>
    <w:qFormat/>
    <w:uiPriority w:val="0"/>
    <w:rPr>
      <w:rFonts w:ascii="Arial" w:hAnsi="Arial"/>
      <w:sz w:val="24"/>
      <w:szCs w:val="24"/>
      <w:lang w:val="zh-CN"/>
    </w:rPr>
  </w:style>
  <w:style w:type="paragraph" w:customStyle="1" w:styleId="343">
    <w:name w:val="一级条标题"/>
    <w:next w:val="1"/>
    <w:qFormat/>
    <w:uiPriority w:val="0"/>
    <w:pPr>
      <w:numPr>
        <w:ilvl w:val="1"/>
        <w:numId w:val="15"/>
      </w:numPr>
      <w:spacing w:beforeLines="50" w:afterLines="50"/>
      <w:ind w:left="284"/>
      <w:outlineLvl w:val="2"/>
    </w:pPr>
    <w:rPr>
      <w:rFonts w:ascii="黑体" w:hAnsi="Times New Roman" w:eastAsia="黑体" w:cs="Times New Roman"/>
      <w:sz w:val="21"/>
      <w:szCs w:val="21"/>
      <w:lang w:val="en-US" w:eastAsia="zh-CN" w:bidi="ar-SA"/>
    </w:rPr>
  </w:style>
  <w:style w:type="paragraph" w:customStyle="1" w:styleId="344">
    <w:name w:val="章标题"/>
    <w:next w:val="1"/>
    <w:qFormat/>
    <w:uiPriority w:val="0"/>
    <w:pPr>
      <w:numPr>
        <w:ilvl w:val="2"/>
        <w:numId w:val="15"/>
      </w:numPr>
      <w:spacing w:beforeLines="100" w:afterLines="100"/>
      <w:jc w:val="both"/>
      <w:outlineLvl w:val="1"/>
    </w:pPr>
    <w:rPr>
      <w:rFonts w:ascii="黑体" w:hAnsi="Times New Roman" w:eastAsia="黑体" w:cs="Times New Roman"/>
      <w:sz w:val="21"/>
      <w:lang w:val="en-US" w:eastAsia="zh-CN" w:bidi="ar-SA"/>
    </w:rPr>
  </w:style>
  <w:style w:type="paragraph" w:customStyle="1" w:styleId="345">
    <w:name w:val="二级条标题"/>
    <w:basedOn w:val="343"/>
    <w:next w:val="1"/>
    <w:qFormat/>
    <w:uiPriority w:val="0"/>
    <w:pPr>
      <w:numPr>
        <w:ilvl w:val="3"/>
      </w:numPr>
      <w:ind w:left="0"/>
      <w:outlineLvl w:val="3"/>
    </w:pPr>
  </w:style>
  <w:style w:type="paragraph" w:customStyle="1" w:styleId="346">
    <w:name w:val="三级条标题"/>
    <w:basedOn w:val="345"/>
    <w:next w:val="1"/>
    <w:qFormat/>
    <w:uiPriority w:val="0"/>
    <w:pPr>
      <w:numPr>
        <w:ilvl w:val="4"/>
      </w:numPr>
      <w:ind w:left="1680"/>
      <w:outlineLvl w:val="4"/>
    </w:pPr>
  </w:style>
  <w:style w:type="paragraph" w:customStyle="1" w:styleId="347">
    <w:name w:val="四级条标题"/>
    <w:basedOn w:val="346"/>
    <w:next w:val="1"/>
    <w:qFormat/>
    <w:uiPriority w:val="0"/>
    <w:pPr>
      <w:numPr>
        <w:ilvl w:val="5"/>
      </w:numPr>
      <w:outlineLvl w:val="5"/>
    </w:pPr>
  </w:style>
  <w:style w:type="paragraph" w:customStyle="1" w:styleId="348">
    <w:name w:val="五级条标题"/>
    <w:basedOn w:val="347"/>
    <w:next w:val="1"/>
    <w:qFormat/>
    <w:uiPriority w:val="0"/>
    <w:pPr>
      <w:outlineLvl w:val="6"/>
    </w:pPr>
  </w:style>
  <w:style w:type="paragraph" w:customStyle="1" w:styleId="349">
    <w:name w:val="正文表标题"/>
    <w:next w:val="145"/>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350">
    <w:name w:val="正文图标题"/>
    <w:next w:val="145"/>
    <w:qFormat/>
    <w:uiPriority w:val="0"/>
    <w:pPr>
      <w:numPr>
        <w:ilvl w:val="0"/>
        <w:numId w:val="16"/>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351">
    <w:name w:val="Char"/>
    <w:basedOn w:val="1"/>
    <w:qFormat/>
    <w:uiPriority w:val="0"/>
    <w:pPr>
      <w:widowControl/>
      <w:spacing w:line="240" w:lineRule="auto"/>
      <w:ind w:firstLine="0" w:firstLineChars="0"/>
      <w:jc w:val="left"/>
    </w:pPr>
    <w:rPr>
      <w:rFonts w:ascii="Tahoma" w:hAnsi="Tahoma"/>
      <w:kern w:val="0"/>
      <w:szCs w:val="20"/>
    </w:rPr>
  </w:style>
  <w:style w:type="paragraph" w:customStyle="1" w:styleId="352">
    <w:name w:val="标题19"/>
    <w:basedOn w:val="1"/>
    <w:qFormat/>
    <w:uiPriority w:val="0"/>
    <w:pPr>
      <w:widowControl/>
      <w:ind w:left="-6" w:leftChars="-3" w:firstLine="0" w:firstLineChars="0"/>
      <w:jc w:val="center"/>
    </w:pPr>
    <w:rPr>
      <w:kern w:val="0"/>
    </w:rPr>
  </w:style>
  <w:style w:type="paragraph" w:customStyle="1" w:styleId="353">
    <w:name w:val="样式 标题 511 Char标题 51标题 5 Char1 Char Char Char Char1 Char Ch...2"/>
    <w:basedOn w:val="6"/>
    <w:link w:val="354"/>
    <w:qFormat/>
    <w:uiPriority w:val="0"/>
    <w:pPr>
      <w:keepNext w:val="0"/>
      <w:keepLines w:val="0"/>
      <w:widowControl/>
      <w:numPr>
        <w:ilvl w:val="0"/>
        <w:numId w:val="0"/>
      </w:numPr>
      <w:adjustRightInd w:val="0"/>
      <w:spacing w:before="0" w:after="0"/>
      <w:ind w:left="561"/>
      <w:jc w:val="left"/>
      <w:textAlignment w:val="baseline"/>
    </w:pPr>
    <w:rPr>
      <w:rFonts w:ascii="Arial" w:hAnsi="Arial"/>
      <w:b w:val="0"/>
      <w:bCs w:val="0"/>
      <w:kern w:val="0"/>
      <w:szCs w:val="24"/>
      <w:lang w:val="zh-CN"/>
    </w:rPr>
  </w:style>
  <w:style w:type="character" w:customStyle="1" w:styleId="354">
    <w:name w:val="样式 标题 511 Char标题 51标题 5 Char1 Char Char Char Char1 Char Ch...2 Char"/>
    <w:link w:val="353"/>
    <w:qFormat/>
    <w:uiPriority w:val="0"/>
    <w:rPr>
      <w:rFonts w:ascii="Arial" w:hAnsi="Arial"/>
      <w:sz w:val="24"/>
      <w:szCs w:val="24"/>
      <w:lang w:val="zh-CN"/>
    </w:rPr>
  </w:style>
  <w:style w:type="paragraph" w:customStyle="1" w:styleId="355">
    <w:name w:val="样式 标题 3一style3条(C+F3)Final－标题 3头标题 3 Char Char Char标题 3 ..."/>
    <w:basedOn w:val="4"/>
    <w:qFormat/>
    <w:uiPriority w:val="0"/>
    <w:pPr>
      <w:keepNext w:val="0"/>
      <w:keepLines w:val="0"/>
      <w:widowControl/>
      <w:numPr>
        <w:ilvl w:val="0"/>
        <w:numId w:val="0"/>
      </w:numPr>
      <w:adjustRightInd w:val="0"/>
      <w:spacing w:before="0"/>
      <w:ind w:left="607" w:hanging="607"/>
      <w:jc w:val="left"/>
      <w:textAlignment w:val="baseline"/>
    </w:pPr>
    <w:rPr>
      <w:rFonts w:ascii="Arial" w:hAnsi="Arial" w:eastAsia="黑体"/>
      <w:kern w:val="0"/>
      <w:szCs w:val="21"/>
      <w:lang w:val="zh-CN"/>
    </w:rPr>
  </w:style>
  <w:style w:type="paragraph" w:customStyle="1" w:styleId="356">
    <w:name w:val="CM13"/>
    <w:basedOn w:val="1"/>
    <w:next w:val="1"/>
    <w:qFormat/>
    <w:uiPriority w:val="99"/>
    <w:pPr>
      <w:widowControl/>
      <w:autoSpaceDE w:val="0"/>
      <w:autoSpaceDN w:val="0"/>
      <w:adjustRightInd w:val="0"/>
      <w:spacing w:line="468" w:lineRule="atLeast"/>
      <w:ind w:firstLine="0" w:firstLineChars="0"/>
      <w:jc w:val="left"/>
    </w:pPr>
    <w:rPr>
      <w:rFonts w:hAnsi="Times New Roman"/>
      <w:kern w:val="0"/>
    </w:rPr>
  </w:style>
  <w:style w:type="paragraph" w:customStyle="1" w:styleId="357">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58">
    <w:name w:val="标题 11"/>
    <w:basedOn w:val="1"/>
    <w:next w:val="1"/>
    <w:qFormat/>
    <w:uiPriority w:val="0"/>
    <w:pPr>
      <w:keepNext/>
      <w:keepLines/>
      <w:widowControl/>
      <w:numPr>
        <w:ilvl w:val="0"/>
        <w:numId w:val="17"/>
      </w:numPr>
      <w:spacing w:line="339" w:lineRule="auto"/>
      <w:ind w:firstLine="0" w:firstLineChars="0"/>
      <w:jc w:val="left"/>
      <w:outlineLvl w:val="0"/>
    </w:pPr>
    <w:rPr>
      <w:rFonts w:ascii="Times New Roman" w:hAnsi="Times New Roman"/>
      <w:b/>
      <w:bCs/>
      <w:kern w:val="44"/>
      <w:sz w:val="32"/>
      <w:szCs w:val="44"/>
    </w:rPr>
  </w:style>
  <w:style w:type="paragraph" w:customStyle="1" w:styleId="359">
    <w:name w:val="标题 21"/>
    <w:basedOn w:val="1"/>
    <w:next w:val="1"/>
    <w:unhideWhenUsed/>
    <w:qFormat/>
    <w:uiPriority w:val="0"/>
    <w:pPr>
      <w:keepNext/>
      <w:keepLines/>
      <w:widowControl/>
      <w:numPr>
        <w:ilvl w:val="1"/>
        <w:numId w:val="17"/>
      </w:numPr>
      <w:tabs>
        <w:tab w:val="left" w:pos="425"/>
      </w:tabs>
      <w:spacing w:line="296" w:lineRule="auto"/>
      <w:ind w:firstLine="0" w:firstLineChars="0"/>
      <w:jc w:val="left"/>
      <w:outlineLvl w:val="1"/>
    </w:pPr>
    <w:rPr>
      <w:rFonts w:ascii="Cambria" w:hAnsi="Cambria" w:cs="黑体"/>
      <w:b/>
      <w:bCs/>
      <w:kern w:val="0"/>
      <w:szCs w:val="32"/>
    </w:rPr>
  </w:style>
  <w:style w:type="paragraph" w:customStyle="1" w:styleId="360">
    <w:name w:val="普通(网站)1"/>
    <w:basedOn w:val="1"/>
    <w:unhideWhenUsed/>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361">
    <w:name w:val="标题 31"/>
    <w:basedOn w:val="1"/>
    <w:next w:val="1"/>
    <w:unhideWhenUsed/>
    <w:qFormat/>
    <w:uiPriority w:val="0"/>
    <w:pPr>
      <w:keepNext/>
      <w:keepLines/>
      <w:widowControl/>
      <w:spacing w:line="296" w:lineRule="auto"/>
      <w:ind w:firstLine="0" w:firstLineChars="0"/>
      <w:jc w:val="left"/>
      <w:outlineLvl w:val="2"/>
    </w:pPr>
    <w:rPr>
      <w:rFonts w:ascii="Times New Roman" w:hAnsi="Times New Roman"/>
      <w:b/>
      <w:bCs/>
      <w:kern w:val="0"/>
      <w:szCs w:val="32"/>
    </w:rPr>
  </w:style>
  <w:style w:type="paragraph" w:customStyle="1" w:styleId="362">
    <w:name w:val="样式 正文缩进正文（首行缩进两字）identicationBody text ident 1特点特点 Char水上软..."/>
    <w:basedOn w:val="16"/>
    <w:link w:val="363"/>
    <w:qFormat/>
    <w:uiPriority w:val="0"/>
    <w:pPr>
      <w:widowControl/>
      <w:spacing w:line="312" w:lineRule="auto"/>
      <w:ind w:firstLine="0" w:firstLineChars="0"/>
      <w:jc w:val="left"/>
    </w:pPr>
    <w:rPr>
      <w:rFonts w:ascii="Times New Roman" w:hAnsi="Times New Roman"/>
      <w:kern w:val="0"/>
      <w:sz w:val="24"/>
      <w:szCs w:val="20"/>
      <w:lang w:val="zh-CN"/>
    </w:rPr>
  </w:style>
  <w:style w:type="character" w:customStyle="1" w:styleId="363">
    <w:name w:val="样式 正文缩进正文（首行缩进两字）identicationBody text ident 1特点特点 Char水上软... Char"/>
    <w:link w:val="362"/>
    <w:qFormat/>
    <w:uiPriority w:val="0"/>
    <w:rPr>
      <w:sz w:val="24"/>
      <w:lang w:val="zh-CN"/>
    </w:rPr>
  </w:style>
  <w:style w:type="paragraph" w:customStyle="1" w:styleId="364">
    <w:name w:val="样式 正文缩进正文（首行缩进两字）identicationBody text ident 1特点特点 Char水上软...1"/>
    <w:basedOn w:val="16"/>
    <w:link w:val="365"/>
    <w:qFormat/>
    <w:uiPriority w:val="0"/>
    <w:pPr>
      <w:widowControl/>
      <w:spacing w:line="312" w:lineRule="auto"/>
      <w:ind w:firstLine="0" w:firstLineChars="0"/>
      <w:jc w:val="left"/>
    </w:pPr>
    <w:rPr>
      <w:rFonts w:ascii="Times New Roman" w:hAnsi="Times New Roman"/>
      <w:kern w:val="0"/>
      <w:sz w:val="24"/>
      <w:szCs w:val="20"/>
      <w:lang w:val="zh-CN"/>
    </w:rPr>
  </w:style>
  <w:style w:type="character" w:customStyle="1" w:styleId="365">
    <w:name w:val="样式 正文缩进正文（首行缩进两字）identicationBody text ident 1特点特点 Char水上软...1 Char"/>
    <w:link w:val="364"/>
    <w:qFormat/>
    <w:uiPriority w:val="0"/>
    <w:rPr>
      <w:sz w:val="24"/>
      <w:lang w:val="zh-CN"/>
    </w:rPr>
  </w:style>
  <w:style w:type="character" w:customStyle="1" w:styleId="366">
    <w:name w:val="Char Char13"/>
    <w:qFormat/>
    <w:uiPriority w:val="0"/>
    <w:rPr>
      <w:rFonts w:eastAsia="宋体"/>
      <w:b/>
      <w:bCs/>
      <w:kern w:val="2"/>
      <w:sz w:val="24"/>
      <w:szCs w:val="28"/>
      <w:lang w:val="en-US" w:eastAsia="zh-CN" w:bidi="ar-SA"/>
    </w:rPr>
  </w:style>
  <w:style w:type="character" w:customStyle="1" w:styleId="367">
    <w:name w:val="Char Char14"/>
    <w:qFormat/>
    <w:uiPriority w:val="0"/>
    <w:rPr>
      <w:rFonts w:eastAsia="宋体"/>
      <w:b/>
      <w:bCs/>
      <w:kern w:val="2"/>
      <w:sz w:val="24"/>
      <w:szCs w:val="28"/>
      <w:lang w:val="en-US" w:eastAsia="zh-CN" w:bidi="ar-SA"/>
    </w:rPr>
  </w:style>
  <w:style w:type="paragraph" w:customStyle="1" w:styleId="368">
    <w:name w:val="样式 首行缩进:  2.25 字符"/>
    <w:basedOn w:val="1"/>
    <w:qFormat/>
    <w:uiPriority w:val="0"/>
    <w:pPr>
      <w:widowControl/>
      <w:snapToGrid w:val="0"/>
      <w:ind w:firstLine="225" w:firstLineChars="225"/>
      <w:jc w:val="left"/>
    </w:pPr>
    <w:rPr>
      <w:rFonts w:ascii="Calibri" w:hAnsi="Calibri" w:cs="宋体"/>
      <w:kern w:val="0"/>
      <w:sz w:val="28"/>
      <w:szCs w:val="20"/>
    </w:rPr>
  </w:style>
  <w:style w:type="paragraph" w:customStyle="1" w:styleId="369">
    <w:name w:val="标题 2h2sect"/>
    <w:next w:val="1"/>
    <w:qFormat/>
    <w:uiPriority w:val="0"/>
    <w:pPr>
      <w:numPr>
        <w:ilvl w:val="0"/>
        <w:numId w:val="18"/>
      </w:numPr>
      <w:spacing w:before="120" w:after="120" w:line="360" w:lineRule="auto"/>
    </w:pPr>
    <w:rPr>
      <w:rFonts w:ascii="Times New Roman" w:hAnsi="宋体" w:eastAsia="宋体" w:cs="宋体"/>
      <w:b/>
      <w:bCs/>
      <w:color w:val="000000"/>
      <w:kern w:val="2"/>
      <w:sz w:val="30"/>
      <w:szCs w:val="30"/>
      <w:lang w:val="en-US" w:eastAsia="zh-CN" w:bidi="ar-SA"/>
    </w:rPr>
  </w:style>
  <w:style w:type="paragraph" w:customStyle="1" w:styleId="370">
    <w:name w:val="表格文字"/>
    <w:basedOn w:val="1"/>
    <w:qFormat/>
    <w:uiPriority w:val="0"/>
    <w:pPr>
      <w:widowControl/>
      <w:spacing w:line="240" w:lineRule="auto"/>
      <w:ind w:firstLine="0" w:firstLineChars="0"/>
      <w:jc w:val="left"/>
    </w:pPr>
    <w:rPr>
      <w:rFonts w:cs="宋体"/>
      <w:kern w:val="0"/>
      <w:sz w:val="18"/>
      <w:szCs w:val="18"/>
    </w:rPr>
  </w:style>
  <w:style w:type="paragraph" w:customStyle="1" w:styleId="371">
    <w:name w:val="MM Topic 1"/>
    <w:basedOn w:val="2"/>
    <w:next w:val="1"/>
    <w:link w:val="372"/>
    <w:qFormat/>
    <w:uiPriority w:val="0"/>
    <w:pPr>
      <w:widowControl/>
      <w:numPr>
        <w:numId w:val="19"/>
      </w:numPr>
      <w:spacing w:before="340" w:after="330" w:line="578" w:lineRule="auto"/>
    </w:pPr>
    <w:rPr>
      <w:rFonts w:ascii="Calibri" w:hAnsi="Calibri" w:eastAsia="宋体"/>
      <w:b w:val="0"/>
      <w:sz w:val="28"/>
      <w:szCs w:val="44"/>
      <w:lang w:val="zh-CN"/>
    </w:rPr>
  </w:style>
  <w:style w:type="character" w:customStyle="1" w:styleId="372">
    <w:name w:val="MM Topic 1 Char"/>
    <w:basedOn w:val="63"/>
    <w:link w:val="371"/>
    <w:qFormat/>
    <w:uiPriority w:val="0"/>
    <w:rPr>
      <w:rFonts w:ascii="Calibri" w:hAnsi="Calibri"/>
      <w:bCs/>
      <w:kern w:val="44"/>
      <w:sz w:val="28"/>
      <w:szCs w:val="44"/>
      <w:lang w:val="zh-CN"/>
    </w:rPr>
  </w:style>
  <w:style w:type="paragraph" w:customStyle="1" w:styleId="373">
    <w:name w:val="MM Topic 2"/>
    <w:basedOn w:val="3"/>
    <w:next w:val="1"/>
    <w:link w:val="374"/>
    <w:qFormat/>
    <w:uiPriority w:val="0"/>
    <w:pPr>
      <w:widowControl/>
      <w:numPr>
        <w:numId w:val="19"/>
      </w:numPr>
      <w:spacing w:before="0" w:after="0" w:line="240" w:lineRule="auto"/>
      <w:jc w:val="left"/>
    </w:pPr>
    <w:rPr>
      <w:rFonts w:ascii="Cambria" w:hAnsi="Cambria"/>
      <w:kern w:val="0"/>
      <w:sz w:val="21"/>
      <w:szCs w:val="21"/>
      <w:lang w:val="zh-CN"/>
    </w:rPr>
  </w:style>
  <w:style w:type="character" w:customStyle="1" w:styleId="374">
    <w:name w:val="MM Topic 2 Char"/>
    <w:basedOn w:val="63"/>
    <w:link w:val="373"/>
    <w:qFormat/>
    <w:uiPriority w:val="0"/>
    <w:rPr>
      <w:rFonts w:ascii="Cambria" w:hAnsi="Cambria"/>
      <w:b/>
      <w:bCs/>
      <w:sz w:val="21"/>
      <w:szCs w:val="21"/>
      <w:lang w:val="zh-CN"/>
    </w:rPr>
  </w:style>
  <w:style w:type="paragraph" w:customStyle="1" w:styleId="375">
    <w:name w:val="MM Topic 3"/>
    <w:basedOn w:val="4"/>
    <w:next w:val="1"/>
    <w:qFormat/>
    <w:uiPriority w:val="0"/>
    <w:pPr>
      <w:widowControl/>
      <w:numPr>
        <w:numId w:val="19"/>
      </w:numPr>
      <w:spacing w:before="0" w:after="0" w:line="240" w:lineRule="auto"/>
      <w:jc w:val="left"/>
    </w:pPr>
    <w:rPr>
      <w:rFonts w:ascii="Calibri" w:hAnsi="Calibri" w:eastAsia="黑体"/>
      <w:kern w:val="0"/>
      <w:sz w:val="21"/>
      <w:szCs w:val="21"/>
      <w:lang w:val="zh-CN"/>
    </w:rPr>
  </w:style>
  <w:style w:type="paragraph" w:customStyle="1" w:styleId="376">
    <w:name w:val="标志"/>
    <w:basedOn w:val="26"/>
    <w:qFormat/>
    <w:uiPriority w:val="0"/>
    <w:pPr>
      <w:widowControl/>
      <w:numPr>
        <w:ilvl w:val="0"/>
        <w:numId w:val="20"/>
      </w:numPr>
      <w:tabs>
        <w:tab w:val="left" w:pos="980"/>
        <w:tab w:val="clear" w:pos="840"/>
      </w:tabs>
      <w:spacing w:after="0"/>
      <w:ind w:left="980" w:firstLine="357" w:firstLineChars="0"/>
      <w:jc w:val="left"/>
    </w:pPr>
    <w:rPr>
      <w:b/>
      <w:kern w:val="0"/>
      <w:sz w:val="24"/>
      <w:szCs w:val="24"/>
    </w:rPr>
  </w:style>
  <w:style w:type="paragraph" w:customStyle="1" w:styleId="377">
    <w:name w:val="普通类型无格式"/>
    <w:basedOn w:val="1"/>
    <w:link w:val="378"/>
    <w:qFormat/>
    <w:uiPriority w:val="0"/>
    <w:pPr>
      <w:widowControl/>
      <w:spacing w:line="240" w:lineRule="auto"/>
      <w:ind w:firstLine="0" w:firstLineChars="0"/>
      <w:jc w:val="center"/>
    </w:pPr>
    <w:rPr>
      <w:rFonts w:ascii="Times New Roman" w:hAnsi="Times New Roman" w:eastAsia="Century Gothic"/>
      <w:kern w:val="0"/>
      <w:lang w:val="zh-CN"/>
    </w:rPr>
  </w:style>
  <w:style w:type="character" w:customStyle="1" w:styleId="378">
    <w:name w:val="普通类型无格式 Char"/>
    <w:link w:val="377"/>
    <w:qFormat/>
    <w:uiPriority w:val="0"/>
    <w:rPr>
      <w:rFonts w:eastAsia="Century Gothic"/>
      <w:sz w:val="24"/>
      <w:szCs w:val="24"/>
      <w:lang w:val="zh-CN"/>
    </w:rPr>
  </w:style>
  <w:style w:type="character" w:customStyle="1" w:styleId="379">
    <w:name w:val="样式 正文 +"/>
    <w:qFormat/>
    <w:uiPriority w:val="0"/>
    <w:rPr>
      <w:b/>
      <w:bCs/>
      <w:sz w:val="28"/>
    </w:rPr>
  </w:style>
  <w:style w:type="character" w:customStyle="1" w:styleId="380">
    <w:name w:val="已访问的超链接1"/>
    <w:basedOn w:val="63"/>
    <w:qFormat/>
    <w:uiPriority w:val="0"/>
    <w:rPr>
      <w:color w:val="800080"/>
      <w:u w:val="single"/>
    </w:rPr>
  </w:style>
  <w:style w:type="character" w:customStyle="1" w:styleId="381">
    <w:name w:val="列出段落 Char1"/>
    <w:qFormat/>
    <w:uiPriority w:val="34"/>
    <w:rPr>
      <w:rFonts w:eastAsiaTheme="minorEastAsia" w:cstheme="minorBidi"/>
      <w:kern w:val="0"/>
    </w:rPr>
  </w:style>
  <w:style w:type="paragraph" w:customStyle="1" w:styleId="382">
    <w:name w:val="圆点列表1（Alt+A）"/>
    <w:basedOn w:val="1"/>
    <w:qFormat/>
    <w:uiPriority w:val="0"/>
    <w:pPr>
      <w:widowControl/>
      <w:ind w:firstLine="0" w:firstLineChars="0"/>
      <w:jc w:val="left"/>
    </w:pPr>
    <w:rPr>
      <w:rFonts w:hAnsi="Times New Roman"/>
      <w:kern w:val="0"/>
      <w:szCs w:val="20"/>
    </w:rPr>
  </w:style>
  <w:style w:type="paragraph" w:customStyle="1" w:styleId="383">
    <w:name w:val="Item List"/>
    <w:link w:val="384"/>
    <w:qFormat/>
    <w:uiPriority w:val="0"/>
    <w:pPr>
      <w:numPr>
        <w:ilvl w:val="0"/>
        <w:numId w:val="21"/>
      </w:numPr>
      <w:spacing w:line="300" w:lineRule="auto"/>
      <w:jc w:val="both"/>
    </w:pPr>
    <w:rPr>
      <w:rFonts w:ascii="Arial" w:hAnsi="Arial" w:eastAsia="宋体" w:cs="Arial"/>
      <w:kern w:val="2"/>
      <w:sz w:val="21"/>
      <w:szCs w:val="21"/>
      <w:lang w:val="en-US" w:eastAsia="zh-CN" w:bidi="ar-SA"/>
    </w:rPr>
  </w:style>
  <w:style w:type="character" w:customStyle="1" w:styleId="384">
    <w:name w:val="Item List Char Char"/>
    <w:link w:val="383"/>
    <w:qFormat/>
    <w:uiPriority w:val="0"/>
    <w:rPr>
      <w:rFonts w:ascii="Arial" w:hAnsi="Arial" w:cs="Arial"/>
      <w:kern w:val="2"/>
      <w:sz w:val="21"/>
      <w:szCs w:val="21"/>
    </w:rPr>
  </w:style>
  <w:style w:type="paragraph" w:customStyle="1" w:styleId="385">
    <w:name w:val="正文34"/>
    <w:basedOn w:val="25"/>
    <w:link w:val="386"/>
    <w:qFormat/>
    <w:uiPriority w:val="0"/>
    <w:pPr>
      <w:widowControl/>
      <w:spacing w:after="0" w:line="360" w:lineRule="auto"/>
      <w:ind w:left="100" w:leftChars="100" w:right="100" w:rightChars="100" w:firstLine="510"/>
      <w:jc w:val="left"/>
    </w:pPr>
    <w:rPr>
      <w:rFonts w:ascii="Arial" w:hAnsi="Arial"/>
      <w:kern w:val="0"/>
      <w:sz w:val="24"/>
    </w:rPr>
  </w:style>
  <w:style w:type="character" w:customStyle="1" w:styleId="386">
    <w:name w:val="正文34 Char"/>
    <w:basedOn w:val="63"/>
    <w:link w:val="385"/>
    <w:qFormat/>
    <w:uiPriority w:val="0"/>
    <w:rPr>
      <w:rFonts w:ascii="Arial" w:hAnsi="Arial"/>
      <w:sz w:val="24"/>
      <w:szCs w:val="24"/>
    </w:rPr>
  </w:style>
  <w:style w:type="paragraph" w:customStyle="1" w:styleId="387">
    <w:name w:val="符号样式2"/>
    <w:basedOn w:val="16"/>
    <w:link w:val="388"/>
    <w:qFormat/>
    <w:uiPriority w:val="0"/>
    <w:pPr>
      <w:widowControl/>
      <w:numPr>
        <w:ilvl w:val="0"/>
        <w:numId w:val="22"/>
      </w:numPr>
      <w:spacing w:line="360" w:lineRule="auto"/>
      <w:ind w:firstLine="0" w:firstLineChars="0"/>
      <w:jc w:val="left"/>
    </w:pPr>
    <w:rPr>
      <w:rFonts w:ascii="宋体" w:hAnsi="宋体" w:cs="Arial"/>
      <w:kern w:val="0"/>
      <w:sz w:val="24"/>
    </w:rPr>
  </w:style>
  <w:style w:type="character" w:customStyle="1" w:styleId="388">
    <w:name w:val="符号样式2 Char"/>
    <w:basedOn w:val="63"/>
    <w:link w:val="387"/>
    <w:qFormat/>
    <w:uiPriority w:val="0"/>
    <w:rPr>
      <w:rFonts w:ascii="宋体" w:hAnsi="宋体" w:cs="Arial"/>
      <w:sz w:val="24"/>
      <w:szCs w:val="24"/>
    </w:rPr>
  </w:style>
  <w:style w:type="paragraph" w:customStyle="1" w:styleId="389">
    <w:name w:val="样式1"/>
    <w:basedOn w:val="1"/>
    <w:link w:val="390"/>
    <w:qFormat/>
    <w:uiPriority w:val="0"/>
    <w:pPr>
      <w:widowControl/>
      <w:numPr>
        <w:ilvl w:val="0"/>
        <w:numId w:val="23"/>
      </w:numPr>
      <w:adjustRightInd w:val="0"/>
      <w:spacing w:line="240" w:lineRule="auto"/>
      <w:ind w:firstLineChars="0"/>
      <w:jc w:val="left"/>
      <w:textAlignment w:val="baseline"/>
    </w:pPr>
    <w:rPr>
      <w:rFonts w:hAnsi="仿宋" w:eastAsia="仿宋" w:cs="宋体"/>
      <w:kern w:val="0"/>
      <w:sz w:val="28"/>
      <w:szCs w:val="21"/>
    </w:rPr>
  </w:style>
  <w:style w:type="character" w:customStyle="1" w:styleId="390">
    <w:name w:val="样式1 字符"/>
    <w:basedOn w:val="165"/>
    <w:link w:val="389"/>
    <w:qFormat/>
    <w:uiPriority w:val="0"/>
    <w:rPr>
      <w:rFonts w:ascii="宋体" w:hAnsi="仿宋" w:eastAsia="仿宋" w:cs="宋体"/>
      <w:sz w:val="28"/>
      <w:szCs w:val="21"/>
    </w:rPr>
  </w:style>
  <w:style w:type="paragraph" w:customStyle="1" w:styleId="391">
    <w:name w:val="!RepPar_alt+p"/>
    <w:basedOn w:val="1"/>
    <w:link w:val="392"/>
    <w:qFormat/>
    <w:uiPriority w:val="0"/>
    <w:pPr>
      <w:widowControl/>
      <w:spacing w:line="240" w:lineRule="auto"/>
      <w:ind w:firstLine="0" w:firstLineChars="0"/>
      <w:jc w:val="center"/>
    </w:pPr>
    <w:rPr>
      <w:rFonts w:asciiTheme="minorEastAsia" w:hAnsiTheme="minorEastAsia"/>
      <w:b/>
      <w:color w:val="000000"/>
      <w:kern w:val="0"/>
      <w:lang w:val="zh-CN"/>
    </w:rPr>
  </w:style>
  <w:style w:type="character" w:customStyle="1" w:styleId="392">
    <w:name w:val="!RepPar_alt+p Char"/>
    <w:link w:val="391"/>
    <w:qFormat/>
    <w:uiPriority w:val="0"/>
    <w:rPr>
      <w:rFonts w:asciiTheme="minorEastAsia" w:hAnsiTheme="minorEastAsia"/>
      <w:b/>
      <w:color w:val="000000"/>
      <w:sz w:val="24"/>
      <w:szCs w:val="24"/>
      <w:lang w:val="zh-CN"/>
    </w:rPr>
  </w:style>
  <w:style w:type="paragraph" w:customStyle="1" w:styleId="393">
    <w:name w:val="列出段落4"/>
    <w:basedOn w:val="1"/>
    <w:qFormat/>
    <w:uiPriority w:val="34"/>
    <w:pPr>
      <w:widowControl/>
      <w:spacing w:line="240" w:lineRule="auto"/>
      <w:ind w:firstLine="420"/>
      <w:jc w:val="left"/>
    </w:pPr>
    <w:rPr>
      <w:rFonts w:ascii="Times New Roman" w:hAnsi="Times New Roman"/>
      <w:kern w:val="0"/>
      <w:szCs w:val="20"/>
    </w:rPr>
  </w:style>
  <w:style w:type="paragraph" w:customStyle="1" w:styleId="394">
    <w:name w:val="样式 标题 3市检方案标题3第二层条level_3PIM 3H3Level 3 Headh3sect1.2.3..."/>
    <w:basedOn w:val="1"/>
    <w:qFormat/>
    <w:uiPriority w:val="0"/>
    <w:pPr>
      <w:widowControl/>
      <w:numPr>
        <w:ilvl w:val="0"/>
        <w:numId w:val="24"/>
      </w:numPr>
      <w:ind w:firstLine="0" w:firstLineChars="0"/>
      <w:jc w:val="left"/>
    </w:pPr>
    <w:rPr>
      <w:rFonts w:ascii="Times New Roman" w:hAnsi="Times New Roman"/>
      <w:kern w:val="0"/>
    </w:rPr>
  </w:style>
  <w:style w:type="paragraph" w:customStyle="1" w:styleId="395">
    <w:name w:val="样式0110-07正文"/>
    <w:basedOn w:val="1"/>
    <w:link w:val="396"/>
    <w:qFormat/>
    <w:uiPriority w:val="0"/>
    <w:pPr>
      <w:widowControl/>
      <w:ind w:firstLine="200"/>
      <w:jc w:val="left"/>
    </w:pPr>
    <w:rPr>
      <w:kern w:val="0"/>
      <w:szCs w:val="20"/>
    </w:rPr>
  </w:style>
  <w:style w:type="character" w:customStyle="1" w:styleId="396">
    <w:name w:val="样式0110-07正文 Char"/>
    <w:link w:val="395"/>
    <w:qFormat/>
    <w:uiPriority w:val="0"/>
    <w:rPr>
      <w:rFonts w:ascii="宋体" w:hAnsi="宋体"/>
      <w:sz w:val="24"/>
    </w:rPr>
  </w:style>
  <w:style w:type="character" w:customStyle="1" w:styleId="397">
    <w:name w:val="建行正文 Char Char"/>
    <w:link w:val="398"/>
    <w:qFormat/>
    <w:uiPriority w:val="0"/>
    <w:rPr>
      <w:rFonts w:eastAsia="楷体_GB2312"/>
      <w:sz w:val="24"/>
      <w:szCs w:val="24"/>
    </w:rPr>
  </w:style>
  <w:style w:type="paragraph" w:customStyle="1" w:styleId="398">
    <w:name w:val="建行正文"/>
    <w:basedOn w:val="1"/>
    <w:link w:val="397"/>
    <w:qFormat/>
    <w:uiPriority w:val="0"/>
    <w:pPr>
      <w:widowControl/>
      <w:spacing w:after="120"/>
      <w:ind w:firstLine="100" w:firstLineChars="100"/>
      <w:jc w:val="left"/>
    </w:pPr>
    <w:rPr>
      <w:rFonts w:ascii="Times New Roman" w:hAnsi="Times New Roman" w:eastAsia="楷体_GB2312"/>
      <w:kern w:val="0"/>
    </w:rPr>
  </w:style>
  <w:style w:type="paragraph" w:customStyle="1" w:styleId="399">
    <w:name w:val="样式 建行正文 + 楷体_GB2312"/>
    <w:basedOn w:val="398"/>
    <w:qFormat/>
    <w:uiPriority w:val="0"/>
    <w:pPr>
      <w:ind w:firstLine="420" w:firstLineChars="0"/>
    </w:pPr>
    <w:rPr>
      <w:rFonts w:ascii="Book Antiqua" w:hAnsi="Book Antiqua"/>
      <w:szCs w:val="20"/>
      <w:lang w:val="zh-CN"/>
    </w:rPr>
  </w:style>
  <w:style w:type="character" w:customStyle="1" w:styleId="400">
    <w:name w:val="!RepPar_alt+p Char Char"/>
    <w:qFormat/>
    <w:uiPriority w:val="0"/>
    <w:rPr>
      <w:rFonts w:ascii="Times New Roman" w:hAnsi="Times New Roman"/>
      <w:kern w:val="2"/>
      <w:sz w:val="24"/>
      <w:szCs w:val="24"/>
    </w:rPr>
  </w:style>
  <w:style w:type="paragraph" w:customStyle="1" w:styleId="401">
    <w:name w:val="缩进_五号_1.5行距"/>
    <w:basedOn w:val="1"/>
    <w:qFormat/>
    <w:uiPriority w:val="0"/>
    <w:pPr>
      <w:widowControl/>
      <w:ind w:firstLine="420"/>
      <w:jc w:val="left"/>
    </w:pPr>
    <w:rPr>
      <w:rFonts w:ascii="Times New Roman" w:hAnsi="Times New Roman" w:cs="宋体"/>
      <w:kern w:val="0"/>
      <w:szCs w:val="20"/>
    </w:rPr>
  </w:style>
  <w:style w:type="paragraph" w:customStyle="1" w:styleId="402">
    <w:name w:val="缩进_小四号_1.5行距"/>
    <w:basedOn w:val="1"/>
    <w:autoRedefine/>
    <w:qFormat/>
    <w:uiPriority w:val="0"/>
    <w:pPr>
      <w:widowControl/>
      <w:jc w:val="left"/>
    </w:pPr>
    <w:rPr>
      <w:rFonts w:ascii="Times New Roman" w:hAnsi="Times New Roman" w:cs="宋体"/>
      <w:kern w:val="0"/>
      <w:szCs w:val="20"/>
    </w:rPr>
  </w:style>
  <w:style w:type="character" w:customStyle="1" w:styleId="403">
    <w:name w:val="样式 正文首行缩进正文首行缩进 Char Char Char Char Char Char Char Char Char Ch... Char Char"/>
    <w:link w:val="404"/>
    <w:qFormat/>
    <w:uiPriority w:val="0"/>
    <w:rPr>
      <w:rFonts w:ascii="Tahoma" w:hAnsi="Tahoma"/>
      <w:sz w:val="24"/>
    </w:rPr>
  </w:style>
  <w:style w:type="paragraph" w:customStyle="1" w:styleId="404">
    <w:name w:val="样式 正文首行缩进正文首行缩进 Char Char Char Char Char Char Char Char Char Ch..."/>
    <w:basedOn w:val="57"/>
    <w:link w:val="403"/>
    <w:qFormat/>
    <w:uiPriority w:val="0"/>
    <w:pPr>
      <w:widowControl/>
      <w:spacing w:after="0"/>
      <w:ind w:firstLine="476" w:firstLineChars="0"/>
      <w:jc w:val="left"/>
    </w:pPr>
    <w:rPr>
      <w:rFonts w:ascii="Tahoma" w:hAnsi="Tahoma"/>
      <w:kern w:val="0"/>
      <w:szCs w:val="20"/>
    </w:rPr>
  </w:style>
  <w:style w:type="paragraph" w:customStyle="1" w:styleId="405">
    <w:name w:val="四号正文"/>
    <w:basedOn w:val="1"/>
    <w:qFormat/>
    <w:uiPriority w:val="0"/>
    <w:pPr>
      <w:widowControl/>
      <w:ind w:firstLine="560"/>
      <w:jc w:val="left"/>
    </w:pPr>
    <w:rPr>
      <w:kern w:val="0"/>
      <w:sz w:val="28"/>
      <w:szCs w:val="28"/>
    </w:rPr>
  </w:style>
  <w:style w:type="paragraph" w:customStyle="1" w:styleId="406">
    <w:name w:val="Preformatted Text"/>
    <w:basedOn w:val="1"/>
    <w:qFormat/>
    <w:uiPriority w:val="0"/>
    <w:pPr>
      <w:widowControl/>
      <w:suppressAutoHyphens/>
      <w:spacing w:line="240" w:lineRule="auto"/>
      <w:ind w:firstLine="0" w:firstLineChars="0"/>
      <w:jc w:val="left"/>
    </w:pPr>
    <w:rPr>
      <w:rFonts w:ascii="DejaVu Sans Mono" w:hAnsi="DejaVu Sans Mono" w:eastAsia="DejaVu Sans Mono" w:cs="DejaVu Sans Mono"/>
      <w:kern w:val="1"/>
      <w:sz w:val="20"/>
      <w:lang w:eastAsia="ar-SA"/>
    </w:rPr>
  </w:style>
  <w:style w:type="paragraph" w:customStyle="1" w:styleId="407">
    <w:name w:val="Table Contents"/>
    <w:basedOn w:val="1"/>
    <w:qFormat/>
    <w:uiPriority w:val="0"/>
    <w:pPr>
      <w:widowControl/>
      <w:suppressLineNumbers/>
      <w:suppressAutoHyphens/>
      <w:spacing w:line="240" w:lineRule="auto"/>
      <w:ind w:firstLine="0" w:firstLineChars="0"/>
      <w:jc w:val="left"/>
    </w:pPr>
    <w:rPr>
      <w:kern w:val="1"/>
      <w:lang w:eastAsia="ar-SA"/>
    </w:rPr>
  </w:style>
  <w:style w:type="paragraph" w:customStyle="1" w:styleId="408">
    <w:name w:val="图说"/>
    <w:basedOn w:val="1"/>
    <w:qFormat/>
    <w:uiPriority w:val="0"/>
    <w:pPr>
      <w:widowControl/>
      <w:adjustRightInd w:val="0"/>
      <w:spacing w:line="480" w:lineRule="auto"/>
      <w:ind w:firstLine="0" w:firstLineChars="0"/>
      <w:jc w:val="center"/>
    </w:pPr>
    <w:rPr>
      <w:kern w:val="0"/>
      <w:sz w:val="18"/>
    </w:rPr>
  </w:style>
  <w:style w:type="paragraph" w:customStyle="1" w:styleId="409">
    <w:name w:val="Table Text"/>
    <w:qFormat/>
    <w:uiPriority w:val="0"/>
    <w:pPr>
      <w:spacing w:before="60" w:after="240"/>
      <w:ind w:left="113"/>
    </w:pPr>
    <w:rPr>
      <w:rFonts w:ascii="Arial" w:hAnsi="Arial" w:eastAsia="Times" w:cs="Times New Roman"/>
      <w:kern w:val="2"/>
      <w:sz w:val="18"/>
      <w:szCs w:val="18"/>
      <w:lang w:val="en-US" w:eastAsia="en-US" w:bidi="ar-SA"/>
    </w:rPr>
  </w:style>
  <w:style w:type="paragraph" w:customStyle="1" w:styleId="410">
    <w:name w:val="Table Head"/>
    <w:basedOn w:val="409"/>
    <w:next w:val="409"/>
    <w:qFormat/>
    <w:uiPriority w:val="0"/>
    <w:pPr>
      <w:widowControl w:val="0"/>
      <w:spacing w:after="60" w:line="240" w:lineRule="atLeast"/>
      <w:ind w:left="0"/>
    </w:pPr>
    <w:rPr>
      <w:rFonts w:eastAsia="Times New Roman"/>
      <w:b/>
      <w:bCs/>
    </w:rPr>
  </w:style>
  <w:style w:type="paragraph" w:customStyle="1" w:styleId="411">
    <w:name w:val="标题 1（nari）"/>
    <w:basedOn w:val="2"/>
    <w:next w:val="1"/>
    <w:qFormat/>
    <w:uiPriority w:val="0"/>
    <w:pPr>
      <w:widowControl/>
      <w:numPr>
        <w:numId w:val="25"/>
      </w:numPr>
      <w:spacing w:before="240" w:after="200" w:line="240" w:lineRule="auto"/>
      <w:jc w:val="left"/>
    </w:pPr>
    <w:rPr>
      <w:rFonts w:ascii="Arial" w:hAnsi="Arial" w:cs="宋体"/>
      <w:bCs w:val="0"/>
      <w:sz w:val="28"/>
      <w:szCs w:val="36"/>
    </w:rPr>
  </w:style>
  <w:style w:type="paragraph" w:customStyle="1" w:styleId="412">
    <w:name w:val="标题 2（nari）"/>
    <w:basedOn w:val="3"/>
    <w:next w:val="1"/>
    <w:qFormat/>
    <w:uiPriority w:val="0"/>
    <w:pPr>
      <w:widowControl/>
      <w:numPr>
        <w:numId w:val="25"/>
      </w:numPr>
      <w:spacing w:before="320" w:after="160" w:line="240" w:lineRule="auto"/>
      <w:jc w:val="left"/>
    </w:pPr>
    <w:rPr>
      <w:rFonts w:cs="宋体"/>
      <w:kern w:val="0"/>
      <w:sz w:val="24"/>
      <w:szCs w:val="24"/>
    </w:rPr>
  </w:style>
  <w:style w:type="paragraph" w:customStyle="1" w:styleId="413">
    <w:name w:val="正文（nari）"/>
    <w:basedOn w:val="1"/>
    <w:link w:val="414"/>
    <w:qFormat/>
    <w:uiPriority w:val="0"/>
    <w:pPr>
      <w:widowControl/>
      <w:spacing w:beforeLines="50" w:afterLines="50" w:line="500" w:lineRule="exact"/>
      <w:ind w:firstLine="200"/>
      <w:jc w:val="left"/>
    </w:pPr>
    <w:rPr>
      <w:rFonts w:cs="宋体"/>
      <w:kern w:val="0"/>
    </w:rPr>
  </w:style>
  <w:style w:type="character" w:customStyle="1" w:styleId="414">
    <w:name w:val="正文（nari） Char"/>
    <w:basedOn w:val="63"/>
    <w:link w:val="413"/>
    <w:qFormat/>
    <w:uiPriority w:val="0"/>
    <w:rPr>
      <w:rFonts w:ascii="宋体" w:hAnsi="宋体" w:cs="宋体"/>
      <w:sz w:val="24"/>
      <w:szCs w:val="24"/>
    </w:rPr>
  </w:style>
  <w:style w:type="paragraph" w:customStyle="1" w:styleId="415">
    <w:name w:val="标题 3（nari）"/>
    <w:basedOn w:val="4"/>
    <w:next w:val="1"/>
    <w:qFormat/>
    <w:uiPriority w:val="0"/>
    <w:pPr>
      <w:widowControl/>
      <w:numPr>
        <w:numId w:val="25"/>
      </w:numPr>
      <w:tabs>
        <w:tab w:val="left" w:pos="960"/>
      </w:tabs>
      <w:spacing w:before="240"/>
      <w:jc w:val="left"/>
    </w:pPr>
    <w:rPr>
      <w:rFonts w:ascii="Arial" w:hAnsi="Arial" w:eastAsia="黑体" w:cstheme="majorBidi"/>
      <w:b w:val="0"/>
      <w:kern w:val="0"/>
      <w:szCs w:val="30"/>
      <w:lang w:val="zh-CN"/>
    </w:rPr>
  </w:style>
  <w:style w:type="paragraph" w:customStyle="1" w:styleId="416">
    <w:name w:val="标题 4（nari）"/>
    <w:basedOn w:val="5"/>
    <w:next w:val="1"/>
    <w:qFormat/>
    <w:uiPriority w:val="0"/>
    <w:pPr>
      <w:widowControl/>
      <w:numPr>
        <w:numId w:val="25"/>
      </w:numPr>
      <w:tabs>
        <w:tab w:val="left" w:pos="709"/>
      </w:tabs>
      <w:spacing w:before="200" w:line="240" w:lineRule="auto"/>
      <w:ind w:right="100" w:rightChars="100"/>
      <w:jc w:val="left"/>
    </w:pPr>
    <w:rPr>
      <w:rFonts w:ascii="Arial" w:hAnsi="Arial"/>
      <w:b w:val="0"/>
      <w:bCs w:val="0"/>
      <w:kern w:val="0"/>
      <w:sz w:val="24"/>
      <w:szCs w:val="28"/>
    </w:rPr>
  </w:style>
  <w:style w:type="paragraph" w:customStyle="1" w:styleId="417">
    <w:name w:val="封面-公司名称"/>
    <w:basedOn w:val="1"/>
    <w:next w:val="1"/>
    <w:qFormat/>
    <w:uiPriority w:val="0"/>
    <w:pPr>
      <w:widowControl/>
      <w:snapToGrid w:val="0"/>
      <w:spacing w:before="80" w:after="80" w:line="300" w:lineRule="auto"/>
      <w:ind w:firstLine="0" w:firstLineChars="0"/>
      <w:jc w:val="center"/>
    </w:pPr>
    <w:rPr>
      <w:rFonts w:ascii="Arial" w:hAnsi="Arial" w:cs="Arial"/>
      <w:b/>
      <w:kern w:val="0"/>
      <w:sz w:val="30"/>
      <w:szCs w:val="30"/>
    </w:rPr>
  </w:style>
  <w:style w:type="paragraph" w:customStyle="1" w:styleId="418">
    <w:name w:val="封面-文档名称"/>
    <w:basedOn w:val="1"/>
    <w:next w:val="1"/>
    <w:qFormat/>
    <w:uiPriority w:val="0"/>
    <w:pPr>
      <w:widowControl/>
      <w:pBdr>
        <w:bottom w:val="single" w:color="auto" w:sz="4" w:space="1"/>
      </w:pBdr>
      <w:snapToGrid w:val="0"/>
      <w:spacing w:before="80" w:after="80" w:line="300" w:lineRule="auto"/>
      <w:ind w:firstLine="0" w:firstLineChars="0"/>
      <w:jc w:val="center"/>
    </w:pPr>
    <w:rPr>
      <w:rFonts w:ascii="Arial" w:hAnsi="Arial" w:cs="Arial"/>
      <w:b/>
      <w:bCs/>
      <w:kern w:val="0"/>
      <w:sz w:val="36"/>
      <w:szCs w:val="21"/>
    </w:rPr>
  </w:style>
  <w:style w:type="paragraph" w:customStyle="1" w:styleId="419">
    <w:name w:val="封面-文档类型"/>
    <w:basedOn w:val="1"/>
    <w:next w:val="1"/>
    <w:qFormat/>
    <w:uiPriority w:val="0"/>
    <w:pPr>
      <w:widowControl/>
      <w:snapToGrid w:val="0"/>
      <w:spacing w:before="80" w:after="80" w:line="300" w:lineRule="auto"/>
      <w:ind w:firstLine="0" w:firstLineChars="0"/>
      <w:jc w:val="center"/>
    </w:pPr>
    <w:rPr>
      <w:rFonts w:ascii="Arial" w:hAnsi="Arial" w:cs="Arial"/>
      <w:b/>
      <w:bCs/>
      <w:kern w:val="0"/>
      <w:sz w:val="52"/>
      <w:szCs w:val="44"/>
    </w:rPr>
  </w:style>
  <w:style w:type="paragraph" w:customStyle="1" w:styleId="420">
    <w:name w:val="方案正文"/>
    <w:basedOn w:val="1"/>
    <w:link w:val="421"/>
    <w:qFormat/>
    <w:uiPriority w:val="0"/>
    <w:pPr>
      <w:widowControl/>
      <w:spacing w:before="156"/>
      <w:ind w:firstLine="359" w:firstLineChars="171"/>
      <w:jc w:val="left"/>
    </w:pPr>
    <w:rPr>
      <w:rFonts w:ascii="Arial" w:hAnsi="Arial" w:cs="宋体"/>
      <w:kern w:val="0"/>
      <w:szCs w:val="21"/>
    </w:rPr>
  </w:style>
  <w:style w:type="character" w:customStyle="1" w:styleId="421">
    <w:name w:val="方案正文 Char"/>
    <w:link w:val="420"/>
    <w:qFormat/>
    <w:uiPriority w:val="0"/>
    <w:rPr>
      <w:rFonts w:ascii="Arial" w:hAnsi="Arial" w:cs="宋体"/>
      <w:sz w:val="24"/>
      <w:szCs w:val="21"/>
    </w:rPr>
  </w:style>
  <w:style w:type="paragraph" w:customStyle="1" w:styleId="422">
    <w:name w:val="!title1_alt+1"/>
    <w:basedOn w:val="2"/>
    <w:next w:val="391"/>
    <w:qFormat/>
    <w:uiPriority w:val="0"/>
    <w:pPr>
      <w:widowControl/>
      <w:numPr>
        <w:numId w:val="26"/>
      </w:numPr>
      <w:tabs>
        <w:tab w:val="left" w:pos="567"/>
      </w:tabs>
      <w:spacing w:before="100" w:beforeAutospacing="1" w:after="100" w:afterAutospacing="1"/>
    </w:pPr>
    <w:rPr>
      <w:rFonts w:ascii="Times New Roman" w:hAnsi="Times New Roman" w:eastAsia="宋体"/>
      <w:szCs w:val="32"/>
    </w:rPr>
  </w:style>
  <w:style w:type="paragraph" w:customStyle="1" w:styleId="423">
    <w:name w:val="!title2_alt+2"/>
    <w:basedOn w:val="3"/>
    <w:next w:val="391"/>
    <w:qFormat/>
    <w:uiPriority w:val="0"/>
    <w:pPr>
      <w:widowControl/>
      <w:numPr>
        <w:numId w:val="26"/>
      </w:numPr>
      <w:tabs>
        <w:tab w:val="left" w:pos="567"/>
      </w:tabs>
      <w:spacing w:before="100" w:beforeAutospacing="1" w:after="100" w:afterAutospacing="1" w:line="480" w:lineRule="auto"/>
      <w:jc w:val="left"/>
    </w:pPr>
    <w:rPr>
      <w:rFonts w:ascii="Times New Roman" w:hAnsi="Times New Roman" w:eastAsia="黑体"/>
      <w:b w:val="0"/>
      <w:kern w:val="0"/>
      <w:szCs w:val="30"/>
    </w:rPr>
  </w:style>
  <w:style w:type="paragraph" w:customStyle="1" w:styleId="424">
    <w:name w:val="!title3_alt+3"/>
    <w:basedOn w:val="4"/>
    <w:next w:val="391"/>
    <w:link w:val="425"/>
    <w:qFormat/>
    <w:uiPriority w:val="0"/>
    <w:pPr>
      <w:widowControl/>
      <w:numPr>
        <w:numId w:val="26"/>
      </w:numPr>
      <w:tabs>
        <w:tab w:val="left" w:pos="567"/>
      </w:tabs>
      <w:spacing w:before="100" w:beforeAutospacing="1" w:after="100" w:afterAutospacing="1"/>
      <w:jc w:val="left"/>
    </w:pPr>
    <w:rPr>
      <w:rFonts w:ascii="Times New Roman" w:hAnsi="Times New Roman"/>
      <w:kern w:val="0"/>
    </w:rPr>
  </w:style>
  <w:style w:type="character" w:customStyle="1" w:styleId="425">
    <w:name w:val="!title3_alt+3 Char"/>
    <w:basedOn w:val="63"/>
    <w:link w:val="424"/>
    <w:qFormat/>
    <w:uiPriority w:val="0"/>
    <w:rPr>
      <w:b/>
      <w:bCs/>
      <w:sz w:val="24"/>
      <w:szCs w:val="28"/>
    </w:rPr>
  </w:style>
  <w:style w:type="paragraph" w:customStyle="1" w:styleId="426">
    <w:name w:val="!title4_alt+4"/>
    <w:basedOn w:val="5"/>
    <w:next w:val="391"/>
    <w:qFormat/>
    <w:uiPriority w:val="0"/>
    <w:pPr>
      <w:widowControl/>
      <w:numPr>
        <w:numId w:val="26"/>
      </w:numPr>
      <w:tabs>
        <w:tab w:val="left" w:pos="567"/>
      </w:tabs>
      <w:spacing w:before="100" w:beforeAutospacing="1" w:after="100" w:afterAutospacing="1"/>
      <w:ind w:right="100" w:rightChars="100"/>
      <w:jc w:val="left"/>
    </w:pPr>
    <w:rPr>
      <w:rFonts w:ascii="Times New Roman" w:hAnsi="Times New Roman" w:eastAsiaTheme="minorEastAsia"/>
      <w:b w:val="0"/>
      <w:kern w:val="0"/>
      <w:sz w:val="28"/>
      <w:szCs w:val="24"/>
    </w:rPr>
  </w:style>
  <w:style w:type="paragraph" w:customStyle="1" w:styleId="427">
    <w:name w:val="!title1insec_alt+5"/>
    <w:basedOn w:val="6"/>
    <w:next w:val="391"/>
    <w:qFormat/>
    <w:uiPriority w:val="0"/>
    <w:pPr>
      <w:numPr>
        <w:numId w:val="26"/>
      </w:numPr>
      <w:tabs>
        <w:tab w:val="left" w:pos="567"/>
        <w:tab w:val="left" w:pos="767"/>
      </w:tabs>
      <w:spacing w:before="0" w:beforeAutospacing="1" w:after="100" w:afterAutospacing="1" w:line="288" w:lineRule="auto"/>
    </w:pPr>
    <w:rPr>
      <w:rFonts w:ascii="Times New Roman" w:hAnsi="Times New Roman"/>
      <w:kern w:val="0"/>
      <w:sz w:val="28"/>
      <w:szCs w:val="24"/>
    </w:rPr>
  </w:style>
  <w:style w:type="paragraph" w:customStyle="1" w:styleId="428">
    <w:name w:val="!title2insec_alt+6"/>
    <w:basedOn w:val="7"/>
    <w:next w:val="391"/>
    <w:qFormat/>
    <w:uiPriority w:val="0"/>
    <w:pPr>
      <w:widowControl/>
      <w:numPr>
        <w:numId w:val="26"/>
      </w:numPr>
      <w:tabs>
        <w:tab w:val="left" w:pos="284"/>
      </w:tabs>
      <w:spacing w:before="100" w:beforeAutospacing="1" w:after="100" w:afterAutospacing="1" w:line="288" w:lineRule="auto"/>
      <w:jc w:val="left"/>
    </w:pPr>
    <w:rPr>
      <w:rFonts w:ascii="Times New Roman" w:hAnsi="Times New Roman"/>
      <w:kern w:val="0"/>
      <w:sz w:val="28"/>
    </w:rPr>
  </w:style>
  <w:style w:type="paragraph" w:customStyle="1" w:styleId="429">
    <w:name w:val="!title3insec_alt+7"/>
    <w:basedOn w:val="8"/>
    <w:next w:val="391"/>
    <w:qFormat/>
    <w:uiPriority w:val="0"/>
    <w:pPr>
      <w:widowControl/>
      <w:numPr>
        <w:ilvl w:val="6"/>
        <w:numId w:val="26"/>
      </w:numPr>
      <w:spacing w:before="100" w:beforeAutospacing="1" w:after="100" w:afterAutospacing="1" w:line="288" w:lineRule="auto"/>
      <w:jc w:val="left"/>
    </w:pPr>
    <w:rPr>
      <w:b w:val="0"/>
      <w:kern w:val="0"/>
      <w:sz w:val="24"/>
    </w:rPr>
  </w:style>
  <w:style w:type="paragraph" w:customStyle="1" w:styleId="430">
    <w:name w:val="book正文"/>
    <w:basedOn w:val="1"/>
    <w:link w:val="431"/>
    <w:qFormat/>
    <w:uiPriority w:val="0"/>
    <w:pPr>
      <w:widowControl/>
      <w:adjustRightInd w:val="0"/>
      <w:spacing w:line="300" w:lineRule="auto"/>
      <w:ind w:firstLine="200"/>
      <w:jc w:val="left"/>
      <w:textAlignment w:val="baseline"/>
    </w:pPr>
    <w:rPr>
      <w:rFonts w:ascii="Times New Roman" w:hAnsi="Times New Roman"/>
      <w:kern w:val="0"/>
    </w:rPr>
  </w:style>
  <w:style w:type="character" w:customStyle="1" w:styleId="431">
    <w:name w:val="book正文 Char"/>
    <w:basedOn w:val="63"/>
    <w:link w:val="430"/>
    <w:qFormat/>
    <w:uiPriority w:val="0"/>
    <w:rPr>
      <w:sz w:val="24"/>
      <w:szCs w:val="24"/>
    </w:rPr>
  </w:style>
  <w:style w:type="character" w:customStyle="1" w:styleId="432">
    <w:name w:val="Item List Char"/>
    <w:qFormat/>
    <w:uiPriority w:val="0"/>
    <w:rPr>
      <w:rFonts w:ascii="Arial" w:hAnsi="Arial" w:eastAsia="仿宋_GB2312" w:cs="Times New Roman"/>
      <w:i/>
      <w:szCs w:val="21"/>
    </w:rPr>
  </w:style>
  <w:style w:type="paragraph" w:customStyle="1" w:styleId="433">
    <w:name w:val="项目编号B"/>
    <w:basedOn w:val="1"/>
    <w:qFormat/>
    <w:uiPriority w:val="0"/>
    <w:pPr>
      <w:widowControl/>
      <w:numPr>
        <w:ilvl w:val="0"/>
        <w:numId w:val="27"/>
      </w:numPr>
      <w:ind w:hanging="200" w:hangingChars="200"/>
      <w:jc w:val="left"/>
    </w:pPr>
    <w:rPr>
      <w:rFonts w:ascii="Times New Roman" w:hAnsi="Times New Roman"/>
      <w:kern w:val="0"/>
    </w:rPr>
  </w:style>
  <w:style w:type="paragraph" w:customStyle="1" w:styleId="434">
    <w:name w:val="正文 + Arial"/>
    <w:basedOn w:val="1"/>
    <w:qFormat/>
    <w:uiPriority w:val="0"/>
    <w:pPr>
      <w:widowControl/>
      <w:spacing w:line="360" w:lineRule="atLeast"/>
      <w:ind w:firstLine="420"/>
      <w:jc w:val="left"/>
    </w:pPr>
    <w:rPr>
      <w:rFonts w:ascii="Arial" w:hAnsi="Arial"/>
      <w:kern w:val="0"/>
      <w:szCs w:val="21"/>
    </w:rPr>
  </w:style>
  <w:style w:type="paragraph" w:customStyle="1" w:styleId="435">
    <w:name w:val="表格文本"/>
    <w:basedOn w:val="1"/>
    <w:qFormat/>
    <w:uiPriority w:val="0"/>
    <w:pPr>
      <w:widowControl/>
      <w:tabs>
        <w:tab w:val="decimal" w:pos="0"/>
      </w:tabs>
      <w:autoSpaceDE w:val="0"/>
      <w:autoSpaceDN w:val="0"/>
      <w:adjustRightInd w:val="0"/>
      <w:spacing w:line="240" w:lineRule="auto"/>
      <w:ind w:firstLine="0" w:firstLineChars="0"/>
      <w:jc w:val="left"/>
    </w:pPr>
    <w:rPr>
      <w:rFonts w:ascii="Arial" w:hAnsi="Arial"/>
      <w:kern w:val="0"/>
      <w:szCs w:val="21"/>
    </w:rPr>
  </w:style>
  <w:style w:type="paragraph" w:customStyle="1" w:styleId="436">
    <w:name w:val="项目编号A"/>
    <w:basedOn w:val="1"/>
    <w:qFormat/>
    <w:uiPriority w:val="0"/>
    <w:pPr>
      <w:widowControl/>
      <w:numPr>
        <w:ilvl w:val="0"/>
        <w:numId w:val="28"/>
      </w:numPr>
      <w:ind w:left="618" w:firstLine="0" w:firstLineChars="0"/>
      <w:jc w:val="left"/>
    </w:pPr>
    <w:rPr>
      <w:rFonts w:ascii="Times New Roman" w:hAnsi="Times New Roman"/>
      <w:kern w:val="0"/>
    </w:rPr>
  </w:style>
  <w:style w:type="paragraph" w:customStyle="1" w:styleId="437">
    <w:name w:val="CheckList"/>
    <w:basedOn w:val="1"/>
    <w:qFormat/>
    <w:uiPriority w:val="0"/>
    <w:pPr>
      <w:widowControl/>
      <w:numPr>
        <w:ilvl w:val="2"/>
        <w:numId w:val="28"/>
      </w:numPr>
      <w:tabs>
        <w:tab w:val="left" w:pos="1260"/>
      </w:tabs>
      <w:spacing w:before="120" w:after="120" w:line="240" w:lineRule="auto"/>
      <w:ind w:left="720" w:firstLine="0" w:firstLineChars="0"/>
      <w:jc w:val="left"/>
    </w:pPr>
    <w:rPr>
      <w:rFonts w:ascii="Times New Roman" w:hAnsi="Times New Roman"/>
      <w:b/>
      <w:kern w:val="0"/>
      <w:szCs w:val="20"/>
    </w:rPr>
  </w:style>
  <w:style w:type="paragraph" w:customStyle="1" w:styleId="438">
    <w:name w:val="Char Char Char1 Char"/>
    <w:basedOn w:val="1"/>
    <w:qFormat/>
    <w:uiPriority w:val="0"/>
    <w:pPr>
      <w:widowControl/>
      <w:spacing w:after="160" w:line="240" w:lineRule="exact"/>
      <w:ind w:firstLine="0" w:firstLineChars="0"/>
      <w:jc w:val="left"/>
    </w:pPr>
    <w:rPr>
      <w:rFonts w:ascii="Arial" w:hAnsi="Arial" w:eastAsia="Times New Roman"/>
      <w:kern w:val="0"/>
      <w:sz w:val="20"/>
      <w:szCs w:val="20"/>
      <w:lang w:eastAsia="en-US"/>
    </w:rPr>
  </w:style>
  <w:style w:type="paragraph" w:customStyle="1" w:styleId="439">
    <w:name w:val="!cell"/>
    <w:basedOn w:val="1"/>
    <w:qFormat/>
    <w:uiPriority w:val="0"/>
    <w:pPr>
      <w:widowControl/>
      <w:spacing w:line="240" w:lineRule="auto"/>
      <w:ind w:firstLine="0" w:firstLineChars="0"/>
      <w:jc w:val="center"/>
    </w:pPr>
    <w:rPr>
      <w:rFonts w:ascii="Times New Roman" w:hAnsi="Times New Roman"/>
      <w:kern w:val="0"/>
    </w:rPr>
  </w:style>
  <w:style w:type="paragraph" w:customStyle="1" w:styleId="440">
    <w:name w:val="!header"/>
    <w:basedOn w:val="38"/>
    <w:qFormat/>
    <w:uiPriority w:val="0"/>
    <w:pPr>
      <w:widowControl/>
      <w:pBdr>
        <w:bottom w:val="single" w:color="auto" w:sz="6" w:space="1"/>
      </w:pBdr>
      <w:spacing w:line="240" w:lineRule="auto"/>
      <w:ind w:firstLine="0" w:firstLineChars="0"/>
      <w:jc w:val="left"/>
    </w:pPr>
    <w:rPr>
      <w:rFonts w:eastAsia="楷体_GB2312"/>
      <w:smallCaps/>
      <w:kern w:val="0"/>
    </w:rPr>
  </w:style>
  <w:style w:type="paragraph" w:customStyle="1" w:styleId="441">
    <w:name w:val="!code_alt+C"/>
    <w:basedOn w:val="1"/>
    <w:qFormat/>
    <w:uiPriority w:val="0"/>
    <w:pPr>
      <w:keepLines/>
      <w:widowControl/>
      <w:pBdr>
        <w:top w:val="single" w:color="auto" w:sz="4" w:space="1"/>
        <w:left w:val="single" w:color="auto" w:sz="4" w:space="4"/>
        <w:bottom w:val="single" w:color="auto" w:sz="4" w:space="1"/>
        <w:right w:val="single" w:color="auto" w:sz="4" w:space="4"/>
      </w:pBdr>
      <w:kinsoku w:val="0"/>
      <w:spacing w:beforeLines="20" w:afterLines="20" w:line="240" w:lineRule="auto"/>
      <w:ind w:left="219" w:leftChars="200" w:right="100" w:rightChars="100" w:hanging="19" w:hangingChars="19"/>
      <w:jc w:val="left"/>
    </w:pPr>
    <w:rPr>
      <w:rFonts w:ascii="time" w:hAnsi="time" w:cs="宋体"/>
      <w:spacing w:val="-5"/>
      <w:kern w:val="0"/>
      <w:szCs w:val="20"/>
      <w:lang w:bidi="he-IL"/>
    </w:rPr>
  </w:style>
  <w:style w:type="paragraph" w:customStyle="1" w:styleId="442">
    <w:name w:val="!desc_alt+D"/>
    <w:basedOn w:val="1"/>
    <w:qFormat/>
    <w:uiPriority w:val="0"/>
    <w:pPr>
      <w:widowControl/>
      <w:spacing w:after="100" w:afterAutospacing="1" w:line="288" w:lineRule="auto"/>
      <w:jc w:val="left"/>
    </w:pPr>
    <w:rPr>
      <w:rFonts w:ascii="Times New Roman" w:hAnsi="Times New Roman" w:cs="宋体"/>
      <w:color w:val="3366FF"/>
      <w:kern w:val="0"/>
    </w:rPr>
  </w:style>
  <w:style w:type="character" w:customStyle="1" w:styleId="443">
    <w:name w:val="!keyword_alt+K"/>
    <w:qFormat/>
    <w:uiPriority w:val="0"/>
    <w:rPr>
      <w:rFonts w:eastAsia="Times New Roman"/>
      <w:b/>
      <w:i/>
      <w:color w:val="000080"/>
      <w:sz w:val="21"/>
      <w:szCs w:val="21"/>
    </w:rPr>
  </w:style>
  <w:style w:type="character" w:customStyle="1" w:styleId="444">
    <w:name w:val="!VarName_alt+v"/>
    <w:qFormat/>
    <w:uiPriority w:val="0"/>
    <w:rPr>
      <w:rFonts w:ascii="Arial" w:hAnsi="Arial" w:eastAsia="黑体"/>
      <w:bCs/>
      <w:color w:val="auto"/>
      <w:sz w:val="21"/>
      <w:szCs w:val="21"/>
      <w:lang w:val="en-US" w:eastAsia="en-US" w:bidi="ar-SA"/>
    </w:rPr>
  </w:style>
  <w:style w:type="paragraph" w:customStyle="1" w:styleId="445">
    <w:name w:val="!caption_alt+t"/>
    <w:basedOn w:val="17"/>
    <w:qFormat/>
    <w:uiPriority w:val="0"/>
    <w:pPr>
      <w:keepNext/>
      <w:widowControl/>
      <w:tabs>
        <w:tab w:val="left" w:pos="841"/>
      </w:tabs>
      <w:spacing w:afterLines="0"/>
      <w:ind w:firstLine="0" w:firstLineChars="0"/>
      <w:jc w:val="center"/>
    </w:pPr>
    <w:rPr>
      <w:rFonts w:ascii="Times New Roman" w:hAnsi="Times New Roman" w:eastAsia="宋体" w:cs="Arial"/>
      <w:kern w:val="0"/>
      <w:sz w:val="21"/>
      <w:szCs w:val="21"/>
    </w:rPr>
  </w:style>
  <w:style w:type="paragraph" w:customStyle="1" w:styleId="446">
    <w:name w:val="!glossary_alt+g"/>
    <w:basedOn w:val="1"/>
    <w:qFormat/>
    <w:uiPriority w:val="0"/>
    <w:pPr>
      <w:widowControl/>
      <w:spacing w:after="100" w:afterAutospacing="1" w:line="288" w:lineRule="auto"/>
      <w:ind w:left="903" w:leftChars="100" w:hanging="693" w:hangingChars="300"/>
      <w:jc w:val="left"/>
    </w:pPr>
    <w:rPr>
      <w:rFonts w:ascii="Times New Roman" w:hAnsi="Times New Roman"/>
      <w:spacing w:val="-5"/>
      <w:kern w:val="0"/>
      <w:lang w:bidi="he-IL"/>
    </w:rPr>
  </w:style>
  <w:style w:type="paragraph" w:customStyle="1" w:styleId="447">
    <w:name w:val="!cellc_alt+."/>
    <w:basedOn w:val="1"/>
    <w:qFormat/>
    <w:uiPriority w:val="0"/>
    <w:pPr>
      <w:widowControl/>
      <w:spacing w:line="240" w:lineRule="auto"/>
      <w:ind w:firstLine="0" w:firstLineChars="0"/>
      <w:jc w:val="center"/>
    </w:pPr>
    <w:rPr>
      <w:rFonts w:ascii="Times New Roman" w:hAnsi="Times New Roman"/>
      <w:kern w:val="0"/>
    </w:rPr>
  </w:style>
  <w:style w:type="paragraph" w:customStyle="1" w:styleId="448">
    <w:name w:val="!celll_alt+["/>
    <w:basedOn w:val="447"/>
    <w:qFormat/>
    <w:uiPriority w:val="0"/>
    <w:pPr>
      <w:jc w:val="left"/>
    </w:pPr>
  </w:style>
  <w:style w:type="paragraph" w:customStyle="1" w:styleId="449">
    <w:name w:val="!cellr"/>
    <w:basedOn w:val="447"/>
    <w:qFormat/>
    <w:uiPriority w:val="0"/>
    <w:pPr>
      <w:jc w:val="right"/>
    </w:pPr>
  </w:style>
  <w:style w:type="paragraph" w:customStyle="1" w:styleId="450">
    <w:name w:val="!reference"/>
    <w:basedOn w:val="1"/>
    <w:qFormat/>
    <w:uiPriority w:val="0"/>
    <w:pPr>
      <w:widowControl/>
      <w:numPr>
        <w:ilvl w:val="0"/>
        <w:numId w:val="29"/>
      </w:numPr>
      <w:tabs>
        <w:tab w:val="left" w:pos="360"/>
        <w:tab w:val="clear" w:pos="200"/>
      </w:tabs>
      <w:spacing w:after="100" w:afterAutospacing="1" w:line="240" w:lineRule="auto"/>
      <w:ind w:left="360" w:hanging="360" w:hangingChars="150"/>
      <w:jc w:val="left"/>
    </w:pPr>
    <w:rPr>
      <w:rFonts w:ascii="Times New Roman" w:hAnsi="Times New Roman"/>
      <w:kern w:val="0"/>
    </w:rPr>
  </w:style>
  <w:style w:type="paragraph" w:customStyle="1" w:styleId="451">
    <w:name w:val="!ucheader"/>
    <w:basedOn w:val="1"/>
    <w:qFormat/>
    <w:uiPriority w:val="0"/>
    <w:pPr>
      <w:widowControl/>
      <w:spacing w:afterLines="50" w:line="288" w:lineRule="auto"/>
      <w:ind w:firstLine="0" w:firstLineChars="0"/>
      <w:jc w:val="distribute"/>
    </w:pPr>
    <w:rPr>
      <w:rFonts w:ascii="Times New Roman" w:hAnsi="Times New Roman" w:eastAsia="仿宋_GB2312" w:cs="宋体"/>
      <w:b/>
      <w:kern w:val="0"/>
      <w:lang w:val="fr-FR"/>
    </w:rPr>
  </w:style>
  <w:style w:type="paragraph" w:customStyle="1" w:styleId="452">
    <w:name w:val="数字编号列项（二级）"/>
    <w:qFormat/>
    <w:uiPriority w:val="0"/>
    <w:pPr>
      <w:numPr>
        <w:ilvl w:val="1"/>
        <w:numId w:val="30"/>
      </w:numPr>
      <w:jc w:val="both"/>
    </w:pPr>
    <w:rPr>
      <w:rFonts w:ascii="宋体" w:hAnsi="Times New Roman" w:eastAsia="宋体" w:cs="Times New Roman"/>
      <w:sz w:val="21"/>
      <w:lang w:val="en-US" w:eastAsia="zh-CN" w:bidi="ar-SA"/>
    </w:rPr>
  </w:style>
  <w:style w:type="paragraph" w:customStyle="1" w:styleId="453">
    <w:name w:val="字母编号列项（一级）"/>
    <w:qFormat/>
    <w:uiPriority w:val="0"/>
    <w:pPr>
      <w:numPr>
        <w:ilvl w:val="0"/>
        <w:numId w:val="30"/>
      </w:numPr>
      <w:jc w:val="both"/>
    </w:pPr>
    <w:rPr>
      <w:rFonts w:ascii="宋体" w:hAnsi="Times New Roman" w:eastAsia="宋体" w:cs="Times New Roman"/>
      <w:sz w:val="21"/>
      <w:lang w:val="en-US" w:eastAsia="zh-CN" w:bidi="ar-SA"/>
    </w:rPr>
  </w:style>
  <w:style w:type="paragraph" w:customStyle="1" w:styleId="454">
    <w:name w:val="编号列项（三级）"/>
    <w:qFormat/>
    <w:uiPriority w:val="0"/>
    <w:pPr>
      <w:numPr>
        <w:ilvl w:val="2"/>
        <w:numId w:val="30"/>
      </w:numPr>
    </w:pPr>
    <w:rPr>
      <w:rFonts w:ascii="宋体" w:hAnsi="Times New Roman" w:eastAsia="宋体" w:cs="Times New Roman"/>
      <w:sz w:val="21"/>
      <w:lang w:val="en-US" w:eastAsia="zh-CN" w:bidi="ar-SA"/>
    </w:rPr>
  </w:style>
  <w:style w:type="paragraph" w:customStyle="1" w:styleId="455">
    <w:name w:val="reader-word-layer"/>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456">
    <w:name w:val="标题四"/>
    <w:basedOn w:val="5"/>
    <w:link w:val="457"/>
    <w:qFormat/>
    <w:uiPriority w:val="0"/>
    <w:pPr>
      <w:keepNext w:val="0"/>
      <w:widowControl/>
      <w:numPr>
        <w:ilvl w:val="0"/>
        <w:numId w:val="0"/>
      </w:numPr>
      <w:tabs>
        <w:tab w:val="left" w:pos="1260"/>
      </w:tabs>
      <w:spacing w:before="240" w:beforeLines="100" w:after="240" w:afterLines="100"/>
      <w:ind w:right="100" w:rightChars="100"/>
      <w:jc w:val="left"/>
    </w:pPr>
    <w:rPr>
      <w:bCs w:val="0"/>
      <w:kern w:val="0"/>
      <w:sz w:val="28"/>
      <w:szCs w:val="21"/>
    </w:rPr>
  </w:style>
  <w:style w:type="character" w:customStyle="1" w:styleId="457">
    <w:name w:val="标题四 Char"/>
    <w:link w:val="456"/>
    <w:qFormat/>
    <w:uiPriority w:val="0"/>
    <w:rPr>
      <w:rFonts w:ascii="宋体" w:hAnsi="宋体"/>
      <w:b/>
      <w:sz w:val="28"/>
      <w:szCs w:val="21"/>
    </w:rPr>
  </w:style>
  <w:style w:type="paragraph" w:customStyle="1" w:styleId="458">
    <w:name w:val="条目样式"/>
    <w:basedOn w:val="1"/>
    <w:qFormat/>
    <w:uiPriority w:val="0"/>
    <w:pPr>
      <w:widowControl/>
      <w:numPr>
        <w:ilvl w:val="0"/>
        <w:numId w:val="31"/>
      </w:numPr>
      <w:ind w:firstLine="0" w:firstLineChars="0"/>
      <w:jc w:val="left"/>
    </w:pPr>
    <w:rPr>
      <w:rFonts w:ascii="Times New Roman" w:hAnsi="Times New Roman"/>
      <w:kern w:val="0"/>
      <w:szCs w:val="20"/>
    </w:rPr>
  </w:style>
  <w:style w:type="paragraph" w:customStyle="1" w:styleId="459">
    <w:name w:val="一级目录"/>
    <w:basedOn w:val="2"/>
    <w:qFormat/>
    <w:uiPriority w:val="0"/>
    <w:pPr>
      <w:widowControl/>
      <w:numPr>
        <w:numId w:val="0"/>
      </w:numPr>
      <w:tabs>
        <w:tab w:val="left" w:pos="432"/>
      </w:tabs>
      <w:snapToGrid w:val="0"/>
      <w:spacing w:before="0" w:after="0"/>
      <w:ind w:left="425" w:hanging="425"/>
    </w:pPr>
    <w:rPr>
      <w:rFonts w:eastAsia="宋体"/>
      <w:sz w:val="36"/>
      <w:szCs w:val="36"/>
    </w:rPr>
  </w:style>
  <w:style w:type="paragraph" w:customStyle="1" w:styleId="460">
    <w:name w:val="样式 段后: 6 磅 行距: 1.5 倍行距1"/>
    <w:basedOn w:val="1"/>
    <w:qFormat/>
    <w:uiPriority w:val="0"/>
    <w:pPr>
      <w:widowControl/>
      <w:spacing w:before="100" w:beforeAutospacing="1" w:after="100" w:afterAutospacing="1"/>
      <w:ind w:firstLine="0" w:firstLineChars="0"/>
      <w:jc w:val="left"/>
    </w:pPr>
    <w:rPr>
      <w:rFonts w:ascii="Times New Roman" w:hAnsi="Times New Roman"/>
      <w:kern w:val="0"/>
    </w:rPr>
  </w:style>
  <w:style w:type="paragraph" w:customStyle="1" w:styleId="461">
    <w:name w:val="样式0110-04"/>
    <w:basedOn w:val="5"/>
    <w:qFormat/>
    <w:uiPriority w:val="0"/>
    <w:pPr>
      <w:keepNext w:val="0"/>
      <w:widowControl/>
      <w:numPr>
        <w:ilvl w:val="0"/>
        <w:numId w:val="0"/>
      </w:numPr>
      <w:tabs>
        <w:tab w:val="left" w:pos="1260"/>
      </w:tabs>
      <w:spacing w:before="240" w:beforeLines="100" w:after="240" w:afterLines="100" w:line="240" w:lineRule="auto"/>
      <w:ind w:left="1573" w:right="100" w:rightChars="100" w:hanging="851"/>
      <w:jc w:val="left"/>
    </w:pPr>
    <w:rPr>
      <w:rFonts w:ascii="黑体"/>
      <w:bCs w:val="0"/>
      <w:kern w:val="0"/>
      <w:sz w:val="28"/>
      <w:szCs w:val="20"/>
    </w:rPr>
  </w:style>
  <w:style w:type="paragraph" w:customStyle="1" w:styleId="462">
    <w:name w:val="样式0110-03"/>
    <w:basedOn w:val="4"/>
    <w:qFormat/>
    <w:uiPriority w:val="0"/>
    <w:pPr>
      <w:widowControl/>
      <w:numPr>
        <w:ilvl w:val="0"/>
        <w:numId w:val="0"/>
      </w:numPr>
      <w:spacing w:before="260" w:beforeLines="100" w:after="260" w:line="413" w:lineRule="auto"/>
      <w:ind w:left="862" w:right="34" w:hanging="709"/>
      <w:jc w:val="left"/>
    </w:pPr>
    <w:rPr>
      <w:rFonts w:ascii="Arial" w:hAnsi="Arial"/>
      <w:bCs w:val="0"/>
      <w:kern w:val="0"/>
      <w:sz w:val="30"/>
      <w:szCs w:val="20"/>
    </w:rPr>
  </w:style>
  <w:style w:type="paragraph" w:customStyle="1" w:styleId="463">
    <w:name w:val="正文对中"/>
    <w:basedOn w:val="1"/>
    <w:qFormat/>
    <w:uiPriority w:val="0"/>
    <w:pPr>
      <w:widowControl/>
      <w:adjustRightInd w:val="0"/>
      <w:spacing w:line="400" w:lineRule="atLeast"/>
      <w:ind w:firstLine="0" w:firstLineChars="0"/>
      <w:jc w:val="center"/>
      <w:textAlignment w:val="baseline"/>
    </w:pPr>
    <w:rPr>
      <w:rFonts w:hAnsi="Times New Roman"/>
      <w:kern w:val="0"/>
      <w:szCs w:val="20"/>
    </w:rPr>
  </w:style>
  <w:style w:type="paragraph" w:customStyle="1" w:styleId="464">
    <w:name w:val="段落"/>
    <w:qFormat/>
    <w:uiPriority w:val="0"/>
    <w:pPr>
      <w:ind w:firstLine="480"/>
    </w:pPr>
    <w:rPr>
      <w:rFonts w:ascii="宋体" w:hAnsi="宋体" w:eastAsia="宋体" w:cs="Times New Roman"/>
      <w:lang w:val="en-US" w:eastAsia="zh-CN" w:bidi="ar-SA"/>
    </w:rPr>
  </w:style>
  <w:style w:type="paragraph" w:customStyle="1" w:styleId="465">
    <w:name w:val="列出段落3"/>
    <w:basedOn w:val="1"/>
    <w:qFormat/>
    <w:uiPriority w:val="34"/>
    <w:pPr>
      <w:widowControl/>
      <w:spacing w:line="240" w:lineRule="auto"/>
      <w:ind w:firstLine="420"/>
      <w:jc w:val="left"/>
    </w:pPr>
    <w:rPr>
      <w:rFonts w:ascii="Times New Roman" w:hAnsi="Times New Roman"/>
      <w:kern w:val="0"/>
      <w:szCs w:val="20"/>
    </w:rPr>
  </w:style>
  <w:style w:type="character" w:customStyle="1" w:styleId="466">
    <w:name w:val="title-text"/>
    <w:basedOn w:val="63"/>
    <w:qFormat/>
    <w:uiPriority w:val="0"/>
  </w:style>
  <w:style w:type="paragraph" w:customStyle="1" w:styleId="467">
    <w:name w:val="标题二"/>
    <w:basedOn w:val="3"/>
    <w:link w:val="468"/>
    <w:qFormat/>
    <w:uiPriority w:val="0"/>
    <w:pPr>
      <w:widowControl/>
      <w:numPr>
        <w:ilvl w:val="0"/>
        <w:numId w:val="0"/>
      </w:numPr>
      <w:spacing w:before="260" w:beforeLines="100" w:after="260"/>
      <w:jc w:val="left"/>
    </w:pPr>
    <w:rPr>
      <w:bCs w:val="0"/>
      <w:kern w:val="0"/>
      <w:sz w:val="32"/>
      <w:szCs w:val="21"/>
    </w:rPr>
  </w:style>
  <w:style w:type="character" w:customStyle="1" w:styleId="468">
    <w:name w:val="标题二 Char"/>
    <w:link w:val="467"/>
    <w:qFormat/>
    <w:uiPriority w:val="0"/>
    <w:rPr>
      <w:rFonts w:ascii="宋体" w:hAnsi="宋体"/>
      <w:b/>
      <w:sz w:val="32"/>
      <w:szCs w:val="21"/>
    </w:rPr>
  </w:style>
  <w:style w:type="character" w:customStyle="1" w:styleId="469">
    <w:name w:val="标题三 Char"/>
    <w:qFormat/>
    <w:uiPriority w:val="0"/>
    <w:rPr>
      <w:rFonts w:ascii="宋体" w:hAnsi="宋体" w:cs="Arial"/>
      <w:b/>
      <w:color w:val="000000"/>
      <w:sz w:val="30"/>
      <w:szCs w:val="21"/>
    </w:rPr>
  </w:style>
  <w:style w:type="paragraph" w:customStyle="1" w:styleId="470">
    <w:name w:val="标题一"/>
    <w:basedOn w:val="2"/>
    <w:qFormat/>
    <w:uiPriority w:val="0"/>
    <w:pPr>
      <w:widowControl/>
      <w:numPr>
        <w:numId w:val="0"/>
      </w:numPr>
      <w:spacing w:before="340" w:beforeLines="100" w:after="330"/>
    </w:pPr>
    <w:rPr>
      <w:bCs w:val="0"/>
      <w:sz w:val="44"/>
      <w:szCs w:val="21"/>
    </w:rPr>
  </w:style>
  <w:style w:type="paragraph" w:customStyle="1" w:styleId="471">
    <w:name w:val="正文+20磅"/>
    <w:basedOn w:val="1"/>
    <w:qFormat/>
    <w:uiPriority w:val="0"/>
    <w:pPr>
      <w:widowControl/>
      <w:spacing w:before="120" w:after="120" w:line="400" w:lineRule="exact"/>
      <w:jc w:val="left"/>
    </w:pPr>
    <w:rPr>
      <w:rFonts w:ascii="Times New Roman" w:hAnsi="Times New Roman"/>
      <w:kern w:val="0"/>
    </w:rPr>
  </w:style>
  <w:style w:type="paragraph" w:customStyle="1" w:styleId="472">
    <w:name w:val="五级目录"/>
    <w:basedOn w:val="221"/>
    <w:next w:val="1"/>
    <w:link w:val="473"/>
    <w:qFormat/>
    <w:uiPriority w:val="0"/>
    <w:pPr>
      <w:adjustRightInd w:val="0"/>
      <w:snapToGrid w:val="0"/>
      <w:spacing w:beforeLines="50" w:afterLines="50"/>
      <w:ind w:firstLine="0" w:firstLineChars="0"/>
      <w:jc w:val="both"/>
      <w:outlineLvl w:val="4"/>
    </w:pPr>
    <w:rPr>
      <w:rFonts w:ascii="Arial" w:hAnsi="Arial" w:eastAsia="宋体"/>
      <w:b/>
      <w:kern w:val="2"/>
      <w:sz w:val="24"/>
    </w:rPr>
  </w:style>
  <w:style w:type="character" w:customStyle="1" w:styleId="473">
    <w:name w:val="五级目录 Char"/>
    <w:link w:val="472"/>
    <w:qFormat/>
    <w:uiPriority w:val="0"/>
    <w:rPr>
      <w:rFonts w:ascii="Arial" w:hAnsi="Arial"/>
      <w:b/>
      <w:kern w:val="2"/>
      <w:sz w:val="24"/>
      <w:szCs w:val="28"/>
    </w:rPr>
  </w:style>
  <w:style w:type="paragraph" w:customStyle="1" w:styleId="474">
    <w:name w:val="MM Topic 4"/>
    <w:basedOn w:val="5"/>
    <w:link w:val="475"/>
    <w:qFormat/>
    <w:uiPriority w:val="0"/>
    <w:pPr>
      <w:widowControl/>
      <w:numPr>
        <w:numId w:val="0"/>
      </w:numPr>
      <w:tabs>
        <w:tab w:val="left" w:pos="864"/>
      </w:tabs>
      <w:spacing w:before="240" w:beforeLines="50" w:after="240" w:afterLines="50"/>
      <w:ind w:right="100" w:rightChars="100"/>
      <w:jc w:val="left"/>
    </w:pPr>
    <w:rPr>
      <w:rFonts w:ascii="Arial" w:hAnsi="Arial" w:eastAsiaTheme="minorEastAsia"/>
      <w:kern w:val="0"/>
      <w:sz w:val="28"/>
      <w:szCs w:val="28"/>
    </w:rPr>
  </w:style>
  <w:style w:type="character" w:customStyle="1" w:styleId="475">
    <w:name w:val="MM Topic 4 Char"/>
    <w:link w:val="474"/>
    <w:qFormat/>
    <w:uiPriority w:val="0"/>
    <w:rPr>
      <w:rFonts w:ascii="Arial" w:hAnsi="Arial" w:eastAsiaTheme="minorEastAsia"/>
      <w:b/>
      <w:bCs/>
      <w:sz w:val="28"/>
      <w:szCs w:val="28"/>
    </w:rPr>
  </w:style>
  <w:style w:type="paragraph" w:customStyle="1" w:styleId="476">
    <w:name w:val="正文小4"/>
    <w:basedOn w:val="1"/>
    <w:link w:val="477"/>
    <w:qFormat/>
    <w:uiPriority w:val="0"/>
    <w:pPr>
      <w:widowControl/>
      <w:ind w:firstLine="485" w:firstLineChars="0"/>
      <w:jc w:val="left"/>
    </w:pPr>
    <w:rPr>
      <w:rFonts w:asciiTheme="minorEastAsia" w:hAnsiTheme="minorEastAsia"/>
      <w:kern w:val="0"/>
    </w:rPr>
  </w:style>
  <w:style w:type="character" w:customStyle="1" w:styleId="477">
    <w:name w:val="正文小4 Char"/>
    <w:basedOn w:val="63"/>
    <w:link w:val="476"/>
    <w:qFormat/>
    <w:uiPriority w:val="0"/>
    <w:rPr>
      <w:rFonts w:asciiTheme="minorEastAsia" w:hAnsiTheme="minorEastAsia"/>
      <w:sz w:val="24"/>
      <w:szCs w:val="24"/>
    </w:rPr>
  </w:style>
  <w:style w:type="paragraph" w:customStyle="1" w:styleId="478">
    <w:name w:val="小标题1"/>
    <w:basedOn w:val="391"/>
    <w:link w:val="479"/>
    <w:qFormat/>
    <w:uiPriority w:val="0"/>
    <w:pPr>
      <w:numPr>
        <w:ilvl w:val="0"/>
        <w:numId w:val="32"/>
      </w:numPr>
      <w:jc w:val="left"/>
    </w:pPr>
  </w:style>
  <w:style w:type="character" w:customStyle="1" w:styleId="479">
    <w:name w:val="小标题1 Char"/>
    <w:basedOn w:val="392"/>
    <w:link w:val="478"/>
    <w:qFormat/>
    <w:uiPriority w:val="0"/>
    <w:rPr>
      <w:rFonts w:asciiTheme="minorEastAsia" w:hAnsiTheme="minorEastAsia"/>
      <w:color w:val="000000"/>
      <w:sz w:val="24"/>
      <w:szCs w:val="24"/>
      <w:lang w:val="zh-CN"/>
    </w:rPr>
  </w:style>
  <w:style w:type="paragraph" w:customStyle="1" w:styleId="480">
    <w:name w:val="小标题2"/>
    <w:basedOn w:val="391"/>
    <w:link w:val="481"/>
    <w:qFormat/>
    <w:uiPriority w:val="0"/>
    <w:pPr>
      <w:numPr>
        <w:ilvl w:val="0"/>
        <w:numId w:val="33"/>
      </w:numPr>
      <w:ind w:left="709" w:firstLine="0"/>
      <w:jc w:val="left"/>
    </w:pPr>
    <w:rPr>
      <w:b w:val="0"/>
    </w:rPr>
  </w:style>
  <w:style w:type="character" w:customStyle="1" w:styleId="481">
    <w:name w:val="小标题2 Char"/>
    <w:basedOn w:val="392"/>
    <w:link w:val="480"/>
    <w:qFormat/>
    <w:uiPriority w:val="0"/>
    <w:rPr>
      <w:rFonts w:asciiTheme="minorEastAsia" w:hAnsiTheme="minorEastAsia"/>
      <w:b w:val="0"/>
      <w:color w:val="000000"/>
      <w:sz w:val="24"/>
      <w:szCs w:val="24"/>
      <w:lang w:val="zh-CN"/>
    </w:rPr>
  </w:style>
  <w:style w:type="paragraph" w:customStyle="1" w:styleId="482">
    <w:name w:val="table正文"/>
    <w:basedOn w:val="1"/>
    <w:link w:val="483"/>
    <w:qFormat/>
    <w:uiPriority w:val="0"/>
    <w:pPr>
      <w:widowControl/>
      <w:spacing w:line="240" w:lineRule="auto"/>
      <w:ind w:firstLine="0" w:firstLineChars="0"/>
      <w:jc w:val="left"/>
    </w:pPr>
    <w:rPr>
      <w:rFonts w:asciiTheme="minorEastAsia" w:hAnsiTheme="minorEastAsia"/>
      <w:kern w:val="0"/>
    </w:rPr>
  </w:style>
  <w:style w:type="character" w:customStyle="1" w:styleId="483">
    <w:name w:val="table正文 Char"/>
    <w:basedOn w:val="63"/>
    <w:link w:val="482"/>
    <w:qFormat/>
    <w:uiPriority w:val="0"/>
    <w:rPr>
      <w:rFonts w:asciiTheme="minorEastAsia" w:hAnsiTheme="minorEastAsia"/>
      <w:sz w:val="24"/>
      <w:szCs w:val="24"/>
    </w:rPr>
  </w:style>
  <w:style w:type="paragraph" w:customStyle="1" w:styleId="484">
    <w:name w:val="_正文段落"/>
    <w:basedOn w:val="1"/>
    <w:qFormat/>
    <w:uiPriority w:val="0"/>
    <w:pPr>
      <w:widowControl/>
      <w:spacing w:beforeLines="15" w:afterLines="15"/>
      <w:jc w:val="left"/>
    </w:pPr>
    <w:rPr>
      <w:kern w:val="0"/>
    </w:rPr>
  </w:style>
  <w:style w:type="paragraph" w:customStyle="1" w:styleId="485">
    <w:name w:val="正文3"/>
    <w:basedOn w:val="1"/>
    <w:qFormat/>
    <w:uiPriority w:val="0"/>
    <w:pPr>
      <w:widowControl/>
      <w:spacing w:before="60" w:after="60"/>
      <w:ind w:firstLine="0" w:firstLineChars="0"/>
      <w:jc w:val="left"/>
      <w:outlineLvl w:val="8"/>
    </w:pPr>
    <w:rPr>
      <w:rFonts w:ascii="Times New Roman" w:hAnsi="Times New Roman"/>
      <w:kern w:val="0"/>
      <w:szCs w:val="21"/>
    </w:rPr>
  </w:style>
  <w:style w:type="paragraph" w:customStyle="1" w:styleId="486">
    <w:name w:val="正文4"/>
    <w:basedOn w:val="1"/>
    <w:qFormat/>
    <w:uiPriority w:val="0"/>
    <w:pPr>
      <w:widowControl/>
      <w:numPr>
        <w:ilvl w:val="0"/>
        <w:numId w:val="34"/>
      </w:numPr>
      <w:spacing w:before="60" w:after="60"/>
      <w:ind w:left="820" w:leftChars="400" w:firstLine="0" w:firstLineChars="0"/>
      <w:jc w:val="left"/>
    </w:pPr>
    <w:rPr>
      <w:rFonts w:ascii="Times New Roman" w:hAnsi="Times New Roman"/>
      <w:kern w:val="0"/>
    </w:rPr>
  </w:style>
  <w:style w:type="character" w:customStyle="1" w:styleId="487">
    <w:name w:val="QB正文 Char"/>
    <w:link w:val="488"/>
    <w:qFormat/>
    <w:uiPriority w:val="0"/>
    <w:rPr>
      <w:rFonts w:ascii="宋体"/>
    </w:rPr>
  </w:style>
  <w:style w:type="paragraph" w:customStyle="1" w:styleId="488">
    <w:name w:val="QB正文"/>
    <w:basedOn w:val="1"/>
    <w:link w:val="487"/>
    <w:qFormat/>
    <w:uiPriority w:val="0"/>
    <w:pPr>
      <w:widowControl/>
      <w:autoSpaceDE w:val="0"/>
      <w:autoSpaceDN w:val="0"/>
      <w:spacing w:line="240" w:lineRule="auto"/>
      <w:ind w:firstLine="200"/>
      <w:jc w:val="left"/>
    </w:pPr>
    <w:rPr>
      <w:rFonts w:hAnsi="Times New Roman"/>
      <w:kern w:val="0"/>
      <w:sz w:val="20"/>
      <w:szCs w:val="20"/>
    </w:rPr>
  </w:style>
  <w:style w:type="paragraph" w:customStyle="1" w:styleId="489">
    <w:name w:val="正文5号"/>
    <w:basedOn w:val="1"/>
    <w:link w:val="490"/>
    <w:qFormat/>
    <w:uiPriority w:val="0"/>
    <w:pPr>
      <w:widowControl/>
      <w:spacing w:line="240" w:lineRule="auto"/>
      <w:ind w:firstLine="424" w:firstLineChars="202"/>
      <w:jc w:val="left"/>
    </w:pPr>
    <w:rPr>
      <w:rFonts w:asciiTheme="minorEastAsia" w:hAnsiTheme="minorEastAsia"/>
      <w:kern w:val="0"/>
    </w:rPr>
  </w:style>
  <w:style w:type="character" w:customStyle="1" w:styleId="490">
    <w:name w:val="正文5号 Char"/>
    <w:basedOn w:val="63"/>
    <w:link w:val="489"/>
    <w:qFormat/>
    <w:uiPriority w:val="0"/>
    <w:rPr>
      <w:rFonts w:asciiTheme="minorEastAsia" w:hAnsiTheme="minorEastAsia"/>
      <w:sz w:val="24"/>
      <w:szCs w:val="24"/>
    </w:rPr>
  </w:style>
  <w:style w:type="paragraph" w:customStyle="1" w:styleId="491">
    <w:name w:val="小标题 1"/>
    <w:basedOn w:val="1"/>
    <w:link w:val="492"/>
    <w:qFormat/>
    <w:uiPriority w:val="0"/>
    <w:pPr>
      <w:widowControl/>
      <w:numPr>
        <w:ilvl w:val="0"/>
        <w:numId w:val="35"/>
      </w:numPr>
      <w:spacing w:line="240" w:lineRule="auto"/>
      <w:ind w:firstLine="0" w:firstLineChars="0"/>
      <w:jc w:val="left"/>
    </w:pPr>
    <w:rPr>
      <w:color w:val="000000"/>
      <w:kern w:val="0"/>
      <w:lang w:val="zh-CN"/>
    </w:rPr>
  </w:style>
  <w:style w:type="character" w:customStyle="1" w:styleId="492">
    <w:name w:val="小标题 1 Char"/>
    <w:basedOn w:val="392"/>
    <w:link w:val="491"/>
    <w:qFormat/>
    <w:uiPriority w:val="0"/>
    <w:rPr>
      <w:rFonts w:ascii="宋体" w:hAnsi="宋体"/>
      <w:b w:val="0"/>
      <w:color w:val="000000"/>
      <w:sz w:val="24"/>
      <w:szCs w:val="24"/>
      <w:lang w:val="zh-CN"/>
    </w:rPr>
  </w:style>
  <w:style w:type="paragraph" w:customStyle="1" w:styleId="493">
    <w:name w:val="正文 表格"/>
    <w:basedOn w:val="489"/>
    <w:link w:val="494"/>
    <w:qFormat/>
    <w:uiPriority w:val="0"/>
    <w:pPr>
      <w:ind w:left="-2" w:leftChars="-1" w:firstLine="0" w:firstLineChars="0"/>
    </w:pPr>
  </w:style>
  <w:style w:type="character" w:customStyle="1" w:styleId="494">
    <w:name w:val="正文 表格 Char"/>
    <w:basedOn w:val="490"/>
    <w:link w:val="493"/>
    <w:qFormat/>
    <w:uiPriority w:val="0"/>
    <w:rPr>
      <w:rFonts w:asciiTheme="minorEastAsia" w:hAnsiTheme="minorEastAsia"/>
      <w:sz w:val="24"/>
      <w:szCs w:val="24"/>
    </w:rPr>
  </w:style>
  <w:style w:type="paragraph" w:customStyle="1" w:styleId="495">
    <w:name w:val="小标题 2"/>
    <w:basedOn w:val="491"/>
    <w:link w:val="496"/>
    <w:qFormat/>
    <w:uiPriority w:val="0"/>
    <w:pPr>
      <w:numPr>
        <w:numId w:val="36"/>
      </w:numPr>
      <w:ind w:firstLine="6"/>
    </w:pPr>
  </w:style>
  <w:style w:type="character" w:customStyle="1" w:styleId="496">
    <w:name w:val="小标题 2 Char"/>
    <w:basedOn w:val="492"/>
    <w:link w:val="495"/>
    <w:qFormat/>
    <w:uiPriority w:val="0"/>
    <w:rPr>
      <w:rFonts w:ascii="宋体" w:hAnsi="宋体"/>
      <w:color w:val="000000"/>
      <w:sz w:val="24"/>
      <w:szCs w:val="24"/>
      <w:lang w:val="zh-CN"/>
    </w:rPr>
  </w:style>
  <w:style w:type="paragraph" w:customStyle="1" w:styleId="497">
    <w:name w:val="[正文]"/>
    <w:basedOn w:val="1"/>
    <w:link w:val="498"/>
    <w:qFormat/>
    <w:uiPriority w:val="0"/>
    <w:pPr>
      <w:widowControl/>
      <w:jc w:val="left"/>
    </w:pPr>
    <w:rPr>
      <w:rFonts w:ascii="Times New Roman" w:hAnsi="Times New Roman" w:cs="宋体"/>
      <w:kern w:val="0"/>
      <w:szCs w:val="20"/>
    </w:rPr>
  </w:style>
  <w:style w:type="character" w:customStyle="1" w:styleId="498">
    <w:name w:val="[正文] Char"/>
    <w:basedOn w:val="63"/>
    <w:link w:val="497"/>
    <w:qFormat/>
    <w:uiPriority w:val="0"/>
    <w:rPr>
      <w:rFonts w:cs="宋体"/>
      <w:sz w:val="24"/>
    </w:rPr>
  </w:style>
  <w:style w:type="paragraph" w:customStyle="1" w:styleId="499">
    <w:name w:val="●副标题1"/>
    <w:next w:val="1"/>
    <w:link w:val="500"/>
    <w:qFormat/>
    <w:uiPriority w:val="0"/>
    <w:pPr>
      <w:numPr>
        <w:ilvl w:val="0"/>
        <w:numId w:val="37"/>
      </w:numPr>
      <w:spacing w:line="360" w:lineRule="auto"/>
    </w:pPr>
    <w:rPr>
      <w:rFonts w:ascii="宋体" w:hAnsi="宋体" w:eastAsia="宋体" w:cstheme="minorBidi"/>
      <w:kern w:val="2"/>
      <w:sz w:val="24"/>
      <w:szCs w:val="24"/>
      <w:lang w:val="en-US" w:eastAsia="zh-CN" w:bidi="ar-SA"/>
    </w:rPr>
  </w:style>
  <w:style w:type="character" w:customStyle="1" w:styleId="500">
    <w:name w:val="●副标题1 Char"/>
    <w:basedOn w:val="63"/>
    <w:link w:val="499"/>
    <w:qFormat/>
    <w:uiPriority w:val="0"/>
    <w:rPr>
      <w:rFonts w:ascii="宋体" w:hAnsi="宋体" w:cstheme="minorBidi"/>
      <w:kern w:val="2"/>
      <w:sz w:val="24"/>
      <w:szCs w:val="24"/>
    </w:rPr>
  </w:style>
  <w:style w:type="paragraph" w:customStyle="1" w:styleId="501">
    <w:name w:val="样式 标题 3第二层条Level 3 HeadH3h3l3CTHeading 3 - oldFab-3Aria...1"/>
    <w:basedOn w:val="4"/>
    <w:qFormat/>
    <w:uiPriority w:val="0"/>
    <w:pPr>
      <w:widowControl/>
      <w:numPr>
        <w:numId w:val="37"/>
      </w:numPr>
      <w:tabs>
        <w:tab w:val="left" w:pos="578"/>
      </w:tabs>
      <w:spacing w:before="0" w:after="260"/>
      <w:ind w:left="578" w:hanging="578"/>
      <w:jc w:val="left"/>
    </w:pPr>
    <w:rPr>
      <w:rFonts w:ascii="Arial" w:hAnsi="Arial"/>
      <w:kern w:val="0"/>
      <w:szCs w:val="32"/>
    </w:rPr>
  </w:style>
  <w:style w:type="character" w:customStyle="1" w:styleId="502">
    <w:name w:val="小标题 Char"/>
    <w:basedOn w:val="63"/>
    <w:link w:val="503"/>
    <w:qFormat/>
    <w:uiPriority w:val="0"/>
    <w:rPr>
      <w:rFonts w:ascii="Calibri" w:hAnsi="Calibri"/>
      <w:sz w:val="24"/>
      <w:szCs w:val="24"/>
    </w:rPr>
  </w:style>
  <w:style w:type="paragraph" w:customStyle="1" w:styleId="503">
    <w:name w:val="小标题"/>
    <w:basedOn w:val="91"/>
    <w:link w:val="502"/>
    <w:qFormat/>
    <w:uiPriority w:val="0"/>
    <w:pPr>
      <w:widowControl/>
      <w:numPr>
        <w:ilvl w:val="0"/>
        <w:numId w:val="38"/>
      </w:numPr>
      <w:ind w:firstLine="0" w:firstLineChars="0"/>
      <w:jc w:val="left"/>
    </w:pPr>
    <w:rPr>
      <w:rFonts w:ascii="Calibri" w:hAnsi="Calibri"/>
      <w:kern w:val="0"/>
      <w:sz w:val="24"/>
    </w:rPr>
  </w:style>
  <w:style w:type="paragraph" w:customStyle="1" w:styleId="504">
    <w:name w:val="表格文本居中 +加重"/>
    <w:basedOn w:val="1"/>
    <w:link w:val="505"/>
    <w:qFormat/>
    <w:uiPriority w:val="0"/>
    <w:pPr>
      <w:widowControl/>
      <w:spacing w:line="240" w:lineRule="auto"/>
      <w:ind w:firstLine="0" w:firstLineChars="0"/>
      <w:jc w:val="center"/>
    </w:pPr>
    <w:rPr>
      <w:rFonts w:ascii="Times New Roman" w:hAnsi="Times New Roman"/>
      <w:b/>
      <w:kern w:val="0"/>
    </w:rPr>
  </w:style>
  <w:style w:type="character" w:customStyle="1" w:styleId="505">
    <w:name w:val="表格文本居中 +加重 Char"/>
    <w:link w:val="504"/>
    <w:qFormat/>
    <w:uiPriority w:val="0"/>
    <w:rPr>
      <w:b/>
      <w:sz w:val="24"/>
      <w:szCs w:val="24"/>
    </w:rPr>
  </w:style>
  <w:style w:type="character" w:customStyle="1" w:styleId="506">
    <w:name w:val="正文首行缩进 Char1"/>
    <w:basedOn w:val="89"/>
    <w:qFormat/>
    <w:uiPriority w:val="0"/>
    <w:rPr>
      <w:rFonts w:asciiTheme="minorHAnsi" w:hAnsiTheme="minorHAnsi" w:eastAsiaTheme="minorEastAsia" w:cstheme="minorBidi"/>
      <w:kern w:val="2"/>
      <w:sz w:val="21"/>
      <w:szCs w:val="24"/>
      <w:lang w:val="zh-CN" w:eastAsia="zh-CN"/>
    </w:rPr>
  </w:style>
  <w:style w:type="paragraph" w:customStyle="1" w:styleId="507">
    <w:name w:val="[new]正文"/>
    <w:basedOn w:val="1"/>
    <w:link w:val="508"/>
    <w:qFormat/>
    <w:uiPriority w:val="0"/>
    <w:pPr>
      <w:widowControl/>
      <w:ind w:firstLine="420"/>
      <w:jc w:val="left"/>
    </w:pPr>
    <w:rPr>
      <w:rFonts w:cs="Arial"/>
      <w:kern w:val="0"/>
      <w:szCs w:val="21"/>
    </w:rPr>
  </w:style>
  <w:style w:type="character" w:customStyle="1" w:styleId="508">
    <w:name w:val="[new]正文 Char"/>
    <w:basedOn w:val="63"/>
    <w:link w:val="507"/>
    <w:qFormat/>
    <w:uiPriority w:val="0"/>
    <w:rPr>
      <w:rFonts w:ascii="宋体" w:hAnsi="宋体" w:cs="Arial"/>
      <w:sz w:val="24"/>
      <w:szCs w:val="21"/>
    </w:rPr>
  </w:style>
  <w:style w:type="paragraph" w:customStyle="1" w:styleId="509">
    <w:name w:val="[new]题图居中"/>
    <w:basedOn w:val="1"/>
    <w:next w:val="1"/>
    <w:link w:val="510"/>
    <w:qFormat/>
    <w:uiPriority w:val="0"/>
    <w:pPr>
      <w:widowControl/>
      <w:spacing w:line="240" w:lineRule="auto"/>
      <w:ind w:firstLine="0" w:firstLineChars="0"/>
      <w:jc w:val="center"/>
    </w:pPr>
    <w:rPr>
      <w:rFonts w:eastAsia="黑体"/>
      <w:b/>
      <w:kern w:val="0"/>
      <w:sz w:val="20"/>
      <w:szCs w:val="20"/>
    </w:rPr>
  </w:style>
  <w:style w:type="character" w:customStyle="1" w:styleId="510">
    <w:name w:val="[new]题图居中 Char"/>
    <w:basedOn w:val="63"/>
    <w:link w:val="509"/>
    <w:qFormat/>
    <w:uiPriority w:val="0"/>
    <w:rPr>
      <w:rFonts w:ascii="宋体" w:hAnsi="宋体" w:eastAsia="黑体"/>
      <w:b/>
    </w:rPr>
  </w:style>
  <w:style w:type="paragraph" w:customStyle="1" w:styleId="511">
    <w:name w:val="Style Outline numbered 楷体_GB2312 小四 Bold"/>
    <w:basedOn w:val="5"/>
    <w:qFormat/>
    <w:uiPriority w:val="0"/>
    <w:pPr>
      <w:widowControl/>
      <w:numPr>
        <w:ilvl w:val="0"/>
        <w:numId w:val="0"/>
      </w:numPr>
      <w:tabs>
        <w:tab w:val="left" w:pos="2356"/>
      </w:tabs>
      <w:ind w:left="1984" w:right="100" w:rightChars="100" w:hanging="708"/>
      <w:jc w:val="left"/>
    </w:pPr>
    <w:rPr>
      <w:rFonts w:ascii="楷体_GB2312" w:hAnsi="楷体_GB2312" w:eastAsia="楷体_GB2312"/>
      <w:kern w:val="0"/>
      <w:sz w:val="24"/>
      <w:szCs w:val="28"/>
    </w:rPr>
  </w:style>
  <w:style w:type="character" w:customStyle="1" w:styleId="512">
    <w:name w:val="正文（绿盟科技） Char"/>
    <w:link w:val="513"/>
    <w:qFormat/>
    <w:uiPriority w:val="0"/>
    <w:rPr>
      <w:rFonts w:ascii="Arial" w:hAnsi="Arial"/>
      <w:sz w:val="24"/>
      <w:szCs w:val="21"/>
    </w:rPr>
  </w:style>
  <w:style w:type="paragraph" w:customStyle="1" w:styleId="513">
    <w:name w:val="正文（绿盟科技）"/>
    <w:link w:val="512"/>
    <w:qFormat/>
    <w:uiPriority w:val="0"/>
    <w:pPr>
      <w:spacing w:line="300" w:lineRule="auto"/>
    </w:pPr>
    <w:rPr>
      <w:rFonts w:ascii="Arial" w:hAnsi="Arial" w:eastAsia="宋体" w:cs="Times New Roman"/>
      <w:sz w:val="24"/>
      <w:szCs w:val="21"/>
      <w:lang w:val="en-US" w:eastAsia="zh-CN" w:bidi="ar-SA"/>
    </w:rPr>
  </w:style>
  <w:style w:type="paragraph" w:customStyle="1" w:styleId="514">
    <w:name w:val="标题 3（绿盟科技）"/>
    <w:basedOn w:val="4"/>
    <w:next w:val="513"/>
    <w:qFormat/>
    <w:uiPriority w:val="0"/>
    <w:pPr>
      <w:widowControl/>
      <w:numPr>
        <w:ilvl w:val="0"/>
        <w:numId w:val="0"/>
      </w:numPr>
      <w:tabs>
        <w:tab w:val="left" w:pos="960"/>
        <w:tab w:val="left" w:pos="2160"/>
      </w:tabs>
      <w:spacing w:before="260" w:after="260" w:line="415" w:lineRule="auto"/>
      <w:ind w:left="2160" w:hanging="720"/>
      <w:jc w:val="left"/>
    </w:pPr>
    <w:rPr>
      <w:rFonts w:ascii="Arial" w:hAnsi="Arial" w:eastAsia="黑体"/>
      <w:bCs w:val="0"/>
      <w:kern w:val="0"/>
      <w:sz w:val="30"/>
      <w:szCs w:val="30"/>
    </w:rPr>
  </w:style>
  <w:style w:type="paragraph" w:customStyle="1" w:styleId="515">
    <w:name w:val="标题 4（绿盟科技）"/>
    <w:basedOn w:val="5"/>
    <w:next w:val="513"/>
    <w:qFormat/>
    <w:uiPriority w:val="0"/>
    <w:pPr>
      <w:widowControl/>
      <w:numPr>
        <w:ilvl w:val="0"/>
        <w:numId w:val="0"/>
      </w:numPr>
      <w:tabs>
        <w:tab w:val="left" w:pos="2880"/>
      </w:tabs>
      <w:spacing w:before="280" w:after="156" w:line="376" w:lineRule="auto"/>
      <w:ind w:left="2880" w:right="100" w:rightChars="100" w:hanging="720"/>
      <w:jc w:val="left"/>
    </w:pPr>
    <w:rPr>
      <w:rFonts w:ascii="Arial" w:hAnsi="Arial" w:eastAsia="黑体"/>
      <w:bCs w:val="0"/>
      <w:kern w:val="0"/>
      <w:sz w:val="28"/>
      <w:szCs w:val="28"/>
    </w:rPr>
  </w:style>
  <w:style w:type="paragraph" w:customStyle="1" w:styleId="516">
    <w:name w:val="标题 5（有编号）（绿盟科技）"/>
    <w:basedOn w:val="1"/>
    <w:next w:val="513"/>
    <w:qFormat/>
    <w:uiPriority w:val="0"/>
    <w:pPr>
      <w:keepNext/>
      <w:keepLines/>
      <w:widowControl/>
      <w:numPr>
        <w:ilvl w:val="0"/>
        <w:numId w:val="39"/>
      </w:numPr>
      <w:spacing w:before="280" w:after="156" w:line="377" w:lineRule="auto"/>
      <w:ind w:firstLine="0" w:firstLineChars="0"/>
      <w:jc w:val="left"/>
      <w:outlineLvl w:val="4"/>
    </w:pPr>
    <w:rPr>
      <w:rFonts w:ascii="Arial" w:hAnsi="Arial" w:eastAsia="黑体"/>
      <w:b/>
      <w:kern w:val="0"/>
      <w:szCs w:val="28"/>
    </w:rPr>
  </w:style>
  <w:style w:type="paragraph" w:customStyle="1" w:styleId="517">
    <w:name w:val="Paragraph"/>
    <w:qFormat/>
    <w:uiPriority w:val="99"/>
    <w:pPr>
      <w:widowControl w:val="0"/>
      <w:suppressAutoHyphens/>
      <w:autoSpaceDE w:val="0"/>
      <w:autoSpaceDN w:val="0"/>
      <w:adjustRightInd w:val="0"/>
      <w:spacing w:line="480" w:lineRule="atLeast"/>
    </w:pPr>
    <w:rPr>
      <w:rFonts w:ascii="AvenirNext-Regular" w:hAnsi="AvenirNext-Regular" w:cs="AvenirNext-Regular" w:eastAsiaTheme="minorEastAsia"/>
      <w:sz w:val="24"/>
      <w:szCs w:val="24"/>
      <w:lang w:val="en-US" w:eastAsia="zh-CN" w:bidi="ar-SA"/>
    </w:rPr>
  </w:style>
  <w:style w:type="paragraph" w:customStyle="1" w:styleId="518">
    <w:name w:val="舟式样-正文"/>
    <w:basedOn w:val="1"/>
    <w:qFormat/>
    <w:uiPriority w:val="0"/>
    <w:pPr>
      <w:widowControl/>
      <w:ind w:firstLine="560"/>
      <w:jc w:val="left"/>
    </w:pPr>
    <w:rPr>
      <w:rFonts w:ascii="仿宋_GB2312" w:hAnsi="Times New Roman" w:eastAsia="仿宋_GB2312"/>
      <w:kern w:val="0"/>
      <w:sz w:val="28"/>
      <w:szCs w:val="28"/>
    </w:rPr>
  </w:style>
  <w:style w:type="paragraph" w:customStyle="1" w:styleId="519">
    <w:name w:val="文档正文 Char"/>
    <w:basedOn w:val="1"/>
    <w:link w:val="520"/>
    <w:qFormat/>
    <w:uiPriority w:val="0"/>
    <w:pPr>
      <w:widowControl/>
      <w:adjustRightInd w:val="0"/>
      <w:spacing w:line="480" w:lineRule="atLeast"/>
      <w:ind w:firstLine="567" w:firstLineChars="0"/>
      <w:jc w:val="left"/>
      <w:textAlignment w:val="baseline"/>
    </w:pPr>
    <w:rPr>
      <w:rFonts w:ascii="长城仿宋" w:hAnsi="Times New Roman"/>
      <w:kern w:val="0"/>
      <w:szCs w:val="20"/>
    </w:rPr>
  </w:style>
  <w:style w:type="character" w:customStyle="1" w:styleId="520">
    <w:name w:val="文档正文 Char Char"/>
    <w:basedOn w:val="63"/>
    <w:link w:val="519"/>
    <w:qFormat/>
    <w:uiPriority w:val="0"/>
    <w:rPr>
      <w:rFonts w:ascii="长城仿宋"/>
      <w:sz w:val="24"/>
    </w:rPr>
  </w:style>
  <w:style w:type="paragraph" w:customStyle="1" w:styleId="521">
    <w:name w:val="首行缩进2字符"/>
    <w:basedOn w:val="1"/>
    <w:link w:val="522"/>
    <w:qFormat/>
    <w:locked/>
    <w:uiPriority w:val="0"/>
    <w:pPr>
      <w:widowControl/>
      <w:jc w:val="left"/>
    </w:pPr>
    <w:rPr>
      <w:rFonts w:cs="宋体" w:asciiTheme="minorEastAsia" w:hAnsiTheme="minorEastAsia"/>
      <w:kern w:val="0"/>
      <w:szCs w:val="20"/>
    </w:rPr>
  </w:style>
  <w:style w:type="character" w:customStyle="1" w:styleId="522">
    <w:name w:val="首行缩进2字符 Char"/>
    <w:basedOn w:val="63"/>
    <w:link w:val="521"/>
    <w:qFormat/>
    <w:uiPriority w:val="0"/>
    <w:rPr>
      <w:rFonts w:cs="宋体" w:asciiTheme="minorEastAsia" w:hAnsiTheme="minorEastAsia"/>
      <w:sz w:val="24"/>
    </w:rPr>
  </w:style>
  <w:style w:type="paragraph" w:customStyle="1" w:styleId="523">
    <w:name w:val="单行距居中"/>
    <w:basedOn w:val="1"/>
    <w:qFormat/>
    <w:locked/>
    <w:uiPriority w:val="0"/>
    <w:pPr>
      <w:widowControl/>
      <w:spacing w:line="240" w:lineRule="auto"/>
      <w:ind w:firstLine="0" w:firstLineChars="0"/>
      <w:jc w:val="center"/>
    </w:pPr>
    <w:rPr>
      <w:rFonts w:cs="宋体"/>
      <w:snapToGrid w:val="0"/>
      <w:color w:val="000000"/>
      <w:kern w:val="0"/>
      <w:szCs w:val="20"/>
    </w:rPr>
  </w:style>
  <w:style w:type="character" w:customStyle="1" w:styleId="524">
    <w:name w:val="y7044boycrn"/>
    <w:basedOn w:val="63"/>
    <w:qFormat/>
    <w:uiPriority w:val="0"/>
  </w:style>
  <w:style w:type="character" w:customStyle="1" w:styleId="525">
    <w:name w:val="u8823vz71ed"/>
    <w:basedOn w:val="63"/>
    <w:qFormat/>
    <w:uiPriority w:val="0"/>
  </w:style>
  <w:style w:type="character" w:customStyle="1" w:styleId="526">
    <w:name w:val="yg5rjj64xkc"/>
    <w:basedOn w:val="63"/>
    <w:qFormat/>
    <w:uiPriority w:val="0"/>
  </w:style>
  <w:style w:type="character" w:customStyle="1" w:styleId="527">
    <w:name w:val="ag5d1f4cqwu"/>
    <w:basedOn w:val="63"/>
    <w:qFormat/>
    <w:uiPriority w:val="0"/>
  </w:style>
  <w:style w:type="character" w:customStyle="1" w:styleId="528">
    <w:name w:val="dwwk9epdxxc"/>
    <w:basedOn w:val="63"/>
    <w:qFormat/>
    <w:uiPriority w:val="0"/>
  </w:style>
  <w:style w:type="character" w:customStyle="1" w:styleId="529">
    <w:name w:val="fnxuls44um2"/>
    <w:basedOn w:val="63"/>
    <w:qFormat/>
    <w:uiPriority w:val="0"/>
  </w:style>
  <w:style w:type="character" w:customStyle="1" w:styleId="530">
    <w:name w:val="xhbuw7praxq"/>
    <w:basedOn w:val="63"/>
    <w:qFormat/>
    <w:uiPriority w:val="0"/>
  </w:style>
  <w:style w:type="character" w:customStyle="1" w:styleId="531">
    <w:name w:val="fs9xgk5wc0a"/>
    <w:basedOn w:val="63"/>
    <w:qFormat/>
    <w:uiPriority w:val="0"/>
  </w:style>
  <w:style w:type="character" w:customStyle="1" w:styleId="532">
    <w:name w:val="zm6olrabive"/>
    <w:basedOn w:val="63"/>
    <w:qFormat/>
    <w:uiPriority w:val="0"/>
  </w:style>
  <w:style w:type="character" w:customStyle="1" w:styleId="533">
    <w:name w:val="bntuc41i1za"/>
    <w:basedOn w:val="63"/>
    <w:qFormat/>
    <w:uiPriority w:val="0"/>
  </w:style>
  <w:style w:type="character" w:customStyle="1" w:styleId="534">
    <w:name w:val="标题 1 Char1"/>
    <w:qFormat/>
    <w:locked/>
    <w:uiPriority w:val="99"/>
    <w:rPr>
      <w:b/>
      <w:bCs/>
      <w:kern w:val="44"/>
      <w:sz w:val="44"/>
      <w:szCs w:val="44"/>
      <w:lang w:val="zh-CN" w:eastAsia="zh-CN"/>
    </w:rPr>
  </w:style>
  <w:style w:type="character" w:customStyle="1" w:styleId="535">
    <w:name w:val="标题 2 Char1"/>
    <w:qFormat/>
    <w:locked/>
    <w:uiPriority w:val="99"/>
    <w:rPr>
      <w:rFonts w:ascii="Cambria" w:hAnsi="Cambria"/>
      <w:b/>
      <w:bCs/>
      <w:kern w:val="2"/>
      <w:sz w:val="28"/>
      <w:szCs w:val="28"/>
      <w:lang w:val="zh-CN" w:eastAsia="zh-CN"/>
    </w:rPr>
  </w:style>
  <w:style w:type="character" w:customStyle="1" w:styleId="536">
    <w:name w:val="标题 3 Char1"/>
    <w:qFormat/>
    <w:locked/>
    <w:uiPriority w:val="99"/>
    <w:rPr>
      <w:b/>
      <w:bCs/>
      <w:kern w:val="2"/>
      <w:sz w:val="28"/>
      <w:szCs w:val="28"/>
      <w:lang w:val="zh-CN" w:eastAsia="zh-CN"/>
    </w:rPr>
  </w:style>
  <w:style w:type="character" w:customStyle="1" w:styleId="537">
    <w:name w:val="标题 4 Char1"/>
    <w:qFormat/>
    <w:locked/>
    <w:uiPriority w:val="99"/>
    <w:rPr>
      <w:rFonts w:ascii="Cambria" w:hAnsi="Cambria"/>
      <w:b/>
      <w:bCs/>
      <w:kern w:val="2"/>
      <w:sz w:val="28"/>
      <w:szCs w:val="28"/>
      <w:lang w:val="zh-CN" w:eastAsia="zh-CN"/>
    </w:rPr>
  </w:style>
  <w:style w:type="character" w:customStyle="1" w:styleId="538">
    <w:name w:val="标题 5 Char1"/>
    <w:qFormat/>
    <w:locked/>
    <w:uiPriority w:val="99"/>
    <w:rPr>
      <w:b/>
      <w:bCs/>
      <w:kern w:val="2"/>
      <w:sz w:val="28"/>
      <w:szCs w:val="28"/>
      <w:lang w:val="zh-CN" w:eastAsia="zh-CN"/>
    </w:rPr>
  </w:style>
  <w:style w:type="character" w:customStyle="1" w:styleId="539">
    <w:name w:val="批注文字 Char1"/>
    <w:qFormat/>
    <w:locked/>
    <w:uiPriority w:val="99"/>
    <w:rPr>
      <w:kern w:val="2"/>
      <w:sz w:val="24"/>
      <w:szCs w:val="24"/>
    </w:rPr>
  </w:style>
  <w:style w:type="paragraph" w:customStyle="1" w:styleId="540">
    <w:name w:val="Normal0"/>
    <w:qFormat/>
    <w:uiPriority w:val="99"/>
    <w:rPr>
      <w:rFonts w:ascii="Times New Roman" w:hAnsi="Times New Roman" w:eastAsia="宋体" w:cs="Times New Roman"/>
      <w:lang w:val="en-US" w:eastAsia="en-US" w:bidi="ar-SA"/>
    </w:rPr>
  </w:style>
  <w:style w:type="character" w:customStyle="1" w:styleId="541">
    <w:name w:val="normal__char1"/>
    <w:qFormat/>
    <w:uiPriority w:val="99"/>
    <w:rPr>
      <w:rFonts w:ascii="Calibri" w:hAnsi="Calibri" w:cs="Calibri"/>
      <w:sz w:val="20"/>
      <w:szCs w:val="20"/>
    </w:rPr>
  </w:style>
  <w:style w:type="paragraph" w:customStyle="1" w:styleId="542">
    <w:name w:val="CM21"/>
    <w:basedOn w:val="298"/>
    <w:next w:val="298"/>
    <w:qFormat/>
    <w:uiPriority w:val="99"/>
  </w:style>
  <w:style w:type="paragraph" w:customStyle="1" w:styleId="543">
    <w:name w:val="CM12+1"/>
    <w:basedOn w:val="298"/>
    <w:next w:val="298"/>
    <w:qFormat/>
    <w:uiPriority w:val="99"/>
  </w:style>
  <w:style w:type="character" w:customStyle="1" w:styleId="544">
    <w:name w:val="正文文本 字符1"/>
    <w:basedOn w:val="63"/>
    <w:qFormat/>
    <w:uiPriority w:val="0"/>
    <w:rPr>
      <w:rFonts w:ascii="Times New Roman" w:hAnsi="Times New Roman" w:eastAsia="仿宋_GB2312" w:cs="Times New Roman"/>
      <w:sz w:val="24"/>
      <w:szCs w:val="24"/>
      <w:lang w:val="zh-CN" w:eastAsia="zh-CN"/>
    </w:rPr>
  </w:style>
  <w:style w:type="character" w:customStyle="1" w:styleId="545">
    <w:name w:val="mini-tab-text1"/>
    <w:basedOn w:val="63"/>
    <w:qFormat/>
    <w:uiPriority w:val="0"/>
  </w:style>
  <w:style w:type="character" w:customStyle="1" w:styleId="546">
    <w:name w:val="彩色底纹 - 强调文字颜色 3字符"/>
    <w:qFormat/>
    <w:uiPriority w:val="34"/>
    <w:rPr>
      <w:rFonts w:ascii="Calibri" w:hAnsi="Calibri" w:eastAsia="宋体" w:cs="Times New Roman"/>
      <w:lang w:val="zh-CN" w:eastAsia="zh-CN"/>
    </w:rPr>
  </w:style>
  <w:style w:type="paragraph" w:customStyle="1" w:styleId="547">
    <w:name w:val="科维正文❤"/>
    <w:basedOn w:val="53"/>
    <w:qFormat/>
    <w:uiPriority w:val="0"/>
    <w:pPr>
      <w:numPr>
        <w:ilvl w:val="0"/>
        <w:numId w:val="40"/>
      </w:numPr>
      <w:tabs>
        <w:tab w:val="clear" w:pos="900"/>
      </w:tabs>
      <w:spacing w:before="0" w:beforeLines="50" w:after="0" w:afterLines="50"/>
      <w:ind w:left="0" w:firstLine="200"/>
    </w:pPr>
    <w:rPr>
      <w:rFonts w:hint="default" w:ascii="Times New Roman" w:hAnsi="Times New Roman" w:eastAsia="宋体"/>
      <w:b/>
      <w:color w:val="000000"/>
    </w:rPr>
  </w:style>
  <w:style w:type="character" w:customStyle="1" w:styleId="548">
    <w:name w:val="批注文字 Char"/>
    <w:qFormat/>
    <w:uiPriority w:val="99"/>
    <w:rPr>
      <w:rFonts w:ascii="Calibri" w:hAnsi="Calibri"/>
      <w:kern w:val="2"/>
      <w:sz w:val="21"/>
      <w:szCs w:val="22"/>
    </w:rPr>
  </w:style>
  <w:style w:type="character" w:customStyle="1" w:styleId="549">
    <w:name w:val="批注框文本 Char"/>
    <w:qFormat/>
    <w:uiPriority w:val="0"/>
    <w:rPr>
      <w:rFonts w:ascii="宋体" w:hAnsi="Arial"/>
      <w:sz w:val="18"/>
      <w:szCs w:val="18"/>
      <w:lang w:eastAsia="en-US"/>
    </w:rPr>
  </w:style>
  <w:style w:type="character" w:customStyle="1" w:styleId="550">
    <w:name w:val="标题 2 Char"/>
    <w:qFormat/>
    <w:uiPriority w:val="99"/>
    <w:rPr>
      <w:rFonts w:ascii="等线 Light" w:hAnsi="等线 Light" w:eastAsia="等线 Light"/>
      <w:b/>
      <w:bCs/>
      <w:sz w:val="32"/>
      <w:szCs w:val="32"/>
      <w:lang w:val="zh-CN" w:eastAsia="en-US"/>
    </w:rPr>
  </w:style>
  <w:style w:type="character" w:customStyle="1" w:styleId="551">
    <w:name w:val="批注主题 Char"/>
    <w:qFormat/>
    <w:uiPriority w:val="0"/>
    <w:rPr>
      <w:rFonts w:ascii="Arial" w:hAnsi="Arial"/>
      <w:b/>
      <w:bCs/>
      <w:kern w:val="2"/>
      <w:sz w:val="21"/>
      <w:szCs w:val="24"/>
      <w:lang w:eastAsia="en-US"/>
    </w:rPr>
  </w:style>
  <w:style w:type="character" w:customStyle="1" w:styleId="552">
    <w:name w:val="页眉 Char"/>
    <w:qFormat/>
    <w:uiPriority w:val="0"/>
    <w:rPr>
      <w:rFonts w:ascii="Arial" w:hAnsi="Arial"/>
      <w:sz w:val="18"/>
      <w:szCs w:val="18"/>
      <w:lang w:eastAsia="en-US"/>
    </w:rPr>
  </w:style>
  <w:style w:type="character" w:customStyle="1" w:styleId="553">
    <w:name w:val="页脚 Char"/>
    <w:qFormat/>
    <w:uiPriority w:val="0"/>
    <w:rPr>
      <w:rFonts w:ascii="Arial" w:hAnsi="Arial"/>
      <w:sz w:val="18"/>
      <w:szCs w:val="18"/>
      <w:lang w:eastAsia="en-US"/>
    </w:rPr>
  </w:style>
  <w:style w:type="character" w:customStyle="1" w:styleId="554">
    <w:name w:val="标题 3 Char"/>
    <w:qFormat/>
    <w:uiPriority w:val="99"/>
    <w:rPr>
      <w:rFonts w:ascii="Arial" w:hAnsi="Arial"/>
      <w:b/>
      <w:bCs/>
      <w:sz w:val="32"/>
      <w:szCs w:val="32"/>
      <w:lang w:eastAsia="en-US"/>
    </w:rPr>
  </w:style>
  <w:style w:type="paragraph" w:customStyle="1" w:styleId="555">
    <w:name w:val="文档正文"/>
    <w:basedOn w:val="1"/>
    <w:qFormat/>
    <w:uiPriority w:val="0"/>
    <w:pPr>
      <w:widowControl/>
      <w:adjustRightInd w:val="0"/>
      <w:spacing w:line="480" w:lineRule="atLeast"/>
      <w:ind w:firstLine="567" w:firstLineChars="0"/>
      <w:jc w:val="left"/>
      <w:textAlignment w:val="baseline"/>
    </w:pPr>
    <w:rPr>
      <w:rFonts w:ascii="长城仿宋" w:hAnsi="Times New Roman"/>
      <w:kern w:val="0"/>
      <w:szCs w:val="20"/>
    </w:rPr>
  </w:style>
  <w:style w:type="character" w:customStyle="1" w:styleId="556">
    <w:name w:val="列出段落 Char"/>
    <w:qFormat/>
    <w:uiPriority w:val="34"/>
    <w:rPr>
      <w:rFonts w:ascii="仿宋_GB2312" w:hAnsi="宋体" w:eastAsia="仿宋_GB2312" w:cs="Times New Roman"/>
      <w:color w:val="FF0000"/>
      <w:kern w:val="0"/>
      <w:sz w:val="28"/>
      <w:szCs w:val="28"/>
      <w:lang w:val="zh-CN" w:eastAsia="zh-CN"/>
    </w:rPr>
  </w:style>
  <w:style w:type="character" w:customStyle="1" w:styleId="557">
    <w:name w:val="标题 4 Char"/>
    <w:qFormat/>
    <w:uiPriority w:val="99"/>
    <w:rPr>
      <w:rFonts w:ascii="Calibri" w:hAnsi="Calibri" w:eastAsia="微软雅黑"/>
      <w:bCs/>
      <w:kern w:val="2"/>
      <w:sz w:val="28"/>
      <w:szCs w:val="28"/>
    </w:rPr>
  </w:style>
  <w:style w:type="character" w:customStyle="1" w:styleId="558">
    <w:name w:val="标题 5 Char"/>
    <w:qFormat/>
    <w:uiPriority w:val="99"/>
    <w:rPr>
      <w:rFonts w:ascii="Calibri" w:hAnsi="Calibri" w:eastAsia="微软雅黑"/>
      <w:bCs/>
      <w:kern w:val="2"/>
      <w:sz w:val="28"/>
      <w:szCs w:val="28"/>
    </w:rPr>
  </w:style>
  <w:style w:type="character" w:customStyle="1" w:styleId="559">
    <w:name w:val="标题 6 Char"/>
    <w:qFormat/>
    <w:uiPriority w:val="99"/>
    <w:rPr>
      <w:rFonts w:ascii="Calibri" w:hAnsi="Calibri" w:eastAsia="微软雅黑"/>
      <w:bCs/>
      <w:kern w:val="2"/>
      <w:sz w:val="24"/>
      <w:szCs w:val="24"/>
    </w:rPr>
  </w:style>
  <w:style w:type="character" w:customStyle="1" w:styleId="560">
    <w:name w:val="标题 7 Char"/>
    <w:qFormat/>
    <w:uiPriority w:val="99"/>
    <w:rPr>
      <w:rFonts w:ascii="Calibri" w:hAnsi="Calibri" w:eastAsia="微软雅黑"/>
      <w:bCs/>
      <w:kern w:val="2"/>
      <w:sz w:val="24"/>
      <w:szCs w:val="24"/>
    </w:rPr>
  </w:style>
  <w:style w:type="character" w:customStyle="1" w:styleId="561">
    <w:name w:val="标题 8 Char"/>
    <w:qFormat/>
    <w:uiPriority w:val="99"/>
    <w:rPr>
      <w:rFonts w:ascii="Calibri" w:hAnsi="Calibri"/>
      <w:kern w:val="2"/>
      <w:sz w:val="24"/>
      <w:szCs w:val="24"/>
    </w:rPr>
  </w:style>
  <w:style w:type="character" w:customStyle="1" w:styleId="562">
    <w:name w:val="标题 9 Char"/>
    <w:qFormat/>
    <w:uiPriority w:val="0"/>
    <w:rPr>
      <w:rFonts w:ascii="Cambria" w:hAnsi="Cambria"/>
      <w:kern w:val="2"/>
      <w:sz w:val="21"/>
      <w:szCs w:val="21"/>
    </w:rPr>
  </w:style>
  <w:style w:type="paragraph" w:customStyle="1" w:styleId="563">
    <w:name w:val="表格正文"/>
    <w:link w:val="570"/>
    <w:qFormat/>
    <w:uiPriority w:val="0"/>
    <w:pPr>
      <w:widowControl w:val="0"/>
    </w:pPr>
    <w:rPr>
      <w:rFonts w:ascii="宋体" w:hAnsi="宋体" w:eastAsia="宋体" w:cs="Times New Roman"/>
      <w:color w:val="000000"/>
      <w:lang w:val="en-US" w:eastAsia="zh-CN" w:bidi="ar-SA"/>
    </w:rPr>
  </w:style>
  <w:style w:type="character" w:customStyle="1" w:styleId="564">
    <w:name w:val="正文文本首行缩进 字符1"/>
    <w:basedOn w:val="544"/>
    <w:qFormat/>
    <w:uiPriority w:val="0"/>
    <w:rPr>
      <w:rFonts w:ascii="Times New Roman" w:hAnsi="Times New Roman" w:eastAsia="仿宋_GB2312" w:cs="Times New Roman"/>
      <w:sz w:val="24"/>
      <w:szCs w:val="24"/>
      <w:lang w:val="zh-CN" w:eastAsia="zh-CN"/>
    </w:rPr>
  </w:style>
  <w:style w:type="character" w:customStyle="1" w:styleId="565">
    <w:name w:val="正文样式 Char"/>
    <w:link w:val="157"/>
    <w:qFormat/>
    <w:uiPriority w:val="0"/>
    <w:rPr>
      <w:bCs/>
      <w:snapToGrid w:val="0"/>
      <w:sz w:val="24"/>
      <w:szCs w:val="44"/>
    </w:rPr>
  </w:style>
  <w:style w:type="paragraph" w:customStyle="1" w:styleId="566">
    <w:name w:val="项目排列"/>
    <w:basedOn w:val="1"/>
    <w:link w:val="567"/>
    <w:qFormat/>
    <w:uiPriority w:val="0"/>
    <w:pPr>
      <w:widowControl/>
      <w:numPr>
        <w:ilvl w:val="0"/>
        <w:numId w:val="41"/>
      </w:numPr>
      <w:spacing w:beforeLines="50" w:afterLines="50" w:line="300" w:lineRule="auto"/>
      <w:ind w:firstLine="0" w:firstLineChars="0"/>
      <w:jc w:val="left"/>
    </w:pPr>
    <w:rPr>
      <w:rFonts w:ascii="Times New Roman" w:hAnsi="Times New Roman" w:eastAsia="仿宋"/>
      <w:kern w:val="0"/>
    </w:rPr>
  </w:style>
  <w:style w:type="character" w:customStyle="1" w:styleId="567">
    <w:name w:val="项目排列 Char"/>
    <w:link w:val="566"/>
    <w:qFormat/>
    <w:uiPriority w:val="0"/>
    <w:rPr>
      <w:rFonts w:eastAsia="仿宋"/>
      <w:sz w:val="24"/>
      <w:szCs w:val="24"/>
    </w:rPr>
  </w:style>
  <w:style w:type="paragraph" w:customStyle="1" w:styleId="568">
    <w:name w:val="Style Heading 2第一层条第二层论文标题 1Heading 2 HiddenHeading 2 CCBSTit..."/>
    <w:basedOn w:val="3"/>
    <w:qFormat/>
    <w:uiPriority w:val="99"/>
    <w:pPr>
      <w:widowControl/>
      <w:numPr>
        <w:ilvl w:val="0"/>
        <w:numId w:val="42"/>
      </w:numPr>
      <w:tabs>
        <w:tab w:val="left" w:pos="567"/>
      </w:tabs>
      <w:spacing w:before="260" w:after="260"/>
      <w:ind w:hanging="567"/>
      <w:jc w:val="left"/>
    </w:pPr>
    <w:rPr>
      <w:rFonts w:eastAsia="仿宋" w:cstheme="minorBidi"/>
      <w:bCs w:val="0"/>
      <w:color w:val="000000"/>
      <w:kern w:val="0"/>
      <w:sz w:val="40"/>
      <w:szCs w:val="40"/>
    </w:rPr>
  </w:style>
  <w:style w:type="character" w:customStyle="1" w:styleId="569">
    <w:name w:val="列出段落 字符"/>
    <w:qFormat/>
    <w:locked/>
    <w:uiPriority w:val="34"/>
    <w:rPr>
      <w:rFonts w:ascii="等线" w:hAnsi="等线" w:eastAsia="等线"/>
      <w:kern w:val="2"/>
      <w:sz w:val="24"/>
      <w:szCs w:val="24"/>
    </w:rPr>
  </w:style>
  <w:style w:type="character" w:customStyle="1" w:styleId="570">
    <w:name w:val="表格正文 Char"/>
    <w:link w:val="563"/>
    <w:qFormat/>
    <w:uiPriority w:val="0"/>
    <w:rPr>
      <w:rFonts w:ascii="宋体" w:hAnsi="宋体"/>
      <w:color w:val="000000"/>
    </w:rPr>
  </w:style>
  <w:style w:type="character" w:customStyle="1" w:styleId="571">
    <w:name w:val="正文8 字符"/>
    <w:link w:val="572"/>
    <w:qFormat/>
    <w:locked/>
    <w:uiPriority w:val="0"/>
    <w:rPr>
      <w:sz w:val="24"/>
      <w:szCs w:val="24"/>
    </w:rPr>
  </w:style>
  <w:style w:type="paragraph" w:customStyle="1" w:styleId="572">
    <w:name w:val="正文8"/>
    <w:basedOn w:val="1"/>
    <w:link w:val="571"/>
    <w:qFormat/>
    <w:uiPriority w:val="0"/>
    <w:pPr>
      <w:widowControl/>
      <w:jc w:val="left"/>
    </w:pPr>
    <w:rPr>
      <w:rFonts w:ascii="Times New Roman" w:hAnsi="Times New Roman"/>
      <w:kern w:val="0"/>
    </w:rPr>
  </w:style>
  <w:style w:type="paragraph" w:customStyle="1" w:styleId="573">
    <w:name w:val="11-章级目录"/>
    <w:basedOn w:val="1"/>
    <w:next w:val="1"/>
    <w:qFormat/>
    <w:uiPriority w:val="0"/>
    <w:pPr>
      <w:pageBreakBefore/>
      <w:widowControl/>
      <w:numPr>
        <w:ilvl w:val="0"/>
        <w:numId w:val="43"/>
      </w:numPr>
      <w:spacing w:before="480" w:after="480" w:line="240" w:lineRule="auto"/>
      <w:ind w:firstLineChars="0"/>
      <w:jc w:val="left"/>
      <w:outlineLvl w:val="0"/>
    </w:pPr>
    <w:rPr>
      <w:b/>
      <w:bCs/>
      <w:kern w:val="0"/>
      <w:sz w:val="40"/>
    </w:rPr>
  </w:style>
  <w:style w:type="paragraph" w:customStyle="1" w:styleId="574">
    <w:name w:val="12-2级目录"/>
    <w:basedOn w:val="1"/>
    <w:next w:val="1"/>
    <w:qFormat/>
    <w:uiPriority w:val="0"/>
    <w:pPr>
      <w:widowControl/>
      <w:numPr>
        <w:ilvl w:val="1"/>
        <w:numId w:val="43"/>
      </w:numPr>
      <w:spacing w:before="240" w:after="240"/>
      <w:ind w:firstLineChars="0"/>
      <w:jc w:val="left"/>
      <w:outlineLvl w:val="1"/>
    </w:pPr>
    <w:rPr>
      <w:b/>
      <w:bCs/>
      <w:kern w:val="0"/>
      <w:sz w:val="32"/>
    </w:rPr>
  </w:style>
  <w:style w:type="paragraph" w:customStyle="1" w:styleId="575">
    <w:name w:val="21-3级目录"/>
    <w:basedOn w:val="1"/>
    <w:next w:val="1"/>
    <w:qFormat/>
    <w:uiPriority w:val="0"/>
    <w:pPr>
      <w:widowControl/>
      <w:numPr>
        <w:ilvl w:val="2"/>
        <w:numId w:val="43"/>
      </w:numPr>
      <w:ind w:firstLineChars="0"/>
      <w:jc w:val="left"/>
      <w:outlineLvl w:val="2"/>
    </w:pPr>
    <w:rPr>
      <w:b/>
      <w:bCs/>
      <w:kern w:val="0"/>
      <w:sz w:val="28"/>
    </w:rPr>
  </w:style>
  <w:style w:type="paragraph" w:customStyle="1" w:styleId="576">
    <w:name w:val="22-4级目录"/>
    <w:basedOn w:val="1"/>
    <w:next w:val="1"/>
    <w:qFormat/>
    <w:uiPriority w:val="0"/>
    <w:pPr>
      <w:widowControl/>
      <w:numPr>
        <w:ilvl w:val="3"/>
        <w:numId w:val="43"/>
      </w:numPr>
      <w:spacing w:before="120" w:after="120"/>
      <w:ind w:firstLineChars="0"/>
      <w:jc w:val="left"/>
      <w:outlineLvl w:val="3"/>
    </w:pPr>
    <w:rPr>
      <w:b/>
      <w:bCs/>
      <w:kern w:val="0"/>
      <w:sz w:val="28"/>
      <w:szCs w:val="28"/>
      <w:lang w:val="zh-CN"/>
    </w:rPr>
  </w:style>
  <w:style w:type="paragraph" w:customStyle="1" w:styleId="577">
    <w:name w:val="24-正文1级目录"/>
    <w:basedOn w:val="1"/>
    <w:next w:val="1"/>
    <w:qFormat/>
    <w:uiPriority w:val="0"/>
    <w:pPr>
      <w:widowControl/>
      <w:numPr>
        <w:ilvl w:val="5"/>
        <w:numId w:val="43"/>
      </w:numPr>
      <w:spacing w:before="120" w:after="120" w:line="360" w:lineRule="exact"/>
      <w:ind w:firstLineChars="0"/>
      <w:jc w:val="left"/>
    </w:pPr>
    <w:rPr>
      <w:rFonts w:ascii="微软雅黑" w:hAnsi="Times New Roman" w:eastAsia="仿宋"/>
      <w:kern w:val="0"/>
    </w:rPr>
  </w:style>
  <w:style w:type="paragraph" w:customStyle="1" w:styleId="578">
    <w:name w:val="31-图片编号"/>
    <w:basedOn w:val="1"/>
    <w:next w:val="1"/>
    <w:qFormat/>
    <w:uiPriority w:val="0"/>
    <w:pPr>
      <w:widowControl/>
      <w:numPr>
        <w:ilvl w:val="8"/>
        <w:numId w:val="43"/>
      </w:numPr>
      <w:spacing w:line="360" w:lineRule="exact"/>
      <w:ind w:firstLineChars="0"/>
      <w:jc w:val="center"/>
    </w:pPr>
    <w:rPr>
      <w:rFonts w:ascii="Times New Roman" w:hAnsi="Times New Roman" w:eastAsia="微软雅黑"/>
      <w:b/>
      <w:kern w:val="0"/>
      <w:sz w:val="18"/>
    </w:rPr>
  </w:style>
  <w:style w:type="paragraph" w:customStyle="1" w:styleId="579">
    <w:name w:val="44-表格编号"/>
    <w:basedOn w:val="578"/>
    <w:next w:val="1"/>
    <w:qFormat/>
    <w:uiPriority w:val="0"/>
    <w:pPr>
      <w:numPr>
        <w:ilvl w:val="7"/>
      </w:numPr>
      <w:spacing w:after="120"/>
    </w:pPr>
    <w:rPr>
      <w:rFonts w:eastAsia="仿宋"/>
    </w:rPr>
  </w:style>
  <w:style w:type="paragraph" w:customStyle="1" w:styleId="580">
    <w:name w:val="25-正文2级目录"/>
    <w:basedOn w:val="1"/>
    <w:qFormat/>
    <w:uiPriority w:val="0"/>
    <w:pPr>
      <w:widowControl/>
      <w:numPr>
        <w:ilvl w:val="6"/>
        <w:numId w:val="43"/>
      </w:numPr>
      <w:spacing w:line="360" w:lineRule="exact"/>
      <w:ind w:firstLine="0" w:firstLineChars="0"/>
      <w:jc w:val="left"/>
    </w:pPr>
    <w:rPr>
      <w:rFonts w:ascii="Times New Roman" w:hAnsi="Times New Roman" w:eastAsia="仿宋"/>
      <w:kern w:val="0"/>
    </w:rPr>
  </w:style>
  <w:style w:type="paragraph" w:customStyle="1" w:styleId="581">
    <w:name w:val="23-5级目录"/>
    <w:basedOn w:val="1"/>
    <w:qFormat/>
    <w:uiPriority w:val="0"/>
    <w:pPr>
      <w:widowControl/>
      <w:numPr>
        <w:ilvl w:val="4"/>
        <w:numId w:val="43"/>
      </w:numPr>
      <w:spacing w:before="120" w:after="120" w:line="240" w:lineRule="auto"/>
      <w:ind w:firstLineChars="0"/>
      <w:jc w:val="left"/>
      <w:outlineLvl w:val="4"/>
    </w:pPr>
    <w:rPr>
      <w:kern w:val="0"/>
      <w:szCs w:val="32"/>
    </w:rPr>
  </w:style>
  <w:style w:type="character" w:customStyle="1" w:styleId="582">
    <w:name w:val="彩色列表 - 着色 1 字符"/>
    <w:link w:val="191"/>
    <w:qFormat/>
    <w:locked/>
    <w:uiPriority w:val="34"/>
    <w:rPr>
      <w:rFonts w:ascii="Segoe UI" w:hAnsi="Segoe UI"/>
      <w:sz w:val="24"/>
      <w:szCs w:val="24"/>
    </w:rPr>
  </w:style>
  <w:style w:type="paragraph" w:customStyle="1" w:styleId="583">
    <w:name w:val="List Paragraph1"/>
    <w:basedOn w:val="1"/>
    <w:qFormat/>
    <w:uiPriority w:val="0"/>
    <w:pPr>
      <w:widowControl/>
      <w:spacing w:line="240" w:lineRule="auto"/>
      <w:ind w:firstLine="420"/>
      <w:jc w:val="left"/>
    </w:pPr>
    <w:rPr>
      <w:rFonts w:ascii="Calibri" w:hAnsi="Calibri"/>
      <w:kern w:val="0"/>
      <w:szCs w:val="21"/>
    </w:rPr>
  </w:style>
  <w:style w:type="character" w:customStyle="1" w:styleId="584">
    <w:name w:val="未处理的提及2"/>
    <w:basedOn w:val="63"/>
    <w:semiHidden/>
    <w:unhideWhenUsed/>
    <w:qFormat/>
    <w:uiPriority w:val="99"/>
    <w:rPr>
      <w:color w:val="605E5C"/>
      <w:shd w:val="clear" w:color="auto" w:fill="E1DFDD"/>
    </w:rPr>
  </w:style>
  <w:style w:type="character" w:customStyle="1" w:styleId="585">
    <w:name w:val="正文文本缩进 2 字符1"/>
    <w:basedOn w:val="63"/>
    <w:semiHidden/>
    <w:qFormat/>
    <w:uiPriority w:val="99"/>
    <w:rPr>
      <w:rFonts w:asciiTheme="minorHAnsi" w:hAnsiTheme="minorHAnsi" w:eastAsiaTheme="minorEastAsia" w:cstheme="minorBidi"/>
      <w:kern w:val="2"/>
      <w:sz w:val="21"/>
      <w:szCs w:val="22"/>
    </w:rPr>
  </w:style>
  <w:style w:type="character" w:customStyle="1" w:styleId="586">
    <w:name w:val="正文文本 Char1"/>
    <w:basedOn w:val="63"/>
    <w:semiHidden/>
    <w:qFormat/>
    <w:uiPriority w:val="99"/>
  </w:style>
  <w:style w:type="character" w:customStyle="1" w:styleId="587">
    <w:name w:val="文档结构图 Char1"/>
    <w:semiHidden/>
    <w:qFormat/>
    <w:uiPriority w:val="99"/>
    <w:rPr>
      <w:rFonts w:ascii="Microsoft YaHei UI" w:eastAsia="Microsoft YaHei UI" w:cs="Times New Roman"/>
      <w:sz w:val="18"/>
      <w:szCs w:val="18"/>
    </w:rPr>
  </w:style>
  <w:style w:type="table" w:customStyle="1" w:styleId="588">
    <w:name w:val="网格型 53"/>
    <w:basedOn w:val="59"/>
    <w:qFormat/>
    <w:locked/>
    <w:uiPriority w:val="0"/>
    <w:pPr>
      <w:widowControl w:val="0"/>
      <w:adjustRightInd w:val="0"/>
      <w:snapToGrid w:val="0"/>
      <w:spacing w:line="360" w:lineRule="auto"/>
      <w:ind w:right="240" w:firstLine="480" w:firstLineChars="200"/>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character" w:customStyle="1" w:styleId="589">
    <w:name w:val="页眉 Char1"/>
    <w:semiHidden/>
    <w:qFormat/>
    <w:locked/>
    <w:uiPriority w:val="99"/>
    <w:rPr>
      <w:sz w:val="18"/>
      <w:szCs w:val="18"/>
    </w:rPr>
  </w:style>
  <w:style w:type="character" w:customStyle="1" w:styleId="590">
    <w:name w:val="页脚 Char1"/>
    <w:semiHidden/>
    <w:qFormat/>
    <w:locked/>
    <w:uiPriority w:val="99"/>
    <w:rPr>
      <w:sz w:val="18"/>
      <w:szCs w:val="18"/>
    </w:rPr>
  </w:style>
  <w:style w:type="character" w:customStyle="1" w:styleId="591">
    <w:name w:val="批注主题 Char1"/>
    <w:semiHidden/>
    <w:qFormat/>
    <w:locked/>
    <w:uiPriority w:val="99"/>
    <w:rPr>
      <w:b/>
      <w:bCs/>
      <w:kern w:val="2"/>
      <w:sz w:val="24"/>
      <w:szCs w:val="24"/>
    </w:rPr>
  </w:style>
  <w:style w:type="character" w:customStyle="1" w:styleId="592">
    <w:name w:val="批注框文本 Char1"/>
    <w:semiHidden/>
    <w:qFormat/>
    <w:locked/>
    <w:uiPriority w:val="99"/>
    <w:rPr>
      <w:kern w:val="2"/>
      <w:sz w:val="18"/>
      <w:szCs w:val="18"/>
    </w:rPr>
  </w:style>
  <w:style w:type="character" w:customStyle="1" w:styleId="593">
    <w:name w:val="彩色列表 - 强调文字颜色 1 Char"/>
    <w:semiHidden/>
    <w:qFormat/>
    <w:uiPriority w:val="0"/>
    <w:rPr>
      <w:rFonts w:ascii="Calibri" w:hAnsi="Calibri"/>
      <w:kern w:val="2"/>
      <w:sz w:val="21"/>
      <w:szCs w:val="22"/>
    </w:rPr>
  </w:style>
  <w:style w:type="paragraph" w:customStyle="1" w:styleId="594">
    <w:name w:val="标题6"/>
    <w:basedOn w:val="6"/>
    <w:next w:val="94"/>
    <w:qFormat/>
    <w:uiPriority w:val="0"/>
    <w:pPr>
      <w:spacing w:before="0" w:beforeLines="50" w:after="0"/>
    </w:pPr>
    <w:rPr>
      <w:rFonts w:ascii="仿宋" w:hAnsi="仿宋" w:eastAsia="仿宋" w:cs="宋体"/>
      <w:kern w:val="0"/>
      <w:sz w:val="28"/>
    </w:rPr>
  </w:style>
  <w:style w:type="paragraph" w:customStyle="1" w:styleId="595">
    <w:name w:val="H8"/>
    <w:basedOn w:val="1"/>
    <w:qFormat/>
    <w:uiPriority w:val="0"/>
    <w:pPr>
      <w:keepNext/>
      <w:keepLines/>
      <w:widowControl/>
      <w:numPr>
        <w:ilvl w:val="7"/>
        <w:numId w:val="44"/>
      </w:numPr>
      <w:tabs>
        <w:tab w:val="left" w:pos="2880"/>
      </w:tabs>
      <w:ind w:firstLine="0" w:firstLineChars="0"/>
      <w:jc w:val="left"/>
      <w:outlineLvl w:val="7"/>
    </w:pPr>
    <w:rPr>
      <w:rFonts w:cs="华文中宋"/>
      <w:snapToGrid w:val="0"/>
      <w:kern w:val="0"/>
    </w:rPr>
  </w:style>
  <w:style w:type="character" w:customStyle="1" w:styleId="596">
    <w:name w:val="题注 字符1"/>
    <w:qFormat/>
    <w:uiPriority w:val="0"/>
    <w:rPr>
      <w:rFonts w:ascii="Times New Roman" w:hAnsi="Times New Roman"/>
      <w:b/>
      <w:bCs/>
      <w:sz w:val="16"/>
      <w:szCs w:val="16"/>
    </w:rPr>
  </w:style>
  <w:style w:type="character" w:customStyle="1" w:styleId="597">
    <w:name w:val="表格 字符"/>
    <w:link w:val="222"/>
    <w:qFormat/>
    <w:uiPriority w:val="9"/>
    <w:rPr>
      <w:rFonts w:ascii="宋体" w:hAnsi="宋体" w:cs="宋体"/>
      <w:sz w:val="24"/>
    </w:rPr>
  </w:style>
  <w:style w:type="paragraph" w:customStyle="1" w:styleId="598">
    <w:name w:val="TOC 标题4"/>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376092" w:themeColor="accent1" w:themeShade="BF"/>
      <w:kern w:val="0"/>
      <w:szCs w:val="32"/>
    </w:rPr>
  </w:style>
  <w:style w:type="paragraph" w:customStyle="1" w:styleId="599">
    <w:name w:val="修订21"/>
    <w:hidden/>
    <w:qFormat/>
    <w:uiPriority w:val="99"/>
    <w:rPr>
      <w:rFonts w:asciiTheme="minorHAnsi" w:hAnsiTheme="minorHAnsi" w:eastAsiaTheme="minorEastAsia" w:cstheme="minorBidi"/>
      <w:kern w:val="2"/>
      <w:sz w:val="21"/>
      <w:szCs w:val="21"/>
      <w:lang w:val="en-US" w:eastAsia="zh-CN" w:bidi="ar-SA"/>
    </w:rPr>
  </w:style>
  <w:style w:type="character" w:customStyle="1" w:styleId="600">
    <w:name w:val="未处理的提及3"/>
    <w:basedOn w:val="63"/>
    <w:semiHidden/>
    <w:unhideWhenUsed/>
    <w:qFormat/>
    <w:uiPriority w:val="99"/>
    <w:rPr>
      <w:color w:val="605E5C"/>
      <w:shd w:val="clear" w:color="auto" w:fill="E1DFDD"/>
    </w:rPr>
  </w:style>
  <w:style w:type="paragraph" w:customStyle="1" w:styleId="601">
    <w:name w:val="正文 A"/>
    <w:qFormat/>
    <w:uiPriority w:val="0"/>
    <w:pPr>
      <w:widowControl w:val="0"/>
      <w:jc w:val="both"/>
    </w:pPr>
    <w:rPr>
      <w:rFonts w:ascii="Calibri" w:hAnsi="Arial Unicode MS" w:eastAsia="Arial Unicode MS" w:cs="Arial Unicode MS"/>
      <w:color w:val="000000"/>
      <w:kern w:val="2"/>
      <w:sz w:val="21"/>
      <w:szCs w:val="21"/>
      <w:u w:color="000000"/>
      <w:lang w:val="en-US" w:eastAsia="zh-CN" w:bidi="ar-SA"/>
    </w:rPr>
  </w:style>
  <w:style w:type="paragraph" w:customStyle="1" w:styleId="602">
    <w:name w:val="样式 左侧:  0.85 厘米 首行缩进:  0.85 厘米"/>
    <w:basedOn w:val="1"/>
    <w:qFormat/>
    <w:uiPriority w:val="0"/>
    <w:pPr>
      <w:widowControl/>
      <w:ind w:firstLine="200"/>
      <w:jc w:val="left"/>
    </w:pPr>
    <w:rPr>
      <w:rFonts w:ascii="Times New Roman" w:hAnsi="Times New Roman" w:cs="宋体"/>
      <w:kern w:val="0"/>
      <w:szCs w:val="20"/>
    </w:rPr>
  </w:style>
  <w:style w:type="paragraph" w:customStyle="1" w:styleId="603">
    <w:name w:val="导读"/>
    <w:basedOn w:val="1"/>
    <w:next w:val="3"/>
    <w:qFormat/>
    <w:uiPriority w:val="0"/>
    <w:pPr>
      <w:widowControl/>
      <w:ind w:right="204"/>
      <w:jc w:val="left"/>
    </w:pPr>
    <w:rPr>
      <w:kern w:val="0"/>
    </w:rPr>
  </w:style>
  <w:style w:type="paragraph" w:customStyle="1" w:styleId="604">
    <w:name w:val="内容with编号"/>
    <w:basedOn w:val="1"/>
    <w:qFormat/>
    <w:uiPriority w:val="0"/>
    <w:pPr>
      <w:widowControl/>
      <w:tabs>
        <w:tab w:val="left" w:pos="840"/>
        <w:tab w:val="left" w:pos="987"/>
      </w:tabs>
      <w:ind w:left="840" w:hanging="360" w:firstLineChars="0"/>
      <w:jc w:val="left"/>
    </w:pPr>
    <w:rPr>
      <w:rFonts w:hAnsi="Times New Roman"/>
      <w:kern w:val="0"/>
      <w:szCs w:val="20"/>
    </w:rPr>
  </w:style>
  <w:style w:type="paragraph" w:customStyle="1" w:styleId="605">
    <w:name w:val="样式 正文格式 + 行距: 多倍行距 1.25 字行"/>
    <w:basedOn w:val="1"/>
    <w:qFormat/>
    <w:uiPriority w:val="0"/>
    <w:pPr>
      <w:widowControl/>
      <w:adjustRightInd w:val="0"/>
      <w:snapToGrid w:val="0"/>
      <w:spacing w:line="300" w:lineRule="auto"/>
      <w:ind w:firstLine="482" w:firstLineChars="0"/>
      <w:jc w:val="left"/>
      <w:textAlignment w:val="baseline"/>
    </w:pPr>
    <w:rPr>
      <w:rFonts w:ascii="Times New Roman" w:hAnsi="Times New Roman" w:cs="宋体"/>
      <w:kern w:val="0"/>
      <w:szCs w:val="20"/>
    </w:rPr>
  </w:style>
  <w:style w:type="character" w:customStyle="1" w:styleId="606">
    <w:name w:val="未处理的提及4"/>
    <w:basedOn w:val="63"/>
    <w:semiHidden/>
    <w:unhideWhenUsed/>
    <w:qFormat/>
    <w:uiPriority w:val="99"/>
    <w:rPr>
      <w:color w:val="605E5C"/>
      <w:shd w:val="clear" w:color="auto" w:fill="E1DFDD"/>
    </w:rPr>
  </w:style>
  <w:style w:type="character" w:customStyle="1" w:styleId="607">
    <w:name w:val="附录公式 Char"/>
    <w:basedOn w:val="220"/>
    <w:link w:val="608"/>
    <w:qFormat/>
    <w:uiPriority w:val="0"/>
    <w:rPr>
      <w:rFonts w:ascii="宋体" w:cs="Calibri"/>
      <w:sz w:val="21"/>
    </w:rPr>
  </w:style>
  <w:style w:type="paragraph" w:customStyle="1" w:styleId="608">
    <w:name w:val="附录公式"/>
    <w:basedOn w:val="145"/>
    <w:next w:val="145"/>
    <w:link w:val="607"/>
    <w:qFormat/>
    <w:uiPriority w:val="0"/>
    <w:pPr>
      <w:tabs>
        <w:tab w:val="center" w:pos="4201"/>
        <w:tab w:val="right" w:leader="dot" w:pos="9298"/>
      </w:tabs>
      <w:ind w:firstLine="420"/>
      <w:jc w:val="left"/>
    </w:pPr>
  </w:style>
  <w:style w:type="character" w:customStyle="1" w:styleId="609">
    <w:name w:val="发布"/>
    <w:qFormat/>
    <w:uiPriority w:val="0"/>
    <w:rPr>
      <w:rFonts w:ascii="黑体" w:eastAsia="黑体"/>
      <w:spacing w:val="85"/>
      <w:w w:val="100"/>
      <w:position w:val="3"/>
      <w:sz w:val="28"/>
      <w:szCs w:val="28"/>
    </w:rPr>
  </w:style>
  <w:style w:type="character" w:customStyle="1" w:styleId="610">
    <w:name w:val="首示例 Char"/>
    <w:link w:val="611"/>
    <w:qFormat/>
    <w:uiPriority w:val="0"/>
    <w:rPr>
      <w:rFonts w:ascii="宋体" w:hAnsi="宋体"/>
      <w:sz w:val="18"/>
      <w:szCs w:val="18"/>
    </w:rPr>
  </w:style>
  <w:style w:type="paragraph" w:customStyle="1" w:styleId="611">
    <w:name w:val="首示例"/>
    <w:next w:val="145"/>
    <w:link w:val="610"/>
    <w:qFormat/>
    <w:uiPriority w:val="0"/>
    <w:pPr>
      <w:numPr>
        <w:ilvl w:val="0"/>
        <w:numId w:val="45"/>
      </w:numPr>
      <w:tabs>
        <w:tab w:val="left" w:pos="360"/>
      </w:tabs>
      <w:ind w:firstLine="0"/>
    </w:pPr>
    <w:rPr>
      <w:rFonts w:ascii="宋体" w:hAnsi="宋体" w:eastAsia="宋体" w:cs="Times New Roman"/>
      <w:sz w:val="18"/>
      <w:szCs w:val="18"/>
      <w:lang w:val="en-US" w:eastAsia="zh-CN" w:bidi="ar-SA"/>
    </w:rPr>
  </w:style>
  <w:style w:type="paragraph" w:customStyle="1" w:styleId="612">
    <w:name w:val="注×："/>
    <w:qFormat/>
    <w:uiPriority w:val="0"/>
    <w:pPr>
      <w:widowControl w:val="0"/>
      <w:autoSpaceDE w:val="0"/>
      <w:autoSpaceDN w:val="0"/>
      <w:jc w:val="both"/>
    </w:pPr>
    <w:rPr>
      <w:rFonts w:ascii="宋体" w:hAnsi="Calibri" w:eastAsia="宋体" w:cs="Times New Roman"/>
      <w:sz w:val="18"/>
      <w:szCs w:val="18"/>
      <w:lang w:val="en-US" w:eastAsia="zh-CN" w:bidi="ar-SA"/>
    </w:rPr>
  </w:style>
  <w:style w:type="paragraph" w:customStyle="1" w:styleId="613">
    <w:name w:val="示例×："/>
    <w:basedOn w:val="344"/>
    <w:qFormat/>
    <w:uiPriority w:val="0"/>
    <w:pPr>
      <w:numPr>
        <w:ilvl w:val="0"/>
        <w:numId w:val="46"/>
      </w:numPr>
      <w:spacing w:beforeLines="0" w:afterLines="0"/>
      <w:outlineLvl w:val="9"/>
    </w:pPr>
    <w:rPr>
      <w:rFonts w:ascii="宋体" w:hAnsi="Calibri" w:eastAsia="宋体"/>
      <w:sz w:val="18"/>
      <w:szCs w:val="18"/>
    </w:rPr>
  </w:style>
  <w:style w:type="paragraph" w:customStyle="1" w:styleId="614">
    <w:name w:val="参考文献"/>
    <w:basedOn w:val="1"/>
    <w:next w:val="145"/>
    <w:qFormat/>
    <w:uiPriority w:val="0"/>
    <w:pPr>
      <w:keepNext/>
      <w:pageBreakBefore/>
      <w:widowControl/>
      <w:shd w:val="clear" w:color="FFFFFF" w:fill="FFFFFF"/>
      <w:spacing w:before="640" w:after="200"/>
      <w:ind w:firstLine="0" w:firstLineChars="0"/>
      <w:jc w:val="center"/>
      <w:outlineLvl w:val="0"/>
    </w:pPr>
    <w:rPr>
      <w:rFonts w:ascii="黑体" w:hAnsi="Calibri" w:eastAsia="黑体"/>
      <w:kern w:val="0"/>
      <w:sz w:val="28"/>
      <w:szCs w:val="20"/>
    </w:rPr>
  </w:style>
  <w:style w:type="paragraph" w:customStyle="1" w:styleId="615">
    <w:name w:val="附录公式编号制表符"/>
    <w:basedOn w:val="1"/>
    <w:next w:val="145"/>
    <w:qFormat/>
    <w:uiPriority w:val="0"/>
    <w:pPr>
      <w:widowControl/>
      <w:tabs>
        <w:tab w:val="center" w:pos="4201"/>
        <w:tab w:val="right" w:leader="dot" w:pos="9298"/>
      </w:tabs>
      <w:autoSpaceDE w:val="0"/>
      <w:autoSpaceDN w:val="0"/>
      <w:ind w:firstLine="0" w:firstLineChars="0"/>
      <w:jc w:val="left"/>
    </w:pPr>
    <w:rPr>
      <w:rFonts w:hAnsi="Calibri"/>
      <w:kern w:val="0"/>
      <w:sz w:val="28"/>
      <w:szCs w:val="20"/>
    </w:rPr>
  </w:style>
  <w:style w:type="paragraph" w:customStyle="1" w:styleId="616">
    <w:name w:val="封面标准号1"/>
    <w:qFormat/>
    <w:uiPriority w:val="0"/>
    <w:pPr>
      <w:widowControl w:val="0"/>
      <w:kinsoku w:val="0"/>
      <w:overflowPunct w:val="0"/>
      <w:autoSpaceDE w:val="0"/>
      <w:autoSpaceDN w:val="0"/>
      <w:spacing w:before="308"/>
      <w:jc w:val="right"/>
      <w:textAlignment w:val="center"/>
    </w:pPr>
    <w:rPr>
      <w:rFonts w:ascii="Calibri" w:hAnsi="Calibri" w:eastAsia="宋体" w:cs="Times New Roman"/>
      <w:sz w:val="28"/>
      <w:lang w:val="en-US" w:eastAsia="zh-CN" w:bidi="ar-SA"/>
    </w:rPr>
  </w:style>
  <w:style w:type="paragraph" w:customStyle="1" w:styleId="617">
    <w:name w:val="封面标准文稿类别"/>
    <w:basedOn w:val="618"/>
    <w:qFormat/>
    <w:uiPriority w:val="0"/>
    <w:pPr>
      <w:framePr w:wrap="around"/>
      <w:spacing w:after="160" w:line="240" w:lineRule="auto"/>
    </w:pPr>
    <w:rPr>
      <w:sz w:val="24"/>
    </w:rPr>
  </w:style>
  <w:style w:type="paragraph" w:customStyle="1" w:styleId="618">
    <w:name w:val="封面一致性程度标识"/>
    <w:basedOn w:val="619"/>
    <w:qFormat/>
    <w:uiPriority w:val="0"/>
    <w:pPr>
      <w:framePr w:wrap="around"/>
      <w:spacing w:before="440"/>
    </w:pPr>
    <w:rPr>
      <w:rFonts w:ascii="宋体" w:eastAsia="宋体"/>
    </w:rPr>
  </w:style>
  <w:style w:type="paragraph" w:customStyle="1" w:styleId="619">
    <w:name w:val="封面标准英文名称"/>
    <w:basedOn w:val="620"/>
    <w:qFormat/>
    <w:uiPriority w:val="0"/>
    <w:pPr>
      <w:framePr w:wrap="around"/>
      <w:spacing w:before="370" w:line="400" w:lineRule="exact"/>
    </w:pPr>
    <w:rPr>
      <w:rFonts w:ascii="Times New Roman"/>
      <w:sz w:val="28"/>
      <w:szCs w:val="28"/>
    </w:rPr>
  </w:style>
  <w:style w:type="paragraph" w:customStyle="1" w:styleId="620">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Calibri" w:eastAsia="黑体" w:cs="Times New Roman"/>
      <w:sz w:val="52"/>
      <w:lang w:val="en-US" w:eastAsia="zh-CN" w:bidi="ar-SA"/>
    </w:rPr>
  </w:style>
  <w:style w:type="paragraph" w:customStyle="1" w:styleId="621">
    <w:name w:val="封面标准文稿编辑信息2"/>
    <w:basedOn w:val="622"/>
    <w:qFormat/>
    <w:uiPriority w:val="0"/>
    <w:pPr>
      <w:framePr w:wrap="around" w:y="4469"/>
    </w:pPr>
  </w:style>
  <w:style w:type="paragraph" w:customStyle="1" w:styleId="622">
    <w:name w:val="封面标准文稿编辑信息"/>
    <w:basedOn w:val="617"/>
    <w:qFormat/>
    <w:uiPriority w:val="0"/>
    <w:pPr>
      <w:framePr w:wrap="around"/>
      <w:spacing w:before="180" w:line="180" w:lineRule="exact"/>
    </w:pPr>
    <w:rPr>
      <w:sz w:val="21"/>
    </w:rPr>
  </w:style>
  <w:style w:type="paragraph" w:customStyle="1" w:styleId="623">
    <w:name w:val="封面标准代替信息"/>
    <w:qFormat/>
    <w:uiPriority w:val="0"/>
    <w:pPr>
      <w:framePr w:w="9140" w:h="1242" w:hRule="exact" w:hSpace="284" w:wrap="around" w:vAnchor="page" w:hAnchor="page" w:x="1645" w:y="2910" w:anchorLock="1"/>
      <w:spacing w:before="57" w:line="280" w:lineRule="exact"/>
      <w:jc w:val="right"/>
    </w:pPr>
    <w:rPr>
      <w:rFonts w:ascii="宋体" w:hAnsi="Calibri" w:eastAsia="宋体" w:cs="Times New Roman"/>
      <w:sz w:val="21"/>
      <w:szCs w:val="21"/>
      <w:lang w:val="en-US" w:eastAsia="zh-CN" w:bidi="ar-SA"/>
    </w:rPr>
  </w:style>
  <w:style w:type="paragraph" w:customStyle="1" w:styleId="624">
    <w:name w:val="条文脚注"/>
    <w:basedOn w:val="44"/>
    <w:qFormat/>
    <w:uiPriority w:val="0"/>
    <w:pPr>
      <w:numPr>
        <w:numId w:val="0"/>
      </w:numPr>
      <w:jc w:val="both"/>
    </w:pPr>
  </w:style>
  <w:style w:type="paragraph" w:customStyle="1" w:styleId="625">
    <w:name w:val="列项说明"/>
    <w:basedOn w:val="1"/>
    <w:qFormat/>
    <w:uiPriority w:val="0"/>
    <w:pPr>
      <w:widowControl/>
      <w:adjustRightInd w:val="0"/>
      <w:spacing w:line="320" w:lineRule="exact"/>
      <w:ind w:left="400" w:leftChars="200" w:hanging="200" w:hangingChars="200"/>
      <w:jc w:val="left"/>
      <w:textAlignment w:val="baseline"/>
    </w:pPr>
    <w:rPr>
      <w:rFonts w:hAnsi="Calibri"/>
      <w:kern w:val="0"/>
      <w:sz w:val="28"/>
      <w:szCs w:val="20"/>
    </w:rPr>
  </w:style>
  <w:style w:type="paragraph" w:customStyle="1" w:styleId="626">
    <w:name w:val="参考文献、索引标题"/>
    <w:basedOn w:val="1"/>
    <w:next w:val="145"/>
    <w:qFormat/>
    <w:uiPriority w:val="0"/>
    <w:pPr>
      <w:keepNext/>
      <w:pageBreakBefore/>
      <w:widowControl/>
      <w:shd w:val="clear" w:color="FFFFFF" w:fill="FFFFFF"/>
      <w:spacing w:before="640" w:after="200"/>
      <w:ind w:firstLine="0" w:firstLineChars="0"/>
      <w:jc w:val="center"/>
      <w:outlineLvl w:val="0"/>
    </w:pPr>
    <w:rPr>
      <w:rFonts w:ascii="黑体" w:hAnsi="Calibri" w:eastAsia="黑体"/>
      <w:kern w:val="0"/>
      <w:sz w:val="28"/>
      <w:szCs w:val="20"/>
    </w:rPr>
  </w:style>
  <w:style w:type="paragraph" w:customStyle="1" w:styleId="627">
    <w:name w:val="附录表标题"/>
    <w:basedOn w:val="1"/>
    <w:next w:val="145"/>
    <w:qFormat/>
    <w:uiPriority w:val="0"/>
    <w:pPr>
      <w:widowControl/>
      <w:numPr>
        <w:ilvl w:val="1"/>
        <w:numId w:val="47"/>
      </w:numPr>
      <w:tabs>
        <w:tab w:val="left" w:pos="180"/>
      </w:tabs>
      <w:spacing w:before="50" w:beforeLines="50" w:after="50" w:afterLines="50"/>
      <w:ind w:firstLineChars="0"/>
      <w:jc w:val="center"/>
    </w:pPr>
    <w:rPr>
      <w:rFonts w:ascii="黑体" w:hAnsi="Calibri" w:eastAsia="黑体"/>
      <w:kern w:val="0"/>
      <w:sz w:val="28"/>
      <w:szCs w:val="21"/>
    </w:rPr>
  </w:style>
  <w:style w:type="paragraph" w:customStyle="1" w:styleId="628">
    <w:name w:val="正文公式编号制表符"/>
    <w:basedOn w:val="145"/>
    <w:next w:val="145"/>
    <w:qFormat/>
    <w:uiPriority w:val="0"/>
    <w:pPr>
      <w:tabs>
        <w:tab w:val="center" w:pos="4201"/>
        <w:tab w:val="right" w:leader="dot" w:pos="9298"/>
      </w:tabs>
      <w:ind w:firstLine="0" w:firstLineChars="0"/>
      <w:jc w:val="left"/>
    </w:pPr>
    <w:rPr>
      <w:rFonts w:hAnsiTheme="minorHAnsi" w:eastAsiaTheme="minorEastAsia" w:cstheme="minorBidi"/>
      <w:kern w:val="2"/>
      <w:sz w:val="24"/>
      <w:szCs w:val="22"/>
    </w:rPr>
  </w:style>
  <w:style w:type="paragraph" w:customStyle="1" w:styleId="629">
    <w:name w:val="注：（正文）"/>
    <w:basedOn w:val="630"/>
    <w:next w:val="145"/>
    <w:qFormat/>
    <w:uiPriority w:val="0"/>
  </w:style>
  <w:style w:type="paragraph" w:customStyle="1" w:styleId="630">
    <w:name w:val="注："/>
    <w:next w:val="145"/>
    <w:qFormat/>
    <w:uiPriority w:val="0"/>
    <w:pPr>
      <w:widowControl w:val="0"/>
      <w:autoSpaceDE w:val="0"/>
      <w:autoSpaceDN w:val="0"/>
      <w:jc w:val="both"/>
    </w:pPr>
    <w:rPr>
      <w:rFonts w:ascii="宋体" w:hAnsi="Calibri" w:eastAsia="宋体" w:cs="Times New Roman"/>
      <w:sz w:val="18"/>
      <w:szCs w:val="18"/>
      <w:lang w:val="en-US" w:eastAsia="zh-CN" w:bidi="ar-SA"/>
    </w:rPr>
  </w:style>
  <w:style w:type="paragraph" w:customStyle="1" w:styleId="631">
    <w:name w:val="附录章标题"/>
    <w:next w:val="145"/>
    <w:qFormat/>
    <w:uiPriority w:val="0"/>
    <w:pPr>
      <w:tabs>
        <w:tab w:val="left" w:pos="360"/>
        <w:tab w:val="left" w:pos="992"/>
      </w:tabs>
      <w:wordWrap w:val="0"/>
      <w:overflowPunct w:val="0"/>
      <w:autoSpaceDE w:val="0"/>
      <w:spacing w:before="100" w:beforeLines="100" w:after="100" w:afterLines="100"/>
      <w:ind w:left="992" w:hanging="567"/>
      <w:jc w:val="both"/>
      <w:textAlignment w:val="baseline"/>
      <w:outlineLvl w:val="1"/>
    </w:pPr>
    <w:rPr>
      <w:rFonts w:ascii="黑体" w:hAnsi="Calibri" w:eastAsia="黑体" w:cs="Times New Roman"/>
      <w:kern w:val="21"/>
      <w:sz w:val="21"/>
      <w:lang w:val="en-US" w:eastAsia="zh-CN" w:bidi="ar-SA"/>
    </w:rPr>
  </w:style>
  <w:style w:type="paragraph" w:customStyle="1" w:styleId="632">
    <w:name w:val="附录三级条标题"/>
    <w:basedOn w:val="633"/>
    <w:next w:val="145"/>
    <w:qFormat/>
    <w:uiPriority w:val="0"/>
    <w:pPr>
      <w:tabs>
        <w:tab w:val="left" w:pos="360"/>
        <w:tab w:val="left" w:pos="1984"/>
        <w:tab w:val="left" w:pos="2551"/>
      </w:tabs>
      <w:ind w:left="2551" w:hanging="850"/>
      <w:outlineLvl w:val="4"/>
    </w:pPr>
  </w:style>
  <w:style w:type="paragraph" w:customStyle="1" w:styleId="633">
    <w:name w:val="附录二级条标题"/>
    <w:basedOn w:val="1"/>
    <w:next w:val="145"/>
    <w:qFormat/>
    <w:uiPriority w:val="0"/>
    <w:pPr>
      <w:widowControl/>
      <w:tabs>
        <w:tab w:val="left" w:pos="360"/>
        <w:tab w:val="left" w:pos="1984"/>
      </w:tabs>
      <w:wordWrap w:val="0"/>
      <w:overflowPunct w:val="0"/>
      <w:autoSpaceDE w:val="0"/>
      <w:autoSpaceDN w:val="0"/>
      <w:spacing w:before="50" w:beforeLines="50" w:after="50" w:afterLines="50"/>
      <w:ind w:left="1984" w:hanging="708" w:firstLineChars="0"/>
      <w:jc w:val="left"/>
      <w:textAlignment w:val="baseline"/>
      <w:outlineLvl w:val="3"/>
    </w:pPr>
    <w:rPr>
      <w:rFonts w:ascii="黑体" w:hAnsi="Calibri" w:eastAsia="黑体"/>
      <w:kern w:val="21"/>
      <w:sz w:val="28"/>
      <w:szCs w:val="20"/>
    </w:rPr>
  </w:style>
  <w:style w:type="paragraph" w:customStyle="1" w:styleId="634">
    <w:name w:val="示例"/>
    <w:next w:val="635"/>
    <w:qFormat/>
    <w:uiPriority w:val="0"/>
    <w:pPr>
      <w:widowControl w:val="0"/>
      <w:tabs>
        <w:tab w:val="left" w:pos="840"/>
      </w:tabs>
      <w:ind w:left="839" w:hanging="419"/>
      <w:jc w:val="both"/>
    </w:pPr>
    <w:rPr>
      <w:rFonts w:ascii="宋体" w:hAnsi="Calibri" w:eastAsia="宋体" w:cs="Times New Roman"/>
      <w:sz w:val="18"/>
      <w:szCs w:val="18"/>
      <w:lang w:val="en-US" w:eastAsia="zh-CN" w:bidi="ar-SA"/>
    </w:rPr>
  </w:style>
  <w:style w:type="paragraph" w:customStyle="1" w:styleId="635">
    <w:name w:val="示例内容"/>
    <w:qFormat/>
    <w:uiPriority w:val="0"/>
    <w:pPr>
      <w:ind w:firstLine="200" w:firstLineChars="200"/>
    </w:pPr>
    <w:rPr>
      <w:rFonts w:ascii="宋体" w:hAnsi="Calibri" w:eastAsia="宋体" w:cs="Times New Roman"/>
      <w:sz w:val="18"/>
      <w:szCs w:val="18"/>
      <w:lang w:val="en-US" w:eastAsia="zh-CN" w:bidi="ar-SA"/>
    </w:rPr>
  </w:style>
  <w:style w:type="paragraph" w:customStyle="1" w:styleId="636">
    <w:name w:val="标准书眉_偶数页"/>
    <w:basedOn w:val="637"/>
    <w:next w:val="1"/>
    <w:qFormat/>
    <w:uiPriority w:val="0"/>
    <w:pPr>
      <w:tabs>
        <w:tab w:val="center" w:pos="4154"/>
        <w:tab w:val="right" w:pos="8306"/>
      </w:tabs>
      <w:jc w:val="left"/>
    </w:pPr>
  </w:style>
  <w:style w:type="paragraph" w:customStyle="1" w:styleId="637">
    <w:name w:val="标准书眉_奇数页"/>
    <w:next w:val="1"/>
    <w:qFormat/>
    <w:uiPriority w:val="0"/>
    <w:pPr>
      <w:tabs>
        <w:tab w:val="center" w:pos="4154"/>
        <w:tab w:val="right" w:pos="8306"/>
      </w:tabs>
      <w:spacing w:after="220"/>
      <w:jc w:val="right"/>
    </w:pPr>
    <w:rPr>
      <w:rFonts w:ascii="黑体" w:hAnsi="Calibri" w:eastAsia="黑体" w:cs="Times New Roman"/>
      <w:sz w:val="21"/>
      <w:szCs w:val="21"/>
      <w:lang w:val="en-US" w:eastAsia="zh-CN" w:bidi="ar-SA"/>
    </w:rPr>
  </w:style>
  <w:style w:type="paragraph" w:customStyle="1" w:styleId="638">
    <w:name w:val="附录图标号"/>
    <w:basedOn w:val="1"/>
    <w:qFormat/>
    <w:uiPriority w:val="0"/>
    <w:pPr>
      <w:keepNext/>
      <w:pageBreakBefore/>
      <w:widowControl/>
      <w:numPr>
        <w:ilvl w:val="0"/>
        <w:numId w:val="48"/>
      </w:numPr>
      <w:spacing w:line="14" w:lineRule="exact"/>
      <w:ind w:firstLine="0" w:firstLineChars="0"/>
      <w:jc w:val="center"/>
      <w:outlineLvl w:val="0"/>
    </w:pPr>
    <w:rPr>
      <w:rFonts w:ascii="Calibri" w:hAnsi="Calibri"/>
      <w:color w:val="FFFFFF"/>
      <w:kern w:val="0"/>
      <w:sz w:val="28"/>
    </w:rPr>
  </w:style>
  <w:style w:type="paragraph" w:customStyle="1" w:styleId="639">
    <w:name w:val="封面正文"/>
    <w:qFormat/>
    <w:uiPriority w:val="0"/>
    <w:pPr>
      <w:jc w:val="both"/>
    </w:pPr>
    <w:rPr>
      <w:rFonts w:ascii="Calibri" w:hAnsi="Calibri" w:eastAsia="宋体" w:cs="Times New Roman"/>
      <w:lang w:val="en-US" w:eastAsia="zh-CN" w:bidi="ar-SA"/>
    </w:rPr>
  </w:style>
  <w:style w:type="paragraph" w:customStyle="1" w:styleId="640">
    <w:name w:val="附录表标号"/>
    <w:basedOn w:val="1"/>
    <w:next w:val="145"/>
    <w:qFormat/>
    <w:uiPriority w:val="0"/>
    <w:pPr>
      <w:widowControl/>
      <w:numPr>
        <w:ilvl w:val="0"/>
        <w:numId w:val="47"/>
      </w:numPr>
      <w:spacing w:line="14" w:lineRule="exact"/>
      <w:ind w:left="811" w:hanging="448" w:firstLineChars="0"/>
      <w:jc w:val="center"/>
      <w:outlineLvl w:val="0"/>
    </w:pPr>
    <w:rPr>
      <w:rFonts w:ascii="Calibri" w:hAnsi="Calibri"/>
      <w:color w:val="FFFFFF"/>
      <w:kern w:val="0"/>
      <w:sz w:val="28"/>
    </w:rPr>
  </w:style>
  <w:style w:type="paragraph" w:customStyle="1" w:styleId="641">
    <w:name w:val="终结线"/>
    <w:basedOn w:val="1"/>
    <w:qFormat/>
    <w:uiPriority w:val="0"/>
    <w:pPr>
      <w:framePr w:hSpace="181" w:vSpace="181" w:wrap="around" w:vAnchor="text" w:hAnchor="margin" w:xAlign="center" w:y="285"/>
      <w:widowControl/>
      <w:ind w:firstLine="0" w:firstLineChars="0"/>
      <w:jc w:val="left"/>
    </w:pPr>
    <w:rPr>
      <w:rFonts w:ascii="Calibri" w:hAnsi="Calibri"/>
      <w:kern w:val="0"/>
      <w:sz w:val="28"/>
    </w:rPr>
  </w:style>
  <w:style w:type="paragraph" w:customStyle="1" w:styleId="642">
    <w:name w:val="发布部门"/>
    <w:next w:val="145"/>
    <w:qFormat/>
    <w:uiPriority w:val="0"/>
    <w:pPr>
      <w:framePr w:w="7938" w:h="1134" w:hRule="exact" w:hSpace="125" w:vSpace="181" w:wrap="around" w:vAnchor="page" w:hAnchor="page" w:x="2150" w:y="14630" w:anchorLock="1"/>
      <w:jc w:val="center"/>
    </w:pPr>
    <w:rPr>
      <w:rFonts w:ascii="宋体" w:hAnsi="Calibri" w:eastAsia="宋体" w:cs="Times New Roman"/>
      <w:b/>
      <w:spacing w:val="20"/>
      <w:w w:val="135"/>
      <w:sz w:val="28"/>
      <w:lang w:val="en-US" w:eastAsia="zh-CN" w:bidi="ar-SA"/>
    </w:rPr>
  </w:style>
  <w:style w:type="paragraph" w:customStyle="1" w:styleId="643">
    <w:name w:val="附录图标题"/>
    <w:basedOn w:val="1"/>
    <w:next w:val="145"/>
    <w:qFormat/>
    <w:uiPriority w:val="0"/>
    <w:pPr>
      <w:widowControl/>
      <w:numPr>
        <w:ilvl w:val="1"/>
        <w:numId w:val="48"/>
      </w:numPr>
      <w:spacing w:before="50" w:beforeLines="50" w:after="50" w:afterLines="50"/>
      <w:ind w:firstLine="0" w:firstLineChars="0"/>
      <w:jc w:val="center"/>
    </w:pPr>
    <w:rPr>
      <w:rFonts w:ascii="黑体" w:hAnsi="Calibri" w:eastAsia="黑体"/>
      <w:kern w:val="0"/>
      <w:sz w:val="28"/>
      <w:szCs w:val="21"/>
    </w:rPr>
  </w:style>
  <w:style w:type="paragraph" w:customStyle="1" w:styleId="644">
    <w:name w:val="附录三级无"/>
    <w:basedOn w:val="632"/>
    <w:qFormat/>
    <w:uiPriority w:val="0"/>
    <w:pPr>
      <w:tabs>
        <w:tab w:val="clear" w:pos="360"/>
      </w:tabs>
      <w:spacing w:before="0" w:beforeLines="0" w:after="0" w:afterLines="0"/>
    </w:pPr>
    <w:rPr>
      <w:rFonts w:ascii="宋体" w:eastAsia="宋体"/>
      <w:szCs w:val="21"/>
    </w:rPr>
  </w:style>
  <w:style w:type="paragraph" w:customStyle="1" w:styleId="645">
    <w:name w:val="附录一级无"/>
    <w:basedOn w:val="646"/>
    <w:qFormat/>
    <w:uiPriority w:val="0"/>
    <w:pPr>
      <w:tabs>
        <w:tab w:val="left" w:pos="360"/>
        <w:tab w:val="left" w:pos="1418"/>
      </w:tabs>
      <w:spacing w:before="0" w:beforeLines="0" w:after="0" w:afterLines="0"/>
    </w:pPr>
    <w:rPr>
      <w:rFonts w:ascii="宋体" w:eastAsia="宋体"/>
      <w:szCs w:val="21"/>
    </w:rPr>
  </w:style>
  <w:style w:type="paragraph" w:customStyle="1" w:styleId="646">
    <w:name w:val="附录一级条标题"/>
    <w:basedOn w:val="631"/>
    <w:next w:val="145"/>
    <w:qFormat/>
    <w:uiPriority w:val="0"/>
    <w:pPr>
      <w:tabs>
        <w:tab w:val="left" w:pos="1418"/>
        <w:tab w:val="clear" w:pos="992"/>
      </w:tabs>
      <w:autoSpaceDN w:val="0"/>
      <w:spacing w:before="50" w:beforeLines="50" w:after="50" w:afterLines="50"/>
      <w:ind w:left="1418"/>
      <w:outlineLvl w:val="2"/>
    </w:pPr>
  </w:style>
  <w:style w:type="paragraph" w:customStyle="1" w:styleId="647">
    <w:name w:val="图标脚注说明"/>
    <w:basedOn w:val="145"/>
    <w:qFormat/>
    <w:uiPriority w:val="0"/>
    <w:pPr>
      <w:tabs>
        <w:tab w:val="center" w:pos="4201"/>
        <w:tab w:val="right" w:leader="dot" w:pos="9298"/>
      </w:tabs>
      <w:ind w:left="840" w:hanging="420" w:firstLineChars="0"/>
      <w:jc w:val="left"/>
    </w:pPr>
    <w:rPr>
      <w:rFonts w:hAnsiTheme="minorHAnsi" w:eastAsiaTheme="minorEastAsia" w:cstheme="minorBidi"/>
      <w:kern w:val="2"/>
      <w:sz w:val="18"/>
      <w:szCs w:val="18"/>
    </w:rPr>
  </w:style>
  <w:style w:type="paragraph" w:customStyle="1" w:styleId="648">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649">
    <w:name w:val="封面标准名称2"/>
    <w:basedOn w:val="620"/>
    <w:qFormat/>
    <w:uiPriority w:val="0"/>
    <w:pPr>
      <w:framePr w:wrap="around" w:y="4469"/>
      <w:spacing w:before="630" w:beforeLines="630"/>
    </w:pPr>
  </w:style>
  <w:style w:type="paragraph" w:customStyle="1" w:styleId="650">
    <w:name w:val="附录四级条标题"/>
    <w:basedOn w:val="632"/>
    <w:next w:val="145"/>
    <w:qFormat/>
    <w:uiPriority w:val="0"/>
    <w:pPr>
      <w:tabs>
        <w:tab w:val="left" w:pos="3260"/>
        <w:tab w:val="clear" w:pos="2551"/>
      </w:tabs>
      <w:ind w:left="3260" w:hanging="1134"/>
      <w:outlineLvl w:val="5"/>
    </w:pPr>
  </w:style>
  <w:style w:type="paragraph" w:customStyle="1" w:styleId="651">
    <w:name w:val="附录五级条标题"/>
    <w:basedOn w:val="650"/>
    <w:next w:val="145"/>
    <w:qFormat/>
    <w:uiPriority w:val="0"/>
    <w:pPr>
      <w:tabs>
        <w:tab w:val="left" w:pos="3827"/>
        <w:tab w:val="clear" w:pos="3260"/>
      </w:tabs>
      <w:ind w:left="3827" w:hanging="1276"/>
      <w:outlineLvl w:val="6"/>
    </w:pPr>
  </w:style>
  <w:style w:type="paragraph" w:customStyle="1" w:styleId="652">
    <w:name w:val="附录标题"/>
    <w:basedOn w:val="145"/>
    <w:next w:val="145"/>
    <w:qFormat/>
    <w:uiPriority w:val="0"/>
    <w:pPr>
      <w:tabs>
        <w:tab w:val="center" w:pos="4201"/>
        <w:tab w:val="right" w:leader="dot" w:pos="9298"/>
      </w:tabs>
      <w:ind w:firstLine="0" w:firstLineChars="0"/>
      <w:jc w:val="center"/>
    </w:pPr>
    <w:rPr>
      <w:rFonts w:ascii="黑体" w:eastAsia="黑体" w:hAnsiTheme="minorHAnsi" w:cstheme="minorBidi"/>
      <w:kern w:val="2"/>
      <w:sz w:val="24"/>
      <w:szCs w:val="22"/>
    </w:rPr>
  </w:style>
  <w:style w:type="paragraph" w:customStyle="1" w:styleId="653">
    <w:name w:val="封面标准文稿类别2"/>
    <w:basedOn w:val="617"/>
    <w:qFormat/>
    <w:uiPriority w:val="0"/>
    <w:pPr>
      <w:framePr w:wrap="around" w:y="4469"/>
    </w:pPr>
  </w:style>
  <w:style w:type="paragraph" w:customStyle="1" w:styleId="654">
    <w:name w:val="封面标准英文名称2"/>
    <w:basedOn w:val="619"/>
    <w:qFormat/>
    <w:uiPriority w:val="0"/>
    <w:pPr>
      <w:framePr w:wrap="around" w:y="4469"/>
    </w:pPr>
  </w:style>
  <w:style w:type="paragraph" w:customStyle="1" w:styleId="655">
    <w:name w:val="封面标准号2"/>
    <w:qFormat/>
    <w:uiPriority w:val="0"/>
    <w:pPr>
      <w:framePr w:w="9140" w:h="1242" w:hRule="exact" w:hSpace="284" w:wrap="around" w:vAnchor="page" w:hAnchor="page" w:x="1645" w:y="2910" w:anchorLock="1"/>
      <w:spacing w:before="357" w:line="280" w:lineRule="exact"/>
      <w:jc w:val="right"/>
    </w:pPr>
    <w:rPr>
      <w:rFonts w:ascii="黑体" w:hAnsi="Calibri" w:eastAsia="黑体" w:cs="Times New Roman"/>
      <w:sz w:val="28"/>
      <w:szCs w:val="28"/>
      <w:lang w:val="en-US" w:eastAsia="zh-CN" w:bidi="ar-SA"/>
    </w:rPr>
  </w:style>
  <w:style w:type="paragraph" w:customStyle="1" w:styleId="656">
    <w:name w:val="三级无"/>
    <w:basedOn w:val="346"/>
    <w:qFormat/>
    <w:uiPriority w:val="0"/>
    <w:pPr>
      <w:numPr>
        <w:ilvl w:val="0"/>
        <w:numId w:val="0"/>
      </w:numPr>
      <w:spacing w:beforeLines="0" w:afterLines="0"/>
    </w:pPr>
    <w:rPr>
      <w:rFonts w:ascii="宋体" w:hAnsi="Calibri" w:eastAsia="宋体"/>
    </w:rPr>
  </w:style>
  <w:style w:type="paragraph" w:customStyle="1" w:styleId="657">
    <w:name w:val="附录数字编号列项（二级）"/>
    <w:qFormat/>
    <w:uiPriority w:val="0"/>
    <w:pPr>
      <w:numPr>
        <w:ilvl w:val="1"/>
        <w:numId w:val="49"/>
      </w:numPr>
      <w:tabs>
        <w:tab w:val="left" w:pos="840"/>
      </w:tabs>
    </w:pPr>
    <w:rPr>
      <w:rFonts w:ascii="宋体" w:hAnsi="Calibri" w:eastAsia="宋体" w:cs="Times New Roman"/>
      <w:sz w:val="21"/>
      <w:lang w:val="en-US" w:eastAsia="zh-CN" w:bidi="ar-SA"/>
    </w:rPr>
  </w:style>
  <w:style w:type="paragraph" w:customStyle="1" w:styleId="658">
    <w:name w:val="附录字母编号列项（一级）"/>
    <w:qFormat/>
    <w:uiPriority w:val="0"/>
    <w:pPr>
      <w:numPr>
        <w:ilvl w:val="0"/>
        <w:numId w:val="49"/>
      </w:numPr>
      <w:tabs>
        <w:tab w:val="left" w:pos="839"/>
      </w:tabs>
    </w:pPr>
    <w:rPr>
      <w:rFonts w:ascii="宋体" w:hAnsi="Calibri" w:eastAsia="宋体" w:cs="Times New Roman"/>
      <w:sz w:val="21"/>
      <w:lang w:val="en-US" w:eastAsia="zh-CN" w:bidi="ar-SA"/>
    </w:rPr>
  </w:style>
  <w:style w:type="paragraph" w:customStyle="1" w:styleId="659">
    <w:name w:val="发布日期"/>
    <w:qFormat/>
    <w:uiPriority w:val="0"/>
    <w:pPr>
      <w:framePr w:w="3997" w:h="471" w:hRule="exact" w:vSpace="181" w:wrap="around" w:vAnchor="margin" w:hAnchor="page" w:x="7089" w:y="14097" w:anchorLock="1"/>
    </w:pPr>
    <w:rPr>
      <w:rFonts w:ascii="Calibri" w:hAnsi="Calibri" w:eastAsia="黑体" w:cs="Times New Roman"/>
      <w:sz w:val="28"/>
      <w:lang w:val="en-US" w:eastAsia="zh-CN" w:bidi="ar-SA"/>
    </w:rPr>
  </w:style>
  <w:style w:type="paragraph" w:customStyle="1" w:styleId="660">
    <w:name w:val="文献分类号"/>
    <w:qFormat/>
    <w:uiPriority w:val="0"/>
    <w:pPr>
      <w:framePr w:hSpace="180" w:vSpace="180" w:wrap="around" w:vAnchor="margin" w:hAnchor="margin" w:y="1" w:anchorLock="1"/>
      <w:widowControl w:val="0"/>
      <w:textAlignment w:val="center"/>
    </w:pPr>
    <w:rPr>
      <w:rFonts w:ascii="黑体" w:hAnsi="Calibri" w:eastAsia="黑体" w:cs="Times New Roman"/>
      <w:sz w:val="21"/>
      <w:szCs w:val="21"/>
      <w:lang w:val="en-US" w:eastAsia="zh-CN" w:bidi="ar-SA"/>
    </w:rPr>
  </w:style>
  <w:style w:type="paragraph" w:customStyle="1" w:styleId="661">
    <w:name w:val="附录四级无"/>
    <w:basedOn w:val="650"/>
    <w:qFormat/>
    <w:uiPriority w:val="0"/>
    <w:pPr>
      <w:tabs>
        <w:tab w:val="clear" w:pos="360"/>
      </w:tabs>
      <w:spacing w:before="0" w:beforeLines="0" w:after="0" w:afterLines="0"/>
    </w:pPr>
    <w:rPr>
      <w:rFonts w:ascii="宋体" w:eastAsia="宋体"/>
      <w:szCs w:val="21"/>
    </w:rPr>
  </w:style>
  <w:style w:type="paragraph" w:customStyle="1" w:styleId="662">
    <w:name w:val="封面一致性程度标识2"/>
    <w:basedOn w:val="618"/>
    <w:qFormat/>
    <w:uiPriority w:val="0"/>
    <w:pPr>
      <w:framePr w:wrap="around" w:y="4469"/>
    </w:pPr>
  </w:style>
  <w:style w:type="paragraph" w:customStyle="1" w:styleId="663">
    <w:name w:val="实施日期"/>
    <w:basedOn w:val="659"/>
    <w:qFormat/>
    <w:uiPriority w:val="0"/>
    <w:pPr>
      <w:framePr w:wrap="around" w:vAnchor="page" w:hAnchor="text"/>
      <w:jc w:val="right"/>
    </w:pPr>
  </w:style>
  <w:style w:type="paragraph" w:customStyle="1" w:styleId="664">
    <w:name w:val="注×：（正文）"/>
    <w:qFormat/>
    <w:uiPriority w:val="0"/>
    <w:pPr>
      <w:ind w:left="833" w:hanging="408"/>
      <w:jc w:val="both"/>
    </w:pPr>
    <w:rPr>
      <w:rFonts w:ascii="宋体" w:hAnsi="Calibri" w:eastAsia="宋体" w:cs="Times New Roman"/>
      <w:sz w:val="18"/>
      <w:szCs w:val="18"/>
      <w:lang w:val="en-US" w:eastAsia="zh-CN" w:bidi="ar-SA"/>
    </w:rPr>
  </w:style>
  <w:style w:type="paragraph" w:customStyle="1" w:styleId="665">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Calibri" w:hAnsi="Calibri" w:eastAsia="宋体" w:cs="Times New Roman"/>
      <w:b/>
      <w:w w:val="170"/>
      <w:sz w:val="96"/>
      <w:szCs w:val="96"/>
      <w:lang w:val="en-US" w:eastAsia="zh-CN" w:bidi="ar-SA"/>
    </w:rPr>
  </w:style>
  <w:style w:type="paragraph" w:customStyle="1" w:styleId="666">
    <w:name w:val="标准书脚_奇数页"/>
    <w:qFormat/>
    <w:uiPriority w:val="0"/>
    <w:pPr>
      <w:spacing w:before="120"/>
      <w:ind w:right="198"/>
      <w:jc w:val="right"/>
    </w:pPr>
    <w:rPr>
      <w:rFonts w:ascii="宋体" w:hAnsi="Calibri" w:eastAsia="宋体" w:cs="Times New Roman"/>
      <w:sz w:val="18"/>
      <w:szCs w:val="18"/>
      <w:lang w:val="en-US" w:eastAsia="zh-CN" w:bidi="ar-SA"/>
    </w:rPr>
  </w:style>
  <w:style w:type="paragraph" w:customStyle="1" w:styleId="667">
    <w:name w:val="示例后文字"/>
    <w:basedOn w:val="145"/>
    <w:next w:val="145"/>
    <w:qFormat/>
    <w:uiPriority w:val="0"/>
    <w:pPr>
      <w:tabs>
        <w:tab w:val="center" w:pos="4201"/>
        <w:tab w:val="right" w:leader="dot" w:pos="9298"/>
      </w:tabs>
      <w:ind w:firstLine="360"/>
      <w:jc w:val="left"/>
    </w:pPr>
    <w:rPr>
      <w:rFonts w:hAnsiTheme="minorHAnsi" w:eastAsiaTheme="minorEastAsia" w:cstheme="minorBidi"/>
      <w:kern w:val="2"/>
      <w:sz w:val="18"/>
      <w:szCs w:val="22"/>
    </w:rPr>
  </w:style>
  <w:style w:type="paragraph" w:customStyle="1" w:styleId="668">
    <w:name w:val="附录五级无"/>
    <w:basedOn w:val="651"/>
    <w:qFormat/>
    <w:uiPriority w:val="0"/>
    <w:pPr>
      <w:tabs>
        <w:tab w:val="clear" w:pos="360"/>
      </w:tabs>
      <w:spacing w:before="0" w:beforeLines="0" w:after="0" w:afterLines="0"/>
    </w:pPr>
    <w:rPr>
      <w:rFonts w:ascii="宋体" w:eastAsia="宋体"/>
      <w:szCs w:val="21"/>
    </w:rPr>
  </w:style>
  <w:style w:type="paragraph" w:customStyle="1" w:styleId="669">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Calibri" w:eastAsia="宋体" w:cs="Times New Roman"/>
      <w:b/>
      <w:bCs/>
      <w:spacing w:val="20"/>
      <w:w w:val="148"/>
      <w:sz w:val="48"/>
      <w:lang w:val="en-US" w:eastAsia="zh-CN" w:bidi="ar-SA"/>
    </w:rPr>
  </w:style>
  <w:style w:type="paragraph" w:customStyle="1" w:styleId="670">
    <w:name w:val="目次、标准名称标题"/>
    <w:basedOn w:val="1"/>
    <w:next w:val="145"/>
    <w:qFormat/>
    <w:uiPriority w:val="0"/>
    <w:pPr>
      <w:keepNext/>
      <w:pageBreakBefore/>
      <w:widowControl/>
      <w:shd w:val="clear" w:color="FFFFFF" w:fill="FFFFFF"/>
      <w:spacing w:before="640" w:after="560" w:line="460" w:lineRule="exact"/>
      <w:ind w:firstLine="0" w:firstLineChars="0"/>
      <w:jc w:val="center"/>
      <w:outlineLvl w:val="0"/>
    </w:pPr>
    <w:rPr>
      <w:rFonts w:ascii="黑体" w:hAnsi="Calibri" w:eastAsia="黑体"/>
      <w:kern w:val="0"/>
      <w:sz w:val="32"/>
      <w:szCs w:val="20"/>
    </w:rPr>
  </w:style>
  <w:style w:type="paragraph" w:customStyle="1" w:styleId="671">
    <w:name w:val="四级无"/>
    <w:basedOn w:val="347"/>
    <w:qFormat/>
    <w:uiPriority w:val="0"/>
    <w:pPr>
      <w:numPr>
        <w:ilvl w:val="4"/>
        <w:numId w:val="0"/>
      </w:numPr>
      <w:spacing w:beforeLines="0" w:afterLines="0"/>
    </w:pPr>
    <w:rPr>
      <w:rFonts w:ascii="宋体" w:hAnsi="Calibri" w:eastAsia="宋体"/>
    </w:rPr>
  </w:style>
  <w:style w:type="paragraph" w:customStyle="1" w:styleId="672">
    <w:name w:val="其他发布部门"/>
    <w:basedOn w:val="642"/>
    <w:qFormat/>
    <w:uiPriority w:val="0"/>
    <w:pPr>
      <w:framePr w:wrap="around" w:y="15310"/>
      <w:spacing w:line="0" w:lineRule="atLeast"/>
    </w:pPr>
    <w:rPr>
      <w:rFonts w:ascii="黑体" w:eastAsia="黑体"/>
      <w:b w:val="0"/>
    </w:rPr>
  </w:style>
  <w:style w:type="paragraph" w:customStyle="1" w:styleId="673">
    <w:name w:val="图表脚注说明"/>
    <w:basedOn w:val="1"/>
    <w:qFormat/>
    <w:uiPriority w:val="0"/>
    <w:pPr>
      <w:widowControl/>
      <w:numPr>
        <w:ilvl w:val="0"/>
        <w:numId w:val="50"/>
      </w:numPr>
      <w:ind w:firstLine="0" w:firstLineChars="0"/>
      <w:jc w:val="left"/>
    </w:pPr>
    <w:rPr>
      <w:rFonts w:hAnsi="Calibri"/>
      <w:kern w:val="0"/>
      <w:sz w:val="18"/>
      <w:szCs w:val="18"/>
    </w:rPr>
  </w:style>
  <w:style w:type="paragraph" w:customStyle="1" w:styleId="674">
    <w:name w:val="二级无"/>
    <w:basedOn w:val="345"/>
    <w:qFormat/>
    <w:uiPriority w:val="0"/>
    <w:pPr>
      <w:numPr>
        <w:ilvl w:val="0"/>
        <w:numId w:val="0"/>
      </w:numPr>
      <w:spacing w:beforeLines="0" w:afterLines="0"/>
    </w:pPr>
    <w:rPr>
      <w:rFonts w:ascii="宋体" w:hAnsi="Calibri" w:eastAsia="宋体"/>
    </w:rPr>
  </w:style>
  <w:style w:type="paragraph" w:customStyle="1" w:styleId="675">
    <w:name w:val="其他发布日期"/>
    <w:basedOn w:val="659"/>
    <w:qFormat/>
    <w:uiPriority w:val="0"/>
    <w:pPr>
      <w:framePr w:wrap="around" w:vAnchor="page" w:hAnchor="text" w:x="1419"/>
    </w:pPr>
  </w:style>
  <w:style w:type="paragraph" w:customStyle="1" w:styleId="676">
    <w:name w:val="一级无"/>
    <w:basedOn w:val="343"/>
    <w:qFormat/>
    <w:uiPriority w:val="0"/>
    <w:pPr>
      <w:spacing w:beforeLines="0" w:afterLines="0"/>
      <w:ind w:left="0"/>
    </w:pPr>
    <w:rPr>
      <w:rFonts w:ascii="宋体" w:hAnsi="Calibri" w:eastAsia="宋体"/>
    </w:rPr>
  </w:style>
  <w:style w:type="paragraph" w:customStyle="1" w:styleId="677">
    <w:name w:val="标准书眉一"/>
    <w:qFormat/>
    <w:uiPriority w:val="0"/>
    <w:pPr>
      <w:jc w:val="both"/>
    </w:pPr>
    <w:rPr>
      <w:rFonts w:ascii="Calibri" w:hAnsi="Calibri" w:eastAsia="宋体" w:cs="Times New Roman"/>
      <w:lang w:val="en-US" w:eastAsia="zh-CN" w:bidi="ar-SA"/>
    </w:rPr>
  </w:style>
  <w:style w:type="paragraph" w:customStyle="1" w:styleId="678">
    <w:name w:val="列项说明数字编号"/>
    <w:qFormat/>
    <w:uiPriority w:val="0"/>
    <w:pPr>
      <w:ind w:left="600" w:leftChars="400" w:hanging="200" w:hangingChars="200"/>
    </w:pPr>
    <w:rPr>
      <w:rFonts w:ascii="宋体" w:hAnsi="Calibri" w:eastAsia="宋体" w:cs="Times New Roman"/>
      <w:sz w:val="21"/>
      <w:lang w:val="en-US" w:eastAsia="zh-CN" w:bidi="ar-SA"/>
    </w:rPr>
  </w:style>
  <w:style w:type="paragraph" w:customStyle="1" w:styleId="679">
    <w:name w:val="其他实施日期"/>
    <w:basedOn w:val="663"/>
    <w:qFormat/>
    <w:uiPriority w:val="0"/>
    <w:pPr>
      <w:framePr w:wrap="around"/>
    </w:pPr>
  </w:style>
  <w:style w:type="paragraph" w:customStyle="1" w:styleId="680">
    <w:name w:val="图的脚注"/>
    <w:next w:val="145"/>
    <w:qFormat/>
    <w:uiPriority w:val="0"/>
    <w:pPr>
      <w:widowControl w:val="0"/>
      <w:ind w:left="840" w:leftChars="200" w:hanging="420" w:hangingChars="200"/>
      <w:jc w:val="both"/>
    </w:pPr>
    <w:rPr>
      <w:rFonts w:ascii="宋体" w:hAnsi="Calibri" w:eastAsia="宋体" w:cs="Times New Roman"/>
      <w:sz w:val="18"/>
      <w:lang w:val="en-US" w:eastAsia="zh-CN" w:bidi="ar-SA"/>
    </w:rPr>
  </w:style>
  <w:style w:type="paragraph" w:customStyle="1" w:styleId="681">
    <w:name w:val="目次、索引正文"/>
    <w:qFormat/>
    <w:uiPriority w:val="0"/>
    <w:pPr>
      <w:spacing w:line="320" w:lineRule="exact"/>
      <w:jc w:val="both"/>
    </w:pPr>
    <w:rPr>
      <w:rFonts w:ascii="宋体" w:hAnsi="Calibri" w:eastAsia="宋体" w:cs="Times New Roman"/>
      <w:sz w:val="21"/>
      <w:lang w:val="en-US" w:eastAsia="zh-CN" w:bidi="ar-SA"/>
    </w:rPr>
  </w:style>
  <w:style w:type="paragraph" w:customStyle="1" w:styleId="682">
    <w:name w:val="其他标准标志"/>
    <w:basedOn w:val="665"/>
    <w:qFormat/>
    <w:uiPriority w:val="0"/>
    <w:pPr>
      <w:framePr w:w="6101" w:wrap="around" w:vAnchor="page" w:hAnchor="page" w:x="4673" w:y="942"/>
    </w:pPr>
    <w:rPr>
      <w:w w:val="130"/>
    </w:rPr>
  </w:style>
  <w:style w:type="paragraph" w:customStyle="1" w:styleId="683">
    <w:name w:val="附录二级无"/>
    <w:basedOn w:val="633"/>
    <w:qFormat/>
    <w:uiPriority w:val="0"/>
    <w:pPr>
      <w:tabs>
        <w:tab w:val="clear" w:pos="360"/>
      </w:tabs>
      <w:spacing w:before="0" w:beforeLines="0" w:after="0" w:afterLines="0"/>
    </w:pPr>
    <w:rPr>
      <w:rFonts w:ascii="宋体" w:eastAsia="宋体"/>
      <w:szCs w:val="21"/>
    </w:rPr>
  </w:style>
  <w:style w:type="paragraph" w:customStyle="1" w:styleId="684">
    <w:name w:val="标准书脚_偶数页"/>
    <w:qFormat/>
    <w:uiPriority w:val="0"/>
    <w:pPr>
      <w:spacing w:before="120"/>
      <w:ind w:left="221"/>
    </w:pPr>
    <w:rPr>
      <w:rFonts w:ascii="宋体" w:hAnsi="Calibri" w:eastAsia="宋体" w:cs="Times New Roman"/>
      <w:sz w:val="18"/>
      <w:szCs w:val="18"/>
      <w:lang w:val="en-US" w:eastAsia="zh-CN" w:bidi="ar-SA"/>
    </w:rPr>
  </w:style>
  <w:style w:type="paragraph" w:customStyle="1" w:styleId="685">
    <w:name w:val="五级无"/>
    <w:basedOn w:val="348"/>
    <w:qFormat/>
    <w:uiPriority w:val="0"/>
    <w:pPr>
      <w:numPr>
        <w:numId w:val="0"/>
      </w:numPr>
      <w:spacing w:beforeLines="0" w:afterLines="0"/>
    </w:pPr>
    <w:rPr>
      <w:rFonts w:ascii="宋体" w:hAnsi="Calibri" w:eastAsia="宋体"/>
    </w:rPr>
  </w:style>
  <w:style w:type="paragraph" w:customStyle="1" w:styleId="686">
    <w:name w:val="font7"/>
    <w:basedOn w:val="1"/>
    <w:qFormat/>
    <w:uiPriority w:val="0"/>
    <w:pPr>
      <w:widowControl/>
      <w:spacing w:before="100" w:beforeAutospacing="1" w:after="100" w:afterAutospacing="1" w:line="240" w:lineRule="auto"/>
      <w:ind w:firstLine="0" w:firstLineChars="0"/>
      <w:jc w:val="left"/>
    </w:pPr>
    <w:rPr>
      <w:rFonts w:ascii="Calibri" w:hAnsi="Calibri" w:cs="Calibri"/>
      <w:color w:val="000000"/>
      <w:kern w:val="0"/>
      <w:szCs w:val="21"/>
    </w:rPr>
  </w:style>
  <w:style w:type="character" w:customStyle="1" w:styleId="687">
    <w:name w:val="正文YK Char"/>
    <w:link w:val="688"/>
    <w:qFormat/>
    <w:uiPriority w:val="0"/>
    <w:rPr>
      <w:rFonts w:ascii="仿宋_GB2312" w:hAnsi="宋体" w:eastAsia="仿宋_GB2312"/>
      <w:sz w:val="32"/>
      <w:szCs w:val="18"/>
    </w:rPr>
  </w:style>
  <w:style w:type="paragraph" w:customStyle="1" w:styleId="688">
    <w:name w:val="正文YK"/>
    <w:basedOn w:val="1"/>
    <w:link w:val="687"/>
    <w:qFormat/>
    <w:uiPriority w:val="0"/>
    <w:pPr>
      <w:widowControl/>
      <w:ind w:firstLine="601" w:firstLineChars="0"/>
      <w:jc w:val="left"/>
    </w:pPr>
    <w:rPr>
      <w:rFonts w:ascii="仿宋_GB2312" w:eastAsia="仿宋_GB2312"/>
      <w:kern w:val="0"/>
      <w:sz w:val="32"/>
      <w:szCs w:val="18"/>
    </w:rPr>
  </w:style>
  <w:style w:type="paragraph" w:customStyle="1" w:styleId="689">
    <w:name w:val="段落正文"/>
    <w:basedOn w:val="1"/>
    <w:link w:val="690"/>
    <w:qFormat/>
    <w:uiPriority w:val="0"/>
    <w:pPr>
      <w:widowControl/>
      <w:ind w:firstLine="200"/>
      <w:jc w:val="left"/>
    </w:pPr>
    <w:rPr>
      <w:rFonts w:ascii="Times New Roman" w:hAnsi="Times New Roman"/>
      <w:kern w:val="0"/>
    </w:rPr>
  </w:style>
  <w:style w:type="character" w:customStyle="1" w:styleId="690">
    <w:name w:val="段落正文 Char"/>
    <w:link w:val="689"/>
    <w:qFormat/>
    <w:uiPriority w:val="0"/>
    <w:rPr>
      <w:sz w:val="24"/>
      <w:szCs w:val="24"/>
    </w:rPr>
  </w:style>
  <w:style w:type="table" w:customStyle="1" w:styleId="691">
    <w:name w:val="无格式表格 11"/>
    <w:basedOn w:val="59"/>
    <w:qFormat/>
    <w:uiPriority w:val="41"/>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customStyle="1" w:styleId="692">
    <w:name w:val="二期1级标题"/>
    <w:basedOn w:val="2"/>
    <w:next w:val="1"/>
    <w:qFormat/>
    <w:uiPriority w:val="0"/>
    <w:pPr>
      <w:pageBreakBefore/>
      <w:widowControl/>
      <w:numPr>
        <w:ilvl w:val="0"/>
        <w:numId w:val="51"/>
      </w:numPr>
      <w:pBdr>
        <w:top w:val="single" w:color="ED7D31" w:sz="18" w:space="1"/>
      </w:pBdr>
      <w:spacing w:before="240" w:after="240" w:line="240" w:lineRule="auto"/>
    </w:pPr>
    <w:rPr>
      <w:rFonts w:ascii="Times New Roman" w:hAnsi="Times New Roman" w:eastAsia="仿宋"/>
      <w:color w:val="ED7D31"/>
      <w:sz w:val="40"/>
      <w:szCs w:val="44"/>
    </w:rPr>
  </w:style>
  <w:style w:type="paragraph" w:customStyle="1" w:styleId="693">
    <w:name w:val="二期2级标题"/>
    <w:basedOn w:val="3"/>
    <w:next w:val="1"/>
    <w:qFormat/>
    <w:uiPriority w:val="0"/>
    <w:pPr>
      <w:widowControl/>
      <w:numPr>
        <w:numId w:val="51"/>
      </w:numPr>
      <w:pBdr>
        <w:top w:val="dashSmallGap" w:color="0066FF" w:sz="12" w:space="1"/>
      </w:pBdr>
      <w:spacing w:line="240" w:lineRule="auto"/>
      <w:jc w:val="left"/>
    </w:pPr>
    <w:rPr>
      <w:rFonts w:ascii="Times New Roman" w:hAnsi="Times New Roman"/>
      <w:color w:val="0066FF"/>
      <w:kern w:val="0"/>
      <w:sz w:val="28"/>
    </w:rPr>
  </w:style>
  <w:style w:type="paragraph" w:customStyle="1" w:styleId="694">
    <w:name w:val="二期3级标题"/>
    <w:basedOn w:val="4"/>
    <w:next w:val="1"/>
    <w:qFormat/>
    <w:uiPriority w:val="0"/>
    <w:pPr>
      <w:widowControl/>
      <w:numPr>
        <w:numId w:val="51"/>
      </w:numPr>
      <w:pBdr>
        <w:top w:val="dashSmallGap" w:color="AEAAAA" w:sz="4" w:space="1"/>
      </w:pBdr>
      <w:spacing w:before="60" w:after="60" w:line="240" w:lineRule="auto"/>
      <w:jc w:val="left"/>
    </w:pPr>
    <w:rPr>
      <w:rFonts w:ascii="Times New Roman" w:hAnsi="Times New Roman" w:eastAsia="仿宋"/>
      <w:kern w:val="0"/>
      <w:szCs w:val="32"/>
    </w:rPr>
  </w:style>
  <w:style w:type="paragraph" w:customStyle="1" w:styleId="695">
    <w:name w:val="二期4级标题"/>
    <w:basedOn w:val="5"/>
    <w:next w:val="1"/>
    <w:link w:val="696"/>
    <w:qFormat/>
    <w:uiPriority w:val="0"/>
    <w:pPr>
      <w:widowControl/>
      <w:numPr>
        <w:numId w:val="51"/>
      </w:numPr>
      <w:spacing w:before="60" w:after="60" w:line="240" w:lineRule="auto"/>
      <w:jc w:val="left"/>
    </w:pPr>
    <w:rPr>
      <w:rFonts w:ascii="Times New Roman" w:hAnsi="Times New Roman" w:eastAsia="仿宋"/>
      <w:b w:val="0"/>
      <w:color w:val="000000"/>
      <w:kern w:val="0"/>
      <w:sz w:val="28"/>
      <w:szCs w:val="28"/>
    </w:rPr>
  </w:style>
  <w:style w:type="character" w:customStyle="1" w:styleId="696">
    <w:name w:val="二期4级标题 Char"/>
    <w:link w:val="695"/>
    <w:qFormat/>
    <w:uiPriority w:val="0"/>
    <w:rPr>
      <w:rFonts w:eastAsia="仿宋"/>
      <w:bCs/>
      <w:color w:val="000000"/>
      <w:sz w:val="28"/>
      <w:szCs w:val="28"/>
    </w:rPr>
  </w:style>
  <w:style w:type="paragraph" w:customStyle="1" w:styleId="697">
    <w:name w:val="二期5级标题"/>
    <w:basedOn w:val="6"/>
    <w:next w:val="1"/>
    <w:qFormat/>
    <w:uiPriority w:val="0"/>
    <w:pPr>
      <w:numPr>
        <w:numId w:val="51"/>
      </w:numPr>
      <w:spacing w:before="60" w:after="60" w:line="240" w:lineRule="auto"/>
    </w:pPr>
    <w:rPr>
      <w:rFonts w:ascii="Times New Roman" w:hAnsi="Times New Roman" w:eastAsia="仿宋"/>
      <w:b w:val="0"/>
      <w:color w:val="000000"/>
      <w:kern w:val="0"/>
    </w:rPr>
  </w:style>
  <w:style w:type="paragraph" w:customStyle="1" w:styleId="698">
    <w:name w:val="二期6级标题"/>
    <w:basedOn w:val="7"/>
    <w:next w:val="1"/>
    <w:qFormat/>
    <w:uiPriority w:val="0"/>
    <w:pPr>
      <w:widowControl/>
      <w:numPr>
        <w:numId w:val="51"/>
      </w:numPr>
      <w:spacing w:before="60" w:after="60" w:line="240" w:lineRule="auto"/>
      <w:jc w:val="left"/>
    </w:pPr>
    <w:rPr>
      <w:rFonts w:ascii="Times New Roman" w:hAnsi="Times New Roman" w:eastAsia="仿宋"/>
      <w:b w:val="0"/>
      <w:color w:val="000000"/>
      <w:kern w:val="0"/>
    </w:rPr>
  </w:style>
  <w:style w:type="paragraph" w:customStyle="1" w:styleId="699">
    <w:name w:val="二期正文（缩进）"/>
    <w:basedOn w:val="1"/>
    <w:link w:val="700"/>
    <w:qFormat/>
    <w:uiPriority w:val="0"/>
    <w:pPr>
      <w:widowControl/>
      <w:spacing w:after="120" w:line="300" w:lineRule="auto"/>
      <w:jc w:val="left"/>
    </w:pPr>
    <w:rPr>
      <w:rFonts w:ascii="Times New Roman" w:hAnsi="Times New Roman"/>
      <w:kern w:val="0"/>
      <w:szCs w:val="20"/>
    </w:rPr>
  </w:style>
  <w:style w:type="character" w:customStyle="1" w:styleId="700">
    <w:name w:val="二期正文（缩进） Char"/>
    <w:basedOn w:val="63"/>
    <w:link w:val="699"/>
    <w:qFormat/>
    <w:uiPriority w:val="0"/>
    <w:rPr>
      <w:sz w:val="24"/>
    </w:rPr>
  </w:style>
  <w:style w:type="paragraph" w:customStyle="1" w:styleId="701">
    <w:name w:val="二期正文列表1级序号"/>
    <w:basedOn w:val="1"/>
    <w:link w:val="702"/>
    <w:qFormat/>
    <w:uiPriority w:val="0"/>
    <w:pPr>
      <w:widowControl/>
      <w:numPr>
        <w:ilvl w:val="6"/>
        <w:numId w:val="51"/>
      </w:numPr>
      <w:spacing w:line="300" w:lineRule="auto"/>
      <w:ind w:firstLineChars="0"/>
      <w:jc w:val="left"/>
    </w:pPr>
    <w:rPr>
      <w:rFonts w:ascii="Times New Roman" w:hAnsi="Times New Roman"/>
      <w:kern w:val="0"/>
      <w:szCs w:val="20"/>
    </w:rPr>
  </w:style>
  <w:style w:type="character" w:customStyle="1" w:styleId="702">
    <w:name w:val="二期正文列表1级序号 Char"/>
    <w:link w:val="701"/>
    <w:qFormat/>
    <w:uiPriority w:val="0"/>
    <w:rPr>
      <w:sz w:val="24"/>
    </w:rPr>
  </w:style>
  <w:style w:type="paragraph" w:customStyle="1" w:styleId="703">
    <w:name w:val="二期正文列表2级序号"/>
    <w:basedOn w:val="1"/>
    <w:link w:val="704"/>
    <w:qFormat/>
    <w:uiPriority w:val="0"/>
    <w:pPr>
      <w:widowControl/>
      <w:numPr>
        <w:ilvl w:val="7"/>
        <w:numId w:val="51"/>
      </w:numPr>
      <w:spacing w:line="300" w:lineRule="auto"/>
      <w:ind w:firstLineChars="0"/>
      <w:jc w:val="left"/>
    </w:pPr>
    <w:rPr>
      <w:rFonts w:ascii="Times New Roman" w:hAnsi="Times New Roman"/>
      <w:kern w:val="0"/>
      <w:szCs w:val="20"/>
    </w:rPr>
  </w:style>
  <w:style w:type="character" w:customStyle="1" w:styleId="704">
    <w:name w:val="二期正文列表2级序号 Char"/>
    <w:link w:val="703"/>
    <w:qFormat/>
    <w:uiPriority w:val="0"/>
    <w:rPr>
      <w:sz w:val="24"/>
    </w:rPr>
  </w:style>
  <w:style w:type="paragraph" w:customStyle="1" w:styleId="705">
    <w:name w:val="0可研正文"/>
    <w:basedOn w:val="1"/>
    <w:link w:val="706"/>
    <w:qFormat/>
    <w:uiPriority w:val="0"/>
    <w:pPr>
      <w:widowControl/>
      <w:ind w:firstLine="200"/>
      <w:jc w:val="left"/>
    </w:pPr>
    <w:rPr>
      <w:rFonts w:ascii="仿宋" w:hAnsi="仿宋" w:eastAsia="仿宋" w:cs="宋体"/>
      <w:kern w:val="0"/>
      <w:sz w:val="28"/>
      <w:szCs w:val="28"/>
    </w:rPr>
  </w:style>
  <w:style w:type="character" w:customStyle="1" w:styleId="706">
    <w:name w:val="0可研正文 字符"/>
    <w:link w:val="705"/>
    <w:qFormat/>
    <w:uiPriority w:val="0"/>
    <w:rPr>
      <w:rFonts w:ascii="仿宋" w:hAnsi="仿宋" w:eastAsia="仿宋" w:cs="宋体"/>
      <w:sz w:val="28"/>
      <w:szCs w:val="28"/>
    </w:rPr>
  </w:style>
  <w:style w:type="paragraph" w:customStyle="1" w:styleId="707">
    <w:name w:val="0表格"/>
    <w:basedOn w:val="1"/>
    <w:link w:val="708"/>
    <w:qFormat/>
    <w:uiPriority w:val="0"/>
    <w:pPr>
      <w:widowControl/>
      <w:ind w:firstLine="0" w:firstLineChars="0"/>
      <w:jc w:val="left"/>
    </w:pPr>
    <w:rPr>
      <w:rFonts w:ascii="仿宋" w:eastAsia="仿宋" w:cs="宋体"/>
      <w:kern w:val="0"/>
    </w:rPr>
  </w:style>
  <w:style w:type="character" w:customStyle="1" w:styleId="708">
    <w:name w:val="0表格 Char"/>
    <w:basedOn w:val="63"/>
    <w:link w:val="707"/>
    <w:qFormat/>
    <w:uiPriority w:val="0"/>
    <w:rPr>
      <w:rFonts w:ascii="仿宋" w:hAnsi="宋体" w:eastAsia="仿宋" w:cs="宋体"/>
      <w:sz w:val="24"/>
      <w:szCs w:val="24"/>
    </w:rPr>
  </w:style>
  <w:style w:type="table" w:customStyle="1" w:styleId="709">
    <w:name w:val="Gridding1"/>
    <w:basedOn w:val="5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0">
    <w:name w:val="网格型2"/>
    <w:basedOn w:val="5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11">
    <w:name w:val="FA正文"/>
    <w:basedOn w:val="1"/>
    <w:qFormat/>
    <w:uiPriority w:val="0"/>
    <w:pPr>
      <w:widowControl/>
      <w:jc w:val="left"/>
    </w:pPr>
    <w:rPr>
      <w:rFonts w:cs="宋体"/>
      <w:kern w:val="0"/>
      <w:szCs w:val="21"/>
    </w:rPr>
  </w:style>
  <w:style w:type="character" w:customStyle="1" w:styleId="712">
    <w:name w:val="未处理的提及5"/>
    <w:basedOn w:val="63"/>
    <w:semiHidden/>
    <w:unhideWhenUsed/>
    <w:qFormat/>
    <w:uiPriority w:val="99"/>
    <w:rPr>
      <w:color w:val="605E5C"/>
      <w:shd w:val="clear" w:color="auto" w:fill="E1DFDD"/>
    </w:rPr>
  </w:style>
  <w:style w:type="character" w:customStyle="1" w:styleId="713">
    <w:name w:val="font11"/>
    <w:basedOn w:val="63"/>
    <w:qFormat/>
    <w:uiPriority w:val="0"/>
    <w:rPr>
      <w:rFonts w:hint="eastAsia" w:ascii="宋体" w:hAnsi="宋体" w:eastAsia="宋体" w:cs="宋体"/>
      <w:b/>
      <w:bCs/>
      <w:color w:val="000000"/>
      <w:sz w:val="22"/>
      <w:szCs w:val="22"/>
      <w:u w:val="none"/>
    </w:rPr>
  </w:style>
  <w:style w:type="paragraph" w:customStyle="1" w:styleId="714">
    <w:name w:val="样式 标题 4 + 右侧:  0.42 厘米"/>
    <w:basedOn w:val="5"/>
    <w:qFormat/>
    <w:uiPriority w:val="0"/>
    <w:pPr>
      <w:spacing w:before="0" w:after="0"/>
      <w:ind w:left="0"/>
    </w:pPr>
    <w:rPr>
      <w:rFonts w:cs="宋体"/>
      <w:sz w:val="22"/>
      <w:szCs w:val="20"/>
    </w:rPr>
  </w:style>
  <w:style w:type="paragraph" w:customStyle="1" w:styleId="715">
    <w:name w:val="修订3"/>
    <w:hidden/>
    <w:unhideWhenUsed/>
    <w:qFormat/>
    <w:uiPriority w:val="99"/>
    <w:rPr>
      <w:rFonts w:ascii="宋体" w:hAnsi="宋体" w:eastAsia="宋体" w:cs="Times New Roman"/>
      <w:kern w:val="2"/>
      <w:sz w:val="24"/>
      <w:szCs w:val="24"/>
      <w:lang w:val="en-US" w:eastAsia="zh-CN" w:bidi="ar-SA"/>
    </w:rPr>
  </w:style>
  <w:style w:type="paragraph" w:customStyle="1" w:styleId="716">
    <w:name w:val="修订4"/>
    <w:hidden/>
    <w:unhideWhenUsed/>
    <w:qFormat/>
    <w:uiPriority w:val="99"/>
    <w:rPr>
      <w:rFonts w:ascii="宋体" w:hAnsi="宋体" w:eastAsia="宋体" w:cs="Times New Roman"/>
      <w:kern w:val="2"/>
      <w:sz w:val="24"/>
      <w:szCs w:val="24"/>
      <w:lang w:val="en-US" w:eastAsia="zh-CN" w:bidi="ar-SA"/>
    </w:rPr>
  </w:style>
  <w:style w:type="paragraph" w:customStyle="1" w:styleId="717">
    <w:name w:val="修订5"/>
    <w:hidden/>
    <w:semiHidden/>
    <w:qFormat/>
    <w:uiPriority w:val="99"/>
    <w:rPr>
      <w:rFonts w:ascii="宋体" w:hAnsi="宋体" w:eastAsia="宋体" w:cs="Times New Roman"/>
      <w:kern w:val="2"/>
      <w:sz w:val="24"/>
      <w:szCs w:val="24"/>
      <w:lang w:val="en-US" w:eastAsia="zh-CN" w:bidi="ar-SA"/>
    </w:rPr>
  </w:style>
  <w:style w:type="paragraph" w:customStyle="1" w:styleId="718">
    <w:name w:val="修订6"/>
    <w:hidden/>
    <w:unhideWhenUsed/>
    <w:qFormat/>
    <w:uiPriority w:val="99"/>
    <w:rPr>
      <w:rFonts w:ascii="宋体" w:hAnsi="宋体" w:eastAsia="宋体" w:cs="Times New Roman"/>
      <w:kern w:val="2"/>
      <w:sz w:val="24"/>
      <w:szCs w:val="24"/>
      <w:lang w:val="en-US" w:eastAsia="zh-CN" w:bidi="ar-SA"/>
    </w:rPr>
  </w:style>
  <w:style w:type="paragraph" w:customStyle="1" w:styleId="719">
    <w:name w:val="修订7"/>
    <w:hidden/>
    <w:unhideWhenUsed/>
    <w:qFormat/>
    <w:uiPriority w:val="99"/>
    <w:rPr>
      <w:rFonts w:ascii="宋体" w:hAnsi="宋体" w:eastAsia="宋体" w:cs="Times New Roman"/>
      <w:kern w:val="2"/>
      <w:sz w:val="24"/>
      <w:szCs w:val="24"/>
      <w:lang w:val="en-US" w:eastAsia="zh-CN" w:bidi="ar-SA"/>
    </w:rPr>
  </w:style>
  <w:style w:type="paragraph" w:customStyle="1" w:styleId="720">
    <w:name w:val="修订8"/>
    <w:hidden/>
    <w:semiHidden/>
    <w:qFormat/>
    <w:uiPriority w:val="99"/>
    <w:rPr>
      <w:rFonts w:ascii="宋体" w:hAnsi="宋体" w:eastAsia="宋体" w:cs="Times New Roman"/>
      <w:kern w:val="2"/>
      <w:sz w:val="24"/>
      <w:szCs w:val="24"/>
      <w:lang w:val="en-US" w:eastAsia="zh-CN" w:bidi="ar-SA"/>
    </w:rPr>
  </w:style>
  <w:style w:type="paragraph" w:customStyle="1" w:styleId="721">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40</Pages>
  <Words>4295</Words>
  <Characters>24487</Characters>
  <Lines>204</Lines>
  <Paragraphs>57</Paragraphs>
  <TotalTime>7</TotalTime>
  <ScaleCrop>false</ScaleCrop>
  <LinksUpToDate>false</LinksUpToDate>
  <CharactersWithSpaces>28725</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2025-03-24T10:22:00Z</dcterms:created>
  <dc:creator>gtig_tzb</dc:creator>
  <cp:lastModifiedBy>user</cp:lastModifiedBy>
  <cp:lastPrinted>2020-08-09T12:08:00Z</cp:lastPrinted>
  <dcterms:modified xsi:type="dcterms:W3CDTF">2025-03-28T14:34:19Z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C5451BD35D364B43EB42E6675DBB5D75_43</vt:lpwstr>
  </property>
  <property fmtid="{D5CDD505-2E9C-101B-9397-08002B2CF9AE}" pid="4" name="KSOTemplateDocerSaveRecord">
    <vt:lpwstr>eyJoZGlkIjoiNjcyYTNiNjcyMzVjZGRmOTRjYTFhOTEyOWE4Nzg4ZjYiLCJ1c2VySWQiOiIzMDI4MTM4MTUifQ==</vt:lpwstr>
  </property>
</Properties>
</file>