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cs="黑体"/>
          <w:b/>
          <w:bCs/>
          <w:sz w:val="36"/>
          <w:szCs w:val="36"/>
        </w:rPr>
      </w:pPr>
      <w:bookmarkStart w:id="0" w:name="_Toc88171649"/>
      <w:bookmarkStart w:id="1" w:name="_Toc88239734"/>
      <w:r>
        <w:rPr>
          <w:rFonts w:hint="eastAsia" w:ascii="宋体" w:hAnsi="宋体" w:cs="黑体"/>
          <w:b/>
          <w:bCs/>
          <w:sz w:val="36"/>
          <w:szCs w:val="36"/>
        </w:rPr>
        <w:t>上海市</w:t>
      </w:r>
      <w:r>
        <w:rPr>
          <w:rFonts w:hint="eastAsia" w:ascii="宋体" w:hAnsi="宋体" w:cs="黑体"/>
          <w:b/>
          <w:bCs/>
          <w:sz w:val="36"/>
          <w:szCs w:val="36"/>
          <w:lang w:val="en-US" w:eastAsia="zh-CN"/>
        </w:rPr>
        <w:t>养志康复</w:t>
      </w:r>
      <w:r>
        <w:rPr>
          <w:rFonts w:hint="eastAsia" w:ascii="宋体" w:hAnsi="宋体" w:cs="黑体"/>
          <w:b/>
          <w:bCs/>
          <w:sz w:val="36"/>
          <w:szCs w:val="36"/>
        </w:rPr>
        <w:t>医院（上海市阳光康复中心）</w:t>
      </w:r>
    </w:p>
    <w:p>
      <w:pPr>
        <w:ind w:firstLine="0" w:firstLineChars="0"/>
        <w:jc w:val="center"/>
        <w:rPr>
          <w:rFonts w:hint="eastAsia" w:ascii="宋体" w:hAnsi="宋体" w:cs="黑体"/>
          <w:b/>
          <w:bCs/>
          <w:sz w:val="36"/>
          <w:szCs w:val="36"/>
        </w:rPr>
      </w:pPr>
      <w:r>
        <w:rPr>
          <w:rFonts w:hint="eastAsia" w:ascii="宋体" w:hAnsi="宋体" w:cs="黑体"/>
          <w:b/>
          <w:bCs/>
          <w:sz w:val="36"/>
          <w:szCs w:val="36"/>
        </w:rPr>
        <w:t>数据要素赋能上海市卫生健康数字化转型子系统</w:t>
      </w:r>
    </w:p>
    <w:p>
      <w:pPr>
        <w:ind w:firstLine="0" w:firstLineChars="0"/>
        <w:jc w:val="center"/>
        <w:rPr>
          <w:rFonts w:hint="eastAsia" w:ascii="宋体" w:hAnsi="宋体" w:cs="黑体"/>
          <w:b/>
          <w:bCs/>
          <w:sz w:val="36"/>
          <w:szCs w:val="36"/>
        </w:rPr>
      </w:pPr>
      <w:r>
        <w:rPr>
          <w:rFonts w:hint="eastAsia" w:ascii="宋体" w:hAnsi="宋体" w:cs="黑体"/>
          <w:b/>
          <w:bCs/>
          <w:sz w:val="36"/>
          <w:szCs w:val="36"/>
        </w:rPr>
        <w:t>建设</w:t>
      </w:r>
      <w:r>
        <w:rPr>
          <w:rFonts w:ascii="宋体" w:hAnsi="宋体" w:cs="黑体"/>
          <w:b/>
          <w:bCs/>
          <w:sz w:val="36"/>
          <w:szCs w:val="36"/>
        </w:rPr>
        <w:t>项目</w:t>
      </w:r>
      <w:r>
        <w:rPr>
          <w:rFonts w:hint="eastAsia" w:ascii="宋体" w:hAnsi="宋体" w:cs="黑体"/>
          <w:b/>
          <w:bCs/>
          <w:sz w:val="36"/>
          <w:szCs w:val="36"/>
        </w:rPr>
        <w:t>用户需求书</w:t>
      </w:r>
    </w:p>
    <w:bookmarkEnd w:id="0"/>
    <w:bookmarkEnd w:id="1"/>
    <w:p>
      <w:pPr>
        <w:pStyle w:val="3"/>
        <w:ind w:firstLine="643" w:firstLineChars="0"/>
      </w:pPr>
      <w:r>
        <w:t>项目背景介绍</w:t>
      </w:r>
    </w:p>
    <w:p>
      <w:pPr>
        <w:pStyle w:val="7"/>
        <w:ind w:firstLine="602"/>
      </w:pPr>
      <w:r>
        <w:rPr>
          <w:rFonts w:hint="eastAsia"/>
        </w:rPr>
        <w:t>项目名称</w:t>
      </w:r>
    </w:p>
    <w:p>
      <w:pPr>
        <w:pStyle w:val="5"/>
        <w:ind w:firstLine="480"/>
        <w:rPr>
          <w:rFonts w:hint="eastAsia" w:ascii="宋体" w:hAnsi="宋体"/>
          <w:highlight w:val="yellow"/>
        </w:rPr>
      </w:pPr>
      <w:r>
        <w:rPr>
          <w:rFonts w:hint="eastAsia" w:ascii="宋体" w:hAnsi="宋体"/>
        </w:rPr>
        <w:t>上海市养志康复医院（上海市阳光康复中心）数据要素赋能上海市卫生健康数字化转型子系统建设项目</w:t>
      </w:r>
    </w:p>
    <w:p>
      <w:pPr>
        <w:pStyle w:val="7"/>
        <w:ind w:firstLine="602"/>
      </w:pPr>
      <w:r>
        <w:rPr>
          <w:rFonts w:hint="eastAsia"/>
        </w:rPr>
        <w:t>项目地点</w:t>
      </w:r>
    </w:p>
    <w:p>
      <w:pPr>
        <w:pStyle w:val="5"/>
        <w:ind w:firstLine="480"/>
        <w:rPr>
          <w:rFonts w:hint="eastAsia" w:ascii="宋体" w:hAnsi="宋体"/>
        </w:rPr>
      </w:pPr>
      <w:r>
        <w:rPr>
          <w:rFonts w:hint="eastAsia" w:ascii="宋体" w:hAnsi="宋体"/>
        </w:rPr>
        <w:t>项目单位名称：上海</w:t>
      </w:r>
      <w:r>
        <w:rPr>
          <w:rFonts w:hint="eastAsia" w:ascii="宋体" w:hAnsi="宋体"/>
          <w:lang w:val="en-US" w:eastAsia="zh-CN"/>
        </w:rPr>
        <w:t>市</w:t>
      </w:r>
      <w:r>
        <w:rPr>
          <w:rFonts w:hint="eastAsia" w:ascii="宋体" w:hAnsi="宋体"/>
        </w:rPr>
        <w:t>养志康复医院</w:t>
      </w:r>
      <w:r>
        <w:rPr>
          <w:rFonts w:hint="eastAsia" w:ascii="宋体" w:hAnsi="宋体"/>
          <w:lang w:eastAsia="zh-CN"/>
        </w:rPr>
        <w:t>（</w:t>
      </w:r>
      <w:r>
        <w:rPr>
          <w:rFonts w:hint="eastAsia" w:ascii="宋体" w:hAnsi="宋体"/>
          <w:lang w:val="en-US" w:eastAsia="zh-CN"/>
        </w:rPr>
        <w:t>上海市阳光康复中心</w:t>
      </w:r>
      <w:r>
        <w:rPr>
          <w:rFonts w:hint="eastAsia" w:ascii="宋体" w:hAnsi="宋体"/>
          <w:lang w:eastAsia="zh-CN"/>
        </w:rPr>
        <w:t>）</w:t>
      </w:r>
      <w:r>
        <w:rPr>
          <w:rFonts w:hint="eastAsia" w:ascii="宋体" w:hAnsi="宋体"/>
        </w:rPr>
        <w:t>。</w:t>
      </w:r>
    </w:p>
    <w:p>
      <w:pPr>
        <w:pStyle w:val="7"/>
        <w:ind w:firstLine="602"/>
      </w:pPr>
      <w:r>
        <w:rPr>
          <w:rFonts w:hint="eastAsia"/>
        </w:rPr>
        <w:t>总体背景</w:t>
      </w:r>
    </w:p>
    <w:p>
      <w:pPr>
        <w:pStyle w:val="18"/>
        <w:autoSpaceDE w:val="0"/>
        <w:autoSpaceDN w:val="0"/>
        <w:adjustRightInd w:val="0"/>
        <w:spacing w:before="60" w:beforeAutospacing="0" w:after="156" w:afterLines="50" w:afterAutospacing="0" w:line="360" w:lineRule="auto"/>
        <w:ind w:firstLine="480"/>
      </w:pPr>
      <w:r>
        <w:rPr>
          <w:rFonts w:hint="eastAsia"/>
          <w:lang w:bidi="ar"/>
        </w:rPr>
        <w:t>为推进实施健康中国战略，提升医疗卫生现代化管理水平，优化资源配置，创新服务模式，提高服务效率，满足人民群众日益增长的医疗卫生健康需求，2020年12月，国家卫健委发布《全国卫生信息化建设标准与规范（试行）》指出，要依托全民健康信息平台开展公共卫生信息化建设，鼓励各级各类医疗卫生机构根据自身情况，运用大数据、人工智能、云计算等新兴信息技术与公共卫生领域的应用融合，探索创新发展模式。另一方面，数字化正以不可逆转的趋势改变人类社会，特别是新冠肺炎疫情进一步加速推动数字时代的全面到来，全面推进城市数字化转型成为上海主动服务新发展格局的重要战略。在此背景下，上海市委、市政府2020年年底公布《关于全面推进上海城市数字化转型的意见》，要求深刻认识上海进入新发展阶段全面推进城市数字化转型的重大意义，明确城市数字化转型的总体要求，重点是政务服务“一网通办”、城市运行“一网统管”，以数字化推动公共卫生、健康等基本民生保障更均衡、更精确、更充分，打造智慧医院数字化示范场景。</w:t>
      </w:r>
    </w:p>
    <w:p>
      <w:pPr>
        <w:pStyle w:val="18"/>
        <w:autoSpaceDE w:val="0"/>
        <w:autoSpaceDN w:val="0"/>
        <w:adjustRightInd w:val="0"/>
        <w:spacing w:before="60" w:beforeAutospacing="0" w:after="156" w:afterLines="50" w:afterAutospacing="0" w:line="360" w:lineRule="auto"/>
        <w:ind w:firstLine="480"/>
        <w:rPr>
          <w:lang w:bidi="ar"/>
        </w:rPr>
      </w:pPr>
      <w:r>
        <w:rPr>
          <w:rFonts w:hint="eastAsia"/>
          <w:lang w:bidi="ar"/>
        </w:rPr>
        <w:t>为了加快推进医疗机构数字化转型工作，2021年4月，上海市卫生健康委员会同市经信委、市医保局、申康医院发展中心、市大数据中心等单位发布《上海市“便捷就医服务”数字化转型工作方案》。为进一步深化上海市“便捷就医服务”数字化转型与数字医学创新发展新局面，打造更有温度的健康上海，2022年1月，市卫生健康委等八部门联合制定了《上海市“便捷就医服务”数字化转型2.0工作方案》，推动公共卫生、健康等基本民生保障更均衡、更精准、更充分，打造智慧医院数字化示范场景，打造更有温度的健康上海。2023年4月26日，上海市城市数字化转型工作领导小组办公室发布《2023年度上海市“便捷就医服务”数字化转型3.0工作方案》进一步深化上海市“便捷就医服务”数字化转型与数字医学创新发展新局面，实现全市医疗机构全覆盖，夯实普惠性、基础性、兜底性民心工程和民生实效。</w:t>
      </w:r>
    </w:p>
    <w:p>
      <w:pPr>
        <w:pStyle w:val="18"/>
        <w:autoSpaceDE w:val="0"/>
        <w:autoSpaceDN w:val="0"/>
        <w:adjustRightInd w:val="0"/>
        <w:spacing w:before="60" w:beforeAutospacing="0" w:after="156" w:afterLines="50" w:afterAutospacing="0" w:line="360" w:lineRule="auto"/>
        <w:ind w:firstLine="480"/>
        <w:rPr>
          <w:lang w:eastAsia="zh" w:bidi="ar"/>
        </w:rPr>
      </w:pPr>
      <w:r>
        <w:rPr>
          <w:rFonts w:hint="eastAsia"/>
          <w:lang w:eastAsia="zh" w:bidi="ar"/>
        </w:rPr>
        <w:t>2024年4月29日，上海市“便捷就医服务”数字化转型工作专班发布《数据要素赋能上海市卫生健康数字化转型工作方案（试行版）》，进一步推进本市卫生健康领域数字化改革工作，加快建立本市卫生行业数据要素赋能体系，全面提升本市医疗卫生机构数字化工作水平。</w:t>
      </w:r>
    </w:p>
    <w:p>
      <w:pPr>
        <w:pStyle w:val="5"/>
        <w:ind w:firstLine="480"/>
        <w:rPr>
          <w:rFonts w:hint="eastAsia" w:ascii="宋体" w:hAnsi="宋体"/>
        </w:rPr>
      </w:pPr>
      <w:r>
        <w:rPr>
          <w:rFonts w:hint="eastAsia" w:ascii="宋体" w:hAnsi="宋体" w:cs="宋体"/>
          <w:lang w:bidi="ar"/>
        </w:rPr>
        <w:t>本方案将</w:t>
      </w:r>
      <w:r>
        <w:rPr>
          <w:rFonts w:hint="eastAsia" w:ascii="宋体" w:hAnsi="宋体" w:cs="宋体"/>
          <w:lang w:eastAsia="zh" w:bidi="ar"/>
        </w:rPr>
        <w:t>在持续深化原有应用场景的基础上，进一步推动卫生健康数字化转型内涵式发展</w:t>
      </w:r>
      <w:r>
        <w:rPr>
          <w:rFonts w:hint="eastAsia" w:ascii="宋体" w:hAnsi="宋体" w:cs="宋体"/>
          <w:lang w:bidi="ar"/>
        </w:rPr>
        <w:t>，充分利用云计算、大数据、物联网、5G、人工智能等数字化技术融合创新应用，支撑推动医疗健康服务体系流程再造，规则重构、功能塑造和生态新建，持续推进</w:t>
      </w:r>
      <w:r>
        <w:rPr>
          <w:rFonts w:hint="eastAsia" w:ascii="宋体" w:hAnsi="宋体" w:cs="宋体"/>
          <w:lang w:eastAsia="zh" w:bidi="ar"/>
        </w:rPr>
        <w:t>数据要素赋能便捷就医场景、医疗数据赋能健康“动”管理、激活数据要素潜能发展卫生健康新质生产力</w:t>
      </w:r>
      <w:r>
        <w:rPr>
          <w:rFonts w:hint="eastAsia" w:ascii="宋体" w:hAnsi="宋体" w:cs="宋体"/>
          <w:lang w:bidi="ar"/>
        </w:rPr>
        <w:t>，持续提升医疗服务质量。</w:t>
      </w:r>
    </w:p>
    <w:p>
      <w:pPr>
        <w:pStyle w:val="7"/>
        <w:ind w:firstLine="602"/>
      </w:pPr>
      <w:r>
        <w:t>项目</w:t>
      </w:r>
      <w:r>
        <w:rPr>
          <w:rFonts w:hint="eastAsia"/>
        </w:rPr>
        <w:t>目标</w:t>
      </w:r>
    </w:p>
    <w:p>
      <w:pPr>
        <w:spacing w:before="60" w:after="60"/>
        <w:ind w:firstLine="480"/>
        <w:rPr>
          <w:rFonts w:hint="eastAsia" w:ascii="宋体" w:hAnsi="宋体"/>
          <w:highlight w:val="yellow"/>
        </w:rPr>
      </w:pPr>
      <w:r>
        <w:rPr>
          <w:rFonts w:hint="eastAsia"/>
        </w:rPr>
        <w:t>为进一步推进本市卫生健康领域数字化改革工作，加快建立本院卫生行业数据要素赋能体系，需在持续深化原有应用场景的基础上，推动卫生健康数字化转型内涵式发展，充分利用数字化技术融合创新应用，支撑推动医疗健康服务体系流程再造，规则重构、功能塑造和生态新建，持续推进数据要素赋能便捷就医场景、医疗数据赋能健康“动”管理、激活数据要素潜能发展卫生健康新质生产力，持续提升医疗服务质量。</w:t>
      </w:r>
    </w:p>
    <w:p>
      <w:pPr>
        <w:pStyle w:val="3"/>
        <w:ind w:firstLine="643" w:firstLineChars="0"/>
      </w:pPr>
      <w:r>
        <w:rPr>
          <w:rFonts w:hint="eastAsia"/>
        </w:rPr>
        <w:t>本次采购内容</w:t>
      </w:r>
    </w:p>
    <w:p>
      <w:pPr>
        <w:pStyle w:val="5"/>
        <w:ind w:firstLine="480"/>
        <w:rPr>
          <w:rFonts w:hint="eastAsia" w:ascii="宋体" w:hAnsi="宋体"/>
        </w:rPr>
      </w:pPr>
      <w:r>
        <w:rPr>
          <w:rFonts w:hint="eastAsia" w:ascii="宋体" w:hAnsi="宋体"/>
        </w:rPr>
        <w:t>本次上海市养志康复医院（上海市阳光康复中心）数据要素赋能上海市卫生健康数字化转型子系统建设项目在国内范围进行公开采购，本技术需求是向所有响应供应商公开的需求说明文档资料。</w:t>
      </w:r>
    </w:p>
    <w:p>
      <w:pPr>
        <w:pStyle w:val="5"/>
        <w:ind w:firstLine="480"/>
        <w:rPr>
          <w:rFonts w:hint="eastAsia" w:ascii="宋体" w:hAnsi="宋体"/>
        </w:rPr>
      </w:pPr>
      <w:r>
        <w:rPr>
          <w:rFonts w:hint="eastAsia" w:ascii="宋体" w:hAnsi="宋体"/>
        </w:rPr>
        <w:t>本项目财政预算为</w:t>
      </w:r>
      <w:r>
        <w:rPr>
          <w:rFonts w:hint="eastAsia" w:ascii="宋体" w:hAnsi="宋体"/>
        </w:rPr>
        <w:tab/>
      </w:r>
      <w:r>
        <w:rPr>
          <w:rFonts w:hint="eastAsia" w:ascii="宋体" w:hAnsi="宋体"/>
        </w:rPr>
        <w:t>1650000</w:t>
      </w:r>
      <w:r>
        <w:rPr>
          <w:rFonts w:ascii="宋体" w:hAnsi="宋体"/>
        </w:rPr>
        <w:t>元人民币，超预算的投标文件视为废标。</w:t>
      </w:r>
    </w:p>
    <w:p>
      <w:pPr>
        <w:pStyle w:val="7"/>
        <w:ind w:firstLine="602"/>
      </w:pPr>
      <w:r>
        <w:rPr>
          <w:rFonts w:hint="eastAsia"/>
        </w:rPr>
        <w:t>采购内容</w:t>
      </w:r>
      <w:bookmarkStart w:id="11" w:name="_GoBack"/>
      <w:bookmarkEnd w:id="11"/>
    </w:p>
    <w:p>
      <w:pPr>
        <w:pStyle w:val="5"/>
        <w:ind w:firstLine="480"/>
        <w:rPr>
          <w:rFonts w:hint="eastAsia" w:ascii="宋体" w:hAnsi="宋体"/>
        </w:rPr>
      </w:pPr>
      <w:r>
        <w:rPr>
          <w:rFonts w:hint="eastAsia" w:ascii="宋体" w:hAnsi="宋体"/>
        </w:rPr>
        <w:t>本项目采购的软件系统，具体如下：</w:t>
      </w:r>
    </w:p>
    <w:tbl>
      <w:tblPr>
        <w:tblStyle w:val="20"/>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3966"/>
        <w:gridCol w:w="4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功能名称</w:t>
            </w:r>
            <w:r>
              <w:rPr>
                <w:rFonts w:hint="eastAsia" w:ascii="宋体" w:hAnsi="宋体" w:cs="宋体"/>
                <w:b/>
                <w:bCs/>
                <w:i w:val="0"/>
                <w:iCs w:val="0"/>
                <w:color w:val="000000"/>
                <w:kern w:val="0"/>
                <w:sz w:val="22"/>
                <w:szCs w:val="22"/>
                <w:u w:val="none"/>
                <w:lang w:val="en-US" w:eastAsia="zh-CN" w:bidi="ar"/>
              </w:rPr>
              <w:t>（子系统名称）</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接口封装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院内系统接口封装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数据上传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院内系统数据上传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自助建档</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窗口刷脸付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窗口、自助机刷脸就医</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窗口、自助机刷脸就医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医技窗口、自助机刷脸就医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院内系统接口封装，并与院内系统数据对接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院内系统接口封装，并与院内系统数据对接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统计并展示信用就医的交易金额、笔数总计与趋势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交易监管</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查询每笔信用交易的记录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护照登记接口</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护照登记接口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互联网服务护照登记接口</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互联网服务护照登记接口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自助机护照登记改造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自助机护照登记改造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永居证登记接口</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永居证登记接口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互联网服务永居证登记接口</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互联网服务永居证登记接口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境外来沪人员HIS改造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境外来沪人员HIS改造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境外来沪人员护士站改造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境外来沪人员护士站改造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境外来沪人员门诊医生站改造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境外来沪人员门诊医生站改造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境外来沪人员医技系统改造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境外来沪人员医技系统改造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境外来沪人员住院医生站改造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境外来沪人员住院医生站改造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患者标识</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医联工程市级医院门诊号源优先预约接口</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医联工程市级医院门诊号源优先预约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界面改造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界面展示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优化场景</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患者应用</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管理应用</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支撑服务</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接入服务</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对账服务</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商保直赔对账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专病数据集成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专病数据集成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数据上报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院内专病队列管理</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院内专病队列管理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安全管理平台</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场景1：面向残疾人群、老年群体的智能关怀自助服务</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场景1：面向残疾人群、老年群体的智能关怀自助服务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场景2：面向残疾人群、老年群体的智能主动式服务引导</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场景2：面向残疾人群、老年群体的智能主动式服务引导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3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场景3：面向残疾人群、老年群体的智能交互自助服务</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场景3：面向残疾人群、老年群体的智能交互自助服务</w:t>
            </w:r>
          </w:p>
        </w:tc>
      </w:tr>
    </w:tbl>
    <w:p>
      <w:pPr>
        <w:pStyle w:val="5"/>
        <w:ind w:firstLine="480"/>
        <w:rPr>
          <w:rFonts w:hint="default" w:ascii="宋体" w:hAnsi="宋体" w:eastAsia="宋体"/>
          <w:b w:val="0"/>
          <w:bCs w:val="0"/>
          <w:lang w:val="en-US" w:eastAsia="zh-CN"/>
        </w:rPr>
      </w:pPr>
      <w:r>
        <w:rPr>
          <w:rFonts w:hint="eastAsia" w:ascii="宋体" w:hAnsi="宋体"/>
          <w:b w:val="0"/>
          <w:bCs w:val="0"/>
          <w:lang w:val="en-US" w:eastAsia="zh-CN"/>
        </w:rPr>
        <w:t>备注：</w:t>
      </w:r>
      <w:r>
        <w:rPr>
          <w:rFonts w:hint="eastAsia" w:ascii="宋体" w:hAnsi="宋体"/>
          <w:b w:val="0"/>
          <w:bCs w:val="0"/>
          <w:color w:val="000000"/>
          <w:szCs w:val="21"/>
        </w:rPr>
        <w:t>各子项目报价明细表</w:t>
      </w:r>
      <w:r>
        <w:rPr>
          <w:rFonts w:hint="eastAsia" w:ascii="宋体" w:hAnsi="宋体"/>
          <w:b w:val="0"/>
          <w:bCs w:val="0"/>
          <w:color w:val="000000"/>
          <w:szCs w:val="21"/>
          <w:lang w:val="en-US" w:eastAsia="zh-CN"/>
        </w:rPr>
        <w:t>应按照本表清单所列子系统名称逐一报价。</w:t>
      </w:r>
    </w:p>
    <w:p>
      <w:pPr>
        <w:pStyle w:val="7"/>
        <w:ind w:firstLine="602"/>
      </w:pPr>
      <w:r>
        <w:t>实施内容</w:t>
      </w:r>
    </w:p>
    <w:p>
      <w:pPr>
        <w:pStyle w:val="5"/>
        <w:ind w:firstLine="480"/>
        <w:rPr>
          <w:rFonts w:hint="eastAsia" w:ascii="宋体" w:hAnsi="宋体"/>
          <w:highlight w:val="yellow"/>
        </w:rPr>
      </w:pPr>
      <w:r>
        <w:rPr>
          <w:rFonts w:hint="eastAsia" w:ascii="宋体" w:hAnsi="宋体"/>
        </w:rPr>
        <w:t>本次采购实施内容包括：上海市养志康复医院（上海市阳光康复中心）数据要素赋能上海市卫生健康数字化转型子系统建设项目相关系统开发部署，</w:t>
      </w:r>
      <w:bookmarkStart w:id="2" w:name="_Hlk190424277"/>
      <w:r>
        <w:rPr>
          <w:rFonts w:hint="eastAsia" w:ascii="宋体" w:hAnsi="宋体"/>
        </w:rPr>
        <w:t>包括软件功能的开发、接口调试、修改、系统部署、集成、维护；</w:t>
      </w:r>
      <w:bookmarkEnd w:id="2"/>
      <w:r>
        <w:rPr>
          <w:rFonts w:hint="eastAsia" w:ascii="宋体" w:hAnsi="宋体"/>
        </w:rPr>
        <w:t>完成本项目建设所需的基础数据准备、人员培训、售后服务和技术支持等。</w:t>
      </w:r>
    </w:p>
    <w:p>
      <w:pPr>
        <w:pStyle w:val="3"/>
        <w:ind w:firstLine="643" w:firstLineChars="0"/>
      </w:pPr>
      <w:r>
        <w:rPr>
          <w:rFonts w:hint="eastAsia"/>
        </w:rPr>
        <w:t>项目建设原则</w:t>
      </w:r>
    </w:p>
    <w:p>
      <w:pPr>
        <w:pStyle w:val="5"/>
        <w:ind w:firstLine="480"/>
        <w:rPr>
          <w:rFonts w:hint="eastAsia" w:ascii="宋体" w:hAnsi="宋体"/>
        </w:rPr>
      </w:pPr>
      <w:r>
        <w:rPr>
          <w:rFonts w:hint="eastAsia" w:ascii="宋体" w:hAnsi="宋体"/>
        </w:rPr>
        <w:t>本次项目建设应依据以下文件进行建设，包括但不限于以下内容：</w:t>
      </w:r>
    </w:p>
    <w:p>
      <w:pPr>
        <w:pStyle w:val="7"/>
        <w:ind w:firstLine="602"/>
      </w:pPr>
      <w:r>
        <w:rPr>
          <w:rFonts w:hint="eastAsia"/>
        </w:rPr>
        <w:t>国家/行业标准规范</w:t>
      </w:r>
    </w:p>
    <w:p>
      <w:pPr>
        <w:pStyle w:val="18"/>
        <w:numPr>
          <w:ilvl w:val="0"/>
          <w:numId w:val="2"/>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《中华人民共和国国民经济和社会发展第十四个五年规划和2035年远景目标纲要》</w:t>
      </w:r>
    </w:p>
    <w:p>
      <w:pPr>
        <w:pStyle w:val="18"/>
        <w:numPr>
          <w:ilvl w:val="0"/>
          <w:numId w:val="2"/>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《国务院办公厅关于推动公立医院高质量发展的意见》（国办发〔2021〕18号）</w:t>
      </w:r>
    </w:p>
    <w:p>
      <w:pPr>
        <w:pStyle w:val="18"/>
        <w:numPr>
          <w:ilvl w:val="0"/>
          <w:numId w:val="2"/>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《国家卫生健康委关于加强公立医院运营管理的指导意见》（国卫财务发〔2020〕27号）</w:t>
      </w:r>
    </w:p>
    <w:p>
      <w:pPr>
        <w:pStyle w:val="18"/>
        <w:numPr>
          <w:ilvl w:val="0"/>
          <w:numId w:val="2"/>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《关于开展建立健全现代医院管理制度试点的通知》（国卫体改发〔2018〕50号）</w:t>
      </w:r>
    </w:p>
    <w:p>
      <w:pPr>
        <w:pStyle w:val="18"/>
        <w:numPr>
          <w:ilvl w:val="0"/>
          <w:numId w:val="2"/>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《关于推进本市健康服务业高质量发展、加快建设一流医学中心城市的若干意见》（沪府发〔2018〕25号）</w:t>
      </w:r>
    </w:p>
    <w:p>
      <w:pPr>
        <w:pStyle w:val="18"/>
        <w:numPr>
          <w:ilvl w:val="0"/>
          <w:numId w:val="2"/>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《国务院办公厅关于促进“互联网+医疗健康”发展的意见》（国办发〔2018〕26号）</w:t>
      </w:r>
    </w:p>
    <w:p>
      <w:pPr>
        <w:pStyle w:val="18"/>
        <w:numPr>
          <w:ilvl w:val="0"/>
          <w:numId w:val="2"/>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《全国医院信息化建设标准与规范（试行）》（国卫办规划发〔2018〕4号）</w:t>
      </w:r>
    </w:p>
    <w:p>
      <w:pPr>
        <w:pStyle w:val="18"/>
        <w:numPr>
          <w:ilvl w:val="0"/>
          <w:numId w:val="2"/>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《国务院办公厅关于建立现代医院管理制度的指导意见》（国办发〔2017〕67号）</w:t>
      </w:r>
    </w:p>
    <w:p>
      <w:pPr>
        <w:pStyle w:val="18"/>
        <w:numPr>
          <w:ilvl w:val="0"/>
          <w:numId w:val="2"/>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《国务院办公厅关于促进和规范健康医疗大数据应用发展的指导意见》（国办发〔2016〕47号）</w:t>
      </w:r>
    </w:p>
    <w:p>
      <w:pPr>
        <w:pStyle w:val="7"/>
        <w:ind w:firstLine="602"/>
      </w:pPr>
      <w:r>
        <w:rPr>
          <w:rFonts w:hint="eastAsia"/>
        </w:rPr>
        <w:t>上海标准规范</w:t>
      </w:r>
    </w:p>
    <w:p>
      <w:pPr>
        <w:pStyle w:val="18"/>
        <w:numPr>
          <w:ilvl w:val="0"/>
          <w:numId w:val="3"/>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关于《数据要素赋能上海市卫生健康数字化转型工作方案（试行版）》的通知（沪卫信息便函〔2024]66号〕</w:t>
      </w:r>
    </w:p>
    <w:p>
      <w:pPr>
        <w:pStyle w:val="18"/>
        <w:numPr>
          <w:ilvl w:val="0"/>
          <w:numId w:val="3"/>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《关于进一步做实家庭医生签约居民优先预约上级医院门诊号源的通知》（沪卫发〔2024]4号）</w:t>
      </w:r>
    </w:p>
    <w:p>
      <w:pPr>
        <w:pStyle w:val="18"/>
        <w:numPr>
          <w:ilvl w:val="0"/>
          <w:numId w:val="3"/>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《关于落实门诊号源优先预约相关工作的通知》</w:t>
      </w:r>
    </w:p>
    <w:p>
      <w:pPr>
        <w:pStyle w:val="18"/>
        <w:numPr>
          <w:ilvl w:val="0"/>
          <w:numId w:val="3"/>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上海市委《关于制定上海市国民经济和社会发展第十四个五年规划和二〇三五年远景目标的建议》</w:t>
      </w:r>
    </w:p>
    <w:p>
      <w:pPr>
        <w:pStyle w:val="18"/>
        <w:numPr>
          <w:ilvl w:val="0"/>
          <w:numId w:val="3"/>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上海市委、市政府《关于全面推进上海城市数字化转型的意见》</w:t>
      </w:r>
    </w:p>
    <w:p>
      <w:pPr>
        <w:pStyle w:val="18"/>
        <w:numPr>
          <w:ilvl w:val="0"/>
          <w:numId w:val="3"/>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《上海市卫生健康发展“十四五”规划》（沪府发〔2021〕10号）</w:t>
      </w:r>
    </w:p>
    <w:p>
      <w:pPr>
        <w:pStyle w:val="18"/>
        <w:numPr>
          <w:ilvl w:val="0"/>
          <w:numId w:val="3"/>
        </w:numPr>
        <w:spacing w:before="0" w:beforeAutospacing="0" w:after="0" w:afterAutospacing="0" w:line="360" w:lineRule="auto"/>
        <w:ind w:left="420" w:leftChars="175" w:firstLineChars="0"/>
        <w:rPr>
          <w:rFonts w:hint="eastAsia" w:ascii="宋体" w:hAnsi="宋体" w:cs="宋体"/>
          <w:color w:val="auto"/>
        </w:rPr>
      </w:pPr>
      <w:r>
        <w:rPr>
          <w:rFonts w:hint="eastAsia" w:ascii="宋体" w:hAnsi="宋体" w:cs="宋体"/>
          <w:color w:val="auto"/>
        </w:rPr>
        <w:t>《上海市市级医院发展“十四五”规划》</w:t>
      </w:r>
    </w:p>
    <w:p>
      <w:pPr>
        <w:pStyle w:val="5"/>
        <w:ind w:firstLine="480"/>
      </w:pPr>
    </w:p>
    <w:p>
      <w:pPr>
        <w:pStyle w:val="7"/>
        <w:ind w:firstLine="602"/>
      </w:pPr>
      <w:r>
        <w:rPr>
          <w:rFonts w:hint="eastAsia"/>
        </w:rPr>
        <w:t>系统接口及统一编码标准要求</w:t>
      </w:r>
    </w:p>
    <w:p>
      <w:pPr>
        <w:pStyle w:val="5"/>
        <w:ind w:firstLine="480"/>
        <w:rPr>
          <w:rFonts w:hint="eastAsia" w:ascii="宋体" w:hAnsi="宋体"/>
        </w:rPr>
      </w:pPr>
      <w:r>
        <w:rPr>
          <w:rFonts w:hint="eastAsia" w:ascii="宋体" w:hAnsi="宋体"/>
        </w:rPr>
        <w:t>本项目要求参考相关标准规范，包括但不限于下表内容。</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26"/>
        <w:gridCol w:w="4210"/>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blHeader/>
          <w:jc w:val="center"/>
        </w:trPr>
        <w:tc>
          <w:tcPr>
            <w:tcW w:w="416" w:type="pct"/>
            <w:shd w:val="clear" w:color="auto" w:fill="E7E6E6" w:themeFill="background2"/>
            <w:vAlign w:val="center"/>
          </w:tcPr>
          <w:p>
            <w:pPr>
              <w:spacing w:line="240" w:lineRule="auto"/>
              <w:ind w:firstLine="0" w:firstLineChars="0"/>
              <w:jc w:val="center"/>
              <w:rPr>
                <w:rFonts w:hint="eastAsia" w:ascii="宋体" w:hAnsi="宋体"/>
                <w:b/>
                <w:bCs/>
              </w:rPr>
            </w:pPr>
            <w:r>
              <w:rPr>
                <w:rFonts w:hint="eastAsia" w:ascii="宋体" w:hAnsi="宋体"/>
                <w:b/>
                <w:bCs/>
              </w:rPr>
              <w:t>序号</w:t>
            </w:r>
          </w:p>
        </w:tc>
        <w:tc>
          <w:tcPr>
            <w:tcW w:w="778" w:type="pct"/>
            <w:shd w:val="clear" w:color="auto" w:fill="E7E6E6" w:themeFill="background2"/>
            <w:vAlign w:val="center"/>
          </w:tcPr>
          <w:p>
            <w:pPr>
              <w:spacing w:line="240" w:lineRule="auto"/>
              <w:ind w:firstLine="0" w:firstLineChars="0"/>
              <w:jc w:val="center"/>
              <w:rPr>
                <w:rFonts w:hint="eastAsia" w:ascii="宋体" w:hAnsi="宋体"/>
                <w:b/>
                <w:bCs/>
              </w:rPr>
            </w:pPr>
            <w:r>
              <w:rPr>
                <w:rFonts w:hint="eastAsia" w:ascii="宋体" w:hAnsi="宋体"/>
                <w:b/>
                <w:bCs/>
              </w:rPr>
              <w:t>标准类型</w:t>
            </w:r>
          </w:p>
        </w:tc>
        <w:tc>
          <w:tcPr>
            <w:tcW w:w="2470" w:type="pct"/>
            <w:shd w:val="clear" w:color="auto" w:fill="E7E6E6" w:themeFill="background2"/>
            <w:vAlign w:val="center"/>
          </w:tcPr>
          <w:p>
            <w:pPr>
              <w:spacing w:line="240" w:lineRule="auto"/>
              <w:ind w:firstLine="0" w:firstLineChars="0"/>
              <w:jc w:val="center"/>
              <w:rPr>
                <w:rFonts w:hint="eastAsia" w:ascii="宋体" w:hAnsi="宋体"/>
                <w:b/>
                <w:bCs/>
              </w:rPr>
            </w:pPr>
            <w:r>
              <w:rPr>
                <w:rFonts w:hint="eastAsia" w:ascii="宋体" w:hAnsi="宋体"/>
                <w:b/>
                <w:bCs/>
              </w:rPr>
              <w:t>标准名称</w:t>
            </w:r>
          </w:p>
        </w:tc>
        <w:tc>
          <w:tcPr>
            <w:tcW w:w="1336" w:type="pct"/>
            <w:shd w:val="clear" w:color="auto" w:fill="E7E6E6" w:themeFill="background2"/>
            <w:vAlign w:val="center"/>
          </w:tcPr>
          <w:p>
            <w:pPr>
              <w:spacing w:line="240" w:lineRule="auto"/>
              <w:ind w:firstLine="0" w:firstLineChars="0"/>
              <w:jc w:val="center"/>
              <w:rPr>
                <w:rFonts w:hint="eastAsia" w:ascii="宋体" w:hAnsi="宋体"/>
                <w:b/>
                <w:bCs/>
              </w:rPr>
            </w:pPr>
            <w:r>
              <w:rPr>
                <w:rFonts w:hint="eastAsia" w:ascii="宋体" w:hAnsi="宋体"/>
                <w:b/>
                <w:bCs/>
              </w:rPr>
              <w:t>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国家标准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信息安全技术 信息系统安全等级保护设计技术要求</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GB/T 25070-2010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国家标准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信息安全技术 信息系统安全运维管理指南</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GB/T 36626-2018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国家标准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 xml:space="preserve">信息安全技术 </w:t>
            </w:r>
            <w:r>
              <w:rPr>
                <w:rFonts w:ascii="宋体" w:hAnsi="宋体" w:cs="仿宋_GB2312"/>
              </w:rPr>
              <w:t>网络安全等级保护基本要求</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GB/T 22239-2019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国家标准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 xml:space="preserve">信息安全技术 </w:t>
            </w:r>
            <w:r>
              <w:rPr>
                <w:rFonts w:ascii="宋体" w:hAnsi="宋体" w:cs="仿宋_GB2312"/>
              </w:rPr>
              <w:t>网络安全等级保护测评要求</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GB/T 28448-2019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国家标准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ascii="宋体" w:hAnsi="宋体" w:cs="仿宋_GB2312"/>
              </w:rPr>
              <w:t>信息安全技术 健康医疗数据安全指南</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GB/T 39725-2020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基于电子病历的医院信息平台技术规范</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WS</w:t>
            </w:r>
            <w:r>
              <w:rPr>
                <w:rFonts w:ascii="宋体" w:hAnsi="宋体" w:cs="仿宋_GB2312"/>
              </w:rPr>
              <w:t>/</w:t>
            </w:r>
            <w:r>
              <w:rPr>
                <w:rFonts w:hint="eastAsia" w:ascii="宋体" w:hAnsi="宋体" w:cs="仿宋_GB2312"/>
              </w:rPr>
              <w:t>T 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卫生信息数据元标准化规则</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WS/T 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卫生信息数据模式描述指南</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WS/T 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卫生信息数据集元数据规范</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WS/T 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卫生信息数据集分类与编码规则</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WS/T 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卫生信息数据元目录</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WS 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卫生信息数据元值域代码</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WS 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卫生信息基本数据集编制规范</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WS 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电子病历基本数据集</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WS 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卫生信息共享文档编制规范</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WS</w:t>
            </w:r>
            <w:r>
              <w:rPr>
                <w:rFonts w:ascii="宋体" w:hAnsi="宋体" w:cs="仿宋_GB2312"/>
              </w:rPr>
              <w:t>/</w:t>
            </w:r>
            <w:r>
              <w:rPr>
                <w:rFonts w:hint="eastAsia" w:ascii="宋体" w:hAnsi="宋体" w:cs="仿宋_GB2312"/>
              </w:rPr>
              <w:t>T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卫生统计指标</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WS</w:t>
            </w:r>
            <w:r>
              <w:rPr>
                <w:rFonts w:ascii="宋体" w:hAnsi="宋体" w:cs="仿宋_GB2312"/>
              </w:rPr>
              <w:t>/</w:t>
            </w:r>
            <w:r>
              <w:rPr>
                <w:rFonts w:hint="eastAsia" w:ascii="宋体" w:hAnsi="宋体" w:cs="仿宋_GB2312"/>
              </w:rPr>
              <w:t>T 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行业标准</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卫生信息标识体系</w:t>
            </w:r>
            <w:r>
              <w:rPr>
                <w:rFonts w:ascii="宋体" w:hAnsi="宋体" w:cs="仿宋_GB2312"/>
              </w:rPr>
              <w:t xml:space="preserve"> </w:t>
            </w:r>
            <w:r>
              <w:rPr>
                <w:rFonts w:hint="eastAsia" w:ascii="宋体" w:hAnsi="宋体" w:cs="仿宋_GB2312"/>
              </w:rPr>
              <w:t>对象标识符编号结构与基本规则</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WS/T 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国家医疗健康信息医院信息互联互通标准化成熟度测评方案（2020年版）</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国卫统信便函〔2020〕30号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电子病历系统应用水平分级评价管理办法（试行）</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国卫办医函〔2018〕1079号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电子病历应用管理规范（试行）</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国卫办医发〔2017〕8号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医院信息化建设应用技术指引（2017版）</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国卫办规划函〔201</w:t>
            </w:r>
            <w:r>
              <w:rPr>
                <w:rFonts w:ascii="宋体" w:hAnsi="宋体" w:cs="仿宋_GB2312"/>
              </w:rPr>
              <w:t>7</w:t>
            </w:r>
            <w:r>
              <w:rPr>
                <w:rFonts w:hint="eastAsia" w:ascii="宋体" w:hAnsi="宋体" w:cs="仿宋_GB2312"/>
              </w:rPr>
              <w:t>〕1</w:t>
            </w:r>
            <w:r>
              <w:rPr>
                <w:rFonts w:ascii="宋体" w:hAnsi="宋体" w:cs="仿宋_GB2312"/>
              </w:rPr>
              <w:t>232</w:t>
            </w:r>
            <w:r>
              <w:rPr>
                <w:rFonts w:hint="eastAsia" w:ascii="宋体" w:hAnsi="宋体" w:cs="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医院信息平台应用功能指引</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国卫办规划函〔201</w:t>
            </w:r>
            <w:r>
              <w:rPr>
                <w:rFonts w:ascii="宋体" w:hAnsi="宋体" w:cs="仿宋_GB2312"/>
              </w:rPr>
              <w:t>6</w:t>
            </w:r>
            <w:r>
              <w:rPr>
                <w:rFonts w:hint="eastAsia" w:ascii="宋体" w:hAnsi="宋体" w:cs="仿宋_GB2312"/>
              </w:rPr>
              <w:t>〕1</w:t>
            </w:r>
            <w:r>
              <w:rPr>
                <w:rFonts w:ascii="宋体" w:hAnsi="宋体" w:cs="仿宋_GB2312"/>
              </w:rPr>
              <w:t>110</w:t>
            </w:r>
            <w:r>
              <w:rPr>
                <w:rFonts w:hint="eastAsia" w:ascii="宋体" w:hAnsi="宋体" w:cs="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ascii="宋体" w:hAnsi="宋体" w:cs="仿宋_GB2312"/>
              </w:rPr>
              <w:t>中医医院信息系统基本功能规范</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ascii="宋体" w:hAnsi="宋体" w:cs="仿宋_GB2312"/>
              </w:rPr>
              <w:t>国中医药办发〔2011〕46号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医院信息系统基本功能规范</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卫办法（2</w:t>
            </w:r>
            <w:r>
              <w:rPr>
                <w:rFonts w:ascii="宋体" w:hAnsi="宋体" w:cs="仿宋_GB2312"/>
              </w:rPr>
              <w:t>002</w:t>
            </w:r>
            <w:r>
              <w:rPr>
                <w:rFonts w:hint="eastAsia" w:ascii="宋体" w:hAnsi="宋体" w:cs="仿宋_GB2312"/>
              </w:rPr>
              <w:t>）1</w:t>
            </w:r>
            <w:r>
              <w:rPr>
                <w:rFonts w:ascii="宋体" w:hAnsi="宋体" w:cs="仿宋_GB2312"/>
              </w:rPr>
              <w:t>16</w:t>
            </w:r>
            <w:r>
              <w:rPr>
                <w:rFonts w:hint="eastAsia" w:ascii="宋体" w:hAnsi="宋体" w:cs="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国家健康医疗大数据标准、安全和服务管理办法（试行）</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国卫规划发〔2018〕23号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卫生行业信息安全等级保护工作的指导意见</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卫办发〔2011〕85号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卫生系统电子认证服务管理办法（试行）</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卫办发〔2009〕125号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全国医院信息化建设标准与规范</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国卫办规划发〔2018〕4号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6" w:type="pct"/>
            <w:vAlign w:val="center"/>
          </w:tcPr>
          <w:p>
            <w:pPr>
              <w:pStyle w:val="28"/>
              <w:widowControl w:val="0"/>
              <w:numPr>
                <w:ilvl w:val="0"/>
                <w:numId w:val="4"/>
              </w:numPr>
              <w:tabs>
                <w:tab w:val="left" w:pos="257"/>
              </w:tabs>
              <w:ind w:left="0" w:firstLine="0" w:firstLineChars="0"/>
              <w:jc w:val="center"/>
              <w:rPr>
                <w:rFonts w:hint="eastAsia"/>
              </w:rPr>
            </w:pPr>
          </w:p>
        </w:tc>
        <w:tc>
          <w:tcPr>
            <w:tcW w:w="778"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行业规范</w:t>
            </w:r>
          </w:p>
        </w:tc>
        <w:tc>
          <w:tcPr>
            <w:tcW w:w="2470" w:type="pct"/>
            <w:vAlign w:val="center"/>
          </w:tcPr>
          <w:p>
            <w:pPr>
              <w:adjustRightInd w:val="0"/>
              <w:snapToGrid w:val="0"/>
              <w:spacing w:line="240" w:lineRule="auto"/>
              <w:ind w:firstLine="0" w:firstLineChars="0"/>
              <w:rPr>
                <w:rFonts w:hint="eastAsia" w:ascii="宋体" w:hAnsi="宋体" w:cs="仿宋_GB2312"/>
              </w:rPr>
            </w:pPr>
            <w:r>
              <w:rPr>
                <w:rFonts w:hint="eastAsia" w:ascii="宋体" w:hAnsi="宋体" w:cs="仿宋_GB2312"/>
              </w:rPr>
              <w:t>全国医院数据上报管理方案</w:t>
            </w:r>
          </w:p>
        </w:tc>
        <w:tc>
          <w:tcPr>
            <w:tcW w:w="1336" w:type="pct"/>
            <w:vAlign w:val="center"/>
          </w:tcPr>
          <w:p>
            <w:pPr>
              <w:adjustRightInd w:val="0"/>
              <w:snapToGrid w:val="0"/>
              <w:spacing w:line="240" w:lineRule="auto"/>
              <w:ind w:firstLine="0" w:firstLineChars="0"/>
              <w:jc w:val="left"/>
              <w:rPr>
                <w:rFonts w:hint="eastAsia" w:ascii="宋体" w:hAnsi="宋体" w:cs="仿宋_GB2312"/>
              </w:rPr>
            </w:pPr>
            <w:r>
              <w:rPr>
                <w:rFonts w:hint="eastAsia" w:ascii="宋体" w:hAnsi="宋体" w:cs="仿宋_GB2312"/>
              </w:rPr>
              <w:t>国卫办规划函〔2019〕380号</w:t>
            </w:r>
          </w:p>
        </w:tc>
      </w:tr>
    </w:tbl>
    <w:p>
      <w:pPr>
        <w:pStyle w:val="24"/>
        <w:adjustRightInd w:val="0"/>
        <w:spacing w:line="360" w:lineRule="auto"/>
        <w:ind w:firstLine="480"/>
        <w:rPr>
          <w:rFonts w:hint="eastAsia" w:ascii="宋体" w:hAnsi="宋体" w:eastAsia="宋体" w:cs="Calibri"/>
          <w:sz w:val="24"/>
        </w:rPr>
      </w:pPr>
    </w:p>
    <w:p>
      <w:pPr>
        <w:pStyle w:val="5"/>
        <w:spacing w:line="288" w:lineRule="auto"/>
        <w:ind w:firstLine="480"/>
        <w:rPr>
          <w:rFonts w:hint="eastAsia" w:ascii="宋体" w:hAnsi="宋体"/>
        </w:rPr>
      </w:pPr>
      <w:r>
        <w:rPr>
          <w:rFonts w:hint="eastAsia" w:ascii="宋体" w:hAnsi="宋体"/>
        </w:rPr>
        <w:t>同时，需参考和遵循申康中心已有相关标准规范：</w:t>
      </w:r>
    </w:p>
    <w:p>
      <w:pPr>
        <w:pStyle w:val="26"/>
        <w:numPr>
          <w:ilvl w:val="0"/>
          <w:numId w:val="5"/>
        </w:numPr>
        <w:adjustRightInd w:val="0"/>
        <w:snapToGrid w:val="0"/>
        <w:spacing w:line="288" w:lineRule="auto"/>
        <w:ind w:left="426" w:hanging="6" w:firstLineChars="0"/>
        <w:rPr>
          <w:rFonts w:hint="eastAsia" w:ascii="宋体" w:hAnsi="宋体" w:cs="仿宋_GB2312"/>
          <w:szCs w:val="24"/>
        </w:rPr>
      </w:pPr>
      <w:r>
        <w:rPr>
          <w:rFonts w:hint="eastAsia" w:ascii="宋体" w:hAnsi="宋体" w:cs="仿宋_GB2312"/>
          <w:szCs w:val="24"/>
        </w:rPr>
        <w:t>《医联工程联网医院信息采集接口规范（版本</w:t>
      </w:r>
      <w:r>
        <w:rPr>
          <w:rFonts w:ascii="宋体" w:hAnsi="宋体" w:cs="仿宋_GB2312"/>
          <w:szCs w:val="24"/>
        </w:rPr>
        <w:t>5</w:t>
      </w:r>
      <w:r>
        <w:rPr>
          <w:rFonts w:hint="eastAsia" w:ascii="宋体" w:hAnsi="宋体" w:cs="仿宋_GB2312"/>
          <w:szCs w:val="24"/>
        </w:rPr>
        <w:t>.1）》</w:t>
      </w:r>
    </w:p>
    <w:p>
      <w:pPr>
        <w:pStyle w:val="26"/>
        <w:numPr>
          <w:ilvl w:val="0"/>
          <w:numId w:val="5"/>
        </w:numPr>
        <w:adjustRightInd w:val="0"/>
        <w:snapToGrid w:val="0"/>
        <w:spacing w:line="288" w:lineRule="auto"/>
        <w:ind w:left="426" w:hanging="6" w:firstLineChars="0"/>
        <w:rPr>
          <w:rFonts w:hint="eastAsia" w:ascii="宋体" w:hAnsi="宋体" w:cs="仿宋_GB2312"/>
          <w:szCs w:val="24"/>
        </w:rPr>
      </w:pPr>
      <w:r>
        <w:rPr>
          <w:rFonts w:hint="eastAsia" w:ascii="宋体" w:hAnsi="宋体" w:cs="仿宋_GB2312"/>
          <w:szCs w:val="24"/>
        </w:rPr>
        <w:t>《医联工程市级医院实时业务数据与互联网业务接口规范（抗疫专用版本2</w:t>
      </w:r>
      <w:r>
        <w:rPr>
          <w:rFonts w:ascii="宋体" w:hAnsi="宋体" w:cs="仿宋_GB2312"/>
          <w:szCs w:val="24"/>
        </w:rPr>
        <w:t>.0</w:t>
      </w:r>
      <w:r>
        <w:rPr>
          <w:rFonts w:hint="eastAsia" w:ascii="宋体" w:hAnsi="宋体" w:cs="仿宋_GB2312"/>
          <w:szCs w:val="24"/>
        </w:rPr>
        <w:t>）》</w:t>
      </w:r>
    </w:p>
    <w:p>
      <w:pPr>
        <w:pStyle w:val="26"/>
        <w:numPr>
          <w:ilvl w:val="0"/>
          <w:numId w:val="5"/>
        </w:numPr>
        <w:adjustRightInd w:val="0"/>
        <w:snapToGrid w:val="0"/>
        <w:spacing w:line="288" w:lineRule="auto"/>
        <w:ind w:left="426" w:hanging="6" w:firstLineChars="0"/>
        <w:rPr>
          <w:rFonts w:hint="eastAsia" w:ascii="宋体" w:hAnsi="宋体" w:cs="仿宋_GB2312"/>
          <w:szCs w:val="24"/>
        </w:rPr>
      </w:pPr>
      <w:r>
        <w:rPr>
          <w:rFonts w:hint="eastAsia" w:ascii="宋体" w:hAnsi="宋体" w:cs="仿宋_GB2312"/>
          <w:szCs w:val="24"/>
        </w:rPr>
        <w:t>《医联工程二期数据同步规范（版本5.0）》</w:t>
      </w:r>
    </w:p>
    <w:p>
      <w:pPr>
        <w:pStyle w:val="26"/>
        <w:numPr>
          <w:ilvl w:val="0"/>
          <w:numId w:val="5"/>
        </w:numPr>
        <w:adjustRightInd w:val="0"/>
        <w:snapToGrid w:val="0"/>
        <w:spacing w:line="288" w:lineRule="auto"/>
        <w:ind w:left="426" w:hanging="6" w:firstLineChars="0"/>
        <w:rPr>
          <w:rFonts w:hint="eastAsia" w:ascii="宋体" w:hAnsi="宋体" w:cs="仿宋_GB2312"/>
          <w:szCs w:val="24"/>
        </w:rPr>
      </w:pPr>
      <w:r>
        <w:rPr>
          <w:rFonts w:hint="eastAsia" w:ascii="宋体" w:hAnsi="宋体" w:cs="仿宋_GB2312"/>
          <w:szCs w:val="24"/>
        </w:rPr>
        <w:t>《医联病案信息采集接口规范（版本1.0）》</w:t>
      </w:r>
    </w:p>
    <w:p>
      <w:pPr>
        <w:pStyle w:val="26"/>
        <w:numPr>
          <w:ilvl w:val="0"/>
          <w:numId w:val="5"/>
        </w:numPr>
        <w:adjustRightInd w:val="0"/>
        <w:snapToGrid w:val="0"/>
        <w:spacing w:line="288" w:lineRule="auto"/>
        <w:ind w:left="426" w:hanging="6" w:firstLineChars="0"/>
        <w:rPr>
          <w:rFonts w:hint="eastAsia" w:ascii="宋体" w:hAnsi="宋体" w:cs="仿宋_GB2312"/>
          <w:szCs w:val="24"/>
        </w:rPr>
      </w:pPr>
      <w:r>
        <w:rPr>
          <w:rFonts w:hint="eastAsia" w:ascii="宋体" w:hAnsi="宋体" w:cs="仿宋_GB2312"/>
          <w:szCs w:val="24"/>
        </w:rPr>
        <w:t>《医联工程市级医院分级诊疗数据采集接口规范》</w:t>
      </w:r>
    </w:p>
    <w:p>
      <w:pPr>
        <w:pStyle w:val="26"/>
        <w:numPr>
          <w:ilvl w:val="0"/>
          <w:numId w:val="5"/>
        </w:numPr>
        <w:adjustRightInd w:val="0"/>
        <w:snapToGrid w:val="0"/>
        <w:spacing w:line="288" w:lineRule="auto"/>
        <w:ind w:left="426" w:hanging="6" w:firstLineChars="0"/>
        <w:rPr>
          <w:rFonts w:hint="eastAsia" w:ascii="宋体" w:hAnsi="宋体" w:cs="仿宋_GB2312"/>
          <w:szCs w:val="24"/>
        </w:rPr>
      </w:pPr>
      <w:r>
        <w:rPr>
          <w:rFonts w:hint="eastAsia" w:ascii="宋体" w:hAnsi="宋体" w:cs="仿宋_GB2312"/>
          <w:szCs w:val="24"/>
        </w:rPr>
        <w:t>《上海市医联诊疗信息统一调阅服务接口规范（市级医院版1.5）》</w:t>
      </w:r>
    </w:p>
    <w:p>
      <w:pPr>
        <w:pStyle w:val="26"/>
        <w:numPr>
          <w:ilvl w:val="0"/>
          <w:numId w:val="5"/>
        </w:numPr>
        <w:adjustRightInd w:val="0"/>
        <w:snapToGrid w:val="0"/>
        <w:spacing w:line="288" w:lineRule="auto"/>
        <w:ind w:left="426" w:hanging="6" w:firstLineChars="0"/>
        <w:rPr>
          <w:rFonts w:hint="eastAsia" w:ascii="宋体" w:hAnsi="宋体" w:cs="仿宋_GB2312"/>
          <w:szCs w:val="24"/>
        </w:rPr>
      </w:pPr>
      <w:r>
        <w:rPr>
          <w:rFonts w:hint="eastAsia" w:ascii="宋体" w:hAnsi="宋体" w:cs="仿宋_GB2312"/>
          <w:szCs w:val="24"/>
        </w:rPr>
        <w:t>《上海市医联智能提示接口规范（市级医院版3.0）》</w:t>
      </w:r>
    </w:p>
    <w:p>
      <w:pPr>
        <w:pStyle w:val="26"/>
        <w:numPr>
          <w:ilvl w:val="0"/>
          <w:numId w:val="5"/>
        </w:numPr>
        <w:adjustRightInd w:val="0"/>
        <w:snapToGrid w:val="0"/>
        <w:spacing w:line="288" w:lineRule="auto"/>
        <w:ind w:left="426" w:hanging="6" w:firstLineChars="0"/>
        <w:rPr>
          <w:rFonts w:hint="eastAsia" w:ascii="宋体" w:hAnsi="宋体" w:cs="仿宋_GB2312"/>
          <w:szCs w:val="24"/>
        </w:rPr>
      </w:pPr>
      <w:r>
        <w:rPr>
          <w:rFonts w:hint="eastAsia" w:ascii="宋体" w:hAnsi="宋体" w:cs="仿宋_GB2312"/>
          <w:szCs w:val="24"/>
        </w:rPr>
        <w:t>《联网医院交易接口规范》</w:t>
      </w:r>
    </w:p>
    <w:p>
      <w:pPr>
        <w:pStyle w:val="26"/>
        <w:numPr>
          <w:ilvl w:val="0"/>
          <w:numId w:val="5"/>
        </w:numPr>
        <w:adjustRightInd w:val="0"/>
        <w:snapToGrid w:val="0"/>
        <w:spacing w:line="288" w:lineRule="auto"/>
        <w:ind w:left="426" w:hanging="6" w:firstLineChars="0"/>
        <w:rPr>
          <w:rFonts w:hint="eastAsia" w:ascii="宋体" w:hAnsi="宋体" w:cs="仿宋_GB2312"/>
          <w:szCs w:val="24"/>
        </w:rPr>
      </w:pPr>
      <w:r>
        <w:rPr>
          <w:rFonts w:hint="eastAsia" w:ascii="宋体" w:hAnsi="宋体" w:cs="仿宋_GB2312"/>
          <w:szCs w:val="24"/>
        </w:rPr>
        <w:t>《市级医院便民服务与统一实名认证信息系统服务接口方案（版本1.3）》</w:t>
      </w:r>
    </w:p>
    <w:p>
      <w:pPr>
        <w:pStyle w:val="5"/>
        <w:ind w:firstLine="480"/>
        <w:rPr>
          <w:rFonts w:hint="eastAsia" w:ascii="宋体" w:hAnsi="宋体"/>
          <w:lang w:val="en-US" w:eastAsia="zh-CN"/>
        </w:rPr>
      </w:pPr>
      <w:r>
        <w:rPr>
          <w:rFonts w:hint="eastAsia" w:ascii="宋体" w:hAnsi="宋体"/>
          <w:lang w:val="en-US" w:eastAsia="zh-CN"/>
        </w:rPr>
        <w:t>完成与医院在用系统的对接实现数据互通与业务协同，包括但不限于HIS、LIS、超声放射、EMR、CIS、集成平台、线上服务、自助机、科研平台等，相关费用已包含在本项目范围内。</w:t>
      </w:r>
    </w:p>
    <w:p>
      <w:pPr>
        <w:pStyle w:val="5"/>
        <w:ind w:firstLine="480"/>
        <w:rPr>
          <w:rFonts w:hint="eastAsia" w:ascii="宋体" w:hAnsi="宋体"/>
          <w:lang w:val="en-US" w:eastAsia="zh-CN"/>
        </w:rPr>
      </w:pPr>
      <w:r>
        <w:rPr>
          <w:rFonts w:hint="eastAsia" w:ascii="宋体" w:hAnsi="宋体"/>
          <w:lang w:val="en-US" w:eastAsia="zh-CN"/>
        </w:rPr>
        <w:t>项目验收前按照要求完成与申康、卫健委等机构的数据对接与上报，完成医院需要的统计报表制作，完成与医院现有系统的门户接入与展示、统一认证，实现无缝衔接，满足良好的用户体验，相关费用已包含在本项目范围内。</w:t>
      </w:r>
    </w:p>
    <w:p>
      <w:pPr>
        <w:pStyle w:val="5"/>
        <w:ind w:firstLine="480"/>
        <w:rPr>
          <w:rFonts w:hint="default" w:ascii="宋体" w:hAnsi="宋体"/>
          <w:lang w:val="en-US" w:eastAsia="zh-CN"/>
        </w:rPr>
      </w:pPr>
      <w:r>
        <w:rPr>
          <w:rFonts w:hint="eastAsia" w:ascii="宋体" w:hAnsi="宋体"/>
          <w:lang w:val="en-US" w:eastAsia="zh-CN"/>
        </w:rPr>
        <w:t>项目验收前按照要求免费配合完成相关测评工作，包括软件测评、安全测评、密码测评、等保测评等。支付给第三方测评机构的相关测评费用不在此项目范围。</w:t>
      </w:r>
    </w:p>
    <w:p>
      <w:pPr>
        <w:pStyle w:val="5"/>
        <w:ind w:firstLine="480"/>
        <w:rPr>
          <w:rFonts w:hint="eastAsia" w:ascii="宋体" w:hAnsi="宋体"/>
        </w:rPr>
      </w:pPr>
    </w:p>
    <w:p>
      <w:pPr>
        <w:pStyle w:val="3"/>
        <w:ind w:firstLine="643" w:firstLineChars="0"/>
        <w:rPr>
          <w:rFonts w:hint="eastAsia" w:ascii="宋体" w:hAnsi="宋体"/>
        </w:rPr>
      </w:pPr>
      <w:r>
        <w:t>系统功能、技术规格及要求</w:t>
      </w:r>
    </w:p>
    <w:p>
      <w:pPr>
        <w:pStyle w:val="7"/>
        <w:ind w:firstLine="602"/>
      </w:pPr>
      <w:r>
        <w:rPr>
          <w:rFonts w:hint="eastAsia"/>
        </w:rPr>
        <w:t>总体要求</w:t>
      </w:r>
    </w:p>
    <w:p>
      <w:pPr>
        <w:pStyle w:val="8"/>
        <w:spacing w:before="0" w:after="0"/>
        <w:ind w:left="0" w:firstLine="562"/>
      </w:pPr>
      <w:r>
        <w:rPr>
          <w:rFonts w:hint="eastAsia"/>
        </w:rPr>
        <w:t>架构要求</w:t>
      </w:r>
    </w:p>
    <w:p>
      <w:pPr>
        <w:pStyle w:val="5"/>
        <w:ind w:firstLine="480"/>
        <w:rPr>
          <w:rFonts w:hint="eastAsia" w:ascii="宋体" w:hAnsi="宋体"/>
        </w:rPr>
      </w:pPr>
      <w:r>
        <w:rPr>
          <w:rFonts w:hint="eastAsia" w:ascii="宋体" w:hAnsi="宋体"/>
        </w:rPr>
        <w:t>投标人提供的系统平台建设应满足以下要求：</w:t>
      </w:r>
    </w:p>
    <w:p>
      <w:pPr>
        <w:pStyle w:val="27"/>
        <w:ind w:firstLine="480"/>
        <w:jc w:val="both"/>
        <w:rPr>
          <w:rFonts w:hint="eastAsia" w:ascii="宋体"/>
          <w:szCs w:val="28"/>
        </w:rPr>
      </w:pPr>
      <w:r>
        <w:rPr>
          <w:rFonts w:hint="eastAsia" w:ascii="宋体"/>
          <w:szCs w:val="28"/>
        </w:rPr>
        <w:t>1.具备负载均衡能力，能够实现系统的热部署。</w:t>
      </w:r>
    </w:p>
    <w:p>
      <w:pPr>
        <w:pStyle w:val="27"/>
        <w:ind w:firstLine="480"/>
        <w:jc w:val="both"/>
        <w:rPr>
          <w:rFonts w:hint="eastAsia" w:ascii="宋体"/>
          <w:szCs w:val="28"/>
        </w:rPr>
      </w:pPr>
      <w:r>
        <w:rPr>
          <w:rFonts w:hint="eastAsia" w:ascii="宋体"/>
          <w:szCs w:val="28"/>
        </w:rPr>
        <w:t>2.具有良好的可扩展性，以后可快速接入。</w:t>
      </w:r>
    </w:p>
    <w:p>
      <w:pPr>
        <w:pStyle w:val="27"/>
        <w:ind w:firstLine="480"/>
        <w:jc w:val="both"/>
        <w:rPr>
          <w:rFonts w:hint="default" w:ascii="宋体" w:eastAsia="宋体"/>
          <w:szCs w:val="28"/>
          <w:lang w:val="en-US" w:eastAsia="zh-CN"/>
        </w:rPr>
      </w:pPr>
      <w:r>
        <w:rPr>
          <w:rFonts w:hint="eastAsia" w:ascii="宋体"/>
          <w:szCs w:val="28"/>
        </w:rPr>
        <w:t>3</w:t>
      </w:r>
      <w:r>
        <w:rPr>
          <w:rFonts w:ascii="宋体"/>
          <w:szCs w:val="28"/>
        </w:rPr>
        <w:t>.</w:t>
      </w:r>
      <w:r>
        <w:rPr>
          <w:rFonts w:hint="eastAsia" w:ascii="宋体"/>
          <w:szCs w:val="28"/>
        </w:rPr>
        <w:t>本项目应满足信创相关要求，使用国产操作系统、数据库、中间件等技术软件。投标人需提供相关承诺。</w:t>
      </w:r>
    </w:p>
    <w:p>
      <w:pPr>
        <w:pStyle w:val="27"/>
        <w:ind w:firstLine="480"/>
        <w:jc w:val="both"/>
        <w:rPr>
          <w:rFonts w:hint="eastAsia" w:ascii="宋体"/>
          <w:szCs w:val="28"/>
        </w:rPr>
      </w:pPr>
      <w:r>
        <w:rPr>
          <w:rFonts w:hint="eastAsia" w:ascii="宋体"/>
          <w:szCs w:val="28"/>
        </w:rPr>
        <w:t>4</w:t>
      </w:r>
      <w:r>
        <w:rPr>
          <w:rFonts w:ascii="宋体"/>
          <w:szCs w:val="28"/>
        </w:rPr>
        <w:t>.</w:t>
      </w:r>
      <w:r>
        <w:rPr>
          <w:rFonts w:hint="eastAsia" w:ascii="宋体"/>
          <w:szCs w:val="28"/>
        </w:rPr>
        <w:t>投标人需提供针对本项目的总体架构设计图及说明。</w:t>
      </w:r>
    </w:p>
    <w:p>
      <w:pPr>
        <w:pStyle w:val="8"/>
        <w:spacing w:before="0" w:after="0"/>
        <w:ind w:left="0" w:firstLine="562"/>
      </w:pPr>
      <w:r>
        <w:rPr>
          <w:rFonts w:hint="eastAsia"/>
        </w:rPr>
        <w:t>安全要求</w:t>
      </w:r>
    </w:p>
    <w:p>
      <w:pPr>
        <w:pStyle w:val="27"/>
        <w:ind w:firstLine="480"/>
        <w:jc w:val="both"/>
        <w:rPr>
          <w:rFonts w:hint="eastAsia" w:ascii="宋体"/>
          <w:szCs w:val="28"/>
        </w:rPr>
      </w:pPr>
      <w:r>
        <w:rPr>
          <w:rFonts w:hint="eastAsia" w:ascii="宋体"/>
          <w:szCs w:val="28"/>
        </w:rPr>
        <w:t>根据《中华人民共和国数据安全法》、《中华人民共和国个人信息保护法》等相关要求，本项目建设需满足以下安全要求：</w:t>
      </w:r>
    </w:p>
    <w:p>
      <w:pPr>
        <w:pStyle w:val="27"/>
        <w:ind w:firstLine="480"/>
        <w:jc w:val="both"/>
        <w:rPr>
          <w:rFonts w:hint="eastAsia" w:ascii="宋体"/>
          <w:szCs w:val="28"/>
        </w:rPr>
      </w:pPr>
      <w:r>
        <w:rPr>
          <w:rFonts w:hint="eastAsia" w:ascii="宋体"/>
          <w:szCs w:val="28"/>
        </w:rPr>
        <w:t>1.具备安全的加密设计，前后台数据传输必须进行加密；</w:t>
      </w:r>
    </w:p>
    <w:p>
      <w:pPr>
        <w:pStyle w:val="27"/>
        <w:ind w:firstLine="480"/>
        <w:jc w:val="both"/>
        <w:rPr>
          <w:rFonts w:hint="eastAsia" w:ascii="宋体"/>
          <w:szCs w:val="28"/>
        </w:rPr>
      </w:pPr>
      <w:r>
        <w:rPr>
          <w:rFonts w:hint="eastAsia" w:ascii="宋体"/>
          <w:szCs w:val="28"/>
        </w:rPr>
        <w:t>2.严格执行信息安全和健康医疗数据保密规定，建立完善个人隐私信息保护制度；</w:t>
      </w:r>
    </w:p>
    <w:p>
      <w:pPr>
        <w:pStyle w:val="27"/>
        <w:ind w:firstLine="480"/>
        <w:jc w:val="both"/>
        <w:rPr>
          <w:rFonts w:hint="eastAsia" w:ascii="宋体"/>
          <w:szCs w:val="28"/>
        </w:rPr>
      </w:pPr>
      <w:r>
        <w:rPr>
          <w:rFonts w:hint="eastAsia" w:ascii="宋体"/>
          <w:szCs w:val="28"/>
        </w:rPr>
        <w:t>3.满足网络安全等级保护三级等相关要求；</w:t>
      </w:r>
    </w:p>
    <w:p>
      <w:pPr>
        <w:pStyle w:val="27"/>
        <w:ind w:firstLine="480"/>
        <w:jc w:val="both"/>
        <w:rPr>
          <w:rFonts w:hint="eastAsia" w:ascii="宋体"/>
          <w:szCs w:val="28"/>
        </w:rPr>
      </w:pPr>
      <w:r>
        <w:rPr>
          <w:rFonts w:hint="eastAsia" w:ascii="宋体"/>
          <w:szCs w:val="28"/>
        </w:rPr>
        <w:t>4.满足国家对商用密码应用安全的相关要求。</w:t>
      </w:r>
    </w:p>
    <w:p>
      <w:pPr>
        <w:pStyle w:val="27"/>
        <w:ind w:firstLine="480"/>
        <w:jc w:val="both"/>
        <w:rPr>
          <w:rFonts w:hint="eastAsia" w:ascii="宋体"/>
          <w:szCs w:val="28"/>
        </w:rPr>
      </w:pPr>
      <w:r>
        <w:rPr>
          <w:rFonts w:hint="eastAsia" w:ascii="宋体"/>
          <w:szCs w:val="28"/>
        </w:rPr>
        <w:t>5</w:t>
      </w:r>
      <w:r>
        <w:rPr>
          <w:rFonts w:ascii="宋体"/>
          <w:szCs w:val="28"/>
        </w:rPr>
        <w:t>.</w:t>
      </w:r>
      <w:r>
        <w:rPr>
          <w:rFonts w:hint="eastAsia" w:ascii="宋体"/>
          <w:szCs w:val="28"/>
        </w:rPr>
        <w:t>本项目须通过第三方软件测试、安全测评</w:t>
      </w:r>
      <w:r>
        <w:rPr>
          <w:rFonts w:hint="eastAsia" w:ascii="宋体"/>
          <w:szCs w:val="28"/>
          <w:lang w:eastAsia="zh-CN"/>
        </w:rPr>
        <w:t>、</w:t>
      </w:r>
      <w:r>
        <w:rPr>
          <w:rFonts w:hint="eastAsia" w:ascii="宋体"/>
          <w:szCs w:val="28"/>
        </w:rPr>
        <w:t>密码测评</w:t>
      </w:r>
      <w:r>
        <w:rPr>
          <w:rFonts w:hint="eastAsia" w:ascii="宋体"/>
          <w:szCs w:val="28"/>
          <w:lang w:val="en-US" w:eastAsia="zh-CN"/>
        </w:rPr>
        <w:t>及信创适配</w:t>
      </w:r>
      <w:r>
        <w:rPr>
          <w:rFonts w:hint="eastAsia" w:ascii="宋体"/>
          <w:szCs w:val="28"/>
        </w:rPr>
        <w:t>，并作为项目验收及上线运行的先决条件。本项目软件测试、安全测评及密码测评工作由采购人安排第三方提供，投标人应承诺配合采购人做好软件测试、安全测评及密码测评工作。</w:t>
      </w:r>
    </w:p>
    <w:p>
      <w:pPr>
        <w:pStyle w:val="8"/>
        <w:spacing w:before="0" w:after="0"/>
        <w:ind w:left="0" w:firstLine="562"/>
      </w:pPr>
      <w:r>
        <w:rPr>
          <w:rFonts w:hint="eastAsia"/>
        </w:rPr>
        <w:t>功能应用架构要求</w:t>
      </w:r>
    </w:p>
    <w:p>
      <w:pPr>
        <w:pStyle w:val="5"/>
        <w:ind w:firstLine="480"/>
        <w:rPr>
          <w:rFonts w:hint="eastAsia" w:ascii="宋体" w:hAnsi="宋体"/>
        </w:rPr>
      </w:pPr>
      <w:r>
        <w:rPr>
          <w:rFonts w:hint="eastAsia" w:ascii="宋体" w:hAnsi="宋体"/>
        </w:rPr>
        <w:t>上海</w:t>
      </w:r>
      <w:r>
        <w:rPr>
          <w:rFonts w:hint="eastAsia" w:ascii="宋体" w:hAnsi="宋体"/>
          <w:lang w:val="en-US" w:eastAsia="zh-CN"/>
        </w:rPr>
        <w:t>市</w:t>
      </w:r>
      <w:r>
        <w:rPr>
          <w:rFonts w:hint="eastAsia" w:ascii="宋体" w:hAnsi="宋体"/>
        </w:rPr>
        <w:t>养志康复医院</w:t>
      </w:r>
      <w:r>
        <w:rPr>
          <w:rFonts w:hint="eastAsia" w:ascii="宋体" w:hAnsi="宋体" w:cs="仿宋_GB2312"/>
        </w:rPr>
        <w:t>数据要素赋能上海市卫生健康数字化转型子系统</w:t>
      </w:r>
      <w:r>
        <w:rPr>
          <w:rFonts w:hint="eastAsia" w:ascii="宋体" w:hAnsi="宋体"/>
        </w:rPr>
        <w:t>作为医院数字化建设的重要组成部分，应确保与医院已有数字平台的数据流及业务流的紧密衔接，并纳入统一管理体系。投标人需提供相关承诺和详细的实施方案。</w:t>
      </w:r>
    </w:p>
    <w:p>
      <w:pPr>
        <w:pStyle w:val="7"/>
        <w:ind w:firstLine="602"/>
        <w:rPr>
          <w:rFonts w:hint="eastAsia" w:ascii="宋体" w:hAnsi="宋体"/>
        </w:rPr>
      </w:pPr>
      <w:r>
        <w:rPr>
          <w:rFonts w:hint="eastAsia"/>
        </w:rPr>
        <w:t>应用软件系统功能要求</w:t>
      </w:r>
      <w:r>
        <w:rPr>
          <w:rFonts w:hint="eastAsia" w:ascii="宋体" w:hAnsi="宋体"/>
        </w:rPr>
        <w:t xml:space="preserve"> </w:t>
      </w:r>
    </w:p>
    <w:p>
      <w:pPr>
        <w:pStyle w:val="8"/>
        <w:spacing w:before="0" w:after="0"/>
        <w:ind w:left="0" w:firstLine="562"/>
      </w:pPr>
      <w:r>
        <w:t>上海中药云平台接口</w:t>
      </w:r>
    </w:p>
    <w:p>
      <w:pPr>
        <w:pStyle w:val="9"/>
        <w:numPr>
          <w:ilvl w:val="0"/>
          <w:numId w:val="0"/>
        </w:numPr>
        <w:spacing w:before="78" w:beforeLines="25" w:after="78" w:afterLines="25" w:line="377" w:lineRule="auto"/>
        <w:ind w:firstLine="562" w:firstLineChars="200"/>
        <w:jc w:val="left"/>
      </w:pPr>
      <w:r>
        <w:rPr>
          <w:rFonts w:hint="eastAsia" w:cstheme="minorBidi"/>
          <w:b/>
          <w:bCs/>
          <w:kern w:val="2"/>
          <w:sz w:val="28"/>
          <w:szCs w:val="28"/>
          <w:lang w:val="en-US" w:eastAsia="zh-CN" w:bidi="ar-SA"/>
        </w:rPr>
        <w:t>4.2.1.1</w:t>
      </w:r>
      <w:r>
        <w:rPr>
          <w:rFonts w:hint="eastAsia"/>
        </w:rPr>
        <w:t>接口封装</w:t>
      </w:r>
    </w:p>
    <w:p>
      <w:pPr>
        <w:spacing w:before="60" w:after="60"/>
        <w:ind w:firstLine="480"/>
        <w:rPr>
          <w:rFonts w:hint="eastAsia"/>
          <w:lang w:eastAsia="zh-CN"/>
        </w:rPr>
      </w:pPr>
      <w:r>
        <w:rPr>
          <w:rFonts w:hint="eastAsia"/>
          <w:color w:val="000000"/>
          <w:kern w:val="2"/>
          <w:lang w:bidi="ar"/>
        </w:rPr>
        <w:t>支持通过安心达平台基于区块链技术的处方流转模块发送处方给代煎企业，处方内容包含：服用日期、频次、服用描述、送药日期、医嘱开始时间、医嘱结束时间、处方明细</w:t>
      </w:r>
      <w:r>
        <w:rPr>
          <w:color w:val="000000"/>
          <w:kern w:val="2"/>
          <w:lang w:bidi="ar"/>
        </w:rPr>
        <w:t>/</w:t>
      </w:r>
      <w:r>
        <w:rPr>
          <w:rFonts w:hint="eastAsia"/>
          <w:color w:val="000000"/>
          <w:kern w:val="2"/>
          <w:lang w:bidi="ar"/>
        </w:rPr>
        <w:t>药品是否已发药等。</w:t>
      </w:r>
    </w:p>
    <w:p>
      <w:pPr>
        <w:pStyle w:val="9"/>
        <w:numPr>
          <w:ilvl w:val="0"/>
          <w:numId w:val="0"/>
        </w:numPr>
        <w:spacing w:before="78" w:beforeLines="25" w:after="78" w:afterLines="25" w:line="377" w:lineRule="auto"/>
        <w:ind w:firstLine="562" w:firstLineChars="200"/>
        <w:jc w:val="left"/>
      </w:pPr>
      <w:r>
        <w:rPr>
          <w:rFonts w:hint="eastAsia" w:cstheme="minorBidi"/>
          <w:b/>
          <w:bCs/>
          <w:kern w:val="2"/>
          <w:sz w:val="28"/>
          <w:szCs w:val="28"/>
          <w:lang w:val="en-US" w:eastAsia="zh-CN" w:bidi="ar-SA"/>
        </w:rPr>
        <w:t>4.2.1.2</w:t>
      </w:r>
      <w:r>
        <w:rPr>
          <w:rFonts w:hint="eastAsia"/>
        </w:rPr>
        <w:t>数据上传</w:t>
      </w:r>
    </w:p>
    <w:p>
      <w:pPr>
        <w:pStyle w:val="18"/>
        <w:widowControl w:val="0"/>
        <w:autoSpaceDE w:val="0"/>
        <w:autoSpaceDN w:val="0"/>
        <w:adjustRightInd w:val="0"/>
        <w:spacing w:before="81" w:beforeAutospacing="0" w:after="163" w:afterLines="50" w:afterAutospacing="0" w:line="360" w:lineRule="auto"/>
        <w:ind w:firstLine="480"/>
        <w:jc w:val="both"/>
        <w:rPr>
          <w:color w:val="000000"/>
          <w:kern w:val="2"/>
          <w:lang w:bidi="ar"/>
        </w:rPr>
      </w:pPr>
      <w:r>
        <w:rPr>
          <w:rFonts w:hint="eastAsia"/>
          <w:color w:val="000000"/>
          <w:kern w:val="2"/>
          <w:lang w:val="en-US" w:eastAsia="zh-CN" w:bidi="ar"/>
        </w:rPr>
        <w:t>当</w:t>
      </w:r>
      <w:r>
        <w:rPr>
          <w:rFonts w:hint="eastAsia"/>
          <w:color w:val="000000"/>
          <w:kern w:val="2"/>
          <w:lang w:bidi="ar"/>
        </w:rPr>
        <w:t>医疗机构在平台上报处方订单之后，</w:t>
      </w:r>
      <w:r>
        <w:rPr>
          <w:rFonts w:hint="eastAsia"/>
          <w:color w:val="000000"/>
          <w:kern w:val="2"/>
          <w:lang w:val="en-US" w:eastAsia="zh-CN" w:bidi="ar"/>
        </w:rPr>
        <w:t>若</w:t>
      </w:r>
      <w:r>
        <w:rPr>
          <w:rFonts w:hint="eastAsia"/>
          <w:color w:val="000000"/>
          <w:kern w:val="2"/>
          <w:lang w:bidi="ar"/>
        </w:rPr>
        <w:t>由于各种原因需要退方，</w:t>
      </w:r>
      <w:r>
        <w:rPr>
          <w:rFonts w:hint="eastAsia"/>
          <w:color w:val="000000"/>
          <w:kern w:val="2"/>
          <w:lang w:val="en-US" w:eastAsia="zh-CN" w:bidi="ar"/>
        </w:rPr>
        <w:t>支持</w:t>
      </w:r>
      <w:r>
        <w:rPr>
          <w:rFonts w:hint="eastAsia"/>
          <w:color w:val="000000"/>
          <w:kern w:val="2"/>
          <w:lang w:bidi="ar"/>
        </w:rPr>
        <w:t>通过此接口向平台提交处方退方申请，当处方未发给代煎企业时无法下载该处方。</w:t>
      </w:r>
    </w:p>
    <w:p>
      <w:pPr>
        <w:pStyle w:val="18"/>
        <w:widowControl w:val="0"/>
        <w:autoSpaceDE w:val="0"/>
        <w:autoSpaceDN w:val="0"/>
        <w:adjustRightInd w:val="0"/>
        <w:spacing w:before="81" w:beforeAutospacing="0" w:after="163" w:afterLines="50" w:afterAutospacing="0" w:line="360" w:lineRule="auto"/>
        <w:ind w:firstLine="480"/>
        <w:jc w:val="both"/>
        <w:rPr>
          <w:color w:val="000000"/>
          <w:kern w:val="2"/>
          <w:lang w:bidi="ar"/>
        </w:rPr>
      </w:pPr>
      <w:r>
        <w:rPr>
          <w:rFonts w:hint="eastAsia"/>
          <w:color w:val="000000"/>
          <w:kern w:val="2"/>
          <w:lang w:bidi="ar"/>
        </w:rPr>
        <w:t>支持处方信息更新对接；</w:t>
      </w:r>
    </w:p>
    <w:p>
      <w:pPr>
        <w:spacing w:before="60" w:after="60"/>
        <w:ind w:firstLine="480"/>
      </w:pPr>
      <w:r>
        <w:rPr>
          <w:rFonts w:hint="eastAsia"/>
          <w:color w:val="000000"/>
          <w:kern w:val="2"/>
          <w:lang w:bidi="ar"/>
        </w:rPr>
        <w:t>支持每日上传完所有处方信息后，上传核对数据，包含开放日期、饮片厂代码、上传处方数、上传审方数、上传退方数等。</w:t>
      </w:r>
      <w:r>
        <w:t>。</w:t>
      </w:r>
    </w:p>
    <w:p>
      <w:pPr>
        <w:pStyle w:val="8"/>
        <w:spacing w:before="0" w:after="0"/>
        <w:ind w:left="0" w:firstLine="562"/>
        <w:rPr>
          <w:rFonts w:hint="default" w:ascii="Times New Roman" w:hAnsi="Times New Roman" w:eastAsia="宋体"/>
          <w:lang w:val="en-US"/>
        </w:rPr>
      </w:pPr>
      <w:r>
        <w:rPr>
          <w:rFonts w:hint="default" w:ascii="Times New Roman" w:hAnsi="Times New Roman" w:eastAsia="宋体"/>
          <w:lang w:val="en-US"/>
        </w:rPr>
        <w:t>医保刷脸支付</w:t>
      </w:r>
    </w:p>
    <w:p>
      <w:pPr>
        <w:pStyle w:val="18"/>
        <w:widowControl w:val="0"/>
        <w:autoSpaceDE w:val="0"/>
        <w:autoSpaceDN w:val="0"/>
        <w:adjustRightInd w:val="0"/>
        <w:spacing w:before="81" w:beforeAutospacing="0" w:after="163" w:afterLines="50" w:afterAutospacing="0" w:line="360" w:lineRule="auto"/>
        <w:ind w:firstLine="480"/>
        <w:jc w:val="both"/>
        <w:rPr>
          <w:color w:val="000000"/>
          <w:kern w:val="2"/>
          <w:lang w:bidi="ar"/>
        </w:rPr>
      </w:pPr>
      <w:r>
        <w:rPr>
          <w:rFonts w:hint="eastAsia"/>
          <w:color w:val="000000"/>
          <w:kern w:val="2"/>
          <w:lang w:val="en-US" w:eastAsia="zh-CN" w:bidi="ar"/>
        </w:rPr>
        <w:t>支持</w:t>
      </w:r>
      <w:r>
        <w:rPr>
          <w:rFonts w:hint="eastAsia"/>
          <w:color w:val="000000"/>
          <w:kern w:val="2"/>
          <w:lang w:bidi="ar"/>
        </w:rPr>
        <w:t>借助人脸智能终端识别设备及内置支付宝</w:t>
      </w:r>
      <w:r>
        <w:rPr>
          <w:color w:val="000000"/>
          <w:kern w:val="2"/>
          <w:lang w:bidi="ar"/>
        </w:rPr>
        <w:t>/</w:t>
      </w:r>
      <w:r>
        <w:rPr>
          <w:rFonts w:hint="eastAsia"/>
          <w:color w:val="000000"/>
          <w:kern w:val="2"/>
          <w:lang w:bidi="ar"/>
        </w:rPr>
        <w:t>微信人脸识别算法，提供人脸检测、跟踪、属性识别服务，可准确高效定位患者个人信息，实现患者在院内刷脸身份认证。</w:t>
      </w:r>
    </w:p>
    <w:p>
      <w:pPr>
        <w:rPr>
          <w:rFonts w:hint="default" w:ascii="Times New Roman" w:hAnsi="Times New Roman"/>
          <w:lang w:val="en-US" w:eastAsia="zh-CN"/>
        </w:rPr>
      </w:pPr>
      <w:r>
        <w:rPr>
          <w:rFonts w:hint="eastAsia"/>
          <w:color w:val="000000"/>
          <w:kern w:val="2"/>
          <w:lang w:val="en-US" w:eastAsia="zh-CN" w:bidi="ar"/>
        </w:rPr>
        <w:t>支持</w:t>
      </w:r>
      <w:r>
        <w:rPr>
          <w:rFonts w:hint="eastAsia"/>
          <w:color w:val="000000"/>
          <w:kern w:val="2"/>
          <w:lang w:bidi="ar"/>
        </w:rPr>
        <w:t>对院内信息系统改造，与平台人脸识别系统对接，支持人脸信息与该患者在院内的就诊信息相关联。患者在院内就医时，在窗口、自助机以及医技进行支付时，只需借助刷脸及手机号验证，授权开通院内刷脸支付后，即可完成患者身份核实，实现患者全流程的刷脸就医。</w:t>
      </w:r>
    </w:p>
    <w:p>
      <w:pPr>
        <w:pStyle w:val="9"/>
        <w:numPr>
          <w:ilvl w:val="0"/>
          <w:numId w:val="0"/>
        </w:numPr>
        <w:spacing w:before="78" w:beforeLines="25" w:after="78" w:afterLines="25" w:line="377" w:lineRule="auto"/>
        <w:ind w:firstLine="562" w:firstLineChars="200"/>
        <w:jc w:val="left"/>
      </w:pPr>
      <w:r>
        <w:rPr>
          <w:rFonts w:hint="eastAsia" w:cstheme="minorBidi"/>
          <w:b/>
          <w:bCs/>
          <w:kern w:val="2"/>
          <w:sz w:val="28"/>
          <w:szCs w:val="28"/>
          <w:lang w:val="en-US" w:eastAsia="zh-CN" w:bidi="ar-SA"/>
        </w:rPr>
        <w:t>4.2.2.1</w:t>
      </w:r>
      <w:r>
        <w:rPr>
          <w:rFonts w:hint="eastAsia"/>
        </w:rPr>
        <w:t>自助建档</w:t>
      </w:r>
    </w:p>
    <w:p>
      <w:pPr>
        <w:pStyle w:val="18"/>
        <w:widowControl w:val="0"/>
        <w:autoSpaceDE w:val="0"/>
        <w:autoSpaceDN w:val="0"/>
        <w:adjustRightInd w:val="0"/>
        <w:spacing w:before="81" w:beforeAutospacing="0" w:after="163" w:afterLines="50" w:afterAutospacing="0" w:line="360" w:lineRule="auto"/>
        <w:ind w:firstLine="480"/>
        <w:jc w:val="both"/>
        <w:rPr>
          <w:color w:val="000000"/>
          <w:kern w:val="2"/>
          <w:lang w:bidi="ar"/>
        </w:rPr>
      </w:pPr>
      <w:r>
        <w:rPr>
          <w:rFonts w:hint="eastAsia"/>
          <w:color w:val="000000"/>
          <w:kern w:val="2"/>
          <w:lang w:val="en-US" w:eastAsia="zh-CN" w:bidi="ar"/>
        </w:rPr>
        <w:t>支持</w:t>
      </w:r>
      <w:r>
        <w:rPr>
          <w:rFonts w:hint="eastAsia"/>
          <w:color w:val="000000"/>
          <w:kern w:val="2"/>
          <w:lang w:bidi="ar"/>
        </w:rPr>
        <w:t>患者在窗口通过人脸识别技术，自动识别患者姓名、身份证等信息，手动补录地址、电话等信息后，完成自助建档。</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4.2.2.2 窗口、自助机刷脸就医</w:t>
      </w:r>
    </w:p>
    <w:p>
      <w:pPr>
        <w:spacing w:before="78" w:beforeLines="25" w:after="78" w:afterLines="25"/>
        <w:ind w:firstLineChars="200"/>
        <w:jc w:val="left"/>
        <w:outlineLvl w:val="9"/>
        <w:rPr>
          <w:b w:val="0"/>
          <w:bCs w:val="0"/>
        </w:rPr>
      </w:pPr>
      <w:r>
        <w:rPr>
          <w:rFonts w:hint="eastAsia" w:cstheme="minorBidi"/>
          <w:b w:val="0"/>
          <w:bCs w:val="0"/>
          <w:kern w:val="2"/>
          <w:sz w:val="28"/>
          <w:szCs w:val="28"/>
          <w:lang w:val="en-US" w:eastAsia="zh-CN" w:bidi="ar-SA"/>
        </w:rPr>
        <w:t>4.2.2.2</w:t>
      </w:r>
      <w:r>
        <w:rPr>
          <w:rFonts w:hint="eastAsia" w:cstheme="minorBidi"/>
          <w:b w:val="0"/>
          <w:bCs w:val="0"/>
          <w:kern w:val="2"/>
          <w:sz w:val="28"/>
          <w:szCs w:val="28"/>
          <w:lang w:val="en-US" w:eastAsia="zh-CN" w:bidi="ar-SA"/>
        </w:rPr>
        <w:t>.1</w:t>
      </w:r>
      <w:r>
        <w:rPr>
          <w:rFonts w:hint="eastAsia"/>
          <w:b w:val="0"/>
          <w:bCs w:val="0"/>
        </w:rPr>
        <w:t>预约挂号</w:t>
      </w:r>
    </w:p>
    <w:p>
      <w:pPr>
        <w:pStyle w:val="18"/>
        <w:widowControl w:val="0"/>
        <w:autoSpaceDE w:val="0"/>
        <w:autoSpaceDN w:val="0"/>
        <w:adjustRightInd w:val="0"/>
        <w:spacing w:before="81" w:beforeAutospacing="0" w:after="163" w:afterLines="50" w:afterAutospacing="0" w:line="360" w:lineRule="auto"/>
        <w:ind w:firstLine="480"/>
        <w:jc w:val="both"/>
        <w:rPr>
          <w:color w:val="000000"/>
          <w:kern w:val="2"/>
          <w:lang w:bidi="ar"/>
        </w:rPr>
      </w:pPr>
      <w:r>
        <w:rPr>
          <w:rFonts w:hint="eastAsia"/>
          <w:color w:val="000000"/>
          <w:kern w:val="2"/>
          <w:lang w:val="en-US" w:eastAsia="zh-CN" w:bidi="ar"/>
        </w:rPr>
        <w:t>支持</w:t>
      </w:r>
      <w:r>
        <w:rPr>
          <w:rFonts w:hint="eastAsia"/>
          <w:color w:val="000000"/>
          <w:kern w:val="2"/>
          <w:lang w:bidi="ar"/>
        </w:rPr>
        <w:t>患者在窗口、自助机等场景预约挂号时，无需出示患者就诊卡，可直接在人脸识别设备上认证个人信息后进行预约挂号操作。</w:t>
      </w:r>
    </w:p>
    <w:p>
      <w:pPr>
        <w:spacing w:before="78" w:beforeLines="25" w:after="78" w:afterLines="25"/>
        <w:ind w:firstLineChars="200"/>
        <w:jc w:val="left"/>
        <w:outlineLvl w:val="9"/>
        <w:rPr>
          <w:rFonts w:hint="eastAsia"/>
          <w:b w:val="0"/>
          <w:bCs w:val="0"/>
          <w:sz w:val="28"/>
          <w:szCs w:val="28"/>
        </w:rPr>
      </w:pPr>
      <w:r>
        <w:rPr>
          <w:rFonts w:hint="eastAsia" w:cstheme="minorBidi"/>
          <w:b w:val="0"/>
          <w:bCs w:val="0"/>
          <w:kern w:val="2"/>
          <w:sz w:val="28"/>
          <w:szCs w:val="28"/>
          <w:lang w:val="en-US" w:eastAsia="zh-CN" w:bidi="ar-SA"/>
        </w:rPr>
        <w:t xml:space="preserve">4.2.2.2.2 </w:t>
      </w:r>
      <w:r>
        <w:rPr>
          <w:rFonts w:hint="eastAsia"/>
          <w:b w:val="0"/>
          <w:bCs w:val="0"/>
          <w:sz w:val="28"/>
          <w:szCs w:val="28"/>
        </w:rPr>
        <w:t>医保支付</w:t>
      </w:r>
    </w:p>
    <w:p>
      <w:pPr>
        <w:pStyle w:val="18"/>
        <w:widowControl w:val="0"/>
        <w:autoSpaceDE w:val="0"/>
        <w:autoSpaceDN w:val="0"/>
        <w:adjustRightInd w:val="0"/>
        <w:spacing w:before="81" w:beforeAutospacing="0" w:after="163" w:afterLines="50" w:afterAutospacing="0" w:line="360" w:lineRule="auto"/>
        <w:ind w:firstLine="480"/>
        <w:jc w:val="both"/>
        <w:rPr>
          <w:color w:val="000000"/>
          <w:kern w:val="2"/>
          <w:lang w:bidi="ar"/>
        </w:rPr>
      </w:pPr>
      <w:r>
        <w:rPr>
          <w:rFonts w:hint="eastAsia"/>
          <w:color w:val="000000"/>
          <w:kern w:val="2"/>
          <w:lang w:val="en-US" w:eastAsia="zh-CN" w:bidi="ar"/>
        </w:rPr>
        <w:t>支持</w:t>
      </w:r>
      <w:r>
        <w:rPr>
          <w:rFonts w:hint="eastAsia"/>
          <w:color w:val="000000"/>
          <w:kern w:val="2"/>
          <w:lang w:bidi="ar"/>
        </w:rPr>
        <w:t>患者在窗口、自助机等场景挂号、缴费时，无需出示患者就诊卡，可直接在人脸识别设备上认证个人信息后医保刷脸支付。</w:t>
      </w:r>
    </w:p>
    <w:p>
      <w:pPr>
        <w:spacing w:before="78" w:beforeLines="25" w:after="78" w:afterLines="25"/>
        <w:ind w:firstLineChars="200"/>
        <w:jc w:val="left"/>
        <w:outlineLvl w:val="9"/>
        <w:rPr>
          <w:rFonts w:hint="eastAsia"/>
          <w:b w:val="0"/>
          <w:bCs w:val="0"/>
          <w:sz w:val="28"/>
          <w:szCs w:val="28"/>
        </w:rPr>
      </w:pPr>
      <w:r>
        <w:rPr>
          <w:rFonts w:hint="eastAsia" w:cstheme="minorBidi"/>
          <w:b w:val="0"/>
          <w:bCs w:val="0"/>
          <w:kern w:val="2"/>
          <w:sz w:val="28"/>
          <w:szCs w:val="28"/>
          <w:lang w:val="en-US" w:eastAsia="zh-CN" w:bidi="ar-SA"/>
        </w:rPr>
        <w:t xml:space="preserve">4.2.2.2.3 </w:t>
      </w:r>
      <w:r>
        <w:rPr>
          <w:rFonts w:hint="eastAsia"/>
          <w:b w:val="0"/>
          <w:bCs w:val="0"/>
          <w:sz w:val="28"/>
          <w:szCs w:val="28"/>
        </w:rPr>
        <w:t>报告查询</w:t>
      </w:r>
    </w:p>
    <w:p>
      <w:pPr>
        <w:pStyle w:val="18"/>
        <w:widowControl w:val="0"/>
        <w:autoSpaceDE w:val="0"/>
        <w:autoSpaceDN w:val="0"/>
        <w:adjustRightInd w:val="0"/>
        <w:spacing w:before="81" w:beforeAutospacing="0" w:after="163" w:afterLines="50" w:afterAutospacing="0" w:line="360" w:lineRule="auto"/>
        <w:ind w:firstLine="480"/>
        <w:jc w:val="both"/>
        <w:rPr>
          <w:color w:val="000000"/>
          <w:kern w:val="2"/>
          <w:lang w:bidi="ar"/>
        </w:rPr>
      </w:pPr>
      <w:r>
        <w:rPr>
          <w:rFonts w:hint="eastAsia"/>
          <w:color w:val="000000"/>
          <w:kern w:val="2"/>
          <w:lang w:val="en-US" w:eastAsia="zh-CN" w:bidi="ar"/>
        </w:rPr>
        <w:t>支持</w:t>
      </w:r>
      <w:r>
        <w:rPr>
          <w:rFonts w:hint="eastAsia"/>
          <w:color w:val="000000"/>
          <w:kern w:val="2"/>
          <w:lang w:bidi="ar"/>
        </w:rPr>
        <w:t>患者在窗口、自助机等场景查询检验检查报告时，无需出示个人就诊卡，可直接在人脸识别设备上认证个人信息后查询检验检查报告。</w:t>
      </w:r>
    </w:p>
    <w:p>
      <w:pPr>
        <w:pStyle w:val="9"/>
        <w:numPr>
          <w:ilvl w:val="0"/>
          <w:numId w:val="0"/>
        </w:numPr>
        <w:spacing w:before="78" w:beforeLines="25" w:after="78" w:afterLines="25" w:line="377" w:lineRule="auto"/>
        <w:ind w:firstLine="562" w:firstLineChars="200"/>
        <w:jc w:val="left"/>
      </w:pPr>
      <w:r>
        <w:rPr>
          <w:rFonts w:hint="eastAsia" w:cstheme="minorBidi"/>
          <w:b/>
          <w:bCs/>
          <w:kern w:val="2"/>
          <w:sz w:val="28"/>
          <w:szCs w:val="28"/>
          <w:lang w:val="en-US" w:eastAsia="zh-CN" w:bidi="ar-SA"/>
        </w:rPr>
        <w:t>4.2.2.3</w:t>
      </w:r>
      <w:r>
        <w:rPr>
          <w:rFonts w:hint="eastAsia"/>
        </w:rPr>
        <w:t>医技检查</w:t>
      </w:r>
    </w:p>
    <w:p>
      <w:pPr>
        <w:pStyle w:val="18"/>
        <w:widowControl w:val="0"/>
        <w:autoSpaceDE w:val="0"/>
        <w:autoSpaceDN w:val="0"/>
        <w:adjustRightInd w:val="0"/>
        <w:spacing w:before="81" w:beforeAutospacing="0" w:after="163" w:afterLines="50" w:afterAutospacing="0" w:line="360" w:lineRule="auto"/>
        <w:ind w:firstLine="480"/>
        <w:jc w:val="both"/>
        <w:rPr>
          <w:rFonts w:hint="eastAsia"/>
          <w:color w:val="000000"/>
          <w:kern w:val="2"/>
          <w:lang w:bidi="ar"/>
        </w:rPr>
      </w:pPr>
      <w:r>
        <w:rPr>
          <w:rFonts w:hint="eastAsia"/>
          <w:color w:val="000000"/>
          <w:kern w:val="2"/>
          <w:lang w:val="en-US" w:eastAsia="zh-CN" w:bidi="ar"/>
        </w:rPr>
        <w:t>支持</w:t>
      </w:r>
      <w:r>
        <w:rPr>
          <w:rFonts w:hint="eastAsia"/>
          <w:color w:val="000000"/>
          <w:kern w:val="2"/>
          <w:lang w:bidi="ar"/>
        </w:rPr>
        <w:t>患者在做医技检查时，可直接在医技窗口、自助机的智能人脸识别设备上定位到患者的个人信息及待检查项目，患者无需出示身份证或就诊卡即可在院完成医技检查。</w:t>
      </w:r>
    </w:p>
    <w:p>
      <w:pPr>
        <w:pStyle w:val="9"/>
        <w:numPr>
          <w:ilvl w:val="0"/>
          <w:numId w:val="0"/>
        </w:numPr>
        <w:spacing w:before="78" w:beforeLines="25" w:after="78" w:afterLines="25" w:line="377" w:lineRule="auto"/>
        <w:ind w:firstLine="562"/>
        <w:jc w:val="left"/>
        <w:rPr>
          <w:rFonts w:hint="eastAsia"/>
          <w:color w:val="auto"/>
          <w:kern w:val="2"/>
          <w:lang w:bidi="ar-SA"/>
        </w:rPr>
      </w:pPr>
      <w:r>
        <w:rPr>
          <w:rFonts w:hint="eastAsia" w:cstheme="minorBidi"/>
          <w:b/>
          <w:bCs/>
          <w:kern w:val="2"/>
          <w:sz w:val="28"/>
          <w:szCs w:val="28"/>
          <w:lang w:val="en-US" w:eastAsia="zh-CN" w:bidi="ar-SA"/>
        </w:rPr>
        <w:t xml:space="preserve">4.2.2.4 </w:t>
      </w:r>
      <w:r>
        <w:rPr>
          <w:rFonts w:hint="eastAsia"/>
          <w:color w:val="auto"/>
          <w:kern w:val="2"/>
          <w:lang w:bidi="ar-SA"/>
        </w:rPr>
        <w:t>院内系统接口封装，并与院内系统数据对接</w:t>
      </w:r>
    </w:p>
    <w:p>
      <w:pPr>
        <w:spacing w:before="78" w:beforeLines="25" w:after="78" w:afterLines="25"/>
        <w:ind w:firstLineChars="200"/>
        <w:jc w:val="left"/>
        <w:outlineLvl w:val="9"/>
        <w:rPr>
          <w:rFonts w:hint="eastAsia" w:cstheme="minorBidi"/>
          <w:b w:val="0"/>
          <w:bCs w:val="0"/>
          <w:color w:val="000000"/>
          <w:kern w:val="2"/>
          <w:sz w:val="24"/>
          <w:szCs w:val="24"/>
          <w:lang w:val="en-US" w:eastAsia="zh-CN" w:bidi="ar"/>
        </w:rPr>
      </w:pPr>
      <w:r>
        <w:rPr>
          <w:rFonts w:hint="eastAsia" w:cstheme="minorBidi"/>
          <w:b w:val="0"/>
          <w:bCs w:val="0"/>
          <w:color w:val="000000"/>
          <w:kern w:val="2"/>
          <w:sz w:val="24"/>
          <w:szCs w:val="24"/>
          <w:lang w:val="en-US" w:eastAsia="zh-CN" w:bidi="ar"/>
        </w:rPr>
        <w:t>支持院内系统的接口封装和对接，实现院内系统数据的对接。</w:t>
      </w:r>
    </w:p>
    <w:p>
      <w:pPr>
        <w:pStyle w:val="9"/>
        <w:numPr>
          <w:ilvl w:val="0"/>
          <w:numId w:val="0"/>
        </w:numPr>
        <w:spacing w:before="78" w:beforeLines="25" w:after="78" w:afterLines="25" w:line="377" w:lineRule="auto"/>
        <w:ind w:firstLine="562" w:firstLineChars="200"/>
        <w:jc w:val="left"/>
      </w:pPr>
      <w:r>
        <w:rPr>
          <w:rFonts w:hint="eastAsia" w:cstheme="minorBidi"/>
          <w:b/>
          <w:bCs/>
          <w:kern w:val="2"/>
          <w:sz w:val="28"/>
          <w:szCs w:val="28"/>
          <w:lang w:val="en-US" w:eastAsia="zh-CN" w:bidi="ar-SA"/>
        </w:rPr>
        <w:t>4.2.2.5</w:t>
      </w:r>
      <w:r>
        <w:rPr>
          <w:rFonts w:hint="eastAsia"/>
        </w:rPr>
        <w:t>药房取药</w:t>
      </w:r>
    </w:p>
    <w:p>
      <w:pPr>
        <w:pStyle w:val="18"/>
        <w:widowControl w:val="0"/>
        <w:autoSpaceDE w:val="0"/>
        <w:autoSpaceDN w:val="0"/>
        <w:adjustRightInd w:val="0"/>
        <w:spacing w:before="81" w:beforeAutospacing="0" w:after="163" w:afterLines="50" w:afterAutospacing="0" w:line="360" w:lineRule="auto"/>
        <w:ind w:firstLine="480"/>
        <w:jc w:val="both"/>
        <w:rPr>
          <w:rFonts w:hint="default" w:ascii="Times New Roman" w:hAnsi="Times New Roman"/>
          <w:lang w:val="en-US" w:eastAsia="zh-CN"/>
        </w:rPr>
      </w:pPr>
      <w:r>
        <w:rPr>
          <w:rFonts w:hint="eastAsia"/>
          <w:color w:val="000000"/>
          <w:kern w:val="2"/>
          <w:lang w:val="en-US" w:eastAsia="zh-CN" w:bidi="ar"/>
        </w:rPr>
        <w:t>支持</w:t>
      </w:r>
      <w:r>
        <w:rPr>
          <w:rFonts w:hint="eastAsia"/>
          <w:color w:val="000000"/>
          <w:kern w:val="2"/>
          <w:lang w:bidi="ar"/>
        </w:rPr>
        <w:t>通过为药房窗口、自助机配备智能人脸识别终端设备，患者取药时，通过人脸设备识别定位患者个人信息后，即可显示患者药品处方信息。</w:t>
      </w:r>
    </w:p>
    <w:p>
      <w:pPr>
        <w:pStyle w:val="8"/>
        <w:spacing w:before="0" w:after="0"/>
        <w:ind w:left="0" w:firstLine="562"/>
      </w:pPr>
      <w:r>
        <w:t>住院信用付</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4.2.3.1签约页面</w:t>
      </w:r>
    </w:p>
    <w:p>
      <w:pPr>
        <w:pStyle w:val="18"/>
        <w:widowControl w:val="0"/>
        <w:autoSpaceDE w:val="0"/>
        <w:autoSpaceDN w:val="0"/>
        <w:adjustRightInd w:val="0"/>
        <w:spacing w:before="81" w:beforeAutospacing="0" w:after="163" w:afterLines="50" w:afterAutospacing="0" w:line="360" w:lineRule="auto"/>
        <w:ind w:firstLine="480"/>
        <w:jc w:val="both"/>
        <w:rPr>
          <w:color w:val="000000"/>
          <w:kern w:val="2"/>
          <w:lang w:bidi="ar"/>
        </w:rPr>
      </w:pPr>
      <w:r>
        <w:rPr>
          <w:rFonts w:hint="eastAsia"/>
          <w:color w:val="000000"/>
          <w:kern w:val="2"/>
          <w:lang w:val="en-US" w:eastAsia="zh-CN" w:bidi="ar"/>
        </w:rPr>
        <w:t>支持</w:t>
      </w:r>
      <w:r>
        <w:rPr>
          <w:rFonts w:hint="eastAsia"/>
          <w:color w:val="000000"/>
          <w:kern w:val="2"/>
          <w:lang w:bidi="ar"/>
        </w:rPr>
        <w:t>集成信用付资金托底机构的签约入口，同时提供签约状态查询功能。可嵌入医院的在线应用，也可嵌入住院信用付收银台。</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4.2.3.2状态查询</w:t>
      </w:r>
    </w:p>
    <w:p>
      <w:pPr>
        <w:spacing w:before="81" w:after="81"/>
        <w:ind w:firstLine="480"/>
      </w:pPr>
      <w:r>
        <w:rPr>
          <w:rFonts w:hint="eastAsia"/>
          <w:lang w:val="en-US" w:eastAsia="zh-CN"/>
        </w:rPr>
        <w:t>支持</w:t>
      </w:r>
      <w:r>
        <w:rPr>
          <w:rFonts w:hint="eastAsia"/>
        </w:rPr>
        <w:t>住院信用付提供签约状态查询接口，</w:t>
      </w:r>
      <w:r>
        <w:t>HIS</w:t>
      </w:r>
      <w:r>
        <w:rPr>
          <w:rFonts w:hint="eastAsia"/>
        </w:rPr>
        <w:t>调用接口对患者的签约状态进行查询。可根据不同信用付资金托底机构的实际情况，集成一系列查询接口，如查询签约状态、查询余额等。</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4.2.3.3信用支付</w:t>
      </w:r>
    </w:p>
    <w:p>
      <w:pPr>
        <w:spacing w:before="81" w:after="81"/>
        <w:ind w:firstLine="480"/>
      </w:pPr>
      <w:r>
        <w:rPr>
          <w:rFonts w:hint="eastAsia"/>
        </w:rPr>
        <w:t>支持在满足信用付可使用的前提下，提供信用付接口，可根据实际情况集成多个支付交易相关接口。</w:t>
      </w:r>
      <w:r>
        <w:t>HIS</w:t>
      </w:r>
      <w:r>
        <w:rPr>
          <w:rFonts w:hint="eastAsia"/>
        </w:rPr>
        <w:t>调用接口发起自费结算。</w:t>
      </w:r>
    </w:p>
    <w:p>
      <w:pPr>
        <w:spacing w:before="81" w:after="81"/>
        <w:ind w:firstLine="480"/>
      </w:pPr>
      <w:r>
        <w:rPr>
          <w:rFonts w:hint="eastAsia"/>
        </w:rPr>
        <w:t>如果支付流程中含有查询支付结果的步骤，则以</w:t>
      </w:r>
      <w:r>
        <w:t>HIS</w:t>
      </w:r>
      <w:r>
        <w:rPr>
          <w:rFonts w:hint="eastAsia"/>
        </w:rPr>
        <w:t>主动发出的查询得到的结果为准。</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4.2.3.4收银台</w:t>
      </w:r>
    </w:p>
    <w:p>
      <w:pPr>
        <w:spacing w:before="81" w:after="81"/>
        <w:ind w:firstLine="480"/>
      </w:pPr>
      <w:r>
        <w:rPr>
          <w:rFonts w:hint="eastAsia"/>
        </w:rPr>
        <w:t>收银台支持整合</w:t>
      </w:r>
      <w:r>
        <w:t>HIS</w:t>
      </w:r>
      <w:r>
        <w:rPr>
          <w:rFonts w:hint="eastAsia"/>
        </w:rPr>
        <w:t>预算、自费结算、</w:t>
      </w:r>
      <w:r>
        <w:t>HIS</w:t>
      </w:r>
      <w:r>
        <w:rPr>
          <w:rFonts w:hint="eastAsia"/>
        </w:rPr>
        <w:t>结算服务。在充值预交金时，先调用</w:t>
      </w:r>
      <w:r>
        <w:t>HIS</w:t>
      </w:r>
      <w:r>
        <w:rPr>
          <w:rFonts w:hint="eastAsia"/>
        </w:rPr>
        <w:t>接口获得预算，后与住院信用付交易完成自费结算，最后调用</w:t>
      </w:r>
      <w:r>
        <w:t>HIS</w:t>
      </w:r>
      <w:r>
        <w:rPr>
          <w:rFonts w:hint="eastAsia"/>
        </w:rPr>
        <w:t>结算服务，完成线上使用信用付做预交金充值的业务。</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4.2.3.5退费</w:t>
      </w:r>
    </w:p>
    <w:p>
      <w:pPr>
        <w:spacing w:before="81" w:after="81"/>
        <w:ind w:firstLine="480"/>
      </w:pPr>
      <w:r>
        <w:rPr>
          <w:rFonts w:hint="eastAsia"/>
        </w:rPr>
        <w:t>支持</w:t>
      </w:r>
      <w:r>
        <w:t>HIS</w:t>
      </w:r>
      <w:r>
        <w:rPr>
          <w:rFonts w:hint="eastAsia"/>
        </w:rPr>
        <w:t>调用退费接口发起退费请求，住院信用付与信用付资金托底机构进行退费相关交易。退费的交易渠道以支付结果反馈的实际使用的渠道为准。</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4.2.3.6支付查询</w:t>
      </w:r>
    </w:p>
    <w:p>
      <w:pPr>
        <w:spacing w:before="81" w:after="81"/>
        <w:ind w:firstLine="480"/>
      </w:pPr>
      <w:r>
        <w:rPr>
          <w:rFonts w:hint="eastAsia"/>
          <w:lang w:val="en-US" w:eastAsia="zh-CN"/>
        </w:rPr>
        <w:t>支持</w:t>
      </w:r>
      <w:r>
        <w:t>HIS</w:t>
      </w:r>
      <w:r>
        <w:rPr>
          <w:rFonts w:hint="eastAsia"/>
        </w:rPr>
        <w:t>调用住院信用付交易查询接口，查询支付交易状态。</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4.2.3.7退费查询</w:t>
      </w:r>
    </w:p>
    <w:p>
      <w:pPr>
        <w:spacing w:before="81" w:after="81"/>
        <w:ind w:firstLine="480"/>
      </w:pPr>
      <w:r>
        <w:rPr>
          <w:rFonts w:hint="eastAsia"/>
          <w:lang w:val="en-US" w:eastAsia="zh-CN"/>
        </w:rPr>
        <w:t>支持</w:t>
      </w:r>
      <w:r>
        <w:t>HIS</w:t>
      </w:r>
      <w:r>
        <w:rPr>
          <w:rFonts w:hint="eastAsia"/>
        </w:rPr>
        <w:t>调用住院信用付交易查询接口，查询退费申请状态。</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4.2.3.8账单下载</w:t>
      </w:r>
    </w:p>
    <w:p>
      <w:pPr>
        <w:spacing w:before="81" w:after="81"/>
        <w:ind w:firstLine="480"/>
      </w:pPr>
      <w:r>
        <w:rPr>
          <w:rFonts w:hint="eastAsia"/>
          <w:lang w:val="en-US" w:eastAsia="zh-CN"/>
        </w:rPr>
        <w:t>支持</w:t>
      </w:r>
      <w:r>
        <w:rPr>
          <w:rFonts w:hint="eastAsia"/>
        </w:rPr>
        <w:t>住院信用付提供信用付资金托底机构的账单下载接口供医院的对账平台获取。</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4.2.3.9统计分析</w:t>
      </w:r>
    </w:p>
    <w:p>
      <w:pPr>
        <w:spacing w:before="81" w:after="81"/>
        <w:ind w:firstLine="480"/>
        <w:rPr>
          <w:szCs w:val="24"/>
        </w:rPr>
      </w:pPr>
      <w:r>
        <w:rPr>
          <w:rFonts w:hint="eastAsia" w:ascii="宋体" w:hAnsi="宋体" w:cs="宋体"/>
          <w:szCs w:val="24"/>
          <w:lang w:bidi="ar"/>
        </w:rPr>
        <w:t>支持统计并展示信用就医的交易金额、笔数总计与趋势。</w:t>
      </w:r>
    </w:p>
    <w:p>
      <w:pPr>
        <w:pStyle w:val="9"/>
        <w:numPr>
          <w:ilvl w:val="0"/>
          <w:numId w:val="0"/>
        </w:numPr>
        <w:spacing w:before="78" w:beforeLines="25" w:after="78" w:afterLines="25" w:line="377" w:lineRule="auto"/>
        <w:ind w:firstLine="562" w:firstLineChars="200"/>
        <w:jc w:val="left"/>
        <w:rPr>
          <w:rFonts w:hint="eastAsia" w:cstheme="minorBidi"/>
          <w:b/>
          <w:bCs/>
          <w:kern w:val="2"/>
          <w:sz w:val="28"/>
          <w:szCs w:val="28"/>
          <w:lang w:val="en-US" w:eastAsia="zh-CN" w:bidi="ar-SA"/>
        </w:rPr>
      </w:pPr>
      <w:r>
        <w:rPr>
          <w:rFonts w:hint="eastAsia" w:cstheme="minorBidi"/>
          <w:b/>
          <w:bCs/>
          <w:kern w:val="2"/>
          <w:sz w:val="28"/>
          <w:szCs w:val="28"/>
          <w:lang w:val="en-US" w:eastAsia="zh-CN" w:bidi="ar-SA"/>
        </w:rPr>
        <w:t>4.2.3.10交易监管</w:t>
      </w:r>
    </w:p>
    <w:p>
      <w:pPr>
        <w:spacing w:before="60" w:after="60"/>
        <w:ind w:firstLine="480"/>
        <w:rPr>
          <w:rFonts w:hint="eastAsia" w:ascii="Times New Roman" w:hAnsi="Times New Roman"/>
        </w:rPr>
      </w:pPr>
      <w:r>
        <w:rPr>
          <w:rFonts w:hint="eastAsia"/>
        </w:rPr>
        <w:t>支持查询每笔信用交易的记录。</w:t>
      </w:r>
    </w:p>
    <w:p>
      <w:pPr>
        <w:pStyle w:val="8"/>
        <w:spacing w:before="0" w:after="0"/>
        <w:ind w:left="0" w:firstLine="562"/>
        <w:rPr>
          <w:rFonts w:hint="eastAsia" w:ascii="Times New Roman" w:hAnsi="Times New Roman" w:eastAsia="宋体"/>
          <w:lang w:val="en-US" w:eastAsia="zh-CN"/>
        </w:rPr>
      </w:pPr>
      <w:r>
        <w:rPr>
          <w:rFonts w:hint="eastAsia" w:ascii="Times New Roman" w:hAnsi="Times New Roman" w:eastAsia="宋体"/>
          <w:lang w:val="en-US" w:eastAsia="zh-CN"/>
        </w:rPr>
        <w:t>面向残疾人群、老年群体特色服务场景</w:t>
      </w:r>
    </w:p>
    <w:p>
      <w:pPr>
        <w:pStyle w:val="9"/>
      </w:pPr>
      <w:r>
        <w:rPr>
          <w:rFonts w:hint="eastAsia"/>
          <w:lang w:val="en-US" w:eastAsia="zh-CN"/>
        </w:rPr>
        <w:t xml:space="preserve">4.2.4.1 </w:t>
      </w:r>
      <w:r>
        <w:rPr>
          <w:rFonts w:hint="eastAsia"/>
        </w:rPr>
        <w:t>面向残疾人群、老年群体的智能关怀自助服务</w:t>
      </w:r>
    </w:p>
    <w:p>
      <w:pPr>
        <w:numPr>
          <w:ilvl w:val="255"/>
          <w:numId w:val="0"/>
        </w:numPr>
        <w:spacing w:before="81" w:after="81"/>
        <w:ind w:firstLine="480" w:firstLineChars="20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支持配合自助机设备改造应用系统，</w:t>
      </w:r>
      <w:r>
        <w:rPr>
          <w:rFonts w:hint="eastAsia" w:ascii="宋体" w:hAnsi="宋体" w:cs="宋体"/>
          <w:szCs w:val="24"/>
        </w:rPr>
        <w:t>结合残疾人群特点通过改变自助机设备设计理念</w:t>
      </w:r>
      <w:r>
        <w:rPr>
          <w:rFonts w:hint="eastAsia" w:ascii="宋体" w:hAnsi="宋体" w:cs="宋体"/>
          <w:color w:val="auto"/>
          <w:szCs w:val="24"/>
        </w:rPr>
        <w:t>，按钮下移等</w:t>
      </w:r>
      <w:r>
        <w:rPr>
          <w:rFonts w:hint="eastAsia" w:ascii="宋体" w:hAnsi="宋体" w:cs="宋体"/>
          <w:szCs w:val="24"/>
        </w:rPr>
        <w:t>，更好的匹配残疾人群的操作场景需求。</w:t>
      </w:r>
    </w:p>
    <w:p>
      <w:pPr>
        <w:numPr>
          <w:ilvl w:val="255"/>
          <w:numId w:val="0"/>
        </w:numPr>
        <w:spacing w:before="81" w:after="81"/>
        <w:ind w:firstLine="480" w:firstLineChars="200"/>
        <w:rPr>
          <w:rFonts w:ascii="宋体" w:hAnsi="宋体" w:cs="宋体"/>
          <w:szCs w:val="24"/>
        </w:rPr>
      </w:pPr>
      <w:r>
        <w:rPr>
          <w:rFonts w:hint="eastAsia" w:ascii="宋体" w:hAnsi="宋体" w:cs="宋体"/>
          <w:szCs w:val="24"/>
        </w:rPr>
        <w:t>2）</w:t>
      </w:r>
      <w:r>
        <w:rPr>
          <w:rFonts w:hint="eastAsia" w:ascii="宋体" w:hAnsi="宋体" w:cs="宋体"/>
          <w:szCs w:val="24"/>
          <w:lang w:val="en-US" w:eastAsia="zh-CN"/>
        </w:rPr>
        <w:t>支持</w:t>
      </w:r>
      <w:r>
        <w:rPr>
          <w:rFonts w:hint="eastAsia" w:ascii="宋体" w:hAnsi="宋体" w:cs="宋体"/>
          <w:szCs w:val="24"/>
        </w:rPr>
        <w:t>结合残疾人群、老年群体的特点及需求，通过减少非必要功能模块，重塑操作界面，</w:t>
      </w:r>
      <w:r>
        <w:rPr>
          <w:rFonts w:hint="eastAsia" w:ascii="宋体" w:hAnsi="宋体" w:cs="宋体"/>
          <w:color w:val="auto"/>
          <w:szCs w:val="24"/>
        </w:rPr>
        <w:t>加大按钮与字体，打印凭条字体变大等，</w:t>
      </w:r>
      <w:r>
        <w:rPr>
          <w:rFonts w:hint="eastAsia" w:ascii="宋体" w:hAnsi="宋体" w:cs="宋体"/>
          <w:szCs w:val="24"/>
        </w:rPr>
        <w:t>适配残疾人群、老年群体的操作需求，提供智能、便捷、贴心的自助服务。</w:t>
      </w:r>
    </w:p>
    <w:p>
      <w:pPr>
        <w:numPr>
          <w:ilvl w:val="255"/>
          <w:numId w:val="0"/>
        </w:numPr>
        <w:spacing w:before="81" w:after="81"/>
        <w:ind w:firstLine="480" w:firstLineChars="200"/>
        <w:rPr>
          <w:rFonts w:hint="eastAsia" w:ascii="宋体" w:hAnsi="宋体" w:cs="宋体"/>
          <w:szCs w:val="24"/>
        </w:rPr>
      </w:pPr>
      <w:r>
        <w:rPr>
          <w:rFonts w:hint="eastAsia" w:ascii="宋体" w:hAnsi="宋体" w:cs="宋体"/>
          <w:szCs w:val="24"/>
        </w:rPr>
        <w:t>3）</w:t>
      </w:r>
      <w:r>
        <w:rPr>
          <w:rFonts w:hint="eastAsia" w:ascii="宋体" w:hAnsi="宋体" w:cs="宋体"/>
          <w:szCs w:val="24"/>
          <w:lang w:val="en-US" w:eastAsia="zh-CN"/>
        </w:rPr>
        <w:t>支持</w:t>
      </w:r>
      <w:r>
        <w:rPr>
          <w:rFonts w:hint="eastAsia" w:ascii="宋体" w:hAnsi="宋体" w:cs="宋体"/>
          <w:szCs w:val="24"/>
        </w:rPr>
        <w:t>人体图身体部位点选，引导残疾人群选择病症，然后选择对应科室挂号。</w:t>
      </w:r>
    </w:p>
    <w:p>
      <w:pPr>
        <w:pStyle w:val="9"/>
      </w:pPr>
      <w:r>
        <w:rPr>
          <w:rFonts w:hint="eastAsia"/>
          <w:lang w:val="en-US" w:eastAsia="zh-CN"/>
        </w:rPr>
        <w:t>4.2.4.2</w:t>
      </w:r>
      <w:r>
        <w:t>面向残疾人群、老年群体的智能主动式服务引导</w:t>
      </w:r>
    </w:p>
    <w:p>
      <w:pPr>
        <w:numPr>
          <w:ilvl w:val="255"/>
          <w:numId w:val="0"/>
        </w:numPr>
        <w:spacing w:before="81" w:after="81"/>
        <w:ind w:firstLine="480" w:firstLineChars="200"/>
        <w:rPr>
          <w:rFonts w:hint="eastAsia" w:ascii="宋体" w:hAnsi="宋体" w:cs="宋体"/>
          <w:szCs w:val="24"/>
        </w:rPr>
      </w:pPr>
      <w:r>
        <w:rPr>
          <w:rFonts w:hint="eastAsia" w:ascii="宋体" w:hAnsi="宋体" w:cs="宋体"/>
          <w:szCs w:val="24"/>
        </w:rPr>
        <w:t>1）</w:t>
      </w:r>
      <w:r>
        <w:rPr>
          <w:rFonts w:hint="eastAsia" w:ascii="宋体" w:hAnsi="宋体" w:cs="宋体"/>
          <w:szCs w:val="24"/>
          <w:lang w:val="en-US" w:eastAsia="zh-CN"/>
        </w:rPr>
        <w:t>支持配合自助机设备改造应用系统，适配</w:t>
      </w:r>
      <w:r>
        <w:rPr>
          <w:rFonts w:hint="eastAsia" w:ascii="宋体" w:hAnsi="宋体" w:cs="宋体"/>
          <w:szCs w:val="24"/>
        </w:rPr>
        <w:t>自助服务上下屏联动。残疾人群、老年群体的特点及需求实现自助机上下分屏，业务办理过程中点对点操作功能与引导、宣教、释义内容实时联动，并可对一台、一个区域自助机或单独一个业务场景进行配置。</w:t>
      </w:r>
    </w:p>
    <w:p>
      <w:pPr>
        <w:numPr>
          <w:ilvl w:val="255"/>
          <w:numId w:val="0"/>
        </w:numPr>
        <w:spacing w:before="81" w:after="81"/>
        <w:ind w:firstLine="480" w:firstLineChars="200"/>
        <w:rPr>
          <w:rFonts w:hint="eastAsia" w:ascii="宋体" w:hAnsi="宋体" w:cs="宋体"/>
          <w:szCs w:val="24"/>
        </w:rPr>
      </w:pPr>
      <w:r>
        <w:rPr>
          <w:rFonts w:hint="eastAsia" w:ascii="宋体" w:hAnsi="宋体" w:cs="宋体"/>
          <w:szCs w:val="24"/>
        </w:rPr>
        <w:t>2）</w:t>
      </w:r>
      <w:r>
        <w:rPr>
          <w:rFonts w:hint="eastAsia" w:ascii="宋体" w:hAnsi="宋体" w:cs="宋体"/>
          <w:szCs w:val="24"/>
          <w:lang w:val="en-US" w:eastAsia="zh-CN"/>
        </w:rPr>
        <w:t>支持配合自助机设备改造应用系统，实现</w:t>
      </w:r>
      <w:r>
        <w:rPr>
          <w:rFonts w:hint="eastAsia" w:ascii="宋体" w:hAnsi="宋体" w:cs="宋体"/>
          <w:szCs w:val="24"/>
        </w:rPr>
        <w:t>熄屏感知</w:t>
      </w:r>
      <w:r>
        <w:rPr>
          <w:rFonts w:hint="eastAsia" w:ascii="宋体" w:hAnsi="宋体" w:cs="宋体"/>
          <w:szCs w:val="24"/>
          <w:lang w:val="en-US" w:eastAsia="zh-CN"/>
        </w:rPr>
        <w:t>功能</w:t>
      </w:r>
      <w:r>
        <w:rPr>
          <w:rFonts w:hint="eastAsia" w:ascii="宋体" w:hAnsi="宋体" w:cs="宋体"/>
          <w:szCs w:val="24"/>
        </w:rPr>
        <w:t>：自动分辨残疾人群、老年群体的使用状态，无人使用自动熄屏，所有硬件进入静熄待机状态，节约能耗；有残疾人群、老年群体使用自动唤醒自助机硬件，快速办理业务。</w:t>
      </w:r>
    </w:p>
    <w:p>
      <w:pPr>
        <w:numPr>
          <w:ilvl w:val="255"/>
          <w:numId w:val="0"/>
        </w:numPr>
        <w:spacing w:before="81" w:after="81"/>
        <w:ind w:firstLine="480" w:firstLineChars="200"/>
        <w:rPr>
          <w:rFonts w:hint="eastAsia" w:ascii="宋体" w:hAnsi="宋体" w:cs="宋体"/>
          <w:szCs w:val="24"/>
        </w:rPr>
      </w:pPr>
      <w:r>
        <w:rPr>
          <w:rFonts w:hint="eastAsia" w:ascii="宋体" w:hAnsi="宋体" w:cs="宋体"/>
          <w:szCs w:val="24"/>
        </w:rPr>
        <w:t>3）</w:t>
      </w:r>
      <w:r>
        <w:rPr>
          <w:rFonts w:hint="eastAsia" w:ascii="宋体" w:hAnsi="宋体" w:cs="宋体"/>
          <w:szCs w:val="24"/>
          <w:lang w:val="en-US" w:eastAsia="zh-CN"/>
        </w:rPr>
        <w:t>支持配合自助机设备改造应用系统，实现</w:t>
      </w:r>
      <w:r>
        <w:rPr>
          <w:rFonts w:hint="eastAsia" w:ascii="宋体" w:hAnsi="宋体" w:cs="宋体"/>
          <w:szCs w:val="24"/>
        </w:rPr>
        <w:t>熄屏多媒体</w:t>
      </w:r>
      <w:r>
        <w:rPr>
          <w:rFonts w:hint="eastAsia" w:ascii="宋体" w:hAnsi="宋体" w:cs="宋体"/>
          <w:szCs w:val="24"/>
          <w:lang w:val="en-US" w:eastAsia="zh-CN"/>
        </w:rPr>
        <w:t>功能</w:t>
      </w:r>
      <w:r>
        <w:rPr>
          <w:rFonts w:hint="eastAsia" w:ascii="宋体" w:hAnsi="宋体" w:cs="宋体"/>
          <w:szCs w:val="24"/>
        </w:rPr>
        <w:t>：可根据自助机当前使用状态大屏展示宣教、宣导内容，支持文字、图文、视频上传及轮循播放。</w:t>
      </w:r>
    </w:p>
    <w:p>
      <w:pPr>
        <w:numPr>
          <w:ilvl w:val="255"/>
          <w:numId w:val="0"/>
        </w:numPr>
        <w:spacing w:before="81" w:after="81"/>
        <w:ind w:firstLine="480" w:firstLineChars="200"/>
        <w:rPr>
          <w:rFonts w:hint="eastAsia" w:ascii="宋体" w:hAnsi="宋体" w:cs="宋体"/>
          <w:szCs w:val="24"/>
        </w:rPr>
      </w:pPr>
      <w:r>
        <w:rPr>
          <w:rFonts w:hint="eastAsia" w:ascii="宋体" w:hAnsi="宋体" w:cs="宋体"/>
          <w:szCs w:val="24"/>
        </w:rPr>
        <w:t>4）</w:t>
      </w:r>
      <w:r>
        <w:rPr>
          <w:rFonts w:hint="eastAsia" w:ascii="宋体" w:hAnsi="宋体" w:cs="宋体"/>
          <w:szCs w:val="24"/>
          <w:lang w:val="en-US" w:eastAsia="zh-CN"/>
        </w:rPr>
        <w:t>支持</w:t>
      </w:r>
      <w:r>
        <w:rPr>
          <w:rFonts w:hint="eastAsia" w:ascii="宋体" w:hAnsi="宋体" w:cs="宋体"/>
          <w:szCs w:val="24"/>
        </w:rPr>
        <w:t>业务智能引导：根据残疾人群、老年群体的不同就诊业务节点进行智能化的引导，减低残疾人群、老年群体的使用门槛，并进行主动推送办理业务。</w:t>
      </w:r>
    </w:p>
    <w:p>
      <w:pPr>
        <w:numPr>
          <w:ilvl w:val="255"/>
          <w:numId w:val="0"/>
        </w:numPr>
        <w:spacing w:before="81" w:after="81"/>
        <w:ind w:firstLine="480" w:firstLineChars="200"/>
        <w:rPr>
          <w:rFonts w:hint="eastAsia" w:ascii="宋体" w:hAnsi="宋体" w:cs="宋体"/>
          <w:szCs w:val="24"/>
        </w:rPr>
      </w:pPr>
      <w:r>
        <w:rPr>
          <w:rFonts w:hint="eastAsia" w:ascii="宋体" w:hAnsi="宋体" w:cs="宋体"/>
          <w:szCs w:val="24"/>
          <w:lang w:val="en-US" w:eastAsia="zh-CN"/>
        </w:rPr>
        <w:t>5</w:t>
      </w:r>
      <w:r>
        <w:rPr>
          <w:rFonts w:hint="eastAsia" w:ascii="宋体" w:hAnsi="宋体" w:cs="宋体"/>
          <w:szCs w:val="24"/>
        </w:rPr>
        <w:t>）待办推送：根据院内就诊业务关系智能化的为残疾人群、老年群体推送下一项或多项就诊环节的就诊业务办理；残疾人群、老年群体遗留或未办的业务进行集中化的提醒。</w:t>
      </w:r>
    </w:p>
    <w:p>
      <w:pPr>
        <w:pStyle w:val="5"/>
        <w:rPr>
          <w:rFonts w:hint="eastAsia"/>
          <w:lang w:val="en-US" w:eastAsia="zh-CN"/>
        </w:rPr>
      </w:pPr>
    </w:p>
    <w:p>
      <w:pPr>
        <w:pStyle w:val="9"/>
      </w:pPr>
      <w:r>
        <w:rPr>
          <w:rFonts w:hint="eastAsia"/>
          <w:lang w:val="en-US" w:eastAsia="zh-CN"/>
        </w:rPr>
        <w:t>4.2.4.3</w:t>
      </w:r>
      <w:r>
        <w:rPr>
          <w:rFonts w:hint="eastAsia"/>
        </w:rPr>
        <w:t>面向残疾人群、老年群体的智能交互自助服务</w:t>
      </w:r>
    </w:p>
    <w:p>
      <w:pPr>
        <w:spacing w:before="81" w:after="81"/>
        <w:ind w:firstLine="480"/>
        <w:rPr>
          <w:rFonts w:ascii="宋体" w:hAnsi="宋体" w:cs="宋体"/>
          <w:color w:val="auto"/>
          <w:szCs w:val="24"/>
        </w:rPr>
      </w:pPr>
      <w:r>
        <w:rPr>
          <w:rFonts w:hint="eastAsia" w:ascii="宋体" w:hAnsi="宋体" w:cs="宋体"/>
          <w:szCs w:val="24"/>
        </w:rPr>
        <w:t>1）自助机智能语音交互服务：</w:t>
      </w:r>
      <w:r>
        <w:rPr>
          <w:rFonts w:hint="eastAsia" w:ascii="宋体" w:hAnsi="宋体" w:cs="宋体"/>
          <w:szCs w:val="24"/>
          <w:lang w:val="en-US" w:eastAsia="zh-CN"/>
        </w:rPr>
        <w:t>支持</w:t>
      </w:r>
      <w:r>
        <w:rPr>
          <w:rFonts w:hint="eastAsia" w:ascii="宋体" w:hAnsi="宋体" w:cs="宋体"/>
          <w:szCs w:val="24"/>
        </w:rPr>
        <w:t>残疾人群、老年群体通过</w:t>
      </w:r>
      <w:r>
        <w:rPr>
          <w:rFonts w:hint="eastAsia" w:ascii="宋体" w:hAnsi="宋体" w:cs="宋体"/>
          <w:color w:val="auto"/>
          <w:szCs w:val="24"/>
        </w:rPr>
        <w:t>语音交互模块实现建档、挂号、缴费、查询、打印等所有自助服务流程。</w:t>
      </w:r>
    </w:p>
    <w:p>
      <w:pPr>
        <w:spacing w:before="81" w:after="81"/>
        <w:ind w:firstLine="480"/>
        <w:rPr>
          <w:rFonts w:hint="eastAsia"/>
        </w:rPr>
      </w:pPr>
      <w:r>
        <w:rPr>
          <w:rFonts w:hint="eastAsia" w:ascii="宋体" w:hAnsi="宋体" w:cs="宋体"/>
          <w:color w:val="auto"/>
          <w:szCs w:val="24"/>
        </w:rPr>
        <w:t>2</w:t>
      </w:r>
      <w:r>
        <w:rPr>
          <w:rFonts w:ascii="宋体" w:hAnsi="宋体" w:cs="宋体"/>
          <w:color w:val="auto"/>
          <w:szCs w:val="24"/>
        </w:rPr>
        <w:t>）</w:t>
      </w:r>
      <w:r>
        <w:rPr>
          <w:rFonts w:hint="eastAsia" w:ascii="宋体" w:hAnsi="宋体" w:cs="宋体"/>
          <w:color w:val="auto"/>
          <w:szCs w:val="24"/>
        </w:rPr>
        <w:t>自助机智能非接触式交互服务：</w:t>
      </w:r>
      <w:r>
        <w:rPr>
          <w:rFonts w:hint="eastAsia" w:ascii="宋体" w:hAnsi="宋体" w:cs="宋体"/>
          <w:color w:val="auto"/>
          <w:szCs w:val="24"/>
          <w:lang w:val="en-US" w:eastAsia="zh-CN"/>
        </w:rPr>
        <w:t>支持</w:t>
      </w:r>
      <w:r>
        <w:rPr>
          <w:rFonts w:hint="eastAsia" w:ascii="宋体" w:hAnsi="宋体" w:cs="宋体"/>
          <w:color w:val="auto"/>
          <w:szCs w:val="24"/>
        </w:rPr>
        <w:t>残疾人群、老年群体通过非接触式</w:t>
      </w:r>
      <w:r>
        <w:rPr>
          <w:rFonts w:hint="eastAsia" w:ascii="宋体" w:hAnsi="宋体" w:cs="宋体"/>
          <w:color w:val="FF0000"/>
          <w:szCs w:val="24"/>
        </w:rPr>
        <w:t>自助机设备</w:t>
      </w:r>
      <w:r>
        <w:rPr>
          <w:rFonts w:hint="eastAsia" w:ascii="宋体" w:hAnsi="宋体" w:cs="宋体"/>
          <w:szCs w:val="24"/>
        </w:rPr>
        <w:t>形式实现建档、挂号、缴费、查询、打印等所有自助服务流程。</w:t>
      </w:r>
    </w:p>
    <w:p>
      <w:pPr>
        <w:pStyle w:val="8"/>
        <w:spacing w:before="0" w:after="0"/>
        <w:ind w:left="0" w:firstLine="562"/>
      </w:pPr>
      <w:r>
        <w:t>护照登记接口</w:t>
      </w:r>
    </w:p>
    <w:p>
      <w:pPr>
        <w:pStyle w:val="9"/>
        <w:numPr>
          <w:ilvl w:val="0"/>
          <w:numId w:val="0"/>
        </w:numPr>
        <w:spacing w:before="78" w:beforeLines="25" w:after="78" w:afterLines="25" w:line="377" w:lineRule="auto"/>
        <w:ind w:firstLine="562" w:firstLineChars="200"/>
        <w:jc w:val="left"/>
      </w:pPr>
      <w:r>
        <w:rPr>
          <w:rFonts w:hint="eastAsia"/>
          <w:lang w:val="en-US" w:eastAsia="zh-CN"/>
        </w:rPr>
        <w:t>4.2.5.1</w:t>
      </w:r>
      <w:r>
        <w:rPr>
          <w:rFonts w:hint="eastAsia"/>
        </w:rPr>
        <w:t>基础改造</w:t>
      </w:r>
    </w:p>
    <w:p>
      <w:pPr>
        <w:spacing w:before="81" w:after="81"/>
        <w:ind w:firstLine="480"/>
      </w:pPr>
      <w:r>
        <w:rPr>
          <w:rFonts w:hint="eastAsia"/>
        </w:rPr>
        <w:t>支持证件类型字典改造，拓展表证件类型库中证件类型字段长度，新增字段区分护照和其他证件类型。</w:t>
      </w:r>
    </w:p>
    <w:p>
      <w:pPr>
        <w:pStyle w:val="9"/>
        <w:numPr>
          <w:ilvl w:val="0"/>
          <w:numId w:val="0"/>
        </w:numPr>
        <w:spacing w:before="78" w:beforeLines="25" w:after="78" w:afterLines="25" w:line="377" w:lineRule="auto"/>
        <w:ind w:firstLine="562" w:firstLineChars="200"/>
        <w:jc w:val="left"/>
      </w:pPr>
      <w:r>
        <w:rPr>
          <w:rFonts w:hint="eastAsia"/>
          <w:lang w:val="en-US" w:eastAsia="zh-CN"/>
        </w:rPr>
        <w:t>4.2.5.2</w:t>
      </w:r>
      <w:r>
        <w:rPr>
          <w:rFonts w:hint="eastAsia"/>
        </w:rPr>
        <w:t>护照识别</w:t>
      </w:r>
    </w:p>
    <w:p>
      <w:pPr>
        <w:spacing w:before="81" w:after="81"/>
        <w:ind w:firstLine="480"/>
      </w:pPr>
      <w:r>
        <w:rPr>
          <w:rFonts w:hint="eastAsia"/>
        </w:rPr>
        <w:t>支持护照核验，识别护照信息调用统一验证平台数据核验。</w:t>
      </w:r>
    </w:p>
    <w:p>
      <w:pPr>
        <w:pStyle w:val="9"/>
        <w:numPr>
          <w:ilvl w:val="0"/>
          <w:numId w:val="0"/>
        </w:numPr>
        <w:spacing w:before="78" w:beforeLines="25" w:after="78" w:afterLines="25" w:line="377" w:lineRule="auto"/>
        <w:ind w:firstLine="562" w:firstLineChars="200"/>
        <w:jc w:val="left"/>
        <w:rPr>
          <w:rFonts w:hint="eastAsia" w:eastAsia="宋体"/>
          <w:lang w:eastAsia="zh-CN"/>
        </w:rPr>
      </w:pPr>
      <w:r>
        <w:rPr>
          <w:rFonts w:hint="eastAsia"/>
          <w:lang w:val="en-US" w:eastAsia="zh-CN"/>
        </w:rPr>
        <w:t>4.2.5.3</w:t>
      </w:r>
      <w:r>
        <w:rPr>
          <w:rFonts w:hint="eastAsia"/>
        </w:rPr>
        <w:t>护照规则</w:t>
      </w:r>
    </w:p>
    <w:p>
      <w:pPr>
        <w:spacing w:before="81" w:after="81"/>
        <w:ind w:firstLine="480"/>
      </w:pPr>
      <w:r>
        <w:rPr>
          <w:rFonts w:hint="eastAsia"/>
        </w:rPr>
        <w:t>支持护照校验规则，在业务系统中校验护照录入是否正确。</w:t>
      </w:r>
    </w:p>
    <w:p>
      <w:pPr>
        <w:spacing w:before="81" w:after="81"/>
        <w:ind w:firstLine="480"/>
        <w:rPr>
          <w:rFonts w:hint="eastAsia"/>
        </w:rPr>
      </w:pPr>
      <w:r>
        <w:rPr>
          <w:rFonts w:hint="eastAsia"/>
        </w:rPr>
        <w:t>支持护照校验规则引用，在业务系统引入护照规则校验，包括：基本信息登记、基本信息维护、挂号登记等诊疗服务。</w:t>
      </w:r>
    </w:p>
    <w:p>
      <w:pPr>
        <w:pStyle w:val="8"/>
        <w:spacing w:before="0" w:after="0"/>
        <w:ind w:left="0" w:firstLine="562"/>
      </w:pPr>
      <w:r>
        <w:t>互联网服务护照登记接口</w:t>
      </w:r>
    </w:p>
    <w:p>
      <w:pPr>
        <w:pStyle w:val="9"/>
        <w:numPr>
          <w:ilvl w:val="0"/>
          <w:numId w:val="0"/>
        </w:numPr>
        <w:spacing w:before="78" w:beforeLines="25" w:after="78" w:afterLines="25" w:line="377" w:lineRule="auto"/>
        <w:ind w:firstLine="562" w:firstLineChars="200"/>
        <w:jc w:val="left"/>
        <w:rPr>
          <w:rFonts w:hint="eastAsia" w:eastAsia="宋体"/>
          <w:lang w:eastAsia="zh-CN"/>
        </w:rPr>
      </w:pPr>
      <w:r>
        <w:rPr>
          <w:rFonts w:hint="eastAsia"/>
          <w:lang w:val="en-US" w:eastAsia="zh-CN"/>
        </w:rPr>
        <w:t>4.2.6.1</w:t>
      </w:r>
      <w:r>
        <w:rPr>
          <w:rFonts w:hint="eastAsia"/>
        </w:rPr>
        <w:t>界面</w:t>
      </w:r>
      <w:r>
        <w:t>改造</w:t>
      </w:r>
    </w:p>
    <w:p>
      <w:pPr>
        <w:spacing w:before="60" w:after="60"/>
        <w:ind w:firstLine="480"/>
        <w:rPr>
          <w:rFonts w:hint="eastAsia" w:ascii="Times New Roman" w:hAnsi="Times New Roman"/>
        </w:rPr>
      </w:pPr>
      <w:r>
        <w:rPr>
          <w:rFonts w:hint="eastAsia" w:ascii="Times New Roman" w:hAnsi="Times New Roman"/>
        </w:rPr>
        <w:t>支持证件类型改造，可拓展互联网服务证件类型，新增字段区分护照和其他证件类型。</w:t>
      </w:r>
    </w:p>
    <w:p>
      <w:pPr>
        <w:pStyle w:val="9"/>
        <w:numPr>
          <w:ilvl w:val="0"/>
          <w:numId w:val="0"/>
        </w:numPr>
        <w:spacing w:before="78" w:beforeLines="25" w:after="78" w:afterLines="25" w:line="377" w:lineRule="auto"/>
        <w:ind w:firstLine="562" w:firstLineChars="200"/>
        <w:jc w:val="left"/>
        <w:rPr>
          <w:rFonts w:hint="eastAsia" w:eastAsia="宋体"/>
          <w:lang w:eastAsia="zh-CN"/>
        </w:rPr>
      </w:pPr>
      <w:r>
        <w:rPr>
          <w:rFonts w:hint="eastAsia" w:ascii="Times New Roman" w:hAnsi="Times New Roman"/>
          <w:lang w:val="en-US" w:eastAsia="zh-CN"/>
        </w:rPr>
        <w:t>4.2.6.2</w:t>
      </w:r>
      <w:r>
        <w:rPr>
          <w:rFonts w:hint="eastAsia" w:ascii="Times New Roman" w:hAnsi="Times New Roman"/>
        </w:rPr>
        <w:t>护照规则</w:t>
      </w:r>
    </w:p>
    <w:p>
      <w:pPr>
        <w:spacing w:before="60" w:after="60"/>
        <w:ind w:firstLine="480"/>
        <w:rPr>
          <w:rFonts w:hint="eastAsia" w:ascii="Times New Roman" w:hAnsi="Times New Roman"/>
        </w:rPr>
      </w:pPr>
      <w:r>
        <w:rPr>
          <w:rFonts w:hint="eastAsia" w:ascii="Times New Roman" w:hAnsi="Times New Roman"/>
        </w:rPr>
        <w:t>支持护照校验规则，在互联网应用中校验护照录入是否正确。</w:t>
      </w:r>
    </w:p>
    <w:p>
      <w:pPr>
        <w:spacing w:before="60" w:after="60"/>
        <w:ind w:firstLine="480"/>
      </w:pPr>
      <w:r>
        <w:rPr>
          <w:rFonts w:hint="eastAsia" w:ascii="Times New Roman" w:hAnsi="Times New Roman"/>
        </w:rPr>
        <w:t>支持护照校验规则引用，在互联网应用中引入护照规则校验，包括：线上人员注册、线上预约挂号等诊疗服务。</w:t>
      </w:r>
    </w:p>
    <w:p>
      <w:pPr>
        <w:pStyle w:val="8"/>
        <w:spacing w:before="0" w:after="0"/>
        <w:ind w:left="0" w:firstLine="562"/>
      </w:pPr>
      <w:r>
        <w:rPr>
          <w:rFonts w:hint="eastAsia"/>
        </w:rPr>
        <w:t>自助机护照登记改造</w:t>
      </w:r>
    </w:p>
    <w:p>
      <w:pPr>
        <w:pStyle w:val="9"/>
        <w:numPr>
          <w:ilvl w:val="0"/>
          <w:numId w:val="0"/>
        </w:numPr>
        <w:spacing w:before="78" w:beforeLines="25" w:after="78" w:afterLines="25" w:line="377" w:lineRule="auto"/>
        <w:ind w:firstLine="562" w:firstLineChars="200"/>
        <w:jc w:val="left"/>
      </w:pPr>
      <w:r>
        <w:rPr>
          <w:rFonts w:hint="eastAsia"/>
          <w:lang w:val="en-US" w:eastAsia="zh-CN"/>
        </w:rPr>
        <w:t>4.2.7.1</w:t>
      </w:r>
      <w:r>
        <w:rPr>
          <w:rFonts w:hint="eastAsia"/>
        </w:rPr>
        <w:t>界面改造</w:t>
      </w:r>
    </w:p>
    <w:p>
      <w:pPr>
        <w:spacing w:before="81" w:after="81"/>
        <w:ind w:firstLine="480"/>
      </w:pPr>
      <w:r>
        <w:rPr>
          <w:rFonts w:hint="eastAsia"/>
        </w:rPr>
        <w:t>支持证件类型改造，可拓展自助机护照证件类型，新增字段区分自助机护照和其他证件类型。</w:t>
      </w:r>
    </w:p>
    <w:p>
      <w:pPr>
        <w:pStyle w:val="9"/>
        <w:numPr>
          <w:ilvl w:val="0"/>
          <w:numId w:val="0"/>
        </w:numPr>
        <w:spacing w:before="78" w:beforeLines="25" w:after="78" w:afterLines="25" w:line="377" w:lineRule="auto"/>
        <w:ind w:firstLine="562" w:firstLineChars="200"/>
        <w:jc w:val="left"/>
        <w:rPr>
          <w:rFonts w:hint="eastAsia" w:eastAsia="宋体"/>
          <w:lang w:eastAsia="zh-CN"/>
        </w:rPr>
      </w:pPr>
      <w:r>
        <w:rPr>
          <w:rFonts w:hint="eastAsia"/>
          <w:lang w:val="en-US" w:eastAsia="zh-CN"/>
        </w:rPr>
        <w:t>4.2.7.2</w:t>
      </w:r>
      <w:r>
        <w:rPr>
          <w:rFonts w:hint="eastAsia"/>
        </w:rPr>
        <w:t>护照规则</w:t>
      </w:r>
    </w:p>
    <w:p>
      <w:pPr>
        <w:spacing w:before="81" w:after="81"/>
        <w:ind w:firstLine="480"/>
      </w:pPr>
      <w:r>
        <w:rPr>
          <w:rFonts w:hint="eastAsia"/>
        </w:rPr>
        <w:t>支持护照校验规则，在自助机系统中校验护照录入是否正确。</w:t>
      </w:r>
    </w:p>
    <w:p>
      <w:pPr>
        <w:spacing w:before="81" w:after="81"/>
        <w:ind w:firstLine="480"/>
        <w:rPr>
          <w:rFonts w:hint="eastAsia"/>
        </w:rPr>
      </w:pPr>
      <w:r>
        <w:rPr>
          <w:rFonts w:hint="eastAsia"/>
        </w:rPr>
        <w:t>支持护照校验规则引用，在自助机系统中引入护照规则校验。</w:t>
      </w:r>
    </w:p>
    <w:p>
      <w:pPr>
        <w:pStyle w:val="8"/>
        <w:spacing w:before="0" w:after="0"/>
        <w:ind w:left="0" w:firstLine="562"/>
      </w:pPr>
      <w:r>
        <w:rPr>
          <w:rFonts w:hint="eastAsia"/>
        </w:rPr>
        <w:t>永居证登记接口</w:t>
      </w:r>
    </w:p>
    <w:p>
      <w:pPr>
        <w:pStyle w:val="9"/>
        <w:numPr>
          <w:ilvl w:val="0"/>
          <w:numId w:val="0"/>
        </w:numPr>
        <w:spacing w:before="78" w:beforeLines="25" w:after="78" w:afterLines="25" w:line="377" w:lineRule="auto"/>
        <w:ind w:firstLine="562" w:firstLineChars="200"/>
        <w:jc w:val="left"/>
        <w:rPr>
          <w:rFonts w:hint="eastAsia" w:eastAsia="宋体"/>
          <w:lang w:eastAsia="zh-CN"/>
        </w:rPr>
      </w:pPr>
      <w:r>
        <w:rPr>
          <w:rFonts w:hint="eastAsia"/>
          <w:lang w:val="en-US" w:eastAsia="zh-CN"/>
        </w:rPr>
        <w:t>4.2.8.1</w:t>
      </w:r>
      <w:r>
        <w:rPr>
          <w:rFonts w:hint="eastAsia"/>
        </w:rPr>
        <w:t>界面改造</w:t>
      </w:r>
    </w:p>
    <w:p>
      <w:pPr>
        <w:spacing w:before="81" w:after="81"/>
        <w:ind w:firstLine="480"/>
      </w:pPr>
      <w:r>
        <w:rPr>
          <w:rFonts w:hint="eastAsia"/>
        </w:rPr>
        <w:t>支持证件类型改造，可拓展永居证证件类型，新增字段区分永居证和其他证件类型。</w:t>
      </w:r>
    </w:p>
    <w:p>
      <w:pPr>
        <w:pStyle w:val="9"/>
        <w:numPr>
          <w:ilvl w:val="0"/>
          <w:numId w:val="0"/>
        </w:numPr>
        <w:spacing w:before="78" w:beforeLines="25" w:after="78" w:afterLines="25" w:line="377" w:lineRule="auto"/>
        <w:ind w:firstLine="562" w:firstLineChars="200"/>
        <w:jc w:val="left"/>
      </w:pPr>
      <w:r>
        <w:rPr>
          <w:rFonts w:hint="eastAsia"/>
          <w:lang w:val="en-US" w:eastAsia="zh-CN"/>
        </w:rPr>
        <w:t>4.2.8.2</w:t>
      </w:r>
      <w:r>
        <w:rPr>
          <w:rFonts w:hint="eastAsia"/>
        </w:rPr>
        <w:t>永居证规则</w:t>
      </w:r>
    </w:p>
    <w:p>
      <w:pPr>
        <w:spacing w:before="81" w:after="81"/>
        <w:ind w:firstLine="480"/>
        <w:rPr>
          <w:szCs w:val="24"/>
        </w:rPr>
      </w:pPr>
      <w:r>
        <w:rPr>
          <w:rFonts w:hint="eastAsia" w:ascii="宋体" w:hAnsi="宋体" w:cs="宋体"/>
          <w:szCs w:val="24"/>
          <w:lang w:bidi="ar"/>
        </w:rPr>
        <w:t>支持永居证校验规则，在业务应用中校验永居证号录入是否正确。</w:t>
      </w:r>
    </w:p>
    <w:p>
      <w:pPr>
        <w:pStyle w:val="8"/>
        <w:spacing w:before="0" w:after="0"/>
        <w:ind w:left="0" w:firstLine="562"/>
      </w:pPr>
      <w:r>
        <w:t>互联网服务永居证登记接口</w:t>
      </w:r>
    </w:p>
    <w:p>
      <w:pPr>
        <w:pStyle w:val="9"/>
        <w:numPr>
          <w:ilvl w:val="0"/>
          <w:numId w:val="0"/>
        </w:numPr>
        <w:spacing w:before="78" w:beforeLines="25" w:after="78" w:afterLines="25" w:line="377" w:lineRule="auto"/>
        <w:ind w:firstLine="562" w:firstLineChars="200"/>
        <w:jc w:val="left"/>
        <w:rPr>
          <w:rFonts w:hint="eastAsia" w:eastAsia="宋体"/>
          <w:lang w:eastAsia="zh-CN"/>
        </w:rPr>
      </w:pPr>
      <w:r>
        <w:rPr>
          <w:rFonts w:hint="eastAsia"/>
          <w:lang w:val="en-US" w:eastAsia="zh-CN"/>
        </w:rPr>
        <w:t>4.2.9.1</w:t>
      </w:r>
      <w:r>
        <w:rPr>
          <w:rFonts w:hint="eastAsia"/>
        </w:rPr>
        <w:t>界面改造</w:t>
      </w:r>
    </w:p>
    <w:p>
      <w:pPr>
        <w:spacing w:before="60" w:after="60"/>
        <w:ind w:firstLine="480"/>
      </w:pPr>
      <w:r>
        <w:rPr>
          <w:rFonts w:hint="eastAsia" w:ascii="Times New Roman" w:hAnsi="Times New Roman"/>
        </w:rPr>
        <w:t>支持证件类型改造，可拓展互联网服务证件类型，新增字段区分永居证和其他证件类型。</w:t>
      </w:r>
    </w:p>
    <w:p>
      <w:pPr>
        <w:pStyle w:val="9"/>
        <w:numPr>
          <w:ilvl w:val="0"/>
          <w:numId w:val="0"/>
        </w:numPr>
        <w:spacing w:before="78" w:beforeLines="25" w:after="78" w:afterLines="25" w:line="377" w:lineRule="auto"/>
        <w:ind w:firstLine="562" w:firstLineChars="200"/>
        <w:jc w:val="left"/>
        <w:rPr>
          <w:rFonts w:hint="eastAsia" w:eastAsia="宋体"/>
          <w:lang w:eastAsia="zh-CN"/>
        </w:rPr>
      </w:pPr>
      <w:r>
        <w:rPr>
          <w:rFonts w:hint="eastAsia"/>
          <w:lang w:val="en-US" w:eastAsia="zh-CN"/>
        </w:rPr>
        <w:t>4.2.9.2</w:t>
      </w:r>
      <w:r>
        <w:rPr>
          <w:rFonts w:hint="eastAsia"/>
        </w:rPr>
        <w:t>永居证规则</w:t>
      </w:r>
    </w:p>
    <w:p>
      <w:pPr>
        <w:spacing w:before="60" w:after="60"/>
        <w:ind w:firstLine="480"/>
      </w:pPr>
      <w:r>
        <w:rPr>
          <w:rFonts w:hint="eastAsia" w:ascii="Times New Roman" w:hAnsi="Times New Roman"/>
        </w:rPr>
        <w:t>支持永居证校验规则，在互联网应用校验永居证号录入是否正确。</w:t>
      </w:r>
    </w:p>
    <w:p>
      <w:pPr>
        <w:pStyle w:val="9"/>
        <w:numPr>
          <w:ilvl w:val="0"/>
          <w:numId w:val="0"/>
        </w:numPr>
        <w:spacing w:before="78" w:beforeLines="25" w:after="78" w:afterLines="25" w:line="377" w:lineRule="auto"/>
        <w:ind w:firstLine="562" w:firstLineChars="200"/>
        <w:jc w:val="left"/>
      </w:pPr>
      <w:r>
        <w:rPr>
          <w:rFonts w:hint="eastAsia"/>
          <w:lang w:val="en-US" w:eastAsia="zh-CN"/>
        </w:rPr>
        <w:t>4.2.9.3</w:t>
      </w:r>
      <w:r>
        <w:rPr>
          <w:rFonts w:hint="eastAsia"/>
        </w:rPr>
        <w:t>应用场景改造</w:t>
      </w:r>
    </w:p>
    <w:p>
      <w:pPr>
        <w:spacing w:before="60" w:after="60"/>
        <w:ind w:firstLine="480"/>
      </w:pPr>
      <w:r>
        <w:rPr>
          <w:rFonts w:hint="eastAsia" w:ascii="Times New Roman" w:hAnsi="Times New Roman"/>
        </w:rPr>
        <w:t>支持线上就医注册时引入永居证规则校验，包括：人员注册。</w:t>
      </w:r>
    </w:p>
    <w:p>
      <w:pPr>
        <w:spacing w:before="60" w:after="60"/>
        <w:ind w:firstLine="480"/>
      </w:pPr>
      <w:r>
        <w:rPr>
          <w:rFonts w:hint="eastAsia" w:ascii="Times New Roman" w:hAnsi="Times New Roman"/>
        </w:rPr>
        <w:t>支持永居证校验规则引用，在互联网应用中引入永居证规则校验，包括：线上预约挂号等诊疗服务。</w:t>
      </w:r>
    </w:p>
    <w:p>
      <w:pPr>
        <w:pStyle w:val="8"/>
        <w:spacing w:before="0" w:after="0"/>
        <w:ind w:left="0" w:firstLine="562"/>
      </w:pPr>
      <w:r>
        <w:t>境外来沪人员就医优化</w:t>
      </w:r>
    </w:p>
    <w:p>
      <w:pPr>
        <w:pStyle w:val="9"/>
        <w:numPr>
          <w:ilvl w:val="0"/>
          <w:numId w:val="0"/>
        </w:numPr>
        <w:spacing w:before="78" w:beforeLines="25" w:after="78" w:afterLines="25" w:line="377" w:lineRule="auto"/>
        <w:ind w:firstLine="562" w:firstLineChars="200"/>
        <w:jc w:val="left"/>
      </w:pPr>
      <w:r>
        <w:rPr>
          <w:rFonts w:hint="eastAsia"/>
          <w:lang w:val="en-US" w:eastAsia="zh-CN"/>
        </w:rPr>
        <w:t>4.2.10.1</w:t>
      </w:r>
      <w:r>
        <w:rPr>
          <w:rFonts w:hint="eastAsia"/>
        </w:rPr>
        <w:t>境外来沪人员HIS改造</w:t>
      </w:r>
    </w:p>
    <w:p>
      <w:pPr>
        <w:numPr>
          <w:ilvl w:val="0"/>
          <w:numId w:val="6"/>
        </w:numPr>
        <w:spacing w:before="60" w:after="60"/>
        <w:ind w:left="420" w:leftChars="0" w:hanging="420" w:firstLineChars="0"/>
        <w:rPr>
          <w:rFonts w:hint="default" w:ascii="Times New Roman" w:hAnsi="Times New Roman" w:eastAsia="宋体"/>
          <w:b/>
          <w:bCs/>
          <w:lang w:val="en-US" w:eastAsia="zh-CN"/>
        </w:rPr>
      </w:pPr>
      <w:r>
        <w:rPr>
          <w:rFonts w:hint="eastAsia" w:ascii="Times New Roman" w:hAnsi="Times New Roman"/>
          <w:b/>
          <w:bCs/>
          <w:lang w:val="en-US" w:eastAsia="zh-CN"/>
        </w:rPr>
        <w:t>境外来沪人员权益设置</w:t>
      </w:r>
    </w:p>
    <w:p>
      <w:pPr>
        <w:spacing w:before="81" w:after="81"/>
        <w:ind w:firstLine="480"/>
      </w:pPr>
      <w:r>
        <w:rPr>
          <w:rFonts w:hint="eastAsia"/>
          <w:lang w:val="en-US" w:eastAsia="zh-CN"/>
        </w:rPr>
        <w:t>支持将</w:t>
      </w:r>
      <w:r>
        <w:rPr>
          <w:rFonts w:hint="eastAsia"/>
        </w:rPr>
        <w:t>境外来沪人员权益设置分为三个</w:t>
      </w:r>
      <w:r>
        <w:t>tab</w:t>
      </w:r>
      <w:r>
        <w:rPr>
          <w:rFonts w:hint="eastAsia"/>
        </w:rPr>
        <w:t>页，分别按收费小项目、临床项目、分类项目维护权益对应的价格体系。可按照金额或比例两个设置应收价格。</w:t>
      </w:r>
    </w:p>
    <w:p>
      <w:pPr>
        <w:spacing w:before="81" w:after="81"/>
        <w:ind w:firstLine="480"/>
      </w:pPr>
      <w:r>
        <w:rPr>
          <w:rFonts w:hint="eastAsia"/>
          <w:lang w:val="en-US" w:eastAsia="zh-CN"/>
        </w:rPr>
        <w:t>支持</w:t>
      </w:r>
      <w:r>
        <w:rPr>
          <w:rFonts w:hint="eastAsia"/>
        </w:rPr>
        <w:t>同一权益，明细项目和临床项目列都包含同一小项目，但调价后单价不同。</w:t>
      </w:r>
      <w:r>
        <w:rPr>
          <w:rFonts w:hint="eastAsia"/>
          <w:lang w:val="en-US" w:eastAsia="zh-CN"/>
        </w:rPr>
        <w:t>若</w:t>
      </w:r>
      <w:r>
        <w:rPr>
          <w:rFonts w:hint="eastAsia"/>
        </w:rPr>
        <w:t>开具临床项目，则以临床项目的明细为准，开具小项目则以小项目为准。</w:t>
      </w:r>
    </w:p>
    <w:p>
      <w:pPr>
        <w:spacing w:before="60" w:after="60"/>
        <w:ind w:firstLine="480"/>
        <w:rPr>
          <w:rFonts w:hint="eastAsia" w:ascii="Times New Roman" w:hAnsi="Times New Roman"/>
        </w:rPr>
      </w:pPr>
      <w:r>
        <w:rPr>
          <w:rFonts w:hint="eastAsia"/>
          <w:lang w:val="en-US" w:eastAsia="zh-CN"/>
        </w:rPr>
        <w:t>支持</w:t>
      </w:r>
      <w:r>
        <w:rPr>
          <w:rFonts w:hint="eastAsia"/>
        </w:rPr>
        <w:t>同一权益，临床项目和大项目都包含同一小项目，但调价后单价不同，则以临床项目的调价后单价为准。</w:t>
      </w:r>
    </w:p>
    <w:p>
      <w:pPr>
        <w:numPr>
          <w:ilvl w:val="0"/>
          <w:numId w:val="6"/>
        </w:numPr>
        <w:spacing w:before="60" w:after="60"/>
        <w:ind w:left="420" w:leftChars="0" w:hanging="420" w:firstLineChars="0"/>
        <w:rPr>
          <w:rFonts w:hint="eastAsia" w:ascii="Times New Roman" w:hAnsi="Times New Roman"/>
          <w:b/>
          <w:bCs/>
          <w:lang w:val="en-US" w:eastAsia="zh-CN"/>
        </w:rPr>
      </w:pPr>
      <w:r>
        <w:rPr>
          <w:rFonts w:hint="eastAsia" w:ascii="Times New Roman" w:hAnsi="Times New Roman"/>
          <w:b/>
          <w:bCs/>
          <w:lang w:val="en-US" w:eastAsia="zh-CN"/>
        </w:rPr>
        <w:t>境外来沪人员权益传递</w:t>
      </w:r>
    </w:p>
    <w:p>
      <w:pPr>
        <w:spacing w:before="81" w:after="81"/>
        <w:ind w:firstLine="480"/>
      </w:pPr>
      <w:r>
        <w:rPr>
          <w:rFonts w:hint="eastAsia"/>
        </w:rPr>
        <w:t>门诊：</w:t>
      </w:r>
      <w:r>
        <w:rPr>
          <w:rFonts w:hint="eastAsia"/>
          <w:lang w:val="en-US" w:eastAsia="zh-CN"/>
        </w:rPr>
        <w:t>支持</w:t>
      </w:r>
      <w:r>
        <w:rPr>
          <w:rFonts w:hint="eastAsia"/>
        </w:rPr>
        <w:t>挂号时通过医保代码和权益对应关系，获取出权益类别，如果只有一个权益默认传默认一个权益，</w:t>
      </w:r>
      <w:r>
        <w:rPr>
          <w:rFonts w:hint="eastAsia"/>
          <w:lang w:val="en-US" w:eastAsia="zh-CN"/>
        </w:rPr>
        <w:t>若</w:t>
      </w:r>
      <w:r>
        <w:rPr>
          <w:rFonts w:hint="eastAsia"/>
        </w:rPr>
        <w:t>存在多个，则需要在建档或者挂号时选择对应的权益，传递给下游系统，比如门诊医生站、急诊。下游系统根据权益类别和权益加收比对应关系，进行开单时进行体现。</w:t>
      </w:r>
    </w:p>
    <w:p>
      <w:pPr>
        <w:spacing w:before="60" w:after="60"/>
        <w:ind w:firstLine="480"/>
        <w:rPr>
          <w:rFonts w:hint="eastAsia" w:ascii="Times New Roman" w:hAnsi="Times New Roman"/>
        </w:rPr>
      </w:pPr>
      <w:r>
        <w:t xml:space="preserve"> </w:t>
      </w:r>
      <w:r>
        <w:rPr>
          <w:rFonts w:hint="eastAsia"/>
        </w:rPr>
        <w:t>住院：</w:t>
      </w:r>
      <w:r>
        <w:rPr>
          <w:rFonts w:hint="eastAsia"/>
          <w:lang w:val="en-US" w:eastAsia="zh-CN"/>
        </w:rPr>
        <w:t>支持</w:t>
      </w:r>
      <w:r>
        <w:rPr>
          <w:rFonts w:hint="eastAsia"/>
        </w:rPr>
        <w:t>住院登记时通过医保代码和权益对应关系，获取出权益类别，如果只有一个权益默认传默认一个权益，</w:t>
      </w:r>
      <w:r>
        <w:rPr>
          <w:rFonts w:hint="eastAsia"/>
          <w:lang w:val="en-US" w:eastAsia="zh-CN"/>
        </w:rPr>
        <w:t>若</w:t>
      </w:r>
      <w:r>
        <w:rPr>
          <w:rFonts w:hint="eastAsia"/>
        </w:rPr>
        <w:t>存在多个，则需要在入院登记时选择对应的权益，传递给下游系统，比如门诊医生站、急诊。下游系统根据权益类别和权益加收比对应关系，进行开单时进行体现。</w:t>
      </w:r>
    </w:p>
    <w:p>
      <w:pPr>
        <w:numPr>
          <w:ilvl w:val="0"/>
          <w:numId w:val="6"/>
        </w:numPr>
        <w:spacing w:before="60" w:after="60"/>
        <w:ind w:left="420" w:leftChars="0" w:hanging="420" w:firstLineChars="0"/>
        <w:rPr>
          <w:rFonts w:hint="eastAsia" w:ascii="Times New Roman" w:hAnsi="Times New Roman"/>
          <w:b/>
          <w:bCs/>
          <w:lang w:val="en-US" w:eastAsia="zh-CN"/>
        </w:rPr>
      </w:pPr>
      <w:r>
        <w:rPr>
          <w:rFonts w:hint="eastAsia" w:ascii="Times New Roman" w:hAnsi="Times New Roman"/>
          <w:b/>
          <w:bCs/>
          <w:lang w:val="en-US" w:eastAsia="zh-CN"/>
        </w:rPr>
        <w:t>挂号、收费、入院登记、住院结算改造</w:t>
      </w:r>
    </w:p>
    <w:p>
      <w:pPr>
        <w:spacing w:before="60" w:after="60"/>
        <w:ind w:firstLine="480"/>
      </w:pPr>
      <w:r>
        <w:rPr>
          <w:rFonts w:hint="eastAsia"/>
          <w:lang w:val="en-US" w:eastAsia="zh-CN"/>
        </w:rPr>
        <w:t>支持</w:t>
      </w:r>
      <w:r>
        <w:rPr>
          <w:rFonts w:hint="eastAsia"/>
        </w:rPr>
        <w:t>挂号、收费、入院登记、住院结算时根据选择的权益，进行加收处理，按照加收的比例或者金额进行加收处理</w:t>
      </w:r>
      <w:r>
        <w:rPr>
          <w:rFonts w:ascii="Times New Roman" w:hAnsi="Times New Roman"/>
        </w:rPr>
        <w:t>。</w:t>
      </w:r>
    </w:p>
    <w:p>
      <w:pPr>
        <w:pStyle w:val="9"/>
        <w:numPr>
          <w:ilvl w:val="0"/>
          <w:numId w:val="0"/>
        </w:numPr>
        <w:spacing w:before="78" w:beforeLines="25" w:after="78" w:afterLines="25" w:line="377" w:lineRule="auto"/>
        <w:ind w:firstLine="562" w:firstLineChars="200"/>
        <w:jc w:val="left"/>
      </w:pPr>
      <w:r>
        <w:rPr>
          <w:rFonts w:hint="eastAsia"/>
          <w:lang w:val="en-US" w:eastAsia="zh-CN"/>
        </w:rPr>
        <w:t>4.2.10.2</w:t>
      </w:r>
      <w:r>
        <w:rPr>
          <w:rFonts w:hint="eastAsia"/>
        </w:rPr>
        <w:t>境外来沪人员护士站改造</w:t>
      </w:r>
    </w:p>
    <w:p>
      <w:pPr>
        <w:spacing w:before="81" w:after="81"/>
        <w:ind w:firstLine="480"/>
      </w:pPr>
      <w:r>
        <w:rPr>
          <w:rFonts w:hint="eastAsia"/>
        </w:rPr>
        <w:t>入区登记、转区、出区、产房（</w:t>
      </w:r>
      <w:r>
        <w:t>ICU</w:t>
      </w:r>
      <w:r>
        <w:rPr>
          <w:rFonts w:hint="eastAsia"/>
        </w:rPr>
        <w:t>）登记、婴儿登记时，</w:t>
      </w:r>
      <w:r>
        <w:rPr>
          <w:rFonts w:hint="eastAsia"/>
          <w:lang w:val="en-US" w:eastAsia="zh-CN"/>
        </w:rPr>
        <w:t>支持</w:t>
      </w:r>
      <w:r>
        <w:rPr>
          <w:rFonts w:hint="eastAsia"/>
        </w:rPr>
        <w:t>增加境外来沪人员患者标识，若该患者为境外来沪人员，则根据境外来沪人员权益设置的价格，进行收取或退掉对应的床位等固定项目费用。</w:t>
      </w:r>
    </w:p>
    <w:p>
      <w:pPr>
        <w:spacing w:before="81" w:after="81"/>
        <w:ind w:firstLine="480"/>
      </w:pPr>
      <w:r>
        <w:rPr>
          <w:rFonts w:hint="eastAsia"/>
        </w:rPr>
        <w:t>补记账、多病人记账、材料记账、跨病区计费申请、跨病区计费等计费模块，</w:t>
      </w:r>
      <w:r>
        <w:rPr>
          <w:rFonts w:hint="eastAsia"/>
          <w:lang w:val="en-US" w:eastAsia="zh-CN"/>
        </w:rPr>
        <w:t>支持</w:t>
      </w:r>
      <w:r>
        <w:rPr>
          <w:rFonts w:hint="eastAsia"/>
        </w:rPr>
        <w:t>增加境外来沪人员患者标识，若该患者为境外来沪人员，则根据境外来沪人员权益设置的价格，界面展示的价格为境外来沪人员设置的价格，进行收取相应的项目费用。若该患者为境外来沪人员，</w:t>
      </w:r>
      <w:r>
        <w:rPr>
          <w:rFonts w:hint="eastAsia"/>
          <w:lang w:val="en-US" w:eastAsia="zh-CN"/>
        </w:rPr>
        <w:t>支持</w:t>
      </w:r>
      <w:r>
        <w:rPr>
          <w:rFonts w:hint="eastAsia"/>
        </w:rPr>
        <w:t>按照成套材料引用时，成套材料明细界面展示的价格则根据境外来沪人员权益设置的价格，选择成套材料明细后，界面展示的价格为境外来沪人员设置的价格，进行收取相应的项目费用。</w:t>
      </w:r>
    </w:p>
    <w:p>
      <w:pPr>
        <w:spacing w:before="81" w:after="81"/>
        <w:ind w:firstLine="480"/>
      </w:pPr>
      <w:r>
        <w:rPr>
          <w:rFonts w:hint="eastAsia"/>
        </w:rPr>
        <w:t>多病人记账模块病人列表增加境外来沪人员患者标识，若选择多个患者时其中的患者有境外来沪人员患者，</w:t>
      </w:r>
      <w:r>
        <w:rPr>
          <w:rFonts w:hint="eastAsia"/>
          <w:lang w:val="en-US" w:eastAsia="zh-CN"/>
        </w:rPr>
        <w:t>支持</w:t>
      </w:r>
      <w:r>
        <w:rPr>
          <w:rFonts w:hint="eastAsia"/>
        </w:rPr>
        <w:t>提示操作员【</w:t>
      </w:r>
      <w:r>
        <w:t>**</w:t>
      </w:r>
      <w:r>
        <w:rPr>
          <w:rFonts w:hint="eastAsia"/>
        </w:rPr>
        <w:t>患者为境外来沪患者，请与普通患者分开计费】，境外来沪患者取消选择后，普通的患者按照目前根据收费小项目的价格、比例或临床项目单价、特殊项目设置的比例，进行收取相应的项目费用；若选择的多个患者均为境外来沪人员，</w:t>
      </w:r>
      <w:r>
        <w:rPr>
          <w:rFonts w:hint="eastAsia"/>
          <w:lang w:val="en-US" w:eastAsia="zh-CN"/>
        </w:rPr>
        <w:t>支持</w:t>
      </w:r>
      <w:r>
        <w:rPr>
          <w:rFonts w:hint="eastAsia"/>
        </w:rPr>
        <w:t>根据境外来沪人员权益设置的价格，界面展示的价格为境外来沪人员设置的价格，进行收取相应的项目费用。</w:t>
      </w:r>
    </w:p>
    <w:p>
      <w:pPr>
        <w:spacing w:before="81" w:after="81"/>
        <w:ind w:firstLine="480"/>
      </w:pPr>
      <w:r>
        <w:rPr>
          <w:rFonts w:hint="eastAsia"/>
        </w:rPr>
        <w:t>包床操作时，若该患者为境外来沪人员，包床时的项目价格</w:t>
      </w:r>
      <w:r>
        <w:rPr>
          <w:rFonts w:hint="eastAsia"/>
          <w:lang w:val="en-US" w:eastAsia="zh-CN"/>
        </w:rPr>
        <w:t>支持</w:t>
      </w:r>
      <w:r>
        <w:rPr>
          <w:rFonts w:hint="eastAsia"/>
        </w:rPr>
        <w:t>根据境外来沪人员权益设置的价格，进行收取对应的床位等固定项目费用。</w:t>
      </w:r>
    </w:p>
    <w:p>
      <w:pPr>
        <w:spacing w:before="60" w:after="60"/>
        <w:ind w:firstLine="480"/>
        <w:rPr>
          <w:rFonts w:hint="eastAsia" w:ascii="Times New Roman" w:hAnsi="Times New Roman"/>
        </w:rPr>
      </w:pPr>
      <w:r>
        <w:rPr>
          <w:rFonts w:hint="eastAsia" w:ascii="宋体" w:hAnsi="宋体" w:cs="宋体"/>
          <w:szCs w:val="24"/>
          <w:lang w:bidi="ar"/>
        </w:rPr>
        <w:t>修改草药审核、医嘱执行，根据医嘱库内的价格进行收费。</w:t>
      </w:r>
    </w:p>
    <w:p>
      <w:pPr>
        <w:pStyle w:val="9"/>
        <w:numPr>
          <w:ilvl w:val="0"/>
          <w:numId w:val="0"/>
        </w:numPr>
        <w:spacing w:before="78" w:beforeLines="25" w:after="78" w:afterLines="25" w:line="377" w:lineRule="auto"/>
        <w:ind w:firstLine="562" w:firstLineChars="200"/>
        <w:jc w:val="left"/>
      </w:pPr>
      <w:r>
        <w:rPr>
          <w:rFonts w:hint="eastAsia"/>
          <w:lang w:val="en-US" w:eastAsia="zh-CN"/>
        </w:rPr>
        <w:t>4.2.10.3</w:t>
      </w:r>
      <w:r>
        <w:t>境外来沪人员门诊医生站改造</w:t>
      </w:r>
    </w:p>
    <w:p>
      <w:pPr>
        <w:spacing w:before="60" w:after="60"/>
        <w:ind w:firstLine="480"/>
      </w:pPr>
      <w:r>
        <w:rPr>
          <w:rFonts w:hint="eastAsia" w:ascii="Times New Roman" w:hAnsi="Times New Roman"/>
        </w:rPr>
        <w:t>支持挂号同步时，获取HIS的患者境外来沪标识及权益编码，并展示患者境外来沪权益；</w:t>
      </w:r>
    </w:p>
    <w:p>
      <w:pPr>
        <w:spacing w:before="60" w:after="60"/>
        <w:ind w:firstLine="480"/>
      </w:pPr>
      <w:r>
        <w:rPr>
          <w:rFonts w:hint="eastAsia" w:ascii="Times New Roman" w:hAnsi="Times New Roman"/>
        </w:rPr>
        <w:t>支持医嘱检索开立、申请单开立时，根据</w:t>
      </w:r>
      <w:r>
        <w:rPr>
          <w:rFonts w:ascii="Times New Roman" w:hAnsi="Times New Roman"/>
        </w:rPr>
        <w:t>权益编码计算对应折扣比例后的金额</w:t>
      </w:r>
      <w:r>
        <w:rPr>
          <w:rFonts w:hint="eastAsia" w:ascii="Times New Roman" w:hAnsi="Times New Roman"/>
        </w:rPr>
        <w:t>；</w:t>
      </w:r>
    </w:p>
    <w:p>
      <w:pPr>
        <w:spacing w:before="60" w:after="60"/>
        <w:ind w:firstLine="480"/>
      </w:pPr>
      <w:r>
        <w:rPr>
          <w:rFonts w:hint="eastAsia" w:ascii="Times New Roman" w:hAnsi="Times New Roman"/>
        </w:rPr>
        <w:t>支持医嘱开立后依据境外来沪人员权益显示调价金额，并落库；</w:t>
      </w:r>
    </w:p>
    <w:p>
      <w:pPr>
        <w:spacing w:before="60" w:after="60"/>
        <w:ind w:firstLine="480"/>
      </w:pPr>
      <w:r>
        <w:rPr>
          <w:rFonts w:hint="eastAsia" w:ascii="Times New Roman" w:hAnsi="Times New Roman"/>
        </w:rPr>
        <w:t>支持境外来沪人员历史就诊查询显示开立时的费用信息；</w:t>
      </w:r>
    </w:p>
    <w:p>
      <w:pPr>
        <w:spacing w:before="60" w:after="60"/>
        <w:ind w:firstLine="480"/>
      </w:pPr>
      <w:r>
        <w:rPr>
          <w:rFonts w:hint="eastAsia" w:ascii="Times New Roman" w:hAnsi="Times New Roman"/>
        </w:rPr>
        <w:t>支持打印单据显示境外来沪来沪患者标识，</w:t>
      </w:r>
      <w:r>
        <w:rPr>
          <w:rFonts w:ascii="Times New Roman" w:hAnsi="Times New Roman"/>
        </w:rPr>
        <w:t>涉及金额的单据均显示</w:t>
      </w:r>
      <w:r>
        <w:rPr>
          <w:rFonts w:hint="eastAsia" w:ascii="Times New Roman" w:hAnsi="Times New Roman"/>
        </w:rPr>
        <w:t>调价后</w:t>
      </w:r>
      <w:r>
        <w:rPr>
          <w:rFonts w:ascii="Times New Roman" w:hAnsi="Times New Roman"/>
        </w:rPr>
        <w:t>的金额</w:t>
      </w:r>
      <w:r>
        <w:rPr>
          <w:rFonts w:hint="eastAsia" w:ascii="Times New Roman" w:hAnsi="Times New Roman"/>
        </w:rPr>
        <w:t>。</w:t>
      </w:r>
    </w:p>
    <w:p>
      <w:pPr>
        <w:pStyle w:val="9"/>
        <w:numPr>
          <w:ilvl w:val="0"/>
          <w:numId w:val="0"/>
        </w:numPr>
        <w:spacing w:before="78" w:beforeLines="25" w:after="78" w:afterLines="25" w:line="377" w:lineRule="auto"/>
        <w:ind w:firstLine="562" w:firstLineChars="200"/>
        <w:jc w:val="left"/>
      </w:pPr>
      <w:r>
        <w:rPr>
          <w:rFonts w:hint="eastAsia"/>
          <w:lang w:val="en-US" w:eastAsia="zh-CN"/>
        </w:rPr>
        <w:t>4.2.10.4</w:t>
      </w:r>
      <w:r>
        <w:t>境外来沪人员医技系统改造</w:t>
      </w:r>
    </w:p>
    <w:p>
      <w:pPr>
        <w:spacing w:before="60" w:after="60"/>
        <w:ind w:firstLine="480"/>
      </w:pPr>
      <w:r>
        <w:rPr>
          <w:rFonts w:hint="eastAsia" w:ascii="Times New Roman" w:hAnsi="Times New Roman"/>
        </w:rPr>
        <w:t>支持检查登记时，增加境外来沪患者标识，并通过接口提供给医技系统；</w:t>
      </w:r>
    </w:p>
    <w:p>
      <w:pPr>
        <w:spacing w:before="60" w:after="60"/>
        <w:ind w:firstLine="480"/>
      </w:pPr>
      <w:r>
        <w:rPr>
          <w:rFonts w:hint="eastAsia" w:ascii="Times New Roman" w:hAnsi="Times New Roman"/>
        </w:rPr>
        <w:t>支持检查费用获取时，显示境外来沪权益价格，并通过接口提供给医技系统；</w:t>
      </w:r>
    </w:p>
    <w:p>
      <w:pPr>
        <w:spacing w:before="60" w:after="60"/>
        <w:ind w:firstLine="480"/>
      </w:pPr>
      <w:r>
        <w:rPr>
          <w:rFonts w:hint="eastAsia" w:ascii="Times New Roman" w:hAnsi="Times New Roman"/>
        </w:rPr>
        <w:t>支持医技费用补收时，判断患者境外来沪身份，按照上游系统提供境外来沪人员权益，计算调价金额。</w:t>
      </w:r>
    </w:p>
    <w:p>
      <w:pPr>
        <w:pStyle w:val="9"/>
        <w:numPr>
          <w:ilvl w:val="0"/>
          <w:numId w:val="0"/>
        </w:numPr>
        <w:spacing w:before="78" w:beforeLines="25" w:after="78" w:afterLines="25" w:line="377" w:lineRule="auto"/>
        <w:ind w:firstLine="562" w:firstLineChars="200"/>
        <w:jc w:val="left"/>
      </w:pPr>
      <w:r>
        <w:rPr>
          <w:rFonts w:hint="eastAsia"/>
          <w:lang w:val="en-US" w:eastAsia="zh-CN"/>
        </w:rPr>
        <w:t>4.2.10.5</w:t>
      </w:r>
      <w:r>
        <w:t>境外来沪人员住院医生站改造</w:t>
      </w:r>
    </w:p>
    <w:p>
      <w:pPr>
        <w:spacing w:before="81" w:after="81"/>
        <w:ind w:firstLine="480"/>
      </w:pPr>
      <w:r>
        <w:rPr>
          <w:rFonts w:hint="eastAsia"/>
        </w:rPr>
        <w:t>病人信息同步时，</w:t>
      </w:r>
      <w:r>
        <w:rPr>
          <w:rFonts w:hint="eastAsia"/>
          <w:lang w:val="en-US" w:eastAsia="zh-CN"/>
        </w:rPr>
        <w:t>支持</w:t>
      </w:r>
      <w:r>
        <w:rPr>
          <w:rFonts w:hint="eastAsia"/>
        </w:rPr>
        <w:t>将患者的境外来沪人员标识及权益编码同步至住院医生之站，床位卡、列表展示境外来沪人员标识。</w:t>
      </w:r>
    </w:p>
    <w:p>
      <w:pPr>
        <w:spacing w:before="81" w:after="81"/>
        <w:ind w:firstLine="480"/>
      </w:pPr>
      <w:r>
        <w:rPr>
          <w:rFonts w:hint="eastAsia"/>
        </w:rPr>
        <w:t>住院医生站切换病人时，</w:t>
      </w:r>
      <w:r>
        <w:rPr>
          <w:rFonts w:hint="eastAsia"/>
          <w:lang w:val="en-US" w:eastAsia="zh-CN"/>
        </w:rPr>
        <w:t>支持</w:t>
      </w:r>
      <w:r>
        <w:rPr>
          <w:rFonts w:hint="eastAsia"/>
        </w:rPr>
        <w:t>根据权益编码重新获取项目单价展示、计算、存储，包含以下内容：</w:t>
      </w:r>
    </w:p>
    <w:p>
      <w:pPr>
        <w:spacing w:before="81" w:after="81"/>
        <w:ind w:firstLine="480"/>
      </w:pPr>
      <w:r>
        <w:t>1</w:t>
      </w:r>
      <w:r>
        <w:rPr>
          <w:rFonts w:hint="eastAsia"/>
        </w:rPr>
        <w:t>）除药品外，项目类价表单价按境外来沪人员加收单价展示（含小项目、临床项目）；</w:t>
      </w:r>
    </w:p>
    <w:p>
      <w:pPr>
        <w:spacing w:before="81" w:after="81"/>
        <w:ind w:firstLine="480"/>
      </w:pPr>
      <w:r>
        <w:t>2</w:t>
      </w:r>
      <w:r>
        <w:rPr>
          <w:rFonts w:hint="eastAsia"/>
        </w:rPr>
        <w:t>）医嘱录入下方显示当前医嘱录入金额，含当前录入所有医嘱价格；</w:t>
      </w:r>
    </w:p>
    <w:p>
      <w:pPr>
        <w:spacing w:before="81" w:after="81"/>
        <w:ind w:firstLine="480"/>
      </w:pPr>
      <w:r>
        <w:t>3</w:t>
      </w:r>
      <w:r>
        <w:rPr>
          <w:rFonts w:hint="eastAsia"/>
        </w:rPr>
        <w:t>）申请单开单界面单价、鼠标悬浮或弹出收费信息界面价格、已开申请单明细金额；</w:t>
      </w:r>
    </w:p>
    <w:p>
      <w:pPr>
        <w:spacing w:before="81" w:after="81"/>
        <w:ind w:firstLine="480"/>
      </w:pPr>
      <w:r>
        <w:t>4</w:t>
      </w:r>
      <w:r>
        <w:rPr>
          <w:rFonts w:hint="eastAsia"/>
        </w:rPr>
        <w:t>）历史申请单显示项目单价及价格；</w:t>
      </w:r>
    </w:p>
    <w:p>
      <w:pPr>
        <w:spacing w:before="81" w:after="81"/>
        <w:ind w:firstLine="480"/>
      </w:pPr>
      <w:r>
        <w:t>5</w:t>
      </w:r>
      <w:r>
        <w:rPr>
          <w:rFonts w:hint="eastAsia"/>
        </w:rPr>
        <w:t>）医嘱表、申请单表记录项目相关单价、金额时，均按照加收单价、金额记录（</w:t>
      </w:r>
      <w:r>
        <w:t>his</w:t>
      </w:r>
      <w:r>
        <w:rPr>
          <w:rFonts w:hint="eastAsia"/>
        </w:rPr>
        <w:t>计算时，需要重新获取金额计费）。</w:t>
      </w:r>
    </w:p>
    <w:p>
      <w:pPr>
        <w:spacing w:before="81" w:after="81"/>
        <w:ind w:firstLine="480"/>
      </w:pPr>
      <w:r>
        <w:rPr>
          <w:rFonts w:hint="eastAsia"/>
        </w:rPr>
        <w:t>境外来沪病人打印单据按照加收价格打印</w:t>
      </w:r>
    </w:p>
    <w:p>
      <w:pPr>
        <w:spacing w:before="81" w:after="81"/>
        <w:ind w:firstLine="480"/>
      </w:pPr>
      <w:r>
        <w:t>1</w:t>
      </w:r>
      <w:r>
        <w:rPr>
          <w:rFonts w:hint="eastAsia"/>
        </w:rPr>
        <w:t>）申请单相关打印均展示加收单价及价格，含申请单打印、合并打印、医嘱右键申请单打印；</w:t>
      </w:r>
    </w:p>
    <w:p>
      <w:pPr>
        <w:spacing w:before="81" w:after="81"/>
        <w:ind w:firstLine="480"/>
      </w:pPr>
      <w:r>
        <w:t>2</w:t>
      </w:r>
      <w:r>
        <w:rPr>
          <w:rFonts w:hint="eastAsia"/>
        </w:rPr>
        <w:t>）治疗项目相关打印展示加收单价及价格，含医嘱右键治疗项目打印。</w:t>
      </w:r>
    </w:p>
    <w:p>
      <w:pPr>
        <w:spacing w:before="81" w:after="81"/>
        <w:ind w:firstLine="480"/>
      </w:pPr>
      <w:r>
        <w:rPr>
          <w:rFonts w:hint="eastAsia"/>
        </w:rPr>
        <w:t>复制医嘱、引用历史医嘱、成套医嘱调用、路径勾选、诊疗包调用、术中医嘱、申请单联动项目、草药代煎费、辩证论治费项目费用均要重新计算。</w:t>
      </w:r>
    </w:p>
    <w:p>
      <w:pPr>
        <w:pStyle w:val="8"/>
        <w:spacing w:before="0" w:after="0"/>
        <w:ind w:left="0" w:firstLine="562"/>
      </w:pPr>
      <w:r>
        <w:t>签约/转诊接口</w:t>
      </w:r>
    </w:p>
    <w:p>
      <w:pPr>
        <w:pStyle w:val="9"/>
        <w:numPr>
          <w:ilvl w:val="0"/>
          <w:numId w:val="0"/>
        </w:numPr>
        <w:spacing w:before="78" w:beforeLines="25" w:after="78" w:afterLines="25" w:line="377" w:lineRule="auto"/>
        <w:ind w:firstLine="562" w:firstLineChars="200"/>
        <w:jc w:val="left"/>
      </w:pPr>
      <w:r>
        <w:rPr>
          <w:rFonts w:hint="eastAsia"/>
          <w:lang w:val="en-US" w:eastAsia="zh-CN"/>
        </w:rPr>
        <w:t>4.2.11.1</w:t>
      </w:r>
      <w:r>
        <w:t>患者标</w:t>
      </w:r>
      <w:r>
        <w:rPr>
          <w:rFonts w:hint="eastAsia"/>
          <w:lang w:val="en-US" w:eastAsia="zh-CN"/>
        </w:rPr>
        <w:t>识</w:t>
      </w:r>
    </w:p>
    <w:p>
      <w:pPr>
        <w:spacing w:before="60" w:after="60"/>
        <w:ind w:firstLine="480"/>
        <w:rPr>
          <w:rFonts w:hint="eastAsia"/>
        </w:rPr>
      </w:pPr>
      <w:r>
        <w:rPr>
          <w:rFonts w:hint="eastAsia"/>
        </w:rPr>
        <w:t>患者到窗口挂号登记，首先刷卡获取患者信息，获取患者信息后，</w:t>
      </w:r>
      <w:r>
        <w:rPr>
          <w:rFonts w:hint="eastAsia"/>
          <w:lang w:val="en-US" w:eastAsia="zh-CN"/>
        </w:rPr>
        <w:t>支持</w:t>
      </w:r>
      <w:r>
        <w:rPr>
          <w:rFonts w:hint="eastAsia"/>
        </w:rPr>
        <w:t>增加调用接口获取患者转诊信息，如果患者存在转诊信息，则保存进新增表中，如果患者在本院存在转诊信息，则提示操作员，操作员选择使用转诊信息后，</w:t>
      </w:r>
      <w:r>
        <w:rPr>
          <w:rFonts w:hint="eastAsia"/>
          <w:lang w:val="en-US" w:eastAsia="zh-CN"/>
        </w:rPr>
        <w:t>支持</w:t>
      </w:r>
      <w:r>
        <w:rPr>
          <w:rFonts w:hint="eastAsia"/>
        </w:rPr>
        <w:t>根据转诊信息进行挂号登记，并且记录下转诊信息，便于后续流转使用。如果患者不存在转诊信息，则增加接口调用获取患者签约信息，并且保存进新增表中，如果患者在本院存在签约，则提示患者的签约医生，由操作员选择是否挂签约医生的号（根据医院医生排班信息处理），如果挂的是签约医生的号，则标记本次挂号记录为签约挂号。</w:t>
      </w:r>
    </w:p>
    <w:p>
      <w:pPr>
        <w:pStyle w:val="2"/>
        <w:rPr>
          <w:rFonts w:hint="eastAsia"/>
          <w:b/>
          <w:sz w:val="28"/>
        </w:rPr>
      </w:pPr>
      <w:r>
        <w:rPr>
          <w:rFonts w:hint="eastAsia"/>
          <w:b/>
          <w:sz w:val="28"/>
          <w:lang w:val="en-US" w:eastAsia="zh-CN"/>
        </w:rPr>
        <w:t xml:space="preserve">4.2.11.2 </w:t>
      </w:r>
      <w:r>
        <w:rPr>
          <w:rFonts w:hint="eastAsia"/>
          <w:b/>
          <w:sz w:val="28"/>
        </w:rPr>
        <w:t>医联工程市级医院门诊号源优先预约</w:t>
      </w:r>
    </w:p>
    <w:p>
      <w:pPr>
        <w:rPr>
          <w:rFonts w:hint="default" w:eastAsia="宋体"/>
          <w:lang w:val="en-US" w:eastAsia="zh-CN"/>
        </w:rPr>
      </w:pPr>
      <w:r>
        <w:rPr>
          <w:rFonts w:hint="eastAsia"/>
          <w:lang w:val="en-US" w:eastAsia="zh-CN"/>
        </w:rPr>
        <w:t>支持市级医院医联工程门诊号源优先预约。</w:t>
      </w:r>
    </w:p>
    <w:p>
      <w:pPr>
        <w:pStyle w:val="9"/>
        <w:numPr>
          <w:ilvl w:val="0"/>
          <w:numId w:val="0"/>
        </w:numPr>
        <w:spacing w:before="78" w:beforeLines="25" w:after="78" w:afterLines="25" w:line="377" w:lineRule="auto"/>
        <w:ind w:firstLine="562" w:firstLineChars="200"/>
        <w:jc w:val="left"/>
      </w:pPr>
      <w:r>
        <w:rPr>
          <w:rFonts w:hint="eastAsia"/>
          <w:lang w:val="en-US" w:eastAsia="zh-CN"/>
        </w:rPr>
        <w:t>4.2.11.3</w:t>
      </w:r>
      <w:r>
        <w:rPr>
          <w:rFonts w:hint="eastAsia"/>
        </w:rPr>
        <w:t>门诊预约</w:t>
      </w:r>
    </w:p>
    <w:p>
      <w:pPr>
        <w:spacing w:before="60" w:after="60"/>
        <w:ind w:firstLine="480"/>
        <w:rPr>
          <w:rFonts w:hint="eastAsia" w:ascii="Times New Roman" w:hAnsi="Times New Roman"/>
        </w:rPr>
      </w:pPr>
      <w:r>
        <w:rPr>
          <w:rFonts w:hint="eastAsia"/>
          <w:lang w:val="en-US" w:eastAsia="zh-CN"/>
        </w:rPr>
        <w:t>支持</w:t>
      </w:r>
      <w:r>
        <w:rPr>
          <w:rFonts w:hint="eastAsia"/>
        </w:rPr>
        <w:t>患者预约时，增加调用签约、转诊接口，查询患者签约、转诊信息，并且根据查询信息进行患者的预约挂号。</w:t>
      </w:r>
    </w:p>
    <w:p>
      <w:pPr>
        <w:pStyle w:val="9"/>
        <w:numPr>
          <w:ilvl w:val="0"/>
          <w:numId w:val="0"/>
        </w:numPr>
        <w:spacing w:before="78" w:beforeLines="25" w:after="78" w:afterLines="25" w:line="377" w:lineRule="auto"/>
        <w:ind w:firstLine="562" w:firstLineChars="200"/>
        <w:jc w:val="left"/>
      </w:pPr>
      <w:r>
        <w:rPr>
          <w:rFonts w:hint="eastAsia"/>
          <w:lang w:val="en-US" w:eastAsia="zh-CN"/>
        </w:rPr>
        <w:t>4.2.11.4</w:t>
      </w:r>
      <w:r>
        <w:rPr>
          <w:rFonts w:hint="eastAsia"/>
        </w:rPr>
        <w:t>分诊叫号</w:t>
      </w:r>
    </w:p>
    <w:p>
      <w:pPr>
        <w:spacing w:before="81" w:after="81"/>
        <w:ind w:firstLine="480"/>
        <w:rPr>
          <w:rFonts w:hint="eastAsia" w:ascii="Times New Roman" w:hAnsi="Times New Roman"/>
        </w:rPr>
      </w:pPr>
      <w:r>
        <w:rPr>
          <w:rFonts w:hint="eastAsia"/>
          <w:lang w:val="en-US" w:eastAsia="zh-CN"/>
        </w:rPr>
        <w:t>支持</w:t>
      </w:r>
      <w:r>
        <w:rPr>
          <w:rFonts w:hint="eastAsia"/>
        </w:rPr>
        <w:t>分诊系统接收门诊挂号信息时，增加获取挂号是否签约挂号或者转诊挂号，如果是签约挂号或者转诊挂号则增加提示患者签约挂号并且优先分诊叫号。</w:t>
      </w:r>
    </w:p>
    <w:p>
      <w:pPr>
        <w:pStyle w:val="9"/>
        <w:numPr>
          <w:ilvl w:val="0"/>
          <w:numId w:val="0"/>
        </w:numPr>
        <w:spacing w:before="78" w:beforeLines="25" w:after="78" w:afterLines="25" w:line="377" w:lineRule="auto"/>
        <w:ind w:firstLine="562" w:firstLineChars="200"/>
        <w:jc w:val="left"/>
        <w:rPr>
          <w:rFonts w:hint="eastAsia" w:eastAsia="宋体"/>
          <w:lang w:val="en-US" w:eastAsia="zh-CN"/>
        </w:rPr>
      </w:pPr>
      <w:r>
        <w:rPr>
          <w:rFonts w:hint="eastAsia"/>
          <w:lang w:val="en-US" w:eastAsia="zh-CN"/>
        </w:rPr>
        <w:t>4.2.11.5</w:t>
      </w:r>
      <w:r>
        <w:t>界面</w:t>
      </w:r>
      <w:r>
        <w:rPr>
          <w:rFonts w:hint="eastAsia"/>
          <w:lang w:val="en-US" w:eastAsia="zh-CN"/>
        </w:rPr>
        <w:t>改造</w:t>
      </w:r>
    </w:p>
    <w:p>
      <w:pPr>
        <w:spacing w:before="60" w:after="60"/>
        <w:ind w:firstLine="480"/>
      </w:pPr>
      <w:r>
        <w:rPr>
          <w:rFonts w:hint="eastAsia"/>
          <w:lang w:val="en-US" w:eastAsia="zh-CN"/>
        </w:rPr>
        <w:t>支持</w:t>
      </w:r>
      <w:r>
        <w:rPr>
          <w:rFonts w:hint="eastAsia"/>
        </w:rPr>
        <w:t>医生站增加提示患者本次挂号是否为签约挂号，如果患者是转诊挂号，则可查询患者转诊信息，显示患者转诊的病例、诊断等相关信息。</w:t>
      </w:r>
    </w:p>
    <w:p>
      <w:pPr>
        <w:pStyle w:val="9"/>
        <w:numPr>
          <w:ilvl w:val="0"/>
          <w:numId w:val="0"/>
        </w:numPr>
        <w:spacing w:before="78" w:beforeLines="25" w:after="78" w:afterLines="25" w:line="377" w:lineRule="auto"/>
        <w:ind w:firstLine="562" w:firstLineChars="200"/>
        <w:jc w:val="left"/>
        <w:rPr>
          <w:rFonts w:hint="default"/>
          <w:lang w:val="en-US" w:eastAsia="zh-CN"/>
        </w:rPr>
      </w:pPr>
      <w:r>
        <w:rPr>
          <w:rFonts w:hint="eastAsia"/>
          <w:lang w:val="en-US" w:eastAsia="zh-CN"/>
        </w:rPr>
        <w:t>4.2.11.6 优化场景</w:t>
      </w:r>
    </w:p>
    <w:p>
      <w:pPr>
        <w:spacing w:before="78" w:beforeLines="25" w:after="78" w:afterLines="25"/>
        <w:ind w:firstLineChars="200"/>
        <w:jc w:val="left"/>
        <w:outlineLvl w:val="9"/>
      </w:pPr>
      <w:r>
        <w:rPr>
          <w:rFonts w:hint="eastAsia"/>
          <w:lang w:val="en-US" w:eastAsia="zh-CN"/>
        </w:rPr>
        <w:t xml:space="preserve">4.2.11.6.1 </w:t>
      </w:r>
      <w:r>
        <w:rPr>
          <w:rFonts w:hint="eastAsia"/>
        </w:rPr>
        <w:t>医技预约</w:t>
      </w:r>
    </w:p>
    <w:p>
      <w:pPr>
        <w:spacing w:before="81" w:after="81"/>
        <w:ind w:firstLine="480"/>
        <w:rPr>
          <w:rFonts w:hint="eastAsia" w:ascii="Times New Roman" w:hAnsi="Times New Roman"/>
        </w:rPr>
      </w:pPr>
      <w:r>
        <w:rPr>
          <w:rFonts w:hint="eastAsia"/>
          <w:lang w:val="en-US" w:eastAsia="zh-CN"/>
        </w:rPr>
        <w:t>支持</w:t>
      </w:r>
      <w:r>
        <w:rPr>
          <w:rFonts w:hint="eastAsia"/>
        </w:rPr>
        <w:t>医技接收门诊就诊信息时，增加获取本次就诊是否签约、转诊，如果是签约、转诊则增加提示患者签约信息并且优先预约。</w:t>
      </w:r>
    </w:p>
    <w:p>
      <w:pPr>
        <w:spacing w:before="78" w:beforeLines="25" w:after="78" w:afterLines="25"/>
        <w:ind w:firstLineChars="200"/>
        <w:jc w:val="left"/>
        <w:outlineLvl w:val="9"/>
        <w:rPr>
          <w:rFonts w:hint="eastAsia"/>
        </w:rPr>
      </w:pPr>
      <w:r>
        <w:rPr>
          <w:rFonts w:hint="eastAsia"/>
          <w:lang w:val="en-US" w:eastAsia="zh-CN"/>
        </w:rPr>
        <w:t xml:space="preserve">4.2.11.6.2 </w:t>
      </w:r>
      <w:r>
        <w:rPr>
          <w:rFonts w:hint="eastAsia"/>
        </w:rPr>
        <w:t>医技叫号</w:t>
      </w:r>
    </w:p>
    <w:p>
      <w:pPr>
        <w:spacing w:before="60" w:after="60"/>
        <w:ind w:firstLine="480"/>
      </w:pPr>
      <w:r>
        <w:rPr>
          <w:rFonts w:hint="eastAsia"/>
          <w:lang w:val="en-US" w:eastAsia="zh-CN"/>
        </w:rPr>
        <w:t>支持</w:t>
      </w:r>
      <w:r>
        <w:rPr>
          <w:rFonts w:hint="eastAsia"/>
        </w:rPr>
        <w:t>医技接收门诊就诊信息时，增加获取本次就诊是否签约、转诊，如果是签约、转诊则增加提示患者签约信息并且优先叫号。</w:t>
      </w:r>
    </w:p>
    <w:p>
      <w:pPr>
        <w:pStyle w:val="8"/>
        <w:spacing w:before="0" w:after="0"/>
        <w:ind w:left="0" w:firstLine="562"/>
      </w:pPr>
      <w:r>
        <w:t>商保理赔管理系统</w:t>
      </w:r>
    </w:p>
    <w:p>
      <w:pPr>
        <w:pStyle w:val="9"/>
        <w:numPr>
          <w:ilvl w:val="0"/>
          <w:numId w:val="0"/>
        </w:numPr>
        <w:spacing w:before="78" w:beforeLines="25" w:after="78" w:afterLines="25" w:line="377" w:lineRule="auto"/>
        <w:ind w:firstLine="562" w:firstLineChars="200"/>
        <w:jc w:val="left"/>
      </w:pPr>
      <w:r>
        <w:rPr>
          <w:rFonts w:hint="eastAsia"/>
          <w:lang w:val="en-US" w:eastAsia="zh-CN"/>
        </w:rPr>
        <w:t>4.2.12.1</w:t>
      </w:r>
      <w:r>
        <w:t>患者</w:t>
      </w:r>
      <w:r>
        <w:rPr>
          <w:rFonts w:hint="eastAsia"/>
        </w:rPr>
        <w:t>应用</w:t>
      </w:r>
    </w:p>
    <w:p>
      <w:pPr>
        <w:spacing w:before="60" w:after="60"/>
        <w:ind w:firstLine="480"/>
        <w:rPr>
          <w:rFonts w:hint="default" w:ascii="Times New Roman" w:hAnsi="Times New Roman" w:eastAsia="宋体"/>
          <w:lang w:val="en-US" w:eastAsia="zh-CN"/>
        </w:rPr>
      </w:pPr>
      <w:r>
        <w:rPr>
          <w:rFonts w:hint="eastAsia" w:ascii="Times New Roman" w:hAnsi="Times New Roman"/>
          <w:b/>
          <w:bCs/>
          <w:lang w:val="en-US" w:eastAsia="zh-CN"/>
        </w:rPr>
        <w:t>患者授权</w:t>
      </w:r>
    </w:p>
    <w:p>
      <w:pPr>
        <w:spacing w:before="60" w:after="60"/>
        <w:ind w:firstLine="480"/>
      </w:pPr>
      <w:r>
        <w:rPr>
          <w:rFonts w:hint="eastAsia" w:ascii="Times New Roman" w:hAnsi="Times New Roman"/>
        </w:rPr>
        <w:t>支持患者签订授权协议，同意就诊信息供保司调用，授权后方可享有商保支付资格。</w:t>
      </w:r>
    </w:p>
    <w:p>
      <w:pPr>
        <w:spacing w:before="60" w:after="60"/>
        <w:ind w:firstLine="480"/>
        <w:rPr>
          <w:rFonts w:hint="eastAsia" w:ascii="Times New Roman" w:hAnsi="Times New Roman"/>
        </w:rPr>
      </w:pPr>
      <w:r>
        <w:rPr>
          <w:rFonts w:hint="eastAsia" w:ascii="Times New Roman" w:hAnsi="Times New Roman"/>
        </w:rPr>
        <w:t>具备线上应用、线下自助机的患者商保支付授权。</w:t>
      </w:r>
    </w:p>
    <w:p>
      <w:pPr>
        <w:pStyle w:val="9"/>
        <w:numPr>
          <w:ilvl w:val="0"/>
          <w:numId w:val="0"/>
        </w:numPr>
        <w:spacing w:before="78" w:beforeLines="25" w:after="78" w:afterLines="25" w:line="377" w:lineRule="auto"/>
        <w:ind w:firstLine="562" w:firstLineChars="200"/>
        <w:jc w:val="left"/>
      </w:pPr>
      <w:r>
        <w:rPr>
          <w:rFonts w:hint="eastAsia"/>
          <w:lang w:val="en-US" w:eastAsia="zh-CN"/>
        </w:rPr>
        <w:t>4.2.12.2</w:t>
      </w:r>
      <w:r>
        <w:rPr>
          <w:rFonts w:hint="eastAsia"/>
        </w:rPr>
        <w:t>管理应用</w:t>
      </w:r>
    </w:p>
    <w:p>
      <w:pPr>
        <w:rPr>
          <w:rFonts w:hint="eastAsia" w:ascii="Times New Roman" w:hAnsi="Times New Roman"/>
          <w:b/>
          <w:bCs/>
          <w:lang w:val="en-US"/>
        </w:rPr>
      </w:pPr>
      <w:r>
        <w:rPr>
          <w:rFonts w:hint="eastAsia" w:ascii="Times New Roman" w:hAnsi="Times New Roman"/>
          <w:b/>
          <w:bCs/>
          <w:lang w:val="en-US"/>
        </w:rPr>
        <w:t>保司管理</w:t>
      </w:r>
    </w:p>
    <w:p>
      <w:pPr>
        <w:rPr>
          <w:rFonts w:hint="eastAsia" w:ascii="Times New Roman" w:hAnsi="Times New Roman"/>
          <w:lang w:val="en-US" w:eastAsia="zh-CN"/>
        </w:rPr>
      </w:pPr>
      <w:r>
        <w:rPr>
          <w:rFonts w:hint="eastAsia" w:ascii="Times New Roman" w:hAnsi="Times New Roman"/>
          <w:lang w:val="en-US" w:eastAsia="zh-CN"/>
        </w:rPr>
        <w:t>支持对接入医院的保司进行管理。</w:t>
      </w:r>
    </w:p>
    <w:p>
      <w:pPr>
        <w:rPr>
          <w:rFonts w:hint="eastAsia" w:ascii="Times New Roman" w:hAnsi="Times New Roman"/>
          <w:lang w:val="en-US" w:eastAsia="zh-CN"/>
        </w:rPr>
      </w:pPr>
      <w:r>
        <w:rPr>
          <w:rFonts w:hint="eastAsia" w:ascii="Times New Roman" w:hAnsi="Times New Roman"/>
          <w:b/>
          <w:bCs/>
          <w:lang w:val="en-US"/>
        </w:rPr>
        <w:t>统计分析</w:t>
      </w:r>
    </w:p>
    <w:p>
      <w:pPr>
        <w:rPr>
          <w:rFonts w:hint="eastAsia" w:ascii="Times New Roman" w:hAnsi="Times New Roman"/>
          <w:lang w:val="en-US" w:eastAsia="zh-CN"/>
        </w:rPr>
      </w:pPr>
      <w:r>
        <w:rPr>
          <w:rFonts w:hint="eastAsia" w:ascii="Times New Roman" w:hAnsi="Times New Roman"/>
          <w:lang w:val="en-US" w:eastAsia="zh-CN"/>
        </w:rPr>
        <w:t>支持交易总览、交易趋势、交易占比、科室多维度数据统计。</w:t>
      </w:r>
    </w:p>
    <w:p>
      <w:pPr>
        <w:rPr>
          <w:rFonts w:hint="eastAsia" w:ascii="Times New Roman" w:hAnsi="Times New Roman"/>
          <w:b/>
          <w:bCs/>
          <w:lang w:val="en-US"/>
        </w:rPr>
      </w:pPr>
      <w:r>
        <w:rPr>
          <w:rFonts w:hint="eastAsia" w:ascii="Times New Roman" w:hAnsi="Times New Roman"/>
          <w:b/>
          <w:bCs/>
          <w:lang w:val="en-US"/>
        </w:rPr>
        <w:t>审计管理</w:t>
      </w:r>
    </w:p>
    <w:p>
      <w:pPr>
        <w:spacing w:before="60" w:after="60"/>
        <w:ind w:firstLine="480"/>
        <w:rPr>
          <w:rFonts w:hint="eastAsia" w:ascii="Times New Roman" w:hAnsi="Times New Roman"/>
        </w:rPr>
      </w:pPr>
      <w:r>
        <w:rPr>
          <w:rFonts w:hint="eastAsia" w:ascii="Times New Roman" w:hAnsi="Times New Roman"/>
          <w:lang w:val="en-US" w:eastAsia="zh-CN"/>
        </w:rPr>
        <w:t>支持提供调阅数据监管，对赔案使用的患者诊疗记录的情况管理；支持对患者授权行为记录进行查询。</w:t>
      </w:r>
    </w:p>
    <w:p>
      <w:pPr>
        <w:pStyle w:val="9"/>
        <w:numPr>
          <w:ilvl w:val="0"/>
          <w:numId w:val="0"/>
        </w:numPr>
        <w:spacing w:before="78" w:beforeLines="25" w:after="78" w:afterLines="25" w:line="377" w:lineRule="auto"/>
        <w:ind w:firstLine="562" w:firstLineChars="200"/>
        <w:jc w:val="left"/>
      </w:pPr>
      <w:r>
        <w:rPr>
          <w:rFonts w:hint="eastAsia"/>
          <w:lang w:val="en-US" w:eastAsia="zh-CN"/>
        </w:rPr>
        <w:t>4.2.12.3</w:t>
      </w:r>
      <w:r>
        <w:rPr>
          <w:rFonts w:hint="eastAsia"/>
        </w:rPr>
        <w:t>支撑服务</w:t>
      </w:r>
    </w:p>
    <w:p>
      <w:pPr>
        <w:rPr>
          <w:rFonts w:hint="eastAsia" w:ascii="Times New Roman" w:hAnsi="Times New Roman" w:eastAsia="宋体"/>
          <w:b/>
          <w:bCs/>
          <w:lang w:val="en-US"/>
        </w:rPr>
      </w:pPr>
      <w:r>
        <w:rPr>
          <w:rFonts w:hint="default" w:ascii="Times New Roman" w:hAnsi="Times New Roman" w:eastAsia="宋体"/>
          <w:b/>
          <w:bCs/>
          <w:lang w:val="en-US"/>
        </w:rPr>
        <w:t>认证服务</w:t>
      </w:r>
    </w:p>
    <w:p>
      <w:pPr>
        <w:spacing w:before="60" w:after="60"/>
        <w:ind w:firstLine="480"/>
      </w:pPr>
      <w:r>
        <w:rPr>
          <w:rFonts w:hint="eastAsia"/>
          <w:lang w:val="en-US" w:eastAsia="zh-CN"/>
        </w:rPr>
        <w:t>支持</w:t>
      </w:r>
      <w:r>
        <w:t>HIS</w:t>
      </w:r>
      <w:r>
        <w:rPr>
          <w:rFonts w:hint="eastAsia"/>
        </w:rPr>
        <w:t>通过商保平台查询患者商保身份，商保平台调用保司患者查询接口，查询患者是否为保司客户。</w:t>
      </w:r>
    </w:p>
    <w:p>
      <w:pPr>
        <w:rPr>
          <w:rFonts w:hint="eastAsia" w:ascii="Times New Roman" w:hAnsi="Times New Roman" w:eastAsia="宋体"/>
          <w:b/>
          <w:bCs/>
          <w:lang w:val="en-US"/>
        </w:rPr>
      </w:pPr>
      <w:r>
        <w:rPr>
          <w:rFonts w:hint="default" w:ascii="Times New Roman" w:hAnsi="Times New Roman" w:eastAsia="宋体"/>
          <w:b/>
          <w:bCs/>
          <w:lang w:val="en-US"/>
        </w:rPr>
        <w:t>授权服务</w:t>
      </w:r>
    </w:p>
    <w:p>
      <w:pPr>
        <w:spacing w:before="60" w:after="60"/>
        <w:ind w:firstLine="480"/>
      </w:pPr>
      <w:r>
        <w:rPr>
          <w:rFonts w:hint="eastAsia"/>
        </w:rPr>
        <w:t>为保障患者数据安全，</w:t>
      </w:r>
      <w:r>
        <w:rPr>
          <w:rFonts w:hint="eastAsia"/>
          <w:lang w:val="en-US" w:eastAsia="zh-CN"/>
        </w:rPr>
        <w:t>支持</w:t>
      </w:r>
      <w:r>
        <w:rPr>
          <w:rFonts w:hint="eastAsia"/>
        </w:rPr>
        <w:t>患者授权医院将本人就诊数据传输给保司做理赔使用。提供存储患者授权书功能，医院可随时查询。</w:t>
      </w:r>
    </w:p>
    <w:p>
      <w:pPr>
        <w:rPr>
          <w:rFonts w:hint="eastAsia" w:ascii="Times New Roman" w:hAnsi="Times New Roman" w:eastAsia="宋体"/>
          <w:b/>
          <w:bCs/>
          <w:lang w:val="en-US"/>
        </w:rPr>
      </w:pPr>
      <w:r>
        <w:rPr>
          <w:rFonts w:hint="default" w:ascii="Times New Roman" w:hAnsi="Times New Roman" w:eastAsia="宋体"/>
          <w:b/>
          <w:bCs/>
          <w:lang w:val="en-US"/>
        </w:rPr>
        <w:t>诊疗信息查询服务</w:t>
      </w:r>
    </w:p>
    <w:p>
      <w:pPr>
        <w:spacing w:before="81" w:after="81"/>
        <w:ind w:firstLine="480"/>
        <w:rPr>
          <w:rFonts w:hint="eastAsia" w:eastAsia="宋体"/>
          <w:lang w:eastAsia="zh-CN"/>
        </w:rPr>
      </w:pPr>
      <w:r>
        <w:rPr>
          <w:rFonts w:hint="eastAsia"/>
          <w:lang w:val="en-US" w:eastAsia="zh-CN"/>
        </w:rPr>
        <w:t>支持</w:t>
      </w:r>
      <w:r>
        <w:rPr>
          <w:rFonts w:hint="eastAsia"/>
        </w:rPr>
        <w:t>提供商保门诊查询、商保住院查询、商保病例查询、商保报告查询、医院基础信息信息查询服务。可在开展直赔、快赔业务时按需使用。</w:t>
      </w:r>
    </w:p>
    <w:p>
      <w:pPr>
        <w:rPr>
          <w:rFonts w:hint="eastAsia" w:ascii="Times New Roman" w:hAnsi="Times New Roman" w:eastAsia="宋体"/>
          <w:b/>
          <w:bCs/>
          <w:lang w:val="en-US"/>
        </w:rPr>
      </w:pPr>
      <w:r>
        <w:rPr>
          <w:rFonts w:hint="default" w:ascii="Times New Roman" w:hAnsi="Times New Roman" w:eastAsia="宋体"/>
          <w:b/>
          <w:bCs/>
          <w:lang w:val="en-US"/>
        </w:rPr>
        <w:t>直赔结算服务</w:t>
      </w:r>
    </w:p>
    <w:p>
      <w:pPr>
        <w:spacing w:before="60" w:after="60"/>
        <w:ind w:firstLine="480"/>
      </w:pPr>
      <w:r>
        <w:rPr>
          <w:rFonts w:hint="eastAsia" w:ascii="Times New Roman" w:hAnsi="Times New Roman"/>
        </w:rPr>
        <w:t>具备患者直赔登记通知、患者直赔预算、患者直赔结算确认、患者直赔结算撤销、商保直赔账单下载功能。</w:t>
      </w:r>
    </w:p>
    <w:p>
      <w:pPr>
        <w:pStyle w:val="9"/>
        <w:numPr>
          <w:ilvl w:val="0"/>
          <w:numId w:val="0"/>
        </w:numPr>
        <w:spacing w:before="78" w:beforeLines="25" w:after="78" w:afterLines="25" w:line="377" w:lineRule="auto"/>
        <w:ind w:firstLine="562" w:firstLineChars="200"/>
        <w:jc w:val="left"/>
      </w:pPr>
      <w:r>
        <w:rPr>
          <w:rFonts w:hint="eastAsia"/>
          <w:lang w:val="en-US" w:eastAsia="zh-CN"/>
        </w:rPr>
        <w:t>4.2.12.4</w:t>
      </w:r>
      <w:r>
        <w:rPr>
          <w:rFonts w:hint="eastAsia"/>
        </w:rPr>
        <w:t>接入服务</w:t>
      </w:r>
    </w:p>
    <w:p>
      <w:pPr>
        <w:rPr>
          <w:rFonts w:hint="default" w:ascii="Times New Roman" w:hAnsi="Times New Roman" w:eastAsia="宋体"/>
          <w:b/>
          <w:bCs/>
          <w:lang w:val="en-US"/>
        </w:rPr>
      </w:pPr>
      <w:r>
        <w:rPr>
          <w:rFonts w:hint="default" w:ascii="Times New Roman" w:hAnsi="Times New Roman" w:eastAsia="宋体"/>
          <w:b/>
          <w:bCs/>
          <w:lang w:val="en-US"/>
        </w:rPr>
        <w:t>商保“一站式结算”管理平台接入</w:t>
      </w:r>
    </w:p>
    <w:p>
      <w:pPr>
        <w:spacing w:before="60" w:after="60"/>
        <w:ind w:firstLine="480"/>
        <w:rPr>
          <w:rFonts w:hint="eastAsia" w:ascii="Times New Roman" w:hAnsi="Times New Roman"/>
        </w:rPr>
      </w:pPr>
      <w:r>
        <w:rPr>
          <w:rFonts w:hint="eastAsia" w:ascii="Times New Roman" w:hAnsi="Times New Roman"/>
        </w:rPr>
        <w:t>按照商保“一站式结算”管理平台的监管要求，为管理平台提供数据服务支撑。</w:t>
      </w:r>
    </w:p>
    <w:p>
      <w:pPr>
        <w:rPr>
          <w:rFonts w:hint="eastAsia" w:ascii="Times New Roman" w:hAnsi="Times New Roman"/>
          <w:lang w:val="en-US"/>
        </w:rPr>
      </w:pPr>
      <w:r>
        <w:rPr>
          <w:rFonts w:hint="eastAsia" w:ascii="Times New Roman" w:hAnsi="Times New Roman"/>
          <w:b/>
          <w:bCs/>
          <w:lang w:val="en-US"/>
        </w:rPr>
        <w:t>保司接入</w:t>
      </w:r>
    </w:p>
    <w:p>
      <w:pPr>
        <w:rPr>
          <w:rFonts w:hint="default" w:ascii="Times New Roman" w:hAnsi="Times New Roman"/>
          <w:lang w:val="en-US"/>
        </w:rPr>
      </w:pPr>
      <w:r>
        <w:rPr>
          <w:rFonts w:hint="eastAsia" w:ascii="Times New Roman" w:hAnsi="Times New Roman"/>
          <w:lang w:val="en-US"/>
        </w:rPr>
        <w:t>支持</w:t>
      </w:r>
      <w:r>
        <w:rPr>
          <w:rFonts w:hint="eastAsia" w:ascii="Times New Roman" w:hAnsi="Times New Roman"/>
          <w:lang w:val="en-US" w:eastAsia="zh-CN"/>
        </w:rPr>
        <w:t>与1家</w:t>
      </w:r>
      <w:r>
        <w:rPr>
          <w:rFonts w:hint="eastAsia" w:ascii="Times New Roman" w:hAnsi="Times New Roman"/>
          <w:lang w:val="en-US"/>
        </w:rPr>
        <w:t>保险公司/第三方商保平台与医院商保理赔平台对接，为保险公司/第三方商保平台提供核保所需数据，支撑院内商保业务。</w:t>
      </w:r>
    </w:p>
    <w:p>
      <w:pPr>
        <w:pStyle w:val="9"/>
        <w:numPr>
          <w:ilvl w:val="0"/>
          <w:numId w:val="0"/>
        </w:numPr>
        <w:spacing w:before="78" w:beforeLines="25" w:after="78" w:afterLines="25" w:line="377" w:lineRule="auto"/>
        <w:ind w:firstLine="562" w:firstLineChars="200"/>
        <w:jc w:val="left"/>
      </w:pPr>
      <w:r>
        <w:rPr>
          <w:rFonts w:hint="eastAsia"/>
          <w:lang w:val="en-US" w:eastAsia="zh-CN"/>
        </w:rPr>
        <w:t>4.2.12.5</w:t>
      </w:r>
      <w:r>
        <w:t>对账服务</w:t>
      </w:r>
    </w:p>
    <w:p>
      <w:pPr>
        <w:rPr>
          <w:rFonts w:hint="default" w:ascii="Times New Roman" w:hAnsi="Times New Roman"/>
          <w:b/>
          <w:bCs/>
          <w:lang w:val="en-US" w:eastAsia="zh-CN"/>
        </w:rPr>
      </w:pPr>
      <w:r>
        <w:rPr>
          <w:rFonts w:hint="eastAsia" w:ascii="Times New Roman" w:hAnsi="Times New Roman"/>
          <w:b/>
          <w:bCs/>
          <w:lang w:val="en-US" w:eastAsia="zh-CN"/>
        </w:rPr>
        <w:t>商保直赔对账</w:t>
      </w:r>
    </w:p>
    <w:p>
      <w:pPr>
        <w:spacing w:before="81" w:after="81"/>
        <w:ind w:firstLine="480"/>
      </w:pPr>
      <w:r>
        <w:rPr>
          <w:rFonts w:hint="eastAsia"/>
          <w:lang w:val="en-US" w:eastAsia="zh-CN"/>
        </w:rPr>
        <w:t>支持</w:t>
      </w:r>
      <w:r>
        <w:rPr>
          <w:rFonts w:hint="eastAsia"/>
        </w:rPr>
        <w:t>提供商保直赔对账服务，为医院定期进行直赔对账。</w:t>
      </w:r>
    </w:p>
    <w:p>
      <w:pPr>
        <w:pStyle w:val="8"/>
        <w:spacing w:before="0" w:after="0"/>
        <w:ind w:left="0" w:firstLine="562"/>
      </w:pPr>
      <w:r>
        <w:t>专病队列数据库开放共享</w:t>
      </w:r>
    </w:p>
    <w:p>
      <w:pPr>
        <w:pStyle w:val="9"/>
        <w:numPr>
          <w:ilvl w:val="0"/>
          <w:numId w:val="0"/>
        </w:numPr>
        <w:spacing w:before="78" w:beforeLines="25" w:after="78" w:afterLines="25" w:line="377" w:lineRule="auto"/>
        <w:ind w:firstLine="562" w:firstLineChars="200"/>
        <w:jc w:val="left"/>
      </w:pPr>
      <w:bookmarkStart w:id="3" w:name="_Toc20091"/>
      <w:r>
        <w:rPr>
          <w:rFonts w:hint="eastAsia"/>
          <w:lang w:val="en-US" w:eastAsia="zh-CN"/>
        </w:rPr>
        <w:t>4.2.13.1</w:t>
      </w:r>
      <w:r>
        <w:rPr>
          <w:rFonts w:hint="eastAsia"/>
        </w:rPr>
        <w:t>专病数据集成</w:t>
      </w:r>
    </w:p>
    <w:bookmarkEnd w:id="3"/>
    <w:p>
      <w:pPr>
        <w:spacing w:before="60" w:after="60"/>
        <w:ind w:firstLine="482"/>
        <w:rPr>
          <w:rFonts w:hint="default" w:ascii="Times New Roman" w:hAnsi="Times New Roman"/>
          <w:b/>
          <w:bCs/>
          <w:lang w:val="en-US" w:eastAsia="zh-CN"/>
        </w:rPr>
      </w:pPr>
      <w:r>
        <w:rPr>
          <w:rFonts w:hint="eastAsia" w:ascii="Times New Roman" w:hAnsi="Times New Roman"/>
          <w:b/>
          <w:bCs/>
          <w:lang w:val="en-US" w:eastAsia="zh-CN"/>
        </w:rPr>
        <w:t>院内数据采集</w:t>
      </w:r>
    </w:p>
    <w:p>
      <w:pPr>
        <w:spacing w:before="81" w:after="81"/>
        <w:ind w:firstLine="480"/>
      </w:pPr>
      <w:r>
        <w:rPr>
          <w:rFonts w:hint="eastAsia"/>
          <w:lang w:val="en-US" w:eastAsia="zh-CN"/>
        </w:rPr>
        <w:t>支持</w:t>
      </w:r>
      <w:r>
        <w:rPr>
          <w:rFonts w:hint="eastAsia"/>
        </w:rPr>
        <w:t>根据采集规范和院内数据模型，设计和开发出采集作业。</w:t>
      </w:r>
    </w:p>
    <w:p>
      <w:pPr>
        <w:spacing w:before="81" w:after="81"/>
        <w:ind w:firstLine="480"/>
      </w:pPr>
      <w:r>
        <w:rPr>
          <w:rFonts w:hint="eastAsia"/>
        </w:rPr>
        <w:t>数据集成作业支持按多个分类分组进行管理。数据集成流程的可视化编排，支持串行并行等设置，数据同步目标、源、映射关系等配置，支持在线调试，展示调试结果和错误信息。</w:t>
      </w:r>
    </w:p>
    <w:p>
      <w:pPr>
        <w:spacing w:before="81" w:after="81"/>
        <w:ind w:firstLine="480"/>
      </w:pPr>
      <w:r>
        <w:rPr>
          <w:rFonts w:hint="eastAsia"/>
        </w:rPr>
        <w:t>调度概览</w:t>
      </w:r>
      <w:r>
        <w:rPr>
          <w:rFonts w:hint="eastAsia"/>
          <w:lang w:val="en-US" w:eastAsia="zh-CN"/>
        </w:rPr>
        <w:t>支持</w:t>
      </w:r>
      <w:r>
        <w:rPr>
          <w:rFonts w:hint="eastAsia"/>
        </w:rPr>
        <w:t>任务数统计、集成实时数据监控、近七日周期任务统计和近三十日任务时长统计几大模块。</w:t>
      </w:r>
    </w:p>
    <w:p>
      <w:pPr>
        <w:spacing w:before="81" w:after="81"/>
        <w:ind w:firstLine="480"/>
      </w:pPr>
      <w:r>
        <w:rPr>
          <w:rFonts w:hint="eastAsia"/>
        </w:rPr>
        <w:t>数据源管理为</w:t>
      </w:r>
      <w:r>
        <w:t>源库和目标库的管理功能，支持多种数据库，同时支持点击“连接”按钮测试当前连接是否可用。</w:t>
      </w:r>
    </w:p>
    <w:p>
      <w:pPr>
        <w:spacing w:before="81" w:after="81"/>
        <w:ind w:firstLine="480"/>
      </w:pPr>
      <w:r>
        <w:rPr>
          <w:rFonts w:hint="eastAsia"/>
        </w:rPr>
        <w:t>集群管理</w:t>
      </w:r>
      <w:r>
        <w:t>为数据集成提供采集集群、计算集群的管理功能。</w:t>
      </w:r>
    </w:p>
    <w:p>
      <w:pPr>
        <w:spacing w:before="60" w:after="60"/>
        <w:ind w:firstLine="482"/>
        <w:rPr>
          <w:b/>
          <w:bCs/>
        </w:rPr>
      </w:pPr>
      <w:bookmarkStart w:id="4" w:name="_Toc31943"/>
      <w:r>
        <w:rPr>
          <w:rFonts w:hint="eastAsia"/>
          <w:b/>
          <w:bCs/>
        </w:rPr>
        <w:t>数据质控</w:t>
      </w:r>
      <w:bookmarkEnd w:id="4"/>
    </w:p>
    <w:p>
      <w:pPr>
        <w:spacing w:before="81" w:after="81"/>
        <w:ind w:firstLine="480"/>
      </w:pPr>
      <w:r>
        <w:rPr>
          <w:rFonts w:hint="eastAsia"/>
          <w:lang w:val="en-US" w:eastAsia="zh-CN"/>
        </w:rPr>
        <w:t>支持</w:t>
      </w:r>
      <w:r>
        <w:rPr>
          <w:rFonts w:hint="eastAsia"/>
        </w:rPr>
        <w:t>本院数据上报前对专病队列数据进行质量检查，包括完整性、规范性、一致性和及时性四个方面。并展示质控结果，便于了解上报前数据情况。</w:t>
      </w:r>
    </w:p>
    <w:p>
      <w:pPr>
        <w:pStyle w:val="9"/>
        <w:numPr>
          <w:ilvl w:val="-1"/>
          <w:numId w:val="0"/>
        </w:numPr>
        <w:spacing w:before="78" w:beforeLines="25" w:after="78" w:afterLines="25" w:line="377" w:lineRule="auto"/>
        <w:ind w:left="0" w:firstLine="0" w:firstLineChars="0"/>
        <w:jc w:val="left"/>
      </w:pPr>
      <w:bookmarkStart w:id="5" w:name="_Toc4126"/>
      <w:r>
        <w:rPr>
          <w:rFonts w:hint="eastAsia"/>
          <w:lang w:val="en-US" w:eastAsia="zh-CN"/>
        </w:rPr>
        <w:t>4.2.13.2</w:t>
      </w:r>
      <w:r>
        <w:rPr>
          <w:rFonts w:hint="eastAsia"/>
        </w:rPr>
        <w:t>数据上报</w:t>
      </w:r>
      <w:bookmarkEnd w:id="5"/>
    </w:p>
    <w:p>
      <w:pPr>
        <w:spacing w:before="81" w:after="81"/>
        <w:ind w:firstLine="480"/>
      </w:pPr>
      <w:r>
        <w:rPr>
          <w:rFonts w:hint="eastAsia"/>
          <w:lang w:val="en-US" w:eastAsia="zh-CN"/>
        </w:rPr>
        <w:t>支持</w:t>
      </w:r>
      <w:r>
        <w:rPr>
          <w:rFonts w:hint="eastAsia"/>
        </w:rPr>
        <w:t>数据上报配置</w:t>
      </w:r>
      <w:r>
        <w:t>根据数据采集规范的指定通道、时间要求上传。</w:t>
      </w:r>
    </w:p>
    <w:p>
      <w:pPr>
        <w:spacing w:before="81" w:after="81"/>
        <w:ind w:firstLine="480"/>
        <w:rPr>
          <w:rFonts w:hint="eastAsia" w:ascii="Times New Roman" w:hAnsi="Times New Roman"/>
        </w:rPr>
      </w:pPr>
      <w:r>
        <w:rPr>
          <w:rFonts w:hint="eastAsia"/>
        </w:rPr>
        <w:t>支持对作业</w:t>
      </w:r>
      <w:r>
        <w:t>执行操作，上报记录内容查看，异常状态标识。支持数据上传情况按照时间维度统计上传记录数及相关异常。</w:t>
      </w:r>
    </w:p>
    <w:p>
      <w:pPr>
        <w:pStyle w:val="9"/>
        <w:numPr>
          <w:ilvl w:val="-1"/>
          <w:numId w:val="0"/>
        </w:numPr>
        <w:spacing w:before="78" w:beforeLines="25" w:after="78" w:afterLines="25" w:line="377" w:lineRule="auto"/>
        <w:ind w:left="0" w:firstLine="0" w:firstLineChars="0"/>
        <w:jc w:val="left"/>
        <w:rPr>
          <w:rFonts w:hint="default" w:eastAsia="宋体" w:asciiTheme="minorHAnsi" w:hAnsiTheme="minorHAnsi"/>
          <w:b/>
          <w:bCs/>
          <w:lang w:val="en-US" w:eastAsia="zh-CN"/>
        </w:rPr>
      </w:pPr>
      <w:r>
        <w:rPr>
          <w:rFonts w:hint="eastAsia"/>
          <w:lang w:val="en-US" w:eastAsia="zh-CN"/>
        </w:rPr>
        <w:t>4.2.13.3</w:t>
      </w:r>
      <w:r>
        <w:rPr>
          <w:rFonts w:hint="eastAsia" w:eastAsia="宋体"/>
          <w:b/>
          <w:bCs/>
          <w:lang w:val="en-US" w:eastAsia="zh-CN"/>
        </w:rPr>
        <w:t>院内</w:t>
      </w:r>
      <w:r>
        <w:rPr>
          <w:rFonts w:hint="eastAsia" w:eastAsia="宋体" w:asciiTheme="minorHAnsi" w:hAnsiTheme="minorHAnsi"/>
          <w:b/>
          <w:bCs/>
          <w:lang w:val="en-US" w:eastAsia="zh-CN"/>
        </w:rPr>
        <w:t>专病</w:t>
      </w:r>
      <w:r>
        <w:rPr>
          <w:rFonts w:hint="eastAsia" w:eastAsia="宋体"/>
          <w:b/>
          <w:bCs/>
          <w:lang w:val="en-US" w:eastAsia="zh-CN"/>
        </w:rPr>
        <w:t>队</w:t>
      </w:r>
      <w:r>
        <w:rPr>
          <w:rFonts w:hint="eastAsia" w:eastAsia="宋体" w:asciiTheme="minorHAnsi" w:hAnsiTheme="minorHAnsi"/>
          <w:b/>
          <w:bCs/>
          <w:lang w:val="en-US" w:eastAsia="zh-CN"/>
        </w:rPr>
        <w:t>列管理</w:t>
      </w:r>
    </w:p>
    <w:p>
      <w:pPr>
        <w:spacing w:before="60" w:after="60"/>
        <w:ind w:firstLine="482"/>
        <w:rPr>
          <w:rFonts w:hint="eastAsia" w:ascii="Times New Roman" w:hAnsi="Times New Roman" w:eastAsia="宋体"/>
          <w:b/>
          <w:bCs/>
        </w:rPr>
      </w:pPr>
      <w:bookmarkStart w:id="6" w:name="_Toc11362"/>
      <w:r>
        <w:rPr>
          <w:rFonts w:hint="eastAsia" w:ascii="Times New Roman" w:hAnsi="Times New Roman" w:eastAsia="宋体"/>
          <w:b/>
          <w:bCs/>
        </w:rPr>
        <w:t>模型管理</w:t>
      </w:r>
      <w:bookmarkEnd w:id="6"/>
    </w:p>
    <w:p>
      <w:pPr>
        <w:spacing w:before="60" w:after="60"/>
        <w:ind w:firstLine="480"/>
      </w:pPr>
      <w:r>
        <w:rPr>
          <w:rFonts w:hint="eastAsia"/>
        </w:rPr>
        <w:t>院内专病队列模型同步</w:t>
      </w:r>
      <w:r>
        <w:t>支持接收中心端下发的专病队列及模型信息。</w:t>
      </w:r>
    </w:p>
    <w:p>
      <w:pPr>
        <w:spacing w:before="60" w:after="60"/>
        <w:ind w:firstLine="480"/>
      </w:pPr>
      <w:r>
        <w:rPr>
          <w:rFonts w:hint="eastAsia"/>
          <w:lang w:val="en-US" w:eastAsia="zh-CN"/>
        </w:rPr>
        <w:t>支持</w:t>
      </w:r>
      <w:r>
        <w:t>按照各专病队列的业务模型信息查询。</w:t>
      </w:r>
    </w:p>
    <w:p>
      <w:pPr>
        <w:spacing w:before="60" w:after="60"/>
        <w:ind w:firstLine="480"/>
      </w:pPr>
      <w:r>
        <w:rPr>
          <w:rFonts w:hint="eastAsia"/>
          <w:lang w:val="en-US" w:eastAsia="zh-CN"/>
        </w:rPr>
        <w:t>支持</w:t>
      </w:r>
      <w:r>
        <w:t>根据专病队列的业务模型，创建数据模型，建立专病数据中心。</w:t>
      </w:r>
    </w:p>
    <w:p>
      <w:pPr>
        <w:spacing w:before="60" w:after="60"/>
        <w:ind w:firstLine="482"/>
        <w:rPr>
          <w:rFonts w:hint="eastAsia" w:ascii="Times New Roman" w:hAnsi="Times New Roman" w:eastAsia="宋体"/>
          <w:b/>
          <w:bCs/>
        </w:rPr>
      </w:pPr>
      <w:bookmarkStart w:id="7" w:name="_Toc29169"/>
      <w:r>
        <w:rPr>
          <w:rFonts w:hint="eastAsia" w:ascii="Times New Roman" w:hAnsi="Times New Roman" w:eastAsia="宋体"/>
          <w:b/>
          <w:bCs/>
        </w:rPr>
        <w:t>数据管理</w:t>
      </w:r>
      <w:bookmarkEnd w:id="7"/>
    </w:p>
    <w:p>
      <w:pPr>
        <w:spacing w:before="81" w:after="81"/>
        <w:ind w:firstLine="480"/>
      </w:pPr>
      <w:r>
        <w:rPr>
          <w:rFonts w:hint="eastAsia"/>
          <w:lang w:val="en-US" w:eastAsia="zh-CN"/>
        </w:rPr>
        <w:t>支持</w:t>
      </w:r>
      <w:r>
        <w:rPr>
          <w:rFonts w:hint="eastAsia"/>
        </w:rPr>
        <w:t>院内专病队列总览</w:t>
      </w:r>
      <w:r>
        <w:t>展示本院涉及的专病队列多中心数据情况，包括本院专病库的数量、入组患者数、入组数据量、数据更新时间、学术成果等相关内容。</w:t>
      </w:r>
      <w:r>
        <w:rPr>
          <w:rFonts w:hint="eastAsia"/>
        </w:rPr>
        <w:t>以卡片形式展示队列信息，包括专病名称、入组患者数等，提供队列的搜索功能。</w:t>
      </w:r>
    </w:p>
    <w:p>
      <w:pPr>
        <w:spacing w:before="81" w:after="81"/>
        <w:ind w:firstLine="480"/>
      </w:pPr>
      <w:r>
        <w:rPr>
          <w:rFonts w:hint="eastAsia"/>
        </w:rPr>
        <w:t>院内专病队列明细</w:t>
      </w:r>
      <w:r>
        <w:t>支持本院专病队列数据以数据表资源的方式展示各专病队列的人口学、就诊记录、检查、检验、手术、治疗、用药、随访等相关详细信息。支持根据用户的数据权限配置，展示权限内数据集、数据元、数据记录数等。</w:t>
      </w:r>
    </w:p>
    <w:p>
      <w:pPr>
        <w:spacing w:before="81" w:after="81"/>
        <w:ind w:firstLine="480"/>
        <w:rPr>
          <w:color w:val="auto"/>
        </w:rPr>
      </w:pPr>
      <w:r>
        <w:rPr>
          <w:color w:val="auto"/>
        </w:rPr>
        <w:t>支持脱敏、加密后的数据展示。</w:t>
      </w:r>
    </w:p>
    <w:p>
      <w:pPr>
        <w:rPr>
          <w:rFonts w:hint="default" w:ascii="Times New Roman" w:hAnsi="Times New Roman"/>
          <w:color w:val="auto"/>
          <w:lang w:val="en-US" w:eastAsia="zh-CN"/>
        </w:rPr>
      </w:pPr>
      <w:r>
        <w:rPr>
          <w:rFonts w:hint="eastAsia"/>
          <w:color w:val="auto"/>
          <w:lang w:val="en-US" w:eastAsia="zh-CN"/>
        </w:rPr>
        <w:t>实现与医院在用的科研大数据平台系统实现对接。</w:t>
      </w:r>
    </w:p>
    <w:p>
      <w:pPr>
        <w:pStyle w:val="9"/>
        <w:numPr>
          <w:ilvl w:val="-1"/>
          <w:numId w:val="0"/>
        </w:numPr>
        <w:spacing w:before="78" w:beforeLines="25" w:after="78" w:afterLines="25" w:line="377" w:lineRule="auto"/>
        <w:ind w:left="0" w:firstLine="0" w:firstLineChars="0"/>
        <w:jc w:val="left"/>
        <w:rPr>
          <w:rFonts w:hint="default" w:eastAsia="宋体" w:asciiTheme="minorHAnsi" w:hAnsiTheme="minorHAnsi"/>
          <w:b/>
          <w:bCs/>
          <w:lang w:val="en-US" w:eastAsia="zh-CN"/>
        </w:rPr>
      </w:pPr>
      <w:r>
        <w:rPr>
          <w:rFonts w:hint="eastAsia"/>
          <w:lang w:val="en-US" w:eastAsia="zh-CN"/>
        </w:rPr>
        <w:t>4.2.13.4</w:t>
      </w:r>
      <w:r>
        <w:rPr>
          <w:rFonts w:hint="eastAsia" w:eastAsia="宋体" w:asciiTheme="minorHAnsi" w:hAnsiTheme="minorHAnsi"/>
          <w:b/>
          <w:bCs/>
          <w:lang w:val="en-US" w:eastAsia="zh-CN"/>
        </w:rPr>
        <w:t>安全平台管理</w:t>
      </w:r>
    </w:p>
    <w:p>
      <w:pPr>
        <w:spacing w:before="60" w:after="60"/>
        <w:ind w:firstLine="482"/>
        <w:rPr>
          <w:rFonts w:hint="eastAsia" w:ascii="Times New Roman" w:hAnsi="Times New Roman" w:eastAsia="宋体"/>
          <w:b/>
          <w:bCs/>
        </w:rPr>
      </w:pPr>
      <w:bookmarkStart w:id="8" w:name="_Toc23184"/>
      <w:r>
        <w:rPr>
          <w:rFonts w:hint="eastAsia" w:ascii="Times New Roman" w:hAnsi="Times New Roman" w:eastAsia="宋体"/>
          <w:b/>
          <w:bCs/>
        </w:rPr>
        <w:t>数据权限管理</w:t>
      </w:r>
      <w:bookmarkEnd w:id="8"/>
    </w:p>
    <w:p>
      <w:pPr>
        <w:spacing w:before="81" w:after="81"/>
        <w:ind w:firstLine="480"/>
      </w:pPr>
      <w:r>
        <w:rPr>
          <w:rFonts w:hint="eastAsia"/>
        </w:rPr>
        <w:t>专病权限配置</w:t>
      </w:r>
      <w:r>
        <w:t>支持本院用户和角色的专病权限设置。支持权限的动态调整，提供权限的分配和回收功能。</w:t>
      </w:r>
    </w:p>
    <w:p>
      <w:pPr>
        <w:spacing w:before="81" w:after="81"/>
        <w:ind w:firstLine="480"/>
      </w:pPr>
      <w:r>
        <w:rPr>
          <w:rFonts w:hint="eastAsia"/>
        </w:rPr>
        <w:t>沙箱权限配置</w:t>
      </w:r>
      <w:r>
        <w:t>支持本院用户可查看的数据集、数据元、数据记录数权限配置等。</w:t>
      </w:r>
    </w:p>
    <w:p>
      <w:pPr>
        <w:spacing w:before="60" w:after="60"/>
        <w:ind w:firstLine="482"/>
        <w:rPr>
          <w:rFonts w:hint="eastAsia" w:ascii="Times New Roman" w:hAnsi="Times New Roman" w:eastAsia="宋体"/>
          <w:b/>
          <w:bCs/>
        </w:rPr>
      </w:pPr>
      <w:bookmarkStart w:id="9" w:name="_Toc11091"/>
      <w:r>
        <w:rPr>
          <w:rFonts w:hint="eastAsia" w:ascii="Times New Roman" w:hAnsi="Times New Roman" w:eastAsia="宋体"/>
          <w:b/>
          <w:bCs/>
        </w:rPr>
        <w:t>数据脱敏管理</w:t>
      </w:r>
      <w:bookmarkEnd w:id="9"/>
    </w:p>
    <w:p>
      <w:pPr>
        <w:spacing w:before="81" w:after="81"/>
        <w:ind w:firstLine="480"/>
      </w:pPr>
      <w:r>
        <w:rPr>
          <w:rFonts w:hint="eastAsia"/>
          <w:lang w:val="en-US" w:eastAsia="zh-CN"/>
        </w:rPr>
        <w:t>支持</w:t>
      </w:r>
      <w:r>
        <w:t>根据专病队列脱敏规则，对采集到的本院数据进行脱敏处理，包括替换敏感信息和加密。后台可隐藏患者的个人信息功能，包括患者姓名、身份证号、住址、手机号等敏感数据。支持查看脱敏操作记录，包括脱敏的数据范围、脱敏的记录数、脱敏的数据字段。</w:t>
      </w:r>
    </w:p>
    <w:p>
      <w:pPr>
        <w:spacing w:before="60" w:after="60"/>
        <w:ind w:firstLine="482"/>
        <w:rPr>
          <w:rFonts w:hint="eastAsia" w:ascii="Times New Roman" w:hAnsi="Times New Roman" w:eastAsia="宋体"/>
          <w:b/>
          <w:bCs/>
        </w:rPr>
      </w:pPr>
      <w:r>
        <w:rPr>
          <w:rFonts w:hint="eastAsia" w:ascii="Times New Roman" w:hAnsi="Times New Roman" w:eastAsia="宋体"/>
          <w:b/>
          <w:bCs/>
        </w:rPr>
        <w:t>数据下载管理</w:t>
      </w:r>
    </w:p>
    <w:p>
      <w:pPr>
        <w:spacing w:before="81" w:after="81"/>
        <w:ind w:firstLine="480"/>
      </w:pPr>
      <w:r>
        <w:rPr>
          <w:rFonts w:hint="eastAsia"/>
        </w:rPr>
        <w:t>支持</w:t>
      </w:r>
      <w:r>
        <w:t>按照既定的审批流程，本院用户在线申请所需的数据权限。提供申请理由或用途，支持权限申请的进度查看和通知提醒。</w:t>
      </w:r>
    </w:p>
    <w:p>
      <w:pPr>
        <w:spacing w:before="81" w:after="81"/>
        <w:ind w:firstLine="480"/>
      </w:pPr>
      <w:r>
        <w:rPr>
          <w:rFonts w:hint="eastAsia"/>
        </w:rPr>
        <w:t>研究成果反馈</w:t>
      </w:r>
      <w:r>
        <w:t>支持根据数据下载申请的缘由，针对申请反馈相应的研究成果，相关文件说明。</w:t>
      </w:r>
    </w:p>
    <w:p>
      <w:pPr>
        <w:spacing w:before="81" w:after="81"/>
        <w:ind w:firstLine="480"/>
      </w:pPr>
      <w:r>
        <w:rPr>
          <w:rFonts w:hint="eastAsia"/>
        </w:rPr>
        <w:t>下载数据解密</w:t>
      </w:r>
      <w:r>
        <w:t>支持下载的数据文件解密。</w:t>
      </w:r>
    </w:p>
    <w:p>
      <w:pPr>
        <w:spacing w:before="60" w:after="60"/>
        <w:ind w:firstLine="480"/>
      </w:pPr>
      <w:r>
        <w:rPr>
          <w:rFonts w:hint="eastAsia"/>
        </w:rPr>
        <w:t>下载日志记录</w:t>
      </w:r>
      <w:r>
        <w:t>记录本院用户对专病队列数据的下载操作和结果。提供下载日志的查询和筛选查询。</w:t>
      </w:r>
    </w:p>
    <w:p>
      <w:pPr>
        <w:pStyle w:val="3"/>
        <w:ind w:firstLine="643" w:firstLineChars="0"/>
        <w:rPr>
          <w:i/>
          <w:iCs/>
        </w:rPr>
      </w:pPr>
      <w:r>
        <w:rPr>
          <w:rFonts w:hint="eastAsia"/>
        </w:rPr>
        <w:t>实施、验收与售后服务要求</w:t>
      </w:r>
    </w:p>
    <w:p>
      <w:pPr>
        <w:pStyle w:val="7"/>
        <w:ind w:firstLine="602"/>
      </w:pPr>
      <w:r>
        <w:rPr>
          <w:rFonts w:hint="eastAsia"/>
        </w:rPr>
        <w:t>总体要求</w:t>
      </w:r>
    </w:p>
    <w:p>
      <w:pPr>
        <w:numPr>
          <w:ilvl w:val="4"/>
          <w:numId w:val="7"/>
        </w:numPr>
        <w:adjustRightInd w:val="0"/>
        <w:snapToGrid w:val="0"/>
        <w:ind w:left="0" w:firstLine="480"/>
        <w:rPr>
          <w:rFonts w:hint="eastAsia" w:ascii="宋体" w:hAnsi="宋体"/>
        </w:rPr>
      </w:pPr>
      <w:r>
        <w:rPr>
          <w:rFonts w:hint="eastAsia" w:ascii="宋体" w:hAnsi="宋体"/>
        </w:rPr>
        <w:t>响应供应商在上海有固定的售后服务团队。</w:t>
      </w:r>
    </w:p>
    <w:p>
      <w:pPr>
        <w:numPr>
          <w:ilvl w:val="4"/>
          <w:numId w:val="7"/>
        </w:numPr>
        <w:adjustRightInd w:val="0"/>
        <w:snapToGrid w:val="0"/>
        <w:ind w:left="0" w:firstLine="480"/>
        <w:rPr>
          <w:rFonts w:hint="eastAsia" w:ascii="宋体" w:hAnsi="宋体"/>
        </w:rPr>
      </w:pPr>
      <w:r>
        <w:rPr>
          <w:rFonts w:hint="eastAsia" w:ascii="宋体" w:hAnsi="宋体"/>
        </w:rPr>
        <w:t>响应供应商应本着认真负责态度，组织技术队伍，认真做好项目的实施工作。在签订合同前，提出具体实施、服务、维护以及今后技术支持的措施计划和承诺。</w:t>
      </w:r>
    </w:p>
    <w:p>
      <w:pPr>
        <w:numPr>
          <w:ilvl w:val="4"/>
          <w:numId w:val="7"/>
        </w:numPr>
        <w:adjustRightInd w:val="0"/>
        <w:snapToGrid w:val="0"/>
        <w:ind w:left="0" w:firstLine="480"/>
        <w:rPr>
          <w:rFonts w:hint="eastAsia" w:ascii="宋体" w:hAnsi="宋体"/>
        </w:rPr>
      </w:pPr>
      <w:r>
        <w:rPr>
          <w:rFonts w:hint="eastAsia" w:ascii="宋体" w:hAnsi="宋体"/>
        </w:rPr>
        <w:t>响应供应商提供项目实施计划，经用户方同意后，严格执行。如果遇到问题，由项目组提出项目变更说明，经用户方和系统提供商确定后，修改计划。</w:t>
      </w:r>
    </w:p>
    <w:p>
      <w:pPr>
        <w:numPr>
          <w:ilvl w:val="4"/>
          <w:numId w:val="7"/>
        </w:numPr>
        <w:adjustRightInd w:val="0"/>
        <w:snapToGrid w:val="0"/>
        <w:ind w:left="0" w:firstLine="480"/>
        <w:rPr>
          <w:rFonts w:hint="eastAsia" w:ascii="宋体" w:hAnsi="宋体"/>
        </w:rPr>
      </w:pPr>
      <w:r>
        <w:rPr>
          <w:rFonts w:hint="eastAsia" w:ascii="宋体" w:hAnsi="宋体"/>
        </w:rPr>
        <w:t>响应供应商应负责在项目验收时将系统的全部有关技术文件、资料、及安装、测试、验收报告等文档汇集成册交付用户方。</w:t>
      </w:r>
    </w:p>
    <w:p>
      <w:pPr>
        <w:numPr>
          <w:ilvl w:val="4"/>
          <w:numId w:val="7"/>
        </w:numPr>
        <w:adjustRightInd w:val="0"/>
        <w:snapToGrid w:val="0"/>
        <w:ind w:left="0" w:firstLine="480"/>
        <w:rPr>
          <w:rFonts w:hint="eastAsia" w:ascii="宋体" w:hAnsi="宋体"/>
        </w:rPr>
      </w:pPr>
      <w:r>
        <w:rPr>
          <w:rFonts w:hint="eastAsia" w:ascii="宋体" w:hAnsi="宋体"/>
        </w:rPr>
        <w:t>结合实际情况，拟定详细的系统实施计划，包括同医院和医联平台现有信息系统的对接、个性化定制、测试、试运行、培训及上线计划。承诺保证在合同规定时间内上线及上线后系统平稳运行。</w:t>
      </w:r>
    </w:p>
    <w:p>
      <w:pPr>
        <w:numPr>
          <w:ilvl w:val="4"/>
          <w:numId w:val="7"/>
        </w:numPr>
        <w:adjustRightInd w:val="0"/>
        <w:snapToGrid w:val="0"/>
        <w:ind w:left="0" w:firstLine="480"/>
        <w:rPr>
          <w:rFonts w:hint="eastAsia" w:ascii="宋体" w:hAnsi="宋体" w:cs=".PingFang SC"/>
        </w:rPr>
      </w:pPr>
      <w:r>
        <w:rPr>
          <w:rFonts w:hint="eastAsia" w:ascii="宋体" w:hAnsi="宋体"/>
        </w:rPr>
        <w:t>响应供应商在实施过程中，需结合医院和医联平台现有设备和需采购的设备，参照信息系统安全等级保护三级或三级以上的要求建设。</w:t>
      </w:r>
    </w:p>
    <w:p>
      <w:pPr>
        <w:pStyle w:val="7"/>
        <w:ind w:firstLine="602"/>
      </w:pPr>
      <w:bookmarkStart w:id="10" w:name="_Toc63785510"/>
      <w:r>
        <w:rPr>
          <w:rFonts w:hint="eastAsia"/>
        </w:rPr>
        <w:t>项目团队及驻场要求</w:t>
      </w:r>
    </w:p>
    <w:bookmarkEnd w:id="10"/>
    <w:p>
      <w:pPr>
        <w:pStyle w:val="7"/>
        <w:ind w:firstLine="602"/>
      </w:pPr>
      <w:r>
        <w:rPr>
          <w:rFonts w:hint="eastAsia"/>
        </w:rPr>
        <w:t>项目</w:t>
      </w:r>
      <w:r>
        <w:t>实施</w:t>
      </w:r>
    </w:p>
    <w:p>
      <w:pPr>
        <w:pStyle w:val="8"/>
        <w:spacing w:before="0" w:after="0"/>
        <w:ind w:left="0" w:firstLine="562"/>
      </w:pPr>
      <w:r>
        <w:t>实施进度</w:t>
      </w:r>
    </w:p>
    <w:p>
      <w:pPr>
        <w:adjustRightInd w:val="0"/>
        <w:snapToGrid w:val="0"/>
        <w:ind w:firstLine="480"/>
        <w:rPr>
          <w:rFonts w:hint="eastAsia" w:ascii="宋体" w:hAnsi="宋体" w:cs="Arial"/>
        </w:rPr>
      </w:pPr>
      <w:r>
        <w:rPr>
          <w:rFonts w:ascii="宋体" w:hAnsi="宋体" w:cs="Arial"/>
        </w:rPr>
        <w:t>响应供应商应按照下表的时间进度，制定相应的项目实施详细进度计划。</w:t>
      </w:r>
    </w:p>
    <w:p>
      <w:pPr>
        <w:adjustRightInd w:val="0"/>
        <w:snapToGrid w:val="0"/>
        <w:ind w:firstLine="480"/>
        <w:rPr>
          <w:rFonts w:hint="eastAsia" w:ascii="宋体" w:hAnsi="宋体" w:cs="Arial"/>
        </w:rPr>
      </w:pPr>
      <w:r>
        <w:rPr>
          <w:rFonts w:hint="eastAsia" w:ascii="宋体" w:hAnsi="宋体" w:cs="Arial"/>
        </w:rPr>
        <w:t>项目建设周期共</w:t>
      </w:r>
      <w:r>
        <w:rPr>
          <w:rFonts w:hint="eastAsia" w:ascii="宋体" w:hAnsi="宋体" w:cs="Arial"/>
          <w:lang w:val="en-US" w:eastAsia="zh-CN"/>
        </w:rPr>
        <w:t>5</w:t>
      </w:r>
      <w:r>
        <w:rPr>
          <w:rFonts w:hint="eastAsia" w:ascii="宋体" w:hAnsi="宋体" w:cs="Arial"/>
        </w:rPr>
        <w:t>个月。</w:t>
      </w:r>
    </w:p>
    <w:tbl>
      <w:tblPr>
        <w:tblStyle w:val="20"/>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798" w:type="dxa"/>
            <w:shd w:val="clear" w:color="auto" w:fill="D8D8D8" w:themeFill="background1" w:themeFillShade="D9"/>
          </w:tcPr>
          <w:p>
            <w:pPr>
              <w:spacing w:line="240" w:lineRule="auto"/>
              <w:ind w:firstLine="0" w:firstLineChars="0"/>
              <w:jc w:val="center"/>
              <w:rPr>
                <w:rFonts w:hint="eastAsia" w:ascii="宋体" w:hAnsi="宋体"/>
                <w:b/>
                <w:bCs/>
              </w:rPr>
            </w:pPr>
            <w:r>
              <w:rPr>
                <w:rFonts w:ascii="宋体" w:hAnsi="宋体"/>
                <w:b/>
                <w:bCs/>
              </w:rPr>
              <w:t>项目</w:t>
            </w:r>
          </w:p>
        </w:tc>
        <w:tc>
          <w:tcPr>
            <w:tcW w:w="3929" w:type="dxa"/>
            <w:shd w:val="clear" w:color="auto" w:fill="D8D8D8" w:themeFill="background1" w:themeFillShade="D9"/>
          </w:tcPr>
          <w:p>
            <w:pPr>
              <w:spacing w:line="240" w:lineRule="auto"/>
              <w:ind w:firstLine="0" w:firstLineChars="0"/>
              <w:jc w:val="center"/>
              <w:rPr>
                <w:rFonts w:hint="eastAsia" w:ascii="宋体" w:hAnsi="宋体"/>
                <w:b/>
                <w:bCs/>
              </w:rPr>
            </w:pPr>
            <w:r>
              <w:rPr>
                <w:rFonts w:ascii="宋体" w:hAnsi="宋体"/>
                <w:b/>
                <w:bCs/>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798" w:type="dxa"/>
            <w:vAlign w:val="center"/>
          </w:tcPr>
          <w:p>
            <w:pPr>
              <w:pStyle w:val="17"/>
              <w:spacing w:after="0"/>
              <w:ind w:left="0" w:leftChars="0" w:firstLine="480"/>
              <w:jc w:val="left"/>
              <w:rPr>
                <w:rFonts w:hint="eastAsia" w:ascii="宋体" w:hAnsi="宋体" w:cs="Arial"/>
                <w:sz w:val="24"/>
                <w:szCs w:val="24"/>
              </w:rPr>
            </w:pPr>
            <w:r>
              <w:rPr>
                <w:rFonts w:ascii="宋体" w:hAnsi="宋体" w:cs="Arial"/>
                <w:sz w:val="24"/>
                <w:szCs w:val="24"/>
              </w:rPr>
              <w:t>设备到货</w:t>
            </w:r>
            <w:r>
              <w:rPr>
                <w:rFonts w:hint="eastAsia" w:ascii="宋体" w:hAnsi="宋体" w:cs="Arial"/>
                <w:sz w:val="24"/>
                <w:szCs w:val="24"/>
              </w:rPr>
              <w:t>、安装部署</w:t>
            </w:r>
          </w:p>
        </w:tc>
        <w:tc>
          <w:tcPr>
            <w:tcW w:w="3929" w:type="dxa"/>
            <w:vAlign w:val="center"/>
          </w:tcPr>
          <w:p>
            <w:pPr>
              <w:pStyle w:val="17"/>
              <w:spacing w:after="0"/>
              <w:ind w:left="0" w:leftChars="0" w:firstLine="480"/>
              <w:jc w:val="left"/>
              <w:rPr>
                <w:rFonts w:hint="eastAsia" w:ascii="宋体" w:hAnsi="宋体" w:cs="Arial"/>
                <w:sz w:val="24"/>
                <w:szCs w:val="24"/>
              </w:rPr>
            </w:pPr>
            <w:r>
              <w:rPr>
                <w:rFonts w:ascii="宋体" w:hAnsi="宋体" w:cs="Arial"/>
                <w:sz w:val="24"/>
                <w:szCs w:val="24"/>
              </w:rPr>
              <w:t>合同</w:t>
            </w:r>
            <w:r>
              <w:rPr>
                <w:rFonts w:hint="eastAsia" w:ascii="宋体" w:hAnsi="宋体" w:cs="Arial"/>
                <w:sz w:val="24"/>
                <w:szCs w:val="24"/>
              </w:rPr>
              <w:t>生效</w:t>
            </w:r>
            <w:r>
              <w:rPr>
                <w:rFonts w:ascii="宋体" w:hAnsi="宋体" w:cs="Arial"/>
                <w:sz w:val="24"/>
                <w:szCs w:val="24"/>
              </w:rPr>
              <w:t>后</w:t>
            </w:r>
            <w:r>
              <w:rPr>
                <w:rFonts w:hint="eastAsia" w:ascii="宋体" w:hAnsi="宋体" w:cs="Arial"/>
                <w:sz w:val="24"/>
                <w:szCs w:val="24"/>
                <w:lang w:val="en-US" w:eastAsia="zh-CN"/>
              </w:rPr>
              <w:t>1</w:t>
            </w:r>
            <w:r>
              <w:rPr>
                <w:rFonts w:ascii="宋体" w:hAnsi="宋体" w:cs="Arial"/>
                <w:sz w:val="24"/>
                <w:szCs w:val="24"/>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98" w:type="dxa"/>
            <w:vAlign w:val="center"/>
          </w:tcPr>
          <w:p>
            <w:pPr>
              <w:pStyle w:val="17"/>
              <w:spacing w:after="0"/>
              <w:ind w:left="0" w:leftChars="0" w:firstLine="480"/>
              <w:jc w:val="left"/>
              <w:rPr>
                <w:rFonts w:hint="eastAsia" w:ascii="宋体" w:hAnsi="宋体" w:cs="Arial"/>
                <w:sz w:val="24"/>
                <w:szCs w:val="24"/>
              </w:rPr>
            </w:pPr>
            <w:r>
              <w:rPr>
                <w:rFonts w:ascii="宋体" w:hAnsi="宋体" w:cs="Arial"/>
                <w:sz w:val="24"/>
                <w:szCs w:val="24"/>
              </w:rPr>
              <w:t>应用软件开发</w:t>
            </w:r>
          </w:p>
        </w:tc>
        <w:tc>
          <w:tcPr>
            <w:tcW w:w="3929" w:type="dxa"/>
            <w:vAlign w:val="center"/>
          </w:tcPr>
          <w:p>
            <w:pPr>
              <w:pStyle w:val="17"/>
              <w:spacing w:after="0"/>
              <w:ind w:left="0" w:leftChars="0" w:firstLine="480"/>
              <w:jc w:val="left"/>
              <w:rPr>
                <w:rFonts w:hint="eastAsia" w:ascii="宋体" w:hAnsi="宋体" w:cs="Arial"/>
                <w:sz w:val="24"/>
                <w:szCs w:val="24"/>
              </w:rPr>
            </w:pPr>
            <w:r>
              <w:rPr>
                <w:rFonts w:ascii="宋体" w:hAnsi="宋体" w:cs="Arial"/>
                <w:sz w:val="24"/>
                <w:szCs w:val="24"/>
              </w:rPr>
              <w:t>合同</w:t>
            </w:r>
            <w:r>
              <w:rPr>
                <w:rFonts w:hint="eastAsia" w:ascii="宋体" w:hAnsi="宋体" w:cs="Arial"/>
                <w:sz w:val="24"/>
                <w:szCs w:val="24"/>
              </w:rPr>
              <w:t>生效</w:t>
            </w:r>
            <w:r>
              <w:rPr>
                <w:rFonts w:ascii="宋体" w:hAnsi="宋体" w:cs="Arial"/>
                <w:sz w:val="24"/>
                <w:szCs w:val="24"/>
              </w:rPr>
              <w:t>后</w:t>
            </w:r>
            <w:r>
              <w:rPr>
                <w:rFonts w:hint="eastAsia" w:ascii="宋体" w:hAnsi="宋体" w:cs="Arial"/>
                <w:sz w:val="24"/>
                <w:szCs w:val="24"/>
                <w:lang w:val="en-US" w:eastAsia="zh-CN"/>
              </w:rPr>
              <w:t>3</w:t>
            </w:r>
            <w:r>
              <w:rPr>
                <w:rFonts w:ascii="宋体" w:hAnsi="宋体" w:cs="Arial"/>
                <w:sz w:val="24"/>
                <w:szCs w:val="24"/>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98" w:type="dxa"/>
            <w:vAlign w:val="center"/>
          </w:tcPr>
          <w:p>
            <w:pPr>
              <w:pStyle w:val="17"/>
              <w:spacing w:after="0"/>
              <w:ind w:left="0" w:leftChars="0" w:firstLine="480"/>
              <w:jc w:val="left"/>
              <w:rPr>
                <w:rFonts w:hint="eastAsia" w:ascii="宋体" w:hAnsi="宋体" w:cs="Arial"/>
                <w:sz w:val="24"/>
                <w:szCs w:val="24"/>
              </w:rPr>
            </w:pPr>
            <w:r>
              <w:rPr>
                <w:rFonts w:hint="eastAsia" w:ascii="宋体" w:hAnsi="宋体" w:cs="Arial"/>
                <w:sz w:val="24"/>
                <w:szCs w:val="24"/>
              </w:rPr>
              <w:t>项目试运行</w:t>
            </w:r>
          </w:p>
        </w:tc>
        <w:tc>
          <w:tcPr>
            <w:tcW w:w="3929" w:type="dxa"/>
            <w:vAlign w:val="center"/>
          </w:tcPr>
          <w:p>
            <w:pPr>
              <w:pStyle w:val="17"/>
              <w:spacing w:after="0"/>
              <w:ind w:left="0" w:leftChars="0" w:firstLine="480"/>
              <w:jc w:val="left"/>
              <w:rPr>
                <w:rFonts w:hint="eastAsia" w:ascii="宋体" w:hAnsi="宋体" w:cs="Arial"/>
                <w:sz w:val="24"/>
                <w:szCs w:val="24"/>
              </w:rPr>
            </w:pPr>
            <w:r>
              <w:rPr>
                <w:rFonts w:hint="eastAsia" w:ascii="宋体" w:hAnsi="宋体" w:cs="Arial"/>
                <w:sz w:val="24"/>
                <w:szCs w:val="24"/>
              </w:rPr>
              <w:t>试运行</w:t>
            </w:r>
            <w:r>
              <w:rPr>
                <w:rFonts w:hint="eastAsia" w:ascii="宋体" w:hAnsi="宋体" w:cs="宋体"/>
                <w:sz w:val="24"/>
                <w:szCs w:val="24"/>
              </w:rPr>
              <w:t>至少1</w:t>
            </w:r>
            <w:r>
              <w:rPr>
                <w:rFonts w:hint="eastAsia" w:ascii="宋体" w:hAnsi="宋体" w:cs="Arial"/>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98" w:type="dxa"/>
            <w:vAlign w:val="center"/>
          </w:tcPr>
          <w:p>
            <w:pPr>
              <w:pStyle w:val="17"/>
              <w:spacing w:after="0"/>
              <w:ind w:left="0" w:leftChars="0" w:firstLine="480"/>
              <w:jc w:val="left"/>
              <w:rPr>
                <w:rFonts w:hint="eastAsia" w:ascii="宋体" w:hAnsi="宋体" w:cs="Arial"/>
                <w:sz w:val="24"/>
                <w:szCs w:val="24"/>
              </w:rPr>
            </w:pPr>
            <w:r>
              <w:rPr>
                <w:rFonts w:hint="eastAsia" w:ascii="宋体" w:hAnsi="宋体" w:cs="Arial"/>
                <w:sz w:val="24"/>
                <w:szCs w:val="24"/>
              </w:rPr>
              <w:t>项目</w:t>
            </w:r>
            <w:r>
              <w:rPr>
                <w:rFonts w:ascii="宋体" w:hAnsi="宋体" w:cs="Arial"/>
                <w:sz w:val="24"/>
                <w:szCs w:val="24"/>
              </w:rPr>
              <w:t>验收</w:t>
            </w:r>
            <w:r>
              <w:rPr>
                <w:rFonts w:hint="eastAsia" w:ascii="宋体" w:hAnsi="宋体" w:cs="Arial"/>
                <w:sz w:val="24"/>
                <w:szCs w:val="24"/>
              </w:rPr>
              <w:t>交付</w:t>
            </w:r>
          </w:p>
        </w:tc>
        <w:tc>
          <w:tcPr>
            <w:tcW w:w="3929" w:type="dxa"/>
            <w:vAlign w:val="center"/>
          </w:tcPr>
          <w:p>
            <w:pPr>
              <w:pStyle w:val="17"/>
              <w:spacing w:after="0"/>
              <w:ind w:left="0" w:leftChars="0" w:firstLine="480"/>
              <w:jc w:val="left"/>
              <w:rPr>
                <w:rFonts w:hint="eastAsia" w:ascii="宋体" w:hAnsi="宋体" w:cs="Arial"/>
                <w:sz w:val="24"/>
                <w:szCs w:val="24"/>
              </w:rPr>
            </w:pPr>
            <w:r>
              <w:rPr>
                <w:rFonts w:hint="eastAsia" w:ascii="宋体" w:hAnsi="宋体" w:cs="Arial"/>
                <w:sz w:val="24"/>
                <w:szCs w:val="24"/>
              </w:rPr>
              <w:t>试运行通过后1个月内</w:t>
            </w:r>
          </w:p>
        </w:tc>
      </w:tr>
    </w:tbl>
    <w:p>
      <w:pPr>
        <w:pStyle w:val="8"/>
        <w:spacing w:before="0" w:after="0"/>
        <w:ind w:left="0" w:firstLine="562"/>
      </w:pPr>
      <w:r>
        <w:rPr>
          <w:rFonts w:hint="eastAsia"/>
        </w:rPr>
        <w:t>实施人员的要求</w:t>
      </w:r>
    </w:p>
    <w:p>
      <w:pPr>
        <w:numPr>
          <w:ilvl w:val="0"/>
          <w:numId w:val="8"/>
        </w:numPr>
        <w:adjustRightInd w:val="0"/>
        <w:snapToGrid w:val="0"/>
        <w:ind w:left="0" w:firstLine="480"/>
        <w:rPr>
          <w:rFonts w:hint="eastAsia" w:ascii="宋体" w:hAnsi="宋体" w:cs="Arial"/>
        </w:rPr>
      </w:pPr>
      <w:r>
        <w:rPr>
          <w:rFonts w:ascii="宋体" w:hAnsi="宋体" w:cs="Arial"/>
        </w:rPr>
        <w:t>为保证项目的顺利实施，响应供应商应成立商务与技术支持小组，全方位配合</w:t>
      </w:r>
      <w:r>
        <w:rPr>
          <w:rFonts w:hint="eastAsia" w:ascii="宋体" w:hAnsi="宋体" w:cs="Arial"/>
        </w:rPr>
        <w:t>用户</w:t>
      </w:r>
      <w:r>
        <w:rPr>
          <w:rFonts w:ascii="宋体" w:hAnsi="宋体" w:cs="Arial"/>
        </w:rPr>
        <w:t>。</w:t>
      </w:r>
    </w:p>
    <w:p>
      <w:pPr>
        <w:numPr>
          <w:ilvl w:val="0"/>
          <w:numId w:val="8"/>
        </w:numPr>
        <w:adjustRightInd w:val="0"/>
        <w:snapToGrid w:val="0"/>
        <w:ind w:left="0" w:firstLine="480"/>
        <w:rPr>
          <w:rFonts w:hint="eastAsia" w:ascii="宋体" w:hAnsi="宋体" w:cs="Arial"/>
        </w:rPr>
      </w:pPr>
      <w:r>
        <w:rPr>
          <w:rFonts w:ascii="宋体" w:hAnsi="宋体" w:cs="Arial"/>
        </w:rPr>
        <w:t>响应供应商应在响应文件中提供项目实施详细进度计划和项目小组人员名单和职责。</w:t>
      </w:r>
    </w:p>
    <w:p>
      <w:pPr>
        <w:numPr>
          <w:ilvl w:val="0"/>
          <w:numId w:val="8"/>
        </w:numPr>
        <w:adjustRightInd w:val="0"/>
        <w:snapToGrid w:val="0"/>
        <w:ind w:left="0" w:firstLine="480"/>
        <w:rPr>
          <w:rFonts w:hint="eastAsia" w:ascii="宋体" w:hAnsi="宋体"/>
          <w:bCs/>
        </w:rPr>
      </w:pPr>
      <w:r>
        <w:rPr>
          <w:rFonts w:hint="eastAsia" w:ascii="宋体" w:hAnsi="宋体"/>
          <w:bCs/>
        </w:rPr>
        <w:t>系统在通过验收前现场需留驻足够的实施人员。</w:t>
      </w:r>
    </w:p>
    <w:p>
      <w:pPr>
        <w:numPr>
          <w:ilvl w:val="0"/>
          <w:numId w:val="8"/>
        </w:numPr>
        <w:adjustRightInd w:val="0"/>
        <w:snapToGrid w:val="0"/>
        <w:ind w:left="0" w:firstLine="480"/>
        <w:rPr>
          <w:rFonts w:hint="eastAsia" w:ascii="宋体" w:hAnsi="宋体"/>
          <w:bCs/>
        </w:rPr>
      </w:pPr>
      <w:r>
        <w:rPr>
          <w:rFonts w:hint="eastAsia" w:ascii="宋体" w:hAnsi="宋体"/>
          <w:bCs/>
        </w:rPr>
        <w:t>用户方有权根据实施情况要求更换项目经理和实施人员。</w:t>
      </w:r>
    </w:p>
    <w:p>
      <w:pPr>
        <w:numPr>
          <w:ilvl w:val="0"/>
          <w:numId w:val="8"/>
        </w:numPr>
        <w:adjustRightInd w:val="0"/>
        <w:snapToGrid w:val="0"/>
        <w:ind w:left="0" w:firstLine="480"/>
        <w:rPr>
          <w:rFonts w:hint="eastAsia" w:ascii="宋体" w:hAnsi="宋体"/>
          <w:bCs/>
        </w:rPr>
      </w:pPr>
      <w:r>
        <w:rPr>
          <w:rFonts w:hint="eastAsia" w:ascii="宋体" w:hAnsi="宋体"/>
        </w:rPr>
        <w:t>对响应供应商项目经理等级基本要求：要求响应供应商针对本项目成立项目小组，在响应文件中提供书面名单，人员一旦得到确认，无特殊理由不得随意变动，其中项目经理具有相当资质，项目经理未得到用户方同意的情况下不得随意更换。</w:t>
      </w:r>
    </w:p>
    <w:p>
      <w:pPr>
        <w:pStyle w:val="8"/>
        <w:spacing w:before="0" w:after="0"/>
        <w:ind w:left="0" w:firstLine="562"/>
      </w:pPr>
      <w:r>
        <w:rPr>
          <w:rFonts w:hint="eastAsia"/>
        </w:rPr>
        <w:t>安装、调试</w:t>
      </w:r>
    </w:p>
    <w:p>
      <w:pPr>
        <w:numPr>
          <w:ilvl w:val="0"/>
          <w:numId w:val="9"/>
        </w:numPr>
        <w:adjustRightInd w:val="0"/>
        <w:snapToGrid w:val="0"/>
        <w:ind w:left="0" w:firstLine="480"/>
        <w:rPr>
          <w:rFonts w:hint="eastAsia" w:ascii="宋体" w:hAnsi="宋体"/>
        </w:rPr>
      </w:pPr>
      <w:r>
        <w:rPr>
          <w:rFonts w:ascii="宋体" w:hAnsi="宋体"/>
        </w:rPr>
        <w:t>合同签</w:t>
      </w:r>
      <w:r>
        <w:rPr>
          <w:rFonts w:hint="eastAsia" w:ascii="宋体" w:hAnsi="宋体"/>
        </w:rPr>
        <w:t>订</w:t>
      </w:r>
      <w:r>
        <w:rPr>
          <w:rFonts w:ascii="宋体" w:hAnsi="宋体"/>
        </w:rPr>
        <w:t>一周内，响应供应商向用户提交</w:t>
      </w:r>
      <w:r>
        <w:rPr>
          <w:rFonts w:hint="eastAsia" w:ascii="宋体" w:hAnsi="宋体"/>
        </w:rPr>
        <w:t>软件开发</w:t>
      </w:r>
      <w:r>
        <w:rPr>
          <w:rFonts w:ascii="宋体" w:hAnsi="宋体"/>
        </w:rPr>
        <w:t>环境的要求。</w:t>
      </w:r>
      <w:r>
        <w:rPr>
          <w:rFonts w:hint="eastAsia" w:ascii="宋体" w:hAnsi="宋体"/>
        </w:rPr>
        <w:t>软件实施</w:t>
      </w:r>
      <w:r>
        <w:rPr>
          <w:rFonts w:ascii="宋体" w:hAnsi="宋体"/>
        </w:rPr>
        <w:t>安装</w:t>
      </w:r>
      <w:r>
        <w:rPr>
          <w:rFonts w:hint="eastAsia" w:ascii="宋体" w:hAnsi="宋体"/>
        </w:rPr>
        <w:t>7</w:t>
      </w:r>
      <w:r>
        <w:rPr>
          <w:rFonts w:ascii="宋体" w:hAnsi="宋体"/>
        </w:rPr>
        <w:t>天以前，响应供应商向用户提交</w:t>
      </w:r>
      <w:r>
        <w:rPr>
          <w:rFonts w:hint="eastAsia" w:ascii="宋体" w:hAnsi="宋体"/>
        </w:rPr>
        <w:t>软件</w:t>
      </w:r>
      <w:r>
        <w:rPr>
          <w:rFonts w:ascii="宋体" w:hAnsi="宋体"/>
        </w:rPr>
        <w:t>安装、测试和安装验收的计划方案，该计划方案需经过用户同意方可作为</w:t>
      </w:r>
      <w:r>
        <w:rPr>
          <w:rFonts w:hint="eastAsia" w:ascii="宋体" w:hAnsi="宋体"/>
        </w:rPr>
        <w:t>软件</w:t>
      </w:r>
      <w:r>
        <w:rPr>
          <w:rFonts w:ascii="宋体" w:hAnsi="宋体"/>
        </w:rPr>
        <w:t>安装、测试和安装验收的依据。</w:t>
      </w:r>
    </w:p>
    <w:p>
      <w:pPr>
        <w:numPr>
          <w:ilvl w:val="0"/>
          <w:numId w:val="9"/>
        </w:numPr>
        <w:adjustRightInd w:val="0"/>
        <w:snapToGrid w:val="0"/>
        <w:ind w:left="0" w:firstLine="480"/>
        <w:rPr>
          <w:rFonts w:hint="eastAsia" w:ascii="宋体" w:hAnsi="宋体"/>
        </w:rPr>
      </w:pPr>
      <w:r>
        <w:rPr>
          <w:rFonts w:ascii="宋体" w:hAnsi="宋体"/>
        </w:rPr>
        <w:t>响应供应商应承担所供产品的安装、调试和配置工作，同时应提供完整的安装调试文档及系统配置文件。</w:t>
      </w:r>
    </w:p>
    <w:p>
      <w:pPr>
        <w:numPr>
          <w:ilvl w:val="0"/>
          <w:numId w:val="9"/>
        </w:numPr>
        <w:adjustRightInd w:val="0"/>
        <w:snapToGrid w:val="0"/>
        <w:ind w:left="0" w:firstLine="480"/>
        <w:rPr>
          <w:rFonts w:hint="eastAsia" w:ascii="宋体" w:hAnsi="宋体"/>
        </w:rPr>
      </w:pPr>
      <w:r>
        <w:rPr>
          <w:rFonts w:ascii="宋体" w:hAnsi="宋体"/>
        </w:rPr>
        <w:t>响应供应商应全力与用户及其他相关产品供应商配合，保证系统按时、正常地投入运行。</w:t>
      </w:r>
    </w:p>
    <w:p>
      <w:pPr>
        <w:numPr>
          <w:ilvl w:val="0"/>
          <w:numId w:val="9"/>
        </w:numPr>
        <w:adjustRightInd w:val="0"/>
        <w:snapToGrid w:val="0"/>
        <w:ind w:left="0" w:firstLine="480"/>
        <w:rPr>
          <w:rFonts w:hint="eastAsia" w:ascii="宋体" w:hAnsi="宋体"/>
        </w:rPr>
      </w:pPr>
      <w:r>
        <w:rPr>
          <w:rFonts w:ascii="宋体" w:hAnsi="宋体"/>
        </w:rPr>
        <w:t>响应供应商需保证所配置的软件产品有合法的使用权。</w:t>
      </w:r>
    </w:p>
    <w:p>
      <w:pPr>
        <w:pStyle w:val="7"/>
        <w:ind w:firstLine="602"/>
      </w:pPr>
      <w:r>
        <w:rPr>
          <w:rFonts w:hint="eastAsia"/>
        </w:rPr>
        <w:t>项目验收</w:t>
      </w:r>
    </w:p>
    <w:p>
      <w:pPr>
        <w:numPr>
          <w:ilvl w:val="0"/>
          <w:numId w:val="10"/>
        </w:numPr>
        <w:adjustRightInd w:val="0"/>
        <w:snapToGrid w:val="0"/>
        <w:ind w:left="0" w:firstLine="480"/>
        <w:rPr>
          <w:rFonts w:hint="eastAsia" w:ascii="宋体" w:hAnsi="宋体"/>
        </w:rPr>
      </w:pPr>
      <w:r>
        <w:rPr>
          <w:rFonts w:ascii="宋体" w:hAnsi="宋体"/>
        </w:rPr>
        <w:t>系统验收合格的条件至少满足以下三个要求：试运行时性能满足合同要求；测试和试运行验收时出现的问题已被解决；已提供了合同的全部货物和资料。</w:t>
      </w:r>
    </w:p>
    <w:p>
      <w:pPr>
        <w:numPr>
          <w:ilvl w:val="0"/>
          <w:numId w:val="10"/>
        </w:numPr>
        <w:adjustRightInd w:val="0"/>
        <w:snapToGrid w:val="0"/>
        <w:ind w:left="0" w:firstLine="480"/>
        <w:textAlignment w:val="baseline"/>
        <w:rPr>
          <w:rFonts w:hint="eastAsia" w:ascii="宋体" w:hAnsi="宋体"/>
        </w:rPr>
      </w:pPr>
      <w:r>
        <w:rPr>
          <w:rFonts w:hint="eastAsia" w:ascii="宋体" w:hAnsi="宋体"/>
        </w:rPr>
        <w:t>软件验收前需通过安全、功能、性能、密码等方面的第三方测评。</w:t>
      </w:r>
    </w:p>
    <w:p>
      <w:pPr>
        <w:numPr>
          <w:ilvl w:val="0"/>
          <w:numId w:val="10"/>
        </w:numPr>
        <w:adjustRightInd w:val="0"/>
        <w:snapToGrid w:val="0"/>
        <w:ind w:left="0" w:firstLine="480"/>
        <w:textAlignment w:val="baseline"/>
        <w:rPr>
          <w:rFonts w:hint="eastAsia" w:ascii="宋体" w:hAnsi="宋体"/>
        </w:rPr>
      </w:pPr>
      <w:r>
        <w:rPr>
          <w:rFonts w:hint="eastAsia" w:ascii="宋体" w:hAnsi="宋体"/>
        </w:rPr>
        <w:t>所有子系统正式投入运行后进行软件系统验收。申康中心将邀请相关行业专家、监理与用户方一起验收，同时就系统的安全性、完整性、易用性、适用性等请第三方专业评测机构进行评测，届时验收专家由用户方指定，所有验收的费用包含在投报总价内。</w:t>
      </w:r>
    </w:p>
    <w:p>
      <w:pPr>
        <w:pStyle w:val="7"/>
        <w:ind w:firstLine="602"/>
      </w:pPr>
      <w:r>
        <w:rPr>
          <w:rFonts w:hint="eastAsia"/>
        </w:rPr>
        <w:t>技术文档</w:t>
      </w:r>
    </w:p>
    <w:p>
      <w:pPr>
        <w:adjustRightInd w:val="0"/>
        <w:snapToGrid w:val="0"/>
        <w:ind w:firstLine="480"/>
        <w:rPr>
          <w:rFonts w:hint="eastAsia" w:ascii="宋体" w:hAnsi="宋体"/>
          <w:bCs/>
        </w:rPr>
      </w:pPr>
      <w:r>
        <w:rPr>
          <w:rFonts w:hint="eastAsia" w:ascii="宋体" w:hAnsi="宋体"/>
          <w:bCs/>
        </w:rPr>
        <w:t>系统验收后响应供应商需提供详细的软件相关技术文档（含数据结构、数据流程图、系统字典说明等）、使用说明书、维护手册等文档资料。提供系统应急方案，提供本</w:t>
      </w:r>
      <w:r>
        <w:rPr>
          <w:rFonts w:ascii="宋体" w:hAnsi="宋体"/>
          <w:bCs/>
        </w:rPr>
        <w:t>项目</w:t>
      </w:r>
      <w:r>
        <w:rPr>
          <w:rFonts w:hint="eastAsia" w:ascii="宋体" w:hAnsi="宋体"/>
          <w:bCs/>
        </w:rPr>
        <w:t>中形成的技术支持工具。文档包括但不限于以下内容：</w:t>
      </w:r>
    </w:p>
    <w:p>
      <w:pPr>
        <w:numPr>
          <w:ilvl w:val="0"/>
          <w:numId w:val="11"/>
        </w:numPr>
        <w:adjustRightInd w:val="0"/>
        <w:snapToGrid w:val="0"/>
        <w:ind w:left="0" w:firstLine="480"/>
        <w:rPr>
          <w:rFonts w:hint="eastAsia" w:ascii="宋体" w:hAnsi="宋体"/>
          <w:bCs/>
        </w:rPr>
      </w:pPr>
      <w:r>
        <w:rPr>
          <w:rFonts w:hint="eastAsia" w:ascii="宋体" w:hAnsi="宋体"/>
          <w:bCs/>
        </w:rPr>
        <w:t>项目实施方案；</w:t>
      </w:r>
    </w:p>
    <w:p>
      <w:pPr>
        <w:numPr>
          <w:ilvl w:val="0"/>
          <w:numId w:val="11"/>
        </w:numPr>
        <w:adjustRightInd w:val="0"/>
        <w:snapToGrid w:val="0"/>
        <w:ind w:left="0" w:firstLine="480"/>
        <w:rPr>
          <w:rFonts w:hint="eastAsia" w:ascii="宋体" w:hAnsi="宋体"/>
          <w:bCs/>
        </w:rPr>
      </w:pPr>
      <w:r>
        <w:rPr>
          <w:rFonts w:hint="eastAsia" w:ascii="宋体" w:hAnsi="宋体"/>
          <w:bCs/>
        </w:rPr>
        <w:t>需求说明书、设计说明书；</w:t>
      </w:r>
    </w:p>
    <w:p>
      <w:pPr>
        <w:numPr>
          <w:ilvl w:val="0"/>
          <w:numId w:val="11"/>
        </w:numPr>
        <w:adjustRightInd w:val="0"/>
        <w:snapToGrid w:val="0"/>
        <w:ind w:left="0" w:firstLine="480"/>
        <w:rPr>
          <w:rFonts w:hint="eastAsia" w:ascii="宋体" w:hAnsi="宋体"/>
          <w:bCs/>
        </w:rPr>
      </w:pPr>
      <w:r>
        <w:rPr>
          <w:rFonts w:hint="eastAsia" w:ascii="宋体" w:hAnsi="宋体"/>
          <w:bCs/>
        </w:rPr>
        <w:t>测试报告；</w:t>
      </w:r>
    </w:p>
    <w:p>
      <w:pPr>
        <w:numPr>
          <w:ilvl w:val="0"/>
          <w:numId w:val="11"/>
        </w:numPr>
        <w:adjustRightInd w:val="0"/>
        <w:snapToGrid w:val="0"/>
        <w:ind w:left="0" w:firstLine="480"/>
        <w:rPr>
          <w:rFonts w:hint="eastAsia" w:ascii="宋体" w:hAnsi="宋体"/>
          <w:bCs/>
        </w:rPr>
      </w:pPr>
      <w:r>
        <w:rPr>
          <w:rFonts w:hint="eastAsia" w:ascii="宋体" w:hAnsi="宋体"/>
          <w:bCs/>
        </w:rPr>
        <w:t>用户操作手册、系统运维手册以及培训文档等；</w:t>
      </w:r>
    </w:p>
    <w:p>
      <w:pPr>
        <w:numPr>
          <w:ilvl w:val="0"/>
          <w:numId w:val="11"/>
        </w:numPr>
        <w:adjustRightInd w:val="0"/>
        <w:snapToGrid w:val="0"/>
        <w:ind w:left="0" w:firstLine="480"/>
        <w:rPr>
          <w:rFonts w:hint="eastAsia" w:ascii="宋体" w:hAnsi="宋体"/>
          <w:bCs/>
        </w:rPr>
      </w:pPr>
      <w:r>
        <w:rPr>
          <w:rFonts w:hint="eastAsia" w:ascii="宋体" w:hAnsi="宋体"/>
          <w:bCs/>
        </w:rPr>
        <w:t>试运行报告、项目总结报告、验收报告等；</w:t>
      </w:r>
    </w:p>
    <w:p>
      <w:pPr>
        <w:adjustRightInd w:val="0"/>
        <w:snapToGrid w:val="0"/>
        <w:ind w:firstLine="0" w:firstLineChars="0"/>
        <w:rPr>
          <w:rFonts w:hint="eastAsia" w:ascii="宋体" w:hAnsi="宋体"/>
        </w:rPr>
      </w:pPr>
    </w:p>
    <w:p>
      <w:pPr>
        <w:pStyle w:val="7"/>
        <w:ind w:firstLine="602"/>
      </w:pPr>
      <w:r>
        <w:rPr>
          <w:rFonts w:hint="eastAsia"/>
        </w:rPr>
        <w:t>系统维护、售后服务和培训</w:t>
      </w:r>
    </w:p>
    <w:p>
      <w:pPr>
        <w:pStyle w:val="8"/>
        <w:spacing w:before="0" w:after="0"/>
        <w:ind w:left="0" w:firstLine="562"/>
      </w:pPr>
      <w:r>
        <w:rPr>
          <w:rFonts w:hint="eastAsia"/>
        </w:rPr>
        <w:t>免费维护期</w:t>
      </w:r>
    </w:p>
    <w:p>
      <w:pPr>
        <w:pStyle w:val="29"/>
        <w:spacing w:line="360" w:lineRule="auto"/>
        <w:ind w:firstLine="480"/>
        <w:rPr>
          <w:rFonts w:hint="eastAsia" w:ascii="宋体" w:hAnsi="宋体"/>
          <w:szCs w:val="24"/>
        </w:rPr>
      </w:pPr>
      <w:r>
        <w:rPr>
          <w:rFonts w:hint="eastAsia" w:ascii="宋体" w:hAnsi="宋体"/>
          <w:szCs w:val="24"/>
        </w:rPr>
        <w:t>响应供应商在上海设立常驻售后服务机构，提供</w:t>
      </w:r>
      <w:r>
        <w:rPr>
          <w:rFonts w:ascii="宋体" w:hAnsi="宋体"/>
          <w:szCs w:val="24"/>
        </w:rPr>
        <w:t>应用软件</w:t>
      </w:r>
      <w:r>
        <w:rPr>
          <w:rFonts w:hint="eastAsia" w:ascii="宋体" w:hAnsi="宋体"/>
          <w:szCs w:val="24"/>
        </w:rPr>
        <w:t>验收后1年的</w:t>
      </w:r>
      <w:r>
        <w:rPr>
          <w:rFonts w:ascii="宋体" w:hAnsi="宋体"/>
          <w:szCs w:val="24"/>
        </w:rPr>
        <w:t>7*24小时</w:t>
      </w:r>
      <w:r>
        <w:rPr>
          <w:rFonts w:hint="eastAsia" w:ascii="宋体" w:hAnsi="宋体"/>
          <w:szCs w:val="24"/>
        </w:rPr>
        <w:t>的</w:t>
      </w:r>
      <w:r>
        <w:rPr>
          <w:rFonts w:ascii="宋体" w:hAnsi="宋体"/>
          <w:szCs w:val="24"/>
        </w:rPr>
        <w:t>免费维护</w:t>
      </w:r>
      <w:r>
        <w:rPr>
          <w:rFonts w:hint="eastAsia" w:ascii="宋体" w:hAnsi="宋体"/>
          <w:szCs w:val="24"/>
        </w:rPr>
        <w:t>。响应供应商所提供的应用软件维护服务需包括但不限于免费功能增强性维护、软件升级和免费技术维护服务（如系统维护、跟踪检测等），保证响应供应商所投软件系统的正常运行。免费维护期内响应供应商应对系统进行优化和常规安全检查，并提供每月2次的定时维护服务；响应供应商应在接到报修电话通知后1小时内响应，2小时内赶到现场处理故障，4小时内修复，并使系统恢复正常运行。</w:t>
      </w:r>
    </w:p>
    <w:p>
      <w:pPr>
        <w:pStyle w:val="29"/>
        <w:spacing w:line="360" w:lineRule="auto"/>
        <w:ind w:firstLine="480"/>
        <w:rPr>
          <w:rFonts w:hint="eastAsia" w:ascii="宋体" w:hAnsi="宋体"/>
          <w:szCs w:val="24"/>
        </w:rPr>
      </w:pPr>
      <w:r>
        <w:rPr>
          <w:rFonts w:hint="eastAsia" w:ascii="宋体" w:hAnsi="宋体"/>
          <w:szCs w:val="24"/>
          <w:lang w:val="en-US" w:eastAsia="zh-CN"/>
        </w:rPr>
        <w:t>配套硬件</w:t>
      </w:r>
      <w:r>
        <w:rPr>
          <w:rFonts w:hint="eastAsia" w:ascii="宋体" w:hAnsi="宋体"/>
          <w:szCs w:val="24"/>
        </w:rPr>
        <w:t>免费维护期为自验收之日起3年，</w:t>
      </w:r>
      <w:r>
        <w:rPr>
          <w:rFonts w:hint="eastAsia" w:ascii="宋体" w:hAnsi="宋体"/>
          <w:szCs w:val="24"/>
          <w:lang w:val="en-US" w:eastAsia="zh-CN"/>
        </w:rPr>
        <w:t>应用</w:t>
      </w:r>
      <w:r>
        <w:rPr>
          <w:rFonts w:hint="eastAsia" w:ascii="宋体" w:hAnsi="宋体"/>
          <w:szCs w:val="24"/>
        </w:rPr>
        <w:t>软件免费维护期为自验收之日起1年。</w:t>
      </w:r>
    </w:p>
    <w:p>
      <w:pPr>
        <w:pStyle w:val="8"/>
        <w:spacing w:before="0" w:after="0"/>
        <w:ind w:left="0" w:firstLine="562"/>
      </w:pPr>
      <w:r>
        <w:rPr>
          <w:rFonts w:hint="eastAsia"/>
        </w:rPr>
        <w:t>售后服务</w:t>
      </w:r>
    </w:p>
    <w:p>
      <w:pPr>
        <w:numPr>
          <w:ilvl w:val="0"/>
          <w:numId w:val="12"/>
        </w:numPr>
        <w:adjustRightInd w:val="0"/>
        <w:snapToGrid w:val="0"/>
        <w:ind w:left="0" w:firstLine="480"/>
        <w:rPr>
          <w:rFonts w:hint="eastAsia" w:ascii="宋体" w:hAnsi="宋体"/>
        </w:rPr>
      </w:pPr>
      <w:r>
        <w:rPr>
          <w:rFonts w:ascii="宋体" w:hAnsi="宋体"/>
          <w:bCs/>
        </w:rPr>
        <w:t>响应供应商负责所供</w:t>
      </w:r>
      <w:r>
        <w:rPr>
          <w:rFonts w:hint="eastAsia" w:ascii="宋体" w:hAnsi="宋体"/>
          <w:bCs/>
        </w:rPr>
        <w:t>软件</w:t>
      </w:r>
      <w:r>
        <w:rPr>
          <w:rFonts w:ascii="宋体" w:hAnsi="宋体"/>
          <w:bCs/>
        </w:rPr>
        <w:t>及配套产品的售后服务，包括提供所供产品技术咨询、技术培训、</w:t>
      </w:r>
      <w:r>
        <w:rPr>
          <w:rFonts w:ascii="宋体" w:hAnsi="宋体"/>
        </w:rPr>
        <w:t>到货验收、安装调试以及负责所供产品的保修及其它售后技术服务。</w:t>
      </w:r>
    </w:p>
    <w:p>
      <w:pPr>
        <w:numPr>
          <w:ilvl w:val="0"/>
          <w:numId w:val="12"/>
        </w:numPr>
        <w:adjustRightInd w:val="0"/>
        <w:snapToGrid w:val="0"/>
        <w:ind w:left="0" w:firstLine="480"/>
        <w:rPr>
          <w:rFonts w:hint="eastAsia" w:ascii="宋体" w:hAnsi="宋体"/>
        </w:rPr>
      </w:pPr>
      <w:r>
        <w:rPr>
          <w:rFonts w:ascii="宋体" w:hAnsi="宋体"/>
        </w:rPr>
        <w:t>响应供应商</w:t>
      </w:r>
      <w:r>
        <w:rPr>
          <w:rFonts w:hint="eastAsia" w:ascii="宋体" w:hAnsi="宋体"/>
        </w:rPr>
        <w:t>需</w:t>
      </w:r>
      <w:r>
        <w:rPr>
          <w:rFonts w:ascii="宋体" w:hAnsi="宋体"/>
        </w:rPr>
        <w:t>作出无推诿承诺。即响应供应商应提供特殊措施，无论由于哪一方产生的问题而使系统发生不正常情况时，在得到</w:t>
      </w:r>
      <w:r>
        <w:rPr>
          <w:rFonts w:hint="eastAsia" w:ascii="宋体" w:hAnsi="宋体"/>
        </w:rPr>
        <w:t>用户</w:t>
      </w:r>
      <w:r>
        <w:rPr>
          <w:rFonts w:ascii="宋体" w:hAnsi="宋体"/>
        </w:rPr>
        <w:t>方或系统集成商通知后，立即派工程师到现场，全力协助系统集成商和其他供应商，使系统尽快恢复正常。</w:t>
      </w:r>
    </w:p>
    <w:p>
      <w:pPr>
        <w:numPr>
          <w:ilvl w:val="0"/>
          <w:numId w:val="12"/>
        </w:numPr>
        <w:adjustRightInd w:val="0"/>
        <w:snapToGrid w:val="0"/>
        <w:ind w:left="0" w:firstLine="480"/>
        <w:rPr>
          <w:rFonts w:hint="eastAsia" w:ascii="宋体" w:hAnsi="宋体"/>
        </w:rPr>
      </w:pPr>
      <w:r>
        <w:rPr>
          <w:rFonts w:ascii="宋体" w:hAnsi="宋体"/>
        </w:rPr>
        <w:t>响应供应商应提供中文电话免费咨询服务。</w:t>
      </w:r>
    </w:p>
    <w:p>
      <w:pPr>
        <w:numPr>
          <w:ilvl w:val="0"/>
          <w:numId w:val="12"/>
        </w:numPr>
        <w:adjustRightInd w:val="0"/>
        <w:snapToGrid w:val="0"/>
        <w:ind w:left="0" w:firstLine="480"/>
        <w:rPr>
          <w:rFonts w:hint="eastAsia" w:ascii="宋体" w:hAnsi="宋体"/>
        </w:rPr>
      </w:pPr>
      <w:r>
        <w:rPr>
          <w:rFonts w:ascii="宋体" w:hAnsi="宋体"/>
        </w:rPr>
        <w:t>在质保期结束前，需由响应供应商工程师和用户代表进行一次全面检查，任何缺陷由响应供应商负责修理，在修理之后，响应供应商应将缺陷原因、修理内容、完成修理及恢复正常的时间和日期等报告给用户，报告一式两份。</w:t>
      </w:r>
    </w:p>
    <w:p>
      <w:pPr>
        <w:numPr>
          <w:ilvl w:val="0"/>
          <w:numId w:val="12"/>
        </w:numPr>
        <w:adjustRightInd w:val="0"/>
        <w:snapToGrid w:val="0"/>
        <w:ind w:left="0" w:firstLine="480"/>
        <w:rPr>
          <w:rFonts w:hint="eastAsia" w:ascii="宋体" w:hAnsi="宋体"/>
        </w:rPr>
      </w:pPr>
      <w:r>
        <w:rPr>
          <w:rFonts w:ascii="宋体" w:hAnsi="宋体"/>
        </w:rPr>
        <w:t>为切实保障应用软件功能系统的顺利运行，总体方案需要考虑相关的培训功能。为工程提供优质的整体服务，保障工程的整体质量。培训应包括对运行平台的技术培训，以及对应用功能软件的操作培训。</w:t>
      </w:r>
    </w:p>
    <w:p>
      <w:pPr>
        <w:numPr>
          <w:ilvl w:val="0"/>
          <w:numId w:val="12"/>
        </w:numPr>
        <w:adjustRightInd w:val="0"/>
        <w:snapToGrid w:val="0"/>
        <w:ind w:left="0" w:firstLine="480"/>
        <w:rPr>
          <w:rFonts w:hint="eastAsia" w:ascii="宋体" w:hAnsi="宋体"/>
        </w:rPr>
      </w:pPr>
      <w:r>
        <w:rPr>
          <w:rFonts w:ascii="宋体" w:hAnsi="宋体"/>
        </w:rPr>
        <w:t>需要在响应供应商方案书中对售后服务的任务内容和服务方式进行详细罗列与界定，对于需要用户方面配合的内容也可同时加以说明。</w:t>
      </w:r>
    </w:p>
    <w:p>
      <w:pPr>
        <w:numPr>
          <w:ilvl w:val="0"/>
          <w:numId w:val="12"/>
        </w:numPr>
        <w:adjustRightInd w:val="0"/>
        <w:snapToGrid w:val="0"/>
        <w:ind w:left="0" w:firstLine="480"/>
        <w:rPr>
          <w:rFonts w:hint="eastAsia" w:ascii="宋体" w:hAnsi="宋体"/>
        </w:rPr>
      </w:pPr>
      <w:r>
        <w:rPr>
          <w:rFonts w:hint="eastAsia" w:ascii="宋体" w:hAnsi="宋体"/>
        </w:rPr>
        <w:t>用户</w:t>
      </w:r>
      <w:r>
        <w:rPr>
          <w:rFonts w:ascii="宋体" w:hAnsi="宋体"/>
        </w:rPr>
        <w:t>方有权要求响应供应商、原产品制造厂家和</w:t>
      </w:r>
      <w:r>
        <w:rPr>
          <w:rFonts w:hint="eastAsia" w:ascii="宋体" w:hAnsi="宋体"/>
        </w:rPr>
        <w:t>用户方</w:t>
      </w:r>
      <w:r>
        <w:rPr>
          <w:rFonts w:ascii="宋体" w:hAnsi="宋体"/>
        </w:rPr>
        <w:t>指定的系统集成商共同签署书面文件，就响应供应商向</w:t>
      </w:r>
      <w:r>
        <w:rPr>
          <w:rFonts w:hint="eastAsia" w:ascii="宋体" w:hAnsi="宋体"/>
        </w:rPr>
        <w:t>用户</w:t>
      </w:r>
      <w:r>
        <w:rPr>
          <w:rFonts w:ascii="宋体" w:hAnsi="宋体"/>
        </w:rPr>
        <w:t>方提供设备的售后服务内容、质量保证、各自责任和合作事项等达成协议并共同对用户的利益负责。</w:t>
      </w:r>
    </w:p>
    <w:p>
      <w:pPr>
        <w:numPr>
          <w:ilvl w:val="0"/>
          <w:numId w:val="12"/>
        </w:numPr>
        <w:adjustRightInd w:val="0"/>
        <w:snapToGrid w:val="0"/>
        <w:ind w:left="0" w:firstLine="480"/>
        <w:rPr>
          <w:rFonts w:hint="eastAsia" w:ascii="宋体" w:hAnsi="宋体"/>
        </w:rPr>
      </w:pPr>
      <w:r>
        <w:rPr>
          <w:rFonts w:ascii="宋体" w:hAnsi="宋体"/>
        </w:rPr>
        <w:t>响应供应商</w:t>
      </w:r>
      <w:r>
        <w:rPr>
          <w:rFonts w:hint="eastAsia" w:ascii="宋体" w:hAnsi="宋体"/>
        </w:rPr>
        <w:t>需提供免费维护期后的服务方案情况及年维护费用报价情况。</w:t>
      </w:r>
    </w:p>
    <w:p>
      <w:pPr>
        <w:pStyle w:val="8"/>
        <w:spacing w:before="0" w:after="0"/>
        <w:ind w:left="0" w:firstLine="562"/>
      </w:pPr>
      <w:r>
        <w:rPr>
          <w:rFonts w:hint="eastAsia"/>
        </w:rPr>
        <w:t>人员培训</w:t>
      </w:r>
    </w:p>
    <w:p>
      <w:pPr>
        <w:autoSpaceDE w:val="0"/>
        <w:autoSpaceDN w:val="0"/>
        <w:adjustRightInd w:val="0"/>
        <w:snapToGrid w:val="0"/>
        <w:ind w:firstLine="480"/>
        <w:rPr>
          <w:rFonts w:hint="eastAsia" w:ascii="宋体" w:hAnsi="宋体"/>
          <w:bCs/>
        </w:rPr>
      </w:pPr>
      <w:r>
        <w:rPr>
          <w:rFonts w:hint="eastAsia" w:ascii="宋体" w:hAnsi="宋体"/>
        </w:rPr>
        <w:t>响应供应商应负责使用人员的培训及考核。并在项目实施后继续按照用户方要求继续定期培训和考核（包括远程在线培训以及培训过程的DVD、视频录制）。培训对象包括用户方的系统管理员、日常维护人员、技术层面人员（包括系统开发、程序版本控制、数据库维护）；用户方的管理人员、操作员。系统管理人员培训内容为系统中涉及的相关技术内容；管理人员培训内容为系统流程和相关管理思想；操作员培训内容为系统的操作培训</w:t>
      </w:r>
      <w:r>
        <w:rPr>
          <w:rFonts w:hint="eastAsia" w:ascii="宋体" w:hAnsi="宋体"/>
          <w:bCs/>
        </w:rPr>
        <w:t>。</w:t>
      </w:r>
    </w:p>
    <w:p>
      <w:pPr>
        <w:pStyle w:val="7"/>
        <w:ind w:firstLine="602"/>
      </w:pPr>
      <w:r>
        <w:t>知识产权承诺</w:t>
      </w:r>
    </w:p>
    <w:p>
      <w:pPr>
        <w:numPr>
          <w:ilvl w:val="0"/>
          <w:numId w:val="13"/>
        </w:numPr>
        <w:adjustRightInd w:val="0"/>
        <w:snapToGrid w:val="0"/>
        <w:ind w:left="0" w:firstLine="480"/>
        <w:rPr>
          <w:rFonts w:hint="eastAsia" w:ascii="宋体" w:hAnsi="宋体"/>
          <w:bCs/>
        </w:rPr>
      </w:pPr>
      <w:r>
        <w:rPr>
          <w:rFonts w:hint="eastAsia" w:ascii="宋体" w:hAnsi="宋体"/>
          <w:bCs/>
        </w:rPr>
        <w:t>本</w:t>
      </w:r>
      <w:r>
        <w:rPr>
          <w:rFonts w:ascii="宋体" w:hAnsi="宋体"/>
          <w:bCs/>
        </w:rPr>
        <w:t>项目</w:t>
      </w:r>
      <w:r>
        <w:rPr>
          <w:rFonts w:hint="eastAsia" w:ascii="宋体" w:hAnsi="宋体"/>
          <w:bCs/>
        </w:rPr>
        <w:t>中形成的知识产权（包含需求分析、系统设计、软件程序、核心技术、</w:t>
      </w:r>
      <w:r>
        <w:rPr>
          <w:rFonts w:ascii="宋体" w:hAnsi="宋体"/>
          <w:bCs/>
        </w:rPr>
        <w:t>数据</w:t>
      </w:r>
      <w:r>
        <w:rPr>
          <w:rFonts w:hint="eastAsia" w:ascii="宋体" w:hAnsi="宋体"/>
          <w:bCs/>
        </w:rPr>
        <w:t>标准、接口规范、知识库、专有方法、模板、工具包、培训材料、专有数据、技</w:t>
      </w:r>
      <w:r>
        <w:rPr>
          <w:rFonts w:ascii="宋体" w:hAnsi="宋体"/>
          <w:bCs/>
        </w:rPr>
        <w:t>术文档</w:t>
      </w:r>
      <w:r>
        <w:rPr>
          <w:rFonts w:hint="eastAsia" w:ascii="宋体" w:hAnsi="宋体"/>
          <w:bCs/>
        </w:rPr>
        <w:t>、服务模式、</w:t>
      </w:r>
      <w:r>
        <w:rPr>
          <w:rFonts w:ascii="宋体" w:hAnsi="宋体"/>
          <w:bCs/>
        </w:rPr>
        <w:t>运作</w:t>
      </w:r>
      <w:r>
        <w:rPr>
          <w:rFonts w:hint="eastAsia" w:ascii="宋体" w:hAnsi="宋体"/>
          <w:bCs/>
        </w:rPr>
        <w:t>模式、系统建设指南等，但不限于上述形式</w:t>
      </w:r>
      <w:r>
        <w:rPr>
          <w:rFonts w:ascii="宋体" w:hAnsi="宋体"/>
          <w:bCs/>
        </w:rPr>
        <w:t>）</w:t>
      </w:r>
      <w:r>
        <w:rPr>
          <w:rFonts w:hint="eastAsia" w:ascii="宋体" w:hAnsi="宋体"/>
          <w:bCs/>
        </w:rPr>
        <w:t>归建设单位所有。响应供应商向建设单位交付的信息系统已享有知识产权的，建设单位在许可范围内合理使用。</w:t>
      </w:r>
    </w:p>
    <w:p>
      <w:pPr>
        <w:numPr>
          <w:ilvl w:val="0"/>
          <w:numId w:val="13"/>
        </w:numPr>
        <w:adjustRightInd w:val="0"/>
        <w:snapToGrid w:val="0"/>
        <w:ind w:left="0" w:firstLine="480"/>
        <w:rPr>
          <w:rFonts w:hint="eastAsia" w:ascii="宋体" w:hAnsi="宋体"/>
          <w:bCs/>
        </w:rPr>
      </w:pPr>
      <w:r>
        <w:rPr>
          <w:rFonts w:hint="eastAsia" w:ascii="宋体" w:hAnsi="宋体"/>
          <w:bCs/>
        </w:rPr>
        <w:t>本</w:t>
      </w:r>
      <w:r>
        <w:rPr>
          <w:rFonts w:ascii="宋体" w:hAnsi="宋体"/>
          <w:bCs/>
        </w:rPr>
        <w:t>项目</w:t>
      </w:r>
      <w:r>
        <w:rPr>
          <w:rFonts w:hint="eastAsia" w:ascii="宋体" w:hAnsi="宋体"/>
          <w:bCs/>
        </w:rPr>
        <w:t>中形成的知识产权的申请权、所有权与利益（包括：专利权、商标权、著作权、</w:t>
      </w:r>
      <w:r>
        <w:fldChar w:fldCharType="begin"/>
      </w:r>
      <w: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fldChar w:fldCharType="separate"/>
      </w:r>
      <w:r>
        <w:rPr>
          <w:rFonts w:hint="eastAsia" w:ascii="宋体" w:hAnsi="宋体"/>
          <w:bCs/>
        </w:rPr>
        <w:t>商业秘密</w:t>
      </w:r>
      <w:r>
        <w:rPr>
          <w:rFonts w:hint="eastAsia" w:ascii="宋体" w:hAnsi="宋体"/>
          <w:bCs/>
        </w:rPr>
        <w:fldChar w:fldCharType="end"/>
      </w:r>
      <w:r>
        <w:rPr>
          <w:rFonts w:hint="eastAsia" w:ascii="宋体" w:hAnsi="宋体"/>
          <w:bCs/>
        </w:rPr>
        <w:t>专有权等，</w:t>
      </w:r>
      <w:r>
        <w:rPr>
          <w:rFonts w:ascii="宋体" w:hAnsi="宋体"/>
          <w:bCs/>
        </w:rPr>
        <w:t>但</w:t>
      </w:r>
      <w:r>
        <w:rPr>
          <w:rFonts w:hint="eastAsia" w:ascii="宋体" w:hAnsi="宋体"/>
          <w:bCs/>
        </w:rPr>
        <w:t>不限于上述权益的申请权）归建设单位所有。未经建设单位书面同意，响应供应商不得以任何形式申请。</w:t>
      </w:r>
    </w:p>
    <w:p>
      <w:pPr>
        <w:numPr>
          <w:ilvl w:val="0"/>
          <w:numId w:val="13"/>
        </w:numPr>
        <w:adjustRightInd w:val="0"/>
        <w:snapToGrid w:val="0"/>
        <w:ind w:left="0" w:firstLine="480"/>
        <w:rPr>
          <w:rFonts w:hint="eastAsia" w:ascii="宋体" w:hAnsi="宋体"/>
          <w:bCs/>
        </w:rPr>
      </w:pPr>
      <w:r>
        <w:rPr>
          <w:rFonts w:hint="eastAsia" w:ascii="宋体" w:hAnsi="宋体"/>
          <w:bCs/>
        </w:rPr>
        <w:t>响应供应商不得以任何形式侵害本项目中形成的知识产权。未经建设单位书面同意，响应供应商不得以任何形式提供或出售给同行业/同性质单位使用。若发生侵害行为，响应供应商则全额赔付建设单位本项目中标金额以及响应供应商通过侵害行为获得的全部收益。</w:t>
      </w:r>
    </w:p>
    <w:p>
      <w:pPr>
        <w:numPr>
          <w:ilvl w:val="0"/>
          <w:numId w:val="13"/>
        </w:numPr>
        <w:adjustRightInd w:val="0"/>
        <w:snapToGrid w:val="0"/>
        <w:ind w:left="0" w:firstLine="480"/>
        <w:rPr>
          <w:rFonts w:hint="eastAsia" w:ascii="宋体" w:hAnsi="宋体"/>
          <w:bCs/>
        </w:rPr>
      </w:pPr>
      <w:r>
        <w:rPr>
          <w:rFonts w:hint="eastAsia" w:ascii="宋体" w:hAnsi="宋体"/>
          <w:bCs/>
        </w:rPr>
        <w:t>没有建设单位明示的书面同意，响应供应商不能作出关于本</w:t>
      </w:r>
      <w:r>
        <w:rPr>
          <w:rFonts w:ascii="宋体" w:hAnsi="宋体"/>
          <w:bCs/>
        </w:rPr>
        <w:t>项目</w:t>
      </w:r>
      <w:r>
        <w:rPr>
          <w:rFonts w:hint="eastAsia" w:ascii="宋体" w:hAnsi="宋体"/>
          <w:bCs/>
        </w:rPr>
        <w:t>或者其条款的任何新闻公告、媒体宣传或其他形式的公开披露。</w:t>
      </w:r>
    </w:p>
    <w:p>
      <w:pPr>
        <w:numPr>
          <w:ilvl w:val="0"/>
          <w:numId w:val="13"/>
        </w:numPr>
        <w:adjustRightInd w:val="0"/>
        <w:snapToGrid w:val="0"/>
        <w:ind w:left="0" w:firstLine="480"/>
        <w:rPr>
          <w:rFonts w:hint="eastAsia" w:ascii="宋体" w:hAnsi="宋体"/>
          <w:bCs/>
        </w:rPr>
      </w:pPr>
      <w:r>
        <w:rPr>
          <w:rFonts w:hint="eastAsia" w:ascii="宋体" w:hAnsi="宋体"/>
          <w:bCs/>
        </w:rPr>
        <w:t>响应供应商提供的产品和服务等不得侵犯任何第三方的知识产权。若发生侵权行为，一切法律责任、</w:t>
      </w:r>
      <w:r>
        <w:rPr>
          <w:rFonts w:ascii="宋体" w:hAnsi="宋体"/>
          <w:bCs/>
        </w:rPr>
        <w:t>后果</w:t>
      </w:r>
      <w:r>
        <w:rPr>
          <w:rFonts w:hint="eastAsia" w:ascii="宋体" w:hAnsi="宋体"/>
          <w:bCs/>
        </w:rPr>
        <w:t>及损失均由响应供应商承担，建设单位不承担任何法律责任及后果，且保留追责权。</w:t>
      </w:r>
    </w:p>
    <w:p>
      <w:pPr>
        <w:pStyle w:val="7"/>
        <w:ind w:firstLine="602"/>
      </w:pPr>
      <w:r>
        <w:rPr>
          <w:rFonts w:hint="eastAsia"/>
        </w:rPr>
        <w:t>保密承诺</w:t>
      </w:r>
    </w:p>
    <w:p>
      <w:pPr>
        <w:numPr>
          <w:ilvl w:val="0"/>
          <w:numId w:val="14"/>
        </w:numPr>
        <w:adjustRightInd w:val="0"/>
        <w:snapToGrid w:val="0"/>
        <w:ind w:left="0" w:firstLine="480"/>
        <w:rPr>
          <w:rFonts w:hint="eastAsia" w:ascii="宋体" w:hAnsi="宋体"/>
          <w:bCs/>
        </w:rPr>
      </w:pPr>
      <w:r>
        <w:rPr>
          <w:rFonts w:hint="eastAsia" w:ascii="宋体" w:hAnsi="宋体"/>
          <w:bCs/>
        </w:rPr>
        <w:t>响应供应商承诺参与本项目的所有服务人员需严格保守与本</w:t>
      </w:r>
      <w:r>
        <w:rPr>
          <w:rFonts w:ascii="宋体" w:hAnsi="宋体"/>
          <w:bCs/>
        </w:rPr>
        <w:t>项目</w:t>
      </w:r>
      <w:r>
        <w:rPr>
          <w:rFonts w:hint="eastAsia" w:ascii="宋体" w:hAnsi="宋体"/>
          <w:bCs/>
        </w:rPr>
        <w:t>有关的技术秘密和商业秘密，任何涉及建设单位及使用单位的信息，包括但不限于数据、特有的功能需求等，未得到建设单位及使用单位的书面同意，不得对任何第三方展示、举例乃至销售，否则响应供应商将承担由此产生的一切后果。</w:t>
      </w:r>
    </w:p>
    <w:p>
      <w:pPr>
        <w:numPr>
          <w:ilvl w:val="0"/>
          <w:numId w:val="14"/>
        </w:numPr>
        <w:adjustRightInd w:val="0"/>
        <w:snapToGrid w:val="0"/>
        <w:ind w:left="0" w:firstLine="480"/>
        <w:rPr>
          <w:rFonts w:hint="eastAsia" w:ascii="宋体" w:hAnsi="宋体"/>
          <w:bCs/>
        </w:rPr>
      </w:pPr>
      <w:r>
        <w:rPr>
          <w:rFonts w:hint="eastAsia" w:ascii="宋体" w:hAnsi="宋体"/>
          <w:bCs/>
        </w:rPr>
        <w:t>响应供应商不以实施项目为名，侵害本项目各参与单位的技术、商业秘密或者知识产权。</w:t>
      </w:r>
    </w:p>
    <w:p>
      <w:pPr>
        <w:pStyle w:val="7"/>
        <w:ind w:firstLine="602"/>
      </w:pPr>
      <w:r>
        <w:rPr>
          <w:rFonts w:hint="eastAsia"/>
        </w:rPr>
        <w:t>其他要求</w:t>
      </w:r>
    </w:p>
    <w:p>
      <w:pPr>
        <w:adjustRightInd w:val="0"/>
        <w:snapToGrid w:val="0"/>
        <w:ind w:firstLine="482"/>
        <w:rPr>
          <w:rFonts w:hint="eastAsia" w:ascii="宋体" w:hAnsi="宋体"/>
        </w:rPr>
      </w:pPr>
      <w:r>
        <w:rPr>
          <w:rFonts w:hint="eastAsia" w:ascii="宋体" w:hAnsi="宋体"/>
          <w:b/>
        </w:rPr>
        <w:t>报价说明：</w:t>
      </w:r>
      <w:r>
        <w:rPr>
          <w:rFonts w:hint="eastAsia" w:ascii="宋体" w:hAnsi="宋体"/>
        </w:rPr>
        <w:t>本系统所涉及运行的各类模块与医院现有相关系统对接开发费用，应包括在本次投报总价中，用户不再另行支付相关费用。</w:t>
      </w:r>
    </w:p>
    <w:p>
      <w:pPr>
        <w:pStyle w:val="3"/>
        <w:ind w:firstLine="643" w:firstLineChars="0"/>
      </w:pPr>
      <w:r>
        <w:rPr>
          <w:rFonts w:hint="eastAsia"/>
        </w:rPr>
        <w:t>响应供应商要求</w:t>
      </w:r>
    </w:p>
    <w:p>
      <w:pPr>
        <w:numPr>
          <w:ilvl w:val="0"/>
          <w:numId w:val="0"/>
        </w:numPr>
        <w:adjustRightInd w:val="0"/>
        <w:snapToGrid w:val="0"/>
        <w:ind w:left="0" w:leftChars="0" w:firstLine="480" w:firstLineChars="200"/>
        <w:rPr>
          <w:rFonts w:hint="eastAsia" w:ascii="宋体" w:hAnsi="宋体"/>
          <w:bCs/>
        </w:rPr>
      </w:pPr>
      <w:r>
        <w:rPr>
          <w:rFonts w:hint="eastAsia" w:ascii="宋体" w:hAnsi="宋体" w:eastAsia="宋体" w:cstheme="minorBidi"/>
          <w:bCs/>
          <w:kern w:val="2"/>
          <w:sz w:val="24"/>
          <w:szCs w:val="24"/>
          <w:lang w:val="en-US" w:eastAsia="zh-CN" w:bidi="ar-SA"/>
        </w:rPr>
        <w:t>1)</w:t>
      </w:r>
      <w:r>
        <w:rPr>
          <w:rFonts w:hint="eastAsia" w:ascii="宋体" w:hAnsi="宋体"/>
          <w:bCs/>
        </w:rPr>
        <w:t>响应供应商需提供相应的技术服务，在满足用户方的应用与需求的前提下，配合完成与相关的系统集成工作。</w:t>
      </w:r>
    </w:p>
    <w:p>
      <w:pPr>
        <w:numPr>
          <w:ilvl w:val="0"/>
          <w:numId w:val="0"/>
        </w:numPr>
        <w:adjustRightInd w:val="0"/>
        <w:snapToGrid w:val="0"/>
        <w:ind w:left="0" w:leftChars="0" w:firstLine="480" w:firstLineChars="200"/>
        <w:rPr>
          <w:rFonts w:hint="eastAsia" w:ascii="宋体" w:hAnsi="宋体"/>
          <w:bCs/>
        </w:rPr>
      </w:pPr>
      <w:r>
        <w:rPr>
          <w:rFonts w:hint="eastAsia" w:ascii="宋体" w:hAnsi="宋体" w:eastAsia="宋体" w:cstheme="minorBidi"/>
          <w:bCs/>
          <w:kern w:val="2"/>
          <w:sz w:val="24"/>
          <w:szCs w:val="24"/>
          <w:lang w:val="en-US" w:eastAsia="zh-CN" w:bidi="ar-SA"/>
        </w:rPr>
        <w:t>2)</w:t>
      </w:r>
      <w:r>
        <w:rPr>
          <w:rFonts w:hint="eastAsia" w:ascii="宋体" w:hAnsi="宋体"/>
          <w:bCs/>
        </w:rPr>
        <w:t>响应供应商提供的产品及其配置应该是安全、可靠和成熟的，不是技术上已经或即将淘汰的。</w:t>
      </w:r>
    </w:p>
    <w:p>
      <w:pPr>
        <w:numPr>
          <w:ilvl w:val="0"/>
          <w:numId w:val="0"/>
        </w:numPr>
        <w:adjustRightInd w:val="0"/>
        <w:snapToGrid w:val="0"/>
        <w:ind w:left="0" w:leftChars="0" w:firstLine="480" w:firstLineChars="200"/>
        <w:rPr>
          <w:rFonts w:hint="eastAsia" w:ascii="宋体" w:hAnsi="宋体"/>
          <w:bCs/>
        </w:rPr>
      </w:pPr>
      <w:r>
        <w:rPr>
          <w:rFonts w:hint="eastAsia" w:ascii="宋体" w:hAnsi="宋体" w:eastAsia="宋体" w:cstheme="minorBidi"/>
          <w:bCs/>
          <w:kern w:val="2"/>
          <w:sz w:val="24"/>
          <w:szCs w:val="24"/>
          <w:lang w:val="en-US" w:eastAsia="zh-CN" w:bidi="ar-SA"/>
        </w:rPr>
        <w:t>3)</w:t>
      </w:r>
      <w:r>
        <w:rPr>
          <w:rFonts w:hint="eastAsia" w:ascii="宋体" w:hAnsi="宋体"/>
          <w:bCs/>
        </w:rPr>
        <w:t>响应供应商提供的产品在升级、扩展时不应改变整个系统的结构、通信方式、管理模式，不应破坏应用软件的正常工作环境。</w:t>
      </w:r>
    </w:p>
    <w:p>
      <w:pPr>
        <w:numPr>
          <w:ilvl w:val="0"/>
          <w:numId w:val="0"/>
        </w:numPr>
        <w:adjustRightInd w:val="0"/>
        <w:snapToGrid w:val="0"/>
        <w:ind w:left="0" w:leftChars="0" w:firstLine="480" w:firstLineChars="200"/>
        <w:rPr>
          <w:rFonts w:hint="eastAsia" w:ascii="宋体" w:hAnsi="宋体"/>
          <w:bCs/>
        </w:rPr>
      </w:pPr>
      <w:r>
        <w:rPr>
          <w:rFonts w:hint="eastAsia" w:ascii="宋体" w:hAnsi="宋体" w:eastAsia="宋体" w:cstheme="minorBidi"/>
          <w:bCs/>
          <w:kern w:val="2"/>
          <w:sz w:val="24"/>
          <w:szCs w:val="24"/>
          <w:lang w:val="en-US" w:eastAsia="zh-CN" w:bidi="ar-SA"/>
        </w:rPr>
        <w:t>4)</w:t>
      </w:r>
      <w:r>
        <w:rPr>
          <w:rFonts w:hint="eastAsia" w:ascii="宋体" w:hAnsi="宋体"/>
          <w:bCs/>
        </w:rPr>
        <w:t>响应供应商应该保证所提供的所有产品皆不侵犯任何第三方的版权、知识产权和其他合法权利。</w:t>
      </w:r>
    </w:p>
    <w:p>
      <w:pPr>
        <w:numPr>
          <w:ilvl w:val="0"/>
          <w:numId w:val="0"/>
        </w:numPr>
        <w:adjustRightInd w:val="0"/>
        <w:snapToGrid w:val="0"/>
        <w:ind w:left="0" w:leftChars="0" w:firstLine="480" w:firstLineChars="200"/>
      </w:pPr>
      <w:r>
        <w:rPr>
          <w:rFonts w:eastAsia="宋体" w:asciiTheme="minorHAnsi" w:hAnsiTheme="minorHAnsi" w:cstheme="minorBidi"/>
          <w:kern w:val="2"/>
          <w:sz w:val="24"/>
          <w:szCs w:val="24"/>
          <w:lang w:val="en-US" w:eastAsia="zh-CN" w:bidi="ar-SA"/>
        </w:rPr>
        <w:t>5)</w:t>
      </w:r>
      <w:r>
        <w:rPr>
          <w:rFonts w:ascii="宋体" w:hAnsi="宋体"/>
          <w:bCs/>
        </w:rPr>
        <w:t>用户</w:t>
      </w:r>
      <w:r>
        <w:rPr>
          <w:rFonts w:hint="eastAsia" w:ascii="宋体" w:hAnsi="宋体"/>
          <w:bCs/>
        </w:rPr>
        <w:t>可在保证满足</w:t>
      </w:r>
      <w:r>
        <w:rPr>
          <w:rFonts w:ascii="宋体" w:hAnsi="宋体"/>
          <w:bCs/>
        </w:rPr>
        <w:t>本项目应用需求</w:t>
      </w:r>
      <w:r>
        <w:rPr>
          <w:rFonts w:hint="eastAsia" w:ascii="宋体" w:hAnsi="宋体"/>
          <w:bCs/>
        </w:rPr>
        <w:t>的情况下</w:t>
      </w:r>
      <w:r>
        <w:rPr>
          <w:rFonts w:ascii="宋体" w:hAnsi="宋体"/>
          <w:bCs/>
        </w:rPr>
        <w:t>，</w:t>
      </w:r>
      <w:r>
        <w:rPr>
          <w:rFonts w:hint="eastAsia" w:ascii="宋体" w:hAnsi="宋体"/>
          <w:bCs/>
        </w:rPr>
        <w:t>调整</w:t>
      </w:r>
      <w:r>
        <w:rPr>
          <w:rFonts w:ascii="宋体" w:hAnsi="宋体"/>
          <w:bCs/>
        </w:rPr>
        <w:t>上述采购产品的数量和配置。</w:t>
      </w:r>
    </w:p>
    <w:p>
      <w:pPr>
        <w:rPr>
          <w:rFonts w:hint="eastAsia"/>
          <w:lang w:val="en-US" w:eastAsia="zh-CN"/>
        </w:rPr>
      </w:pPr>
      <w:r>
        <w:rPr>
          <w:rFonts w:hint="eastAsia"/>
          <w:lang w:val="en-US" w:eastAsia="zh-CN"/>
        </w:rPr>
        <w:t>6）项目负责人具有信息系统项目管理师证书、10年（含）以上类似经历的优先考虑。</w:t>
      </w:r>
    </w:p>
    <w:p>
      <w:pPr>
        <w:numPr>
          <w:ilvl w:val="0"/>
          <w:numId w:val="0"/>
        </w:numPr>
        <w:ind w:firstLine="480" w:firstLineChars="200"/>
        <w:rPr>
          <w:rFonts w:hint="eastAsia"/>
          <w:lang w:val="en-US" w:eastAsia="zh-CN"/>
        </w:rPr>
      </w:pPr>
      <w:r>
        <w:rPr>
          <w:rFonts w:hint="eastAsia" w:cstheme="minorBidi"/>
          <w:kern w:val="2"/>
          <w:sz w:val="24"/>
          <w:szCs w:val="24"/>
          <w:lang w:val="en-US" w:eastAsia="zh-CN" w:bidi="ar-SA"/>
        </w:rPr>
        <w:t>7</w:t>
      </w:r>
      <w:r>
        <w:rPr>
          <w:rFonts w:hint="eastAsia" w:eastAsia="宋体" w:asciiTheme="minorHAnsi" w:hAnsiTheme="minorHAnsi" w:cstheme="minorBidi"/>
          <w:kern w:val="2"/>
          <w:sz w:val="24"/>
          <w:szCs w:val="24"/>
          <w:lang w:val="en-US" w:eastAsia="zh-CN" w:bidi="ar-SA"/>
        </w:rPr>
        <w:t>）</w:t>
      </w:r>
      <w:r>
        <w:rPr>
          <w:rFonts w:hint="eastAsia"/>
          <w:lang w:val="en-US" w:eastAsia="zh-CN"/>
        </w:rPr>
        <w:t>供应商具有ISO9001质量管理体系认证证书、ISO20000信息技术服务管理体系认证证书、拥有ISO27001信息安全管理体系认证证书的优先考虑。</w:t>
      </w: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ingFang SC">
    <w:altName w:val="华文中宋"/>
    <w:panose1 w:val="00000000000000000000"/>
    <w:charset w:val="86"/>
    <w:family w:val="auto"/>
    <w:pitch w:val="default"/>
    <w:sig w:usb0="00000000" w:usb1="00000000" w:usb2="00000017" w:usb3="00000000" w:csb0="00040001" w:csb1="00000000"/>
  </w:font>
  <w:font w:name="华文中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9456289"/>
      <w:docPartObj>
        <w:docPartGallery w:val="autotext"/>
      </w:docPartObj>
    </w:sdtPr>
    <w:sdtContent>
      <w:p>
        <w:pPr>
          <w:pStyle w:val="15"/>
          <w:ind w:firstLine="360"/>
          <w:jc w:val="center"/>
        </w:pPr>
        <w:r>
          <w:fldChar w:fldCharType="begin"/>
        </w:r>
        <w:r>
          <w:instrText xml:space="preserve">PAGE   \* MERGEFORMAT</w:instrText>
        </w:r>
        <w:r>
          <w:fldChar w:fldCharType="separate"/>
        </w:r>
        <w:r>
          <w:rPr>
            <w:lang w:val="zh-CN"/>
          </w:rPr>
          <w:t>2</w:t>
        </w:r>
        <w:r>
          <w:fldChar w:fldCharType="end"/>
        </w:r>
      </w:p>
    </w:sdtContent>
  </w:sdt>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bullet"/>
      <w:lvlText w:val=""/>
      <w:lvlJc w:val="left"/>
      <w:pPr>
        <w:tabs>
          <w:tab w:val="left" w:pos="-375"/>
        </w:tabs>
        <w:ind w:left="181" w:hanging="840"/>
      </w:pPr>
      <w:rPr>
        <w:rFonts w:hint="default" w:ascii="Wingdings" w:hAnsi="Wingdings"/>
      </w:rPr>
    </w:lvl>
    <w:lvl w:ilvl="1" w:tentative="0">
      <w:start w:val="1"/>
      <w:numFmt w:val="decimal"/>
      <w:lvlText w:val="%2)"/>
      <w:lvlJc w:val="left"/>
      <w:pPr>
        <w:tabs>
          <w:tab w:val="left" w:pos="181"/>
        </w:tabs>
        <w:ind w:left="181" w:hanging="420"/>
      </w:pPr>
      <w:rPr>
        <w:rFonts w:hint="default"/>
      </w:rPr>
    </w:lvl>
    <w:lvl w:ilvl="2" w:tentative="0">
      <w:start w:val="1"/>
      <w:numFmt w:val="bullet"/>
      <w:lvlText w:val=""/>
      <w:lvlJc w:val="left"/>
      <w:pPr>
        <w:tabs>
          <w:tab w:val="left" w:pos="465"/>
        </w:tabs>
        <w:ind w:left="1021" w:hanging="840"/>
      </w:pPr>
      <w:rPr>
        <w:rFonts w:hint="default" w:ascii="Wingdings" w:hAnsi="Wingdings"/>
      </w:rPr>
    </w:lvl>
    <w:lvl w:ilvl="3" w:tentative="0">
      <w:start w:val="1"/>
      <w:numFmt w:val="decimal"/>
      <w:lvlText w:val="%4)"/>
      <w:lvlJc w:val="left"/>
      <w:pPr>
        <w:tabs>
          <w:tab w:val="left" w:pos="1021"/>
        </w:tabs>
        <w:ind w:left="1021" w:hanging="420"/>
      </w:pPr>
      <w:rPr>
        <w:rFonts w:hint="default"/>
      </w:rPr>
    </w:lvl>
    <w:lvl w:ilvl="4" w:tentative="0">
      <w:start w:val="1"/>
      <w:numFmt w:val="decimal"/>
      <w:lvlText w:val="%5)"/>
      <w:lvlJc w:val="left"/>
      <w:pPr>
        <w:ind w:left="786" w:hanging="360"/>
      </w:pPr>
      <w:rPr>
        <w:rFonts w:hint="default" w:ascii="宋体" w:hAnsi="宋体" w:cs="Times New Roman"/>
        <w:color w:val="auto"/>
      </w:rPr>
    </w:lvl>
    <w:lvl w:ilvl="5" w:tentative="0">
      <w:start w:val="1"/>
      <w:numFmt w:val="bullet"/>
      <w:lvlText w:val=""/>
      <w:lvlJc w:val="left"/>
      <w:pPr>
        <w:tabs>
          <w:tab w:val="left" w:pos="1861"/>
        </w:tabs>
        <w:ind w:left="1861" w:hanging="420"/>
      </w:pPr>
      <w:rPr>
        <w:rFonts w:hint="default" w:ascii="Wingdings" w:hAnsi="Wingdings"/>
      </w:rPr>
    </w:lvl>
    <w:lvl w:ilvl="6" w:tentative="0">
      <w:start w:val="1"/>
      <w:numFmt w:val="bullet"/>
      <w:lvlText w:val=""/>
      <w:lvlJc w:val="left"/>
      <w:pPr>
        <w:tabs>
          <w:tab w:val="left" w:pos="2281"/>
        </w:tabs>
        <w:ind w:left="2281" w:hanging="420"/>
      </w:pPr>
      <w:rPr>
        <w:rFonts w:hint="default" w:ascii="Wingdings" w:hAnsi="Wingdings"/>
      </w:rPr>
    </w:lvl>
    <w:lvl w:ilvl="7" w:tentative="0">
      <w:start w:val="1"/>
      <w:numFmt w:val="bullet"/>
      <w:lvlText w:val=""/>
      <w:lvlJc w:val="left"/>
      <w:pPr>
        <w:tabs>
          <w:tab w:val="left" w:pos="2701"/>
        </w:tabs>
        <w:ind w:left="2701" w:hanging="420"/>
      </w:pPr>
      <w:rPr>
        <w:rFonts w:hint="default" w:ascii="Wingdings" w:hAnsi="Wingdings"/>
      </w:rPr>
    </w:lvl>
    <w:lvl w:ilvl="8" w:tentative="0">
      <w:start w:val="1"/>
      <w:numFmt w:val="bullet"/>
      <w:lvlText w:val=""/>
      <w:lvlJc w:val="left"/>
      <w:pPr>
        <w:tabs>
          <w:tab w:val="left" w:pos="3121"/>
        </w:tabs>
        <w:ind w:left="3121" w:hanging="420"/>
      </w:pPr>
      <w:rPr>
        <w:rFonts w:hint="default" w:ascii="Wingdings" w:hAnsi="Wingdings"/>
      </w:rPr>
    </w:lvl>
  </w:abstractNum>
  <w:abstractNum w:abstractNumId="1">
    <w:nsid w:val="00000028"/>
    <w:multiLevelType w:val="multilevel"/>
    <w:tmpl w:val="000000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0C2A4B90"/>
    <w:multiLevelType w:val="multilevel"/>
    <w:tmpl w:val="0C2A4B90"/>
    <w:lvl w:ilvl="0" w:tentative="0">
      <w:start w:val="1"/>
      <w:numFmt w:val="decimal"/>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4279E8"/>
    <w:multiLevelType w:val="multilevel"/>
    <w:tmpl w:val="0C4279E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1E7E072C"/>
    <w:multiLevelType w:val="multilevel"/>
    <w:tmpl w:val="1E7E07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2802A6"/>
    <w:multiLevelType w:val="multilevel"/>
    <w:tmpl w:val="312802A6"/>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3D1B68D"/>
    <w:multiLevelType w:val="singleLevel"/>
    <w:tmpl w:val="33D1B68D"/>
    <w:lvl w:ilvl="0" w:tentative="0">
      <w:start w:val="1"/>
      <w:numFmt w:val="decimal"/>
      <w:lvlText w:val="%1."/>
      <w:lvlJc w:val="left"/>
      <w:pPr>
        <w:ind w:left="425" w:hanging="425"/>
      </w:pPr>
      <w:rPr>
        <w:rFonts w:hint="default"/>
      </w:rPr>
    </w:lvl>
  </w:abstractNum>
  <w:abstractNum w:abstractNumId="7">
    <w:nsid w:val="36798D3A"/>
    <w:multiLevelType w:val="singleLevel"/>
    <w:tmpl w:val="36798D3A"/>
    <w:lvl w:ilvl="0" w:tentative="0">
      <w:start w:val="1"/>
      <w:numFmt w:val="bullet"/>
      <w:lvlText w:val=""/>
      <w:lvlJc w:val="left"/>
      <w:pPr>
        <w:ind w:left="420" w:hanging="420"/>
      </w:pPr>
      <w:rPr>
        <w:rFonts w:hint="default" w:ascii="Wingdings" w:hAnsi="Wingdings"/>
      </w:rPr>
    </w:lvl>
  </w:abstractNum>
  <w:abstractNum w:abstractNumId="8">
    <w:nsid w:val="3BDA5A51"/>
    <w:multiLevelType w:val="multilevel"/>
    <w:tmpl w:val="3BDA5A51"/>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B9D0C99"/>
    <w:multiLevelType w:val="multilevel"/>
    <w:tmpl w:val="4B9D0C99"/>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0">
    <w:nsid w:val="4F07988E"/>
    <w:multiLevelType w:val="singleLevel"/>
    <w:tmpl w:val="4F07988E"/>
    <w:lvl w:ilvl="0" w:tentative="0">
      <w:start w:val="1"/>
      <w:numFmt w:val="decimal"/>
      <w:lvlText w:val="%1."/>
      <w:lvlJc w:val="left"/>
      <w:pPr>
        <w:ind w:left="425" w:hanging="425"/>
      </w:pPr>
      <w:rPr>
        <w:rFonts w:hint="default"/>
      </w:rPr>
    </w:lvl>
  </w:abstractNum>
  <w:abstractNum w:abstractNumId="11">
    <w:nsid w:val="5E9CC8FE"/>
    <w:multiLevelType w:val="multilevel"/>
    <w:tmpl w:val="5E9CC8FE"/>
    <w:lvl w:ilvl="0" w:tentative="0">
      <w:start w:val="1"/>
      <w:numFmt w:val="decimal"/>
      <w:pStyle w:val="3"/>
      <w:suff w:val="space"/>
      <w:lvlText w:val="%1"/>
      <w:lvlJc w:val="left"/>
      <w:pPr>
        <w:ind w:left="77" w:firstLine="0"/>
      </w:pPr>
      <w:rPr>
        <w:rFonts w:hint="default"/>
        <w:color w:val="auto"/>
      </w:rPr>
    </w:lvl>
    <w:lvl w:ilvl="1" w:tentative="0">
      <w:start w:val="1"/>
      <w:numFmt w:val="decimal"/>
      <w:pStyle w:val="7"/>
      <w:isLgl/>
      <w:suff w:val="space"/>
      <w:lvlText w:val="%1.%2"/>
      <w:lvlJc w:val="left"/>
      <w:pPr>
        <w:ind w:left="0" w:firstLine="0"/>
      </w:pPr>
      <w:rPr>
        <w:rFonts w:hint="eastAsia"/>
      </w:rPr>
    </w:lvl>
    <w:lvl w:ilvl="2" w:tentative="0">
      <w:start w:val="1"/>
      <w:numFmt w:val="decimal"/>
      <w:pStyle w:val="8"/>
      <w:isLgl/>
      <w:suff w:val="space"/>
      <w:lvlText w:val="%1.%2.%3"/>
      <w:lvlJc w:val="left"/>
      <w:pPr>
        <w:ind w:left="4536" w:firstLine="0"/>
      </w:pPr>
    </w:lvl>
    <w:lvl w:ilvl="3" w:tentative="0">
      <w:start w:val="1"/>
      <w:numFmt w:val="none"/>
      <w:suff w:val="space"/>
      <w:lvlText w:val="%1.%2.%3"/>
      <w:lvlJc w:val="left"/>
      <w:pPr>
        <w:tabs>
          <w:tab w:val="left" w:pos="0"/>
        </w:tabs>
        <w:ind w:left="3686" w:firstLine="0"/>
      </w:pPr>
      <w:rPr>
        <w:rFonts w:hint="default" w:ascii="Times New Roman" w:hAnsi="Times New Roman" w:cs="Times New Roman"/>
      </w:rPr>
    </w:lvl>
    <w:lvl w:ilvl="4" w:tentative="0">
      <w:start w:val="1"/>
      <w:numFmt w:val="decimal"/>
      <w:isLgl/>
      <w:suff w:val="space"/>
      <w:lvlText w:val="%1.%2.%3.%4.%5"/>
      <w:lvlJc w:val="left"/>
      <w:pPr>
        <w:ind w:left="710" w:firstLine="0"/>
      </w:p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12">
    <w:nsid w:val="626048B5"/>
    <w:multiLevelType w:val="multilevel"/>
    <w:tmpl w:val="626048B5"/>
    <w:lvl w:ilvl="0" w:tentative="0">
      <w:start w:val="1"/>
      <w:numFmt w:val="decimal"/>
      <w:lvlText w:val="%1)"/>
      <w:lvlJc w:val="left"/>
      <w:pPr>
        <w:ind w:left="425" w:hanging="425"/>
      </w:pPr>
    </w:lvl>
    <w:lvl w:ilvl="1" w:tentative="0">
      <w:start w:val="1"/>
      <w:numFmt w:val="decimal"/>
      <w:lvlText w:val="5.%2."/>
      <w:lvlJc w:val="left"/>
      <w:pPr>
        <w:ind w:left="567" w:hanging="567"/>
      </w:pPr>
      <w:rPr>
        <w:rFonts w:hint="eastAsia"/>
      </w:rPr>
    </w:lvl>
    <w:lvl w:ilvl="2" w:tentative="0">
      <w:start w:val="1"/>
      <w:numFmt w:val="decimal"/>
      <w:lvlText w:val="5.2.%3."/>
      <w:lvlJc w:val="left"/>
      <w:pPr>
        <w:ind w:left="709" w:hanging="709"/>
      </w:pPr>
      <w:rPr>
        <w:rFonts w:hint="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639C1F49"/>
    <w:multiLevelType w:val="multilevel"/>
    <w:tmpl w:val="639C1F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6"/>
  </w:num>
  <w:num w:numId="3">
    <w:abstractNumId w:val="10"/>
  </w:num>
  <w:num w:numId="4">
    <w:abstractNumId w:val="2"/>
  </w:num>
  <w:num w:numId="5">
    <w:abstractNumId w:val="5"/>
  </w:num>
  <w:num w:numId="6">
    <w:abstractNumId w:val="7"/>
  </w:num>
  <w:num w:numId="7">
    <w:abstractNumId w:val="0"/>
  </w:num>
  <w:num w:numId="8">
    <w:abstractNumId w:val="13"/>
  </w:num>
  <w:num w:numId="9">
    <w:abstractNumId w:val="12"/>
  </w:num>
  <w:num w:numId="10">
    <w:abstractNumId w:val="4"/>
  </w:num>
  <w:num w:numId="11">
    <w:abstractNumId w:val="8"/>
  </w:num>
  <w:num w:numId="12">
    <w:abstractNumId w:val="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OTY5MDFkMzE1ZTJhNDY5M2Y4ZWU3NjYzYWE2ZTQifQ=="/>
  </w:docVars>
  <w:rsids>
    <w:rsidRoot w:val="4D5F70E6"/>
    <w:rsid w:val="00010D71"/>
    <w:rsid w:val="000F2925"/>
    <w:rsid w:val="00116472"/>
    <w:rsid w:val="001C3669"/>
    <w:rsid w:val="002023C3"/>
    <w:rsid w:val="002617D3"/>
    <w:rsid w:val="002B63AD"/>
    <w:rsid w:val="00343F9F"/>
    <w:rsid w:val="003E2285"/>
    <w:rsid w:val="00515974"/>
    <w:rsid w:val="005205AF"/>
    <w:rsid w:val="007A3A67"/>
    <w:rsid w:val="007C28C0"/>
    <w:rsid w:val="008940FF"/>
    <w:rsid w:val="008E098F"/>
    <w:rsid w:val="00945FCB"/>
    <w:rsid w:val="009F7F1E"/>
    <w:rsid w:val="00A141D4"/>
    <w:rsid w:val="00A3295D"/>
    <w:rsid w:val="00A357F0"/>
    <w:rsid w:val="00AB08F4"/>
    <w:rsid w:val="00B90BD4"/>
    <w:rsid w:val="00BB6D95"/>
    <w:rsid w:val="00C76B5D"/>
    <w:rsid w:val="00C84484"/>
    <w:rsid w:val="00CA7275"/>
    <w:rsid w:val="00CC4724"/>
    <w:rsid w:val="00D46D41"/>
    <w:rsid w:val="00D96D19"/>
    <w:rsid w:val="00E914B0"/>
    <w:rsid w:val="00EC40FC"/>
    <w:rsid w:val="00F24BC2"/>
    <w:rsid w:val="00FA6E38"/>
    <w:rsid w:val="011F49BF"/>
    <w:rsid w:val="013C2448"/>
    <w:rsid w:val="01F2326F"/>
    <w:rsid w:val="01F86099"/>
    <w:rsid w:val="021162D1"/>
    <w:rsid w:val="055329C0"/>
    <w:rsid w:val="05F3684F"/>
    <w:rsid w:val="06AD214F"/>
    <w:rsid w:val="06DF0D85"/>
    <w:rsid w:val="08D74D81"/>
    <w:rsid w:val="0B4A7615"/>
    <w:rsid w:val="0C000272"/>
    <w:rsid w:val="0C086325"/>
    <w:rsid w:val="0E1A0221"/>
    <w:rsid w:val="0F413ADC"/>
    <w:rsid w:val="0F7E0CE4"/>
    <w:rsid w:val="0F8E5389"/>
    <w:rsid w:val="1081433D"/>
    <w:rsid w:val="12943FEC"/>
    <w:rsid w:val="15431BC1"/>
    <w:rsid w:val="158742DA"/>
    <w:rsid w:val="177544E7"/>
    <w:rsid w:val="19357C2E"/>
    <w:rsid w:val="1A8F24B8"/>
    <w:rsid w:val="1AB22906"/>
    <w:rsid w:val="1B1D4724"/>
    <w:rsid w:val="1B522B5E"/>
    <w:rsid w:val="1C4C62FF"/>
    <w:rsid w:val="1C7316A8"/>
    <w:rsid w:val="1CD852E5"/>
    <w:rsid w:val="1D460154"/>
    <w:rsid w:val="1D4E55A7"/>
    <w:rsid w:val="1DF22594"/>
    <w:rsid w:val="1E7F0598"/>
    <w:rsid w:val="1FF92799"/>
    <w:rsid w:val="20360C34"/>
    <w:rsid w:val="213F1DD6"/>
    <w:rsid w:val="21784B81"/>
    <w:rsid w:val="239C68F3"/>
    <w:rsid w:val="25565E93"/>
    <w:rsid w:val="25B241C0"/>
    <w:rsid w:val="29A24CB1"/>
    <w:rsid w:val="2AB938F3"/>
    <w:rsid w:val="2ABC3EAF"/>
    <w:rsid w:val="2BAF3823"/>
    <w:rsid w:val="2C0A1144"/>
    <w:rsid w:val="2D1427F8"/>
    <w:rsid w:val="2E184041"/>
    <w:rsid w:val="2E8B3736"/>
    <w:rsid w:val="2F7272D1"/>
    <w:rsid w:val="2FE36661"/>
    <w:rsid w:val="31D71BE6"/>
    <w:rsid w:val="32112D45"/>
    <w:rsid w:val="33214C49"/>
    <w:rsid w:val="34060E4D"/>
    <w:rsid w:val="35002ACD"/>
    <w:rsid w:val="353E4427"/>
    <w:rsid w:val="3954387E"/>
    <w:rsid w:val="39703938"/>
    <w:rsid w:val="3AA41CD3"/>
    <w:rsid w:val="3C642299"/>
    <w:rsid w:val="3E8E2293"/>
    <w:rsid w:val="3EF273D1"/>
    <w:rsid w:val="3F8406A2"/>
    <w:rsid w:val="3FF7AF9A"/>
    <w:rsid w:val="40226AAB"/>
    <w:rsid w:val="40B76E3C"/>
    <w:rsid w:val="432D206F"/>
    <w:rsid w:val="449921AF"/>
    <w:rsid w:val="46067272"/>
    <w:rsid w:val="47876C52"/>
    <w:rsid w:val="492564F3"/>
    <w:rsid w:val="4A3A4F64"/>
    <w:rsid w:val="4B613D62"/>
    <w:rsid w:val="4D5F70E6"/>
    <w:rsid w:val="502B6EFE"/>
    <w:rsid w:val="503A35E5"/>
    <w:rsid w:val="51345A4A"/>
    <w:rsid w:val="519A16D8"/>
    <w:rsid w:val="519D65CE"/>
    <w:rsid w:val="5257222D"/>
    <w:rsid w:val="530F12ED"/>
    <w:rsid w:val="53A72FD1"/>
    <w:rsid w:val="5420290F"/>
    <w:rsid w:val="557D039C"/>
    <w:rsid w:val="559606EA"/>
    <w:rsid w:val="5748785F"/>
    <w:rsid w:val="57F31C69"/>
    <w:rsid w:val="583E6655"/>
    <w:rsid w:val="586141AC"/>
    <w:rsid w:val="5C186A37"/>
    <w:rsid w:val="5D8D744A"/>
    <w:rsid w:val="5E6C0CE1"/>
    <w:rsid w:val="607D1024"/>
    <w:rsid w:val="61255331"/>
    <w:rsid w:val="620543D6"/>
    <w:rsid w:val="64373C6C"/>
    <w:rsid w:val="67711775"/>
    <w:rsid w:val="6C7915E2"/>
    <w:rsid w:val="6D0B4ED9"/>
    <w:rsid w:val="6D592EA5"/>
    <w:rsid w:val="6EB26D11"/>
    <w:rsid w:val="6EDC5B3C"/>
    <w:rsid w:val="6FA734DB"/>
    <w:rsid w:val="6FDA49FF"/>
    <w:rsid w:val="6FEA40EF"/>
    <w:rsid w:val="70CD319F"/>
    <w:rsid w:val="72442048"/>
    <w:rsid w:val="73026629"/>
    <w:rsid w:val="763C5788"/>
    <w:rsid w:val="793F7652"/>
    <w:rsid w:val="7B947380"/>
    <w:rsid w:val="7D9C06FE"/>
    <w:rsid w:val="7E497C45"/>
    <w:rsid w:val="7E55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2"/>
      <w:sz w:val="24"/>
      <w:szCs w:val="24"/>
      <w:lang w:val="en-US" w:eastAsia="zh-CN" w:bidi="ar-SA"/>
    </w:rPr>
  </w:style>
  <w:style w:type="paragraph" w:styleId="3">
    <w:name w:val="heading 1"/>
    <w:basedOn w:val="4"/>
    <w:next w:val="5"/>
    <w:qFormat/>
    <w:uiPriority w:val="0"/>
    <w:pPr>
      <w:keepNext/>
      <w:keepLines/>
      <w:numPr>
        <w:ilvl w:val="0"/>
        <w:numId w:val="1"/>
      </w:numPr>
      <w:spacing w:before="140" w:after="140" w:line="240" w:lineRule="auto"/>
      <w:jc w:val="left"/>
    </w:pPr>
    <w:rPr>
      <w:rFonts w:ascii="Times New Roman" w:hAnsi="Times New Roman" w:eastAsia="宋体"/>
      <w:bCs w:val="0"/>
      <w:kern w:val="44"/>
      <w:szCs w:val="44"/>
    </w:rPr>
  </w:style>
  <w:style w:type="paragraph" w:styleId="7">
    <w:name w:val="heading 2"/>
    <w:basedOn w:val="3"/>
    <w:next w:val="5"/>
    <w:qFormat/>
    <w:uiPriority w:val="9"/>
    <w:pPr>
      <w:numPr>
        <w:ilvl w:val="1"/>
      </w:numPr>
      <w:outlineLvl w:val="1"/>
    </w:pPr>
    <w:rPr>
      <w:bCs/>
      <w:sz w:val="30"/>
      <w:szCs w:val="32"/>
    </w:rPr>
  </w:style>
  <w:style w:type="paragraph" w:styleId="8">
    <w:name w:val="heading 3"/>
    <w:basedOn w:val="3"/>
    <w:next w:val="5"/>
    <w:qFormat/>
    <w:uiPriority w:val="9"/>
    <w:pPr>
      <w:numPr>
        <w:ilvl w:val="2"/>
      </w:numPr>
      <w:outlineLvl w:val="2"/>
    </w:pPr>
    <w:rPr>
      <w:bCs/>
      <w:sz w:val="28"/>
      <w:szCs w:val="32"/>
    </w:rPr>
  </w:style>
  <w:style w:type="paragraph" w:styleId="2">
    <w:name w:val="heading 4"/>
    <w:basedOn w:val="1"/>
    <w:next w:val="1"/>
    <w:qFormat/>
    <w:uiPriority w:val="9"/>
    <w:pPr>
      <w:outlineLvl w:val="3"/>
    </w:pPr>
    <w:rPr>
      <w:bCs/>
      <w:sz w:val="24"/>
      <w:szCs w:val="28"/>
    </w:rPr>
  </w:style>
  <w:style w:type="paragraph" w:styleId="9">
    <w:name w:val="heading 5"/>
    <w:basedOn w:val="1"/>
    <w:next w:val="1"/>
    <w:link w:val="31"/>
    <w:unhideWhenUsed/>
    <w:qFormat/>
    <w:uiPriority w:val="9"/>
    <w:pPr>
      <w:keepNext/>
      <w:keepLines/>
      <w:spacing w:before="280" w:after="290" w:line="376" w:lineRule="auto"/>
      <w:outlineLvl w:val="4"/>
    </w:pPr>
    <w:rPr>
      <w:b/>
      <w:bCs/>
      <w:sz w:val="28"/>
      <w:szCs w:val="28"/>
    </w:rPr>
  </w:style>
  <w:style w:type="paragraph" w:styleId="10">
    <w:name w:val="heading 6"/>
    <w:basedOn w:val="1"/>
    <w:next w:val="1"/>
    <w:qFormat/>
    <w:uiPriority w:val="9"/>
    <w:pPr>
      <w:jc w:val="left"/>
      <w:outlineLvl w:val="5"/>
    </w:pPr>
    <w:rPr>
      <w:bCs/>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5">
    <w:name w:val="Body Text First Indent 2"/>
    <w:basedOn w:val="6"/>
    <w:qFormat/>
    <w:uiPriority w:val="0"/>
    <w:pPr>
      <w:spacing w:after="0"/>
      <w:ind w:left="0" w:leftChars="0"/>
    </w:pPr>
  </w:style>
  <w:style w:type="paragraph" w:styleId="6">
    <w:name w:val="Body Text Indent"/>
    <w:basedOn w:val="1"/>
    <w:unhideWhenUsed/>
    <w:qFormat/>
    <w:uiPriority w:val="99"/>
    <w:pPr>
      <w:spacing w:after="120"/>
      <w:ind w:left="420" w:leftChars="200"/>
    </w:pPr>
  </w:style>
  <w:style w:type="paragraph" w:styleId="11">
    <w:name w:val="Normal Indent"/>
    <w:basedOn w:val="1"/>
    <w:link w:val="30"/>
    <w:qFormat/>
    <w:uiPriority w:val="0"/>
    <w:pPr>
      <w:adjustRightInd w:val="0"/>
      <w:spacing w:line="400" w:lineRule="atLeast"/>
      <w:ind w:firstLine="420"/>
      <w:jc w:val="left"/>
      <w:textAlignment w:val="baseline"/>
    </w:pPr>
    <w:rPr>
      <w:rFonts w:ascii="Times New Roman" w:hAnsi="Times New Roman" w:cs="Times New Roman"/>
      <w:kern w:val="0"/>
      <w:szCs w:val="20"/>
    </w:rPr>
  </w:style>
  <w:style w:type="paragraph" w:styleId="12">
    <w:name w:val="annotation text"/>
    <w:basedOn w:val="1"/>
    <w:link w:val="32"/>
    <w:qFormat/>
    <w:uiPriority w:val="0"/>
    <w:pPr>
      <w:jc w:val="left"/>
    </w:pPr>
  </w:style>
  <w:style w:type="paragraph" w:styleId="13">
    <w:name w:val="Body Text"/>
    <w:basedOn w:val="1"/>
    <w:unhideWhenUsed/>
    <w:qFormat/>
    <w:uiPriority w:val="99"/>
    <w:pPr>
      <w:spacing w:after="120"/>
    </w:pPr>
  </w:style>
  <w:style w:type="paragraph" w:styleId="14">
    <w:name w:val="Plain Text"/>
    <w:basedOn w:val="1"/>
    <w:qFormat/>
    <w:uiPriority w:val="0"/>
    <w:pPr>
      <w:spacing w:line="240" w:lineRule="auto"/>
    </w:pPr>
  </w:style>
  <w:style w:type="paragraph" w:styleId="15">
    <w:name w:val="footer"/>
    <w:basedOn w:val="1"/>
    <w:link w:val="34"/>
    <w:qFormat/>
    <w:uiPriority w:val="99"/>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Body Text Indent 3"/>
    <w:basedOn w:val="1"/>
    <w:unhideWhenUsed/>
    <w:qFormat/>
    <w:uiPriority w:val="99"/>
    <w:pPr>
      <w:spacing w:after="120"/>
      <w:ind w:left="420" w:leftChars="200"/>
    </w:pPr>
    <w:rPr>
      <w:sz w:val="16"/>
      <w:szCs w:val="16"/>
    </w:rPr>
  </w:style>
  <w:style w:type="paragraph" w:styleId="18">
    <w:name w:val="Normal (Web)"/>
    <w:basedOn w:val="1"/>
    <w:qFormat/>
    <w:uiPriority w:val="99"/>
    <w:pPr>
      <w:spacing w:before="100" w:beforeAutospacing="1" w:after="100" w:afterAutospacing="1" w:line="240" w:lineRule="auto"/>
    </w:pPr>
    <w:rPr>
      <w:color w:val="000000"/>
    </w:rPr>
  </w:style>
  <w:style w:type="paragraph" w:styleId="19">
    <w:name w:val="annotation subject"/>
    <w:basedOn w:val="12"/>
    <w:next w:val="12"/>
    <w:link w:val="33"/>
    <w:qFormat/>
    <w:uiPriority w:val="0"/>
    <w:rPr>
      <w:b/>
      <w:bCs/>
    </w:r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paragraph" w:customStyle="1" w:styleId="24">
    <w:name w:val="正文样式1"/>
    <w:basedOn w:val="13"/>
    <w:qFormat/>
    <w:uiPriority w:val="0"/>
    <w:pPr>
      <w:snapToGrid w:val="0"/>
      <w:spacing w:after="0" w:line="300" w:lineRule="auto"/>
      <w:ind w:firstLine="420"/>
    </w:pPr>
    <w:rPr>
      <w:rFonts w:ascii="微软雅黑" w:hAnsi="微软雅黑" w:eastAsia="微软雅黑" w:cs="Times New Roman"/>
      <w:kern w:val="0"/>
      <w:sz w:val="20"/>
      <w:lang w:val="zh-CN"/>
    </w:rPr>
  </w:style>
  <w:style w:type="paragraph" w:customStyle="1" w:styleId="25">
    <w:name w:val="_Style 78"/>
    <w:basedOn w:val="1"/>
    <w:next w:val="26"/>
    <w:qFormat/>
    <w:uiPriority w:val="99"/>
    <w:pPr>
      <w:spacing w:line="240" w:lineRule="auto"/>
      <w:ind w:firstLine="420"/>
    </w:pPr>
    <w:rPr>
      <w:rFonts w:ascii="Calibri" w:hAnsi="Calibri" w:cs="Times New Roman"/>
      <w:szCs w:val="22"/>
    </w:rPr>
  </w:style>
  <w:style w:type="paragraph" w:customStyle="1" w:styleId="26">
    <w:name w:val="列表段落1"/>
    <w:basedOn w:val="1"/>
    <w:qFormat/>
    <w:uiPriority w:val="99"/>
    <w:pPr>
      <w:spacing w:line="240" w:lineRule="auto"/>
      <w:ind w:firstLine="420"/>
    </w:pPr>
    <w:rPr>
      <w:szCs w:val="22"/>
    </w:rPr>
  </w:style>
  <w:style w:type="paragraph" w:customStyle="1" w:styleId="27">
    <w:name w:val="正文-SM"/>
    <w:basedOn w:val="14"/>
    <w:qFormat/>
    <w:uiPriority w:val="0"/>
    <w:pPr>
      <w:widowControl/>
      <w:spacing w:line="360" w:lineRule="auto"/>
      <w:jc w:val="left"/>
    </w:pPr>
    <w:rPr>
      <w:rFonts w:ascii="Times New Roman" w:hAnsi="宋体" w:cs="宋体"/>
      <w:kern w:val="0"/>
    </w:rPr>
  </w:style>
  <w:style w:type="paragraph" w:customStyle="1" w:styleId="28">
    <w:name w:val="列表段落11"/>
    <w:basedOn w:val="1"/>
    <w:qFormat/>
    <w:uiPriority w:val="0"/>
    <w:pPr>
      <w:widowControl/>
      <w:spacing w:line="240" w:lineRule="auto"/>
      <w:ind w:firstLine="420"/>
      <w:jc w:val="left"/>
    </w:pPr>
    <w:rPr>
      <w:rFonts w:ascii="宋体" w:hAnsi="宋体" w:cs="宋体"/>
      <w:kern w:val="0"/>
    </w:rPr>
  </w:style>
  <w:style w:type="paragraph" w:customStyle="1" w:styleId="29">
    <w:name w:val="_Style 85"/>
    <w:basedOn w:val="1"/>
    <w:next w:val="26"/>
    <w:qFormat/>
    <w:uiPriority w:val="99"/>
    <w:pPr>
      <w:spacing w:line="240" w:lineRule="auto"/>
      <w:ind w:firstLine="420"/>
    </w:pPr>
    <w:rPr>
      <w:rFonts w:ascii="Calibri" w:hAnsi="Calibri" w:cs="Times New Roman"/>
      <w:szCs w:val="22"/>
    </w:rPr>
  </w:style>
  <w:style w:type="character" w:customStyle="1" w:styleId="30">
    <w:name w:val="正文缩进 字符"/>
    <w:link w:val="11"/>
    <w:qFormat/>
    <w:uiPriority w:val="0"/>
    <w:rPr>
      <w:rFonts w:ascii="Times New Roman" w:hAnsi="Times New Roman" w:eastAsia="宋体" w:cs="Times New Roman"/>
      <w:sz w:val="24"/>
    </w:rPr>
  </w:style>
  <w:style w:type="character" w:customStyle="1" w:styleId="31">
    <w:name w:val="标题 5 字符"/>
    <w:basedOn w:val="21"/>
    <w:link w:val="9"/>
    <w:semiHidden/>
    <w:qFormat/>
    <w:uiPriority w:val="0"/>
    <w:rPr>
      <w:rFonts w:eastAsia="宋体"/>
      <w:b/>
      <w:bCs/>
      <w:kern w:val="2"/>
      <w:sz w:val="28"/>
      <w:szCs w:val="28"/>
    </w:rPr>
  </w:style>
  <w:style w:type="character" w:customStyle="1" w:styleId="32">
    <w:name w:val="批注文字 字符"/>
    <w:basedOn w:val="21"/>
    <w:link w:val="12"/>
    <w:qFormat/>
    <w:uiPriority w:val="0"/>
    <w:rPr>
      <w:rFonts w:eastAsia="宋体"/>
      <w:kern w:val="2"/>
      <w:sz w:val="24"/>
      <w:szCs w:val="24"/>
    </w:rPr>
  </w:style>
  <w:style w:type="character" w:customStyle="1" w:styleId="33">
    <w:name w:val="批注主题 字符"/>
    <w:basedOn w:val="32"/>
    <w:link w:val="19"/>
    <w:qFormat/>
    <w:uiPriority w:val="0"/>
    <w:rPr>
      <w:rFonts w:eastAsia="宋体"/>
      <w:b/>
      <w:bCs/>
      <w:kern w:val="2"/>
      <w:sz w:val="24"/>
      <w:szCs w:val="24"/>
    </w:rPr>
  </w:style>
  <w:style w:type="character" w:customStyle="1" w:styleId="34">
    <w:name w:val="页脚 字符"/>
    <w:basedOn w:val="21"/>
    <w:link w:val="15"/>
    <w:qFormat/>
    <w:uiPriority w:val="99"/>
    <w:rPr>
      <w:rFonts w:eastAsia="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1595</Words>
  <Characters>1630</Characters>
  <Lines>103</Lines>
  <Paragraphs>29</Paragraphs>
  <TotalTime>3</TotalTime>
  <ScaleCrop>false</ScaleCrop>
  <LinksUpToDate>false</LinksUpToDate>
  <CharactersWithSpaces>1631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2023-10-28T01:31:00Z</dcterms:created>
  <dc:creator>aurora</dc:creator>
  <cp:lastModifiedBy>朱  晨</cp:lastModifiedBy>
  <cp:lastPrinted>2025-02-08T02:00:00Z</cp:lastPrinted>
  <dcterms:modified xsi:type="dcterms:W3CDTF">2025-05-28T09:47:36Z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930C357FCE5842989AA4E54B901DD8A4_13</vt:lpwstr>
  </property>
  <property fmtid="{D5CDD505-2E9C-101B-9397-08002B2CF9AE}" pid="4" name="KSOTemplateDocerSaveRecord">
    <vt:lpwstr>eyJoZGlkIjoiNjE0YWY1M2E4MDkwMWEzYWYzYzI2NDA5MmE3YWVjODciLCJ1c2VySWQiOiI0ODIyMjYxMDMifQ==</vt:lpwstr>
  </property>
</Properties>
</file>