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52D3D">
      <w:pPr>
        <w:jc w:val="center"/>
        <w:rPr>
          <w:rFonts w:hint="eastAsia" w:ascii="宋体" w:hAnsi="宋体" w:eastAsia="宋体" w:cs="宋体"/>
          <w:b/>
          <w:sz w:val="28"/>
          <w:szCs w:val="28"/>
        </w:rPr>
      </w:pPr>
      <w:r>
        <w:rPr>
          <w:rFonts w:hint="eastAsia" w:ascii="宋体" w:hAnsi="宋体" w:eastAsia="宋体" w:cs="宋体"/>
          <w:b/>
          <w:sz w:val="28"/>
          <w:szCs w:val="28"/>
        </w:rPr>
        <w:t>物业管理服务项目采购需求</w:t>
      </w:r>
    </w:p>
    <w:p w14:paraId="29ABB607">
      <w:pPr>
        <w:rPr>
          <w:rFonts w:hint="eastAsia" w:ascii="宋体" w:hAnsi="宋体" w:eastAsia="宋体" w:cs="宋体"/>
          <w:sz w:val="21"/>
          <w:szCs w:val="21"/>
        </w:rPr>
      </w:pPr>
    </w:p>
    <w:p w14:paraId="7A45F713">
      <w:pPr>
        <w:spacing w:line="360" w:lineRule="auto"/>
        <w:jc w:val="left"/>
        <w:outlineLvl w:val="0"/>
        <w:rPr>
          <w:rFonts w:hint="eastAsia" w:ascii="宋体" w:hAnsi="宋体" w:eastAsia="宋体" w:cs="宋体"/>
          <w:b/>
          <w:sz w:val="21"/>
          <w:szCs w:val="21"/>
        </w:rPr>
      </w:pPr>
      <w:r>
        <w:rPr>
          <w:rFonts w:hint="eastAsia" w:ascii="宋体" w:hAnsi="宋体" w:eastAsia="宋体" w:cs="宋体"/>
          <w:b/>
          <w:sz w:val="21"/>
          <w:szCs w:val="21"/>
        </w:rPr>
        <w:t>一．委托管理服务的物业概况</w:t>
      </w:r>
    </w:p>
    <w:p w14:paraId="04B8F5DF">
      <w:pPr>
        <w:spacing w:line="360" w:lineRule="auto"/>
        <w:outlineLvl w:val="0"/>
        <w:rPr>
          <w:rFonts w:hint="eastAsia" w:ascii="宋体" w:hAnsi="宋体" w:eastAsia="宋体" w:cs="宋体"/>
          <w:b/>
          <w:sz w:val="21"/>
          <w:szCs w:val="21"/>
        </w:rPr>
      </w:pPr>
      <w:r>
        <w:rPr>
          <w:rFonts w:hint="eastAsia" w:ascii="宋体" w:hAnsi="宋体" w:eastAsia="宋体" w:cs="宋体"/>
          <w:b/>
          <w:sz w:val="21"/>
          <w:szCs w:val="21"/>
        </w:rPr>
        <w:t>（一）物业基本情况</w:t>
      </w:r>
    </w:p>
    <w:p w14:paraId="119EB7B0">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物业名称：</w:t>
      </w:r>
      <w:r>
        <w:rPr>
          <w:rFonts w:hint="eastAsia" w:ascii="宋体" w:hAnsi="宋体" w:eastAsia="宋体" w:cs="宋体"/>
          <w:sz w:val="21"/>
          <w:szCs w:val="21"/>
          <w:u w:val="single"/>
        </w:rPr>
        <w:t xml:space="preserve">      上海市工艺美术学校（嘉定校区）                   </w:t>
      </w:r>
    </w:p>
    <w:p w14:paraId="069E46D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物业类型：</w:t>
      </w:r>
      <w:r>
        <w:rPr>
          <w:rFonts w:hint="eastAsia" w:ascii="宋体" w:hAnsi="宋体" w:eastAsia="宋体" w:cs="宋体"/>
          <w:sz w:val="21"/>
          <w:szCs w:val="21"/>
          <w:u w:val="single"/>
        </w:rPr>
        <w:t xml:space="preserve">   </w:t>
      </w:r>
      <w:r>
        <w:rPr>
          <w:rFonts w:hint="eastAsia" w:ascii="宋体" w:hAnsi="宋体" w:eastAsia="宋体" w:cs="宋体"/>
          <w:sz w:val="21"/>
          <w:szCs w:val="21"/>
          <w:highlight w:val="none"/>
          <w:u w:val="single"/>
        </w:rPr>
        <w:t xml:space="preserve">学校物业 （宿舍管理、保洁服务、维修服务、绿化养护、招待所） </w:t>
      </w:r>
      <w:r>
        <w:rPr>
          <w:rFonts w:hint="eastAsia" w:ascii="宋体" w:hAnsi="宋体" w:eastAsia="宋体" w:cs="宋体"/>
          <w:sz w:val="21"/>
          <w:szCs w:val="21"/>
          <w:u w:val="single"/>
        </w:rPr>
        <w:t xml:space="preserve">          </w:t>
      </w:r>
    </w:p>
    <w:p w14:paraId="3FE63B3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坐落位置：</w:t>
      </w:r>
      <w:r>
        <w:rPr>
          <w:rFonts w:hint="eastAsia" w:ascii="宋体" w:hAnsi="宋体" w:eastAsia="宋体" w:cs="宋体"/>
          <w:sz w:val="21"/>
          <w:szCs w:val="21"/>
          <w:u w:val="single"/>
        </w:rPr>
        <w:t xml:space="preserve">   上海   </w:t>
      </w:r>
      <w:r>
        <w:rPr>
          <w:rFonts w:hint="eastAsia" w:ascii="宋体" w:hAnsi="宋体" w:eastAsia="宋体" w:cs="宋体"/>
          <w:sz w:val="21"/>
          <w:szCs w:val="21"/>
        </w:rPr>
        <w:t>市</w:t>
      </w:r>
      <w:r>
        <w:rPr>
          <w:rFonts w:hint="eastAsia" w:ascii="宋体" w:hAnsi="宋体" w:eastAsia="宋体" w:cs="宋体"/>
          <w:sz w:val="21"/>
          <w:szCs w:val="21"/>
          <w:u w:val="single"/>
        </w:rPr>
        <w:t xml:space="preserve">  嘉定 </w:t>
      </w:r>
      <w:r>
        <w:rPr>
          <w:rFonts w:hint="eastAsia" w:ascii="宋体" w:hAnsi="宋体" w:eastAsia="宋体" w:cs="宋体"/>
          <w:sz w:val="21"/>
          <w:szCs w:val="21"/>
        </w:rPr>
        <w:t>区</w:t>
      </w:r>
      <w:r>
        <w:rPr>
          <w:rFonts w:hint="eastAsia" w:ascii="宋体" w:hAnsi="宋体" w:eastAsia="宋体" w:cs="宋体"/>
          <w:sz w:val="21"/>
          <w:szCs w:val="21"/>
          <w:u w:val="single"/>
        </w:rPr>
        <w:t xml:space="preserve">   树屏路   </w:t>
      </w:r>
      <w:r>
        <w:rPr>
          <w:rFonts w:hint="eastAsia" w:ascii="宋体" w:hAnsi="宋体" w:eastAsia="宋体" w:cs="宋体"/>
          <w:sz w:val="21"/>
          <w:szCs w:val="21"/>
        </w:rPr>
        <w:t>路（街道）</w:t>
      </w:r>
      <w:r>
        <w:rPr>
          <w:rFonts w:hint="eastAsia" w:ascii="宋体" w:hAnsi="宋体" w:eastAsia="宋体" w:cs="宋体"/>
          <w:sz w:val="21"/>
          <w:szCs w:val="21"/>
          <w:u w:val="single"/>
        </w:rPr>
        <w:t xml:space="preserve">   1050</w:t>
      </w:r>
      <w:r>
        <w:rPr>
          <w:rFonts w:hint="eastAsia" w:ascii="宋体" w:hAnsi="宋体" w:eastAsia="宋体" w:cs="宋体"/>
          <w:sz w:val="21"/>
          <w:szCs w:val="21"/>
        </w:rPr>
        <w:t>号</w:t>
      </w:r>
    </w:p>
    <w:p w14:paraId="3DD8B82E">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四面边界至：东</w:t>
      </w:r>
      <w:r>
        <w:rPr>
          <w:rFonts w:hint="eastAsia" w:ascii="宋体" w:hAnsi="宋体" w:eastAsia="宋体" w:cs="宋体"/>
          <w:sz w:val="21"/>
          <w:szCs w:val="21"/>
          <w:u w:val="single"/>
        </w:rPr>
        <w:t xml:space="preserve"> 嘉行公路   </w:t>
      </w:r>
      <w:r>
        <w:rPr>
          <w:rFonts w:hint="eastAsia" w:ascii="宋体" w:hAnsi="宋体" w:eastAsia="宋体" w:cs="宋体"/>
          <w:sz w:val="21"/>
          <w:szCs w:val="21"/>
        </w:rPr>
        <w:t>南</w:t>
      </w:r>
      <w:r>
        <w:rPr>
          <w:rFonts w:hint="eastAsia" w:ascii="宋体" w:hAnsi="宋体" w:eastAsia="宋体" w:cs="宋体"/>
          <w:sz w:val="21"/>
          <w:szCs w:val="21"/>
          <w:u w:val="single"/>
        </w:rPr>
        <w:t xml:space="preserve">  树屏路  </w:t>
      </w:r>
      <w:r>
        <w:rPr>
          <w:rFonts w:hint="eastAsia" w:ascii="宋体" w:hAnsi="宋体" w:eastAsia="宋体" w:cs="宋体"/>
          <w:sz w:val="21"/>
          <w:szCs w:val="21"/>
        </w:rPr>
        <w:t>西</w:t>
      </w:r>
      <w:r>
        <w:rPr>
          <w:rFonts w:hint="eastAsia" w:ascii="宋体" w:hAnsi="宋体" w:eastAsia="宋体" w:cs="宋体"/>
          <w:sz w:val="21"/>
          <w:szCs w:val="21"/>
          <w:u w:val="single"/>
        </w:rPr>
        <w:t xml:space="preserve">  柳湖景庭   </w:t>
      </w:r>
      <w:r>
        <w:rPr>
          <w:rFonts w:hint="eastAsia" w:ascii="宋体" w:hAnsi="宋体" w:eastAsia="宋体" w:cs="宋体"/>
          <w:sz w:val="21"/>
          <w:szCs w:val="21"/>
        </w:rPr>
        <w:t>北</w:t>
      </w:r>
      <w:r>
        <w:rPr>
          <w:rFonts w:hint="eastAsia" w:ascii="宋体" w:hAnsi="宋体" w:eastAsia="宋体" w:cs="宋体"/>
          <w:sz w:val="21"/>
          <w:szCs w:val="21"/>
          <w:u w:val="single"/>
        </w:rPr>
        <w:t xml:space="preserve">    昌徐路      </w:t>
      </w:r>
    </w:p>
    <w:p w14:paraId="2FB1693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占地面积：</w:t>
      </w:r>
      <w:r>
        <w:rPr>
          <w:rFonts w:hint="eastAsia" w:ascii="宋体" w:hAnsi="宋体" w:eastAsia="宋体" w:cs="宋体"/>
          <w:sz w:val="21"/>
          <w:szCs w:val="21"/>
          <w:u w:val="single"/>
        </w:rPr>
        <w:t xml:space="preserve">   143953    </w:t>
      </w:r>
      <w:r>
        <w:rPr>
          <w:rFonts w:hint="eastAsia" w:ascii="宋体" w:hAnsi="宋体" w:eastAsia="宋体" w:cs="宋体"/>
          <w:sz w:val="21"/>
          <w:szCs w:val="21"/>
        </w:rPr>
        <w:t>方米，其中绿地面积</w:t>
      </w:r>
      <w:r>
        <w:rPr>
          <w:rFonts w:hint="eastAsia" w:ascii="宋体" w:hAnsi="宋体" w:eastAsia="宋体" w:cs="宋体"/>
          <w:sz w:val="21"/>
          <w:szCs w:val="21"/>
          <w:u w:val="single"/>
        </w:rPr>
        <w:t xml:space="preserve">  </w:t>
      </w:r>
      <w:r>
        <w:rPr>
          <w:rFonts w:hint="eastAsia" w:ascii="宋体" w:hAnsi="宋体" w:eastAsia="宋体" w:cs="宋体"/>
          <w:kern w:val="2"/>
          <w:sz w:val="21"/>
          <w:szCs w:val="21"/>
          <w:u w:val="single"/>
        </w:rPr>
        <w:t xml:space="preserve">43024     </w:t>
      </w:r>
      <w:r>
        <w:rPr>
          <w:rFonts w:hint="eastAsia" w:ascii="宋体" w:hAnsi="宋体" w:eastAsia="宋体" w:cs="宋体"/>
          <w:sz w:val="21"/>
          <w:szCs w:val="21"/>
          <w:u w:val="single"/>
        </w:rPr>
        <w:t xml:space="preserve">   </w:t>
      </w:r>
      <w:r>
        <w:rPr>
          <w:rFonts w:hint="eastAsia" w:ascii="宋体" w:hAnsi="宋体" w:eastAsia="宋体" w:cs="宋体"/>
          <w:sz w:val="21"/>
          <w:szCs w:val="21"/>
        </w:rPr>
        <w:t>平方米。</w:t>
      </w:r>
    </w:p>
    <w:p w14:paraId="24AB763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建筑面积：</w:t>
      </w:r>
      <w:r>
        <w:rPr>
          <w:rFonts w:hint="eastAsia" w:ascii="宋体" w:hAnsi="宋体" w:eastAsia="宋体" w:cs="宋体"/>
          <w:sz w:val="21"/>
          <w:szCs w:val="21"/>
          <w:u w:val="single"/>
        </w:rPr>
        <w:t xml:space="preserve">  109209.53    </w:t>
      </w:r>
      <w:r>
        <w:rPr>
          <w:rFonts w:hint="eastAsia" w:ascii="宋体" w:hAnsi="宋体" w:eastAsia="宋体" w:cs="宋体"/>
          <w:sz w:val="21"/>
          <w:szCs w:val="21"/>
        </w:rPr>
        <w:t>平方米，</w:t>
      </w:r>
    </w:p>
    <w:p w14:paraId="1388A4B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其中:办公楼</w:t>
      </w:r>
      <w:r>
        <w:rPr>
          <w:rFonts w:hint="eastAsia" w:ascii="宋体" w:hAnsi="宋体" w:eastAsia="宋体" w:cs="宋体"/>
          <w:sz w:val="21"/>
          <w:szCs w:val="21"/>
          <w:u w:val="single"/>
        </w:rPr>
        <w:t xml:space="preserve">   9174.91  </w:t>
      </w:r>
      <w:r>
        <w:rPr>
          <w:rFonts w:hint="eastAsia" w:ascii="宋体" w:hAnsi="宋体" w:eastAsia="宋体" w:cs="宋体"/>
          <w:sz w:val="21"/>
          <w:szCs w:val="21"/>
        </w:rPr>
        <w:t>平方米（多层</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6</w:t>
      </w:r>
      <w:r>
        <w:rPr>
          <w:rFonts w:hint="eastAsia" w:ascii="宋体" w:hAnsi="宋体" w:eastAsia="宋体" w:cs="宋体"/>
          <w:sz w:val="21"/>
          <w:szCs w:val="21"/>
          <w:u w:val="single"/>
        </w:rPr>
        <w:t xml:space="preserve">   </w:t>
      </w:r>
      <w:r>
        <w:rPr>
          <w:rFonts w:hint="eastAsia" w:ascii="宋体" w:hAnsi="宋体" w:eastAsia="宋体" w:cs="宋体"/>
          <w:sz w:val="21"/>
          <w:szCs w:val="21"/>
        </w:rPr>
        <w:t>，高层</w:t>
      </w:r>
      <w:r>
        <w:rPr>
          <w:rFonts w:hint="eastAsia" w:ascii="宋体" w:hAnsi="宋体" w:eastAsia="宋体" w:cs="宋体"/>
          <w:sz w:val="21"/>
          <w:szCs w:val="21"/>
          <w:u w:val="single"/>
        </w:rPr>
        <w:t xml:space="preserve">    ，其中地下   </w:t>
      </w:r>
      <w:r>
        <w:rPr>
          <w:rFonts w:hint="eastAsia" w:ascii="宋体" w:hAnsi="宋体" w:eastAsia="宋体" w:cs="宋体"/>
          <w:sz w:val="21"/>
          <w:szCs w:val="21"/>
        </w:rPr>
        <w:t>）；</w:t>
      </w:r>
    </w:p>
    <w:p w14:paraId="0DE9330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礼   堂</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3600</w:t>
      </w:r>
      <w:r>
        <w:rPr>
          <w:rFonts w:hint="eastAsia" w:ascii="宋体" w:hAnsi="宋体" w:eastAsia="宋体" w:cs="宋体"/>
          <w:sz w:val="21"/>
          <w:szCs w:val="21"/>
        </w:rPr>
        <w:t>平方米（多层</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 xml:space="preserve">   </w:t>
      </w:r>
      <w:r>
        <w:rPr>
          <w:rFonts w:hint="eastAsia" w:ascii="宋体" w:hAnsi="宋体" w:eastAsia="宋体" w:cs="宋体"/>
          <w:sz w:val="21"/>
          <w:szCs w:val="21"/>
        </w:rPr>
        <w:t>，高层</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10</w:t>
      </w:r>
      <w:r>
        <w:rPr>
          <w:rFonts w:hint="eastAsia" w:ascii="宋体" w:hAnsi="宋体" w:eastAsia="宋体" w:cs="宋体"/>
          <w:sz w:val="21"/>
          <w:szCs w:val="21"/>
          <w:u w:val="single"/>
        </w:rPr>
        <w:t xml:space="preserve">  </w:t>
      </w:r>
      <w:r>
        <w:rPr>
          <w:rFonts w:hint="eastAsia" w:ascii="宋体" w:hAnsi="宋体" w:eastAsia="宋体" w:cs="宋体"/>
          <w:sz w:val="21"/>
          <w:szCs w:val="21"/>
        </w:rPr>
        <w:t>）；其他</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平方米（多层</w:t>
      </w:r>
      <w:r>
        <w:rPr>
          <w:rFonts w:hint="eastAsia" w:ascii="宋体" w:hAnsi="宋体" w:eastAsia="宋体" w:cs="宋体"/>
          <w:sz w:val="21"/>
          <w:szCs w:val="21"/>
          <w:u w:val="single"/>
        </w:rPr>
        <w:t xml:space="preserve">    </w:t>
      </w:r>
      <w:r>
        <w:rPr>
          <w:rFonts w:hint="eastAsia" w:ascii="宋体" w:hAnsi="宋体" w:eastAsia="宋体" w:cs="宋体"/>
          <w:sz w:val="21"/>
          <w:szCs w:val="21"/>
        </w:rPr>
        <w:t>，高层</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1E50ED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停 车 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3600</w:t>
      </w:r>
      <w:r>
        <w:rPr>
          <w:rFonts w:hint="eastAsia" w:ascii="宋体" w:hAnsi="宋体" w:eastAsia="宋体" w:cs="宋体"/>
          <w:sz w:val="21"/>
          <w:szCs w:val="21"/>
          <w:u w:val="single"/>
        </w:rPr>
        <w:t xml:space="preserve"> </w:t>
      </w:r>
      <w:r>
        <w:rPr>
          <w:rFonts w:hint="eastAsia" w:ascii="宋体" w:hAnsi="宋体" w:eastAsia="宋体" w:cs="宋体"/>
          <w:sz w:val="21"/>
          <w:szCs w:val="21"/>
        </w:rPr>
        <w:t>平方米；</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1B989FC">
      <w:pPr>
        <w:spacing w:line="360" w:lineRule="auto"/>
        <w:ind w:firstLine="420" w:firstLineChars="200"/>
        <w:rPr>
          <w:rFonts w:ascii="宋体"/>
          <w:highlight w:val="none"/>
        </w:rPr>
      </w:pPr>
      <w:r>
        <w:rPr>
          <w:rFonts w:hint="eastAsia" w:ascii="宋体"/>
          <w:highlight w:val="none"/>
        </w:rPr>
        <w:t>餐厅</w:t>
      </w:r>
      <w:r>
        <w:rPr>
          <w:rFonts w:hint="eastAsia" w:ascii="宋体"/>
          <w:highlight w:val="none"/>
          <w:u w:val="single"/>
        </w:rPr>
        <w:t xml:space="preserve"> </w:t>
      </w:r>
      <w:r>
        <w:rPr>
          <w:rFonts w:ascii="宋体"/>
          <w:highlight w:val="none"/>
          <w:u w:val="single"/>
        </w:rPr>
        <w:t>3</w:t>
      </w:r>
      <w:r>
        <w:rPr>
          <w:rFonts w:hint="eastAsia" w:ascii="宋体"/>
          <w:highlight w:val="none"/>
          <w:u w:val="single"/>
        </w:rPr>
        <w:t xml:space="preserve"> </w:t>
      </w:r>
      <w:r>
        <w:rPr>
          <w:rFonts w:hint="eastAsia" w:ascii="宋体"/>
          <w:highlight w:val="none"/>
        </w:rPr>
        <w:t xml:space="preserve">处，其中：小餐厅  </w:t>
      </w:r>
      <w:r>
        <w:rPr>
          <w:rFonts w:ascii="宋体"/>
          <w:highlight w:val="none"/>
        </w:rPr>
        <w:t>0</w:t>
      </w:r>
      <w:r>
        <w:rPr>
          <w:rFonts w:hint="eastAsia" w:ascii="宋体"/>
          <w:highlight w:val="none"/>
        </w:rPr>
        <w:t xml:space="preserve"> 处，    平方米；大餐厅 </w:t>
      </w:r>
      <w:r>
        <w:rPr>
          <w:rFonts w:ascii="宋体"/>
          <w:highlight w:val="none"/>
        </w:rPr>
        <w:t>3</w:t>
      </w:r>
      <w:r>
        <w:rPr>
          <w:rFonts w:hint="eastAsia" w:ascii="宋体"/>
          <w:highlight w:val="none"/>
        </w:rPr>
        <w:t xml:space="preserve">  处，</w:t>
      </w:r>
      <w:r>
        <w:rPr>
          <w:rFonts w:ascii="宋体"/>
          <w:highlight w:val="none"/>
        </w:rPr>
        <w:t>1644</w:t>
      </w:r>
      <w:r>
        <w:rPr>
          <w:rFonts w:hint="eastAsia" w:ascii="宋体"/>
          <w:highlight w:val="none"/>
        </w:rPr>
        <w:t xml:space="preserve"> 平方米；</w:t>
      </w:r>
    </w:p>
    <w:p w14:paraId="036FC222">
      <w:pPr>
        <w:spacing w:line="360" w:lineRule="auto"/>
        <w:ind w:firstLine="420" w:firstLineChars="200"/>
        <w:rPr>
          <w:rFonts w:ascii="宋体"/>
          <w:highlight w:val="none"/>
        </w:rPr>
      </w:pPr>
      <w:r>
        <w:rPr>
          <w:rFonts w:hint="eastAsia" w:ascii="宋体"/>
          <w:highlight w:val="none"/>
        </w:rPr>
        <w:t>厨房</w:t>
      </w:r>
      <w:r>
        <w:rPr>
          <w:rFonts w:hint="eastAsia" w:ascii="宋体"/>
          <w:highlight w:val="none"/>
          <w:u w:val="single"/>
        </w:rPr>
        <w:t xml:space="preserve"> </w:t>
      </w:r>
      <w:r>
        <w:rPr>
          <w:rFonts w:ascii="宋体"/>
          <w:highlight w:val="none"/>
          <w:u w:val="single"/>
        </w:rPr>
        <w:t>3</w:t>
      </w:r>
      <w:r>
        <w:rPr>
          <w:rFonts w:hint="eastAsia" w:ascii="宋体"/>
          <w:highlight w:val="none"/>
          <w:u w:val="single"/>
        </w:rPr>
        <w:t xml:space="preserve"> </w:t>
      </w:r>
      <w:r>
        <w:rPr>
          <w:rFonts w:hint="eastAsia" w:ascii="宋体"/>
          <w:highlight w:val="none"/>
        </w:rPr>
        <w:t>处，</w:t>
      </w:r>
      <w:r>
        <w:rPr>
          <w:rFonts w:hint="eastAsia" w:ascii="宋体"/>
          <w:highlight w:val="none"/>
          <w:u w:val="single"/>
        </w:rPr>
        <w:t xml:space="preserve">   </w:t>
      </w:r>
      <w:r>
        <w:rPr>
          <w:rFonts w:ascii="宋体"/>
          <w:highlight w:val="none"/>
          <w:u w:val="single"/>
        </w:rPr>
        <w:t>1728</w:t>
      </w:r>
      <w:r>
        <w:rPr>
          <w:rFonts w:hint="eastAsia" w:ascii="宋体"/>
          <w:highlight w:val="none"/>
          <w:u w:val="single"/>
        </w:rPr>
        <w:t xml:space="preserve"> </w:t>
      </w:r>
      <w:r>
        <w:rPr>
          <w:rFonts w:hint="eastAsia" w:ascii="宋体"/>
          <w:highlight w:val="none"/>
        </w:rPr>
        <w:t>平方米；厨房设备情况：（简介）</w:t>
      </w:r>
    </w:p>
    <w:p w14:paraId="77177F5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带电梯办公楼共</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 xml:space="preserve">  </w:t>
      </w:r>
      <w:r>
        <w:rPr>
          <w:rFonts w:hint="eastAsia" w:ascii="宋体" w:hAnsi="宋体" w:eastAsia="宋体" w:cs="宋体"/>
          <w:sz w:val="21"/>
          <w:szCs w:val="21"/>
        </w:rPr>
        <w:t>栋，办公楼单位</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套，建筑面积共</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平方米；不带电梯办公楼共</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栋，办公楼单元</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套，建筑面积共</w:t>
      </w:r>
      <w:r>
        <w:rPr>
          <w:rFonts w:hint="eastAsia" w:ascii="宋体" w:hAnsi="宋体" w:eastAsia="宋体" w:cs="宋体"/>
          <w:sz w:val="21"/>
          <w:szCs w:val="21"/>
          <w:u w:val="single"/>
        </w:rPr>
        <w:t xml:space="preserve">   </w:t>
      </w:r>
      <w:r>
        <w:rPr>
          <w:rFonts w:hint="eastAsia" w:ascii="宋体" w:hAnsi="宋体" w:eastAsia="宋体" w:cs="宋体"/>
          <w:sz w:val="21"/>
          <w:szCs w:val="21"/>
        </w:rPr>
        <w:t>平方米；其它</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6237F5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公用设施、设备及公共场所（地）情况：</w:t>
      </w:r>
    </w:p>
    <w:p w14:paraId="6FEF6B1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1、院区车辆出入口</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 xml:space="preserve">   </w:t>
      </w:r>
      <w:r>
        <w:rPr>
          <w:rFonts w:hint="eastAsia" w:ascii="宋体" w:hAnsi="宋体" w:eastAsia="宋体" w:cs="宋体"/>
          <w:sz w:val="21"/>
          <w:szCs w:val="21"/>
        </w:rPr>
        <w:t>个，人行出入口</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 xml:space="preserve">  </w:t>
      </w:r>
      <w:r>
        <w:rPr>
          <w:rFonts w:hint="eastAsia" w:ascii="宋体" w:hAnsi="宋体" w:eastAsia="宋体" w:cs="宋体"/>
          <w:sz w:val="21"/>
          <w:szCs w:val="21"/>
        </w:rPr>
        <w:t>个；</w:t>
      </w:r>
    </w:p>
    <w:p w14:paraId="429925D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2、道路、车行道</w:t>
      </w:r>
      <w:r>
        <w:rPr>
          <w:rFonts w:hint="eastAsia" w:ascii="宋体" w:hAnsi="宋体" w:eastAsia="宋体" w:cs="宋体"/>
          <w:sz w:val="21"/>
          <w:szCs w:val="21"/>
          <w:u w:val="single"/>
        </w:rPr>
        <w:t xml:space="preserve">  27800  </w:t>
      </w:r>
      <w:r>
        <w:rPr>
          <w:rFonts w:hint="eastAsia" w:ascii="宋体" w:hAnsi="宋体" w:eastAsia="宋体" w:cs="宋体"/>
          <w:sz w:val="21"/>
          <w:szCs w:val="21"/>
        </w:rPr>
        <w:t>平方米，人行道</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平方米；</w:t>
      </w:r>
    </w:p>
    <w:p w14:paraId="58072C5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3、绿化面积</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43024</w:t>
      </w:r>
      <w:r>
        <w:rPr>
          <w:rFonts w:hint="eastAsia" w:ascii="宋体" w:hAnsi="宋体" w:eastAsia="宋体" w:cs="宋体"/>
          <w:sz w:val="21"/>
          <w:szCs w:val="21"/>
          <w:u w:val="single"/>
        </w:rPr>
        <w:t xml:space="preserve">  </w:t>
      </w:r>
      <w:r>
        <w:rPr>
          <w:rFonts w:hint="eastAsia" w:ascii="宋体" w:hAnsi="宋体" w:eastAsia="宋体" w:cs="宋体"/>
          <w:sz w:val="21"/>
          <w:szCs w:val="21"/>
        </w:rPr>
        <w:t>平方米，园林建筑小品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1</w:t>
      </w:r>
      <w:r>
        <w:rPr>
          <w:rFonts w:hint="eastAsia" w:ascii="宋体" w:hAnsi="宋体" w:eastAsia="宋体" w:cs="宋体"/>
          <w:sz w:val="21"/>
          <w:szCs w:val="21"/>
          <w:u w:val="single"/>
        </w:rPr>
        <w:t xml:space="preserve">  </w:t>
      </w:r>
      <w:r>
        <w:rPr>
          <w:rFonts w:hint="eastAsia" w:ascii="宋体" w:hAnsi="宋体" w:eastAsia="宋体" w:cs="宋体"/>
          <w:sz w:val="21"/>
          <w:szCs w:val="21"/>
        </w:rPr>
        <w:t>座，水域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平方米；</w:t>
      </w:r>
    </w:p>
    <w:p w14:paraId="305586FC">
      <w:pPr>
        <w:spacing w:line="360" w:lineRule="auto"/>
        <w:ind w:firstLine="420" w:firstLineChars="200"/>
        <w:rPr>
          <w:rFonts w:ascii="宋体"/>
          <w:highlight w:val="none"/>
        </w:rPr>
      </w:pPr>
      <w:r>
        <w:rPr>
          <w:rFonts w:hint="eastAsia" w:ascii="宋体"/>
          <w:highlight w:val="none"/>
        </w:rPr>
        <w:t>4、污水管长</w:t>
      </w:r>
      <w:r>
        <w:rPr>
          <w:rFonts w:hint="eastAsia" w:ascii="宋体"/>
          <w:highlight w:val="none"/>
          <w:u w:val="single"/>
        </w:rPr>
        <w:t xml:space="preserve"> </w:t>
      </w:r>
      <w:r>
        <w:rPr>
          <w:rFonts w:ascii="宋体"/>
          <w:highlight w:val="none"/>
          <w:u w:val="single"/>
        </w:rPr>
        <w:t>1984</w:t>
      </w:r>
      <w:r>
        <w:rPr>
          <w:rFonts w:hint="eastAsia" w:ascii="宋体"/>
          <w:highlight w:val="none"/>
          <w:u w:val="single"/>
        </w:rPr>
        <w:t xml:space="preserve"> </w:t>
      </w:r>
      <w:r>
        <w:rPr>
          <w:rFonts w:hint="eastAsia" w:ascii="宋体"/>
          <w:highlight w:val="none"/>
        </w:rPr>
        <w:t>米，污水检查井</w:t>
      </w:r>
      <w:r>
        <w:rPr>
          <w:rFonts w:hint="eastAsia" w:ascii="宋体"/>
          <w:highlight w:val="none"/>
          <w:u w:val="single"/>
        </w:rPr>
        <w:t xml:space="preserve">    </w:t>
      </w:r>
      <w:r>
        <w:rPr>
          <w:rFonts w:hint="eastAsia" w:ascii="宋体"/>
          <w:highlight w:val="none"/>
        </w:rPr>
        <w:t>座；雨水管长</w:t>
      </w:r>
      <w:r>
        <w:rPr>
          <w:rFonts w:hint="eastAsia" w:ascii="宋体"/>
          <w:highlight w:val="none"/>
          <w:u w:val="single"/>
        </w:rPr>
        <w:t xml:space="preserve"> </w:t>
      </w:r>
      <w:r>
        <w:rPr>
          <w:rFonts w:ascii="宋体"/>
          <w:highlight w:val="none"/>
          <w:u w:val="single"/>
        </w:rPr>
        <w:t>2322</w:t>
      </w:r>
      <w:r>
        <w:rPr>
          <w:rFonts w:hint="eastAsia" w:ascii="宋体"/>
          <w:highlight w:val="none"/>
          <w:u w:val="single"/>
        </w:rPr>
        <w:t xml:space="preserve"> </w:t>
      </w:r>
      <w:r>
        <w:rPr>
          <w:rFonts w:hint="eastAsia" w:ascii="宋体"/>
          <w:highlight w:val="none"/>
        </w:rPr>
        <w:t>米，雨水检查井</w:t>
      </w:r>
      <w:r>
        <w:rPr>
          <w:rFonts w:hint="eastAsia" w:ascii="宋体"/>
          <w:highlight w:val="none"/>
          <w:u w:val="single"/>
        </w:rPr>
        <w:t xml:space="preserve">  </w:t>
      </w:r>
      <w:r>
        <w:rPr>
          <w:rFonts w:hint="eastAsia" w:ascii="宋体"/>
          <w:highlight w:val="none"/>
          <w:u w:val="single"/>
          <w:lang w:val="en-US" w:eastAsia="zh-CN"/>
        </w:rPr>
        <w:t>/</w:t>
      </w:r>
      <w:r>
        <w:rPr>
          <w:rFonts w:hint="eastAsia" w:ascii="宋体"/>
          <w:highlight w:val="none"/>
          <w:u w:val="single"/>
        </w:rPr>
        <w:t xml:space="preserve">    </w:t>
      </w:r>
      <w:r>
        <w:rPr>
          <w:rFonts w:hint="eastAsia" w:ascii="宋体"/>
          <w:highlight w:val="none"/>
        </w:rPr>
        <w:t>座，雨水进水井</w:t>
      </w:r>
      <w:r>
        <w:rPr>
          <w:rFonts w:hint="eastAsia" w:ascii="宋体"/>
          <w:highlight w:val="none"/>
          <w:u w:val="single"/>
        </w:rPr>
        <w:t xml:space="preserve">  </w:t>
      </w:r>
      <w:r>
        <w:rPr>
          <w:rFonts w:hint="eastAsia" w:ascii="宋体"/>
          <w:highlight w:val="none"/>
          <w:u w:val="single"/>
          <w:lang w:val="en-US" w:eastAsia="zh-CN"/>
        </w:rPr>
        <w:t>/</w:t>
      </w:r>
      <w:r>
        <w:rPr>
          <w:rFonts w:hint="eastAsia" w:ascii="宋体"/>
          <w:highlight w:val="none"/>
          <w:u w:val="single"/>
        </w:rPr>
        <w:t xml:space="preserve">   </w:t>
      </w:r>
      <w:r>
        <w:rPr>
          <w:rFonts w:hint="eastAsia" w:ascii="宋体"/>
          <w:highlight w:val="none"/>
        </w:rPr>
        <w:t>座，化粪池</w:t>
      </w:r>
      <w:r>
        <w:rPr>
          <w:rFonts w:hint="eastAsia" w:ascii="宋体"/>
          <w:highlight w:val="none"/>
          <w:u w:val="single"/>
        </w:rPr>
        <w:t xml:space="preserve">  </w:t>
      </w:r>
      <w:r>
        <w:rPr>
          <w:rFonts w:ascii="宋体"/>
          <w:highlight w:val="none"/>
          <w:u w:val="single"/>
        </w:rPr>
        <w:t>0</w:t>
      </w:r>
      <w:r>
        <w:rPr>
          <w:rFonts w:hint="eastAsia" w:ascii="宋体"/>
          <w:highlight w:val="none"/>
          <w:u w:val="single"/>
        </w:rPr>
        <w:t xml:space="preserve"> </w:t>
      </w:r>
      <w:r>
        <w:rPr>
          <w:rFonts w:hint="eastAsia" w:ascii="宋体"/>
          <w:highlight w:val="none"/>
        </w:rPr>
        <w:t>座；</w:t>
      </w:r>
    </w:p>
    <w:p w14:paraId="68AB667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5、路灯</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盏，地灯</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盏，草坪灯</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盏，其他照明设施  </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8D359E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6、垃圾箱</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个，果皮箱</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个，垃圾房（或垃圾中转站）建筑面积</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平方米；</w:t>
      </w:r>
    </w:p>
    <w:p w14:paraId="7980746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7、体育设施</w:t>
      </w:r>
      <w:r>
        <w:rPr>
          <w:rFonts w:hint="eastAsia" w:ascii="宋体" w:hAnsi="宋体" w:eastAsia="宋体" w:cs="宋体"/>
          <w:sz w:val="21"/>
          <w:szCs w:val="21"/>
          <w:u w:val="single"/>
        </w:rPr>
        <w:t xml:space="preserve">        标准体育场（400米跑道  ） 1个        </w:t>
      </w:r>
      <w:r>
        <w:rPr>
          <w:rFonts w:hint="eastAsia" w:ascii="宋体" w:hAnsi="宋体" w:eastAsia="宋体" w:cs="宋体"/>
          <w:sz w:val="21"/>
          <w:szCs w:val="21"/>
        </w:rPr>
        <w:t>；</w:t>
      </w:r>
    </w:p>
    <w:p w14:paraId="2249615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8、休闲设施</w:t>
      </w:r>
      <w:r>
        <w:rPr>
          <w:rFonts w:hint="eastAsia" w:ascii="宋体" w:hAnsi="宋体" w:eastAsia="宋体" w:cs="宋体"/>
          <w:sz w:val="21"/>
          <w:szCs w:val="21"/>
          <w:u w:val="single"/>
        </w:rPr>
        <w:t xml:space="preserve">           景观喷水池500平方米            </w:t>
      </w:r>
      <w:r>
        <w:rPr>
          <w:rFonts w:hint="eastAsia" w:ascii="宋体" w:hAnsi="宋体" w:eastAsia="宋体" w:cs="宋体"/>
          <w:sz w:val="21"/>
          <w:szCs w:val="21"/>
        </w:rPr>
        <w:t>；</w:t>
      </w:r>
    </w:p>
    <w:p w14:paraId="393BCC5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9、停车场：室内停车场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 xml:space="preserve">  </w:t>
      </w:r>
      <w:r>
        <w:rPr>
          <w:rFonts w:hint="eastAsia" w:ascii="宋体" w:hAnsi="宋体" w:eastAsia="宋体" w:cs="宋体"/>
          <w:sz w:val="21"/>
          <w:szCs w:val="21"/>
        </w:rPr>
        <w:t>个</w:t>
      </w:r>
      <w:r>
        <w:rPr>
          <w:rFonts w:hint="eastAsia" w:ascii="宋体" w:hAnsi="宋体" w:eastAsia="宋体" w:cs="宋体"/>
          <w:b/>
          <w:sz w:val="21"/>
          <w:szCs w:val="21"/>
        </w:rPr>
        <w:t>（分楼描述）</w:t>
      </w:r>
      <w:r>
        <w:rPr>
          <w:rFonts w:hint="eastAsia" w:ascii="宋体" w:hAnsi="宋体" w:eastAsia="宋体" w:cs="宋体"/>
          <w:sz w:val="21"/>
          <w:szCs w:val="21"/>
        </w:rPr>
        <w:t>，面积共</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3600</w:t>
      </w:r>
      <w:r>
        <w:rPr>
          <w:rFonts w:hint="eastAsia" w:ascii="宋体" w:hAnsi="宋体" w:eastAsia="宋体" w:cs="宋体"/>
          <w:sz w:val="21"/>
          <w:szCs w:val="21"/>
          <w:u w:val="single"/>
        </w:rPr>
        <w:t xml:space="preserve"> </w:t>
      </w:r>
      <w:r>
        <w:rPr>
          <w:rFonts w:hint="eastAsia" w:ascii="宋体" w:hAnsi="宋体" w:eastAsia="宋体" w:cs="宋体"/>
          <w:sz w:val="21"/>
          <w:szCs w:val="21"/>
        </w:rPr>
        <w:t>平方米，停车位</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个；露天专用停车场</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个，占地面积共</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平方米，停车位</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位，露天零散停车位</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个；自行车停车位：自行车停放设在</w:t>
      </w:r>
      <w:r>
        <w:rPr>
          <w:rFonts w:hint="eastAsia" w:ascii="宋体" w:hAnsi="宋体" w:cs="宋体"/>
          <w:sz w:val="21"/>
          <w:szCs w:val="21"/>
          <w:lang w:val="en-US" w:eastAsia="zh-CN"/>
        </w:rPr>
        <w:t>/</w:t>
      </w:r>
      <w:r>
        <w:rPr>
          <w:rFonts w:hint="eastAsia" w:ascii="宋体" w:hAnsi="宋体" w:eastAsia="宋体" w:cs="宋体"/>
          <w:sz w:val="21"/>
          <w:szCs w:val="21"/>
        </w:rPr>
        <w:t xml:space="preserve"> 。</w:t>
      </w:r>
    </w:p>
    <w:p w14:paraId="500E162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10、电梯</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21</w:t>
      </w:r>
      <w:r>
        <w:rPr>
          <w:rFonts w:hint="eastAsia" w:ascii="宋体" w:hAnsi="宋体" w:eastAsia="宋体" w:cs="宋体"/>
          <w:sz w:val="21"/>
          <w:szCs w:val="21"/>
          <w:u w:val="single"/>
        </w:rPr>
        <w:t xml:space="preserve">  </w:t>
      </w:r>
      <w:r>
        <w:rPr>
          <w:rFonts w:hint="eastAsia" w:ascii="宋体" w:hAnsi="宋体" w:eastAsia="宋体" w:cs="宋体"/>
          <w:sz w:val="21"/>
          <w:szCs w:val="21"/>
        </w:rPr>
        <w:t>台，功率</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千瓦，品牌型号</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，启用时间</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b/>
          <w:sz w:val="21"/>
          <w:szCs w:val="21"/>
        </w:rPr>
        <w:t>（分楼描述）</w:t>
      </w:r>
    </w:p>
    <w:p w14:paraId="3D8D366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11、配电房变压器</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4</w:t>
      </w:r>
      <w:r>
        <w:rPr>
          <w:rFonts w:hint="eastAsia" w:ascii="宋体" w:hAnsi="宋体" w:eastAsia="宋体" w:cs="宋体"/>
          <w:sz w:val="21"/>
          <w:szCs w:val="21"/>
          <w:u w:val="single"/>
        </w:rPr>
        <w:t xml:space="preserve"> </w:t>
      </w:r>
      <w:r>
        <w:rPr>
          <w:rFonts w:hint="eastAsia" w:ascii="宋体" w:hAnsi="宋体" w:eastAsia="宋体" w:cs="宋体"/>
          <w:sz w:val="21"/>
          <w:szCs w:val="21"/>
        </w:rPr>
        <w:t>台，容量共</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57</w:t>
      </w:r>
      <w:r>
        <w:rPr>
          <w:rFonts w:hint="eastAsia" w:ascii="宋体" w:hAnsi="宋体" w:eastAsia="宋体" w:cs="宋体"/>
          <w:sz w:val="21"/>
          <w:szCs w:val="21"/>
          <w:u w:val="single"/>
          <w:lang w:val="en-US" w:eastAsia="zh-CN"/>
        </w:rPr>
        <w:t>00</w:t>
      </w:r>
      <w:r>
        <w:rPr>
          <w:rFonts w:hint="eastAsia" w:ascii="宋体" w:hAnsi="宋体" w:eastAsia="宋体" w:cs="宋体"/>
          <w:sz w:val="21"/>
          <w:szCs w:val="21"/>
          <w:u w:val="single"/>
        </w:rPr>
        <w:t xml:space="preserve">  </w:t>
      </w:r>
      <w:r>
        <w:rPr>
          <w:rFonts w:hint="eastAsia" w:ascii="宋体" w:hAnsi="宋体" w:eastAsia="宋体" w:cs="宋体"/>
          <w:sz w:val="21"/>
          <w:szCs w:val="21"/>
        </w:rPr>
        <w:t>千瓦，品牌型号</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，启用时间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2005年</w:t>
      </w:r>
      <w:r>
        <w:rPr>
          <w:rFonts w:hint="eastAsia" w:ascii="宋体" w:hAnsi="宋体" w:eastAsia="宋体" w:cs="宋体"/>
          <w:sz w:val="21"/>
          <w:szCs w:val="21"/>
          <w:u w:val="single"/>
        </w:rPr>
        <w:t xml:space="preserve">   </w:t>
      </w:r>
      <w:r>
        <w:rPr>
          <w:rFonts w:hint="eastAsia" w:ascii="宋体" w:hAnsi="宋体" w:eastAsia="宋体" w:cs="宋体"/>
          <w:sz w:val="21"/>
          <w:szCs w:val="21"/>
        </w:rPr>
        <w:t>；发电机组功率</w:t>
      </w:r>
      <w:r>
        <w:rPr>
          <w:rFonts w:hint="eastAsia" w:ascii="宋体" w:hAnsi="宋体" w:eastAsia="宋体" w:cs="宋体"/>
          <w:sz w:val="21"/>
          <w:szCs w:val="21"/>
          <w:u w:val="single"/>
        </w:rPr>
        <w:t xml:space="preserve">    10KV  </w:t>
      </w:r>
      <w:r>
        <w:rPr>
          <w:rFonts w:hint="eastAsia" w:ascii="宋体" w:hAnsi="宋体" w:eastAsia="宋体" w:cs="宋体"/>
          <w:sz w:val="21"/>
          <w:szCs w:val="21"/>
        </w:rPr>
        <w:t>千瓦，品牌型号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；启用时间</w:t>
      </w:r>
      <w:r>
        <w:rPr>
          <w:rFonts w:hint="eastAsia" w:ascii="宋体" w:hAnsi="宋体" w:eastAsia="宋体" w:cs="宋体"/>
          <w:sz w:val="21"/>
          <w:szCs w:val="21"/>
          <w:u w:val="single"/>
        </w:rPr>
        <w:t xml:space="preserve"> 2005年  </w:t>
      </w:r>
      <w:r>
        <w:rPr>
          <w:rFonts w:hint="eastAsia" w:ascii="宋体" w:hAnsi="宋体" w:eastAsia="宋体" w:cs="宋体"/>
          <w:sz w:val="21"/>
          <w:szCs w:val="21"/>
        </w:rPr>
        <w:t>；</w:t>
      </w:r>
    </w:p>
    <w:p w14:paraId="1DB9297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12、生活蓄水池</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216</w:t>
      </w:r>
      <w:r>
        <w:rPr>
          <w:rFonts w:hint="eastAsia" w:ascii="宋体" w:hAnsi="宋体" w:eastAsia="宋体" w:cs="宋体"/>
          <w:sz w:val="21"/>
          <w:szCs w:val="21"/>
          <w:u w:val="single"/>
        </w:rPr>
        <w:t xml:space="preserve">  </w:t>
      </w:r>
      <w:r>
        <w:rPr>
          <w:rFonts w:hint="eastAsia" w:ascii="宋体" w:hAnsi="宋体" w:eastAsia="宋体" w:cs="宋体"/>
          <w:sz w:val="21"/>
          <w:szCs w:val="21"/>
        </w:rPr>
        <w:t>立方米，消防水池</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216</w:t>
      </w:r>
      <w:r>
        <w:rPr>
          <w:rFonts w:hint="eastAsia" w:ascii="宋体" w:hAnsi="宋体" w:eastAsia="宋体" w:cs="宋体"/>
          <w:sz w:val="21"/>
          <w:szCs w:val="21"/>
          <w:u w:val="single"/>
        </w:rPr>
        <w:t xml:space="preserve"> </w:t>
      </w:r>
      <w:r>
        <w:rPr>
          <w:rFonts w:hint="eastAsia" w:ascii="宋体" w:hAnsi="宋体" w:eastAsia="宋体" w:cs="宋体"/>
          <w:sz w:val="21"/>
          <w:szCs w:val="21"/>
        </w:rPr>
        <w:t>立方米，消防水箱</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rPr>
        <w:t>立方米；生活水泵</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6</w:t>
      </w:r>
      <w:r>
        <w:rPr>
          <w:rFonts w:hint="eastAsia" w:ascii="宋体" w:hAnsi="宋体" w:eastAsia="宋体" w:cs="宋体"/>
          <w:sz w:val="21"/>
          <w:szCs w:val="21"/>
          <w:u w:val="single"/>
        </w:rPr>
        <w:t xml:space="preserve"> </w:t>
      </w:r>
      <w:r>
        <w:rPr>
          <w:rFonts w:hint="eastAsia" w:ascii="宋体" w:hAnsi="宋体" w:eastAsia="宋体" w:cs="宋体"/>
          <w:sz w:val="21"/>
          <w:szCs w:val="21"/>
        </w:rPr>
        <w:t>台，功率为</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千瓦/台，启用时间</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rPr>
        <w:t>；排污水泵</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17</w:t>
      </w:r>
      <w:r>
        <w:rPr>
          <w:rFonts w:hint="eastAsia" w:ascii="宋体" w:hAnsi="宋体" w:eastAsia="宋体" w:cs="宋体"/>
          <w:sz w:val="21"/>
          <w:szCs w:val="21"/>
          <w:u w:val="single"/>
        </w:rPr>
        <w:t xml:space="preserve"> </w:t>
      </w:r>
      <w:r>
        <w:rPr>
          <w:rFonts w:hint="eastAsia" w:ascii="宋体" w:hAnsi="宋体" w:eastAsia="宋体" w:cs="宋体"/>
          <w:sz w:val="21"/>
          <w:szCs w:val="21"/>
        </w:rPr>
        <w:t>台，功率为</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千瓦/台，启用时间</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，消防水泵</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8</w:t>
      </w:r>
      <w:r>
        <w:rPr>
          <w:rFonts w:hint="eastAsia" w:ascii="宋体" w:hAnsi="宋体" w:eastAsia="宋体" w:cs="宋体"/>
          <w:sz w:val="21"/>
          <w:szCs w:val="21"/>
          <w:u w:val="single"/>
        </w:rPr>
        <w:t xml:space="preserve"> </w:t>
      </w:r>
      <w:r>
        <w:rPr>
          <w:rFonts w:hint="eastAsia" w:ascii="宋体" w:hAnsi="宋体" w:eastAsia="宋体" w:cs="宋体"/>
          <w:sz w:val="21"/>
          <w:szCs w:val="21"/>
        </w:rPr>
        <w:t>台，功率为</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千瓦/台，启用时间</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b/>
          <w:sz w:val="21"/>
          <w:szCs w:val="21"/>
        </w:rPr>
        <w:t>（分楼描述）</w:t>
      </w:r>
    </w:p>
    <w:p w14:paraId="3F1A7D0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13、消防自动报警系统情况及消防灭火器配备情况</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b/>
          <w:sz w:val="21"/>
          <w:szCs w:val="21"/>
        </w:rPr>
        <w:t>（分楼描述）</w:t>
      </w:r>
    </w:p>
    <w:p w14:paraId="7E75048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14、智能化系统</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b/>
          <w:sz w:val="21"/>
          <w:szCs w:val="21"/>
        </w:rPr>
        <w:t>（分楼描述）</w:t>
      </w:r>
    </w:p>
    <w:p w14:paraId="178C6D1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15、其他设施设备情况</w:t>
      </w:r>
      <w:r>
        <w:rPr>
          <w:rFonts w:hint="eastAsia" w:ascii="宋体" w:hAnsi="宋体" w:eastAsia="宋体" w:cs="宋体"/>
          <w:b/>
          <w:sz w:val="21"/>
          <w:szCs w:val="21"/>
        </w:rPr>
        <w:t>（分楼描述）</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DE28423">
      <w:pPr>
        <w:spacing w:line="360" w:lineRule="auto"/>
        <w:ind w:firstLine="360"/>
        <w:rPr>
          <w:rFonts w:hint="eastAsia" w:ascii="宋体" w:hAnsi="宋体" w:eastAsia="宋体" w:cs="宋体"/>
          <w:sz w:val="21"/>
          <w:szCs w:val="21"/>
        </w:rPr>
      </w:pPr>
    </w:p>
    <w:p w14:paraId="33353479">
      <w:pPr>
        <w:spacing w:line="360" w:lineRule="auto"/>
        <w:outlineLvl w:val="0"/>
        <w:rPr>
          <w:rFonts w:hint="eastAsia" w:ascii="宋体" w:hAnsi="宋体" w:eastAsia="宋体" w:cs="宋体"/>
          <w:sz w:val="21"/>
          <w:szCs w:val="21"/>
        </w:rPr>
      </w:pPr>
      <w:r>
        <w:rPr>
          <w:rFonts w:hint="eastAsia" w:ascii="宋体" w:hAnsi="宋体" w:eastAsia="宋体" w:cs="宋体"/>
          <w:b/>
          <w:sz w:val="21"/>
          <w:szCs w:val="21"/>
        </w:rPr>
        <w:t>（二）各楼宇各层功能分布情况</w:t>
      </w:r>
    </w:p>
    <w:p w14:paraId="0C1B1429">
      <w:pPr>
        <w:numPr>
          <w:ilvl w:val="0"/>
          <w:numId w:val="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图书行政楼会议中心（9174.91m2）；6层</w:t>
      </w:r>
    </w:p>
    <w:p w14:paraId="61AA4790">
      <w:pPr>
        <w:numPr>
          <w:ilvl w:val="0"/>
          <w:numId w:val="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教学楼A楼（8634.60 m2）；5层</w:t>
      </w:r>
    </w:p>
    <w:p w14:paraId="674371B9">
      <w:pPr>
        <w:numPr>
          <w:ilvl w:val="0"/>
          <w:numId w:val="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实训楼（4693.08m2）；4层</w:t>
      </w:r>
    </w:p>
    <w:p w14:paraId="086EEC22">
      <w:pPr>
        <w:numPr>
          <w:ilvl w:val="0"/>
          <w:numId w:val="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原创中心（10,182.32 m2）；6层</w:t>
      </w:r>
    </w:p>
    <w:p w14:paraId="0ADDB7D3">
      <w:pPr>
        <w:numPr>
          <w:ilvl w:val="0"/>
          <w:numId w:val="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教学楼B楼（6567.87 m2）；4层</w:t>
      </w:r>
    </w:p>
    <w:p w14:paraId="05E94165">
      <w:pPr>
        <w:numPr>
          <w:ilvl w:val="0"/>
          <w:numId w:val="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食堂（3715.42 m2）；3层</w:t>
      </w:r>
    </w:p>
    <w:p w14:paraId="47D5B5EF">
      <w:pPr>
        <w:numPr>
          <w:ilvl w:val="0"/>
          <w:numId w:val="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体育馆（2411.64 m2）；2层</w:t>
      </w:r>
    </w:p>
    <w:p w14:paraId="0AF99A40">
      <w:pPr>
        <w:numPr>
          <w:ilvl w:val="0"/>
          <w:numId w:val="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宿舍楼J（4357.32 m2）；6层</w:t>
      </w:r>
    </w:p>
    <w:p w14:paraId="5D6F94B7">
      <w:pPr>
        <w:numPr>
          <w:ilvl w:val="0"/>
          <w:numId w:val="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宿舍楼B（4109.71 m2）；6层</w:t>
      </w:r>
    </w:p>
    <w:p w14:paraId="582B45F8">
      <w:pPr>
        <w:numPr>
          <w:ilvl w:val="0"/>
          <w:numId w:val="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宿舍楼C（4109.71 m2）；6层</w:t>
      </w:r>
    </w:p>
    <w:p w14:paraId="1A08327F">
      <w:pPr>
        <w:numPr>
          <w:ilvl w:val="0"/>
          <w:numId w:val="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宿舍楼D（3783.19 m2）；6层</w:t>
      </w:r>
    </w:p>
    <w:p w14:paraId="65C626B5">
      <w:pPr>
        <w:numPr>
          <w:ilvl w:val="0"/>
          <w:numId w:val="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宿舍楼K（3783.19 m2）；6层</w:t>
      </w:r>
    </w:p>
    <w:p w14:paraId="4CA901B5">
      <w:pPr>
        <w:numPr>
          <w:ilvl w:val="0"/>
          <w:numId w:val="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浴室（506.70 m2）；2层</w:t>
      </w:r>
    </w:p>
    <w:p w14:paraId="6EEC1A05">
      <w:pPr>
        <w:numPr>
          <w:ilvl w:val="0"/>
          <w:numId w:val="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宿舍楼F（11300.11 m2）；地上12层、地下1层</w:t>
      </w:r>
    </w:p>
    <w:p w14:paraId="73DBA68C">
      <w:pPr>
        <w:numPr>
          <w:ilvl w:val="0"/>
          <w:numId w:val="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玻陶实训室（265.31 m2）；1层</w:t>
      </w:r>
    </w:p>
    <w:p w14:paraId="60435397">
      <w:pPr>
        <w:numPr>
          <w:ilvl w:val="0"/>
          <w:numId w:val="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现代艺术设计教学实训中心（约30500 m2）；地上10层、地下1层。</w:t>
      </w:r>
    </w:p>
    <w:p w14:paraId="28C808CB">
      <w:pPr>
        <w:spacing w:line="360" w:lineRule="auto"/>
        <w:ind w:firstLine="525" w:firstLineChars="250"/>
        <w:rPr>
          <w:rFonts w:hint="eastAsia" w:ascii="宋体" w:hAnsi="宋体" w:eastAsia="宋体" w:cs="宋体"/>
          <w:sz w:val="21"/>
          <w:szCs w:val="21"/>
        </w:rPr>
      </w:pPr>
    </w:p>
    <w:p w14:paraId="6551E96E">
      <w:pPr>
        <w:spacing w:line="360" w:lineRule="auto"/>
        <w:ind w:firstLine="413" w:firstLineChars="196"/>
        <w:outlineLvl w:val="0"/>
        <w:rPr>
          <w:rFonts w:hint="eastAsia" w:ascii="宋体" w:hAnsi="宋体" w:eastAsia="宋体" w:cs="宋体"/>
          <w:b/>
          <w:sz w:val="21"/>
          <w:szCs w:val="21"/>
        </w:rPr>
      </w:pPr>
      <w:r>
        <w:rPr>
          <w:rFonts w:hint="eastAsia" w:ascii="宋体" w:hAnsi="宋体" w:eastAsia="宋体" w:cs="宋体"/>
          <w:b/>
          <w:sz w:val="21"/>
          <w:szCs w:val="21"/>
        </w:rPr>
        <w:t>（三）业主方为物业服务企业提供的物业管理服务用房情况</w:t>
      </w:r>
    </w:p>
    <w:p w14:paraId="1C6D5E4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业主方提供物业管理用房面积</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50</w:t>
      </w:r>
      <w:r>
        <w:rPr>
          <w:rFonts w:hint="eastAsia" w:ascii="宋体" w:hAnsi="宋体" w:eastAsia="宋体" w:cs="宋体"/>
          <w:sz w:val="21"/>
          <w:szCs w:val="21"/>
          <w:u w:val="single"/>
        </w:rPr>
        <w:t xml:space="preserve">  </w:t>
      </w:r>
      <w:r>
        <w:rPr>
          <w:rFonts w:hint="eastAsia" w:ascii="宋体" w:hAnsi="宋体" w:eastAsia="宋体" w:cs="宋体"/>
          <w:sz w:val="21"/>
          <w:szCs w:val="21"/>
        </w:rPr>
        <w:t>平方米，其中办公房</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 xml:space="preserve">  间</w:t>
      </w:r>
      <w:r>
        <w:rPr>
          <w:rFonts w:hint="eastAsia" w:ascii="宋体" w:hAnsi="宋体" w:eastAsia="宋体" w:cs="宋体"/>
          <w:sz w:val="21"/>
          <w:szCs w:val="21"/>
        </w:rPr>
        <w:t>；工作间</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 间；仓库</w:t>
      </w:r>
      <w:r>
        <w:rPr>
          <w:rFonts w:hint="eastAsia" w:ascii="宋体" w:hAnsi="宋体" w:eastAsia="宋体" w:cs="宋体"/>
          <w:sz w:val="21"/>
          <w:szCs w:val="21"/>
          <w:lang w:val="en-US" w:eastAsia="zh-CN"/>
        </w:rPr>
        <w:t>/</w:t>
      </w:r>
      <w:r>
        <w:rPr>
          <w:rFonts w:hint="eastAsia" w:ascii="宋体" w:hAnsi="宋体" w:eastAsia="宋体" w:cs="宋体"/>
          <w:sz w:val="21"/>
          <w:szCs w:val="21"/>
        </w:rPr>
        <w:t>间。</w:t>
      </w:r>
    </w:p>
    <w:p w14:paraId="2935FE07">
      <w:pPr>
        <w:spacing w:line="360" w:lineRule="auto"/>
        <w:ind w:firstLine="422" w:firstLineChars="200"/>
        <w:rPr>
          <w:rFonts w:hint="eastAsia" w:ascii="宋体" w:hAnsi="宋体" w:eastAsia="宋体" w:cs="宋体"/>
          <w:b/>
          <w:bCs/>
          <w:sz w:val="21"/>
          <w:szCs w:val="21"/>
        </w:rPr>
      </w:pPr>
    </w:p>
    <w:p w14:paraId="7C3E4342">
      <w:pPr>
        <w:spacing w:line="360" w:lineRule="auto"/>
        <w:ind w:left="-2" w:leftChars="-1" w:firstLine="422" w:firstLineChars="200"/>
        <w:outlineLvl w:val="0"/>
        <w:rPr>
          <w:rFonts w:hint="eastAsia" w:ascii="宋体" w:hAnsi="宋体" w:eastAsia="宋体" w:cs="宋体"/>
          <w:sz w:val="21"/>
          <w:szCs w:val="21"/>
        </w:rPr>
      </w:pPr>
      <w:r>
        <w:rPr>
          <w:rFonts w:hint="eastAsia" w:ascii="宋体" w:hAnsi="宋体" w:eastAsia="宋体" w:cs="宋体"/>
          <w:b/>
          <w:sz w:val="21"/>
          <w:szCs w:val="21"/>
        </w:rPr>
        <w:t>（四）采购人的特殊要求（如原物业服务人员的安置要求等）</w:t>
      </w:r>
    </w:p>
    <w:p w14:paraId="4FF36612">
      <w:pPr>
        <w:pStyle w:val="20"/>
        <w:numPr>
          <w:ilvl w:val="0"/>
          <w:numId w:val="2"/>
        </w:numPr>
        <w:adjustRightInd w:val="0"/>
        <w:snapToGrid w:val="0"/>
        <w:spacing w:line="480" w:lineRule="exact"/>
        <w:ind w:left="0"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为确保为保证学校服务质量稳定以及物业服务的延续性，吸收现有物业服务人员比例达到70%的投标人优先考虑。</w:t>
      </w:r>
    </w:p>
    <w:p w14:paraId="303F1AAE">
      <w:pPr>
        <w:pStyle w:val="20"/>
        <w:numPr>
          <w:ilvl w:val="0"/>
          <w:numId w:val="2"/>
        </w:numPr>
        <w:adjustRightInd w:val="0"/>
        <w:snapToGrid w:val="0"/>
        <w:spacing w:line="480" w:lineRule="exact"/>
        <w:ind w:left="0"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投标单位工作人员的服装、必备工具及开办物资由投标人自行解决。</w:t>
      </w:r>
    </w:p>
    <w:p w14:paraId="561B483B">
      <w:pPr>
        <w:pStyle w:val="20"/>
        <w:numPr>
          <w:ilvl w:val="0"/>
          <w:numId w:val="2"/>
        </w:numPr>
        <w:adjustRightInd w:val="0"/>
        <w:snapToGrid w:val="0"/>
        <w:spacing w:line="480" w:lineRule="exact"/>
        <w:ind w:left="0"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投标单位所派服务人员劳动关系均与学校无关，所引起的劳动纠纷由物业企业自行解决；</w:t>
      </w:r>
    </w:p>
    <w:p w14:paraId="052B189C">
      <w:pPr>
        <w:pStyle w:val="20"/>
        <w:numPr>
          <w:ilvl w:val="0"/>
          <w:numId w:val="2"/>
        </w:numPr>
        <w:adjustRightInd w:val="0"/>
        <w:snapToGrid w:val="0"/>
        <w:spacing w:line="480" w:lineRule="exact"/>
        <w:ind w:left="0"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建立起有针对性、可操作性高的详细应急服务预案，包括但不限于公共风险、环境风险、公共卫生事件及重大事件处置等应急预案，并定期开展应急服务预案演练；</w:t>
      </w:r>
    </w:p>
    <w:p w14:paraId="19F5FDAA">
      <w:pPr>
        <w:pStyle w:val="20"/>
        <w:numPr>
          <w:ilvl w:val="0"/>
          <w:numId w:val="2"/>
        </w:numPr>
        <w:adjustRightInd w:val="0"/>
        <w:snapToGrid w:val="0"/>
        <w:spacing w:line="480" w:lineRule="exact"/>
        <w:ind w:left="0"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具备协助业主方举办大型活动的能力，如学校举办临时性活动或大型活动、学校各部门超出招标服务范围外的保洁服务需求等，按照中标服务单价标准据实结算。开荒保洁服务费原则上由学校需求部门日常预算另行支出，不在此次招标预算内。合同期内开荒保洁服务费严格控制审核，不超本项目中标总金额的2%。</w:t>
      </w:r>
    </w:p>
    <w:p w14:paraId="77A9C449">
      <w:pPr>
        <w:pStyle w:val="20"/>
        <w:numPr>
          <w:ilvl w:val="0"/>
          <w:numId w:val="2"/>
        </w:numPr>
        <w:adjustRightInd w:val="0"/>
        <w:snapToGrid w:val="0"/>
        <w:spacing w:line="480" w:lineRule="exact"/>
        <w:ind w:left="0"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中标单位按上级教育系统及学校的规定和要求，配合做好学校各项防疫工作。投标单位提供企业消毒资格证明优先。</w:t>
      </w:r>
    </w:p>
    <w:p w14:paraId="22EA3437">
      <w:pPr>
        <w:pStyle w:val="20"/>
        <w:numPr>
          <w:ilvl w:val="0"/>
          <w:numId w:val="2"/>
        </w:numPr>
        <w:adjustRightInd w:val="0"/>
        <w:snapToGrid w:val="0"/>
        <w:spacing w:line="480" w:lineRule="exact"/>
        <w:ind w:left="0"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智能化管理：根据学校管理需求，中标方应引入物业智能化管理和服务系统，提升办公、维修等管理和服务效率，对单位后勤管理部门开放服务监督窗口，实现对物业服务的实时监管等。</w:t>
      </w:r>
    </w:p>
    <w:p w14:paraId="31E89DD2">
      <w:pPr>
        <w:pStyle w:val="20"/>
        <w:numPr>
          <w:ilvl w:val="0"/>
          <w:numId w:val="2"/>
        </w:numPr>
        <w:adjustRightInd w:val="0"/>
        <w:snapToGrid w:val="0"/>
        <w:spacing w:line="480" w:lineRule="exact"/>
        <w:ind w:left="0"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投标人根据招标总体物业服务需求，自行配备清洁、保养类自动化、智能化设备（需提供：（1）设备采购及相应售后服务保障等证明材料；（2）承诺项目期限内该设备专用于该项目的承诺函）。</w:t>
      </w:r>
    </w:p>
    <w:p w14:paraId="1836BC81">
      <w:pPr>
        <w:pStyle w:val="20"/>
        <w:numPr>
          <w:ilvl w:val="0"/>
          <w:numId w:val="2"/>
        </w:numPr>
        <w:adjustRightInd w:val="0"/>
        <w:snapToGrid w:val="0"/>
        <w:spacing w:line="480" w:lineRule="exact"/>
        <w:ind w:left="0"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基于学校的特殊性，投标单位需具有对学校管理经验和能力。</w:t>
      </w:r>
    </w:p>
    <w:p w14:paraId="79E2AEA9">
      <w:pPr>
        <w:spacing w:line="360" w:lineRule="auto"/>
        <w:ind w:firstLine="525" w:firstLineChars="250"/>
        <w:rPr>
          <w:rFonts w:hint="eastAsia" w:ascii="宋体" w:hAnsi="宋体" w:eastAsia="宋体" w:cs="宋体"/>
          <w:sz w:val="21"/>
          <w:szCs w:val="21"/>
        </w:rPr>
      </w:pPr>
    </w:p>
    <w:p w14:paraId="1F628AB1">
      <w:pPr>
        <w:spacing w:line="360" w:lineRule="auto"/>
        <w:ind w:firstLine="525" w:firstLineChars="250"/>
        <w:rPr>
          <w:rFonts w:hint="eastAsia" w:ascii="宋体" w:hAnsi="宋体" w:eastAsia="宋体" w:cs="宋体"/>
          <w:sz w:val="21"/>
          <w:szCs w:val="21"/>
        </w:rPr>
      </w:pPr>
    </w:p>
    <w:p w14:paraId="11CBB816">
      <w:pPr>
        <w:spacing w:line="360" w:lineRule="auto"/>
        <w:ind w:firstLine="525" w:firstLineChars="250"/>
        <w:rPr>
          <w:rFonts w:hint="eastAsia" w:ascii="宋体" w:hAnsi="宋体" w:eastAsia="宋体" w:cs="宋体"/>
          <w:sz w:val="21"/>
          <w:szCs w:val="21"/>
        </w:rPr>
      </w:pPr>
    </w:p>
    <w:p w14:paraId="1940E630">
      <w:pPr>
        <w:pStyle w:val="9"/>
        <w:spacing w:line="360" w:lineRule="auto"/>
        <w:outlineLvl w:val="0"/>
        <w:rPr>
          <w:rFonts w:hint="eastAsia" w:ascii="宋体" w:hAnsi="宋体" w:eastAsia="宋体" w:cs="宋体"/>
          <w:b/>
          <w:sz w:val="21"/>
          <w:szCs w:val="21"/>
        </w:rPr>
      </w:pPr>
      <w:r>
        <w:rPr>
          <w:rFonts w:hint="eastAsia" w:ascii="宋体" w:hAnsi="宋体" w:eastAsia="宋体" w:cs="宋体"/>
          <w:sz w:val="21"/>
          <w:szCs w:val="21"/>
        </w:rPr>
        <w:t>二、</w:t>
      </w:r>
      <w:r>
        <w:rPr>
          <w:rFonts w:hint="eastAsia" w:ascii="宋体" w:hAnsi="宋体" w:eastAsia="宋体" w:cs="宋体"/>
          <w:b/>
          <w:sz w:val="21"/>
          <w:szCs w:val="21"/>
        </w:rPr>
        <w:t>物业管理服务要求</w:t>
      </w:r>
    </w:p>
    <w:p w14:paraId="3C9A1C38">
      <w:pPr>
        <w:pStyle w:val="20"/>
        <w:spacing w:line="400" w:lineRule="atLeast"/>
        <w:ind w:firstLine="482"/>
        <w:rPr>
          <w:rFonts w:hint="eastAsia" w:ascii="宋体" w:hAnsi="宋体" w:eastAsia="宋体" w:cs="宋体"/>
          <w:b/>
          <w:sz w:val="21"/>
          <w:szCs w:val="21"/>
          <w:highlight w:val="none"/>
        </w:rPr>
      </w:pPr>
      <w:r>
        <w:rPr>
          <w:rFonts w:hint="eastAsia" w:ascii="宋体" w:hAnsi="宋体" w:eastAsia="宋体" w:cs="宋体"/>
          <w:b/>
          <w:sz w:val="21"/>
          <w:szCs w:val="21"/>
          <w:highlight w:val="none"/>
        </w:rPr>
        <w:t>本次委托管理的内容分为以下6项：</w:t>
      </w:r>
    </w:p>
    <w:p w14:paraId="7D45D078">
      <w:pPr>
        <w:pStyle w:val="8"/>
        <w:numPr>
          <w:ilvl w:val="0"/>
          <w:numId w:val="3"/>
        </w:numPr>
        <w:spacing w:after="0" w:line="400" w:lineRule="atLeast"/>
        <w:ind w:left="0" w:leftChars="0" w:firstLine="42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综合管理服务</w:t>
      </w:r>
    </w:p>
    <w:p w14:paraId="055F885A">
      <w:pPr>
        <w:pStyle w:val="8"/>
        <w:numPr>
          <w:ilvl w:val="0"/>
          <w:numId w:val="3"/>
        </w:numPr>
        <w:spacing w:after="0" w:line="400" w:lineRule="atLeast"/>
        <w:ind w:left="0" w:leftChars="0" w:firstLine="42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公共物业维护保养和零星维修管理服务</w:t>
      </w:r>
    </w:p>
    <w:p w14:paraId="5B53E630">
      <w:pPr>
        <w:pStyle w:val="8"/>
        <w:numPr>
          <w:ilvl w:val="0"/>
          <w:numId w:val="3"/>
        </w:numPr>
        <w:spacing w:after="0" w:line="400" w:lineRule="atLeast"/>
        <w:ind w:left="0" w:leftChars="0" w:firstLine="42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公共区域卫生清洁及垃圾分类管理服务</w:t>
      </w:r>
    </w:p>
    <w:p w14:paraId="5877F2B1">
      <w:pPr>
        <w:pStyle w:val="8"/>
        <w:numPr>
          <w:ilvl w:val="0"/>
          <w:numId w:val="3"/>
        </w:numPr>
        <w:spacing w:after="0" w:line="400" w:lineRule="atLeast"/>
        <w:ind w:left="0" w:leftChars="0" w:firstLine="42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学生公寓管理服务（含招待所管理）</w:t>
      </w:r>
    </w:p>
    <w:p w14:paraId="248595CD">
      <w:pPr>
        <w:pStyle w:val="8"/>
        <w:numPr>
          <w:ilvl w:val="0"/>
          <w:numId w:val="3"/>
        </w:numPr>
        <w:spacing w:after="0" w:line="400" w:lineRule="atLeast"/>
        <w:ind w:left="0" w:leftChars="0" w:firstLine="42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公共绿地养护和室内绿化、摆花的服务</w:t>
      </w:r>
    </w:p>
    <w:p w14:paraId="4D677AE1">
      <w:pPr>
        <w:pStyle w:val="8"/>
        <w:numPr>
          <w:ilvl w:val="0"/>
          <w:numId w:val="3"/>
        </w:numPr>
        <w:spacing w:after="0" w:line="400" w:lineRule="atLeast"/>
        <w:ind w:left="0" w:leftChars="0" w:firstLine="42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其他特约需求服务</w:t>
      </w:r>
    </w:p>
    <w:p w14:paraId="6BF978BD">
      <w:pPr>
        <w:pStyle w:val="20"/>
        <w:numPr>
          <w:ilvl w:val="0"/>
          <w:numId w:val="4"/>
        </w:numPr>
        <w:spacing w:line="440" w:lineRule="exact"/>
        <w:ind w:left="840" w:hanging="840" w:firstLineChars="0"/>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综合管理服务</w:t>
      </w:r>
    </w:p>
    <w:p w14:paraId="3B9CAB12">
      <w:pPr>
        <w:pStyle w:val="8"/>
        <w:numPr>
          <w:ilvl w:val="0"/>
          <w:numId w:val="5"/>
        </w:numPr>
        <w:spacing w:after="0" w:line="400" w:lineRule="atLeast"/>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档案管理</w:t>
      </w:r>
    </w:p>
    <w:p w14:paraId="07E6D120">
      <w:pPr>
        <w:pStyle w:val="20"/>
        <w:widowControl/>
        <w:numPr>
          <w:ilvl w:val="0"/>
          <w:numId w:val="6"/>
        </w:numPr>
        <w:spacing w:line="400" w:lineRule="atLeas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应建立完善的物业管理档案制度。</w:t>
      </w:r>
    </w:p>
    <w:p w14:paraId="4458FC33">
      <w:pPr>
        <w:pStyle w:val="20"/>
        <w:widowControl/>
        <w:numPr>
          <w:ilvl w:val="0"/>
          <w:numId w:val="6"/>
        </w:numPr>
        <w:spacing w:line="400" w:lineRule="atLeas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建立物业服务人员人事档案、行政档案；建立安全管理档案；建立维修、保洁等日常运作管理档案；建立楼宇运行数据、公用设施设备维护保养、房屋修缮、仓库管理及资产管理档案；制定有关人、财、物移交的管理规定，所有相关管理档案资料，必须保证完整、完好，撤离时全部移交采购人。</w:t>
      </w:r>
    </w:p>
    <w:p w14:paraId="518CEF2D">
      <w:pPr>
        <w:pStyle w:val="8"/>
        <w:numPr>
          <w:ilvl w:val="0"/>
          <w:numId w:val="5"/>
        </w:numPr>
        <w:spacing w:after="0" w:line="400" w:lineRule="atLeast"/>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质量管理</w:t>
      </w:r>
    </w:p>
    <w:p w14:paraId="088A1FE4">
      <w:pPr>
        <w:pStyle w:val="20"/>
        <w:widowControl/>
        <w:numPr>
          <w:ilvl w:val="0"/>
          <w:numId w:val="6"/>
        </w:numPr>
        <w:spacing w:line="400" w:lineRule="atLeas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按照</w:t>
      </w:r>
      <w:r>
        <w:rPr>
          <w:rFonts w:hint="eastAsia" w:ascii="宋体" w:hAnsi="宋体" w:eastAsia="宋体" w:cs="宋体"/>
          <w:color w:val="000000"/>
          <w:kern w:val="0"/>
          <w:sz w:val="21"/>
          <w:szCs w:val="21"/>
          <w:lang w:bidi="ar-SA"/>
        </w:rPr>
        <w:t>质量管理体系认证（GB/T 19001认证）、职业健康安全管理体系认证（GB/T 45001认证），环境管理体系认证（GB/T 24001认证）</w:t>
      </w:r>
      <w:r>
        <w:rPr>
          <w:rFonts w:hint="eastAsia" w:ascii="宋体" w:hAnsi="宋体" w:eastAsia="宋体" w:cs="宋体"/>
          <w:sz w:val="21"/>
          <w:szCs w:val="21"/>
          <w:highlight w:val="none"/>
        </w:rPr>
        <w:t>的要求，建立起项目现场实用、有效的管理体系。</w:t>
      </w:r>
    </w:p>
    <w:p w14:paraId="2ADF6641">
      <w:pPr>
        <w:pStyle w:val="8"/>
        <w:numPr>
          <w:ilvl w:val="0"/>
          <w:numId w:val="5"/>
        </w:numPr>
        <w:spacing w:after="0" w:line="400" w:lineRule="atLeast"/>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投诉接待处理</w:t>
      </w:r>
    </w:p>
    <w:p w14:paraId="2402EE83">
      <w:pPr>
        <w:pStyle w:val="20"/>
        <w:widowControl/>
        <w:numPr>
          <w:ilvl w:val="0"/>
          <w:numId w:val="6"/>
        </w:numPr>
        <w:spacing w:line="400" w:lineRule="atLeast"/>
        <w:ind w:left="1218" w:hanging="476"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现场管理机构为本项目投诉的直接受理点，应对投诉具体情况进行核实，并及时处理及回复投诉人。</w:t>
      </w:r>
    </w:p>
    <w:p w14:paraId="4A2533CE">
      <w:pPr>
        <w:pStyle w:val="20"/>
        <w:widowControl/>
        <w:numPr>
          <w:ilvl w:val="0"/>
          <w:numId w:val="6"/>
        </w:numPr>
        <w:spacing w:line="400" w:lineRule="atLeast"/>
        <w:ind w:left="1218" w:hanging="476"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属于物业管理责任的，应及时道歉并纠正；属于无理投诉的应做好解释工作。</w:t>
      </w:r>
    </w:p>
    <w:p w14:paraId="2903D4F3">
      <w:pPr>
        <w:pStyle w:val="20"/>
        <w:widowControl/>
        <w:numPr>
          <w:ilvl w:val="0"/>
          <w:numId w:val="6"/>
        </w:numPr>
        <w:spacing w:line="400" w:lineRule="atLeast"/>
        <w:ind w:left="1218" w:hanging="476"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现场管理机构与投诉者无法协商解决的，应上报公司主管部门或校方主管部门处理。</w:t>
      </w:r>
    </w:p>
    <w:p w14:paraId="661CED8B">
      <w:pPr>
        <w:pStyle w:val="20"/>
        <w:widowControl/>
        <w:numPr>
          <w:ilvl w:val="0"/>
          <w:numId w:val="6"/>
        </w:numPr>
        <w:spacing w:line="400" w:lineRule="atLeast"/>
        <w:ind w:left="1218" w:hanging="476"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学校师生直接向公司主管部门或校方主管部门投诉或转来的投诉，应查明并核实事实情况，分清责任后如实反映情况或上报书面材料，协助公司主管部门或校方主管部门做好相应工作。</w:t>
      </w:r>
    </w:p>
    <w:p w14:paraId="73C73C26">
      <w:pPr>
        <w:pStyle w:val="20"/>
        <w:widowControl/>
        <w:numPr>
          <w:ilvl w:val="0"/>
          <w:numId w:val="6"/>
        </w:numPr>
        <w:spacing w:line="400" w:lineRule="atLeast"/>
        <w:ind w:left="1218" w:hanging="476"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建立回访制度、完整保存记录。</w:t>
      </w:r>
    </w:p>
    <w:p w14:paraId="76174AB5">
      <w:pPr>
        <w:pStyle w:val="8"/>
        <w:numPr>
          <w:ilvl w:val="0"/>
          <w:numId w:val="5"/>
        </w:numPr>
        <w:spacing w:after="0" w:line="400" w:lineRule="atLeast"/>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报修受理</w:t>
      </w:r>
    </w:p>
    <w:p w14:paraId="751D0F2F">
      <w:pPr>
        <w:pStyle w:val="20"/>
        <w:widowControl/>
        <w:numPr>
          <w:ilvl w:val="0"/>
          <w:numId w:val="6"/>
        </w:numPr>
        <w:spacing w:line="400" w:lineRule="atLeas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24小时接报修服务，有完善统一的报修受理流程。</w:t>
      </w:r>
    </w:p>
    <w:p w14:paraId="089F342F">
      <w:pPr>
        <w:pStyle w:val="20"/>
        <w:widowControl/>
        <w:numPr>
          <w:ilvl w:val="0"/>
          <w:numId w:val="6"/>
        </w:numPr>
        <w:spacing w:line="400" w:lineRule="atLeas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急修10分钟到场，建立回访制度、完整保存记录。</w:t>
      </w:r>
    </w:p>
    <w:p w14:paraId="5EAF0039">
      <w:pPr>
        <w:pStyle w:val="8"/>
        <w:numPr>
          <w:ilvl w:val="0"/>
          <w:numId w:val="5"/>
        </w:numPr>
        <w:spacing w:after="0" w:line="400" w:lineRule="atLeast"/>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客户意见征询</w:t>
      </w:r>
    </w:p>
    <w:p w14:paraId="586F9EBD">
      <w:pPr>
        <w:pStyle w:val="20"/>
        <w:widowControl/>
        <w:numPr>
          <w:ilvl w:val="0"/>
          <w:numId w:val="6"/>
        </w:numPr>
        <w:spacing w:line="400" w:lineRule="atLeas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定期采取电话联系、走访、恳谈会、问卷调查、联谊活动、联系函、满意度测评等多种形式，与校方保持联系，征求师生意见。</w:t>
      </w:r>
    </w:p>
    <w:p w14:paraId="75134FB8">
      <w:pPr>
        <w:pStyle w:val="20"/>
        <w:widowControl/>
        <w:numPr>
          <w:ilvl w:val="0"/>
          <w:numId w:val="6"/>
        </w:numPr>
        <w:spacing w:line="400" w:lineRule="atLeas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意见征询中发现的问题，应及时整改，并对整改结果进行回访。</w:t>
      </w:r>
    </w:p>
    <w:p w14:paraId="30B8A7A9">
      <w:pPr>
        <w:pStyle w:val="8"/>
        <w:numPr>
          <w:ilvl w:val="0"/>
          <w:numId w:val="5"/>
        </w:numPr>
        <w:spacing w:after="0" w:line="400" w:lineRule="atLeast"/>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对外统筹与协调</w:t>
      </w:r>
    </w:p>
    <w:p w14:paraId="287A8358">
      <w:pPr>
        <w:pStyle w:val="20"/>
        <w:widowControl/>
        <w:numPr>
          <w:ilvl w:val="0"/>
          <w:numId w:val="6"/>
        </w:numPr>
        <w:spacing w:line="400" w:lineRule="atLeas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接受学校的安排，协助学校相关部门共同完成相关对外保障任务。</w:t>
      </w:r>
    </w:p>
    <w:p w14:paraId="250A40F9">
      <w:pPr>
        <w:pStyle w:val="9"/>
        <w:spacing w:line="360" w:lineRule="auto"/>
        <w:rPr>
          <w:rFonts w:hint="eastAsia" w:ascii="宋体" w:hAnsi="宋体" w:eastAsia="宋体" w:cs="宋体"/>
          <w:sz w:val="21"/>
          <w:szCs w:val="21"/>
          <w:highlight w:val="none"/>
        </w:rPr>
      </w:pPr>
    </w:p>
    <w:p w14:paraId="6F784ACD">
      <w:pPr>
        <w:pStyle w:val="20"/>
        <w:numPr>
          <w:ilvl w:val="0"/>
          <w:numId w:val="4"/>
        </w:numPr>
        <w:spacing w:line="440" w:lineRule="exact"/>
        <w:ind w:left="840" w:hanging="840" w:firstLineChars="0"/>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公共物业维护保养和（零星）维修管理服务</w:t>
      </w:r>
    </w:p>
    <w:p w14:paraId="22605F20">
      <w:pPr>
        <w:pStyle w:val="8"/>
        <w:numPr>
          <w:ilvl w:val="0"/>
          <w:numId w:val="7"/>
        </w:numPr>
        <w:spacing w:after="0" w:line="400" w:lineRule="atLeast"/>
        <w:ind w:left="1315" w:hanging="783" w:hangingChars="373"/>
        <w:rPr>
          <w:rFonts w:hint="eastAsia" w:ascii="宋体" w:hAnsi="宋体" w:eastAsia="宋体" w:cs="宋体"/>
          <w:sz w:val="21"/>
          <w:szCs w:val="21"/>
        </w:rPr>
      </w:pPr>
      <w:r>
        <w:rPr>
          <w:rFonts w:hint="eastAsia" w:ascii="宋体" w:hAnsi="宋体" w:eastAsia="宋体" w:cs="宋体"/>
          <w:sz w:val="21"/>
          <w:szCs w:val="21"/>
        </w:rPr>
        <w:t>日常维护</w:t>
      </w:r>
    </w:p>
    <w:p w14:paraId="09F635F4">
      <w:pPr>
        <w:pStyle w:val="20"/>
        <w:widowControl/>
        <w:numPr>
          <w:ilvl w:val="0"/>
          <w:numId w:val="6"/>
        </w:numPr>
        <w:spacing w:line="400" w:lineRule="atLeast"/>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经常对校舍地面、屋面、墙面、门窗、教室内、宿舍等进行日常的检修、保养，保持完好。</w:t>
      </w:r>
    </w:p>
    <w:p w14:paraId="2A46B030">
      <w:pPr>
        <w:pStyle w:val="20"/>
        <w:widowControl/>
        <w:numPr>
          <w:ilvl w:val="0"/>
          <w:numId w:val="6"/>
        </w:numPr>
        <w:spacing w:line="400" w:lineRule="atLeast"/>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根据临时报修提供日常零星维修。</w:t>
      </w:r>
    </w:p>
    <w:p w14:paraId="4E060B6C">
      <w:pPr>
        <w:pStyle w:val="20"/>
        <w:widowControl/>
        <w:numPr>
          <w:ilvl w:val="0"/>
          <w:numId w:val="6"/>
        </w:numPr>
        <w:spacing w:line="400" w:lineRule="atLeast"/>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零星维修服务符合约定。</w:t>
      </w:r>
    </w:p>
    <w:p w14:paraId="00AC6B8E">
      <w:pPr>
        <w:pStyle w:val="20"/>
        <w:widowControl/>
        <w:numPr>
          <w:ilvl w:val="0"/>
          <w:numId w:val="6"/>
        </w:numPr>
        <w:spacing w:line="400" w:lineRule="atLeast"/>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房屋外墙出现裂缝、起壳、粉刷层脱落等现象，应及时向学校通报。</w:t>
      </w:r>
    </w:p>
    <w:p w14:paraId="1F49BCDF">
      <w:pPr>
        <w:pStyle w:val="20"/>
        <w:widowControl/>
        <w:numPr>
          <w:ilvl w:val="0"/>
          <w:numId w:val="6"/>
        </w:numPr>
        <w:spacing w:line="400" w:lineRule="atLeast"/>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房屋外墙出现乱涂、乱画、乱张贴现象，应及时到场处理。</w:t>
      </w:r>
    </w:p>
    <w:p w14:paraId="6F6908F6">
      <w:pPr>
        <w:pStyle w:val="20"/>
        <w:widowControl/>
        <w:numPr>
          <w:ilvl w:val="0"/>
          <w:numId w:val="6"/>
        </w:numPr>
        <w:spacing w:line="400" w:lineRule="atLeast"/>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厕所洁具设施维护维修</w:t>
      </w:r>
    </w:p>
    <w:p w14:paraId="3724BA8B">
      <w:pPr>
        <w:pStyle w:val="20"/>
        <w:widowControl/>
        <w:numPr>
          <w:ilvl w:val="0"/>
          <w:numId w:val="8"/>
        </w:numPr>
        <w:spacing w:line="400" w:lineRule="atLeast"/>
        <w:ind w:left="1135" w:hanging="284" w:firstLineChars="0"/>
        <w:rPr>
          <w:rFonts w:hint="eastAsia" w:ascii="宋体" w:hAnsi="宋体" w:eastAsia="宋体" w:cs="宋体"/>
          <w:sz w:val="21"/>
          <w:szCs w:val="21"/>
        </w:rPr>
      </w:pPr>
      <w:r>
        <w:rPr>
          <w:rFonts w:hint="eastAsia" w:ascii="宋体" w:hAnsi="宋体" w:eastAsia="宋体" w:cs="宋体"/>
          <w:sz w:val="21"/>
          <w:szCs w:val="21"/>
        </w:rPr>
        <w:t>保持设施完好、正常，水龙头及便池出水正常，不漏水，地漏畅通不堵塞。</w:t>
      </w:r>
    </w:p>
    <w:p w14:paraId="44AD21FD">
      <w:pPr>
        <w:pStyle w:val="20"/>
        <w:widowControl/>
        <w:numPr>
          <w:ilvl w:val="0"/>
          <w:numId w:val="8"/>
        </w:numPr>
        <w:spacing w:line="400" w:lineRule="atLeast"/>
        <w:ind w:left="1135" w:hanging="284" w:firstLineChars="0"/>
        <w:rPr>
          <w:rFonts w:hint="eastAsia" w:ascii="宋体" w:hAnsi="宋体" w:eastAsia="宋体" w:cs="宋体"/>
          <w:sz w:val="21"/>
          <w:szCs w:val="21"/>
        </w:rPr>
      </w:pPr>
      <w:r>
        <w:rPr>
          <w:rFonts w:hint="eastAsia" w:ascii="宋体" w:hAnsi="宋体" w:eastAsia="宋体" w:cs="宋体"/>
          <w:sz w:val="21"/>
          <w:szCs w:val="21"/>
        </w:rPr>
        <w:t>保持管道畅通与安全使用，发现损坏应及时修复。</w:t>
      </w:r>
    </w:p>
    <w:p w14:paraId="1DEFB3CB">
      <w:pPr>
        <w:pStyle w:val="20"/>
        <w:widowControl/>
        <w:numPr>
          <w:ilvl w:val="0"/>
          <w:numId w:val="6"/>
        </w:numPr>
        <w:spacing w:line="400" w:lineRule="atLeast"/>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矿棉板、铝扣板吊顶由物业负责维修。</w:t>
      </w:r>
    </w:p>
    <w:p w14:paraId="2F5FD885">
      <w:pPr>
        <w:pStyle w:val="20"/>
        <w:widowControl/>
        <w:numPr>
          <w:ilvl w:val="0"/>
          <w:numId w:val="6"/>
        </w:numPr>
        <w:spacing w:line="400" w:lineRule="atLeast"/>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窗帘活动机构（如卷筒、滑道、滑轮等），均由物业负责维修（不包括窗帘布维修及清洗）。</w:t>
      </w:r>
    </w:p>
    <w:p w14:paraId="4CC3B04C">
      <w:pPr>
        <w:pStyle w:val="20"/>
        <w:widowControl/>
        <w:numPr>
          <w:ilvl w:val="0"/>
          <w:numId w:val="6"/>
        </w:numPr>
        <w:spacing w:line="400" w:lineRule="atLeast"/>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所有门的限位器、闭门器、地弹簧等以及非电子门锁，均由物业负责维修（包括抽屉锁）。</w:t>
      </w:r>
    </w:p>
    <w:p w14:paraId="4FD05993">
      <w:pPr>
        <w:pStyle w:val="20"/>
        <w:widowControl/>
        <w:numPr>
          <w:ilvl w:val="0"/>
          <w:numId w:val="6"/>
        </w:numPr>
        <w:spacing w:line="400" w:lineRule="atLeast"/>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所有窗的活动机构（如把手、底托、联动件等）的上润滑油保养由物业负责。如发现损坏，报学校。</w:t>
      </w:r>
    </w:p>
    <w:p w14:paraId="671C66FE">
      <w:pPr>
        <w:pStyle w:val="20"/>
        <w:widowControl/>
        <w:numPr>
          <w:ilvl w:val="0"/>
          <w:numId w:val="6"/>
        </w:numPr>
        <w:spacing w:line="400" w:lineRule="atLeast"/>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单片普通玻璃由物业负责维修（不包括钢化玻璃）。</w:t>
      </w:r>
    </w:p>
    <w:p w14:paraId="121D11AB">
      <w:pPr>
        <w:pStyle w:val="20"/>
        <w:widowControl/>
        <w:numPr>
          <w:ilvl w:val="0"/>
          <w:numId w:val="6"/>
        </w:numPr>
        <w:spacing w:line="400" w:lineRule="atLeast"/>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所有楼顶的雨水管排水孔清理由物业负责，不得少于一年四次；汛期间（6月1日至9月30日）每两周一次。</w:t>
      </w:r>
    </w:p>
    <w:p w14:paraId="68CC8A73">
      <w:pPr>
        <w:pStyle w:val="20"/>
        <w:widowControl/>
        <w:numPr>
          <w:ilvl w:val="0"/>
          <w:numId w:val="6"/>
        </w:numPr>
        <w:spacing w:line="400" w:lineRule="atLeast"/>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学校购买的灯具由物业负责安装（不包括舞台灯具等专业性要求强的灯具）。</w:t>
      </w:r>
    </w:p>
    <w:p w14:paraId="5A760570">
      <w:pPr>
        <w:pStyle w:val="20"/>
        <w:widowControl/>
        <w:numPr>
          <w:ilvl w:val="0"/>
          <w:numId w:val="6"/>
        </w:numPr>
        <w:spacing w:line="400" w:lineRule="atLeast"/>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建筑内墙体挂小型物件由物业负责。</w:t>
      </w:r>
    </w:p>
    <w:p w14:paraId="6E27119C">
      <w:pPr>
        <w:pStyle w:val="9"/>
        <w:spacing w:line="360" w:lineRule="auto"/>
        <w:ind w:firstLine="422" w:firstLineChars="200"/>
        <w:rPr>
          <w:rFonts w:hint="eastAsia" w:ascii="宋体" w:hAnsi="宋体" w:eastAsia="宋体" w:cs="宋体"/>
          <w:spacing w:val="-2"/>
          <w:sz w:val="21"/>
          <w:szCs w:val="21"/>
        </w:rPr>
      </w:pPr>
      <w:r>
        <w:rPr>
          <w:rFonts w:hint="eastAsia" w:ascii="宋体" w:hAnsi="宋体" w:eastAsia="宋体" w:cs="宋体"/>
          <w:b/>
          <w:bCs/>
          <w:sz w:val="21"/>
          <w:szCs w:val="21"/>
        </w:rPr>
        <w:t>【服务标准】：</w:t>
      </w:r>
      <w:r>
        <w:rPr>
          <w:rFonts w:hint="eastAsia" w:ascii="宋体" w:hAnsi="宋体" w:eastAsia="宋体" w:cs="宋体"/>
          <w:spacing w:val="-2"/>
          <w:sz w:val="21"/>
          <w:szCs w:val="21"/>
        </w:rPr>
        <w:t>确保房屋建筑物完好等级和正常使用；墙面砖、地坪、地砖平整不起壳、无遗缺；墙地面有碎裂、断裂或缺损的，应在发现时及时报学校主管部门，1个面的面积在5平方以内的由物业实施修缮，其他由学校实施修缮；对玻璃幕墙进行日常巡视。发现问题及时向学校主管部门报告，提出方案和建议经批准后组织实施。楼宇内各项零星维修时间不超过24小时，一次维修合格率应为100%。对房屋日常维修、养护记录完整。零星维修及时率达到95%以上、完好率达95%以上。</w:t>
      </w:r>
    </w:p>
    <w:p w14:paraId="63020AF7">
      <w:pPr>
        <w:pStyle w:val="8"/>
        <w:numPr>
          <w:ilvl w:val="0"/>
          <w:numId w:val="7"/>
        </w:numPr>
        <w:spacing w:after="0" w:line="400" w:lineRule="atLeast"/>
        <w:ind w:left="1315" w:hanging="783" w:hangingChars="373"/>
        <w:rPr>
          <w:rFonts w:hint="eastAsia" w:ascii="宋体" w:hAnsi="宋体" w:eastAsia="宋体" w:cs="宋体"/>
          <w:sz w:val="21"/>
          <w:szCs w:val="21"/>
        </w:rPr>
      </w:pPr>
      <w:r>
        <w:rPr>
          <w:rFonts w:hint="eastAsia" w:ascii="宋体" w:hAnsi="宋体" w:eastAsia="宋体" w:cs="宋体"/>
          <w:sz w:val="21"/>
          <w:szCs w:val="21"/>
        </w:rPr>
        <w:t>维修计划</w:t>
      </w:r>
    </w:p>
    <w:p w14:paraId="5C7F7019">
      <w:pPr>
        <w:pStyle w:val="20"/>
        <w:widowControl/>
        <w:numPr>
          <w:ilvl w:val="0"/>
          <w:numId w:val="6"/>
        </w:numPr>
        <w:spacing w:line="400" w:lineRule="atLeast"/>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根据校舍各种构、部件的合理使用年限，订立定期保养、修缮计划。</w:t>
      </w:r>
    </w:p>
    <w:p w14:paraId="7860E0F8">
      <w:pPr>
        <w:pStyle w:val="20"/>
        <w:widowControl/>
        <w:numPr>
          <w:ilvl w:val="0"/>
          <w:numId w:val="6"/>
        </w:numPr>
        <w:spacing w:line="400" w:lineRule="atLeast"/>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根据校舍木结构、砖石结构、钢结构等不同的养护要求，制定防潮、防腐、防蚁蛀、防锈等定期保养、修缮计划。</w:t>
      </w:r>
    </w:p>
    <w:p w14:paraId="098E6CA0">
      <w:pPr>
        <w:pStyle w:val="20"/>
        <w:widowControl/>
        <w:numPr>
          <w:ilvl w:val="0"/>
          <w:numId w:val="6"/>
        </w:numPr>
        <w:spacing w:line="400" w:lineRule="atLeast"/>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根据防台风、防汛、防梅雨、防冻等需要，制定季节性预防养护计划。</w:t>
      </w:r>
    </w:p>
    <w:p w14:paraId="7845C887">
      <w:pPr>
        <w:pStyle w:val="20"/>
        <w:widowControl/>
        <w:numPr>
          <w:ilvl w:val="0"/>
          <w:numId w:val="6"/>
        </w:numPr>
        <w:spacing w:line="400" w:lineRule="atLeast"/>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适时向学校提出油饰、粉刷、集中更换门窗等中修维护计划。</w:t>
      </w:r>
    </w:p>
    <w:p w14:paraId="058E1189">
      <w:pPr>
        <w:pStyle w:val="9"/>
        <w:spacing w:line="360" w:lineRule="auto"/>
        <w:ind w:firstLine="422" w:firstLineChars="200"/>
        <w:rPr>
          <w:rFonts w:hint="eastAsia" w:ascii="宋体" w:hAnsi="宋体" w:eastAsia="宋体" w:cs="宋体"/>
          <w:spacing w:val="-2"/>
          <w:sz w:val="21"/>
          <w:szCs w:val="21"/>
        </w:rPr>
      </w:pPr>
      <w:r>
        <w:rPr>
          <w:rFonts w:hint="eastAsia" w:ascii="宋体" w:hAnsi="宋体" w:eastAsia="宋体" w:cs="宋体"/>
          <w:b/>
          <w:bCs/>
          <w:sz w:val="21"/>
          <w:szCs w:val="21"/>
        </w:rPr>
        <w:t>【服务标准】：</w:t>
      </w:r>
      <w:r>
        <w:rPr>
          <w:rFonts w:hint="eastAsia" w:ascii="宋体" w:hAnsi="宋体" w:eastAsia="宋体" w:cs="宋体"/>
          <w:spacing w:val="-2"/>
          <w:sz w:val="21"/>
          <w:szCs w:val="21"/>
        </w:rPr>
        <w:t>根据房屋实际使用年限和使用情况定期进行安全使用检查，做好检查记录。发现问题及时向学校主管部门报告，每年定期向采购人提出维修养护方案并建议经批准后组织实施。遇紧急情况，应采取必要的措施，保证安全。及时完成各项零星维修任务。</w:t>
      </w:r>
    </w:p>
    <w:p w14:paraId="3140B718">
      <w:pPr>
        <w:pStyle w:val="8"/>
        <w:numPr>
          <w:ilvl w:val="0"/>
          <w:numId w:val="7"/>
        </w:numPr>
        <w:spacing w:after="0" w:line="360" w:lineRule="auto"/>
        <w:ind w:left="1315" w:hanging="783" w:hangingChars="373"/>
        <w:rPr>
          <w:rFonts w:hint="eastAsia" w:ascii="宋体" w:hAnsi="宋体" w:eastAsia="宋体" w:cs="宋体"/>
          <w:sz w:val="21"/>
          <w:szCs w:val="21"/>
        </w:rPr>
      </w:pPr>
      <w:r>
        <w:rPr>
          <w:rFonts w:hint="eastAsia" w:ascii="宋体" w:hAnsi="宋体" w:eastAsia="宋体" w:cs="宋体"/>
          <w:sz w:val="21"/>
          <w:szCs w:val="21"/>
        </w:rPr>
        <w:t>机电、照明及自动化系统</w:t>
      </w:r>
    </w:p>
    <w:p w14:paraId="0F704B1C">
      <w:pPr>
        <w:pStyle w:val="20"/>
        <w:widowControl/>
        <w:numPr>
          <w:ilvl w:val="0"/>
          <w:numId w:val="6"/>
        </w:numPr>
        <w:spacing w:line="360" w:lineRule="auto"/>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对办公楼（区）供电系统高、低压电器设备、明装置等设备正常运行使用进行日常管理和养护维修并根据实际使用情况配合学校制订年度总体节能计划。</w:t>
      </w:r>
    </w:p>
    <w:p w14:paraId="48918184">
      <w:pPr>
        <w:pStyle w:val="20"/>
        <w:widowControl/>
        <w:numPr>
          <w:ilvl w:val="0"/>
          <w:numId w:val="6"/>
        </w:numPr>
        <w:spacing w:line="360" w:lineRule="auto"/>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 xml:space="preserve"> 建立严格的配送电运行制度和电气维修制度。</w:t>
      </w:r>
    </w:p>
    <w:p w14:paraId="792AC2A3">
      <w:pPr>
        <w:pStyle w:val="20"/>
        <w:widowControl/>
        <w:numPr>
          <w:ilvl w:val="0"/>
          <w:numId w:val="6"/>
        </w:numPr>
        <w:spacing w:line="360" w:lineRule="auto"/>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庭院照明/楼道照明/应急照明</w:t>
      </w:r>
    </w:p>
    <w:p w14:paraId="45D2BD17">
      <w:pPr>
        <w:pStyle w:val="20"/>
        <w:widowControl/>
        <w:numPr>
          <w:ilvl w:val="0"/>
          <w:numId w:val="8"/>
        </w:numPr>
        <w:spacing w:line="360" w:lineRule="auto"/>
        <w:ind w:left="1135" w:hanging="284" w:firstLineChars="0"/>
        <w:rPr>
          <w:rFonts w:hint="eastAsia" w:ascii="宋体" w:hAnsi="宋体" w:eastAsia="宋体" w:cs="宋体"/>
          <w:sz w:val="21"/>
          <w:szCs w:val="21"/>
        </w:rPr>
      </w:pPr>
      <w:r>
        <w:rPr>
          <w:rFonts w:hint="eastAsia" w:ascii="宋体" w:hAnsi="宋体" w:eastAsia="宋体" w:cs="宋体"/>
          <w:sz w:val="21"/>
          <w:szCs w:val="21"/>
        </w:rPr>
        <w:t>每天一次巡检，路灯、大堂、电梯厅、楼道等公共部位应保持98%以上的亮灯率，如有缺损，应及时更换。</w:t>
      </w:r>
    </w:p>
    <w:p w14:paraId="2E923724">
      <w:pPr>
        <w:pStyle w:val="20"/>
        <w:widowControl/>
        <w:numPr>
          <w:ilvl w:val="0"/>
          <w:numId w:val="8"/>
        </w:numPr>
        <w:spacing w:line="360" w:lineRule="auto"/>
        <w:ind w:left="1135" w:hanging="284" w:firstLineChars="0"/>
        <w:rPr>
          <w:rFonts w:hint="eastAsia" w:ascii="宋体" w:hAnsi="宋体" w:eastAsia="宋体" w:cs="宋体"/>
          <w:sz w:val="21"/>
          <w:szCs w:val="21"/>
        </w:rPr>
      </w:pPr>
      <w:r>
        <w:rPr>
          <w:rFonts w:hint="eastAsia" w:ascii="宋体" w:hAnsi="宋体" w:eastAsia="宋体" w:cs="宋体"/>
          <w:sz w:val="21"/>
          <w:szCs w:val="21"/>
        </w:rPr>
        <w:t>每月一次对泛光照明灯具、大堂吊灯外观进行检查，保持清洁完好，并保持98%以上的亮灯率。</w:t>
      </w:r>
    </w:p>
    <w:p w14:paraId="265814BA">
      <w:pPr>
        <w:pStyle w:val="20"/>
        <w:widowControl/>
        <w:numPr>
          <w:ilvl w:val="0"/>
          <w:numId w:val="8"/>
        </w:numPr>
        <w:spacing w:line="360" w:lineRule="auto"/>
        <w:ind w:left="1135" w:hanging="284" w:firstLineChars="0"/>
        <w:rPr>
          <w:rFonts w:hint="eastAsia" w:ascii="宋体" w:hAnsi="宋体" w:eastAsia="宋体" w:cs="宋体"/>
          <w:sz w:val="21"/>
          <w:szCs w:val="21"/>
        </w:rPr>
      </w:pPr>
      <w:r>
        <w:rPr>
          <w:rFonts w:hint="eastAsia" w:ascii="宋体" w:hAnsi="宋体" w:eastAsia="宋体" w:cs="宋体"/>
          <w:sz w:val="21"/>
          <w:szCs w:val="21"/>
        </w:rPr>
        <w:t>每天一次巡检公共电器柜电器设备，遇有故障，应及时处置，保证运行安全、正常。</w:t>
      </w:r>
    </w:p>
    <w:p w14:paraId="1B788640">
      <w:pPr>
        <w:pStyle w:val="20"/>
        <w:widowControl/>
        <w:numPr>
          <w:ilvl w:val="0"/>
          <w:numId w:val="8"/>
        </w:numPr>
        <w:spacing w:line="360" w:lineRule="auto"/>
        <w:ind w:left="1135" w:hanging="284" w:firstLineChars="0"/>
        <w:rPr>
          <w:rFonts w:hint="eastAsia" w:ascii="宋体" w:hAnsi="宋体" w:eastAsia="宋体" w:cs="宋体"/>
          <w:sz w:val="21"/>
          <w:szCs w:val="21"/>
        </w:rPr>
      </w:pPr>
      <w:r>
        <w:rPr>
          <w:rFonts w:hint="eastAsia" w:ascii="宋体" w:hAnsi="宋体" w:eastAsia="宋体" w:cs="宋体"/>
          <w:sz w:val="21"/>
          <w:szCs w:val="21"/>
        </w:rPr>
        <w:t>以上要求每周两次汇总巡检记录，要有文字描述和对比照片。</w:t>
      </w:r>
    </w:p>
    <w:p w14:paraId="25D159F4">
      <w:pPr>
        <w:pStyle w:val="20"/>
        <w:widowControl/>
        <w:numPr>
          <w:ilvl w:val="0"/>
          <w:numId w:val="6"/>
        </w:numPr>
        <w:spacing w:line="360" w:lineRule="auto"/>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按照规定的周期对变配电设备设施进行检查、维护、清洁，并做记录。</w:t>
      </w:r>
    </w:p>
    <w:p w14:paraId="0E1254BE">
      <w:pPr>
        <w:pStyle w:val="20"/>
        <w:widowControl/>
        <w:numPr>
          <w:ilvl w:val="0"/>
          <w:numId w:val="6"/>
        </w:numPr>
        <w:spacing w:line="360" w:lineRule="auto"/>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低压变（配）电柜操作运行正常，检测表计显示准确。</w:t>
      </w:r>
    </w:p>
    <w:p w14:paraId="2802E72D">
      <w:pPr>
        <w:pStyle w:val="20"/>
        <w:widowControl/>
        <w:numPr>
          <w:ilvl w:val="0"/>
          <w:numId w:val="6"/>
        </w:numPr>
        <w:spacing w:line="360" w:lineRule="auto"/>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低压变压器运行正常，温控显示准确，联控动作正常。</w:t>
      </w:r>
    </w:p>
    <w:p w14:paraId="38C2E2A4">
      <w:pPr>
        <w:pStyle w:val="20"/>
        <w:widowControl/>
        <w:numPr>
          <w:ilvl w:val="0"/>
          <w:numId w:val="6"/>
        </w:numPr>
        <w:spacing w:line="360" w:lineRule="auto"/>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低压配电柜运行正常，各类表计显示正常。</w:t>
      </w:r>
    </w:p>
    <w:p w14:paraId="531AD1C4">
      <w:pPr>
        <w:pStyle w:val="20"/>
        <w:widowControl/>
        <w:numPr>
          <w:ilvl w:val="0"/>
          <w:numId w:val="6"/>
        </w:numPr>
        <w:spacing w:line="360" w:lineRule="auto"/>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供电维修人员必须持证上岗，一般故障排除时间不超过2小时，维修合格率100%。</w:t>
      </w:r>
    </w:p>
    <w:p w14:paraId="29A53BE7">
      <w:pPr>
        <w:pStyle w:val="20"/>
        <w:widowControl/>
        <w:numPr>
          <w:ilvl w:val="0"/>
          <w:numId w:val="6"/>
        </w:numPr>
        <w:spacing w:line="360" w:lineRule="auto"/>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制定临时用电管理措施，限电、停电应有明确的审批权限，按规定要求通知学校师生，遇紧急情况时，应采取必要的紧急处理措施。</w:t>
      </w:r>
    </w:p>
    <w:p w14:paraId="05A1CDB1">
      <w:pPr>
        <w:spacing w:line="360" w:lineRule="auto"/>
        <w:ind w:firstLine="420"/>
        <w:rPr>
          <w:rFonts w:hint="eastAsia" w:ascii="宋体" w:hAnsi="宋体" w:eastAsia="宋体" w:cs="宋体"/>
          <w:sz w:val="21"/>
          <w:szCs w:val="20"/>
        </w:rPr>
      </w:pPr>
      <w:r>
        <w:rPr>
          <w:rFonts w:hint="eastAsia" w:ascii="宋体" w:hAnsi="宋体" w:eastAsia="宋体" w:cs="宋体"/>
          <w:b/>
          <w:bCs/>
          <w:sz w:val="21"/>
          <w:szCs w:val="20"/>
        </w:rPr>
        <w:t>【服务标准】：</w:t>
      </w:r>
      <w:r>
        <w:rPr>
          <w:rFonts w:hint="eastAsia" w:ascii="宋体" w:hAnsi="宋体" w:eastAsia="宋体" w:cs="宋体"/>
          <w:sz w:val="21"/>
          <w:szCs w:val="20"/>
        </w:rPr>
        <w:t>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24小时运行维修值班制度，及时排除故障，一般故障排除时间不超过2小时，维修合格率100％；加强日常维护检修，公共使用的照明、指示灯具线路、开关要保证完好，确保用电完全；管理和维护好办公楼（区）灯光亮化的设施；制定突发事件应急处理程序和临时用电管理措施，明确停、送审批权限；供电设备完好率达到99％、弱电设备完好率达到98％。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箱）、管道、金属构架物接地良好。一年内无重大管理责任事故。</w:t>
      </w:r>
    </w:p>
    <w:p w14:paraId="01DA5B33">
      <w:pPr>
        <w:spacing w:line="360" w:lineRule="auto"/>
        <w:ind w:firstLine="420"/>
        <w:rPr>
          <w:rFonts w:hint="eastAsia" w:ascii="宋体" w:hAnsi="宋体" w:eastAsia="宋体" w:cs="宋体"/>
          <w:sz w:val="21"/>
          <w:szCs w:val="20"/>
        </w:rPr>
      </w:pPr>
      <w:r>
        <w:rPr>
          <w:rFonts w:hint="eastAsia" w:ascii="宋体" w:hAnsi="宋体" w:eastAsia="宋体" w:cs="宋体"/>
          <w:sz w:val="21"/>
          <w:szCs w:val="20"/>
        </w:rPr>
        <w:t>学校所有照明灯具均由物业负责维修（不管高低），登高措施由物业负责解决。</w:t>
      </w:r>
    </w:p>
    <w:p w14:paraId="7B0F23BD">
      <w:pPr>
        <w:spacing w:line="360" w:lineRule="auto"/>
        <w:ind w:firstLine="420"/>
        <w:rPr>
          <w:rFonts w:hint="eastAsia" w:ascii="宋体" w:hAnsi="宋体" w:eastAsia="宋体" w:cs="宋体"/>
          <w:sz w:val="21"/>
          <w:szCs w:val="20"/>
        </w:rPr>
      </w:pPr>
      <w:r>
        <w:rPr>
          <w:rFonts w:hint="eastAsia" w:ascii="宋体" w:hAnsi="宋体" w:eastAsia="宋体" w:cs="宋体"/>
          <w:sz w:val="21"/>
          <w:szCs w:val="20"/>
        </w:rPr>
        <w:t>学校所有空调的插座供电均由物业负责安装（不包含重新布线），根据使用部门要求确定安装位置（包括220V和380V）。学校各部门临时安装插座也由物业负责安装。</w:t>
      </w:r>
    </w:p>
    <w:p w14:paraId="3E399E75">
      <w:pPr>
        <w:pStyle w:val="8"/>
        <w:numPr>
          <w:ilvl w:val="0"/>
          <w:numId w:val="7"/>
        </w:numPr>
        <w:spacing w:after="0" w:line="360" w:lineRule="auto"/>
        <w:ind w:left="1315" w:hanging="783" w:hangingChars="373"/>
        <w:rPr>
          <w:rFonts w:hint="eastAsia" w:ascii="宋体" w:hAnsi="宋体" w:eastAsia="宋体" w:cs="宋体"/>
          <w:sz w:val="21"/>
          <w:szCs w:val="21"/>
        </w:rPr>
      </w:pPr>
      <w:r>
        <w:rPr>
          <w:rFonts w:hint="eastAsia" w:ascii="宋体" w:hAnsi="宋体" w:eastAsia="宋体" w:cs="宋体"/>
          <w:sz w:val="21"/>
          <w:szCs w:val="21"/>
        </w:rPr>
        <w:t>给排水系统（生活水泵维保由采购人委托专业单位实施，物业做好配合等工作）</w:t>
      </w:r>
    </w:p>
    <w:p w14:paraId="79598366">
      <w:pPr>
        <w:pStyle w:val="20"/>
        <w:widowControl/>
        <w:numPr>
          <w:ilvl w:val="0"/>
          <w:numId w:val="6"/>
        </w:numPr>
        <w:spacing w:line="360" w:lineRule="auto"/>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生活水泵/消防水泵/喷淋水泵/排污泵/稳压泵</w:t>
      </w:r>
    </w:p>
    <w:p w14:paraId="3B6AE46A">
      <w:pPr>
        <w:pStyle w:val="20"/>
        <w:widowControl/>
        <w:numPr>
          <w:ilvl w:val="0"/>
          <w:numId w:val="8"/>
        </w:numPr>
        <w:spacing w:line="360" w:lineRule="auto"/>
        <w:ind w:left="1135" w:hanging="284" w:firstLineChars="0"/>
        <w:rPr>
          <w:rFonts w:hint="eastAsia" w:ascii="宋体" w:hAnsi="宋体" w:eastAsia="宋体" w:cs="宋体"/>
          <w:sz w:val="21"/>
          <w:szCs w:val="21"/>
        </w:rPr>
      </w:pPr>
      <w:r>
        <w:rPr>
          <w:rFonts w:hint="eastAsia" w:ascii="宋体" w:hAnsi="宋体" w:eastAsia="宋体" w:cs="宋体"/>
          <w:sz w:val="21"/>
          <w:szCs w:val="21"/>
        </w:rPr>
        <w:t>每月对给排水系统进行维护、润滑。</w:t>
      </w:r>
    </w:p>
    <w:p w14:paraId="0659CD1D">
      <w:pPr>
        <w:pStyle w:val="20"/>
        <w:widowControl/>
        <w:numPr>
          <w:ilvl w:val="0"/>
          <w:numId w:val="8"/>
        </w:numPr>
        <w:spacing w:line="360" w:lineRule="auto"/>
        <w:ind w:left="1135" w:hanging="284" w:firstLineChars="0"/>
        <w:rPr>
          <w:rFonts w:hint="eastAsia" w:ascii="宋体" w:hAnsi="宋体" w:eastAsia="宋体" w:cs="宋体"/>
          <w:sz w:val="21"/>
          <w:szCs w:val="21"/>
        </w:rPr>
      </w:pPr>
      <w:r>
        <w:rPr>
          <w:rFonts w:hint="eastAsia" w:ascii="宋体" w:hAnsi="宋体" w:eastAsia="宋体" w:cs="宋体"/>
          <w:sz w:val="21"/>
          <w:szCs w:val="21"/>
        </w:rPr>
        <w:t>每天检查一次污水泵、排水泵、阀门等，排水系统通畅，各种管道阀门完好，仪表显示正确，无跑、冒、滴、漏；定期对污水处理系统全面维护保养；系统无明显异味和噪声；污水排放达到DB31/199《污水综合排放标准》的要求。</w:t>
      </w:r>
    </w:p>
    <w:p w14:paraId="1E3837BF">
      <w:pPr>
        <w:pStyle w:val="20"/>
        <w:widowControl/>
        <w:numPr>
          <w:ilvl w:val="0"/>
          <w:numId w:val="8"/>
        </w:numPr>
        <w:spacing w:line="360" w:lineRule="auto"/>
        <w:ind w:left="1135" w:hanging="284" w:firstLineChars="0"/>
        <w:rPr>
          <w:rFonts w:hint="eastAsia" w:ascii="宋体" w:hAnsi="宋体" w:eastAsia="宋体" w:cs="宋体"/>
          <w:sz w:val="21"/>
          <w:szCs w:val="21"/>
        </w:rPr>
      </w:pPr>
      <w:r>
        <w:rPr>
          <w:rFonts w:hint="eastAsia" w:ascii="宋体" w:hAnsi="宋体" w:eastAsia="宋体" w:cs="宋体"/>
          <w:sz w:val="21"/>
          <w:szCs w:val="21"/>
        </w:rPr>
        <w:t>每月对水泵、水质处理和消毒装置及设备控制柜进行保养。每季对楼宇排水总管进行检查，每年一次对水泵、管道进行除锈油漆。每年一次对窨井、排水系统疏通、清理，保证排水顺畅。</w:t>
      </w:r>
    </w:p>
    <w:p w14:paraId="6908D3BB">
      <w:pPr>
        <w:pStyle w:val="20"/>
        <w:widowControl/>
        <w:numPr>
          <w:ilvl w:val="0"/>
          <w:numId w:val="8"/>
        </w:numPr>
        <w:spacing w:line="360" w:lineRule="auto"/>
        <w:ind w:left="1135" w:hanging="284" w:firstLineChars="0"/>
        <w:rPr>
          <w:rFonts w:hint="eastAsia" w:ascii="宋体" w:hAnsi="宋体" w:eastAsia="宋体" w:cs="宋体"/>
          <w:sz w:val="21"/>
          <w:szCs w:val="21"/>
        </w:rPr>
      </w:pPr>
      <w:r>
        <w:rPr>
          <w:rFonts w:hint="eastAsia" w:ascii="宋体" w:hAnsi="宋体" w:eastAsia="宋体" w:cs="宋体"/>
          <w:sz w:val="21"/>
          <w:szCs w:val="21"/>
        </w:rPr>
        <w:t>用户末端的水压及流量满足使用要求。如遇供水单位限水、停水，按规定时间提前通知校方。</w:t>
      </w:r>
    </w:p>
    <w:p w14:paraId="50FF9F56">
      <w:pPr>
        <w:pStyle w:val="20"/>
        <w:widowControl/>
        <w:numPr>
          <w:ilvl w:val="0"/>
          <w:numId w:val="8"/>
        </w:numPr>
        <w:spacing w:line="360" w:lineRule="auto"/>
        <w:ind w:left="1135" w:hanging="284" w:firstLineChars="0"/>
        <w:rPr>
          <w:rFonts w:hint="eastAsia" w:ascii="宋体" w:hAnsi="宋体" w:eastAsia="宋体" w:cs="宋体"/>
          <w:sz w:val="21"/>
          <w:szCs w:val="21"/>
        </w:rPr>
      </w:pPr>
      <w:r>
        <w:rPr>
          <w:rFonts w:hint="eastAsia" w:ascii="宋体" w:hAnsi="宋体" w:eastAsia="宋体" w:cs="宋体"/>
          <w:sz w:val="21"/>
          <w:szCs w:val="21"/>
        </w:rPr>
        <w:t>消防泵/喷淋泵每月启动1次并作记录，每年保养1次，保证工作正常、整洁。</w:t>
      </w:r>
    </w:p>
    <w:p w14:paraId="35DE52F0">
      <w:pPr>
        <w:pStyle w:val="20"/>
        <w:widowControl/>
        <w:numPr>
          <w:ilvl w:val="0"/>
          <w:numId w:val="6"/>
        </w:numPr>
        <w:spacing w:line="360" w:lineRule="auto"/>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蓄水池</w:t>
      </w:r>
    </w:p>
    <w:p w14:paraId="27A553B7">
      <w:pPr>
        <w:pStyle w:val="20"/>
        <w:widowControl/>
        <w:numPr>
          <w:ilvl w:val="0"/>
          <w:numId w:val="8"/>
        </w:numPr>
        <w:spacing w:line="360" w:lineRule="auto"/>
        <w:ind w:left="1135" w:hanging="284" w:firstLineChars="0"/>
        <w:rPr>
          <w:rFonts w:hint="eastAsia" w:ascii="宋体" w:hAnsi="宋体" w:eastAsia="宋体" w:cs="宋体"/>
          <w:sz w:val="21"/>
          <w:szCs w:val="21"/>
        </w:rPr>
      </w:pPr>
      <w:r>
        <w:rPr>
          <w:rFonts w:hint="eastAsia" w:ascii="宋体" w:hAnsi="宋体" w:eastAsia="宋体" w:cs="宋体"/>
          <w:sz w:val="21"/>
          <w:szCs w:val="21"/>
        </w:rPr>
        <w:t>确保水质无污染并符合规定的要求：生活饮用水水质应符合GB5749《生活饮用水卫生标准》的要求。</w:t>
      </w:r>
    </w:p>
    <w:p w14:paraId="75E57472">
      <w:pPr>
        <w:pStyle w:val="20"/>
        <w:widowControl/>
        <w:numPr>
          <w:ilvl w:val="0"/>
          <w:numId w:val="8"/>
        </w:numPr>
        <w:spacing w:line="360" w:lineRule="auto"/>
        <w:ind w:left="1135" w:hanging="284" w:firstLineChars="0"/>
        <w:rPr>
          <w:rFonts w:hint="eastAsia" w:ascii="宋体" w:hAnsi="宋体" w:eastAsia="宋体" w:cs="宋体"/>
          <w:sz w:val="21"/>
          <w:szCs w:val="21"/>
        </w:rPr>
      </w:pPr>
      <w:r>
        <w:rPr>
          <w:rFonts w:hint="eastAsia" w:ascii="宋体" w:hAnsi="宋体" w:eastAsia="宋体" w:cs="宋体"/>
          <w:sz w:val="21"/>
          <w:szCs w:val="21"/>
        </w:rPr>
        <w:t>涉及生活饮用水设施的日常使用管理、清洗消毒人员的健康检查、水质检测的要求参照《上海市生活饮用水二次供水卫生管理办法》执行。</w:t>
      </w:r>
    </w:p>
    <w:p w14:paraId="1FC3EBFF">
      <w:pPr>
        <w:pStyle w:val="20"/>
        <w:widowControl/>
        <w:numPr>
          <w:ilvl w:val="0"/>
          <w:numId w:val="8"/>
        </w:numPr>
        <w:spacing w:line="360" w:lineRule="auto"/>
        <w:ind w:left="1135" w:hanging="284" w:firstLineChars="0"/>
        <w:rPr>
          <w:rFonts w:hint="eastAsia" w:ascii="宋体" w:hAnsi="宋体" w:eastAsia="宋体" w:cs="宋体"/>
          <w:sz w:val="21"/>
          <w:szCs w:val="21"/>
        </w:rPr>
      </w:pPr>
      <w:r>
        <w:rPr>
          <w:rFonts w:hint="eastAsia" w:ascii="宋体" w:hAnsi="宋体" w:eastAsia="宋体" w:cs="宋体"/>
          <w:sz w:val="21"/>
          <w:szCs w:val="21"/>
        </w:rPr>
        <w:t>每半年清洗消毒1次，无二次污染，每季度1次对水箱的水质进行检测，应取得水质检测报告，并交校方审核。</w:t>
      </w:r>
    </w:p>
    <w:p w14:paraId="0B1DBE05">
      <w:pPr>
        <w:spacing w:line="360" w:lineRule="auto"/>
        <w:ind w:firstLine="542" w:firstLineChars="257"/>
        <w:rPr>
          <w:rFonts w:hint="eastAsia" w:ascii="宋体" w:hAnsi="宋体" w:eastAsia="宋体" w:cs="宋体"/>
          <w:sz w:val="21"/>
          <w:szCs w:val="20"/>
        </w:rPr>
      </w:pPr>
      <w:r>
        <w:rPr>
          <w:rFonts w:hint="eastAsia" w:ascii="宋体" w:hAnsi="宋体" w:eastAsia="宋体" w:cs="宋体"/>
          <w:b/>
          <w:bCs/>
          <w:sz w:val="21"/>
          <w:szCs w:val="20"/>
        </w:rPr>
        <w:t>【服务标准】：</w:t>
      </w:r>
      <w:r>
        <w:rPr>
          <w:rFonts w:hint="eastAsia" w:ascii="宋体" w:hAnsi="宋体" w:eastAsia="宋体" w:cs="宋体"/>
          <w:sz w:val="21"/>
          <w:szCs w:val="20"/>
        </w:rPr>
        <w:t>每日一次对给水系统进行检查巡视，压力符合要求，仪表指示准确，保证给排水系统正常运行使用。建立正常供水管理制度，防止跑、冒、滴、漏，对供水系统管路、水泵、水箱、阀门、机电设备等进行日常维护，每月检查、保养、维护、清洁一次；生活水箱、热水器检修口封闭、加锁，通气口需设隔离网，定期对水泵房及机电设备进行检查、保养、维修、清洁，设备及机房环境整洁，无杂物、灰土，无鼠、虫害发生。</w:t>
      </w:r>
    </w:p>
    <w:p w14:paraId="1BC43EA1">
      <w:pPr>
        <w:spacing w:line="360" w:lineRule="auto"/>
        <w:ind w:firstLine="420" w:firstLineChars="200"/>
        <w:rPr>
          <w:rFonts w:hint="eastAsia" w:ascii="宋体" w:hAnsi="宋体" w:eastAsia="宋体" w:cs="宋体"/>
          <w:sz w:val="21"/>
          <w:szCs w:val="20"/>
        </w:rPr>
      </w:pPr>
      <w:r>
        <w:rPr>
          <w:rFonts w:hint="eastAsia" w:ascii="宋体" w:hAnsi="宋体" w:eastAsia="宋体" w:cs="宋体"/>
          <w:sz w:val="21"/>
          <w:szCs w:val="20"/>
        </w:rPr>
        <w:t>及时发现并解决故障，维修合格率100%；给排水系统发生事故时，除需敲墙1平方米以外（不含1平方米）修复的故障及需挖土超过1立方（不含1立方）的维修项目由学校安排维修以外，其它故障维修人员在10分钟内到达现场抢修，一般故障的抢修做到不过夜；一年内无重大管理责任事故；根据现场情况，制定事故应急处理方案；制定停水、爆管等应急处理程序，计划停水按规定提前通知；计量器具、压力仪表按规定周期送质检局校验；未经学校许可，不得擅自采取地下水或直接从江河取水。做好节约用水工作。维修界面有争议（不明确）时，解释权归学校所有。</w:t>
      </w:r>
    </w:p>
    <w:p w14:paraId="7AF74D82">
      <w:pPr>
        <w:spacing w:line="360" w:lineRule="auto"/>
        <w:ind w:firstLine="420" w:firstLineChars="200"/>
        <w:rPr>
          <w:rFonts w:hint="eastAsia" w:ascii="宋体" w:hAnsi="宋体" w:eastAsia="宋体" w:cs="宋体"/>
          <w:sz w:val="21"/>
          <w:szCs w:val="20"/>
        </w:rPr>
      </w:pPr>
      <w:r>
        <w:rPr>
          <w:rFonts w:hint="eastAsia" w:ascii="宋体" w:hAnsi="宋体" w:eastAsia="宋体" w:cs="宋体"/>
          <w:sz w:val="21"/>
          <w:szCs w:val="20"/>
        </w:rPr>
        <w:t>所有维修所需材料，均由物业报学校相关部门批准后方可采购，按实结算。结算时需附照片。</w:t>
      </w:r>
    </w:p>
    <w:p w14:paraId="63344651">
      <w:pPr>
        <w:pStyle w:val="8"/>
        <w:numPr>
          <w:ilvl w:val="0"/>
          <w:numId w:val="7"/>
        </w:numPr>
        <w:spacing w:after="0" w:line="360" w:lineRule="auto"/>
        <w:ind w:left="1315" w:hanging="783" w:hangingChars="373"/>
        <w:rPr>
          <w:rFonts w:hint="eastAsia" w:ascii="宋体" w:hAnsi="宋体" w:eastAsia="宋体" w:cs="宋体"/>
          <w:sz w:val="21"/>
          <w:szCs w:val="21"/>
        </w:rPr>
      </w:pPr>
      <w:r>
        <w:rPr>
          <w:rFonts w:hint="eastAsia" w:ascii="宋体" w:hAnsi="宋体" w:eastAsia="宋体" w:cs="宋体"/>
          <w:sz w:val="21"/>
          <w:szCs w:val="21"/>
        </w:rPr>
        <w:t>电梯系统（维保由采购人委托专业单位实施，物业做好配合等工作）</w:t>
      </w:r>
    </w:p>
    <w:p w14:paraId="7BDD25D1">
      <w:pPr>
        <w:pStyle w:val="20"/>
        <w:widowControl/>
        <w:numPr>
          <w:ilvl w:val="0"/>
          <w:numId w:val="6"/>
        </w:numPr>
        <w:spacing w:line="360" w:lineRule="auto"/>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根据电梯的图纸资料和技术性能制订电梯安全运行和维修保养的规章制度。</w:t>
      </w:r>
    </w:p>
    <w:p w14:paraId="56D810A3">
      <w:pPr>
        <w:pStyle w:val="20"/>
        <w:widowControl/>
        <w:numPr>
          <w:ilvl w:val="0"/>
          <w:numId w:val="6"/>
        </w:numPr>
        <w:spacing w:line="360" w:lineRule="auto"/>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电梯运行管理和对机房设备、井道系统、轿厢设备进行日常运行管理和定期检查、维护、保养。</w:t>
      </w:r>
    </w:p>
    <w:p w14:paraId="184A93F3">
      <w:pPr>
        <w:pStyle w:val="20"/>
        <w:widowControl/>
        <w:numPr>
          <w:ilvl w:val="0"/>
          <w:numId w:val="6"/>
        </w:numPr>
        <w:spacing w:line="360" w:lineRule="auto"/>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健全电梯设备档案及修理记录；做（安排）好电梯安全年检工作。</w:t>
      </w:r>
    </w:p>
    <w:p w14:paraId="170E6D8B">
      <w:pPr>
        <w:pStyle w:val="20"/>
        <w:widowControl/>
        <w:numPr>
          <w:ilvl w:val="0"/>
          <w:numId w:val="6"/>
        </w:numPr>
        <w:spacing w:line="360" w:lineRule="auto"/>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保持电梯轿厢（包括厢内）、并道、底坑、机房及各梯整流控制柜的清洁。</w:t>
      </w:r>
    </w:p>
    <w:p w14:paraId="66CCAC3A">
      <w:pPr>
        <w:pStyle w:val="20"/>
        <w:widowControl/>
        <w:numPr>
          <w:ilvl w:val="0"/>
          <w:numId w:val="6"/>
        </w:numPr>
        <w:spacing w:line="360" w:lineRule="auto"/>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 xml:space="preserve"> 保证所有电梯照明及内选外呼、层楼显示的巡视和修理。</w:t>
      </w:r>
    </w:p>
    <w:p w14:paraId="5A2433CF">
      <w:pPr>
        <w:pStyle w:val="20"/>
        <w:widowControl/>
        <w:numPr>
          <w:ilvl w:val="0"/>
          <w:numId w:val="6"/>
        </w:numPr>
        <w:spacing w:line="360" w:lineRule="auto"/>
        <w:ind w:left="1218" w:hanging="476" w:firstLineChars="0"/>
        <w:jc w:val="left"/>
        <w:rPr>
          <w:rFonts w:hint="eastAsia" w:ascii="宋体" w:hAnsi="宋体" w:eastAsia="宋体" w:cs="宋体"/>
          <w:sz w:val="21"/>
          <w:szCs w:val="21"/>
        </w:rPr>
      </w:pPr>
      <w:r>
        <w:rPr>
          <w:rFonts w:hint="eastAsia" w:ascii="宋体" w:hAnsi="宋体" w:eastAsia="宋体" w:cs="宋体"/>
          <w:sz w:val="21"/>
          <w:szCs w:val="21"/>
        </w:rPr>
        <w:t>密切监视和掌握电梯的运行动态，及时做好需变动的电梯运行的调度、管理工作。</w:t>
      </w:r>
    </w:p>
    <w:p w14:paraId="6960958B">
      <w:pPr>
        <w:spacing w:line="360" w:lineRule="auto"/>
        <w:ind w:firstLine="422" w:firstLineChars="200"/>
        <w:rPr>
          <w:rFonts w:hint="eastAsia" w:ascii="宋体" w:hAnsi="宋体" w:eastAsia="宋体" w:cs="宋体"/>
          <w:sz w:val="21"/>
          <w:szCs w:val="20"/>
        </w:rPr>
      </w:pPr>
      <w:r>
        <w:rPr>
          <w:rFonts w:hint="eastAsia" w:ascii="宋体" w:hAnsi="宋体" w:eastAsia="宋体" w:cs="宋体"/>
          <w:b/>
          <w:bCs/>
          <w:sz w:val="21"/>
          <w:szCs w:val="20"/>
        </w:rPr>
        <w:t>【服务标准】：</w:t>
      </w:r>
      <w:r>
        <w:rPr>
          <w:rFonts w:hint="eastAsia" w:ascii="宋体" w:hAnsi="宋体" w:eastAsia="宋体" w:cs="宋体"/>
          <w:sz w:val="21"/>
          <w:szCs w:val="20"/>
        </w:rPr>
        <w:t>建立电梯运行管理、设备管理、安全管理制度，确保电梯按规定时间运行，安全设备齐全有效，通风、照明及其它附属设施完好；严格执行国家有关电梯管理规定和安全规程，电梯准用证、年检合格证、维修保养合同完备。电梯由专业资质的电梯维修保养单位定期进行维修保养，并在有效期内运行（此部分由采购人指定供应商进行专业维保，费用不包含在本次物业招标中，但由中标物业公司代为管理电梯）；轿厢、井道保持清洁；警铃或其它救助设备功能完备，称重装置可靠，安全装置有效无缺损，电梯运行无异常；电梯机房实行封闭管理，机房内温度不超过设备安全运行环境温度，配备应急照明、灭火器和盘车工具齐全；电梯出现故障，接到报修后专业维修人员应在10分钟内到达现场抢修，及时排除故障。电梯设施完好率达到100％。</w:t>
      </w:r>
    </w:p>
    <w:p w14:paraId="7F499DE1">
      <w:pPr>
        <w:pStyle w:val="9"/>
        <w:spacing w:line="360" w:lineRule="auto"/>
        <w:rPr>
          <w:rFonts w:hint="eastAsia" w:ascii="宋体" w:hAnsi="宋体" w:eastAsia="宋体" w:cs="宋体"/>
          <w:sz w:val="21"/>
          <w:szCs w:val="21"/>
          <w:highlight w:val="none"/>
        </w:rPr>
      </w:pPr>
    </w:p>
    <w:p w14:paraId="1441DF11">
      <w:pPr>
        <w:pStyle w:val="9"/>
        <w:spacing w:line="360" w:lineRule="auto"/>
        <w:rPr>
          <w:rFonts w:hint="eastAsia" w:ascii="宋体" w:hAnsi="宋体" w:eastAsia="宋体" w:cs="宋体"/>
          <w:sz w:val="21"/>
          <w:szCs w:val="21"/>
          <w:highlight w:val="none"/>
        </w:rPr>
      </w:pPr>
    </w:p>
    <w:p w14:paraId="45E28790">
      <w:pPr>
        <w:pStyle w:val="20"/>
        <w:numPr>
          <w:ilvl w:val="0"/>
          <w:numId w:val="4"/>
        </w:numPr>
        <w:spacing w:line="440" w:lineRule="exact"/>
        <w:ind w:left="840" w:hanging="840" w:firstLineChars="0"/>
        <w:outlineLvl w:val="1"/>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rPr>
        <w:t>环境卫生与保洁管理</w:t>
      </w: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rPr>
        <w:t>保洁物耗品垃圾袋等由中标企业提供</w:t>
      </w:r>
      <w:r>
        <w:rPr>
          <w:rFonts w:hint="eastAsia" w:ascii="宋体" w:hAnsi="宋体" w:eastAsia="宋体" w:cs="宋体"/>
          <w:b/>
          <w:sz w:val="21"/>
          <w:szCs w:val="21"/>
          <w:highlight w:val="none"/>
          <w:lang w:eastAsia="zh-CN"/>
        </w:rPr>
        <w:t>）</w:t>
      </w:r>
    </w:p>
    <w:p w14:paraId="3039DEA3">
      <w:pPr>
        <w:numPr>
          <w:ilvl w:val="0"/>
          <w:numId w:val="9"/>
        </w:numPr>
        <w:kinsoku w:val="0"/>
        <w:overflowPunct w:val="0"/>
        <w:topLinePunct/>
        <w:autoSpaceDE w:val="0"/>
        <w:autoSpaceDN w:val="0"/>
        <w:spacing w:line="4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组建公共卫生清洁班组，每天打扫公共区域做到杂物、废弃物立即清理，楼宇内垃圾不过夜。</w:t>
      </w:r>
    </w:p>
    <w:p w14:paraId="057BF927">
      <w:pPr>
        <w:numPr>
          <w:ilvl w:val="0"/>
          <w:numId w:val="9"/>
        </w:numPr>
        <w:kinsoku w:val="0"/>
        <w:overflowPunct w:val="0"/>
        <w:topLinePunct/>
        <w:autoSpaceDE w:val="0"/>
        <w:autoSpaceDN w:val="0"/>
        <w:spacing w:line="4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管理区域内垃圾实行袋装化，道路、教学楼、办公楼（区域）内垃圾实行袋装化，在各楼层公共部位设立公共垃圾箱，在露天公共部位设立杂物箱，由保洁员清运、处理（包括联系环卫部门运出处理）。</w:t>
      </w:r>
    </w:p>
    <w:p w14:paraId="5CA20940">
      <w:pPr>
        <w:numPr>
          <w:ilvl w:val="0"/>
          <w:numId w:val="9"/>
        </w:numPr>
        <w:kinsoku w:val="0"/>
        <w:overflowPunct w:val="0"/>
        <w:topLinePunct/>
        <w:autoSpaceDE w:val="0"/>
        <w:autoSpaceDN w:val="0"/>
        <w:spacing w:line="4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区域垃圾实行分类收集（可回收垃圾、干垃圾、湿垃圾、有害垃圾），从而达到更高层次环保效果。</w:t>
      </w:r>
    </w:p>
    <w:p w14:paraId="4F77DBB8">
      <w:pPr>
        <w:numPr>
          <w:ilvl w:val="0"/>
          <w:numId w:val="9"/>
        </w:numPr>
        <w:kinsoku w:val="0"/>
        <w:overflowPunct w:val="0"/>
        <w:topLinePunct/>
        <w:autoSpaceDE w:val="0"/>
        <w:autoSpaceDN w:val="0"/>
        <w:spacing w:line="4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及时清扫大区域地面积水、垃圾、烟头等，使地面保持干净、无杂物、无积水等。</w:t>
      </w:r>
    </w:p>
    <w:p w14:paraId="6F410FDF">
      <w:pPr>
        <w:numPr>
          <w:ilvl w:val="0"/>
          <w:numId w:val="9"/>
        </w:numPr>
        <w:kinsoku w:val="0"/>
        <w:overflowPunct w:val="0"/>
        <w:topLinePunct/>
        <w:autoSpaceDE w:val="0"/>
        <w:autoSpaceDN w:val="0"/>
        <w:spacing w:line="4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对公共道路上垃圾筒等定期清洁或清洗，停车场、地面道路定期高压冲洗。</w:t>
      </w:r>
    </w:p>
    <w:p w14:paraId="1CCC2F60">
      <w:pPr>
        <w:numPr>
          <w:ilvl w:val="0"/>
          <w:numId w:val="9"/>
        </w:numPr>
        <w:kinsoku w:val="0"/>
        <w:overflowPunct w:val="0"/>
        <w:topLinePunct/>
        <w:autoSpaceDE w:val="0"/>
        <w:autoSpaceDN w:val="0"/>
        <w:spacing w:line="4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对设备、设施的表面进行清洁、抹净处理，保持洁净。</w:t>
      </w:r>
    </w:p>
    <w:p w14:paraId="604725D8">
      <w:pPr>
        <w:numPr>
          <w:ilvl w:val="0"/>
          <w:numId w:val="9"/>
        </w:numPr>
        <w:kinsoku w:val="0"/>
        <w:overflowPunct w:val="0"/>
        <w:topLinePunct/>
        <w:autoSpaceDE w:val="0"/>
        <w:autoSpaceDN w:val="0"/>
        <w:spacing w:line="4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定期对设施、设备各类金属表层或表面使用专用保洁剂或防锈处理，保持光亮洁净。</w:t>
      </w:r>
    </w:p>
    <w:p w14:paraId="6626814C">
      <w:pPr>
        <w:numPr>
          <w:ilvl w:val="0"/>
          <w:numId w:val="9"/>
        </w:numPr>
        <w:kinsoku w:val="0"/>
        <w:overflowPunct w:val="0"/>
        <w:topLinePunct/>
        <w:autoSpaceDE w:val="0"/>
        <w:autoSpaceDN w:val="0"/>
        <w:spacing w:line="460" w:lineRule="exact"/>
        <w:ind w:left="625" w:hanging="6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将楼层的垃圾清运、处理，对楼内公共设施进行擦抹保洁。</w:t>
      </w:r>
    </w:p>
    <w:p w14:paraId="4D84EAF0">
      <w:pPr>
        <w:numPr>
          <w:ilvl w:val="0"/>
          <w:numId w:val="9"/>
        </w:numPr>
        <w:kinsoku w:val="0"/>
        <w:overflowPunct w:val="0"/>
        <w:topLinePunct/>
        <w:autoSpaceDE w:val="0"/>
        <w:autoSpaceDN w:val="0"/>
        <w:spacing w:line="460" w:lineRule="exact"/>
        <w:ind w:left="625" w:hanging="6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对人员出人频繁之地，进行不间断的走动保洁。</w:t>
      </w:r>
    </w:p>
    <w:p w14:paraId="6123CDDB">
      <w:pPr>
        <w:numPr>
          <w:ilvl w:val="0"/>
          <w:numId w:val="9"/>
        </w:numPr>
        <w:kinsoku w:val="0"/>
        <w:overflowPunct w:val="0"/>
        <w:topLinePunct/>
        <w:autoSpaceDE w:val="0"/>
        <w:autoSpaceDN w:val="0"/>
        <w:spacing w:line="460" w:lineRule="exact"/>
        <w:ind w:left="625" w:hanging="6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清扫、拖洗属于公共区域室内外的地面。</w:t>
      </w:r>
    </w:p>
    <w:p w14:paraId="41D990D8">
      <w:pPr>
        <w:numPr>
          <w:ilvl w:val="0"/>
          <w:numId w:val="9"/>
        </w:numPr>
        <w:kinsoku w:val="0"/>
        <w:overflowPunct w:val="0"/>
        <w:topLinePunct/>
        <w:autoSpaceDE w:val="0"/>
        <w:autoSpaceDN w:val="0"/>
        <w:spacing w:line="460" w:lineRule="exact"/>
        <w:ind w:left="625" w:hanging="6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擦净、抹净各楼层内教室、会议室、接待室、图书馆、休息室等内部的桌、椅台面、文件柜等家具。</w:t>
      </w:r>
    </w:p>
    <w:p w14:paraId="658CEA02">
      <w:pPr>
        <w:numPr>
          <w:ilvl w:val="0"/>
          <w:numId w:val="9"/>
        </w:numPr>
        <w:kinsoku w:val="0"/>
        <w:overflowPunct w:val="0"/>
        <w:topLinePunct/>
        <w:autoSpaceDE w:val="0"/>
        <w:autoSpaceDN w:val="0"/>
        <w:spacing w:line="460" w:lineRule="exact"/>
        <w:ind w:left="625" w:hanging="6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定期清扫校区内所有建筑物屋面，清扫垃圾、清除杂草，确保屋面落水通畅（每月一次）。</w:t>
      </w:r>
    </w:p>
    <w:p w14:paraId="7EC5E9BB">
      <w:pPr>
        <w:numPr>
          <w:ilvl w:val="0"/>
          <w:numId w:val="9"/>
        </w:numPr>
        <w:kinsoku w:val="0"/>
        <w:overflowPunct w:val="0"/>
        <w:topLinePunct/>
        <w:autoSpaceDE w:val="0"/>
        <w:autoSpaceDN w:val="0"/>
        <w:spacing w:line="460" w:lineRule="exact"/>
        <w:ind w:left="625" w:hanging="6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宿舍楼内公共区域地面每日清扫一次，其中门厅每日清扫二次，每周拖洗二次，地面清洁。楼梯扶手、栏杆、窗台每周擦抹二次。消防栓、指示牌等公共设施每半月擦抹一次。天花板、公共灯具每半年除尘一次。</w:t>
      </w:r>
    </w:p>
    <w:p w14:paraId="0176EE4D">
      <w:pPr>
        <w:numPr>
          <w:ilvl w:val="0"/>
          <w:numId w:val="9"/>
        </w:numPr>
        <w:kinsoku w:val="0"/>
        <w:overflowPunct w:val="0"/>
        <w:topLinePunct/>
        <w:autoSpaceDE w:val="0"/>
        <w:autoSpaceDN w:val="0"/>
        <w:spacing w:line="460" w:lineRule="exact"/>
        <w:ind w:left="625" w:hanging="6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清洗及保洁各楼层的洗手间，抹净各类洁具并确保下水通畅，一旦堵塞应及时疏通。</w:t>
      </w:r>
    </w:p>
    <w:p w14:paraId="3FE86CEE">
      <w:pPr>
        <w:numPr>
          <w:ilvl w:val="0"/>
          <w:numId w:val="9"/>
        </w:numPr>
        <w:kinsoku w:val="0"/>
        <w:overflowPunct w:val="0"/>
        <w:topLinePunct/>
        <w:autoSpaceDE w:val="0"/>
        <w:autoSpaceDN w:val="0"/>
        <w:spacing w:line="460" w:lineRule="exact"/>
        <w:ind w:left="625" w:hanging="6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定时收集各楼层内生活垃圾，并更换垃圾袋，定期清洁垃圾筒等，保持洁净。</w:t>
      </w:r>
    </w:p>
    <w:p w14:paraId="103D0241">
      <w:pPr>
        <w:numPr>
          <w:ilvl w:val="0"/>
          <w:numId w:val="9"/>
        </w:numPr>
        <w:kinsoku w:val="0"/>
        <w:overflowPunct w:val="0"/>
        <w:topLinePunct/>
        <w:autoSpaceDE w:val="0"/>
        <w:autoSpaceDN w:val="0"/>
        <w:spacing w:line="460" w:lineRule="exact"/>
        <w:ind w:left="625" w:hanging="6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每日打扫校内公共浴室并做好相应的消毒工作。</w:t>
      </w:r>
    </w:p>
    <w:p w14:paraId="7694EB25">
      <w:pPr>
        <w:numPr>
          <w:ilvl w:val="0"/>
          <w:numId w:val="9"/>
        </w:numPr>
        <w:kinsoku w:val="0"/>
        <w:overflowPunct w:val="0"/>
        <w:topLinePunct/>
        <w:autoSpaceDE w:val="0"/>
        <w:autoSpaceDN w:val="0"/>
        <w:spacing w:line="460" w:lineRule="exact"/>
        <w:ind w:left="625" w:hanging="6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定期、定点、定计划使用专业消毒药剂对所有厕所进行环保消杀工作。</w:t>
      </w:r>
    </w:p>
    <w:p w14:paraId="3491384E">
      <w:pPr>
        <w:numPr>
          <w:ilvl w:val="0"/>
          <w:numId w:val="9"/>
        </w:numPr>
        <w:kinsoku w:val="0"/>
        <w:overflowPunct w:val="0"/>
        <w:topLinePunct/>
        <w:autoSpaceDE w:val="0"/>
        <w:autoSpaceDN w:val="0"/>
        <w:spacing w:line="460" w:lineRule="exact"/>
        <w:ind w:left="625" w:hanging="6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按时清运、处理垃圾、定期进行灭虫、消毒。</w:t>
      </w:r>
    </w:p>
    <w:p w14:paraId="5257C801">
      <w:pPr>
        <w:numPr>
          <w:ilvl w:val="0"/>
          <w:numId w:val="9"/>
        </w:numPr>
        <w:kinsoku w:val="0"/>
        <w:overflowPunct w:val="0"/>
        <w:topLinePunct/>
        <w:autoSpaceDE w:val="0"/>
        <w:autoSpaceDN w:val="0"/>
        <w:spacing w:line="460" w:lineRule="exact"/>
        <w:ind w:left="625" w:hanging="6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垃圾清运和分类工作</w:t>
      </w:r>
    </w:p>
    <w:p w14:paraId="3D9FC93D">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垃圾清运、处理、垃圾分类（环卫部门垃圾清运由业主方与环卫部门签订合同，费用由业主方承担）</w:t>
      </w:r>
    </w:p>
    <w:p w14:paraId="2E2A0B60">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按上海市推进垃圾分类工作相关规定，参照《上海市生活垃圾管理条例》、《上海市高校垃圾分类管理办法》等规范完成园区内垃圾分类及清运工作。通过卫监部门检查与评分。</w:t>
      </w:r>
    </w:p>
    <w:p w14:paraId="32B4B13D">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垃圾分类、处理分为：干垃圾、湿垃圾、可回收垃圾、有毒有害垃圾的清运处理、督促装修队伍装修垃圾清运处理和废纸及可再生废物的回收。</w:t>
      </w:r>
    </w:p>
    <w:p w14:paraId="2CA44A84">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垃圾分类标准严格执行2019年7月1日起执行《上海市生活垃圾管理条例》。</w:t>
      </w:r>
    </w:p>
    <w:p w14:paraId="15F96CD2">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物业公司负责监督学校内其他服务单位垃圾分类情况。</w:t>
      </w:r>
    </w:p>
    <w:p w14:paraId="5ABBFA64">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垃圾清运、处理工作分为：每天定时清运、处理2次；将物业项目内所有桶内垃圾分类完毕收集至垃圾房等待环卫清运；垃圾房的卫生保洁消毒工作，分类工作不外露。</w:t>
      </w:r>
    </w:p>
    <w:p w14:paraId="7E86984B">
      <w:pPr>
        <w:kinsoku w:val="0"/>
        <w:overflowPunct w:val="0"/>
        <w:topLinePunct/>
        <w:autoSpaceDE w:val="0"/>
        <w:autoSpaceDN w:val="0"/>
        <w:spacing w:line="460" w:lineRule="exact"/>
        <w:ind w:firstLine="7"/>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【服务标准】：</w:t>
      </w:r>
      <w:r>
        <w:rPr>
          <w:rFonts w:hint="eastAsia" w:ascii="宋体" w:hAnsi="宋体" w:eastAsia="宋体" w:cs="宋体"/>
          <w:sz w:val="21"/>
          <w:szCs w:val="21"/>
          <w:highlight w:val="none"/>
        </w:rPr>
        <w:t>建立教学、办公楼（区域）环境管理制度并认真落实，环卫设施齐备，实行标准化清扫保洁，由专人负责检查监督，清洁率100%。具体区域标准要求如下：</w:t>
      </w:r>
    </w:p>
    <w:p w14:paraId="0F714555">
      <w:pPr>
        <w:pStyle w:val="8"/>
        <w:numPr>
          <w:ilvl w:val="0"/>
          <w:numId w:val="10"/>
        </w:numPr>
        <w:spacing w:after="0" w:line="360" w:lineRule="auto"/>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校舍周边广场和场地</w:t>
      </w:r>
    </w:p>
    <w:p w14:paraId="374274C1">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广场地面干净，无明显杂物、积水。</w:t>
      </w:r>
    </w:p>
    <w:p w14:paraId="60A67ED9">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外围通道地面应保持畅通，道路洁净、无污迹、无垃圾、无积水；地坪；休闲桌椅干净、无垃圾、无污迹、无水迹；地沟下水道畅通、无落叶堆积。</w:t>
      </w:r>
    </w:p>
    <w:p w14:paraId="4412C74B">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校内宣传栏、各类告示牌、照明灯具、栏杆、立柱、反光镜等表面无积灰、无污垢、无污迹。</w:t>
      </w:r>
    </w:p>
    <w:p w14:paraId="26648E32">
      <w:pPr>
        <w:pStyle w:val="8"/>
        <w:numPr>
          <w:ilvl w:val="0"/>
          <w:numId w:val="10"/>
        </w:numPr>
        <w:spacing w:after="0" w:line="360" w:lineRule="auto"/>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露天停车场、附属非机动车库区域</w:t>
      </w:r>
    </w:p>
    <w:p w14:paraId="32B00F6C">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保持地面无垃圾、无积灰、无积水。</w:t>
      </w:r>
    </w:p>
    <w:p w14:paraId="5A43F4CC">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定位杆、减速条无污垢，灯具和反光镜清洁明亮、无污迹、水渍。</w:t>
      </w:r>
    </w:p>
    <w:p w14:paraId="2D9F8BD0">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消防通道无污渍、无杂物。</w:t>
      </w:r>
    </w:p>
    <w:p w14:paraId="04D1B205">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地面干净，无杂物，无明显油渍、污渍。</w:t>
      </w:r>
    </w:p>
    <w:p w14:paraId="2379A8CC">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减速带表面干净无明显污迹，各种道闸表面无灰尘。</w:t>
      </w:r>
    </w:p>
    <w:p w14:paraId="6392DC34">
      <w:pPr>
        <w:pStyle w:val="8"/>
        <w:numPr>
          <w:ilvl w:val="0"/>
          <w:numId w:val="10"/>
        </w:numPr>
        <w:spacing w:after="0" w:line="360" w:lineRule="auto"/>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绿地/平台/明沟</w:t>
      </w:r>
    </w:p>
    <w:p w14:paraId="0E42C98A">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绿地、花坛、隔离带、周围无杂物、无积水。</w:t>
      </w:r>
    </w:p>
    <w:p w14:paraId="0CC55B16">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明沟无杂物，无积水。</w:t>
      </w:r>
    </w:p>
    <w:p w14:paraId="4B64B748">
      <w:pPr>
        <w:pStyle w:val="8"/>
        <w:numPr>
          <w:ilvl w:val="0"/>
          <w:numId w:val="10"/>
        </w:numPr>
        <w:spacing w:after="0" w:line="360" w:lineRule="auto"/>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垃圾桶</w:t>
      </w:r>
    </w:p>
    <w:p w14:paraId="0FA46961">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保持清洁，无满溢、无异味、无污迹。垃圾不得超过垃圾桶体积的2/3。</w:t>
      </w:r>
    </w:p>
    <w:p w14:paraId="3F7E5CD1">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及时更换垃圾袋、按规定清运，严禁垃圾过夜。</w:t>
      </w:r>
    </w:p>
    <w:p w14:paraId="2306A3B6">
      <w:pPr>
        <w:pStyle w:val="8"/>
        <w:numPr>
          <w:ilvl w:val="0"/>
          <w:numId w:val="10"/>
        </w:numPr>
        <w:spacing w:after="0" w:line="360" w:lineRule="auto"/>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垃圾箱房</w:t>
      </w:r>
    </w:p>
    <w:p w14:paraId="08B6C40B">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箱房封闭式专人管理，箱房循环保洁，整洁、干净、无异味，灭害措施完善。</w:t>
      </w:r>
    </w:p>
    <w:p w14:paraId="572754E1">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废弃物收集箱外侧表面光洁、无灰尘。</w:t>
      </w:r>
    </w:p>
    <w:p w14:paraId="44EF44C8">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废弃物收集箱内侧干净、无残留物、无异味、定时消毒。</w:t>
      </w:r>
    </w:p>
    <w:p w14:paraId="54024A1B">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废弃物及时清运，不满溢。</w:t>
      </w:r>
    </w:p>
    <w:p w14:paraId="7460A418">
      <w:pPr>
        <w:pStyle w:val="8"/>
        <w:numPr>
          <w:ilvl w:val="0"/>
          <w:numId w:val="10"/>
        </w:numPr>
        <w:spacing w:after="0" w:line="360" w:lineRule="auto"/>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庭院照明/电器设备</w:t>
      </w:r>
    </w:p>
    <w:p w14:paraId="393C418C">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灯泡、灯管无灰尘。</w:t>
      </w:r>
    </w:p>
    <w:p w14:paraId="06F9C234">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灯罩无灰尘、无污迹。</w:t>
      </w:r>
    </w:p>
    <w:p w14:paraId="31FE530A">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其它装饰件无灰尘、光亮、无污迹。</w:t>
      </w:r>
    </w:p>
    <w:p w14:paraId="24B05E0A">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配电箱无灰尘、无污迹。</w:t>
      </w:r>
    </w:p>
    <w:p w14:paraId="46BE0830">
      <w:pPr>
        <w:pStyle w:val="8"/>
        <w:numPr>
          <w:ilvl w:val="0"/>
          <w:numId w:val="10"/>
        </w:numPr>
        <w:spacing w:after="0" w:line="360" w:lineRule="auto"/>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消防栓/消防接合器/公共设施</w:t>
      </w:r>
    </w:p>
    <w:p w14:paraId="3CBD4357">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消防栓表面洁净、无灰尘。</w:t>
      </w:r>
    </w:p>
    <w:p w14:paraId="27306ACA">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消防结合器表面无灰尘、无污迹。</w:t>
      </w:r>
    </w:p>
    <w:p w14:paraId="0EBB01B4">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各类告示牌、栏杆、立柱、反光镜等表面无积灰、无污垢、无污迹。</w:t>
      </w:r>
    </w:p>
    <w:p w14:paraId="1C132C5D">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监控摄像头、门警器表面光亮、无灰尘、无斑点、无絮状物。</w:t>
      </w:r>
    </w:p>
    <w:p w14:paraId="42093A22">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在擦洗过程中发现损坏及时向维修部门进行报修。</w:t>
      </w:r>
    </w:p>
    <w:p w14:paraId="47949961">
      <w:pPr>
        <w:pStyle w:val="8"/>
        <w:numPr>
          <w:ilvl w:val="0"/>
          <w:numId w:val="10"/>
        </w:numPr>
        <w:spacing w:after="0" w:line="360" w:lineRule="auto"/>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楼内公共区域</w:t>
      </w:r>
    </w:p>
    <w:p w14:paraId="72FCB2AF">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房屋周边区域地面干净，周边绿化带内无垃圾。</w:t>
      </w:r>
    </w:p>
    <w:p w14:paraId="07A6F2BF">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平台台阶保持清洁。</w:t>
      </w:r>
    </w:p>
    <w:p w14:paraId="037821EE">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楼内走道、扶梯地面无污渍、无垃圾。</w:t>
      </w:r>
    </w:p>
    <w:p w14:paraId="53144BE2">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扶梯扶手、栏杆保持干净、无灰尘。</w:t>
      </w:r>
    </w:p>
    <w:p w14:paraId="29402819">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消防栓、消防箱保持表面干净，无灰尘和污渍。</w:t>
      </w:r>
    </w:p>
    <w:p w14:paraId="329C9ED5">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垃圾箱筒表面无污渍、无积灰、里面套垃圾袋。</w:t>
      </w:r>
    </w:p>
    <w:p w14:paraId="2CB75C0B">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开放式地沟无垃圾。</w:t>
      </w:r>
    </w:p>
    <w:p w14:paraId="024AF977">
      <w:pPr>
        <w:pStyle w:val="8"/>
        <w:numPr>
          <w:ilvl w:val="0"/>
          <w:numId w:val="10"/>
        </w:numPr>
        <w:spacing w:after="0" w:line="360" w:lineRule="auto"/>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公共教室和阶梯教室</w:t>
      </w:r>
    </w:p>
    <w:p w14:paraId="2EC32A18">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桌椅保持干净、无脚印、水迹和污渍。</w:t>
      </w:r>
    </w:p>
    <w:p w14:paraId="4021A9DC">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地面保持整洁，无杂物。</w:t>
      </w:r>
    </w:p>
    <w:p w14:paraId="5F39EC9A">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阶梯教室多媒体设备保持整洁基本无积灰。</w:t>
      </w:r>
    </w:p>
    <w:p w14:paraId="159E4EF2">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垃圾桶表面无污迹、无积灰。</w:t>
      </w:r>
    </w:p>
    <w:p w14:paraId="0B63C463">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物品摆放整齐、有序。</w:t>
      </w:r>
    </w:p>
    <w:p w14:paraId="27C11E8E">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吊扇等设备干净，无积尘。</w:t>
      </w:r>
    </w:p>
    <w:p w14:paraId="37E853DD">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空调室内机标准干净、无灰尘。</w:t>
      </w:r>
    </w:p>
    <w:p w14:paraId="7EBFD4A7">
      <w:pPr>
        <w:pStyle w:val="8"/>
        <w:numPr>
          <w:ilvl w:val="0"/>
          <w:numId w:val="10"/>
        </w:numPr>
        <w:spacing w:after="0" w:line="360" w:lineRule="auto"/>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公共洗手间</w:t>
      </w:r>
    </w:p>
    <w:p w14:paraId="4FC0E2D4">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坐厕内、小便池内刷洗干净，保持无异味、无垃圾、无积水。</w:t>
      </w:r>
    </w:p>
    <w:p w14:paraId="43659482">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隔断、人手高墙面，门、门框、照明开关无污渍、无积灰，无乱写乱画。</w:t>
      </w:r>
    </w:p>
    <w:p w14:paraId="34268D3A">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地面整洁、无污渍、无积水。</w:t>
      </w:r>
    </w:p>
    <w:p w14:paraId="23052BA9">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镜面保持光亮，无水迹，面盆无水锈。</w:t>
      </w:r>
    </w:p>
    <w:p w14:paraId="32694F97">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废物箱表面无灰尘、无异味。</w:t>
      </w:r>
    </w:p>
    <w:p w14:paraId="11395D03">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卫生间内保持空气清新、无异味。</w:t>
      </w:r>
    </w:p>
    <w:p w14:paraId="711063A9">
      <w:pPr>
        <w:pStyle w:val="8"/>
        <w:numPr>
          <w:ilvl w:val="0"/>
          <w:numId w:val="10"/>
        </w:numPr>
        <w:spacing w:after="0" w:line="360" w:lineRule="auto"/>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会议室/学生报告厅</w:t>
      </w:r>
    </w:p>
    <w:p w14:paraId="4DA25D23">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地面、墙面、干净，无灰尘，四周边角无积灰、无污渍。</w:t>
      </w:r>
    </w:p>
    <w:p w14:paraId="3047E7E7">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桌椅干净，物品摆放整齐、有序。</w:t>
      </w:r>
    </w:p>
    <w:p w14:paraId="341687F0">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门、门框、地脚线无污渍、无积灰。</w:t>
      </w:r>
    </w:p>
    <w:p w14:paraId="1C74880D">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桌、椅、隔栏无污渍、无积灰。</w:t>
      </w:r>
    </w:p>
    <w:p w14:paraId="778133DD">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天花板、空调风口、照明开关无积灰、无污渍。</w:t>
      </w:r>
    </w:p>
    <w:p w14:paraId="0B4E4A39">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玻璃幕墙明亮、无污渍，横档无积灰。</w:t>
      </w:r>
    </w:p>
    <w:p w14:paraId="76DA2B06">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盆栽植物摆放整齐、无积灰。</w:t>
      </w:r>
    </w:p>
    <w:p w14:paraId="69B78B50">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室内空气无异味。</w:t>
      </w:r>
    </w:p>
    <w:p w14:paraId="26F167AE">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多媒体设备保持整洁基本无积灰，定期消毒清洁。</w:t>
      </w:r>
    </w:p>
    <w:p w14:paraId="480631F5">
      <w:pPr>
        <w:pStyle w:val="8"/>
        <w:numPr>
          <w:ilvl w:val="0"/>
          <w:numId w:val="10"/>
        </w:numPr>
        <w:spacing w:after="0" w:line="360" w:lineRule="auto"/>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电梯轿厢</w:t>
      </w:r>
    </w:p>
    <w:p w14:paraId="2B6AF293">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保持电梯轿厢内无积尘、无污渍、无粘贴物；灯具、指示板明亮。</w:t>
      </w:r>
    </w:p>
    <w:p w14:paraId="54CF7C68">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厢内地面干净、无垃圾杂物。</w:t>
      </w:r>
    </w:p>
    <w:p w14:paraId="36F4227C">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不锈钢表面无手印、无积尘，无污渍、光亮。</w:t>
      </w:r>
    </w:p>
    <w:p w14:paraId="2FD3C819">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电梯门槽内无杂物。</w:t>
      </w:r>
    </w:p>
    <w:p w14:paraId="57F4FFFC">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操作面板无污迹、无灰尘、无擦痕。</w:t>
      </w:r>
    </w:p>
    <w:p w14:paraId="0D3D9522">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保持轿厢内空气清新、无异味。</w:t>
      </w:r>
    </w:p>
    <w:p w14:paraId="3C673CA7">
      <w:pPr>
        <w:pStyle w:val="8"/>
        <w:numPr>
          <w:ilvl w:val="0"/>
          <w:numId w:val="10"/>
        </w:numPr>
        <w:spacing w:after="0" w:line="360" w:lineRule="auto"/>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博物馆/校史馆/图书馆</w:t>
      </w:r>
    </w:p>
    <w:p w14:paraId="2D1EEE4D">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每日上班前（6：30—8：00）完成清洁工作。做到墙面无黑印、无积灰、无污渍、无蛛网。</w:t>
      </w:r>
    </w:p>
    <w:p w14:paraId="219B66D1">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地面无积灰、无垃圾杂物。</w:t>
      </w:r>
    </w:p>
    <w:p w14:paraId="6837ED5B">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高2米以下门窗玻璃明亮，窗台无积灰、无污渍。</w:t>
      </w:r>
    </w:p>
    <w:p w14:paraId="7F1FA4CB">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桌面清洁、桌椅摆放整齐（夜间阅览室座椅翻上桌后再清洁，早晨恢复）。</w:t>
      </w:r>
    </w:p>
    <w:p w14:paraId="78060E2E">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垃圾筐内垃圾清理干净（白天中午再清除一次），外表面干净无污迹。</w:t>
      </w:r>
    </w:p>
    <w:p w14:paraId="765E31A9">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捡拾物品需及时上交图书馆工作人员做失物招领，不私自处理。</w:t>
      </w:r>
    </w:p>
    <w:p w14:paraId="0D5C0908">
      <w:pPr>
        <w:pStyle w:val="8"/>
        <w:numPr>
          <w:ilvl w:val="0"/>
          <w:numId w:val="10"/>
        </w:numPr>
        <w:spacing w:after="0" w:line="360" w:lineRule="auto"/>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各类实训室</w:t>
      </w:r>
    </w:p>
    <w:p w14:paraId="26F52D80">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地面无积灰、无垃圾杂物。</w:t>
      </w:r>
    </w:p>
    <w:p w14:paraId="3AC4568D">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落地玻璃门窗明亮。</w:t>
      </w:r>
    </w:p>
    <w:p w14:paraId="7A1122F3">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天花板会无积尘、无蜘蛛网。</w:t>
      </w:r>
    </w:p>
    <w:p w14:paraId="41A67915">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教室内设施设备表面整洁、无灰尘。</w:t>
      </w:r>
    </w:p>
    <w:p w14:paraId="3B664429">
      <w:pPr>
        <w:pStyle w:val="8"/>
        <w:numPr>
          <w:ilvl w:val="0"/>
          <w:numId w:val="10"/>
        </w:numPr>
        <w:spacing w:after="0" w:line="360" w:lineRule="auto"/>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平台屋顶</w:t>
      </w:r>
    </w:p>
    <w:p w14:paraId="54B3568A">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对区域内的平屋顶、天沟进行定期清理。</w:t>
      </w:r>
    </w:p>
    <w:p w14:paraId="564E4CE3">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下水道、化粪池进行定期巡检，及时通知专业队伍进行疏通和清理，防止堵塞和满溢。</w:t>
      </w:r>
    </w:p>
    <w:p w14:paraId="3464D08B">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台风汛期之前，应及时清扫平台和屋顶。</w:t>
      </w:r>
    </w:p>
    <w:p w14:paraId="56898621">
      <w:pPr>
        <w:pStyle w:val="8"/>
        <w:numPr>
          <w:ilvl w:val="0"/>
          <w:numId w:val="10"/>
        </w:numPr>
        <w:spacing w:after="0" w:line="360" w:lineRule="auto"/>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宿舍楼公共区域</w:t>
      </w:r>
    </w:p>
    <w:p w14:paraId="1259A2F3">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地面每日清扫一次，其中门厅每日清扫二次，每周拖洗二次，地面清洁。</w:t>
      </w:r>
    </w:p>
    <w:p w14:paraId="325FE966">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楼梯扶手、栏杆、窗台每周擦抹二次。</w:t>
      </w:r>
    </w:p>
    <w:p w14:paraId="06EB07EB">
      <w:pPr>
        <w:pStyle w:val="20"/>
        <w:widowControl/>
        <w:numPr>
          <w:ilvl w:val="0"/>
          <w:numId w:val="6"/>
        </w:numPr>
        <w:spacing w:line="360" w:lineRule="auto"/>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消防栓、指示牌等公共设施每半月擦抹一次。</w:t>
      </w:r>
    </w:p>
    <w:p w14:paraId="33679D6E">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天花板、公共灯具每半年除尘一次。</w:t>
      </w:r>
    </w:p>
    <w:p w14:paraId="281CB299">
      <w:pPr>
        <w:pStyle w:val="8"/>
        <w:numPr>
          <w:ilvl w:val="0"/>
          <w:numId w:val="10"/>
        </w:numPr>
        <w:spacing w:after="0" w:line="520" w:lineRule="exact"/>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室内运动场馆</w:t>
      </w:r>
    </w:p>
    <w:p w14:paraId="67620926">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墙面、天棚、墙角、灯具无积尘、无蜘蛛网。</w:t>
      </w:r>
    </w:p>
    <w:p w14:paraId="275E6A9C">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地面无水渍、污渍，无垃圾。</w:t>
      </w:r>
    </w:p>
    <w:p w14:paraId="70BC33F5">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塑胶地垫表面平整、色泽均一、无残留物、无污渍、无板结。</w:t>
      </w:r>
    </w:p>
    <w:p w14:paraId="736CA995">
      <w:pPr>
        <w:pStyle w:val="8"/>
        <w:numPr>
          <w:ilvl w:val="0"/>
          <w:numId w:val="10"/>
        </w:numPr>
        <w:spacing w:after="0" w:line="520" w:lineRule="exact"/>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垃圾收集与清运与分类（环卫部门垃圾清运由业主方与环卫部门签订合同，费用由业主方承担）</w:t>
      </w:r>
    </w:p>
    <w:p w14:paraId="28A3CCA5">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按上海市推进垃圾分类工作相关规定，参照《上海市生活垃圾管理条例》、《上海市高校垃圾分类管理办法》等规范完成校区内垃圾分类及清运工作。通过卫监部门检查与评分。</w:t>
      </w:r>
    </w:p>
    <w:p w14:paraId="74ED3295">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垃圾分类清运处理、督促装修队伍装修垃圾清运处理和废纸及可再生废物的回收。所有垃圾清运处理应符合上海市有关法律、法规规定。</w:t>
      </w:r>
    </w:p>
    <w:p w14:paraId="7465D1A2">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所有垃圾（含生活垃圾和餐饮垃圾）必须日产日清，教学、办公和生活区域每天收集、清运不少于2次。</w:t>
      </w:r>
    </w:p>
    <w:p w14:paraId="0E5C11C6">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负责生活垃圾的分类、收集，将垃圾分类驳运至垃圾箱房，不得混装混运。</w:t>
      </w:r>
    </w:p>
    <w:p w14:paraId="3BC8E918">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垃圾收集点周围地面无散落垃圾、无污水、无污迹、无异味、干净整洁。</w:t>
      </w:r>
    </w:p>
    <w:p w14:paraId="357F8CA4">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分类收集垃圾，统一使用黑色垃圾袋。有害垃圾定点存放，及时清运。</w:t>
      </w:r>
    </w:p>
    <w:p w14:paraId="3BCEF5C8">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垃圾容器、垃圾房保持清洁，定期消毒，分类工作不外露。</w:t>
      </w:r>
    </w:p>
    <w:p w14:paraId="18C1202E">
      <w:pPr>
        <w:pStyle w:val="8"/>
        <w:numPr>
          <w:ilvl w:val="0"/>
          <w:numId w:val="10"/>
        </w:numPr>
        <w:spacing w:after="0" w:line="520" w:lineRule="exact"/>
        <w:ind w:left="1315" w:hanging="783" w:hangingChars="373"/>
        <w:rPr>
          <w:rFonts w:hint="eastAsia" w:ascii="宋体" w:hAnsi="宋体" w:eastAsia="宋体" w:cs="宋体"/>
          <w:sz w:val="21"/>
          <w:szCs w:val="21"/>
          <w:highlight w:val="none"/>
        </w:rPr>
      </w:pPr>
      <w:r>
        <w:rPr>
          <w:rFonts w:hint="eastAsia" w:ascii="宋体" w:hAnsi="宋体" w:eastAsia="宋体" w:cs="宋体"/>
          <w:sz w:val="21"/>
          <w:szCs w:val="21"/>
          <w:highlight w:val="none"/>
        </w:rPr>
        <w:t>卫生消杀</w:t>
      </w:r>
    </w:p>
    <w:p w14:paraId="7D1E2ACD">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无老鼠活动迹象，室内区域无苍蝇、蟑螂活动迹象。</w:t>
      </w:r>
    </w:p>
    <w:p w14:paraId="5D2906CF">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蚊虫控制目标达到全国爱国卫生运动委员会办公室颁布的《灭鼠、蚊、蝇、蟑螂标准》[虫（1997）第5号]要求。</w:t>
      </w:r>
    </w:p>
    <w:p w14:paraId="2074034A">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虫害控制措施监管达到100%。</w:t>
      </w:r>
    </w:p>
    <w:p w14:paraId="24FF2D62">
      <w:pPr>
        <w:pStyle w:val="9"/>
        <w:spacing w:line="360" w:lineRule="auto"/>
        <w:rPr>
          <w:rFonts w:hint="eastAsia" w:ascii="宋体" w:hAnsi="宋体" w:eastAsia="宋体" w:cs="宋体"/>
          <w:sz w:val="21"/>
          <w:szCs w:val="21"/>
          <w:highlight w:val="none"/>
        </w:rPr>
      </w:pPr>
    </w:p>
    <w:p w14:paraId="6504EB24">
      <w:pPr>
        <w:pStyle w:val="20"/>
        <w:numPr>
          <w:ilvl w:val="0"/>
          <w:numId w:val="4"/>
        </w:numPr>
        <w:spacing w:line="440" w:lineRule="exact"/>
        <w:ind w:left="840" w:hanging="840" w:firstLineChars="0"/>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学生公寓管理服务（</w:t>
      </w:r>
      <w:r>
        <w:rPr>
          <w:rFonts w:hint="eastAsia" w:ascii="宋体" w:hAnsi="宋体" w:cs="宋体"/>
          <w:b/>
          <w:sz w:val="21"/>
          <w:szCs w:val="21"/>
          <w:highlight w:val="none"/>
          <w:lang w:val="en-US" w:eastAsia="zh-CN"/>
        </w:rPr>
        <w:t>含</w:t>
      </w:r>
      <w:r>
        <w:rPr>
          <w:rFonts w:hint="eastAsia" w:ascii="宋体" w:hAnsi="宋体" w:eastAsia="宋体" w:cs="宋体"/>
          <w:b/>
          <w:sz w:val="21"/>
          <w:szCs w:val="21"/>
          <w:highlight w:val="none"/>
        </w:rPr>
        <w:t>招待所管理）</w:t>
      </w:r>
    </w:p>
    <w:p w14:paraId="6D445DFA">
      <w:pPr>
        <w:pStyle w:val="20"/>
        <w:widowControl/>
        <w:numPr>
          <w:ilvl w:val="0"/>
          <w:numId w:val="11"/>
        </w:numPr>
        <w:spacing w:line="520" w:lineRule="exact"/>
        <w:ind w:left="825" w:hanging="60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委派管理人员，做好校区内各宿舍楼的管理工作，做好24小时门岗值班。</w:t>
      </w:r>
    </w:p>
    <w:p w14:paraId="25997552">
      <w:pPr>
        <w:pStyle w:val="20"/>
        <w:widowControl/>
        <w:numPr>
          <w:ilvl w:val="0"/>
          <w:numId w:val="11"/>
        </w:numPr>
        <w:spacing w:line="520" w:lineRule="exact"/>
        <w:ind w:left="825" w:hanging="60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贯彻高校后勤“全员育人、全方位育人、全过程育人”的工作理念，对住宿学生开展基础文明、行为及安全方面的引导和宣传教育，宿舍内的学生管理，体现“三服务”：服务学生、服务老师、服务教学。</w:t>
      </w:r>
    </w:p>
    <w:p w14:paraId="4FF7EDAA">
      <w:pPr>
        <w:pStyle w:val="20"/>
        <w:widowControl/>
        <w:numPr>
          <w:ilvl w:val="0"/>
          <w:numId w:val="11"/>
        </w:numPr>
        <w:spacing w:line="520" w:lineRule="exact"/>
        <w:ind w:left="825" w:hanging="60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配合完成新生入学接待等工作，以及因学生毕业，宿舍调整后房间的保洁、床铺整修及零星搬迁工作。</w:t>
      </w:r>
    </w:p>
    <w:p w14:paraId="5CA84B4C">
      <w:pPr>
        <w:pStyle w:val="20"/>
        <w:widowControl/>
        <w:numPr>
          <w:ilvl w:val="0"/>
          <w:numId w:val="11"/>
        </w:numPr>
        <w:spacing w:line="520" w:lineRule="exact"/>
        <w:ind w:left="825" w:hanging="60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外部人员未经许可不得进入学生宿舍，做好大件物品进出公寓的识别和登记工作。</w:t>
      </w:r>
    </w:p>
    <w:p w14:paraId="7B0274F7">
      <w:pPr>
        <w:pStyle w:val="20"/>
        <w:widowControl/>
        <w:numPr>
          <w:ilvl w:val="0"/>
          <w:numId w:val="11"/>
        </w:numPr>
        <w:spacing w:line="520" w:lineRule="exact"/>
        <w:ind w:left="825" w:hanging="60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对假期留宿的学生，必须做好照看工作，确保学生的生活、学习和娱乐的要求。</w:t>
      </w:r>
    </w:p>
    <w:p w14:paraId="77191308">
      <w:pPr>
        <w:pStyle w:val="20"/>
        <w:widowControl/>
        <w:numPr>
          <w:ilvl w:val="0"/>
          <w:numId w:val="11"/>
        </w:numPr>
        <w:spacing w:line="520" w:lineRule="exact"/>
        <w:ind w:left="825" w:hanging="60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配合学校做好宿舍楼大、中修和计划性养护。</w:t>
      </w:r>
    </w:p>
    <w:p w14:paraId="2B75A2DC">
      <w:pPr>
        <w:pStyle w:val="20"/>
        <w:widowControl/>
        <w:numPr>
          <w:ilvl w:val="0"/>
          <w:numId w:val="11"/>
        </w:numPr>
        <w:spacing w:line="520" w:lineRule="exact"/>
        <w:ind w:left="825" w:hanging="60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配合做好学生公寓内的文化活动建设，组织开展各类评比工作，组好文化宣传工作。</w:t>
      </w:r>
    </w:p>
    <w:p w14:paraId="7EFBF732">
      <w:pPr>
        <w:pStyle w:val="20"/>
        <w:widowControl/>
        <w:numPr>
          <w:ilvl w:val="0"/>
          <w:numId w:val="11"/>
        </w:numPr>
        <w:spacing w:line="520" w:lineRule="exact"/>
        <w:ind w:left="825" w:hanging="60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配合招标人做好学生入住、退宿和调整宿舍的管理工作。</w:t>
      </w:r>
    </w:p>
    <w:p w14:paraId="3878C77C">
      <w:pPr>
        <w:pStyle w:val="20"/>
        <w:widowControl/>
        <w:numPr>
          <w:ilvl w:val="0"/>
          <w:numId w:val="11"/>
        </w:numPr>
        <w:spacing w:line="520" w:lineRule="exact"/>
        <w:ind w:left="825" w:hanging="60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配合招标人做好新生住宿安排和接待，迎新氛围营造。</w:t>
      </w:r>
    </w:p>
    <w:p w14:paraId="4F941A8A">
      <w:pPr>
        <w:pStyle w:val="20"/>
        <w:widowControl/>
        <w:numPr>
          <w:ilvl w:val="0"/>
          <w:numId w:val="11"/>
        </w:numPr>
        <w:spacing w:line="520" w:lineRule="exact"/>
        <w:ind w:left="825" w:hanging="60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做好学生公寓内的零星维修工作，做好学生公寓大修的相关配合工作。</w:t>
      </w:r>
    </w:p>
    <w:p w14:paraId="4689F61A">
      <w:pPr>
        <w:pStyle w:val="20"/>
        <w:widowControl/>
        <w:numPr>
          <w:ilvl w:val="0"/>
          <w:numId w:val="11"/>
        </w:numPr>
        <w:spacing w:line="520" w:lineRule="exact"/>
        <w:ind w:left="825" w:hanging="60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每年6-7月配合完成因学生毕业，宿舍调整后房间的保洁、床铺整修及零星搬迁工作。</w:t>
      </w:r>
    </w:p>
    <w:p w14:paraId="00670CD8">
      <w:pPr>
        <w:pStyle w:val="20"/>
        <w:widowControl/>
        <w:numPr>
          <w:ilvl w:val="0"/>
          <w:numId w:val="11"/>
        </w:numPr>
        <w:spacing w:line="520" w:lineRule="exact"/>
        <w:ind w:left="825" w:hanging="60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按照国家、学校相关规定招待所的服务工作标准参照小型酒店相关标椎。</w:t>
      </w:r>
    </w:p>
    <w:p w14:paraId="7516A6BE">
      <w:pPr>
        <w:pStyle w:val="20"/>
        <w:widowControl/>
        <w:numPr>
          <w:ilvl w:val="0"/>
          <w:numId w:val="11"/>
        </w:numPr>
        <w:spacing w:line="520" w:lineRule="exact"/>
        <w:ind w:left="825" w:hanging="60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做好招待所的床上用品、洗浴用品的送洗工作。</w:t>
      </w:r>
    </w:p>
    <w:p w14:paraId="283F592C">
      <w:pPr>
        <w:pStyle w:val="20"/>
        <w:widowControl/>
        <w:numPr>
          <w:ilvl w:val="0"/>
          <w:numId w:val="11"/>
        </w:numPr>
        <w:spacing w:line="520" w:lineRule="exact"/>
        <w:ind w:left="825" w:hanging="605"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做好招待所的房间预订、安排，住宿人员的入住、退房等工作，并建立工作台账。</w:t>
      </w:r>
    </w:p>
    <w:p w14:paraId="13880B5E">
      <w:pPr>
        <w:pStyle w:val="20"/>
        <w:spacing w:after="65" w:afterLines="20" w:line="520" w:lineRule="exact"/>
        <w:ind w:firstLine="641" w:firstLineChars="304"/>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【服务标准】：</w:t>
      </w:r>
    </w:p>
    <w:p w14:paraId="1EAA1FC7">
      <w:pPr>
        <w:pStyle w:val="20"/>
        <w:numPr>
          <w:ilvl w:val="0"/>
          <w:numId w:val="12"/>
        </w:numPr>
        <w:tabs>
          <w:tab w:val="left" w:pos="640"/>
        </w:tabs>
        <w:spacing w:line="360" w:lineRule="auto"/>
        <w:ind w:left="625" w:hanging="625" w:firstLineChars="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学生公寓管理按照上海高校学生公寓“六 T”实务现场管理实施标准进行。要求执行宿舍管理规定，做好学生宿舍管理工作，严防男女混窜寝室；做到各宿舍管理室专人24小时值班。</w:t>
      </w:r>
    </w:p>
    <w:p w14:paraId="524A2941">
      <w:pPr>
        <w:pStyle w:val="20"/>
        <w:numPr>
          <w:ilvl w:val="0"/>
          <w:numId w:val="12"/>
        </w:numPr>
        <w:tabs>
          <w:tab w:val="left" w:pos="640"/>
        </w:tabs>
        <w:spacing w:line="360" w:lineRule="auto"/>
        <w:ind w:left="625" w:hanging="625" w:firstLineChars="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宿舍大门管理。每日早6:00准时开、晚22:00准时熄灯、关宿舍楼大门；在夜间23:00时后，为晚归学生开门，并做好相应登记；对需外出的学生按学校宿舍管理规定执行，如有学生违反规定应提醒或制止其行为，如仍然违反规定者，应及时通知学校管理员。</w:t>
      </w:r>
    </w:p>
    <w:p w14:paraId="695AC066">
      <w:pPr>
        <w:pStyle w:val="20"/>
        <w:numPr>
          <w:ilvl w:val="0"/>
          <w:numId w:val="12"/>
        </w:numPr>
        <w:tabs>
          <w:tab w:val="left" w:pos="640"/>
        </w:tabs>
        <w:spacing w:line="360" w:lineRule="auto"/>
        <w:ind w:left="625" w:hanging="625" w:firstLineChars="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外来人员进出宿舍管理。严格外来人员和大件物品的出入，遇有外来人员需进楼的情况实行实名登记，对进出宿舍楼的大件物品认真核实，凭证放行。</w:t>
      </w:r>
    </w:p>
    <w:p w14:paraId="13AF2AB0">
      <w:pPr>
        <w:pStyle w:val="20"/>
        <w:numPr>
          <w:ilvl w:val="0"/>
          <w:numId w:val="12"/>
        </w:numPr>
        <w:tabs>
          <w:tab w:val="left" w:pos="640"/>
        </w:tabs>
        <w:spacing w:line="360" w:lineRule="auto"/>
        <w:ind w:left="625" w:hanging="625" w:firstLineChars="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配合学校做好新生入学、毕业生离校工作。做好新生同学的入住登记，同时保管好备用钥匙和门禁卡，保证特殊情况下随时可以使用；配合做好毕业生退宿工作，检查宿舍设施完备完好、签好“毕业生同意清扫寝室确认单”后方可办理退宿手续。</w:t>
      </w:r>
    </w:p>
    <w:p w14:paraId="4265A5CB">
      <w:pPr>
        <w:pStyle w:val="20"/>
        <w:numPr>
          <w:ilvl w:val="0"/>
          <w:numId w:val="12"/>
        </w:numPr>
        <w:tabs>
          <w:tab w:val="left" w:pos="640"/>
        </w:tabs>
        <w:spacing w:line="360" w:lineRule="auto"/>
        <w:ind w:left="625" w:hanging="625" w:firstLineChars="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定期做好宿舍信息统计工作，包括入住统计和空房间、空床位的统计等。</w:t>
      </w:r>
    </w:p>
    <w:p w14:paraId="4B8CAD27">
      <w:pPr>
        <w:pStyle w:val="20"/>
        <w:numPr>
          <w:ilvl w:val="0"/>
          <w:numId w:val="12"/>
        </w:numPr>
        <w:tabs>
          <w:tab w:val="left" w:pos="640"/>
        </w:tabs>
        <w:spacing w:line="360" w:lineRule="auto"/>
        <w:ind w:left="625" w:hanging="625" w:firstLineChars="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配合学校做好学生日常入住、调宿、退宿的工作，做好相关登记备案工作。</w:t>
      </w:r>
    </w:p>
    <w:p w14:paraId="2F1B4C3C">
      <w:pPr>
        <w:pStyle w:val="20"/>
        <w:numPr>
          <w:ilvl w:val="0"/>
          <w:numId w:val="12"/>
        </w:numPr>
        <w:tabs>
          <w:tab w:val="left" w:pos="640"/>
        </w:tabs>
        <w:spacing w:line="360" w:lineRule="auto"/>
        <w:ind w:left="625" w:hanging="625" w:firstLineChars="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做好板报工作，接学校、职能部门相关通知及时以板报形式在大厅黑板上通告</w:t>
      </w:r>
      <w:r>
        <w:rPr>
          <w:rFonts w:hint="eastAsia" w:ascii="宋体" w:hAnsi="宋体" w:cs="宋体"/>
          <w:sz w:val="21"/>
          <w:szCs w:val="21"/>
          <w:highlight w:val="none"/>
          <w:lang w:eastAsia="zh-CN"/>
        </w:rPr>
        <w:t>。</w:t>
      </w:r>
    </w:p>
    <w:p w14:paraId="0A8C8AC0">
      <w:pPr>
        <w:pStyle w:val="20"/>
        <w:numPr>
          <w:ilvl w:val="0"/>
          <w:numId w:val="12"/>
        </w:numPr>
        <w:tabs>
          <w:tab w:val="left" w:pos="640"/>
        </w:tabs>
        <w:spacing w:line="360" w:lineRule="auto"/>
        <w:ind w:left="625" w:hanging="625" w:firstLineChars="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学生用电管理。对于学生寝室临时用电不足、无法充值等特殊情况，协助联系信息办协助解决，及时送电。</w:t>
      </w:r>
    </w:p>
    <w:p w14:paraId="4FE3135F">
      <w:pPr>
        <w:pStyle w:val="20"/>
        <w:numPr>
          <w:ilvl w:val="0"/>
          <w:numId w:val="12"/>
        </w:numPr>
        <w:tabs>
          <w:tab w:val="left" w:pos="640"/>
        </w:tabs>
        <w:spacing w:line="360" w:lineRule="auto"/>
        <w:ind w:left="625" w:hanging="625" w:firstLineChars="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检查报修。每日对宿舍楼的配电间、卫生间、不常用过道进行检查，发现楼内公共区域或公共设施设备有损坏情况，应当及时报修并做好登记工作。</w:t>
      </w:r>
    </w:p>
    <w:p w14:paraId="78DC86F8">
      <w:pPr>
        <w:pStyle w:val="20"/>
        <w:numPr>
          <w:ilvl w:val="0"/>
          <w:numId w:val="12"/>
        </w:numPr>
        <w:tabs>
          <w:tab w:val="left" w:pos="640"/>
        </w:tabs>
        <w:spacing w:line="360" w:lineRule="auto"/>
        <w:ind w:left="625" w:hanging="625" w:firstLineChars="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按要求做好楼内的能源、活动室、脱水机、门厅告示栏、微波炉、饮水机、爱心伞等管理工作。</w:t>
      </w:r>
    </w:p>
    <w:p w14:paraId="5467A656">
      <w:pPr>
        <w:pStyle w:val="20"/>
        <w:numPr>
          <w:ilvl w:val="0"/>
          <w:numId w:val="12"/>
        </w:numPr>
        <w:tabs>
          <w:tab w:val="left" w:pos="640"/>
        </w:tabs>
        <w:spacing w:line="360" w:lineRule="auto"/>
        <w:ind w:left="625" w:hanging="625" w:firstLineChars="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配合学校做好楼内安全稳定工作，禁止违章电器带入楼内，注意观察楼内动态，及时消除楼内安全隐患，并上报学校相关管理部门。</w:t>
      </w:r>
    </w:p>
    <w:p w14:paraId="2F0E8257">
      <w:pPr>
        <w:pStyle w:val="20"/>
        <w:numPr>
          <w:ilvl w:val="0"/>
          <w:numId w:val="12"/>
        </w:numPr>
        <w:tabs>
          <w:tab w:val="left" w:pos="640"/>
        </w:tabs>
        <w:spacing w:line="360" w:lineRule="auto"/>
        <w:ind w:left="625" w:hanging="625" w:firstLineChars="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配合学生处宿舍管理办公室做好其他与宿舍相关的工作。</w:t>
      </w:r>
    </w:p>
    <w:p w14:paraId="6180B9D5">
      <w:pPr>
        <w:pStyle w:val="20"/>
        <w:numPr>
          <w:ilvl w:val="0"/>
          <w:numId w:val="12"/>
        </w:numPr>
        <w:tabs>
          <w:tab w:val="left" w:pos="640"/>
        </w:tabs>
        <w:spacing w:line="360" w:lineRule="auto"/>
        <w:ind w:left="625" w:hanging="625" w:firstLineChars="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涉及学生宿舍中的禁止行为和注意事项，楼管员应及时书面反馈给管理部门。</w:t>
      </w:r>
    </w:p>
    <w:p w14:paraId="10D926C9">
      <w:pPr>
        <w:pStyle w:val="9"/>
        <w:spacing w:line="360" w:lineRule="auto"/>
        <w:rPr>
          <w:rFonts w:hint="eastAsia" w:ascii="宋体" w:hAnsi="宋体" w:eastAsia="宋体" w:cs="宋体"/>
          <w:sz w:val="21"/>
          <w:szCs w:val="21"/>
          <w:highlight w:val="none"/>
        </w:rPr>
      </w:pPr>
    </w:p>
    <w:p w14:paraId="48973E7E">
      <w:pPr>
        <w:pStyle w:val="20"/>
        <w:numPr>
          <w:ilvl w:val="0"/>
          <w:numId w:val="4"/>
        </w:numPr>
        <w:spacing w:line="440" w:lineRule="exact"/>
        <w:ind w:left="840" w:hanging="840" w:firstLineChars="0"/>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公共绿地和室内绿化、摆花的养护和管理</w:t>
      </w:r>
    </w:p>
    <w:p w14:paraId="580CB105">
      <w:pPr>
        <w:pStyle w:val="20"/>
        <w:widowControl/>
        <w:numPr>
          <w:ilvl w:val="0"/>
          <w:numId w:val="13"/>
        </w:numPr>
        <w:tabs>
          <w:tab w:val="left" w:pos="420"/>
        </w:tabs>
        <w:spacing w:line="360" w:lineRule="auto"/>
        <w:ind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保证嘉定校区中心草坪3000㎡，高职楼南侧草坪5000㎡，一年四季常绿，四季有花。</w:t>
      </w:r>
    </w:p>
    <w:p w14:paraId="250117E1">
      <w:pPr>
        <w:pStyle w:val="20"/>
        <w:widowControl/>
        <w:numPr>
          <w:ilvl w:val="0"/>
          <w:numId w:val="13"/>
        </w:numPr>
        <w:tabs>
          <w:tab w:val="left" w:pos="420"/>
        </w:tabs>
        <w:spacing w:line="360" w:lineRule="auto"/>
        <w:ind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四季花草更换（东门100㎡、南门100㎡、苏州园林50㎡），提升校园环境氛围。</w:t>
      </w:r>
    </w:p>
    <w:p w14:paraId="2C5DABBF">
      <w:pPr>
        <w:pStyle w:val="20"/>
        <w:widowControl/>
        <w:numPr>
          <w:ilvl w:val="0"/>
          <w:numId w:val="13"/>
        </w:numPr>
        <w:tabs>
          <w:tab w:val="left" w:pos="420"/>
        </w:tabs>
        <w:spacing w:line="360" w:lineRule="auto"/>
        <w:ind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绿化养护应确保绿地或花坛内各类乔、灌、草等绿化存活率99%以上；绿地设施及硬质景观保持常年完好，完好率不低于96%。植物群落完整，层次丰富，黄土不裸露，有整体观赏效果；植物季相分明，色彩艳丽，生长茂盛。</w:t>
      </w:r>
    </w:p>
    <w:p w14:paraId="48629A66">
      <w:pPr>
        <w:pStyle w:val="20"/>
        <w:widowControl/>
        <w:numPr>
          <w:ilvl w:val="0"/>
          <w:numId w:val="13"/>
        </w:numPr>
        <w:tabs>
          <w:tab w:val="left" w:pos="420"/>
        </w:tabs>
        <w:spacing w:line="360" w:lineRule="auto"/>
        <w:ind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修剪：年普修8遍以上，草高度不应超过9cm；树、乔木类要求树冠圆整、树势均匀，45度剪口靠节光滑；绿篱修剪要保持观赏面枝叶丰满、茂密、平整、整齐一致，整型树木造型雅观；草坪修剪不能超过5㎝、平整无杂草、无缠绕、无空秃，及时切边，草坪边缘线清晰。</w:t>
      </w:r>
    </w:p>
    <w:p w14:paraId="55DC022A">
      <w:pPr>
        <w:pStyle w:val="20"/>
        <w:widowControl/>
        <w:numPr>
          <w:ilvl w:val="0"/>
          <w:numId w:val="13"/>
        </w:numPr>
        <w:tabs>
          <w:tab w:val="left" w:pos="420"/>
        </w:tabs>
        <w:spacing w:line="360" w:lineRule="auto"/>
        <w:ind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常年保持有效供水，草地充分生长，用覆沙保持调整，保持地形平整，排水流畅。</w:t>
      </w:r>
    </w:p>
    <w:p w14:paraId="552DC00B">
      <w:pPr>
        <w:pStyle w:val="20"/>
        <w:widowControl/>
        <w:numPr>
          <w:ilvl w:val="0"/>
          <w:numId w:val="13"/>
        </w:numPr>
        <w:tabs>
          <w:tab w:val="left" w:pos="420"/>
        </w:tabs>
        <w:spacing w:line="360" w:lineRule="auto"/>
        <w:ind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年中耕除草、疏松表土10次以上，土壤疏松通透，无杂草。</w:t>
      </w:r>
    </w:p>
    <w:p w14:paraId="0F0D1926">
      <w:pPr>
        <w:pStyle w:val="20"/>
        <w:widowControl/>
        <w:numPr>
          <w:ilvl w:val="0"/>
          <w:numId w:val="13"/>
        </w:numPr>
        <w:tabs>
          <w:tab w:val="left" w:pos="420"/>
        </w:tabs>
        <w:spacing w:line="360" w:lineRule="auto"/>
        <w:ind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按植物品种、生长、土壤状况，适时、适量施肥。年普施基肥不少于1遍，花灌木追复合肥2遍，充分满足植物生长需要。植物、草皮根部土壤保持疏松、无板结、呈馒头状。 每次修剪后对草皮施肥一次，以氮肥为主，结合磷、钾肥等有机肥，保持草坪全年常绿（肥料费用应当包含在报价中）。</w:t>
      </w:r>
    </w:p>
    <w:p w14:paraId="21E4EEF5">
      <w:pPr>
        <w:pStyle w:val="20"/>
        <w:widowControl/>
        <w:numPr>
          <w:ilvl w:val="0"/>
          <w:numId w:val="13"/>
        </w:numPr>
        <w:tabs>
          <w:tab w:val="left" w:pos="420"/>
        </w:tabs>
        <w:spacing w:line="360" w:lineRule="auto"/>
        <w:ind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病虫害防治应以预防为主，生态治理，各类病虫害发生低于防治指标；植物、草皮无病斑、无成虫；植物枝叶无虫害咬口、排泄物、无悬挂或依附在植物上的虫茧、虫囊、休眠虫体及越冬虫蛹。（农药费用应当包含在报价中）</w:t>
      </w:r>
    </w:p>
    <w:p w14:paraId="2D235C82">
      <w:pPr>
        <w:pStyle w:val="20"/>
        <w:widowControl/>
        <w:numPr>
          <w:ilvl w:val="0"/>
          <w:numId w:val="13"/>
        </w:numPr>
        <w:tabs>
          <w:tab w:val="left" w:pos="420"/>
        </w:tabs>
        <w:spacing w:line="360" w:lineRule="auto"/>
        <w:ind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按规范做好综合防护措施，乔灌木倾倒时间及时扶正加固。</w:t>
      </w:r>
    </w:p>
    <w:p w14:paraId="65FD2163">
      <w:pPr>
        <w:pStyle w:val="20"/>
        <w:widowControl/>
        <w:numPr>
          <w:ilvl w:val="0"/>
          <w:numId w:val="13"/>
        </w:numPr>
        <w:tabs>
          <w:tab w:val="left" w:pos="420"/>
        </w:tabs>
        <w:spacing w:line="360" w:lineRule="auto"/>
        <w:ind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绿草如茵，绿期在250天以上，斑秃黄萎&lt;5%。 无白色垃圾、绿化生产垃圾（如树枝、树叶、草屑等）。无死树缺株、无杂草、无枯枝烂头。无积水，无干旱。</w:t>
      </w:r>
    </w:p>
    <w:p w14:paraId="1312DC16">
      <w:pPr>
        <w:pStyle w:val="20"/>
        <w:widowControl/>
        <w:numPr>
          <w:ilvl w:val="0"/>
          <w:numId w:val="13"/>
        </w:numPr>
        <w:tabs>
          <w:tab w:val="left" w:pos="420"/>
        </w:tabs>
        <w:spacing w:line="360" w:lineRule="auto"/>
        <w:ind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负责校园内湖泊、河道、水池保洁工作（仅限于湖面水草、湖面漂浮物清理），打捞工具投标人自行解决。校区内景观道路、景观设施、喷水池的保洁。</w:t>
      </w:r>
    </w:p>
    <w:p w14:paraId="3E1AE509">
      <w:pPr>
        <w:pStyle w:val="20"/>
        <w:widowControl/>
        <w:numPr>
          <w:ilvl w:val="0"/>
          <w:numId w:val="13"/>
        </w:numPr>
        <w:tabs>
          <w:tab w:val="left" w:pos="420"/>
        </w:tabs>
        <w:spacing w:line="360" w:lineRule="auto"/>
        <w:ind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田径场专业绿化养护</w:t>
      </w:r>
    </w:p>
    <w:p w14:paraId="0F46BB22">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在能够满足体育教学、比赛使用的基础上达到一级养护标准。</w:t>
      </w:r>
    </w:p>
    <w:p w14:paraId="15FF0224">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草坪达到生长旺盛，草坪整齐雅观，覆盖率达98%以上，杂草率低于3%，无坑洼和积水，无裸露地。 </w:t>
      </w:r>
    </w:p>
    <w:p w14:paraId="7EA293F7">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根据草坪生长特点进行合理灌溉和施肥。 </w:t>
      </w:r>
    </w:p>
    <w:p w14:paraId="5396EC64">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及时清理死草，要求在二周内补植回原来的草种，力求规格与原来的草种接近，以保证优良的景观效果，补植要按照草种规格进行，施足基肥，并加强水肥等保养措施，保证成活率达到100%。 </w:t>
      </w:r>
    </w:p>
    <w:p w14:paraId="5A1549C9">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对已呈老化或明显与周围环境景观不协调的草种，及时进行改植。</w:t>
      </w:r>
    </w:p>
    <w:p w14:paraId="60698440">
      <w:pPr>
        <w:pStyle w:val="20"/>
        <w:widowControl/>
        <w:numPr>
          <w:ilvl w:val="0"/>
          <w:numId w:val="13"/>
        </w:numPr>
        <w:tabs>
          <w:tab w:val="left" w:pos="420"/>
        </w:tabs>
        <w:spacing w:line="360" w:lineRule="auto"/>
        <w:ind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室内绿化租摆</w:t>
      </w:r>
    </w:p>
    <w:p w14:paraId="1EAA5D7D">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根据校方需要或合同约定在公共部位摆放绿化，摆放应布局合理、均匀、疏密有度，盆栽植物的色彩，形态和气质应与空间大小、装饰氛围及功能相协调。</w:t>
      </w:r>
    </w:p>
    <w:p w14:paraId="66CF42FA">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共用区域摆放绿化以中型小叶绿色植物为主，其中电梯厅摆放枝叶茂盛的植物，高度应在1.8米左右，走廊区域摆放植物高度可在1.5米左右。</w:t>
      </w:r>
    </w:p>
    <w:p w14:paraId="4AB309D7">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会议室应根据需求临时进行绿化的摆放服务。</w:t>
      </w:r>
    </w:p>
    <w:p w14:paraId="642F346D">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指定楼宇大堂内摆放绿化以中大型绿色植物为主，高度应在2米左右，大堂门口必须摆放时令花卉。</w:t>
      </w:r>
    </w:p>
    <w:p w14:paraId="08933F32">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绿化外观应叶片光泽、花朵鲜艳，土壤表层无杂物、无枯叶，整体造型应所选品种的观赏效果一致，叶子健壮，叶色正常，在正常的条件下不黄叶、不焦叶、不落叶。</w:t>
      </w:r>
    </w:p>
    <w:p w14:paraId="1011BC6B">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盆栽应选用光度、温度、湿度的耐受程度适宜，观赏性强、观赏周期长，管理方便的品种。</w:t>
      </w:r>
    </w:p>
    <w:p w14:paraId="36FAB5B9">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室内盆栽应选用无毒、无害、无味、园艺型肥料，存活率、造景、修剪、施肥、病虫害控制，发现病变、虫害、枯萎应及时更换。</w:t>
      </w:r>
    </w:p>
    <w:p w14:paraId="716B7F1F">
      <w:pPr>
        <w:pStyle w:val="20"/>
        <w:widowControl/>
        <w:numPr>
          <w:ilvl w:val="0"/>
          <w:numId w:val="6"/>
        </w:numPr>
        <w:spacing w:line="520" w:lineRule="exact"/>
        <w:ind w:left="1218" w:hanging="476"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根据需求，临时鲜花花卉的摆放服务。</w:t>
      </w:r>
    </w:p>
    <w:p w14:paraId="0A2E14AA">
      <w:pPr>
        <w:pStyle w:val="20"/>
        <w:spacing w:after="65" w:afterLines="20" w:line="440" w:lineRule="exact"/>
        <w:ind w:firstLine="641" w:firstLineChars="304"/>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【服务标准】：</w:t>
      </w:r>
      <w:r>
        <w:rPr>
          <w:rFonts w:hint="eastAsia" w:ascii="宋体" w:hAnsi="宋体" w:eastAsia="宋体" w:cs="宋体"/>
          <w:sz w:val="21"/>
          <w:szCs w:val="21"/>
          <w:highlight w:val="none"/>
        </w:rPr>
        <w:t>根据DG/TJ08-19-2011《园林绿化植物养护技术规程》以及《上海高校校园绿化建设和管理导则》的要求，保持《上海市绿色学校》荣誉称号。花草树木生长正常，修剪及时，叶面干净，具有光泽，无积尘，无枯枝败叶，无病虫害，无杂草；盆器及托盘完好干净，托盘无积土。室外绿化养护应达到绿地及花坛内各种植物存活率100％（如因养护不当造成死亡的，需由养护单位负责补种）。绿地设施及硬质景观完好无损。植物群落完整，层次丰富，黄土不外露，有整体的观赏效果。植物季相分明，生长茂盛；草坪保持平整，修剪后高度不超过5厘米，草屑及时清理；乔木修剪科学合理，剪口光滑整齐，树冠完整美观，无徒长枝、下垂枝、枯枝，内膛不乱，通风透光；绿篱修剪整齐有型，保持观赏面枝叶丰满。花灌木修剪及时，无残花；绿地内立视无明显杂草，土壤疏松通透；草皮无病斑，植物枝叶无虫害咬口、排泄物、无悬挂或依附在植物上的虫茧、休眠虫体及越冬虫蛹；绿地内无垃圾，乔木无树挂；绿地无破坏、践踏及随意占用现象。室内时花、苗木、盆栽及室内摆花等按时浇水养护，清理、擦拭，保证其鲜亮、造型美观、无枯枝败叶。有专业或资质要求的工作岗位，其从业人员需符合国家与上海市相关要求。</w:t>
      </w:r>
    </w:p>
    <w:p w14:paraId="15C953A3">
      <w:pPr>
        <w:pStyle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7993C5F6">
      <w:pPr>
        <w:pStyle w:val="20"/>
        <w:numPr>
          <w:ilvl w:val="0"/>
          <w:numId w:val="4"/>
        </w:numPr>
        <w:spacing w:line="440" w:lineRule="exact"/>
        <w:ind w:left="840" w:hanging="840" w:firstLineChars="0"/>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rPr>
        <w:t>其他特约需求服务</w:t>
      </w:r>
    </w:p>
    <w:p w14:paraId="163CDB03">
      <w:pPr>
        <w:widowControl/>
        <w:numPr>
          <w:ilvl w:val="0"/>
          <w:numId w:val="14"/>
        </w:numPr>
        <w:spacing w:line="360" w:lineRule="auto"/>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应急事件处置：根据项目实际情况，制定和完善各类应急预案，针对项目实际情况进行应急演练，对员工进行安全教育和技能培训，确保员工熟悉各项应急预案和灭火器的基本使用方法。 </w:t>
      </w:r>
    </w:p>
    <w:p w14:paraId="43A03B1C">
      <w:pPr>
        <w:widowControl/>
        <w:numPr>
          <w:ilvl w:val="0"/>
          <w:numId w:val="14"/>
        </w:numPr>
        <w:spacing w:line="360" w:lineRule="auto"/>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节能管理：贯彻执行节能环境相关的法律法规要求，制定和实施有效降低能耗和环境污染的措施方案，对楼内节能设施进行日常维护，并配合第三方节能环保改造项目施工。</w:t>
      </w:r>
    </w:p>
    <w:p w14:paraId="18EC3E52">
      <w:pPr>
        <w:widowControl/>
        <w:numPr>
          <w:ilvl w:val="0"/>
          <w:numId w:val="14"/>
        </w:numPr>
        <w:spacing w:line="360" w:lineRule="auto"/>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防台防汛：</w:t>
      </w:r>
      <w:r>
        <w:rPr>
          <w:rFonts w:hint="eastAsia" w:ascii="宋体" w:hAnsi="宋体" w:eastAsia="宋体" w:cs="宋体"/>
          <w:sz w:val="21"/>
          <w:szCs w:val="21"/>
          <w:highlight w:val="none"/>
        </w:rPr>
        <w:t xml:space="preserve">汛期内负责记录天气预报，针对天气情况发布气象预警；汛期安排防汛值班人员在气象部门发布台风、暴雨警报时进行防汛防台值班，直至警报解除；汛期组织抢险队伍在台风、暴雨时进行校区内防汛防台抢险任务；汛期前后对楼宇内明沟、平屋顶及其天沟进行集中清理疏通，保证排水畅通；汛期安排专人进行 24 小时值班工作，以应对汛期校内排水工作；汛期提前备好沙袋在各楼宇易进水的区域。提前关闭公共区域的门窗；配合学校防汛防台工作所需的其他指示安排。 </w:t>
      </w:r>
    </w:p>
    <w:p w14:paraId="2AB9FE1B">
      <w:pPr>
        <w:widowControl/>
        <w:numPr>
          <w:ilvl w:val="0"/>
          <w:numId w:val="14"/>
        </w:numPr>
        <w:spacing w:line="360" w:lineRule="auto"/>
        <w:jc w:val="left"/>
        <w:rPr>
          <w:rFonts w:hint="eastAsia" w:ascii="宋体" w:hAnsi="宋体" w:eastAsia="宋体" w:cs="宋体"/>
          <w:sz w:val="21"/>
          <w:szCs w:val="21"/>
        </w:rPr>
      </w:pPr>
      <w:r>
        <w:rPr>
          <w:rFonts w:hint="eastAsia" w:ascii="宋体" w:hAnsi="宋体" w:eastAsia="宋体" w:cs="宋体"/>
          <w:sz w:val="21"/>
          <w:szCs w:val="21"/>
        </w:rPr>
        <w:t>校园大型活动服务：对活动中使用的场地进行全过程管理，遇有紧急情况和突发事件及时报告，根据要求配合协助启动相关应急预案；活动完毕及时、安全清理场地。</w:t>
      </w:r>
    </w:p>
    <w:p w14:paraId="5B3D1779">
      <w:pPr>
        <w:pStyle w:val="9"/>
        <w:spacing w:line="360" w:lineRule="auto"/>
        <w:rPr>
          <w:rFonts w:hint="eastAsia" w:ascii="宋体" w:hAnsi="宋体" w:eastAsia="宋体" w:cs="宋体"/>
          <w:sz w:val="21"/>
          <w:szCs w:val="21"/>
        </w:rPr>
      </w:pPr>
    </w:p>
    <w:p w14:paraId="4FDAF5BD">
      <w:pPr>
        <w:pStyle w:val="13"/>
        <w:spacing w:line="360" w:lineRule="auto"/>
        <w:ind w:left="0" w:firstLine="422" w:firstLineChars="200"/>
        <w:outlineLvl w:val="0"/>
        <w:rPr>
          <w:rFonts w:hint="eastAsia" w:ascii="宋体" w:hAnsi="宋体" w:eastAsia="宋体" w:cs="宋体"/>
          <w:sz w:val="21"/>
          <w:szCs w:val="21"/>
        </w:rPr>
      </w:pPr>
      <w:r>
        <w:rPr>
          <w:rFonts w:hint="eastAsia" w:ascii="宋体" w:hAnsi="宋体" w:cs="宋体"/>
          <w:b/>
          <w:sz w:val="21"/>
          <w:szCs w:val="21"/>
          <w:lang w:val="en-US" w:eastAsia="zh-CN"/>
        </w:rPr>
        <w:t>三</w:t>
      </w:r>
      <w:r>
        <w:rPr>
          <w:rFonts w:hint="eastAsia" w:ascii="宋体" w:hAnsi="宋体" w:eastAsia="宋体" w:cs="宋体"/>
          <w:b/>
          <w:sz w:val="21"/>
          <w:szCs w:val="21"/>
        </w:rPr>
        <w:t>、物业管理服务人员设置需求</w:t>
      </w:r>
    </w:p>
    <w:tbl>
      <w:tblPr>
        <w:tblStyle w:val="15"/>
        <w:tblW w:w="5201" w:type="pct"/>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749"/>
        <w:gridCol w:w="931"/>
        <w:gridCol w:w="1100"/>
        <w:gridCol w:w="3521"/>
        <w:gridCol w:w="1799"/>
      </w:tblGrid>
      <w:tr w14:paraId="158D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blHeader/>
        </w:trPr>
        <w:tc>
          <w:tcPr>
            <w:tcW w:w="431" w:type="pct"/>
            <w:noWrap w:val="0"/>
            <w:vAlign w:val="center"/>
          </w:tcPr>
          <w:p w14:paraId="7B9A53A3">
            <w:pPr>
              <w:widowControl/>
              <w:jc w:val="center"/>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部门</w:t>
            </w:r>
          </w:p>
        </w:tc>
        <w:tc>
          <w:tcPr>
            <w:tcW w:w="422" w:type="pct"/>
            <w:noWrap w:val="0"/>
            <w:vAlign w:val="center"/>
          </w:tcPr>
          <w:p w14:paraId="3C35971E">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岗位</w:t>
            </w:r>
          </w:p>
        </w:tc>
        <w:tc>
          <w:tcPr>
            <w:tcW w:w="525" w:type="pct"/>
            <w:noWrap w:val="0"/>
            <w:vAlign w:val="center"/>
          </w:tcPr>
          <w:p w14:paraId="3766B709">
            <w:pPr>
              <w:widowControl/>
              <w:jc w:val="center"/>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岗位编制（该岗位同一时段内需要在岗人数）</w:t>
            </w:r>
          </w:p>
        </w:tc>
        <w:tc>
          <w:tcPr>
            <w:tcW w:w="620" w:type="pct"/>
            <w:noWrap w:val="0"/>
            <w:vAlign w:val="center"/>
          </w:tcPr>
          <w:p w14:paraId="70844D00">
            <w:pPr>
              <w:widowControl/>
              <w:jc w:val="center"/>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岗位人力配置数量（根据服务时长及岗位编制要求，配置的人数）</w:t>
            </w:r>
          </w:p>
        </w:tc>
        <w:tc>
          <w:tcPr>
            <w:tcW w:w="1985" w:type="pct"/>
            <w:noWrap w:val="0"/>
            <w:vAlign w:val="center"/>
          </w:tcPr>
          <w:p w14:paraId="73A91DE5">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岗位人员素质要求</w:t>
            </w:r>
          </w:p>
        </w:tc>
        <w:tc>
          <w:tcPr>
            <w:tcW w:w="1014" w:type="pct"/>
            <w:noWrap w:val="0"/>
            <w:vAlign w:val="center"/>
          </w:tcPr>
          <w:p w14:paraId="05D4F1C8">
            <w:pPr>
              <w:widowControl/>
              <w:jc w:val="center"/>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备注（岗位所需服务时长或时段等）</w:t>
            </w:r>
          </w:p>
        </w:tc>
      </w:tr>
      <w:tr w14:paraId="55EA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1" w:type="pct"/>
            <w:vMerge w:val="restart"/>
            <w:noWrap w:val="0"/>
            <w:vAlign w:val="center"/>
          </w:tcPr>
          <w:p w14:paraId="265BD283">
            <w:pPr>
              <w:widowControl/>
              <w:jc w:val="center"/>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服务中心</w:t>
            </w:r>
          </w:p>
        </w:tc>
        <w:tc>
          <w:tcPr>
            <w:tcW w:w="422" w:type="pct"/>
            <w:noWrap w:val="0"/>
            <w:vAlign w:val="center"/>
          </w:tcPr>
          <w:p w14:paraId="1C7FC20C">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项目</w:t>
            </w:r>
          </w:p>
          <w:p w14:paraId="4C9345C3">
            <w:pPr>
              <w:widowControl/>
              <w:jc w:val="center"/>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经理</w:t>
            </w:r>
          </w:p>
        </w:tc>
        <w:tc>
          <w:tcPr>
            <w:tcW w:w="525" w:type="pct"/>
            <w:noWrap w:val="0"/>
            <w:vAlign w:val="center"/>
          </w:tcPr>
          <w:p w14:paraId="4715DF5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620" w:type="pct"/>
            <w:noWrap w:val="0"/>
            <w:vAlign w:val="center"/>
          </w:tcPr>
          <w:p w14:paraId="2447B49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985" w:type="pct"/>
            <w:noWrap w:val="0"/>
            <w:vAlign w:val="center"/>
          </w:tcPr>
          <w:p w14:paraId="30544F39">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sz w:val="21"/>
                <w:szCs w:val="21"/>
              </w:rPr>
              <w:t>基本素质：有责任心、事业心强，吃苦耐劳，爱岗敬业，廉洁自律，具有很强的组织管理能力、协调能力和良好的心理素质。</w:t>
            </w:r>
          </w:p>
          <w:p w14:paraId="453AB456">
            <w:pPr>
              <w:widowControl/>
              <w:jc w:val="both"/>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eastAsia="zh-CN" w:bidi="ar"/>
              </w:rPr>
              <w:t>年龄</w:t>
            </w:r>
            <w:r>
              <w:rPr>
                <w:rFonts w:hint="eastAsia" w:ascii="宋体" w:hAnsi="宋体" w:eastAsia="宋体" w:cs="宋体"/>
                <w:color w:val="000000"/>
                <w:kern w:val="0"/>
                <w:sz w:val="21"/>
                <w:szCs w:val="21"/>
                <w:lang w:bidi="ar"/>
              </w:rPr>
              <w:t>：</w:t>
            </w:r>
            <w:r>
              <w:rPr>
                <w:rFonts w:hint="eastAsia" w:ascii="宋体" w:hAnsi="宋体" w:eastAsia="宋体" w:cs="宋体"/>
                <w:sz w:val="21"/>
                <w:szCs w:val="21"/>
                <w:lang w:val="en-US" w:eastAsia="zh-CN"/>
              </w:rPr>
              <w:t>35-50周</w:t>
            </w:r>
            <w:r>
              <w:rPr>
                <w:rFonts w:hint="eastAsia" w:ascii="宋体" w:hAnsi="宋体" w:eastAsia="宋体" w:cs="宋体"/>
                <w:sz w:val="21"/>
                <w:szCs w:val="21"/>
              </w:rPr>
              <w:t>岁</w:t>
            </w:r>
            <w:r>
              <w:rPr>
                <w:rFonts w:hint="eastAsia" w:ascii="宋体" w:hAnsi="宋体" w:eastAsia="宋体" w:cs="宋体"/>
                <w:sz w:val="21"/>
                <w:szCs w:val="21"/>
                <w:lang w:eastAsia="zh-CN"/>
              </w:rPr>
              <w:t>。</w:t>
            </w:r>
          </w:p>
          <w:p w14:paraId="764941A4">
            <w:pPr>
              <w:widowControl/>
              <w:jc w:val="both"/>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文化程度：本科及以上学历</w:t>
            </w:r>
            <w:r>
              <w:rPr>
                <w:rFonts w:hint="eastAsia" w:ascii="宋体" w:hAnsi="宋体" w:eastAsia="宋体" w:cs="宋体"/>
                <w:color w:val="000000"/>
                <w:kern w:val="0"/>
                <w:sz w:val="21"/>
                <w:szCs w:val="21"/>
                <w:lang w:eastAsia="zh-CN" w:bidi="ar"/>
              </w:rPr>
              <w:t>。</w:t>
            </w:r>
          </w:p>
          <w:p w14:paraId="66BBAD2A">
            <w:pPr>
              <w:widowControl/>
              <w:jc w:val="both"/>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专业要求：</w:t>
            </w:r>
            <w:r>
              <w:rPr>
                <w:rFonts w:hint="eastAsia" w:ascii="宋体" w:hAnsi="宋体" w:eastAsia="宋体" w:cs="宋体"/>
                <w:sz w:val="21"/>
                <w:szCs w:val="21"/>
              </w:rPr>
              <w:t>具有履约能力评价体系 GB/T31863-2015培训的经历</w:t>
            </w:r>
            <w:r>
              <w:rPr>
                <w:rFonts w:hint="eastAsia" w:ascii="宋体" w:hAnsi="宋体" w:cs="宋体"/>
                <w:sz w:val="21"/>
                <w:szCs w:val="21"/>
                <w:lang w:eastAsia="zh-CN"/>
              </w:rPr>
              <w:t>优先。</w:t>
            </w:r>
          </w:p>
          <w:p w14:paraId="35A8B9A1">
            <w:pPr>
              <w:widowControl/>
              <w:jc w:val="both"/>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经验要求：</w:t>
            </w:r>
            <w:r>
              <w:rPr>
                <w:rFonts w:hint="eastAsia" w:ascii="宋体" w:hAnsi="宋体" w:eastAsia="宋体" w:cs="宋体"/>
                <w:sz w:val="21"/>
                <w:szCs w:val="21"/>
              </w:rPr>
              <w:t>担任过两个以上总建筑面积不小于本项目规模的高校、政府机关等相关非住宅物业的项目经理且有5年以上的相关工作经验（以相关合同复印件和用户证明为准），有相关培训经历，有基本的英语口语对话能力，获得过行业奖项，提供近3个月本单位社保缴纳证明，党员为佳。</w:t>
            </w:r>
          </w:p>
        </w:tc>
        <w:tc>
          <w:tcPr>
            <w:tcW w:w="1014" w:type="pct"/>
            <w:noWrap w:val="0"/>
            <w:vAlign w:val="center"/>
          </w:tcPr>
          <w:p w14:paraId="67D8795F">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8小时</w:t>
            </w:r>
            <w:r>
              <w:rPr>
                <w:rFonts w:hint="eastAsia" w:ascii="宋体" w:hAnsi="宋体" w:eastAsia="宋体" w:cs="宋体"/>
                <w:color w:val="000000"/>
                <w:kern w:val="0"/>
                <w:sz w:val="21"/>
                <w:szCs w:val="21"/>
                <w:lang w:val="en-US" w:eastAsia="zh-CN" w:bidi="ar"/>
              </w:rPr>
              <w:t>工作制</w:t>
            </w:r>
            <w:r>
              <w:rPr>
                <w:rFonts w:hint="eastAsia" w:ascii="宋体" w:hAnsi="宋体" w:eastAsia="宋体" w:cs="宋体"/>
                <w:color w:val="000000"/>
                <w:kern w:val="0"/>
                <w:sz w:val="21"/>
                <w:szCs w:val="21"/>
                <w:lang w:bidi="ar"/>
              </w:rPr>
              <w:t>，合同期内在岗率</w:t>
            </w:r>
            <w:r>
              <w:rPr>
                <w:rFonts w:hint="eastAsia" w:ascii="宋体" w:hAnsi="宋体" w:eastAsia="宋体" w:cs="宋体"/>
                <w:color w:val="000000"/>
                <w:kern w:val="0"/>
                <w:sz w:val="21"/>
                <w:szCs w:val="21"/>
                <w:lang w:val="en-US" w:eastAsia="zh-CN" w:bidi="ar"/>
              </w:rPr>
              <w:t>100%</w:t>
            </w:r>
            <w:r>
              <w:rPr>
                <w:rFonts w:hint="eastAsia" w:ascii="宋体" w:hAnsi="宋体" w:eastAsia="宋体" w:cs="宋体"/>
                <w:color w:val="000000"/>
                <w:kern w:val="0"/>
                <w:sz w:val="21"/>
                <w:szCs w:val="21"/>
                <w:lang w:bidi="ar"/>
              </w:rPr>
              <w:t>。</w:t>
            </w:r>
          </w:p>
        </w:tc>
      </w:tr>
      <w:tr w14:paraId="0459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1" w:type="pct"/>
            <w:vMerge w:val="continue"/>
            <w:noWrap w:val="0"/>
            <w:vAlign w:val="center"/>
          </w:tcPr>
          <w:p w14:paraId="44F64FDA">
            <w:pPr>
              <w:widowControl/>
              <w:jc w:val="center"/>
              <w:textAlignment w:val="center"/>
              <w:rPr>
                <w:rFonts w:hint="eastAsia" w:ascii="宋体" w:hAnsi="宋体" w:eastAsia="宋体" w:cs="宋体"/>
                <w:color w:val="000000"/>
                <w:kern w:val="0"/>
                <w:sz w:val="21"/>
                <w:szCs w:val="21"/>
                <w:lang w:bidi="ar"/>
              </w:rPr>
            </w:pPr>
          </w:p>
        </w:tc>
        <w:tc>
          <w:tcPr>
            <w:tcW w:w="422" w:type="pct"/>
            <w:noWrap w:val="0"/>
            <w:vAlign w:val="center"/>
          </w:tcPr>
          <w:p w14:paraId="15CD9526">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副经理</w:t>
            </w:r>
          </w:p>
        </w:tc>
        <w:tc>
          <w:tcPr>
            <w:tcW w:w="525" w:type="pct"/>
            <w:noWrap w:val="0"/>
            <w:vAlign w:val="center"/>
          </w:tcPr>
          <w:p w14:paraId="28F9568A">
            <w:pPr>
              <w:widowControl/>
              <w:jc w:val="center"/>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1</w:t>
            </w:r>
          </w:p>
        </w:tc>
        <w:tc>
          <w:tcPr>
            <w:tcW w:w="620" w:type="pct"/>
            <w:noWrap w:val="0"/>
            <w:vAlign w:val="center"/>
          </w:tcPr>
          <w:p w14:paraId="10009C0B">
            <w:pPr>
              <w:widowControl/>
              <w:jc w:val="center"/>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1</w:t>
            </w:r>
          </w:p>
        </w:tc>
        <w:tc>
          <w:tcPr>
            <w:tcW w:w="1985" w:type="pct"/>
            <w:noWrap w:val="0"/>
            <w:vAlign w:val="center"/>
          </w:tcPr>
          <w:p w14:paraId="753A0BFA">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sz w:val="21"/>
                <w:szCs w:val="21"/>
              </w:rPr>
              <w:t>基本素质：有责任心、事业心强、吃苦耐劳、爱岗敬业、廉洁自律，具有较强的组织管理能力和协调能力。</w:t>
            </w:r>
          </w:p>
          <w:p w14:paraId="02272D34">
            <w:pPr>
              <w:widowControl/>
              <w:jc w:val="both"/>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eastAsia="zh-CN" w:bidi="ar"/>
              </w:rPr>
              <w:t>年龄</w:t>
            </w:r>
            <w:r>
              <w:rPr>
                <w:rFonts w:hint="eastAsia" w:ascii="宋体" w:hAnsi="宋体" w:eastAsia="宋体" w:cs="宋体"/>
                <w:color w:val="000000"/>
                <w:kern w:val="0"/>
                <w:sz w:val="21"/>
                <w:szCs w:val="21"/>
                <w:lang w:bidi="ar"/>
              </w:rPr>
              <w:t>：</w:t>
            </w:r>
            <w:r>
              <w:rPr>
                <w:rFonts w:hint="eastAsia" w:ascii="宋体" w:hAnsi="宋体" w:eastAsia="宋体" w:cs="宋体"/>
                <w:sz w:val="21"/>
                <w:szCs w:val="21"/>
                <w:lang w:val="en-US" w:eastAsia="zh-CN"/>
              </w:rPr>
              <w:t>35-55周</w:t>
            </w:r>
            <w:r>
              <w:rPr>
                <w:rFonts w:hint="eastAsia" w:ascii="宋体" w:hAnsi="宋体" w:eastAsia="宋体" w:cs="宋体"/>
                <w:sz w:val="21"/>
                <w:szCs w:val="21"/>
              </w:rPr>
              <w:t>岁</w:t>
            </w:r>
            <w:r>
              <w:rPr>
                <w:rFonts w:hint="eastAsia" w:ascii="宋体" w:hAnsi="宋体" w:eastAsia="宋体" w:cs="宋体"/>
                <w:sz w:val="21"/>
                <w:szCs w:val="21"/>
                <w:lang w:eastAsia="zh-CN"/>
              </w:rPr>
              <w:t>。</w:t>
            </w:r>
          </w:p>
          <w:p w14:paraId="1AA6E045">
            <w:pPr>
              <w:widowControl/>
              <w:jc w:val="both"/>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文化程度：本科及以上学历</w:t>
            </w:r>
            <w:r>
              <w:rPr>
                <w:rFonts w:hint="eastAsia" w:ascii="宋体" w:hAnsi="宋体" w:eastAsia="宋体" w:cs="宋体"/>
                <w:color w:val="000000"/>
                <w:kern w:val="0"/>
                <w:sz w:val="21"/>
                <w:szCs w:val="21"/>
                <w:lang w:eastAsia="zh-CN" w:bidi="ar"/>
              </w:rPr>
              <w:t>。</w:t>
            </w:r>
          </w:p>
          <w:p w14:paraId="6415E943">
            <w:pPr>
              <w:widowControl/>
              <w:jc w:val="both"/>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专业要求：</w:t>
            </w:r>
            <w:r>
              <w:rPr>
                <w:rFonts w:hint="eastAsia" w:ascii="宋体" w:hAnsi="宋体" w:eastAsia="宋体" w:cs="宋体"/>
                <w:sz w:val="21"/>
                <w:szCs w:val="21"/>
              </w:rPr>
              <w:t>物业经理（中级）及以上，提供</w:t>
            </w:r>
            <w:r>
              <w:rPr>
                <w:rFonts w:hint="eastAsia" w:ascii="宋体" w:hAnsi="宋体" w:cs="宋体"/>
                <w:sz w:val="21"/>
                <w:szCs w:val="21"/>
                <w:lang w:val="en-US" w:eastAsia="zh-CN"/>
              </w:rPr>
              <w:t>有效期内</w:t>
            </w:r>
            <w:r>
              <w:rPr>
                <w:rFonts w:hint="eastAsia" w:ascii="宋体" w:hAnsi="宋体" w:eastAsia="宋体" w:cs="宋体"/>
                <w:sz w:val="21"/>
                <w:szCs w:val="21"/>
              </w:rPr>
              <w:t>健康</w:t>
            </w:r>
            <w:r>
              <w:rPr>
                <w:rFonts w:hint="eastAsia" w:ascii="宋体" w:hAnsi="宋体" w:cs="宋体"/>
                <w:sz w:val="21"/>
                <w:szCs w:val="21"/>
                <w:lang w:val="en-US" w:eastAsia="zh-CN"/>
              </w:rPr>
              <w:t>证</w:t>
            </w:r>
            <w:r>
              <w:rPr>
                <w:rFonts w:hint="eastAsia" w:ascii="宋体" w:hAnsi="宋体" w:eastAsia="宋体" w:cs="宋体"/>
                <w:sz w:val="21"/>
                <w:szCs w:val="21"/>
              </w:rPr>
              <w:t>证明，熟悉安全生产管理相关知识，具有运行</w:t>
            </w:r>
            <w:r>
              <w:rPr>
                <w:rFonts w:hint="eastAsia" w:ascii="宋体" w:hAnsi="宋体" w:cs="宋体"/>
                <w:sz w:val="21"/>
                <w:szCs w:val="21"/>
                <w:lang w:val="en-US" w:eastAsia="zh-CN"/>
              </w:rPr>
              <w:t>GB/T</w:t>
            </w:r>
            <w:r>
              <w:rPr>
                <w:rFonts w:hint="eastAsia" w:ascii="宋体" w:hAnsi="宋体" w:eastAsia="宋体" w:cs="宋体"/>
                <w:sz w:val="21"/>
                <w:szCs w:val="21"/>
              </w:rPr>
              <w:t>质量管理体系进行管理的经历。</w:t>
            </w:r>
          </w:p>
          <w:p w14:paraId="233CC93D">
            <w:pPr>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经验要求</w:t>
            </w:r>
            <w:r>
              <w:rPr>
                <w:rFonts w:hint="eastAsia" w:ascii="宋体" w:hAnsi="宋体" w:eastAsia="宋体" w:cs="宋体"/>
                <w:sz w:val="21"/>
                <w:szCs w:val="21"/>
              </w:rPr>
              <w:t>：担任过总建筑面积不小于本项目规模的学校、政府机关等相关非住宅物业的主管、经理或负责人且有5年以上经验，获得过相关荣誉。提供近3个月本单位社保缴纳证明。</w:t>
            </w:r>
          </w:p>
        </w:tc>
        <w:tc>
          <w:tcPr>
            <w:tcW w:w="1014" w:type="pct"/>
            <w:noWrap w:val="0"/>
            <w:vAlign w:val="center"/>
          </w:tcPr>
          <w:p w14:paraId="4F6EC097">
            <w:pPr>
              <w:jc w:val="left"/>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8小时</w:t>
            </w:r>
            <w:r>
              <w:rPr>
                <w:rFonts w:hint="eastAsia" w:ascii="宋体" w:hAnsi="宋体" w:eastAsia="宋体" w:cs="宋体"/>
                <w:color w:val="000000"/>
                <w:kern w:val="0"/>
                <w:sz w:val="21"/>
                <w:szCs w:val="21"/>
                <w:lang w:val="en-US" w:eastAsia="zh-CN" w:bidi="ar"/>
              </w:rPr>
              <w:t>工作制</w:t>
            </w:r>
            <w:r>
              <w:rPr>
                <w:rFonts w:hint="eastAsia" w:ascii="宋体" w:hAnsi="宋体" w:eastAsia="宋体" w:cs="宋体"/>
                <w:color w:val="000000"/>
                <w:kern w:val="0"/>
                <w:sz w:val="21"/>
                <w:szCs w:val="21"/>
                <w:lang w:bidi="ar"/>
              </w:rPr>
              <w:t>，合同期内在岗率</w:t>
            </w:r>
            <w:r>
              <w:rPr>
                <w:rFonts w:hint="eastAsia" w:ascii="宋体" w:hAnsi="宋体" w:eastAsia="宋体" w:cs="宋体"/>
                <w:color w:val="000000"/>
                <w:kern w:val="0"/>
                <w:sz w:val="21"/>
                <w:szCs w:val="21"/>
                <w:lang w:val="en-US" w:eastAsia="zh-CN" w:bidi="ar"/>
              </w:rPr>
              <w:t>100%</w:t>
            </w:r>
            <w:r>
              <w:rPr>
                <w:rFonts w:hint="eastAsia" w:ascii="宋体" w:hAnsi="宋体" w:eastAsia="宋体" w:cs="宋体"/>
                <w:color w:val="000000"/>
                <w:kern w:val="0"/>
                <w:sz w:val="21"/>
                <w:szCs w:val="21"/>
                <w:lang w:bidi="ar"/>
              </w:rPr>
              <w:t>。</w:t>
            </w:r>
          </w:p>
        </w:tc>
      </w:tr>
      <w:tr w14:paraId="2EF3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1" w:type="pct"/>
            <w:vMerge w:val="continue"/>
            <w:noWrap w:val="0"/>
            <w:vAlign w:val="center"/>
          </w:tcPr>
          <w:p w14:paraId="29589B37">
            <w:pPr>
              <w:widowControl/>
              <w:jc w:val="center"/>
              <w:textAlignment w:val="center"/>
              <w:rPr>
                <w:rFonts w:hint="eastAsia" w:ascii="宋体" w:hAnsi="宋体" w:eastAsia="宋体" w:cs="宋体"/>
                <w:color w:val="000000"/>
                <w:kern w:val="0"/>
                <w:sz w:val="21"/>
                <w:szCs w:val="21"/>
                <w:lang w:bidi="ar"/>
              </w:rPr>
            </w:pPr>
          </w:p>
        </w:tc>
        <w:tc>
          <w:tcPr>
            <w:tcW w:w="422" w:type="pct"/>
            <w:noWrap w:val="0"/>
            <w:vAlign w:val="center"/>
          </w:tcPr>
          <w:p w14:paraId="52B0D503">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行政</w:t>
            </w:r>
          </w:p>
          <w:p w14:paraId="642AEC48">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主管</w:t>
            </w:r>
          </w:p>
        </w:tc>
        <w:tc>
          <w:tcPr>
            <w:tcW w:w="525" w:type="pct"/>
            <w:noWrap w:val="0"/>
            <w:vAlign w:val="center"/>
          </w:tcPr>
          <w:p w14:paraId="7CD27106">
            <w:pPr>
              <w:widowControl/>
              <w:jc w:val="center"/>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1</w:t>
            </w:r>
          </w:p>
        </w:tc>
        <w:tc>
          <w:tcPr>
            <w:tcW w:w="620" w:type="pct"/>
            <w:noWrap w:val="0"/>
            <w:vAlign w:val="center"/>
          </w:tcPr>
          <w:p w14:paraId="08F42F77">
            <w:pPr>
              <w:widowControl/>
              <w:jc w:val="center"/>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1</w:t>
            </w:r>
          </w:p>
        </w:tc>
        <w:tc>
          <w:tcPr>
            <w:tcW w:w="1985" w:type="pct"/>
            <w:noWrap w:val="0"/>
            <w:vAlign w:val="center"/>
          </w:tcPr>
          <w:p w14:paraId="64DF0220">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sz w:val="21"/>
                <w:szCs w:val="21"/>
              </w:rPr>
              <w:t>基本素质：有责任心、事业心强、吃苦耐劳、爱岗敬业、廉洁自律，具有较强的组织管理能力和协调能力。</w:t>
            </w:r>
          </w:p>
          <w:p w14:paraId="72528B12">
            <w:pPr>
              <w:widowControl/>
              <w:jc w:val="both"/>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eastAsia="zh-CN" w:bidi="ar"/>
              </w:rPr>
              <w:t>年龄</w:t>
            </w:r>
            <w:r>
              <w:rPr>
                <w:rFonts w:hint="eastAsia" w:ascii="宋体" w:hAnsi="宋体" w:eastAsia="宋体" w:cs="宋体"/>
                <w:color w:val="000000"/>
                <w:kern w:val="0"/>
                <w:sz w:val="21"/>
                <w:szCs w:val="21"/>
                <w:lang w:bidi="ar"/>
              </w:rPr>
              <w:t>：</w:t>
            </w:r>
            <w:r>
              <w:rPr>
                <w:rFonts w:hint="eastAsia" w:ascii="宋体" w:hAnsi="宋体" w:eastAsia="宋体" w:cs="宋体"/>
                <w:sz w:val="21"/>
                <w:szCs w:val="21"/>
                <w:lang w:val="en-US" w:eastAsia="zh-CN"/>
              </w:rPr>
              <w:t>35-40周</w:t>
            </w:r>
            <w:r>
              <w:rPr>
                <w:rFonts w:hint="eastAsia" w:ascii="宋体" w:hAnsi="宋体" w:eastAsia="宋体" w:cs="宋体"/>
                <w:sz w:val="21"/>
                <w:szCs w:val="21"/>
              </w:rPr>
              <w:t>岁</w:t>
            </w:r>
            <w:r>
              <w:rPr>
                <w:rFonts w:hint="eastAsia" w:ascii="宋体" w:hAnsi="宋体" w:eastAsia="宋体" w:cs="宋体"/>
                <w:sz w:val="21"/>
                <w:szCs w:val="21"/>
                <w:lang w:eastAsia="zh-CN"/>
              </w:rPr>
              <w:t>。</w:t>
            </w:r>
          </w:p>
          <w:p w14:paraId="2FCF2520">
            <w:pPr>
              <w:widowControl/>
              <w:jc w:val="both"/>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文化程度：</w:t>
            </w:r>
            <w:r>
              <w:rPr>
                <w:rFonts w:hint="eastAsia" w:ascii="宋体" w:hAnsi="宋体" w:eastAsia="宋体" w:cs="宋体"/>
                <w:color w:val="000000"/>
                <w:kern w:val="0"/>
                <w:sz w:val="21"/>
                <w:szCs w:val="21"/>
                <w:lang w:val="en-US" w:eastAsia="zh-CN" w:bidi="ar"/>
              </w:rPr>
              <w:t>大专</w:t>
            </w:r>
            <w:r>
              <w:rPr>
                <w:rFonts w:hint="eastAsia" w:ascii="宋体" w:hAnsi="宋体" w:eastAsia="宋体" w:cs="宋体"/>
                <w:color w:val="000000"/>
                <w:kern w:val="0"/>
                <w:sz w:val="21"/>
                <w:szCs w:val="21"/>
                <w:lang w:bidi="ar"/>
              </w:rPr>
              <w:t>及以上学历</w:t>
            </w:r>
            <w:r>
              <w:rPr>
                <w:rFonts w:hint="eastAsia" w:ascii="宋体" w:hAnsi="宋体" w:eastAsia="宋体" w:cs="宋体"/>
                <w:color w:val="000000"/>
                <w:kern w:val="0"/>
                <w:sz w:val="21"/>
                <w:szCs w:val="21"/>
                <w:lang w:eastAsia="zh-CN" w:bidi="ar"/>
              </w:rPr>
              <w:t>。</w:t>
            </w:r>
          </w:p>
          <w:p w14:paraId="5BE34F01">
            <w:pPr>
              <w:widowControl/>
              <w:jc w:val="both"/>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专业要求：</w:t>
            </w:r>
            <w:r>
              <w:rPr>
                <w:rFonts w:hint="eastAsia" w:ascii="宋体" w:hAnsi="宋体" w:eastAsia="宋体" w:cs="宋体"/>
                <w:sz w:val="21"/>
                <w:szCs w:val="21"/>
              </w:rPr>
              <w:t>物业经理（中级）及以上，持消防管理、消毒防控、垃圾分类相关证书，具有运行</w:t>
            </w:r>
            <w:r>
              <w:rPr>
                <w:rFonts w:hint="eastAsia" w:ascii="宋体" w:hAnsi="宋体" w:cs="宋体"/>
                <w:sz w:val="21"/>
                <w:szCs w:val="21"/>
                <w:lang w:val="en-US" w:eastAsia="zh-CN"/>
              </w:rPr>
              <w:t>GB/T</w:t>
            </w:r>
            <w:r>
              <w:rPr>
                <w:rFonts w:hint="eastAsia" w:ascii="宋体" w:hAnsi="宋体" w:eastAsia="宋体" w:cs="宋体"/>
                <w:sz w:val="21"/>
                <w:szCs w:val="21"/>
              </w:rPr>
              <w:t>管理体系的经历。</w:t>
            </w:r>
          </w:p>
          <w:p w14:paraId="42DA0FF2">
            <w:pPr>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经验要求</w:t>
            </w:r>
            <w:r>
              <w:rPr>
                <w:rFonts w:hint="eastAsia" w:ascii="宋体" w:hAnsi="宋体" w:eastAsia="宋体" w:cs="宋体"/>
                <w:sz w:val="21"/>
                <w:szCs w:val="21"/>
              </w:rPr>
              <w:t>：具有2年及以上非住宅类物业项目同岗位工作经验，获得过相关荣誉，提供近3个月本单位社保缴纳证明。</w:t>
            </w:r>
          </w:p>
        </w:tc>
        <w:tc>
          <w:tcPr>
            <w:tcW w:w="1014" w:type="pct"/>
            <w:noWrap w:val="0"/>
            <w:vAlign w:val="center"/>
          </w:tcPr>
          <w:p w14:paraId="762FF834">
            <w:pPr>
              <w:jc w:val="left"/>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8小时</w:t>
            </w:r>
            <w:r>
              <w:rPr>
                <w:rFonts w:hint="eastAsia" w:ascii="宋体" w:hAnsi="宋体" w:eastAsia="宋体" w:cs="宋体"/>
                <w:color w:val="000000"/>
                <w:kern w:val="0"/>
                <w:sz w:val="21"/>
                <w:szCs w:val="21"/>
                <w:lang w:val="en-US" w:eastAsia="zh-CN" w:bidi="ar"/>
              </w:rPr>
              <w:t>工作制</w:t>
            </w:r>
            <w:r>
              <w:rPr>
                <w:rFonts w:hint="eastAsia" w:ascii="宋体" w:hAnsi="宋体" w:eastAsia="宋体" w:cs="宋体"/>
                <w:color w:val="000000"/>
                <w:kern w:val="0"/>
                <w:sz w:val="21"/>
                <w:szCs w:val="21"/>
                <w:lang w:bidi="ar"/>
              </w:rPr>
              <w:t>，合同期内在岗率</w:t>
            </w:r>
            <w:r>
              <w:rPr>
                <w:rFonts w:hint="eastAsia" w:ascii="宋体" w:hAnsi="宋体" w:eastAsia="宋体" w:cs="宋体"/>
                <w:color w:val="000000"/>
                <w:kern w:val="0"/>
                <w:sz w:val="21"/>
                <w:szCs w:val="21"/>
                <w:lang w:val="en-US" w:eastAsia="zh-CN" w:bidi="ar"/>
              </w:rPr>
              <w:t>100%</w:t>
            </w:r>
            <w:r>
              <w:rPr>
                <w:rFonts w:hint="eastAsia" w:ascii="宋体" w:hAnsi="宋体" w:eastAsia="宋体" w:cs="宋体"/>
                <w:color w:val="000000"/>
                <w:kern w:val="0"/>
                <w:sz w:val="21"/>
                <w:szCs w:val="21"/>
                <w:lang w:bidi="ar"/>
              </w:rPr>
              <w:t>。</w:t>
            </w:r>
          </w:p>
        </w:tc>
      </w:tr>
      <w:tr w14:paraId="204D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1" w:type="pct"/>
            <w:vMerge w:val="restart"/>
            <w:noWrap w:val="0"/>
            <w:vAlign w:val="center"/>
          </w:tcPr>
          <w:p w14:paraId="5FAE9CB6">
            <w:pPr>
              <w:widowControl/>
              <w:jc w:val="center"/>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工程部</w:t>
            </w:r>
          </w:p>
        </w:tc>
        <w:tc>
          <w:tcPr>
            <w:tcW w:w="422" w:type="pct"/>
            <w:noWrap w:val="0"/>
            <w:vAlign w:val="center"/>
          </w:tcPr>
          <w:p w14:paraId="2DB3EAD1">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cs="宋体"/>
                <w:color w:val="000000"/>
                <w:kern w:val="0"/>
                <w:szCs w:val="21"/>
                <w:lang w:bidi="ar"/>
              </w:rPr>
              <w:t>主管</w:t>
            </w:r>
          </w:p>
        </w:tc>
        <w:tc>
          <w:tcPr>
            <w:tcW w:w="525" w:type="pct"/>
            <w:noWrap w:val="0"/>
            <w:vAlign w:val="center"/>
          </w:tcPr>
          <w:p w14:paraId="3831987D">
            <w:pPr>
              <w:widowControl/>
              <w:jc w:val="center"/>
              <w:textAlignment w:val="center"/>
              <w:rPr>
                <w:rFonts w:hint="eastAsia" w:ascii="宋体" w:hAnsi="宋体" w:eastAsia="宋体" w:cs="宋体"/>
                <w:color w:val="000000"/>
                <w:kern w:val="0"/>
                <w:sz w:val="21"/>
                <w:szCs w:val="21"/>
                <w:lang w:val="en-US" w:eastAsia="zh-CN" w:bidi="ar"/>
              </w:rPr>
            </w:pPr>
            <w:r>
              <w:rPr>
                <w:color w:val="000000"/>
                <w:kern w:val="0"/>
                <w:szCs w:val="21"/>
                <w:lang w:bidi="ar"/>
              </w:rPr>
              <w:t>1</w:t>
            </w:r>
          </w:p>
        </w:tc>
        <w:tc>
          <w:tcPr>
            <w:tcW w:w="620" w:type="pct"/>
            <w:noWrap w:val="0"/>
            <w:vAlign w:val="center"/>
          </w:tcPr>
          <w:p w14:paraId="0CAE4D74">
            <w:pPr>
              <w:widowControl/>
              <w:jc w:val="center"/>
              <w:textAlignment w:val="center"/>
              <w:rPr>
                <w:rFonts w:hint="eastAsia" w:ascii="宋体" w:hAnsi="宋体" w:eastAsia="宋体" w:cs="宋体"/>
                <w:color w:val="000000"/>
                <w:kern w:val="0"/>
                <w:sz w:val="21"/>
                <w:szCs w:val="21"/>
                <w:lang w:val="en-US" w:eastAsia="zh-CN" w:bidi="ar"/>
              </w:rPr>
            </w:pPr>
            <w:r>
              <w:rPr>
                <w:color w:val="000000"/>
                <w:kern w:val="0"/>
                <w:szCs w:val="21"/>
                <w:lang w:bidi="ar"/>
              </w:rPr>
              <w:t>1</w:t>
            </w:r>
          </w:p>
        </w:tc>
        <w:tc>
          <w:tcPr>
            <w:tcW w:w="1985" w:type="pct"/>
            <w:noWrap w:val="0"/>
            <w:vAlign w:val="center"/>
          </w:tcPr>
          <w:p w14:paraId="7583CB39">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sz w:val="21"/>
                <w:szCs w:val="21"/>
              </w:rPr>
              <w:t>基本素质：有责任心、事业心强、吃苦耐劳、爱岗敬业、廉洁自律，具有较强的组织管理能力和协调能力。</w:t>
            </w:r>
          </w:p>
          <w:p w14:paraId="314CB8D4">
            <w:pPr>
              <w:widowControl/>
              <w:jc w:val="both"/>
              <w:textAlignment w:val="center"/>
              <w:rPr>
                <w:rFonts w:hint="eastAsia" w:ascii="宋体" w:hAnsi="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eastAsia="zh-CN" w:bidi="ar"/>
              </w:rPr>
              <w:t>年龄</w:t>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25-35周岁。</w:t>
            </w:r>
          </w:p>
          <w:p w14:paraId="5DA3AC54">
            <w:pPr>
              <w:widowControl/>
              <w:jc w:val="both"/>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文化程度：</w:t>
            </w:r>
            <w:r>
              <w:rPr>
                <w:rFonts w:hint="eastAsia" w:ascii="宋体" w:hAnsi="宋体" w:cs="宋体"/>
                <w:color w:val="000000"/>
                <w:kern w:val="0"/>
                <w:sz w:val="21"/>
                <w:szCs w:val="21"/>
                <w:lang w:val="en-US" w:eastAsia="zh-CN" w:bidi="ar"/>
              </w:rPr>
              <w:t>大专</w:t>
            </w:r>
            <w:r>
              <w:rPr>
                <w:rFonts w:hint="eastAsia" w:ascii="宋体" w:hAnsi="宋体" w:eastAsia="宋体" w:cs="宋体"/>
                <w:color w:val="000000"/>
                <w:kern w:val="0"/>
                <w:sz w:val="21"/>
                <w:szCs w:val="21"/>
                <w:lang w:bidi="ar"/>
              </w:rPr>
              <w:t>及以上学历</w:t>
            </w:r>
            <w:r>
              <w:rPr>
                <w:rFonts w:hint="eastAsia" w:ascii="宋体" w:hAnsi="宋体" w:eastAsia="宋体" w:cs="宋体"/>
                <w:color w:val="000000"/>
                <w:kern w:val="0"/>
                <w:sz w:val="21"/>
                <w:szCs w:val="21"/>
                <w:lang w:eastAsia="zh-CN" w:bidi="ar"/>
              </w:rPr>
              <w:t>。</w:t>
            </w:r>
          </w:p>
          <w:p w14:paraId="6337314F">
            <w:pPr>
              <w:widowControl/>
              <w:jc w:val="both"/>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专业要求：</w:t>
            </w:r>
            <w:r>
              <w:rPr>
                <w:rFonts w:hint="eastAsia" w:ascii="宋体" w:hAnsi="宋体" w:cs="宋体"/>
                <w:sz w:val="22"/>
                <w:szCs w:val="21"/>
              </w:rPr>
              <w:t>物业经理（高级），</w:t>
            </w:r>
            <w:r>
              <w:rPr>
                <w:rFonts w:hint="eastAsia" w:ascii="宋体" w:hAnsi="宋体" w:eastAsia="宋体" w:cs="宋体"/>
                <w:sz w:val="21"/>
                <w:szCs w:val="21"/>
              </w:rPr>
              <w:t>提供</w:t>
            </w:r>
            <w:r>
              <w:rPr>
                <w:rFonts w:hint="eastAsia" w:ascii="宋体" w:hAnsi="宋体" w:cs="宋体"/>
                <w:sz w:val="21"/>
                <w:szCs w:val="21"/>
                <w:lang w:val="en-US" w:eastAsia="zh-CN"/>
              </w:rPr>
              <w:t>有效期内</w:t>
            </w:r>
            <w:r>
              <w:rPr>
                <w:rFonts w:hint="eastAsia" w:ascii="宋体" w:hAnsi="宋体" w:eastAsia="宋体" w:cs="宋体"/>
                <w:sz w:val="21"/>
                <w:szCs w:val="21"/>
              </w:rPr>
              <w:t>健康</w:t>
            </w:r>
            <w:r>
              <w:rPr>
                <w:rFonts w:hint="eastAsia" w:ascii="宋体" w:hAnsi="宋体" w:cs="宋体"/>
                <w:sz w:val="21"/>
                <w:szCs w:val="21"/>
                <w:lang w:val="en-US" w:eastAsia="zh-CN"/>
              </w:rPr>
              <w:t>证</w:t>
            </w:r>
            <w:r>
              <w:rPr>
                <w:rFonts w:hint="eastAsia" w:ascii="宋体" w:hAnsi="宋体" w:eastAsia="宋体" w:cs="宋体"/>
                <w:sz w:val="21"/>
                <w:szCs w:val="21"/>
              </w:rPr>
              <w:t>证明</w:t>
            </w:r>
            <w:r>
              <w:rPr>
                <w:rFonts w:hint="eastAsia" w:ascii="宋体" w:hAnsi="宋体" w:cs="宋体"/>
                <w:sz w:val="22"/>
                <w:szCs w:val="21"/>
              </w:rPr>
              <w:t>，持特种设备（电梯管理）证书、高（低）压电工作业证，</w:t>
            </w:r>
          </w:p>
          <w:p w14:paraId="2FB7E0E1">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经验要求</w:t>
            </w:r>
            <w:r>
              <w:rPr>
                <w:rFonts w:hint="eastAsia" w:ascii="宋体" w:hAnsi="宋体" w:eastAsia="宋体" w:cs="宋体"/>
                <w:sz w:val="21"/>
                <w:szCs w:val="21"/>
              </w:rPr>
              <w:t>：</w:t>
            </w:r>
            <w:r>
              <w:rPr>
                <w:rFonts w:hint="eastAsia" w:ascii="宋体" w:hAnsi="宋体" w:cs="宋体"/>
                <w:sz w:val="22"/>
                <w:szCs w:val="21"/>
              </w:rPr>
              <w:t>具有5年以上同岗位经验，具有较强的突发事件处理能力，获得过行业荣誉，</w:t>
            </w:r>
            <w:r>
              <w:rPr>
                <w:rFonts w:hint="eastAsia" w:ascii="宋体" w:hAnsi="宋体" w:eastAsia="宋体" w:cs="宋体"/>
                <w:sz w:val="21"/>
                <w:szCs w:val="21"/>
              </w:rPr>
              <w:t>提供近3个月本单位社保缴纳证明</w:t>
            </w:r>
            <w:r>
              <w:rPr>
                <w:rFonts w:hint="eastAsia" w:ascii="宋体" w:hAnsi="宋体" w:cs="宋体"/>
                <w:sz w:val="22"/>
                <w:szCs w:val="21"/>
              </w:rPr>
              <w:t>。</w:t>
            </w:r>
          </w:p>
        </w:tc>
        <w:tc>
          <w:tcPr>
            <w:tcW w:w="1014" w:type="pct"/>
            <w:noWrap w:val="0"/>
            <w:vAlign w:val="center"/>
          </w:tcPr>
          <w:p w14:paraId="048420BE">
            <w:pPr>
              <w:jc w:val="left"/>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8小时</w:t>
            </w:r>
            <w:r>
              <w:rPr>
                <w:rFonts w:hint="eastAsia" w:ascii="宋体" w:hAnsi="宋体" w:eastAsia="宋体" w:cs="宋体"/>
                <w:color w:val="000000"/>
                <w:kern w:val="0"/>
                <w:sz w:val="21"/>
                <w:szCs w:val="21"/>
                <w:lang w:val="en-US" w:eastAsia="zh-CN" w:bidi="ar"/>
              </w:rPr>
              <w:t>工作制</w:t>
            </w:r>
            <w:r>
              <w:rPr>
                <w:rFonts w:hint="eastAsia" w:ascii="宋体" w:hAnsi="宋体" w:eastAsia="宋体" w:cs="宋体"/>
                <w:color w:val="000000"/>
                <w:kern w:val="0"/>
                <w:sz w:val="21"/>
                <w:szCs w:val="21"/>
                <w:lang w:bidi="ar"/>
              </w:rPr>
              <w:t>，合同期内在岗率</w:t>
            </w:r>
            <w:r>
              <w:rPr>
                <w:rFonts w:hint="eastAsia" w:ascii="宋体" w:hAnsi="宋体" w:eastAsia="宋体" w:cs="宋体"/>
                <w:color w:val="000000"/>
                <w:kern w:val="0"/>
                <w:sz w:val="21"/>
                <w:szCs w:val="21"/>
                <w:lang w:val="en-US" w:eastAsia="zh-CN" w:bidi="ar"/>
              </w:rPr>
              <w:t>100%</w:t>
            </w:r>
            <w:r>
              <w:rPr>
                <w:rFonts w:hint="eastAsia" w:ascii="宋体" w:hAnsi="宋体" w:eastAsia="宋体" w:cs="宋体"/>
                <w:color w:val="000000"/>
                <w:kern w:val="0"/>
                <w:sz w:val="21"/>
                <w:szCs w:val="21"/>
                <w:lang w:bidi="ar"/>
              </w:rPr>
              <w:t>。</w:t>
            </w:r>
          </w:p>
        </w:tc>
      </w:tr>
      <w:tr w14:paraId="5CA3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1" w:type="pct"/>
            <w:vMerge w:val="continue"/>
            <w:noWrap w:val="0"/>
            <w:vAlign w:val="center"/>
          </w:tcPr>
          <w:p w14:paraId="711C76E4">
            <w:pPr>
              <w:widowControl/>
              <w:jc w:val="center"/>
              <w:textAlignment w:val="center"/>
              <w:rPr>
                <w:rFonts w:hint="eastAsia" w:ascii="宋体" w:hAnsi="宋体" w:eastAsia="宋体" w:cs="宋体"/>
                <w:color w:val="000000"/>
                <w:sz w:val="21"/>
                <w:szCs w:val="21"/>
                <w:lang w:bidi="ar-SA"/>
              </w:rPr>
            </w:pPr>
          </w:p>
        </w:tc>
        <w:tc>
          <w:tcPr>
            <w:tcW w:w="422" w:type="pct"/>
            <w:noWrap w:val="0"/>
            <w:vAlign w:val="center"/>
          </w:tcPr>
          <w:p w14:paraId="5799172C">
            <w:pPr>
              <w:widowControl/>
              <w:jc w:val="center"/>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val="en-US" w:eastAsia="zh-CN" w:bidi="ar"/>
              </w:rPr>
              <w:t>维修工</w:t>
            </w:r>
          </w:p>
        </w:tc>
        <w:tc>
          <w:tcPr>
            <w:tcW w:w="525" w:type="pct"/>
            <w:noWrap w:val="0"/>
            <w:vAlign w:val="center"/>
          </w:tcPr>
          <w:p w14:paraId="034EEC98">
            <w:pPr>
              <w:widowControl/>
              <w:jc w:val="center"/>
              <w:textAlignment w:val="center"/>
              <w:rPr>
                <w:rFonts w:hint="eastAsia" w:ascii="宋体" w:hAnsi="宋体" w:eastAsia="宋体" w:cs="宋体"/>
                <w:color w:val="000000"/>
                <w:sz w:val="21"/>
                <w:szCs w:val="21"/>
                <w:lang w:bidi="ar-SA"/>
              </w:rPr>
            </w:pPr>
            <w:r>
              <w:rPr>
                <w:rFonts w:hint="eastAsia" w:ascii="宋体" w:hAnsi="宋体" w:cs="宋体"/>
                <w:color w:val="000000"/>
                <w:kern w:val="0"/>
                <w:sz w:val="21"/>
                <w:szCs w:val="21"/>
                <w:lang w:val="en-US" w:eastAsia="zh-CN" w:bidi="ar"/>
              </w:rPr>
              <w:t>3</w:t>
            </w:r>
          </w:p>
        </w:tc>
        <w:tc>
          <w:tcPr>
            <w:tcW w:w="620" w:type="pct"/>
            <w:noWrap w:val="0"/>
            <w:vAlign w:val="center"/>
          </w:tcPr>
          <w:p w14:paraId="3BD99ABA">
            <w:pPr>
              <w:widowControl/>
              <w:jc w:val="center"/>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val="en-US" w:eastAsia="zh-CN" w:bidi="ar"/>
              </w:rPr>
              <w:t>5</w:t>
            </w:r>
          </w:p>
        </w:tc>
        <w:tc>
          <w:tcPr>
            <w:tcW w:w="1985" w:type="pct"/>
            <w:noWrap w:val="0"/>
            <w:vAlign w:val="center"/>
          </w:tcPr>
          <w:p w14:paraId="260F7B7E">
            <w:pPr>
              <w:widowControl/>
              <w:jc w:val="both"/>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sz w:val="21"/>
                <w:szCs w:val="21"/>
              </w:rPr>
              <w:t>基本素质：有责任心、事业心强、吃苦耐劳、爱岗敬业、廉洁自律，具有较强的组织管理能力和协调能力。</w:t>
            </w:r>
          </w:p>
          <w:p w14:paraId="6BEC0BAA">
            <w:pPr>
              <w:widowControl/>
              <w:jc w:val="both"/>
              <w:textAlignment w:val="center"/>
              <w:rPr>
                <w:rFonts w:hint="eastAsia" w:ascii="宋体" w:hAnsi="宋体" w:cs="宋体"/>
                <w:sz w:val="22"/>
                <w:szCs w:val="21"/>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eastAsia="zh-CN" w:bidi="ar"/>
              </w:rPr>
              <w:t>年龄</w:t>
            </w:r>
            <w:r>
              <w:rPr>
                <w:rFonts w:hint="eastAsia" w:ascii="宋体" w:hAnsi="宋体" w:eastAsia="宋体" w:cs="宋体"/>
                <w:color w:val="000000"/>
                <w:kern w:val="0"/>
                <w:sz w:val="21"/>
                <w:szCs w:val="21"/>
                <w:lang w:bidi="ar"/>
              </w:rPr>
              <w:t>：</w:t>
            </w:r>
            <w:r>
              <w:rPr>
                <w:rFonts w:hint="eastAsia" w:ascii="宋体" w:hAnsi="宋体" w:cs="宋体"/>
                <w:sz w:val="22"/>
                <w:szCs w:val="21"/>
              </w:rPr>
              <w:t>≤</w:t>
            </w:r>
            <w:r>
              <w:rPr>
                <w:rFonts w:hint="eastAsia" w:ascii="宋体" w:hAnsi="宋体" w:cs="宋体"/>
                <w:sz w:val="22"/>
                <w:szCs w:val="21"/>
                <w:lang w:val="en-US" w:eastAsia="zh-CN"/>
              </w:rPr>
              <w:t>60</w:t>
            </w:r>
            <w:r>
              <w:rPr>
                <w:rFonts w:hint="eastAsia" w:ascii="宋体" w:hAnsi="宋体" w:cs="宋体"/>
                <w:sz w:val="22"/>
                <w:szCs w:val="21"/>
              </w:rPr>
              <w:t>岁</w:t>
            </w:r>
          </w:p>
          <w:p w14:paraId="0E40E3DA">
            <w:pPr>
              <w:widowControl/>
              <w:jc w:val="both"/>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文化程度：</w:t>
            </w:r>
            <w:r>
              <w:rPr>
                <w:rFonts w:hint="eastAsia" w:ascii="宋体" w:hAnsi="宋体" w:eastAsia="宋体" w:cs="宋体"/>
                <w:color w:val="000000"/>
                <w:kern w:val="0"/>
                <w:sz w:val="21"/>
                <w:szCs w:val="21"/>
                <w:lang w:val="en-US" w:eastAsia="zh-CN" w:bidi="ar"/>
              </w:rPr>
              <w:t>初中</w:t>
            </w:r>
            <w:r>
              <w:rPr>
                <w:rFonts w:hint="eastAsia" w:ascii="宋体" w:hAnsi="宋体" w:eastAsia="宋体" w:cs="宋体"/>
                <w:color w:val="000000"/>
                <w:kern w:val="0"/>
                <w:sz w:val="21"/>
                <w:szCs w:val="21"/>
                <w:lang w:bidi="ar"/>
              </w:rPr>
              <w:t>及以上学历</w:t>
            </w:r>
            <w:r>
              <w:rPr>
                <w:rFonts w:hint="eastAsia" w:ascii="宋体" w:hAnsi="宋体" w:eastAsia="宋体" w:cs="宋体"/>
                <w:color w:val="000000"/>
                <w:kern w:val="0"/>
                <w:sz w:val="21"/>
                <w:szCs w:val="21"/>
                <w:lang w:eastAsia="zh-CN" w:bidi="ar"/>
              </w:rPr>
              <w:t>。</w:t>
            </w:r>
          </w:p>
          <w:p w14:paraId="311FF062">
            <w:pPr>
              <w:widowControl/>
              <w:jc w:val="both"/>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专业要求：</w:t>
            </w:r>
            <w:r>
              <w:rPr>
                <w:rFonts w:hint="eastAsia" w:ascii="宋体" w:hAnsi="宋体" w:eastAsia="宋体" w:cs="宋体"/>
                <w:sz w:val="21"/>
                <w:szCs w:val="21"/>
              </w:rPr>
              <w:t>熟悉电气设备、照明设备、弱电系统维修保养流程，熟悉给排水的维修保养流程，持应急管理部门所发的《特种作业操作证》，熟练运用各种维修工具。</w:t>
            </w:r>
          </w:p>
          <w:p w14:paraId="0C6CA740">
            <w:pPr>
              <w:widowControl/>
              <w:jc w:val="both"/>
              <w:textAlignment w:val="center"/>
              <w:rPr>
                <w:rFonts w:hint="eastAsia" w:ascii="宋体" w:hAnsi="宋体" w:eastAsia="宋体" w:cs="宋体"/>
                <w:color w:val="000000"/>
                <w:sz w:val="21"/>
                <w:szCs w:val="21"/>
                <w:lang w:eastAsia="zh-CN" w:bidi="ar-SA"/>
              </w:rPr>
            </w:pP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经验要求</w:t>
            </w:r>
            <w:r>
              <w:rPr>
                <w:rFonts w:hint="eastAsia" w:ascii="宋体" w:hAnsi="宋体" w:eastAsia="宋体" w:cs="宋体"/>
                <w:sz w:val="21"/>
                <w:szCs w:val="21"/>
              </w:rPr>
              <w:t>：具备电工、工程机械维修工、智能楼宇管理员、制冷设备维修工岗位等级证书的优先考虑。</w:t>
            </w:r>
          </w:p>
        </w:tc>
        <w:tc>
          <w:tcPr>
            <w:tcW w:w="1014" w:type="pct"/>
            <w:noWrap w:val="0"/>
            <w:vAlign w:val="center"/>
          </w:tcPr>
          <w:p w14:paraId="46CB60E7">
            <w:pPr>
              <w:jc w:val="left"/>
              <w:rPr>
                <w:rFonts w:hint="eastAsia" w:ascii="宋体" w:hAnsi="宋体" w:cs="宋体"/>
                <w:color w:val="000000"/>
                <w:sz w:val="21"/>
                <w:szCs w:val="21"/>
                <w:lang w:val="en-US" w:eastAsia="zh-CN" w:bidi="ar-SA"/>
              </w:rPr>
            </w:pPr>
            <w:r>
              <w:rPr>
                <w:rFonts w:hint="eastAsia" w:ascii="宋体" w:hAnsi="宋体" w:cs="宋体"/>
                <w:color w:val="000000"/>
                <w:sz w:val="21"/>
                <w:szCs w:val="21"/>
                <w:lang w:val="en-US" w:eastAsia="zh-CN" w:bidi="ar-SA"/>
              </w:rPr>
              <w:t>3人12小时工作制</w:t>
            </w:r>
          </w:p>
          <w:p w14:paraId="79C5EFC7">
            <w:pPr>
              <w:jc w:val="left"/>
              <w:rPr>
                <w:rFonts w:hint="eastAsia" w:ascii="宋体" w:hAnsi="宋体" w:cs="宋体"/>
                <w:color w:val="000000"/>
                <w:sz w:val="21"/>
                <w:szCs w:val="21"/>
                <w:lang w:val="en-US" w:eastAsia="zh-CN" w:bidi="ar-SA"/>
              </w:rPr>
            </w:pPr>
            <w:r>
              <w:rPr>
                <w:rFonts w:hint="eastAsia" w:ascii="宋体" w:hAnsi="宋体" w:cs="宋体"/>
                <w:color w:val="000000"/>
                <w:sz w:val="21"/>
                <w:szCs w:val="21"/>
                <w:lang w:val="en-US" w:eastAsia="zh-CN" w:bidi="ar-SA"/>
              </w:rPr>
              <w:t>8：00-20:00；</w:t>
            </w:r>
          </w:p>
          <w:p w14:paraId="7AB38DFE">
            <w:pPr>
              <w:jc w:val="left"/>
              <w:rPr>
                <w:rFonts w:hint="eastAsia" w:ascii="宋体" w:hAnsi="宋体" w:cs="宋体"/>
                <w:color w:val="000000"/>
                <w:sz w:val="21"/>
                <w:szCs w:val="21"/>
                <w:lang w:val="en-US" w:eastAsia="zh-CN" w:bidi="ar-SA"/>
              </w:rPr>
            </w:pPr>
            <w:r>
              <w:rPr>
                <w:rFonts w:hint="eastAsia" w:ascii="宋体" w:hAnsi="宋体" w:cs="宋体"/>
                <w:color w:val="000000"/>
                <w:sz w:val="21"/>
                <w:szCs w:val="21"/>
                <w:lang w:val="en-US" w:eastAsia="zh-CN" w:bidi="ar-SA"/>
              </w:rPr>
              <w:t>2人8小时工作制，</w:t>
            </w:r>
            <w:r>
              <w:rPr>
                <w:rFonts w:hint="eastAsia" w:ascii="宋体" w:hAnsi="宋体" w:eastAsia="宋体" w:cs="宋体"/>
                <w:color w:val="000000"/>
                <w:kern w:val="0"/>
                <w:sz w:val="21"/>
                <w:szCs w:val="21"/>
                <w:lang w:bidi="ar"/>
              </w:rPr>
              <w:t>合同期内在岗率</w:t>
            </w:r>
            <w:r>
              <w:rPr>
                <w:rFonts w:hint="eastAsia" w:ascii="宋体" w:hAnsi="宋体" w:eastAsia="宋体" w:cs="宋体"/>
                <w:color w:val="000000"/>
                <w:kern w:val="0"/>
                <w:sz w:val="21"/>
                <w:szCs w:val="21"/>
                <w:lang w:val="en-US" w:eastAsia="zh-CN" w:bidi="ar"/>
              </w:rPr>
              <w:t>100%</w:t>
            </w:r>
            <w:r>
              <w:rPr>
                <w:rFonts w:hint="eastAsia" w:ascii="宋体" w:hAnsi="宋体" w:eastAsia="宋体" w:cs="宋体"/>
                <w:color w:val="000000"/>
                <w:kern w:val="0"/>
                <w:sz w:val="21"/>
                <w:szCs w:val="21"/>
                <w:lang w:bidi="ar"/>
              </w:rPr>
              <w:t>。</w:t>
            </w:r>
          </w:p>
          <w:p w14:paraId="212D7A86">
            <w:pPr>
              <w:jc w:val="left"/>
              <w:rPr>
                <w:rFonts w:hint="default" w:ascii="宋体" w:hAnsi="宋体" w:cs="宋体"/>
                <w:color w:val="000000"/>
                <w:sz w:val="21"/>
                <w:szCs w:val="21"/>
                <w:lang w:val="en-US" w:eastAsia="zh-CN" w:bidi="ar-SA"/>
              </w:rPr>
            </w:pPr>
          </w:p>
        </w:tc>
      </w:tr>
      <w:tr w14:paraId="5124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1" w:type="pct"/>
            <w:vMerge w:val="restart"/>
            <w:noWrap w:val="0"/>
            <w:vAlign w:val="center"/>
          </w:tcPr>
          <w:p w14:paraId="1E0085A2">
            <w:pPr>
              <w:widowControl/>
              <w:jc w:val="center"/>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保洁绿化部</w:t>
            </w:r>
          </w:p>
        </w:tc>
        <w:tc>
          <w:tcPr>
            <w:tcW w:w="422" w:type="pct"/>
            <w:noWrap w:val="0"/>
            <w:vAlign w:val="center"/>
          </w:tcPr>
          <w:p w14:paraId="75F74E7E">
            <w:pPr>
              <w:widowControl/>
              <w:jc w:val="center"/>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主管</w:t>
            </w:r>
          </w:p>
        </w:tc>
        <w:tc>
          <w:tcPr>
            <w:tcW w:w="525" w:type="pct"/>
            <w:noWrap w:val="0"/>
            <w:vAlign w:val="center"/>
          </w:tcPr>
          <w:p w14:paraId="2606AB4A">
            <w:pPr>
              <w:widowControl/>
              <w:jc w:val="center"/>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val="en-US" w:eastAsia="zh-CN" w:bidi="ar"/>
              </w:rPr>
              <w:t>1</w:t>
            </w:r>
          </w:p>
        </w:tc>
        <w:tc>
          <w:tcPr>
            <w:tcW w:w="620" w:type="pct"/>
            <w:noWrap w:val="0"/>
            <w:vAlign w:val="center"/>
          </w:tcPr>
          <w:p w14:paraId="72C8C64F">
            <w:pPr>
              <w:widowControl/>
              <w:jc w:val="center"/>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val="en-US" w:eastAsia="zh-CN" w:bidi="ar"/>
              </w:rPr>
              <w:t>1</w:t>
            </w:r>
          </w:p>
        </w:tc>
        <w:tc>
          <w:tcPr>
            <w:tcW w:w="1985" w:type="pct"/>
            <w:noWrap w:val="0"/>
            <w:vAlign w:val="center"/>
          </w:tcPr>
          <w:p w14:paraId="19BE5414">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sz w:val="21"/>
                <w:szCs w:val="21"/>
              </w:rPr>
              <w:t>基本素质：有责任心、事业心强、吃苦耐劳、爱岗敬业、廉洁自律，具有较强的组织管理能力和协调能力。</w:t>
            </w:r>
          </w:p>
          <w:p w14:paraId="208EEFC7">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eastAsia="zh-CN" w:bidi="ar"/>
              </w:rPr>
              <w:t>年龄</w:t>
            </w:r>
            <w:r>
              <w:rPr>
                <w:rFonts w:hint="eastAsia" w:ascii="宋体" w:hAnsi="宋体" w:eastAsia="宋体" w:cs="宋体"/>
                <w:color w:val="000000"/>
                <w:kern w:val="0"/>
                <w:sz w:val="21"/>
                <w:szCs w:val="21"/>
                <w:lang w:bidi="ar"/>
              </w:rPr>
              <w:t>：</w:t>
            </w:r>
            <w:r>
              <w:rPr>
                <w:rFonts w:hint="eastAsia" w:ascii="宋体" w:hAnsi="宋体" w:eastAsia="宋体" w:cs="宋体"/>
                <w:sz w:val="21"/>
                <w:szCs w:val="21"/>
                <w:lang w:val="en-US" w:eastAsia="zh-CN"/>
              </w:rPr>
              <w:t>35-40周</w:t>
            </w:r>
            <w:r>
              <w:rPr>
                <w:rFonts w:hint="eastAsia" w:ascii="宋体" w:hAnsi="宋体" w:eastAsia="宋体" w:cs="宋体"/>
                <w:sz w:val="21"/>
                <w:szCs w:val="21"/>
              </w:rPr>
              <w:t>岁</w:t>
            </w:r>
            <w:r>
              <w:rPr>
                <w:rFonts w:hint="eastAsia" w:ascii="宋体" w:hAnsi="宋体" w:eastAsia="宋体" w:cs="宋体"/>
                <w:sz w:val="21"/>
                <w:szCs w:val="21"/>
                <w:lang w:eastAsia="zh-CN"/>
              </w:rPr>
              <w:t>。</w:t>
            </w:r>
          </w:p>
          <w:p w14:paraId="4DD37ACA">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文化程度：</w:t>
            </w:r>
            <w:r>
              <w:rPr>
                <w:rFonts w:hint="eastAsia" w:ascii="宋体" w:hAnsi="宋体" w:eastAsia="宋体" w:cs="宋体"/>
                <w:color w:val="000000"/>
                <w:kern w:val="0"/>
                <w:sz w:val="21"/>
                <w:szCs w:val="21"/>
                <w:lang w:val="en-US" w:eastAsia="zh-CN" w:bidi="ar"/>
              </w:rPr>
              <w:t>本科</w:t>
            </w:r>
            <w:r>
              <w:rPr>
                <w:rFonts w:hint="eastAsia" w:ascii="宋体" w:hAnsi="宋体" w:eastAsia="宋体" w:cs="宋体"/>
                <w:color w:val="000000"/>
                <w:kern w:val="0"/>
                <w:sz w:val="21"/>
                <w:szCs w:val="21"/>
                <w:lang w:bidi="ar"/>
              </w:rPr>
              <w:t>及以上学历</w:t>
            </w:r>
            <w:r>
              <w:rPr>
                <w:rFonts w:hint="eastAsia" w:ascii="宋体" w:hAnsi="宋体" w:eastAsia="宋体" w:cs="宋体"/>
                <w:color w:val="000000"/>
                <w:kern w:val="0"/>
                <w:sz w:val="21"/>
                <w:szCs w:val="21"/>
                <w:lang w:eastAsia="zh-CN" w:bidi="ar"/>
              </w:rPr>
              <w:t>。</w:t>
            </w:r>
          </w:p>
          <w:p w14:paraId="234DCE54">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专业要求：</w:t>
            </w:r>
            <w:r>
              <w:rPr>
                <w:rFonts w:hint="eastAsia" w:ascii="宋体" w:hAnsi="宋体" w:eastAsia="宋体" w:cs="宋体"/>
                <w:sz w:val="21"/>
                <w:szCs w:val="21"/>
              </w:rPr>
              <w:t>物业经理（中级）及以上，提供</w:t>
            </w:r>
            <w:r>
              <w:rPr>
                <w:rFonts w:hint="eastAsia" w:ascii="宋体" w:hAnsi="宋体" w:cs="宋体"/>
                <w:sz w:val="21"/>
                <w:szCs w:val="21"/>
                <w:lang w:val="en-US" w:eastAsia="zh-CN"/>
              </w:rPr>
              <w:t>有效期内</w:t>
            </w:r>
            <w:r>
              <w:rPr>
                <w:rFonts w:hint="eastAsia" w:ascii="宋体" w:hAnsi="宋体" w:eastAsia="宋体" w:cs="宋体"/>
                <w:sz w:val="21"/>
                <w:szCs w:val="21"/>
              </w:rPr>
              <w:t>健康</w:t>
            </w:r>
            <w:r>
              <w:rPr>
                <w:rFonts w:hint="eastAsia" w:ascii="宋体" w:hAnsi="宋体" w:cs="宋体"/>
                <w:sz w:val="21"/>
                <w:szCs w:val="21"/>
                <w:lang w:val="en-US" w:eastAsia="zh-CN"/>
              </w:rPr>
              <w:t>证</w:t>
            </w:r>
            <w:r>
              <w:rPr>
                <w:rFonts w:hint="eastAsia" w:ascii="宋体" w:hAnsi="宋体" w:eastAsia="宋体" w:cs="宋体"/>
                <w:sz w:val="21"/>
                <w:szCs w:val="21"/>
              </w:rPr>
              <w:t>证明，持垃圾分类、物业设施操作等相关证书，具有企业人力资源管理师三级及以上职业资格（或职业技能等级）证书的，具有运行</w:t>
            </w:r>
            <w:r>
              <w:rPr>
                <w:rFonts w:hint="eastAsia" w:ascii="宋体" w:hAnsi="宋体" w:cs="宋体"/>
                <w:sz w:val="21"/>
                <w:szCs w:val="21"/>
                <w:lang w:val="en-US" w:eastAsia="zh-CN"/>
              </w:rPr>
              <w:t>GB/T</w:t>
            </w:r>
            <w:r>
              <w:rPr>
                <w:rFonts w:hint="eastAsia" w:ascii="宋体" w:hAnsi="宋体" w:eastAsia="宋体" w:cs="宋体"/>
                <w:sz w:val="21"/>
                <w:szCs w:val="21"/>
              </w:rPr>
              <w:t>管理体系的经历。</w:t>
            </w:r>
          </w:p>
          <w:p w14:paraId="1C2EEA99">
            <w:pPr>
              <w:jc w:val="left"/>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经验要求：</w:t>
            </w:r>
            <w:r>
              <w:rPr>
                <w:rFonts w:hint="eastAsia" w:ascii="宋体" w:hAnsi="宋体" w:eastAsia="宋体" w:cs="宋体"/>
                <w:sz w:val="21"/>
                <w:szCs w:val="21"/>
              </w:rPr>
              <w:t>担任过总建筑面积不小于本项目规模的高校、政府机关等相关非住宅物业的主管或负责人且有2年以上经验，获得过行业荣誉，提供近3个月本单位社保缴纳证明。</w:t>
            </w:r>
          </w:p>
        </w:tc>
        <w:tc>
          <w:tcPr>
            <w:tcW w:w="1014" w:type="pct"/>
            <w:noWrap w:val="0"/>
            <w:vAlign w:val="center"/>
          </w:tcPr>
          <w:p w14:paraId="270F0474">
            <w:pPr>
              <w:jc w:val="left"/>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8小时</w:t>
            </w:r>
            <w:r>
              <w:rPr>
                <w:rFonts w:hint="eastAsia" w:ascii="宋体" w:hAnsi="宋体" w:eastAsia="宋体" w:cs="宋体"/>
                <w:color w:val="000000"/>
                <w:kern w:val="0"/>
                <w:sz w:val="21"/>
                <w:szCs w:val="21"/>
                <w:lang w:val="en-US" w:eastAsia="zh-CN" w:bidi="ar"/>
              </w:rPr>
              <w:t>工作制</w:t>
            </w:r>
            <w:r>
              <w:rPr>
                <w:rFonts w:hint="eastAsia" w:ascii="宋体" w:hAnsi="宋体" w:eastAsia="宋体" w:cs="宋体"/>
                <w:color w:val="000000"/>
                <w:kern w:val="0"/>
                <w:sz w:val="21"/>
                <w:szCs w:val="21"/>
                <w:lang w:bidi="ar"/>
              </w:rPr>
              <w:t>，合同期内在岗率</w:t>
            </w:r>
            <w:r>
              <w:rPr>
                <w:rFonts w:hint="eastAsia" w:ascii="宋体" w:hAnsi="宋体" w:eastAsia="宋体" w:cs="宋体"/>
                <w:color w:val="000000"/>
                <w:kern w:val="0"/>
                <w:sz w:val="21"/>
                <w:szCs w:val="21"/>
                <w:lang w:val="en-US" w:eastAsia="zh-CN" w:bidi="ar"/>
              </w:rPr>
              <w:t>100%</w:t>
            </w:r>
            <w:r>
              <w:rPr>
                <w:rFonts w:hint="eastAsia" w:ascii="宋体" w:hAnsi="宋体" w:eastAsia="宋体" w:cs="宋体"/>
                <w:color w:val="000000"/>
                <w:kern w:val="0"/>
                <w:sz w:val="21"/>
                <w:szCs w:val="21"/>
                <w:lang w:bidi="ar"/>
              </w:rPr>
              <w:t>。</w:t>
            </w:r>
          </w:p>
        </w:tc>
      </w:tr>
      <w:tr w14:paraId="43B8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1" w:type="pct"/>
            <w:vMerge w:val="continue"/>
            <w:noWrap w:val="0"/>
            <w:vAlign w:val="center"/>
          </w:tcPr>
          <w:p w14:paraId="021929E2">
            <w:pPr>
              <w:rPr>
                <w:rFonts w:hint="eastAsia" w:ascii="宋体" w:hAnsi="宋体" w:eastAsia="宋体" w:cs="宋体"/>
                <w:sz w:val="21"/>
                <w:szCs w:val="21"/>
              </w:rPr>
            </w:pPr>
          </w:p>
        </w:tc>
        <w:tc>
          <w:tcPr>
            <w:tcW w:w="422" w:type="pct"/>
            <w:noWrap w:val="0"/>
            <w:vAlign w:val="center"/>
          </w:tcPr>
          <w:p w14:paraId="71A94AE6">
            <w:pPr>
              <w:widowControl/>
              <w:jc w:val="center"/>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卫生清洁及垃圾分类人员</w:t>
            </w:r>
          </w:p>
        </w:tc>
        <w:tc>
          <w:tcPr>
            <w:tcW w:w="525" w:type="pct"/>
            <w:noWrap w:val="0"/>
            <w:vAlign w:val="center"/>
          </w:tcPr>
          <w:p w14:paraId="2222DDE0">
            <w:pPr>
              <w:jc w:val="center"/>
              <w:rPr>
                <w:rFonts w:hint="default" w:ascii="宋体" w:hAnsi="宋体" w:eastAsia="宋体" w:cs="宋体"/>
                <w:color w:val="000000"/>
                <w:sz w:val="21"/>
                <w:szCs w:val="21"/>
                <w:lang w:val="en-US" w:eastAsia="zh-CN" w:bidi="ar-SA"/>
              </w:rPr>
            </w:pPr>
            <w:r>
              <w:rPr>
                <w:rFonts w:hint="eastAsia" w:ascii="宋体" w:hAnsi="宋体" w:cs="宋体"/>
                <w:color w:val="000000"/>
                <w:sz w:val="21"/>
                <w:szCs w:val="21"/>
                <w:lang w:val="en-US" w:eastAsia="zh-CN" w:bidi="ar-SA"/>
              </w:rPr>
              <w:t>40</w:t>
            </w:r>
          </w:p>
        </w:tc>
        <w:tc>
          <w:tcPr>
            <w:tcW w:w="620" w:type="pct"/>
            <w:noWrap w:val="0"/>
            <w:vAlign w:val="center"/>
          </w:tcPr>
          <w:p w14:paraId="43A3E213">
            <w:pPr>
              <w:widowControl/>
              <w:jc w:val="center"/>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val="en-US" w:eastAsia="zh-CN" w:bidi="ar"/>
              </w:rPr>
              <w:t>44</w:t>
            </w:r>
          </w:p>
        </w:tc>
        <w:tc>
          <w:tcPr>
            <w:tcW w:w="1985" w:type="pct"/>
            <w:noWrap w:val="0"/>
            <w:vAlign w:val="center"/>
          </w:tcPr>
          <w:p w14:paraId="735A3BB6">
            <w:pPr>
              <w:keepNext w:val="0"/>
              <w:keepLines w:val="0"/>
              <w:pageBreakBefore w:val="0"/>
              <w:widowControl/>
              <w:numPr>
                <w:ilvl w:val="0"/>
                <w:numId w:val="15"/>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年龄：女，40-55周岁；男，45-60周岁</w:t>
            </w:r>
            <w:r>
              <w:rPr>
                <w:rFonts w:hint="eastAsia" w:ascii="宋体" w:hAnsi="宋体" w:cs="宋体"/>
                <w:color w:val="000000"/>
                <w:kern w:val="0"/>
                <w:sz w:val="21"/>
                <w:szCs w:val="21"/>
                <w:lang w:val="en-US" w:eastAsia="zh-CN" w:bidi="ar"/>
              </w:rPr>
              <w:t>。</w:t>
            </w:r>
          </w:p>
          <w:p w14:paraId="1F5CA56E">
            <w:pPr>
              <w:keepNext w:val="0"/>
              <w:keepLines w:val="0"/>
              <w:pageBreakBefore w:val="0"/>
              <w:widowControl/>
              <w:numPr>
                <w:ilvl w:val="0"/>
                <w:numId w:val="15"/>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文化程度：初中及以上学历。</w:t>
            </w:r>
          </w:p>
          <w:p w14:paraId="47561B31">
            <w:pPr>
              <w:keepNext w:val="0"/>
              <w:keepLines w:val="0"/>
              <w:pageBreakBefore w:val="0"/>
              <w:widowControl/>
              <w:numPr>
                <w:ilvl w:val="0"/>
                <w:numId w:val="15"/>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sz w:val="21"/>
                <w:szCs w:val="21"/>
                <w:lang w:eastAsia="zh-CN"/>
              </w:rPr>
            </w:pPr>
            <w:r>
              <w:rPr>
                <w:rFonts w:hint="eastAsia" w:ascii="宋体" w:hAnsi="宋体" w:eastAsia="宋体" w:cs="宋体"/>
                <w:color w:val="000000"/>
                <w:kern w:val="0"/>
                <w:sz w:val="21"/>
                <w:szCs w:val="21"/>
                <w:lang w:val="en-US" w:eastAsia="zh-CN" w:bidi="ar"/>
              </w:rPr>
              <w:t>专业要求：身体健康，五官端正，熟悉本岗位相关保洁工作流程及操作规范，能吃苦耐劳，具有团队协作，责任心强。其中，垃圾分类人员应能够正确解读上海垃圾分类政策，熟悉消毒防控各项工作流程。</w:t>
            </w:r>
          </w:p>
        </w:tc>
        <w:tc>
          <w:tcPr>
            <w:tcW w:w="1014" w:type="pct"/>
            <w:noWrap w:val="0"/>
            <w:vAlign w:val="center"/>
          </w:tcPr>
          <w:p w14:paraId="3B7004A1">
            <w:pPr>
              <w:widowControl/>
              <w:jc w:val="left"/>
              <w:textAlignment w:val="center"/>
              <w:rPr>
                <w:rFonts w:hint="eastAsia" w:ascii="宋体" w:hAnsi="宋体" w:cs="宋体"/>
                <w:color w:val="000000"/>
                <w:sz w:val="21"/>
                <w:szCs w:val="21"/>
                <w:lang w:val="en-US" w:eastAsia="zh-CN" w:bidi="ar-SA"/>
              </w:rPr>
            </w:pPr>
            <w:r>
              <w:rPr>
                <w:rFonts w:hint="eastAsia" w:ascii="宋体" w:hAnsi="宋体" w:cs="宋体"/>
                <w:color w:val="000000"/>
                <w:sz w:val="21"/>
                <w:szCs w:val="21"/>
                <w:lang w:val="en-US" w:eastAsia="zh-CN" w:bidi="ar-SA"/>
              </w:rPr>
              <w:t>内保洁：周一至周日07:00-15:00；</w:t>
            </w:r>
          </w:p>
          <w:p w14:paraId="50B94265">
            <w:pPr>
              <w:widowControl/>
              <w:jc w:val="left"/>
              <w:textAlignment w:val="center"/>
              <w:rPr>
                <w:rFonts w:hint="eastAsia" w:ascii="宋体" w:hAnsi="宋体" w:cs="宋体"/>
                <w:color w:val="000000"/>
                <w:sz w:val="21"/>
                <w:szCs w:val="21"/>
                <w:lang w:val="en-US" w:eastAsia="zh-CN" w:bidi="ar-SA"/>
              </w:rPr>
            </w:pPr>
            <w:r>
              <w:rPr>
                <w:rFonts w:hint="eastAsia" w:ascii="宋体" w:hAnsi="宋体" w:cs="宋体"/>
                <w:color w:val="000000"/>
                <w:sz w:val="21"/>
                <w:szCs w:val="21"/>
                <w:lang w:val="en-US" w:eastAsia="zh-CN" w:bidi="ar-SA"/>
              </w:rPr>
              <w:t>外保洁、垃圾分类：周一至周日</w:t>
            </w:r>
          </w:p>
          <w:p w14:paraId="00DF6861">
            <w:pPr>
              <w:widowControl/>
              <w:jc w:val="left"/>
              <w:textAlignment w:val="center"/>
              <w:rPr>
                <w:rFonts w:hint="eastAsia" w:ascii="宋体" w:hAnsi="宋体" w:cs="宋体"/>
                <w:color w:val="000000"/>
                <w:sz w:val="21"/>
                <w:szCs w:val="21"/>
                <w:lang w:val="en-US" w:eastAsia="zh-CN" w:bidi="ar-SA"/>
              </w:rPr>
            </w:pPr>
            <w:r>
              <w:rPr>
                <w:rFonts w:hint="eastAsia" w:ascii="宋体" w:hAnsi="宋体" w:cs="宋体"/>
                <w:color w:val="000000"/>
                <w:sz w:val="21"/>
                <w:szCs w:val="21"/>
                <w:lang w:val="en-US" w:eastAsia="zh-CN" w:bidi="ar-SA"/>
              </w:rPr>
              <w:t>07:00-19:00；</w:t>
            </w:r>
          </w:p>
          <w:p w14:paraId="2F3E3D5B">
            <w:pPr>
              <w:widowControl/>
              <w:jc w:val="left"/>
              <w:textAlignment w:val="center"/>
              <w:rPr>
                <w:rFonts w:hint="eastAsia" w:ascii="宋体" w:hAnsi="宋体" w:cs="宋体"/>
                <w:color w:val="000000"/>
                <w:sz w:val="21"/>
                <w:szCs w:val="21"/>
                <w:lang w:val="en-US" w:eastAsia="zh-CN" w:bidi="ar-SA"/>
              </w:rPr>
            </w:pPr>
            <w:r>
              <w:rPr>
                <w:rFonts w:hint="eastAsia" w:ascii="宋体" w:hAnsi="宋体" w:cs="宋体"/>
                <w:color w:val="000000"/>
                <w:sz w:val="21"/>
                <w:szCs w:val="21"/>
                <w:lang w:val="en-US" w:eastAsia="zh-CN" w:bidi="ar-SA"/>
              </w:rPr>
              <w:t>浴室管理员：</w:t>
            </w:r>
          </w:p>
          <w:p w14:paraId="1243A1EA">
            <w:pPr>
              <w:widowControl/>
              <w:jc w:val="left"/>
              <w:textAlignment w:val="center"/>
              <w:rPr>
                <w:rFonts w:hint="eastAsia" w:ascii="宋体" w:hAnsi="宋体" w:cs="宋体"/>
                <w:color w:val="000000"/>
                <w:sz w:val="21"/>
                <w:szCs w:val="21"/>
                <w:lang w:val="en-US" w:eastAsia="zh-CN" w:bidi="ar-SA"/>
              </w:rPr>
            </w:pPr>
            <w:r>
              <w:rPr>
                <w:rFonts w:hint="eastAsia" w:ascii="宋体" w:hAnsi="宋体" w:cs="宋体"/>
                <w:color w:val="000000"/>
                <w:sz w:val="21"/>
                <w:szCs w:val="21"/>
                <w:lang w:val="en-US" w:eastAsia="zh-CN" w:bidi="ar-SA"/>
              </w:rPr>
              <w:t>周一至周日</w:t>
            </w:r>
          </w:p>
          <w:p w14:paraId="667A9B2C">
            <w:pPr>
              <w:widowControl/>
              <w:jc w:val="left"/>
              <w:textAlignment w:val="center"/>
              <w:rPr>
                <w:rFonts w:hint="eastAsia" w:ascii="宋体" w:hAnsi="宋体" w:cs="宋体"/>
                <w:color w:val="000000"/>
                <w:sz w:val="21"/>
                <w:szCs w:val="21"/>
                <w:lang w:val="en-US" w:eastAsia="zh-CN" w:bidi="ar-SA"/>
              </w:rPr>
            </w:pPr>
            <w:r>
              <w:rPr>
                <w:rFonts w:hint="eastAsia" w:ascii="宋体" w:hAnsi="宋体" w:cs="宋体"/>
                <w:color w:val="000000"/>
                <w:sz w:val="21"/>
                <w:szCs w:val="21"/>
                <w:lang w:val="en-US" w:eastAsia="zh-CN" w:bidi="ar-SA"/>
              </w:rPr>
              <w:t>13:00-21:00。</w:t>
            </w:r>
          </w:p>
          <w:p w14:paraId="4DD5D203">
            <w:pPr>
              <w:widowControl/>
              <w:jc w:val="left"/>
              <w:textAlignment w:val="center"/>
              <w:rPr>
                <w:rFonts w:hint="default" w:ascii="宋体" w:hAnsi="宋体" w:cs="宋体"/>
                <w:color w:val="000000"/>
                <w:sz w:val="21"/>
                <w:szCs w:val="21"/>
                <w:lang w:val="en-US" w:eastAsia="zh-CN" w:bidi="ar-SA"/>
              </w:rPr>
            </w:pPr>
          </w:p>
          <w:p w14:paraId="48BD1121">
            <w:pPr>
              <w:widowControl/>
              <w:jc w:val="left"/>
              <w:textAlignment w:val="center"/>
              <w:rPr>
                <w:rFonts w:hint="default" w:ascii="宋体" w:hAnsi="宋体" w:cs="宋体"/>
                <w:color w:val="000000"/>
                <w:sz w:val="21"/>
                <w:szCs w:val="21"/>
                <w:lang w:val="en-US" w:eastAsia="zh-CN" w:bidi="ar-SA"/>
              </w:rPr>
            </w:pPr>
          </w:p>
          <w:p w14:paraId="6FEE6E80">
            <w:pPr>
              <w:widowControl/>
              <w:jc w:val="left"/>
              <w:textAlignment w:val="center"/>
              <w:rPr>
                <w:rFonts w:hint="eastAsia" w:ascii="宋体" w:hAnsi="宋体" w:cs="宋体"/>
                <w:color w:val="000000"/>
                <w:sz w:val="21"/>
                <w:szCs w:val="21"/>
                <w:lang w:val="en-US" w:eastAsia="zh-CN" w:bidi="ar-SA"/>
              </w:rPr>
            </w:pPr>
          </w:p>
          <w:p w14:paraId="28B53B9A">
            <w:pPr>
              <w:widowControl/>
              <w:jc w:val="left"/>
              <w:textAlignment w:val="center"/>
              <w:rPr>
                <w:rFonts w:hint="default" w:ascii="宋体" w:hAnsi="宋体" w:cs="宋体"/>
                <w:color w:val="000000"/>
                <w:sz w:val="21"/>
                <w:szCs w:val="21"/>
                <w:lang w:val="en-US" w:eastAsia="zh-CN" w:bidi="ar-SA"/>
              </w:rPr>
            </w:pPr>
          </w:p>
        </w:tc>
      </w:tr>
      <w:tr w14:paraId="464A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1" w:type="pct"/>
            <w:vMerge w:val="continue"/>
            <w:noWrap w:val="0"/>
            <w:vAlign w:val="center"/>
          </w:tcPr>
          <w:p w14:paraId="25D917C6">
            <w:pPr>
              <w:rPr>
                <w:rFonts w:hint="eastAsia" w:ascii="宋体" w:hAnsi="宋体" w:eastAsia="宋体" w:cs="宋体"/>
                <w:sz w:val="21"/>
                <w:szCs w:val="21"/>
              </w:rPr>
            </w:pPr>
          </w:p>
        </w:tc>
        <w:tc>
          <w:tcPr>
            <w:tcW w:w="422" w:type="pct"/>
            <w:noWrap w:val="0"/>
            <w:vAlign w:val="center"/>
          </w:tcPr>
          <w:p w14:paraId="5DCE80F3">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绿化工</w:t>
            </w:r>
          </w:p>
        </w:tc>
        <w:tc>
          <w:tcPr>
            <w:tcW w:w="525" w:type="pct"/>
            <w:noWrap w:val="0"/>
            <w:vAlign w:val="center"/>
          </w:tcPr>
          <w:p w14:paraId="3B1BD911">
            <w:pPr>
              <w:widowControl/>
              <w:jc w:val="center"/>
              <w:textAlignment w:val="center"/>
              <w:rPr>
                <w:rFonts w:hint="eastAsia" w:ascii="宋体" w:hAnsi="宋体" w:eastAsia="宋体" w:cs="宋体"/>
                <w:color w:val="000000"/>
                <w:sz w:val="21"/>
                <w:szCs w:val="21"/>
                <w:lang w:bidi="ar-SA"/>
              </w:rPr>
            </w:pPr>
            <w:r>
              <w:rPr>
                <w:rFonts w:hint="eastAsia"/>
                <w:color w:val="000000"/>
                <w:kern w:val="0"/>
                <w:szCs w:val="21"/>
                <w:lang w:val="en-US" w:eastAsia="zh-CN" w:bidi="ar"/>
              </w:rPr>
              <w:t>3</w:t>
            </w:r>
          </w:p>
        </w:tc>
        <w:tc>
          <w:tcPr>
            <w:tcW w:w="620" w:type="pct"/>
            <w:noWrap w:val="0"/>
            <w:vAlign w:val="center"/>
          </w:tcPr>
          <w:p w14:paraId="0695D73D">
            <w:pPr>
              <w:widowControl/>
              <w:jc w:val="center"/>
              <w:textAlignment w:val="center"/>
              <w:rPr>
                <w:rFonts w:hint="eastAsia" w:ascii="宋体" w:hAnsi="宋体" w:eastAsia="宋体" w:cs="宋体"/>
                <w:color w:val="000000"/>
                <w:sz w:val="21"/>
                <w:szCs w:val="21"/>
                <w:lang w:bidi="ar-SA"/>
              </w:rPr>
            </w:pPr>
            <w:r>
              <w:rPr>
                <w:rFonts w:hint="eastAsia"/>
                <w:color w:val="000000"/>
                <w:kern w:val="0"/>
                <w:szCs w:val="21"/>
                <w:lang w:val="en-US" w:eastAsia="zh-CN" w:bidi="ar"/>
              </w:rPr>
              <w:t>3</w:t>
            </w:r>
          </w:p>
        </w:tc>
        <w:tc>
          <w:tcPr>
            <w:tcW w:w="1985" w:type="pct"/>
            <w:noWrap w:val="0"/>
            <w:vAlign w:val="center"/>
          </w:tcPr>
          <w:p w14:paraId="7A838A23">
            <w:pPr>
              <w:widowControl/>
              <w:numPr>
                <w:ilvl w:val="0"/>
                <w:numId w:val="16"/>
              </w:numPr>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eastAsia="zh-CN" w:bidi="ar"/>
              </w:rPr>
              <w:t>年龄</w:t>
            </w:r>
            <w:r>
              <w:rPr>
                <w:rFonts w:hint="eastAsia" w:ascii="宋体" w:hAnsi="宋体" w:eastAsia="宋体" w:cs="宋体"/>
                <w:color w:val="000000"/>
                <w:kern w:val="0"/>
                <w:sz w:val="21"/>
                <w:szCs w:val="21"/>
                <w:lang w:bidi="ar"/>
              </w:rPr>
              <w:t>：</w:t>
            </w:r>
            <w:r>
              <w:rPr>
                <w:rFonts w:hint="eastAsia" w:ascii="宋体" w:hAnsi="宋体" w:eastAsia="宋体" w:cs="宋体"/>
                <w:sz w:val="21"/>
                <w:szCs w:val="21"/>
                <w:lang w:val="en-US" w:eastAsia="zh-CN"/>
              </w:rPr>
              <w:t>40-55周</w:t>
            </w:r>
            <w:r>
              <w:rPr>
                <w:rFonts w:hint="eastAsia" w:ascii="宋体" w:hAnsi="宋体" w:eastAsia="宋体" w:cs="宋体"/>
                <w:sz w:val="21"/>
                <w:szCs w:val="21"/>
              </w:rPr>
              <w:t>岁</w:t>
            </w:r>
            <w:r>
              <w:rPr>
                <w:rFonts w:hint="eastAsia" w:ascii="宋体" w:hAnsi="宋体" w:eastAsia="宋体" w:cs="宋体"/>
                <w:sz w:val="21"/>
                <w:szCs w:val="21"/>
                <w:lang w:eastAsia="zh-CN"/>
              </w:rPr>
              <w:t>。</w:t>
            </w:r>
          </w:p>
          <w:p w14:paraId="2178D1AB">
            <w:pPr>
              <w:widowControl/>
              <w:numPr>
                <w:ilvl w:val="0"/>
                <w:numId w:val="16"/>
              </w:numPr>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sz w:val="21"/>
                <w:szCs w:val="21"/>
                <w:lang w:val="en-US" w:eastAsia="zh-CN" w:bidi="ar-SA"/>
              </w:rPr>
              <w:t>文化程度：初中及以上学历</w:t>
            </w:r>
          </w:p>
          <w:p w14:paraId="7B0211E5">
            <w:pPr>
              <w:widowControl/>
              <w:numPr>
                <w:ilvl w:val="0"/>
                <w:numId w:val="16"/>
              </w:numPr>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专业要求：</w:t>
            </w:r>
            <w:r>
              <w:rPr>
                <w:rFonts w:hint="eastAsia" w:ascii="宋体" w:hAnsi="宋体" w:eastAsia="宋体" w:cs="宋体"/>
                <w:sz w:val="21"/>
                <w:szCs w:val="21"/>
              </w:rPr>
              <w:t>身体健康，五官端正，持绿化工证（包含1名绿化高级工），熟悉本岗位相关绿化工作流程及操作规范，能吃苦耐劳，具有团队协作，责任心强。</w:t>
            </w:r>
          </w:p>
        </w:tc>
        <w:tc>
          <w:tcPr>
            <w:tcW w:w="1014" w:type="pct"/>
            <w:noWrap w:val="0"/>
            <w:vAlign w:val="center"/>
          </w:tcPr>
          <w:p w14:paraId="01CCA409">
            <w:pPr>
              <w:jc w:val="left"/>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8小时</w:t>
            </w:r>
            <w:r>
              <w:rPr>
                <w:rFonts w:hint="eastAsia" w:ascii="宋体" w:hAnsi="宋体" w:eastAsia="宋体" w:cs="宋体"/>
                <w:color w:val="000000"/>
                <w:kern w:val="0"/>
                <w:sz w:val="21"/>
                <w:szCs w:val="21"/>
                <w:lang w:val="en-US" w:eastAsia="zh-CN" w:bidi="ar"/>
              </w:rPr>
              <w:t>工作制</w:t>
            </w:r>
            <w:r>
              <w:rPr>
                <w:rFonts w:hint="eastAsia" w:ascii="宋体" w:hAnsi="宋体" w:eastAsia="宋体" w:cs="宋体"/>
                <w:color w:val="000000"/>
                <w:kern w:val="0"/>
                <w:sz w:val="21"/>
                <w:szCs w:val="21"/>
                <w:lang w:bidi="ar"/>
              </w:rPr>
              <w:t>，合同期内在岗率</w:t>
            </w:r>
            <w:r>
              <w:rPr>
                <w:rFonts w:hint="eastAsia" w:ascii="宋体" w:hAnsi="宋体" w:eastAsia="宋体" w:cs="宋体"/>
                <w:color w:val="000000"/>
                <w:kern w:val="0"/>
                <w:sz w:val="21"/>
                <w:szCs w:val="21"/>
                <w:lang w:val="en-US" w:eastAsia="zh-CN" w:bidi="ar"/>
              </w:rPr>
              <w:t>100%</w:t>
            </w:r>
            <w:r>
              <w:rPr>
                <w:rFonts w:hint="eastAsia" w:ascii="宋体" w:hAnsi="宋体" w:eastAsia="宋体" w:cs="宋体"/>
                <w:color w:val="000000"/>
                <w:kern w:val="0"/>
                <w:sz w:val="21"/>
                <w:szCs w:val="21"/>
                <w:lang w:bidi="ar"/>
              </w:rPr>
              <w:t>。</w:t>
            </w:r>
          </w:p>
        </w:tc>
      </w:tr>
      <w:tr w14:paraId="2C4F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1" w:type="pct"/>
            <w:vMerge w:val="restart"/>
            <w:noWrap w:val="0"/>
            <w:vAlign w:val="center"/>
          </w:tcPr>
          <w:p w14:paraId="6E4B28FE">
            <w:pPr>
              <w:widowControl/>
              <w:jc w:val="center"/>
              <w:textAlignment w:val="center"/>
              <w:rPr>
                <w:rFonts w:hint="eastAsia" w:ascii="宋体" w:hAnsi="宋体" w:eastAsia="宋体" w:cs="宋体"/>
                <w:color w:val="000000"/>
                <w:sz w:val="21"/>
                <w:szCs w:val="21"/>
                <w:lang w:bidi="ar-SA"/>
              </w:rPr>
            </w:pPr>
            <w:r>
              <w:rPr>
                <w:rFonts w:hint="eastAsia" w:ascii="宋体" w:hAnsi="宋体" w:cs="宋体"/>
                <w:color w:val="000000"/>
                <w:kern w:val="0"/>
                <w:sz w:val="21"/>
                <w:szCs w:val="21"/>
                <w:lang w:val="en-US" w:eastAsia="zh-CN" w:bidi="ar"/>
              </w:rPr>
              <w:t>宿管部</w:t>
            </w:r>
          </w:p>
        </w:tc>
        <w:tc>
          <w:tcPr>
            <w:tcW w:w="422" w:type="pct"/>
            <w:noWrap w:val="0"/>
            <w:vAlign w:val="center"/>
          </w:tcPr>
          <w:p w14:paraId="21284C69">
            <w:pPr>
              <w:widowControl/>
              <w:jc w:val="center"/>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val="en-US" w:eastAsia="zh-CN"/>
              </w:rPr>
              <w:t>主管</w:t>
            </w:r>
          </w:p>
        </w:tc>
        <w:tc>
          <w:tcPr>
            <w:tcW w:w="525" w:type="pct"/>
            <w:noWrap w:val="0"/>
            <w:vAlign w:val="center"/>
          </w:tcPr>
          <w:p w14:paraId="156701A4">
            <w:pPr>
              <w:widowControl/>
              <w:jc w:val="center"/>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val="en-US" w:eastAsia="zh-CN" w:bidi="ar"/>
              </w:rPr>
              <w:t>1</w:t>
            </w:r>
          </w:p>
        </w:tc>
        <w:tc>
          <w:tcPr>
            <w:tcW w:w="620" w:type="pct"/>
            <w:noWrap w:val="0"/>
            <w:vAlign w:val="center"/>
          </w:tcPr>
          <w:p w14:paraId="38162F6B">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cs="宋体"/>
                <w:color w:val="000000"/>
                <w:sz w:val="21"/>
                <w:szCs w:val="21"/>
                <w:lang w:val="en-US" w:eastAsia="zh-CN" w:bidi="ar-SA"/>
              </w:rPr>
              <w:t>1</w:t>
            </w:r>
          </w:p>
        </w:tc>
        <w:tc>
          <w:tcPr>
            <w:tcW w:w="1985" w:type="pct"/>
            <w:noWrap w:val="0"/>
            <w:vAlign w:val="center"/>
          </w:tcPr>
          <w:p w14:paraId="6D37EDBB">
            <w:pPr>
              <w:widowControl/>
              <w:numPr>
                <w:ilvl w:val="0"/>
                <w:numId w:val="17"/>
              </w:numPr>
              <w:jc w:val="left"/>
              <w:textAlignment w:val="center"/>
              <w:rPr>
                <w:rFonts w:hint="eastAsia" w:ascii="宋体" w:hAnsi="宋体" w:eastAsia="宋体" w:cs="宋体"/>
                <w:sz w:val="21"/>
                <w:szCs w:val="21"/>
                <w:lang w:eastAsia="zh-CN"/>
              </w:rPr>
            </w:pPr>
            <w:r>
              <w:rPr>
                <w:rFonts w:hint="eastAsia" w:ascii="宋体" w:hAnsi="宋体" w:eastAsia="宋体" w:cs="宋体"/>
                <w:color w:val="000000"/>
                <w:kern w:val="0"/>
                <w:sz w:val="21"/>
                <w:szCs w:val="21"/>
                <w:lang w:eastAsia="zh-CN" w:bidi="ar"/>
              </w:rPr>
              <w:t>年龄</w:t>
            </w:r>
            <w:r>
              <w:rPr>
                <w:rFonts w:hint="eastAsia" w:ascii="宋体" w:hAnsi="宋体" w:eastAsia="宋体" w:cs="宋体"/>
                <w:color w:val="000000"/>
                <w:kern w:val="0"/>
                <w:sz w:val="21"/>
                <w:szCs w:val="21"/>
                <w:lang w:bidi="ar"/>
              </w:rPr>
              <w:t>：</w:t>
            </w:r>
            <w:r>
              <w:rPr>
                <w:rFonts w:hint="eastAsia" w:ascii="宋体" w:hAnsi="宋体" w:eastAsia="宋体" w:cs="宋体"/>
                <w:sz w:val="21"/>
                <w:szCs w:val="21"/>
                <w:lang w:val="en-US" w:eastAsia="zh-CN"/>
              </w:rPr>
              <w:t>35-50周</w:t>
            </w:r>
            <w:r>
              <w:rPr>
                <w:rFonts w:hint="eastAsia" w:ascii="宋体" w:hAnsi="宋体" w:eastAsia="宋体" w:cs="宋体"/>
                <w:sz w:val="21"/>
                <w:szCs w:val="21"/>
              </w:rPr>
              <w:t>岁</w:t>
            </w:r>
            <w:r>
              <w:rPr>
                <w:rFonts w:hint="eastAsia" w:ascii="宋体" w:hAnsi="宋体" w:eastAsia="宋体" w:cs="宋体"/>
                <w:sz w:val="21"/>
                <w:szCs w:val="21"/>
                <w:lang w:eastAsia="zh-CN"/>
              </w:rPr>
              <w:t>。</w:t>
            </w:r>
          </w:p>
          <w:p w14:paraId="226558CF">
            <w:pPr>
              <w:widowControl/>
              <w:numPr>
                <w:ilvl w:val="0"/>
                <w:numId w:val="17"/>
              </w:numPr>
              <w:jc w:val="left"/>
              <w:textAlignment w:val="center"/>
              <w:rPr>
                <w:rFonts w:hint="eastAsia" w:ascii="宋体" w:hAnsi="宋体" w:eastAsia="宋体" w:cs="宋体"/>
                <w:color w:val="000000"/>
                <w:sz w:val="21"/>
                <w:szCs w:val="21"/>
                <w:lang w:bidi="ar-SA"/>
              </w:rPr>
            </w:pPr>
            <w:r>
              <w:rPr>
                <w:rFonts w:hint="eastAsia" w:ascii="宋体" w:hAnsi="宋体" w:eastAsia="宋体" w:cs="宋体"/>
                <w:sz w:val="21"/>
                <w:szCs w:val="21"/>
                <w:lang w:val="en-US" w:eastAsia="zh-CN"/>
              </w:rPr>
              <w:t>文化程度：大专及以上学历</w:t>
            </w:r>
            <w:r>
              <w:rPr>
                <w:rFonts w:hint="eastAsia" w:ascii="宋体" w:hAnsi="宋体" w:cs="宋体"/>
                <w:sz w:val="21"/>
                <w:szCs w:val="21"/>
                <w:lang w:val="en-US" w:eastAsia="zh-CN"/>
              </w:rPr>
              <w:t>。</w:t>
            </w:r>
          </w:p>
          <w:p w14:paraId="50994F9E">
            <w:pPr>
              <w:widowControl/>
              <w:numPr>
                <w:ilvl w:val="0"/>
                <w:numId w:val="17"/>
              </w:numPr>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val="en-US" w:eastAsia="zh-CN" w:bidi="ar"/>
              </w:rPr>
              <w:t>专业</w:t>
            </w:r>
            <w:r>
              <w:rPr>
                <w:rFonts w:hint="eastAsia" w:ascii="宋体" w:hAnsi="宋体" w:eastAsia="宋体" w:cs="宋体"/>
                <w:color w:val="000000"/>
                <w:kern w:val="0"/>
                <w:sz w:val="21"/>
                <w:szCs w:val="21"/>
                <w:lang w:bidi="ar"/>
              </w:rPr>
              <w:t>要求：</w:t>
            </w:r>
            <w:r>
              <w:rPr>
                <w:rFonts w:hint="eastAsia" w:ascii="宋体" w:hAnsi="宋体" w:eastAsia="宋体" w:cs="宋体"/>
                <w:sz w:val="21"/>
                <w:szCs w:val="21"/>
              </w:rPr>
              <w:t>物业经理（中级）及以上，提供</w:t>
            </w:r>
            <w:r>
              <w:rPr>
                <w:rFonts w:hint="eastAsia" w:ascii="宋体" w:hAnsi="宋体" w:cs="宋体"/>
                <w:sz w:val="21"/>
                <w:szCs w:val="21"/>
                <w:lang w:val="en-US" w:eastAsia="zh-CN"/>
              </w:rPr>
              <w:t>有效期内</w:t>
            </w:r>
            <w:r>
              <w:rPr>
                <w:rFonts w:hint="eastAsia" w:ascii="宋体" w:hAnsi="宋体" w:eastAsia="宋体" w:cs="宋体"/>
                <w:sz w:val="21"/>
                <w:szCs w:val="21"/>
              </w:rPr>
              <w:t>健康</w:t>
            </w:r>
            <w:r>
              <w:rPr>
                <w:rFonts w:hint="eastAsia" w:ascii="宋体" w:hAnsi="宋体" w:cs="宋体"/>
                <w:sz w:val="21"/>
                <w:szCs w:val="21"/>
                <w:lang w:val="en-US" w:eastAsia="zh-CN"/>
              </w:rPr>
              <w:t>证</w:t>
            </w:r>
            <w:r>
              <w:rPr>
                <w:rFonts w:hint="eastAsia" w:ascii="宋体" w:hAnsi="宋体" w:eastAsia="宋体" w:cs="宋体"/>
                <w:sz w:val="21"/>
                <w:szCs w:val="21"/>
              </w:rPr>
              <w:t>证明，熟悉维修、消防管理、安全生产等相关知识且有培训经历，具有运行</w:t>
            </w:r>
            <w:r>
              <w:rPr>
                <w:rFonts w:hint="eastAsia" w:ascii="宋体" w:hAnsi="宋体" w:cs="宋体"/>
                <w:sz w:val="21"/>
                <w:szCs w:val="21"/>
                <w:lang w:val="en-US" w:eastAsia="zh-CN"/>
              </w:rPr>
              <w:t>GB/T</w:t>
            </w:r>
            <w:r>
              <w:rPr>
                <w:rFonts w:hint="eastAsia" w:ascii="宋体" w:hAnsi="宋体" w:eastAsia="宋体" w:cs="宋体"/>
                <w:sz w:val="21"/>
                <w:szCs w:val="21"/>
              </w:rPr>
              <w:t>管理体系的经历。</w:t>
            </w:r>
          </w:p>
          <w:p w14:paraId="0DAEF4E9">
            <w:pPr>
              <w:widowControl/>
              <w:numPr>
                <w:ilvl w:val="0"/>
                <w:numId w:val="17"/>
              </w:numPr>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sz w:val="21"/>
                <w:szCs w:val="21"/>
                <w:lang w:val="en-US" w:eastAsia="zh-CN" w:bidi="ar-SA"/>
              </w:rPr>
              <w:t>经验要求：</w:t>
            </w:r>
            <w:r>
              <w:rPr>
                <w:rFonts w:hint="eastAsia" w:ascii="宋体" w:hAnsi="宋体" w:eastAsia="宋体" w:cs="宋体"/>
                <w:sz w:val="21"/>
                <w:szCs w:val="21"/>
              </w:rPr>
              <w:t>具有5年及以上总建筑面积不小于本项目的非住宅类物业项目同岗位工作经验，获得过行业荣誉，提供近3个月本单位社保缴纳证明。</w:t>
            </w:r>
          </w:p>
        </w:tc>
        <w:tc>
          <w:tcPr>
            <w:tcW w:w="1014" w:type="pct"/>
            <w:noWrap w:val="0"/>
            <w:vAlign w:val="center"/>
          </w:tcPr>
          <w:p w14:paraId="7D67FD88">
            <w:pPr>
              <w:jc w:val="left"/>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8小时</w:t>
            </w:r>
            <w:r>
              <w:rPr>
                <w:rFonts w:hint="eastAsia" w:ascii="宋体" w:hAnsi="宋体" w:eastAsia="宋体" w:cs="宋体"/>
                <w:color w:val="000000"/>
                <w:kern w:val="0"/>
                <w:sz w:val="21"/>
                <w:szCs w:val="21"/>
                <w:lang w:val="en-US" w:eastAsia="zh-CN" w:bidi="ar"/>
              </w:rPr>
              <w:t>工作制</w:t>
            </w:r>
            <w:r>
              <w:rPr>
                <w:rFonts w:hint="eastAsia" w:ascii="宋体" w:hAnsi="宋体" w:eastAsia="宋体" w:cs="宋体"/>
                <w:color w:val="000000"/>
                <w:kern w:val="0"/>
                <w:sz w:val="21"/>
                <w:szCs w:val="21"/>
                <w:lang w:bidi="ar"/>
              </w:rPr>
              <w:t>，合同期内在岗率</w:t>
            </w:r>
            <w:r>
              <w:rPr>
                <w:rFonts w:hint="eastAsia" w:ascii="宋体" w:hAnsi="宋体" w:eastAsia="宋体" w:cs="宋体"/>
                <w:color w:val="000000"/>
                <w:kern w:val="0"/>
                <w:sz w:val="21"/>
                <w:szCs w:val="21"/>
                <w:lang w:val="en-US" w:eastAsia="zh-CN" w:bidi="ar"/>
              </w:rPr>
              <w:t>100%</w:t>
            </w:r>
            <w:r>
              <w:rPr>
                <w:rFonts w:hint="eastAsia" w:ascii="宋体" w:hAnsi="宋体" w:eastAsia="宋体" w:cs="宋体"/>
                <w:color w:val="000000"/>
                <w:kern w:val="0"/>
                <w:sz w:val="21"/>
                <w:szCs w:val="21"/>
                <w:lang w:bidi="ar"/>
              </w:rPr>
              <w:t>。</w:t>
            </w:r>
          </w:p>
        </w:tc>
      </w:tr>
      <w:tr w14:paraId="0DDA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1" w:type="pct"/>
            <w:vMerge w:val="continue"/>
            <w:noWrap w:val="0"/>
            <w:vAlign w:val="center"/>
          </w:tcPr>
          <w:p w14:paraId="7F4A2B2E">
            <w:pPr>
              <w:jc w:val="both"/>
              <w:rPr>
                <w:rFonts w:hint="eastAsia" w:ascii="宋体" w:hAnsi="宋体" w:eastAsia="宋体" w:cs="宋体"/>
                <w:color w:val="000000"/>
                <w:sz w:val="21"/>
                <w:szCs w:val="21"/>
                <w:lang w:bidi="ar-SA"/>
              </w:rPr>
            </w:pPr>
          </w:p>
        </w:tc>
        <w:tc>
          <w:tcPr>
            <w:tcW w:w="422" w:type="pct"/>
            <w:noWrap w:val="0"/>
            <w:vAlign w:val="center"/>
          </w:tcPr>
          <w:p w14:paraId="5D74FB71">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宿舍</w:t>
            </w:r>
          </w:p>
          <w:p w14:paraId="57FE812D">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rPr>
              <w:t>管理</w:t>
            </w:r>
          </w:p>
        </w:tc>
        <w:tc>
          <w:tcPr>
            <w:tcW w:w="525" w:type="pct"/>
            <w:noWrap w:val="0"/>
            <w:vAlign w:val="center"/>
          </w:tcPr>
          <w:p w14:paraId="026A1447">
            <w:pPr>
              <w:jc w:val="center"/>
              <w:rPr>
                <w:rFonts w:hint="default" w:ascii="宋体" w:hAnsi="宋体" w:eastAsia="宋体" w:cs="宋体"/>
                <w:color w:val="000000"/>
                <w:sz w:val="21"/>
                <w:szCs w:val="21"/>
                <w:lang w:val="en-US" w:eastAsia="zh-CN" w:bidi="ar-SA"/>
              </w:rPr>
            </w:pPr>
            <w:r>
              <w:rPr>
                <w:rFonts w:hint="eastAsia" w:ascii="宋体" w:hAnsi="宋体" w:cs="宋体"/>
                <w:color w:val="000000"/>
                <w:sz w:val="21"/>
                <w:szCs w:val="21"/>
                <w:lang w:val="en-US" w:eastAsia="zh-CN" w:bidi="ar-SA"/>
              </w:rPr>
              <w:t>12</w:t>
            </w:r>
          </w:p>
        </w:tc>
        <w:tc>
          <w:tcPr>
            <w:tcW w:w="620" w:type="pct"/>
            <w:noWrap w:val="0"/>
            <w:vAlign w:val="center"/>
          </w:tcPr>
          <w:p w14:paraId="65336083">
            <w:pPr>
              <w:widowControl/>
              <w:jc w:val="center"/>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val="en-US" w:eastAsia="zh-CN" w:bidi="ar"/>
              </w:rPr>
              <w:t>41</w:t>
            </w:r>
          </w:p>
        </w:tc>
        <w:tc>
          <w:tcPr>
            <w:tcW w:w="1985" w:type="pct"/>
            <w:vMerge w:val="restart"/>
            <w:noWrap w:val="0"/>
            <w:vAlign w:val="center"/>
          </w:tcPr>
          <w:p w14:paraId="3927FF63">
            <w:pPr>
              <w:widowControl/>
              <w:numPr>
                <w:ilvl w:val="0"/>
                <w:numId w:val="18"/>
              </w:numPr>
              <w:jc w:val="both"/>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eastAsia="zh-CN" w:bidi="ar"/>
              </w:rPr>
              <w:t>年龄</w:t>
            </w:r>
            <w:r>
              <w:rPr>
                <w:rFonts w:hint="eastAsia" w:ascii="宋体" w:hAnsi="宋体" w:eastAsia="宋体" w:cs="宋体"/>
                <w:color w:val="000000"/>
                <w:kern w:val="0"/>
                <w:sz w:val="21"/>
                <w:szCs w:val="21"/>
                <w:lang w:bidi="ar"/>
              </w:rPr>
              <w:t>：</w:t>
            </w:r>
            <w:r>
              <w:rPr>
                <w:rFonts w:hint="eastAsia" w:ascii="宋体" w:hAnsi="宋体" w:cs="宋体"/>
                <w:sz w:val="22"/>
                <w:szCs w:val="21"/>
              </w:rPr>
              <w:t>女性≤50岁</w:t>
            </w:r>
            <w:r>
              <w:rPr>
                <w:rFonts w:hint="eastAsia" w:ascii="宋体" w:hAnsi="宋体" w:cs="宋体"/>
                <w:sz w:val="22"/>
                <w:szCs w:val="21"/>
                <w:lang w:eastAsia="zh-CN"/>
              </w:rPr>
              <w:t>。</w:t>
            </w:r>
          </w:p>
          <w:p w14:paraId="37B6C2A7">
            <w:pPr>
              <w:widowControl/>
              <w:numPr>
                <w:ilvl w:val="0"/>
                <w:numId w:val="18"/>
              </w:numPr>
              <w:jc w:val="both"/>
              <w:textAlignment w:val="center"/>
              <w:rPr>
                <w:rFonts w:hint="eastAsia" w:ascii="宋体" w:hAnsi="宋体" w:eastAsia="宋体" w:cs="宋体"/>
                <w:color w:val="000000"/>
                <w:sz w:val="21"/>
                <w:szCs w:val="21"/>
                <w:lang w:bidi="ar-SA"/>
              </w:rPr>
            </w:pPr>
            <w:r>
              <w:rPr>
                <w:rFonts w:hint="eastAsia" w:ascii="宋体" w:hAnsi="宋体" w:eastAsia="宋体" w:cs="宋体"/>
                <w:sz w:val="21"/>
                <w:szCs w:val="21"/>
                <w:lang w:val="en-US" w:eastAsia="zh-CN"/>
              </w:rPr>
              <w:t>文化程度：初中及以上学历</w:t>
            </w:r>
            <w:r>
              <w:rPr>
                <w:rFonts w:hint="eastAsia" w:ascii="宋体" w:hAnsi="宋体" w:cs="宋体"/>
                <w:sz w:val="21"/>
                <w:szCs w:val="21"/>
                <w:lang w:val="en-US" w:eastAsia="zh-CN"/>
              </w:rPr>
              <w:t>。</w:t>
            </w:r>
          </w:p>
          <w:p w14:paraId="18AD2C93">
            <w:pPr>
              <w:widowControl/>
              <w:numPr>
                <w:ilvl w:val="0"/>
                <w:numId w:val="18"/>
              </w:numPr>
              <w:jc w:val="both"/>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val="en-US" w:eastAsia="zh-CN" w:bidi="ar"/>
              </w:rPr>
              <w:t>专业</w:t>
            </w:r>
            <w:r>
              <w:rPr>
                <w:rFonts w:hint="eastAsia" w:ascii="宋体" w:hAnsi="宋体" w:eastAsia="宋体" w:cs="宋体"/>
                <w:color w:val="000000"/>
                <w:kern w:val="0"/>
                <w:sz w:val="21"/>
                <w:szCs w:val="21"/>
                <w:lang w:bidi="ar"/>
              </w:rPr>
              <w:t>要求：</w:t>
            </w:r>
            <w:r>
              <w:rPr>
                <w:rFonts w:hint="eastAsia" w:ascii="宋体" w:hAnsi="宋体" w:eastAsia="宋体" w:cs="宋体"/>
                <w:sz w:val="21"/>
                <w:szCs w:val="21"/>
              </w:rPr>
              <w:t>身体健康、体貌端正，普通话标准，具有校园规范管理制度创建和实践经验，熟悉楼宇管理和消毒防控各项工作流程和内容，提供招待所管理人员</w:t>
            </w:r>
            <w:r>
              <w:rPr>
                <w:rFonts w:hint="eastAsia" w:ascii="宋体" w:hAnsi="宋体" w:cs="宋体"/>
                <w:sz w:val="21"/>
                <w:szCs w:val="21"/>
                <w:lang w:val="en-US" w:eastAsia="zh-CN"/>
              </w:rPr>
              <w:t>有效期内</w:t>
            </w:r>
            <w:r>
              <w:rPr>
                <w:rFonts w:hint="eastAsia" w:ascii="宋体" w:hAnsi="宋体" w:eastAsia="宋体" w:cs="宋体"/>
                <w:sz w:val="21"/>
                <w:szCs w:val="21"/>
              </w:rPr>
              <w:t>健康</w:t>
            </w:r>
            <w:r>
              <w:rPr>
                <w:rFonts w:hint="eastAsia" w:ascii="宋体" w:hAnsi="宋体" w:cs="宋体"/>
                <w:sz w:val="21"/>
                <w:szCs w:val="21"/>
                <w:lang w:val="en-US" w:eastAsia="zh-CN"/>
              </w:rPr>
              <w:t>证</w:t>
            </w:r>
            <w:r>
              <w:rPr>
                <w:rFonts w:hint="eastAsia" w:ascii="宋体" w:hAnsi="宋体" w:eastAsia="宋体" w:cs="宋体"/>
                <w:sz w:val="21"/>
                <w:szCs w:val="21"/>
              </w:rPr>
              <w:t>证明。</w:t>
            </w:r>
          </w:p>
        </w:tc>
        <w:tc>
          <w:tcPr>
            <w:tcW w:w="1014" w:type="pct"/>
            <w:vMerge w:val="restart"/>
            <w:noWrap w:val="0"/>
            <w:vAlign w:val="center"/>
          </w:tcPr>
          <w:p w14:paraId="3F4119A7">
            <w:pPr>
              <w:jc w:val="left"/>
              <w:rPr>
                <w:rFonts w:hint="default" w:ascii="宋体" w:hAnsi="宋体" w:eastAsia="宋体" w:cs="宋体"/>
                <w:color w:val="000000"/>
                <w:sz w:val="21"/>
                <w:szCs w:val="21"/>
                <w:lang w:val="en-US" w:eastAsia="zh-CN" w:bidi="ar-SA"/>
              </w:rPr>
            </w:pPr>
            <w:r>
              <w:rPr>
                <w:rFonts w:hint="eastAsia" w:ascii="宋体" w:hAnsi="宋体" w:cs="宋体"/>
                <w:color w:val="000000"/>
                <w:sz w:val="21"/>
                <w:szCs w:val="21"/>
                <w:lang w:val="en-US" w:eastAsia="zh-CN" w:bidi="ar-SA"/>
              </w:rPr>
              <w:t>12小时工作制</w:t>
            </w:r>
            <w:r>
              <w:rPr>
                <w:rFonts w:hint="eastAsia" w:ascii="宋体" w:hAnsi="宋体" w:eastAsia="宋体" w:cs="宋体"/>
                <w:color w:val="000000"/>
                <w:kern w:val="0"/>
                <w:sz w:val="21"/>
                <w:szCs w:val="21"/>
                <w:lang w:bidi="ar"/>
              </w:rPr>
              <w:t>，合同期内在岗率</w:t>
            </w:r>
            <w:r>
              <w:rPr>
                <w:rFonts w:hint="eastAsia" w:ascii="宋体" w:hAnsi="宋体" w:eastAsia="宋体" w:cs="宋体"/>
                <w:color w:val="000000"/>
                <w:kern w:val="0"/>
                <w:sz w:val="21"/>
                <w:szCs w:val="21"/>
                <w:lang w:val="en-US" w:eastAsia="zh-CN" w:bidi="ar"/>
              </w:rPr>
              <w:t>100%</w:t>
            </w:r>
          </w:p>
        </w:tc>
      </w:tr>
      <w:tr w14:paraId="3EB1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1" w:type="pct"/>
            <w:vMerge w:val="continue"/>
            <w:noWrap w:val="0"/>
            <w:vAlign w:val="center"/>
          </w:tcPr>
          <w:p w14:paraId="696F01C7">
            <w:pPr>
              <w:jc w:val="both"/>
              <w:rPr>
                <w:rFonts w:hint="eastAsia" w:ascii="宋体" w:hAnsi="宋体" w:eastAsia="宋体" w:cs="宋体"/>
                <w:color w:val="000000"/>
                <w:sz w:val="21"/>
                <w:szCs w:val="21"/>
                <w:lang w:bidi="ar-SA"/>
              </w:rPr>
            </w:pPr>
          </w:p>
        </w:tc>
        <w:tc>
          <w:tcPr>
            <w:tcW w:w="422" w:type="pct"/>
            <w:noWrap w:val="0"/>
            <w:vAlign w:val="center"/>
          </w:tcPr>
          <w:p w14:paraId="38BA362D">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rPr>
              <w:t>招待所管理</w:t>
            </w:r>
          </w:p>
        </w:tc>
        <w:tc>
          <w:tcPr>
            <w:tcW w:w="525" w:type="pct"/>
            <w:noWrap w:val="0"/>
            <w:vAlign w:val="center"/>
          </w:tcPr>
          <w:p w14:paraId="651D1286">
            <w:pPr>
              <w:widowControl/>
              <w:jc w:val="center"/>
              <w:textAlignment w:val="center"/>
              <w:rPr>
                <w:rFonts w:hint="eastAsia" w:ascii="宋体" w:hAnsi="宋体" w:eastAsia="宋体" w:cs="宋体"/>
                <w:color w:val="000000"/>
                <w:sz w:val="21"/>
                <w:szCs w:val="21"/>
                <w:lang w:bidi="ar-SA"/>
              </w:rPr>
            </w:pPr>
            <w:r>
              <w:rPr>
                <w:rFonts w:hint="eastAsia" w:ascii="宋体" w:hAnsi="宋体" w:cs="宋体"/>
                <w:color w:val="000000"/>
                <w:kern w:val="0"/>
                <w:sz w:val="21"/>
                <w:szCs w:val="21"/>
                <w:lang w:val="en-US" w:eastAsia="zh-CN" w:bidi="ar"/>
              </w:rPr>
              <w:t>1</w:t>
            </w:r>
          </w:p>
        </w:tc>
        <w:tc>
          <w:tcPr>
            <w:tcW w:w="620" w:type="pct"/>
            <w:noWrap w:val="0"/>
            <w:vAlign w:val="center"/>
          </w:tcPr>
          <w:p w14:paraId="5FDD0EC8">
            <w:pPr>
              <w:widowControl/>
              <w:jc w:val="center"/>
              <w:textAlignment w:val="center"/>
              <w:rPr>
                <w:rFonts w:hint="eastAsia" w:ascii="宋体" w:hAnsi="宋体" w:eastAsia="宋体" w:cs="宋体"/>
                <w:color w:val="000000"/>
                <w:sz w:val="21"/>
                <w:szCs w:val="21"/>
                <w:lang w:bidi="ar-SA"/>
              </w:rPr>
            </w:pPr>
            <w:r>
              <w:rPr>
                <w:rFonts w:hint="eastAsia" w:ascii="宋体" w:hAnsi="宋体" w:cs="宋体"/>
                <w:color w:val="000000"/>
                <w:kern w:val="0"/>
                <w:sz w:val="21"/>
                <w:szCs w:val="21"/>
                <w:lang w:val="en-US" w:eastAsia="zh-CN" w:bidi="ar"/>
              </w:rPr>
              <w:t>2</w:t>
            </w:r>
          </w:p>
        </w:tc>
        <w:tc>
          <w:tcPr>
            <w:tcW w:w="1985" w:type="pct"/>
            <w:vMerge w:val="continue"/>
            <w:noWrap w:val="0"/>
            <w:vAlign w:val="center"/>
          </w:tcPr>
          <w:p w14:paraId="152C55F2">
            <w:pPr>
              <w:jc w:val="left"/>
              <w:rPr>
                <w:rFonts w:hint="eastAsia" w:ascii="宋体" w:hAnsi="宋体" w:eastAsia="宋体" w:cs="宋体"/>
                <w:color w:val="000000"/>
                <w:sz w:val="21"/>
                <w:szCs w:val="21"/>
                <w:lang w:bidi="ar-SA"/>
              </w:rPr>
            </w:pPr>
          </w:p>
        </w:tc>
        <w:tc>
          <w:tcPr>
            <w:tcW w:w="1014" w:type="pct"/>
            <w:vMerge w:val="continue"/>
            <w:noWrap w:val="0"/>
            <w:vAlign w:val="center"/>
          </w:tcPr>
          <w:p w14:paraId="73A9A2C4">
            <w:pPr>
              <w:jc w:val="left"/>
              <w:rPr>
                <w:rFonts w:hint="default" w:ascii="宋体" w:hAnsi="宋体" w:eastAsia="宋体" w:cs="宋体"/>
                <w:color w:val="000000"/>
                <w:sz w:val="21"/>
                <w:szCs w:val="21"/>
                <w:lang w:val="en-US" w:eastAsia="zh-CN" w:bidi="ar-SA"/>
              </w:rPr>
            </w:pPr>
          </w:p>
        </w:tc>
      </w:tr>
      <w:tr w14:paraId="4CE6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1" w:type="pct"/>
            <w:noWrap w:val="0"/>
            <w:vAlign w:val="center"/>
          </w:tcPr>
          <w:p w14:paraId="3FA34195">
            <w:pPr>
              <w:jc w:val="center"/>
              <w:rPr>
                <w:rFonts w:hint="eastAsia" w:ascii="宋体" w:hAnsi="Times New Roman" w:eastAsia="宋体" w:cs="宋体"/>
                <w:color w:val="000000"/>
                <w:kern w:val="2"/>
                <w:sz w:val="21"/>
                <w:szCs w:val="21"/>
                <w:lang w:val="en-US" w:eastAsia="zh-CN" w:bidi="ar-SA"/>
              </w:rPr>
            </w:pPr>
            <w:r>
              <w:rPr>
                <w:rFonts w:hint="eastAsia" w:ascii="宋体" w:cs="宋体"/>
                <w:color w:val="000000"/>
                <w:kern w:val="0"/>
                <w:szCs w:val="21"/>
                <w:lang w:val="en-US" w:eastAsia="zh-CN" w:bidi="ar"/>
              </w:rPr>
              <w:t>总计</w:t>
            </w:r>
          </w:p>
        </w:tc>
        <w:tc>
          <w:tcPr>
            <w:tcW w:w="422" w:type="pct"/>
            <w:noWrap w:val="0"/>
            <w:vAlign w:val="center"/>
          </w:tcPr>
          <w:p w14:paraId="39230EDA">
            <w:pPr>
              <w:widowControl/>
              <w:jc w:val="left"/>
              <w:textAlignment w:val="center"/>
              <w:rPr>
                <w:rFonts w:hint="eastAsia" w:ascii="宋体" w:hAnsi="Times New Roman" w:eastAsia="宋体" w:cs="宋体"/>
                <w:color w:val="000000"/>
                <w:kern w:val="0"/>
                <w:sz w:val="21"/>
                <w:szCs w:val="21"/>
                <w:lang w:val="en-US" w:eastAsia="zh-CN" w:bidi="ar"/>
              </w:rPr>
            </w:pPr>
          </w:p>
        </w:tc>
        <w:tc>
          <w:tcPr>
            <w:tcW w:w="525" w:type="pct"/>
            <w:noWrap w:val="0"/>
            <w:vAlign w:val="center"/>
          </w:tcPr>
          <w:p w14:paraId="7F023B1C">
            <w:pPr>
              <w:jc w:val="left"/>
              <w:rPr>
                <w:rFonts w:hint="eastAsia" w:ascii="Arial" w:hAnsi="Arial" w:eastAsia="宋体" w:cs="Arial"/>
                <w:color w:val="000000"/>
                <w:kern w:val="2"/>
                <w:sz w:val="21"/>
                <w:szCs w:val="21"/>
                <w:lang w:val="en-US" w:eastAsia="zh-CN" w:bidi="ar-SA"/>
              </w:rPr>
            </w:pPr>
          </w:p>
        </w:tc>
        <w:tc>
          <w:tcPr>
            <w:tcW w:w="620" w:type="pct"/>
            <w:noWrap w:val="0"/>
            <w:vAlign w:val="center"/>
          </w:tcPr>
          <w:p w14:paraId="75A0C456">
            <w:pPr>
              <w:widowControl/>
              <w:jc w:val="center"/>
              <w:textAlignment w:val="center"/>
              <w:rPr>
                <w:rFonts w:hint="default" w:ascii="Arial" w:hAnsi="Arial" w:eastAsia="宋体" w:cs="Arial"/>
                <w:color w:val="000000"/>
                <w:kern w:val="2"/>
                <w:sz w:val="21"/>
                <w:szCs w:val="21"/>
                <w:lang w:val="en-US" w:eastAsia="zh-CN" w:bidi="ar-SA"/>
              </w:rPr>
            </w:pPr>
            <w:r>
              <w:rPr>
                <w:rFonts w:hint="eastAsia"/>
                <w:color w:val="000000"/>
                <w:kern w:val="0"/>
                <w:szCs w:val="21"/>
                <w:lang w:val="en-US" w:eastAsia="zh-CN" w:bidi="ar"/>
              </w:rPr>
              <w:t>101</w:t>
            </w:r>
          </w:p>
        </w:tc>
        <w:tc>
          <w:tcPr>
            <w:tcW w:w="1985" w:type="pct"/>
            <w:noWrap w:val="0"/>
            <w:vAlign w:val="center"/>
          </w:tcPr>
          <w:p w14:paraId="5705E2AB">
            <w:pPr>
              <w:jc w:val="left"/>
              <w:rPr>
                <w:rFonts w:hint="eastAsia" w:ascii="Arial" w:hAnsi="Arial" w:eastAsia="宋体" w:cs="Arial"/>
                <w:color w:val="000000"/>
                <w:kern w:val="2"/>
                <w:sz w:val="21"/>
                <w:szCs w:val="21"/>
                <w:lang w:val="en-US" w:eastAsia="zh-CN" w:bidi="ar-SA"/>
              </w:rPr>
            </w:pPr>
          </w:p>
        </w:tc>
        <w:tc>
          <w:tcPr>
            <w:tcW w:w="1014" w:type="pct"/>
            <w:noWrap w:val="0"/>
            <w:vAlign w:val="center"/>
          </w:tcPr>
          <w:p w14:paraId="64BEFDF4">
            <w:pPr>
              <w:jc w:val="left"/>
              <w:rPr>
                <w:rFonts w:hint="eastAsia" w:ascii="宋体" w:hAnsi="宋体" w:eastAsia="宋体" w:cs="宋体"/>
                <w:color w:val="000000"/>
                <w:sz w:val="21"/>
                <w:szCs w:val="21"/>
                <w:lang w:bidi="ar-SA"/>
              </w:rPr>
            </w:pPr>
          </w:p>
        </w:tc>
      </w:tr>
    </w:tbl>
    <w:p w14:paraId="06417C67">
      <w:pPr>
        <w:pStyle w:val="13"/>
        <w:spacing w:line="360" w:lineRule="auto"/>
        <w:ind w:left="0" w:firstLine="211" w:firstLineChars="100"/>
        <w:rPr>
          <w:rFonts w:hint="default" w:ascii="宋体" w:hAnsi="宋体" w:eastAsia="宋体" w:cs="宋体"/>
          <w:b/>
          <w:sz w:val="21"/>
          <w:szCs w:val="21"/>
          <w:lang w:val="en-US" w:eastAsia="zh-CN"/>
        </w:rPr>
      </w:pPr>
      <w:r>
        <w:rPr>
          <w:rFonts w:hint="eastAsia" w:ascii="宋体" w:hAnsi="宋体" w:eastAsia="宋体" w:cs="宋体"/>
          <w:b/>
          <w:sz w:val="21"/>
          <w:szCs w:val="21"/>
        </w:rPr>
        <w:t>★</w:t>
      </w:r>
      <w:r>
        <w:rPr>
          <w:rFonts w:hint="eastAsia" w:ascii="宋体" w:hAnsi="宋体" w:cs="宋体"/>
          <w:b/>
          <w:sz w:val="21"/>
          <w:szCs w:val="21"/>
          <w:lang w:val="en-US" w:eastAsia="zh-CN"/>
        </w:rPr>
        <w:t>本项目服务人数不得少于101人。</w:t>
      </w:r>
    </w:p>
    <w:p w14:paraId="2D8F3245">
      <w:pPr>
        <w:widowControl/>
        <w:spacing w:before="156" w:beforeLines="50" w:line="360" w:lineRule="auto"/>
        <w:ind w:left="0" w:leftChars="0"/>
        <w:jc w:val="left"/>
        <w:outlineLvl w:val="1"/>
        <w:rPr>
          <w:rFonts w:hint="eastAsia" w:ascii="宋体" w:hAnsi="宋体" w:eastAsia="宋体" w:cs="宋体"/>
          <w:b/>
          <w:color w:val="FF0000"/>
          <w:sz w:val="21"/>
          <w:szCs w:val="21"/>
          <w:lang w:val="en-US" w:eastAsia="zh-CN"/>
        </w:rPr>
      </w:pPr>
      <w:r>
        <w:rPr>
          <w:rFonts w:hint="eastAsia" w:ascii="宋体" w:hAnsi="宋体" w:cs="宋体"/>
          <w:b/>
          <w:sz w:val="21"/>
          <w:szCs w:val="21"/>
          <w:lang w:val="en-US" w:eastAsia="zh-CN"/>
        </w:rPr>
        <w:t>四</w:t>
      </w:r>
      <w:r>
        <w:rPr>
          <w:rFonts w:hint="eastAsia" w:ascii="宋体" w:hAnsi="宋体" w:eastAsia="宋体" w:cs="宋体"/>
          <w:b/>
          <w:sz w:val="21"/>
          <w:szCs w:val="21"/>
          <w:lang w:val="en-US" w:eastAsia="zh-CN"/>
        </w:rPr>
        <w:t>、</w:t>
      </w:r>
      <w:r>
        <w:rPr>
          <w:rFonts w:hint="eastAsia" w:ascii="宋体" w:hAnsi="宋体" w:eastAsia="宋体" w:cs="宋体"/>
          <w:b/>
          <w:kern w:val="2"/>
          <w:sz w:val="21"/>
          <w:szCs w:val="21"/>
        </w:rPr>
        <w:t>物业管理</w:t>
      </w:r>
      <w:r>
        <w:rPr>
          <w:rFonts w:hint="eastAsia" w:ascii="宋体" w:hAnsi="宋体" w:eastAsia="宋体" w:cs="宋体"/>
          <w:b/>
          <w:kern w:val="2"/>
          <w:sz w:val="21"/>
          <w:szCs w:val="21"/>
          <w:lang w:eastAsia="zh-CN"/>
        </w:rPr>
        <w:t>服务</w:t>
      </w:r>
      <w:r>
        <w:rPr>
          <w:rFonts w:hint="eastAsia" w:ascii="宋体" w:hAnsi="宋体" w:eastAsia="宋体" w:cs="宋体"/>
          <w:b/>
          <w:kern w:val="2"/>
          <w:sz w:val="21"/>
          <w:szCs w:val="21"/>
        </w:rPr>
        <w:t>费用</w:t>
      </w:r>
      <w:r>
        <w:rPr>
          <w:rFonts w:hint="eastAsia" w:ascii="宋体" w:hAnsi="宋体" w:eastAsia="宋体" w:cs="宋体"/>
          <w:b/>
          <w:kern w:val="2"/>
          <w:sz w:val="21"/>
          <w:szCs w:val="21"/>
          <w:lang w:eastAsia="zh-CN"/>
        </w:rPr>
        <w:t>明细</w:t>
      </w:r>
    </w:p>
    <w:p w14:paraId="3C06E78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物业</w:t>
      </w:r>
      <w:r>
        <w:rPr>
          <w:rFonts w:hint="eastAsia" w:ascii="宋体" w:hAnsi="宋体" w:eastAsia="宋体" w:cs="宋体"/>
          <w:sz w:val="21"/>
          <w:szCs w:val="21"/>
          <w:lang w:eastAsia="zh-CN"/>
        </w:rPr>
        <w:t>管理服务</w:t>
      </w:r>
      <w:r>
        <w:rPr>
          <w:rFonts w:hint="eastAsia" w:ascii="宋体" w:hAnsi="宋体" w:eastAsia="宋体" w:cs="宋体"/>
          <w:sz w:val="21"/>
          <w:szCs w:val="21"/>
        </w:rPr>
        <w:t>费内容包括：</w:t>
      </w:r>
    </w:p>
    <w:p w14:paraId="17F523B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员工人工工资</w:t>
      </w:r>
    </w:p>
    <w:p w14:paraId="6E0E7D16">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eastAsia="zh-CN"/>
        </w:rPr>
        <w:t>2、</w:t>
      </w:r>
      <w:r>
        <w:rPr>
          <w:rFonts w:hint="eastAsia" w:ascii="宋体" w:hAnsi="宋体" w:eastAsia="宋体" w:cs="宋体"/>
          <w:sz w:val="21"/>
          <w:szCs w:val="21"/>
        </w:rPr>
        <w:t>员工法定社保</w:t>
      </w:r>
      <w:r>
        <w:rPr>
          <w:rFonts w:hint="eastAsia" w:ascii="宋体" w:hAnsi="宋体" w:cs="宋体"/>
          <w:sz w:val="21"/>
          <w:szCs w:val="21"/>
          <w:lang w:eastAsia="zh-CN"/>
        </w:rPr>
        <w:t>、</w:t>
      </w:r>
      <w:r>
        <w:rPr>
          <w:rFonts w:hint="eastAsia" w:ascii="宋体" w:hAnsi="宋体" w:eastAsia="宋体" w:cs="宋体"/>
          <w:sz w:val="21"/>
          <w:szCs w:val="21"/>
        </w:rPr>
        <w:t>公积金</w:t>
      </w:r>
      <w:r>
        <w:rPr>
          <w:rFonts w:hint="eastAsia" w:ascii="宋体" w:hAnsi="宋体" w:cs="宋体"/>
          <w:sz w:val="21"/>
          <w:szCs w:val="21"/>
          <w:lang w:eastAsia="zh-CN"/>
        </w:rPr>
        <w:t>、</w:t>
      </w:r>
      <w:r>
        <w:rPr>
          <w:rFonts w:hint="eastAsia" w:ascii="宋体" w:hAnsi="宋体" w:cs="宋体"/>
          <w:sz w:val="21"/>
          <w:szCs w:val="21"/>
          <w:lang w:val="en-US" w:eastAsia="zh-CN"/>
        </w:rPr>
        <w:t>福利等费用</w:t>
      </w:r>
    </w:p>
    <w:p w14:paraId="531E19CA">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cs="宋体"/>
          <w:sz w:val="21"/>
          <w:szCs w:val="21"/>
          <w:lang w:val="en-US" w:eastAsia="zh-CN"/>
        </w:rPr>
        <w:t>国定</w:t>
      </w:r>
      <w:r>
        <w:rPr>
          <w:rFonts w:hint="eastAsia" w:ascii="宋体" w:hAnsi="宋体" w:eastAsia="宋体" w:cs="宋体"/>
          <w:sz w:val="21"/>
          <w:szCs w:val="21"/>
        </w:rPr>
        <w:t>加班费</w:t>
      </w:r>
    </w:p>
    <w:p w14:paraId="4FD48A8C">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服装费</w:t>
      </w:r>
    </w:p>
    <w:p w14:paraId="0EE05CB2">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教育培训费</w:t>
      </w:r>
    </w:p>
    <w:p w14:paraId="589640BE">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办公费用</w:t>
      </w:r>
    </w:p>
    <w:p w14:paraId="3002152B">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7、保洁物耗：保洁工具及卫生消耗品包括楼宇和道路保洁人员所使用的大小垃圾袋消耗费用等。（耗材表详见附件）</w:t>
      </w:r>
    </w:p>
    <w:p w14:paraId="249F5273">
      <w:pPr>
        <w:spacing w:line="360" w:lineRule="auto"/>
        <w:ind w:firstLine="400" w:firstLineChars="200"/>
        <w:rPr>
          <w:rFonts w:hint="default" w:ascii="宋体" w:hAnsi="宋体" w:eastAsia="宋体" w:cs="宋体"/>
          <w:sz w:val="21"/>
          <w:szCs w:val="21"/>
          <w:lang w:val="en-US" w:eastAsia="zh-CN"/>
        </w:rPr>
      </w:pPr>
      <w:r>
        <w:rPr>
          <w:rFonts w:hint="eastAsia" w:ascii="宋体" w:hAnsi="宋体" w:cs="宋体"/>
          <w:bCs/>
          <w:sz w:val="20"/>
          <w:szCs w:val="20"/>
          <w:lang w:val="en-US" w:eastAsia="zh-CN"/>
        </w:rPr>
        <w:t>8、</w:t>
      </w:r>
      <w:r>
        <w:rPr>
          <w:rFonts w:hint="eastAsia" w:ascii="宋体" w:hAnsi="宋体" w:cs="宋体"/>
          <w:bCs/>
          <w:sz w:val="20"/>
          <w:szCs w:val="20"/>
        </w:rPr>
        <w:t>专项检测、养护</w:t>
      </w:r>
      <w:r>
        <w:rPr>
          <w:rFonts w:hint="eastAsia" w:ascii="宋体" w:hAnsi="宋体" w:cs="宋体"/>
          <w:bCs/>
          <w:sz w:val="20"/>
          <w:szCs w:val="20"/>
          <w:lang w:eastAsia="zh-CN"/>
        </w:rPr>
        <w:t>：</w:t>
      </w:r>
      <w:r>
        <w:rPr>
          <w:rFonts w:hint="eastAsia" w:ascii="宋体" w:hAnsi="宋体" w:cs="宋体"/>
          <w:bCs/>
          <w:sz w:val="20"/>
          <w:szCs w:val="20"/>
          <w:lang w:val="en-US" w:eastAsia="zh-CN"/>
        </w:rPr>
        <w:t>含</w:t>
      </w:r>
      <w:r>
        <w:rPr>
          <w:rFonts w:hint="eastAsia" w:ascii="宋体" w:hAnsi="宋体" w:cs="宋体"/>
          <w:kern w:val="0"/>
          <w:sz w:val="20"/>
          <w:szCs w:val="20"/>
        </w:rPr>
        <w:t>电梯轿厢不锈钢上光保养</w:t>
      </w:r>
      <w:r>
        <w:rPr>
          <w:rFonts w:hint="eastAsia" w:ascii="宋体" w:hAnsi="宋体" w:cs="宋体"/>
          <w:kern w:val="0"/>
          <w:sz w:val="20"/>
          <w:szCs w:val="20"/>
          <w:lang w:eastAsia="zh-CN"/>
        </w:rPr>
        <w:t>，</w:t>
      </w:r>
      <w:r>
        <w:rPr>
          <w:rFonts w:hint="eastAsia" w:ascii="宋体" w:hAnsi="宋体" w:cs="宋体"/>
          <w:kern w:val="0"/>
          <w:sz w:val="20"/>
          <w:szCs w:val="20"/>
        </w:rPr>
        <w:t>所有楼顶的雨水管排水孔清理由物业负责，不得少于一年四次；汛期间（6月1日至9月30日）每两周一次</w:t>
      </w:r>
      <w:r>
        <w:rPr>
          <w:rFonts w:hint="eastAsia" w:ascii="宋体" w:hAnsi="宋体" w:cs="宋体"/>
          <w:kern w:val="0"/>
          <w:sz w:val="20"/>
          <w:szCs w:val="20"/>
          <w:lang w:eastAsia="zh-CN"/>
        </w:rPr>
        <w:t>，</w:t>
      </w:r>
      <w:r>
        <w:rPr>
          <w:rFonts w:hint="eastAsia" w:ascii="宋体" w:hAnsi="宋体" w:cs="宋体"/>
          <w:kern w:val="0"/>
          <w:sz w:val="20"/>
          <w:szCs w:val="20"/>
          <w:lang w:val="en-US" w:eastAsia="zh-CN"/>
        </w:rPr>
        <w:t>水箱清洗及水质检测。</w:t>
      </w:r>
    </w:p>
    <w:p w14:paraId="4DB0F6E5">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cs="宋体"/>
          <w:sz w:val="21"/>
          <w:szCs w:val="21"/>
          <w:lang w:val="en-US" w:eastAsia="zh-CN"/>
        </w:rPr>
        <w:t>雇主责任险、公众责任险</w:t>
      </w:r>
    </w:p>
    <w:p w14:paraId="7D70416B">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lang w:val="en-US" w:eastAsia="zh-CN"/>
        </w:rPr>
        <w:t>、</w:t>
      </w:r>
      <w:r>
        <w:rPr>
          <w:rFonts w:hint="eastAsia" w:ascii="宋体" w:hAnsi="宋体" w:eastAsia="宋体" w:cs="宋体"/>
          <w:sz w:val="21"/>
          <w:szCs w:val="21"/>
        </w:rPr>
        <w:t>公司管理费及酬金</w:t>
      </w:r>
    </w:p>
    <w:p w14:paraId="167E1CB9">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11</w:t>
      </w:r>
      <w:r>
        <w:rPr>
          <w:rFonts w:hint="eastAsia" w:ascii="宋体" w:hAnsi="宋体" w:eastAsia="宋体" w:cs="宋体"/>
          <w:sz w:val="21"/>
          <w:szCs w:val="21"/>
          <w:lang w:val="en-US" w:eastAsia="zh-CN"/>
        </w:rPr>
        <w:t>、</w:t>
      </w:r>
      <w:r>
        <w:rPr>
          <w:rFonts w:hint="eastAsia" w:ascii="宋体" w:hAnsi="宋体" w:eastAsia="宋体" w:cs="宋体"/>
          <w:sz w:val="21"/>
          <w:szCs w:val="21"/>
        </w:rPr>
        <w:t>税金</w:t>
      </w:r>
    </w:p>
    <w:p w14:paraId="342B329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采购</w:t>
      </w:r>
      <w:r>
        <w:rPr>
          <w:rFonts w:hint="eastAsia" w:ascii="宋体" w:hAnsi="宋体" w:eastAsia="宋体" w:cs="宋体"/>
          <w:sz w:val="21"/>
          <w:szCs w:val="21"/>
          <w:lang w:eastAsia="zh-CN"/>
        </w:rPr>
        <w:t>单位</w:t>
      </w:r>
      <w:r>
        <w:rPr>
          <w:rFonts w:hint="eastAsia" w:ascii="宋体" w:hAnsi="宋体" w:eastAsia="宋体" w:cs="宋体"/>
          <w:sz w:val="21"/>
          <w:szCs w:val="21"/>
        </w:rPr>
        <w:t>自理费用项目：</w:t>
      </w:r>
    </w:p>
    <w:p w14:paraId="0BB3154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水、电、煤等能源消耗费。</w:t>
      </w:r>
    </w:p>
    <w:p w14:paraId="7408CCFF">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开荒保洁服务费：如学校举办临时性活动或大型活动、学校各部门超出招标服务范围外的保洁服务需求等，按照中标服务单价标准据实结算。开荒保洁服务费原则上由学校需求部门日常预算另行支出，不在此次招标预算内。合同期内开荒保洁服务费严格控制审核，不超本项目中标总金额的2%。</w:t>
      </w:r>
    </w:p>
    <w:p w14:paraId="5A58F5FE">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.零星维修管理服务费用不包含材料费，材料费由采购人支付，按实结算。</w:t>
      </w:r>
    </w:p>
    <w:p w14:paraId="2BC476E6">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专用设备、设施、变配电设备、给排水设备、污水处理设备、消防设施、中央空调、分体空调、电梯、机械车库、监控安全技防设施、计算机房、通讯设备、安检设备、移动门等维护、维修、配件费用，委托专业公司维护保养或维修费用。</w:t>
      </w:r>
    </w:p>
    <w:p w14:paraId="2D0CBA3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特种设备年检费、高压电试检测费用。</w:t>
      </w:r>
    </w:p>
    <w:p w14:paraId="4DA920B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除物业服务管理费约定以外的费用</w:t>
      </w:r>
      <w:r>
        <w:rPr>
          <w:rFonts w:hint="eastAsia" w:ascii="宋体" w:hAnsi="宋体" w:eastAsia="宋体" w:cs="宋体"/>
          <w:sz w:val="21"/>
          <w:szCs w:val="21"/>
          <w:lang w:eastAsia="zh-CN"/>
        </w:rPr>
        <w:t>，</w:t>
      </w:r>
      <w:r>
        <w:rPr>
          <w:rFonts w:hint="eastAsia" w:ascii="宋体" w:hAnsi="宋体" w:eastAsia="宋体" w:cs="宋体"/>
          <w:sz w:val="21"/>
          <w:szCs w:val="21"/>
        </w:rPr>
        <w:t>合同期内每季度考评一次，考评合格（≥80分）作为服务费支付依据（考评表见附件）</w:t>
      </w:r>
      <w:r>
        <w:rPr>
          <w:rFonts w:hint="eastAsia" w:ascii="宋体" w:hAnsi="宋体" w:eastAsia="宋体" w:cs="宋体"/>
          <w:sz w:val="21"/>
          <w:szCs w:val="21"/>
          <w:lang w:eastAsia="zh-CN"/>
        </w:rPr>
        <w:t>，</w:t>
      </w:r>
      <w:r>
        <w:rPr>
          <w:rFonts w:hint="eastAsia" w:ascii="宋体" w:hAnsi="宋体" w:eastAsia="宋体" w:cs="宋体"/>
          <w:sz w:val="21"/>
          <w:szCs w:val="21"/>
        </w:rPr>
        <w:t>付款方式：按季度付款。</w:t>
      </w:r>
    </w:p>
    <w:p w14:paraId="0B3C1613">
      <w:pPr>
        <w:widowControl/>
        <w:spacing w:before="0" w:beforeLines="0" w:line="360" w:lineRule="auto"/>
        <w:ind w:left="0" w:leftChars="0" w:firstLine="420" w:firstLineChars="200"/>
        <w:jc w:val="left"/>
        <w:outlineLvl w:val="9"/>
        <w:rPr>
          <w:rFonts w:hint="eastAsia" w:ascii="宋体" w:hAnsi="宋体" w:eastAsia="宋体" w:cs="宋体"/>
          <w:sz w:val="21"/>
          <w:szCs w:val="21"/>
          <w:lang w:val="en-US" w:eastAsia="zh-CN"/>
        </w:rPr>
      </w:pPr>
    </w:p>
    <w:p w14:paraId="7C33E76C">
      <w:pPr>
        <w:widowControl/>
        <w:spacing w:before="156" w:beforeLines="50" w:line="360" w:lineRule="auto"/>
        <w:ind w:left="0" w:leftChars="0" w:firstLine="422" w:firstLineChars="200"/>
        <w:jc w:val="left"/>
        <w:outlineLvl w:val="1"/>
        <w:rPr>
          <w:rFonts w:hint="eastAsia" w:ascii="宋体" w:hAnsi="宋体" w:eastAsia="宋体" w:cs="宋体"/>
          <w:b/>
          <w:sz w:val="21"/>
          <w:szCs w:val="21"/>
        </w:rPr>
      </w:pPr>
      <w:r>
        <w:rPr>
          <w:rFonts w:hint="eastAsia" w:ascii="宋体" w:hAnsi="宋体" w:cs="宋体"/>
          <w:b/>
          <w:sz w:val="21"/>
          <w:szCs w:val="21"/>
          <w:lang w:val="en-US" w:eastAsia="zh-CN"/>
        </w:rPr>
        <w:t>五</w:t>
      </w:r>
      <w:r>
        <w:rPr>
          <w:rFonts w:hint="eastAsia" w:ascii="宋体" w:hAnsi="宋体" w:eastAsia="宋体" w:cs="宋体"/>
          <w:b/>
          <w:sz w:val="21"/>
          <w:szCs w:val="21"/>
        </w:rPr>
        <w:t>、其他要求</w:t>
      </w:r>
    </w:p>
    <w:p w14:paraId="3F138C4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highlight w:val="none"/>
          <w:lang w:val="en-US" w:eastAsia="zh-CN"/>
        </w:rPr>
        <w:t>本次采购服务期为壹年，为2025年10月11日至2026年10月10日止。</w:t>
      </w:r>
    </w:p>
    <w:p w14:paraId="5B098E0F">
      <w:pPr>
        <w:spacing w:line="360" w:lineRule="auto"/>
        <w:ind w:firstLine="420" w:firstLineChars="200"/>
        <w:rPr>
          <w:rFonts w:hint="eastAsia" w:ascii="宋体" w:hAnsi="宋体" w:eastAsia="宋体" w:cs="宋体"/>
          <w:color w:val="000000"/>
          <w:kern w:val="0"/>
          <w:sz w:val="21"/>
          <w:szCs w:val="21"/>
          <w:lang w:bidi="ar-SA"/>
        </w:rPr>
      </w:pPr>
      <w:r>
        <w:rPr>
          <w:rFonts w:hint="eastAsia" w:ascii="宋体" w:hAnsi="宋体" w:eastAsia="宋体" w:cs="宋体"/>
          <w:sz w:val="21"/>
          <w:szCs w:val="21"/>
        </w:rPr>
        <w:t>（2）</w:t>
      </w:r>
      <w:r>
        <w:rPr>
          <w:rFonts w:hint="eastAsia" w:ascii="宋体" w:hAnsi="宋体" w:eastAsia="宋体" w:cs="宋体"/>
          <w:color w:val="000000"/>
          <w:kern w:val="0"/>
          <w:sz w:val="21"/>
          <w:szCs w:val="21"/>
          <w:lang w:bidi="ar-SA"/>
        </w:rPr>
        <w:t>供应商具有质量管理体系认证（GB/T 19001认证）、职业健康安全管理体系认证（GB/T 45001认证），环境管理体系认证（GB/T 24001认证），</w:t>
      </w:r>
      <w:r>
        <w:rPr>
          <w:rFonts w:hint="eastAsia" w:ascii="宋体" w:hAnsi="宋体" w:cs="宋体"/>
          <w:color w:val="000000"/>
          <w:kern w:val="0"/>
          <w:sz w:val="21"/>
          <w:szCs w:val="21"/>
          <w:lang w:val="en-US" w:eastAsia="zh-CN" w:bidi="ar-SA"/>
        </w:rPr>
        <w:t>履约能力评价体系认证（GB/T31863-2015），生活垃圾分类能力服务认证（GB/T19095-2019）</w:t>
      </w:r>
      <w:r>
        <w:rPr>
          <w:rFonts w:hint="eastAsia" w:ascii="宋体" w:hAnsi="宋体" w:eastAsia="宋体" w:cs="宋体"/>
          <w:color w:val="000000"/>
          <w:kern w:val="0"/>
          <w:sz w:val="21"/>
          <w:szCs w:val="21"/>
          <w:lang w:bidi="ar-SA"/>
        </w:rPr>
        <w:t>并在认证有效期内的优先考虑。</w:t>
      </w:r>
    </w:p>
    <w:p w14:paraId="2169ECA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供应商具备近三年类似项目业绩的优先考虑。</w:t>
      </w:r>
    </w:p>
    <w:p w14:paraId="0CFD571A">
      <w:pPr>
        <w:spacing w:line="360" w:lineRule="auto"/>
        <w:ind w:firstLine="420" w:firstLineChars="200"/>
        <w:rPr>
          <w:rFonts w:hint="eastAsia" w:ascii="宋体" w:hAnsi="宋体" w:eastAsia="宋体" w:cs="宋体"/>
          <w:sz w:val="21"/>
          <w:szCs w:val="21"/>
          <w:lang w:eastAsia="zh-CN"/>
        </w:rPr>
      </w:pPr>
      <w:r>
        <w:rPr>
          <w:rFonts w:hint="eastAsia" w:ascii="宋体" w:hAnsi="宋体" w:cs="宋体"/>
          <w:color w:val="000000"/>
          <w:kern w:val="0"/>
          <w:sz w:val="21"/>
          <w:szCs w:val="21"/>
          <w:lang w:val="en-US" w:eastAsia="zh-CN" w:bidi="ar-SA"/>
        </w:rPr>
        <w:t>（4）</w:t>
      </w:r>
      <w:r>
        <w:rPr>
          <w:rFonts w:hint="eastAsia" w:ascii="宋体" w:hAnsi="宋体" w:eastAsia="宋体" w:cs="宋体"/>
          <w:sz w:val="21"/>
          <w:szCs w:val="21"/>
          <w:lang w:val="en-US" w:eastAsia="zh-CN"/>
        </w:rPr>
        <w:t>供应商应承诺一年内本项目人员流动率不超过15%，</w:t>
      </w:r>
      <w:r>
        <w:rPr>
          <w:rFonts w:hint="eastAsia" w:ascii="宋体" w:hAnsi="宋体" w:eastAsia="宋体" w:cs="宋体"/>
          <w:sz w:val="21"/>
          <w:szCs w:val="21"/>
          <w:lang w:eastAsia="zh-CN"/>
        </w:rPr>
        <w:t>主要管理人员调动必须经校方审定。应当保证对员工进行相关培训，培训员工覆盖率不低于95%。</w:t>
      </w:r>
    </w:p>
    <w:p w14:paraId="5E612B72">
      <w:pPr>
        <w:spacing w:line="360" w:lineRule="auto"/>
        <w:ind w:firstLine="420" w:firstLineChars="200"/>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（5）</w:t>
      </w:r>
      <w:r>
        <w:rPr>
          <w:rFonts w:hint="eastAsia" w:ascii="宋体" w:hAnsi="宋体" w:eastAsia="宋体" w:cs="宋体"/>
          <w:sz w:val="21"/>
          <w:szCs w:val="21"/>
          <w:lang w:eastAsia="zh-CN"/>
        </w:rPr>
        <w:t>如中标企业为中型企业，则要以合同分包形式将中标金额的 20%分包给小微企业，以下涉及服务的内容，可以进行分</w:t>
      </w:r>
      <w:r>
        <w:rPr>
          <w:rFonts w:hint="eastAsia" w:ascii="宋体" w:hAnsi="宋体" w:cs="宋体"/>
          <w:color w:val="000000"/>
          <w:kern w:val="0"/>
          <w:sz w:val="21"/>
          <w:szCs w:val="21"/>
          <w:lang w:val="en-US" w:eastAsia="zh-CN" w:bidi="ar-SA"/>
        </w:rPr>
        <w:t>包：</w:t>
      </w:r>
    </w:p>
    <w:p w14:paraId="594C124D">
      <w:pPr>
        <w:numPr>
          <w:ilvl w:val="0"/>
          <w:numId w:val="19"/>
        </w:numPr>
        <w:spacing w:line="360" w:lineRule="auto"/>
        <w:ind w:left="0" w:leftChars="0" w:firstLine="420" w:firstLineChars="200"/>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公共绿地和室内绿化、摆花的养护和管理（目前预算为50万元/年）。</w:t>
      </w:r>
    </w:p>
    <w:p w14:paraId="7837244D">
      <w:pPr>
        <w:numPr>
          <w:ilvl w:val="0"/>
          <w:numId w:val="19"/>
        </w:numPr>
        <w:spacing w:line="360" w:lineRule="auto"/>
        <w:ind w:left="0" w:leftChars="0" w:firstLine="420" w:firstLineChars="200"/>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公共物业维护保养和（零星）维修管理服务（目前预算为88万元/年）。</w:t>
      </w:r>
    </w:p>
    <w:p w14:paraId="29DC72CC">
      <w:pPr>
        <w:pStyle w:val="6"/>
        <w:spacing w:line="360" w:lineRule="auto"/>
        <w:ind w:left="0" w:firstLine="422"/>
        <w:rPr>
          <w:b w:val="0"/>
          <w:bCs/>
          <w:sz w:val="21"/>
          <w:szCs w:val="21"/>
        </w:rPr>
      </w:pPr>
      <w:r>
        <w:rPr>
          <w:rFonts w:hint="eastAsia"/>
          <w:b w:val="0"/>
          <w:bCs/>
          <w:sz w:val="21"/>
          <w:szCs w:val="21"/>
        </w:rPr>
        <w:t>如采购项目的投标单位自身为</w:t>
      </w:r>
      <w:r>
        <w:rPr>
          <w:rFonts w:hint="eastAsia"/>
          <w:b w:val="0"/>
          <w:bCs/>
          <w:sz w:val="21"/>
          <w:szCs w:val="21"/>
          <w:lang w:val="en-US" w:eastAsia="zh-CN"/>
        </w:rPr>
        <w:t>小微</w:t>
      </w:r>
      <w:r>
        <w:rPr>
          <w:rFonts w:hint="eastAsia"/>
          <w:b w:val="0"/>
          <w:bCs/>
          <w:sz w:val="21"/>
          <w:szCs w:val="21"/>
        </w:rPr>
        <w:t>企业的，则可以不再进行分包。</w:t>
      </w:r>
    </w:p>
    <w:p w14:paraId="040C7FB9">
      <w:pPr>
        <w:numPr>
          <w:ilvl w:val="0"/>
          <w:numId w:val="0"/>
        </w:numPr>
        <w:spacing w:line="360" w:lineRule="auto"/>
        <w:ind w:leftChars="200"/>
        <w:rPr>
          <w:rFonts w:hint="eastAsia" w:ascii="宋体" w:hAnsi="宋体" w:cs="宋体"/>
          <w:color w:val="000000"/>
          <w:kern w:val="0"/>
          <w:sz w:val="21"/>
          <w:szCs w:val="21"/>
          <w:lang w:val="en-US" w:eastAsia="zh-CN" w:bidi="ar-SA"/>
        </w:rPr>
      </w:pPr>
    </w:p>
    <w:p w14:paraId="6EF277F1">
      <w:pPr>
        <w:spacing w:line="360" w:lineRule="auto"/>
        <w:ind w:firstLine="420" w:firstLineChars="200"/>
        <w:rPr>
          <w:rFonts w:hint="eastAsia" w:ascii="宋体" w:hAnsi="宋体" w:eastAsia="宋体" w:cs="宋体"/>
          <w:sz w:val="21"/>
          <w:szCs w:val="21"/>
          <w:lang w:val="en-US" w:eastAsia="zh-CN"/>
        </w:rPr>
      </w:pPr>
    </w:p>
    <w:p w14:paraId="040A1DA3">
      <w:pPr>
        <w:spacing w:line="360" w:lineRule="auto"/>
        <w:outlineLvl w:val="0"/>
        <w:rPr>
          <w:rFonts w:hint="eastAsia" w:ascii="宋体" w:hAnsi="宋体" w:eastAsia="宋体" w:cs="宋体"/>
          <w:b/>
          <w:bCs/>
          <w:sz w:val="21"/>
          <w:szCs w:val="21"/>
        </w:rPr>
      </w:pPr>
      <w:r>
        <w:rPr>
          <w:rFonts w:hint="eastAsia" w:ascii="宋体" w:hAnsi="宋体" w:eastAsia="宋体" w:cs="宋体"/>
          <w:b/>
          <w:bCs/>
          <w:sz w:val="21"/>
          <w:szCs w:val="21"/>
        </w:rPr>
        <w:br w:type="page"/>
      </w:r>
      <w:r>
        <w:rPr>
          <w:rFonts w:hint="eastAsia" w:ascii="宋体" w:hAnsi="宋体" w:eastAsia="宋体" w:cs="宋体"/>
          <w:b/>
          <w:bCs/>
          <w:sz w:val="21"/>
          <w:szCs w:val="21"/>
        </w:rPr>
        <w:t>附件（供参考）</w:t>
      </w:r>
    </w:p>
    <w:p w14:paraId="37546174">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1、物业管理服务人员行为参考规范</w:t>
      </w:r>
    </w:p>
    <w:tbl>
      <w:tblPr>
        <w:tblStyle w:val="15"/>
        <w:tblW w:w="5810" w:type="pct"/>
        <w:tblInd w:w="0" w:type="dxa"/>
        <w:tblLayout w:type="autofit"/>
        <w:tblCellMar>
          <w:top w:w="0" w:type="dxa"/>
          <w:left w:w="108" w:type="dxa"/>
          <w:bottom w:w="0" w:type="dxa"/>
          <w:right w:w="108" w:type="dxa"/>
        </w:tblCellMar>
      </w:tblPr>
      <w:tblGrid>
        <w:gridCol w:w="1022"/>
        <w:gridCol w:w="1081"/>
        <w:gridCol w:w="7800"/>
      </w:tblGrid>
      <w:tr w14:paraId="5EAFED95">
        <w:tblPrEx>
          <w:tblCellMar>
            <w:top w:w="0" w:type="dxa"/>
            <w:left w:w="108" w:type="dxa"/>
            <w:bottom w:w="0" w:type="dxa"/>
            <w:right w:w="108" w:type="dxa"/>
          </w:tblCellMar>
        </w:tblPrEx>
        <w:trPr>
          <w:trHeight w:val="660" w:hRule="atLeast"/>
        </w:trPr>
        <w:tc>
          <w:tcPr>
            <w:tcW w:w="2103" w:type="dxa"/>
            <w:gridSpan w:val="2"/>
            <w:tcBorders>
              <w:top w:val="single" w:color="000000" w:sz="4" w:space="0"/>
              <w:left w:val="single" w:color="000000" w:sz="4" w:space="0"/>
              <w:bottom w:val="single" w:color="000000" w:sz="4" w:space="0"/>
              <w:right w:val="single" w:color="000000" w:sz="4" w:space="0"/>
            </w:tcBorders>
            <w:noWrap w:val="0"/>
            <w:vAlign w:val="center"/>
          </w:tcPr>
          <w:p w14:paraId="1FAC9D6C">
            <w:pPr>
              <w:widowControl/>
              <w:jc w:val="center"/>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项   目</w:t>
            </w: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50FFBC55">
            <w:pPr>
              <w:widowControl/>
              <w:jc w:val="center"/>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行为参考规范</w:t>
            </w:r>
          </w:p>
        </w:tc>
      </w:tr>
      <w:tr w14:paraId="7AEC85E0">
        <w:tblPrEx>
          <w:tblCellMar>
            <w:top w:w="0" w:type="dxa"/>
            <w:left w:w="108" w:type="dxa"/>
            <w:bottom w:w="0" w:type="dxa"/>
            <w:right w:w="108" w:type="dxa"/>
          </w:tblCellMar>
        </w:tblPrEx>
        <w:trPr>
          <w:trHeight w:val="270" w:hRule="atLeast"/>
        </w:trPr>
        <w:tc>
          <w:tcPr>
            <w:tcW w:w="1022" w:type="dxa"/>
            <w:vMerge w:val="restart"/>
            <w:tcBorders>
              <w:top w:val="single" w:color="000000" w:sz="4" w:space="0"/>
              <w:left w:val="single" w:color="000000" w:sz="4" w:space="0"/>
              <w:bottom w:val="single" w:color="000000" w:sz="4" w:space="0"/>
              <w:right w:val="single" w:color="000000" w:sz="4" w:space="0"/>
            </w:tcBorders>
            <w:noWrap w:val="0"/>
            <w:vAlign w:val="center"/>
          </w:tcPr>
          <w:p w14:paraId="57480B14">
            <w:pPr>
              <w:widowControl/>
              <w:jc w:val="center"/>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仪  容  仪  表</w:t>
            </w: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14:paraId="7AFF24B8">
            <w:pPr>
              <w:widowControl/>
              <w:jc w:val="center"/>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服饰着装</w:t>
            </w: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1AE18122">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1.上班时间必须穿工作服，工作服穿戴整齐整洁；</w:t>
            </w:r>
          </w:p>
        </w:tc>
      </w:tr>
      <w:tr w14:paraId="5931F708">
        <w:tblPrEx>
          <w:tblCellMar>
            <w:top w:w="0" w:type="dxa"/>
            <w:left w:w="108" w:type="dxa"/>
            <w:bottom w:w="0" w:type="dxa"/>
            <w:right w:w="108" w:type="dxa"/>
          </w:tblCellMar>
        </w:tblPrEx>
        <w:trPr>
          <w:trHeight w:val="31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094779">
            <w:pPr>
              <w:rPr>
                <w:rFonts w:hint="eastAsia" w:ascii="宋体" w:hAnsi="宋体" w:eastAsia="宋体" w:cs="宋体"/>
                <w:sz w:val="21"/>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B57237">
            <w:pPr>
              <w:rPr>
                <w:rFonts w:hint="eastAsia" w:ascii="宋体" w:hAnsi="宋体" w:eastAsia="宋体" w:cs="宋体"/>
                <w:sz w:val="21"/>
                <w:szCs w:val="21"/>
              </w:rPr>
            </w:pP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534D5C19">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2.上班统一佩戴工作牌，工作牌应端正地戴在左胸襟处；</w:t>
            </w:r>
          </w:p>
        </w:tc>
      </w:tr>
      <w:tr w14:paraId="15744557">
        <w:tblPrEx>
          <w:tblCellMar>
            <w:top w:w="0" w:type="dxa"/>
            <w:left w:w="108" w:type="dxa"/>
            <w:bottom w:w="0" w:type="dxa"/>
            <w:right w:w="108" w:type="dxa"/>
          </w:tblCellMar>
        </w:tblPrEx>
        <w:trPr>
          <w:trHeight w:val="51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E4964F">
            <w:pPr>
              <w:rPr>
                <w:rFonts w:hint="eastAsia" w:ascii="宋体" w:hAnsi="宋体" w:eastAsia="宋体" w:cs="宋体"/>
                <w:sz w:val="21"/>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13C292">
            <w:pPr>
              <w:rPr>
                <w:rFonts w:hint="eastAsia" w:ascii="宋体" w:hAnsi="宋体" w:eastAsia="宋体" w:cs="宋体"/>
                <w:sz w:val="21"/>
                <w:szCs w:val="21"/>
              </w:rPr>
            </w:pP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256DF23E">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 xml:space="preserve">3.鞋袜穿戴整齐清洁， 非工作需要不允许打赤脚或穿雨鞋到处走。特殊工作完毕应在工作场所将鞋擦干净再走； </w:t>
            </w:r>
          </w:p>
        </w:tc>
      </w:tr>
      <w:tr w14:paraId="1A341179">
        <w:tblPrEx>
          <w:tblCellMar>
            <w:top w:w="0" w:type="dxa"/>
            <w:left w:w="108" w:type="dxa"/>
            <w:bottom w:w="0" w:type="dxa"/>
            <w:right w:w="108" w:type="dxa"/>
          </w:tblCellMar>
        </w:tblPrEx>
        <w:trPr>
          <w:trHeight w:val="27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502AD6">
            <w:pPr>
              <w:rPr>
                <w:rFonts w:hint="eastAsia" w:ascii="宋体" w:hAnsi="宋体" w:eastAsia="宋体" w:cs="宋体"/>
                <w:sz w:val="21"/>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41CEC7">
            <w:pPr>
              <w:rPr>
                <w:rFonts w:hint="eastAsia" w:ascii="宋体" w:hAnsi="宋体" w:eastAsia="宋体" w:cs="宋体"/>
                <w:sz w:val="21"/>
                <w:szCs w:val="21"/>
              </w:rPr>
            </w:pP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1227D0CB">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4.非特殊情况不允许穿背心、短裤、拖鞋。</w:t>
            </w:r>
          </w:p>
        </w:tc>
      </w:tr>
      <w:tr w14:paraId="1AABCD57">
        <w:tblPrEx>
          <w:tblCellMar>
            <w:top w:w="0" w:type="dxa"/>
            <w:left w:w="108" w:type="dxa"/>
            <w:bottom w:w="0" w:type="dxa"/>
            <w:right w:w="108" w:type="dxa"/>
          </w:tblCellMar>
        </w:tblPrEx>
        <w:trPr>
          <w:trHeight w:val="27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E79D6">
            <w:pPr>
              <w:rPr>
                <w:rFonts w:hint="eastAsia" w:ascii="宋体" w:hAnsi="宋体" w:eastAsia="宋体" w:cs="宋体"/>
                <w:sz w:val="21"/>
                <w:szCs w:val="21"/>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14:paraId="11EAFFF9">
            <w:pPr>
              <w:widowControl/>
              <w:jc w:val="center"/>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须发</w:t>
            </w: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157FAD40">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1.女员工前发不遮眼， 不梳怪异发型；</w:t>
            </w:r>
          </w:p>
        </w:tc>
      </w:tr>
      <w:tr w14:paraId="3780F806">
        <w:tblPrEx>
          <w:tblCellMar>
            <w:top w:w="0" w:type="dxa"/>
            <w:left w:w="108" w:type="dxa"/>
            <w:bottom w:w="0" w:type="dxa"/>
            <w:right w:w="108" w:type="dxa"/>
          </w:tblCellMar>
        </w:tblPrEx>
        <w:trPr>
          <w:trHeight w:val="31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412CD">
            <w:pPr>
              <w:rPr>
                <w:rFonts w:hint="eastAsia" w:ascii="宋体" w:hAnsi="宋体" w:eastAsia="宋体" w:cs="宋体"/>
                <w:sz w:val="21"/>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26E874">
            <w:pPr>
              <w:rPr>
                <w:rFonts w:hint="eastAsia" w:ascii="宋体" w:hAnsi="宋体" w:eastAsia="宋体" w:cs="宋体"/>
                <w:sz w:val="21"/>
                <w:szCs w:val="21"/>
              </w:rPr>
            </w:pP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69C6771F">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2.男员工不留长发，不留胡须；</w:t>
            </w:r>
          </w:p>
        </w:tc>
      </w:tr>
      <w:tr w14:paraId="34ED255E">
        <w:tblPrEx>
          <w:tblCellMar>
            <w:top w:w="0" w:type="dxa"/>
            <w:left w:w="108" w:type="dxa"/>
            <w:bottom w:w="0" w:type="dxa"/>
            <w:right w:w="108" w:type="dxa"/>
          </w:tblCellMar>
        </w:tblPrEx>
        <w:trPr>
          <w:trHeight w:val="27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87F97A">
            <w:pPr>
              <w:rPr>
                <w:rFonts w:hint="eastAsia" w:ascii="宋体" w:hAnsi="宋体" w:eastAsia="宋体" w:cs="宋体"/>
                <w:sz w:val="21"/>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E23F87">
            <w:pPr>
              <w:rPr>
                <w:rFonts w:hint="eastAsia" w:ascii="宋体" w:hAnsi="宋体" w:eastAsia="宋体" w:cs="宋体"/>
                <w:sz w:val="21"/>
                <w:szCs w:val="21"/>
              </w:rPr>
            </w:pP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3E87E116">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3.所有员工头发应保持整洁。</w:t>
            </w:r>
          </w:p>
        </w:tc>
      </w:tr>
      <w:tr w14:paraId="5CF266D9">
        <w:tblPrEx>
          <w:tblCellMar>
            <w:top w:w="0" w:type="dxa"/>
            <w:left w:w="108" w:type="dxa"/>
            <w:bottom w:w="0" w:type="dxa"/>
            <w:right w:w="108" w:type="dxa"/>
          </w:tblCellMar>
        </w:tblPrEx>
        <w:trPr>
          <w:trHeight w:val="27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B41C42">
            <w:pPr>
              <w:rPr>
                <w:rFonts w:hint="eastAsia" w:ascii="宋体" w:hAnsi="宋体" w:eastAsia="宋体" w:cs="宋体"/>
                <w:sz w:val="21"/>
                <w:szCs w:val="21"/>
              </w:rPr>
            </w:pPr>
          </w:p>
        </w:tc>
        <w:tc>
          <w:tcPr>
            <w:tcW w:w="1081" w:type="dxa"/>
            <w:vMerge w:val="restart"/>
            <w:tcBorders>
              <w:top w:val="single" w:color="000000" w:sz="4" w:space="0"/>
              <w:left w:val="single" w:color="000000" w:sz="4" w:space="0"/>
              <w:bottom w:val="single" w:color="000000" w:sz="4" w:space="0"/>
              <w:right w:val="single" w:color="000000" w:sz="4" w:space="0"/>
            </w:tcBorders>
            <w:noWrap/>
            <w:vAlign w:val="center"/>
          </w:tcPr>
          <w:p w14:paraId="4B66CB15">
            <w:pPr>
              <w:widowControl/>
              <w:jc w:val="center"/>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个人卫生</w:t>
            </w: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7EF51766">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1.保持手部干净，经常修剪指甲；</w:t>
            </w:r>
          </w:p>
        </w:tc>
      </w:tr>
      <w:tr w14:paraId="667E9F04">
        <w:tblPrEx>
          <w:tblCellMar>
            <w:top w:w="0" w:type="dxa"/>
            <w:left w:w="108" w:type="dxa"/>
            <w:bottom w:w="0" w:type="dxa"/>
            <w:right w:w="108" w:type="dxa"/>
          </w:tblCellMar>
        </w:tblPrEx>
        <w:trPr>
          <w:trHeight w:val="27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F985E">
            <w:pPr>
              <w:rPr>
                <w:rFonts w:hint="eastAsia" w:ascii="宋体" w:hAnsi="宋体" w:eastAsia="宋体" w:cs="宋体"/>
                <w:sz w:val="21"/>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noWrap/>
            <w:vAlign w:val="center"/>
          </w:tcPr>
          <w:p w14:paraId="0883DF17">
            <w:pPr>
              <w:rPr>
                <w:rFonts w:hint="eastAsia" w:ascii="宋体" w:hAnsi="宋体" w:eastAsia="宋体" w:cs="宋体"/>
                <w:sz w:val="21"/>
                <w:szCs w:val="21"/>
              </w:rPr>
            </w:pP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4A71CE50">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2.员工应经常洗澡防汗臭，勤换衣服。衣服因工作而弄湿、弄脏后应换洗；</w:t>
            </w:r>
          </w:p>
        </w:tc>
      </w:tr>
      <w:tr w14:paraId="040579E2">
        <w:tblPrEx>
          <w:tblCellMar>
            <w:top w:w="0" w:type="dxa"/>
            <w:left w:w="108" w:type="dxa"/>
            <w:bottom w:w="0" w:type="dxa"/>
            <w:right w:w="108" w:type="dxa"/>
          </w:tblCellMar>
        </w:tblPrEx>
        <w:trPr>
          <w:trHeight w:val="27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B13AF">
            <w:pPr>
              <w:rPr>
                <w:rFonts w:hint="eastAsia" w:ascii="宋体" w:hAnsi="宋体" w:eastAsia="宋体" w:cs="宋体"/>
                <w:sz w:val="21"/>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noWrap/>
            <w:vAlign w:val="center"/>
          </w:tcPr>
          <w:p w14:paraId="3D69CCED">
            <w:pPr>
              <w:rPr>
                <w:rFonts w:hint="eastAsia" w:ascii="宋体" w:hAnsi="宋体" w:eastAsia="宋体" w:cs="宋体"/>
                <w:sz w:val="21"/>
                <w:szCs w:val="21"/>
              </w:rPr>
            </w:pP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300C75E6">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3.上班前和上班期间应注意饮食， 保持口腔清洁、口气清新；</w:t>
            </w:r>
          </w:p>
        </w:tc>
      </w:tr>
      <w:tr w14:paraId="6987CE9F">
        <w:tblPrEx>
          <w:tblCellMar>
            <w:top w:w="0" w:type="dxa"/>
            <w:left w:w="108" w:type="dxa"/>
            <w:bottom w:w="0" w:type="dxa"/>
            <w:right w:w="108" w:type="dxa"/>
          </w:tblCellMar>
        </w:tblPrEx>
        <w:trPr>
          <w:trHeight w:val="31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EFEC45">
            <w:pPr>
              <w:rPr>
                <w:rFonts w:hint="eastAsia" w:ascii="宋体" w:hAnsi="宋体" w:eastAsia="宋体" w:cs="宋体"/>
                <w:sz w:val="21"/>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noWrap/>
            <w:vAlign w:val="center"/>
          </w:tcPr>
          <w:p w14:paraId="6C191774">
            <w:pPr>
              <w:rPr>
                <w:rFonts w:hint="eastAsia" w:ascii="宋体" w:hAnsi="宋体" w:eastAsia="宋体" w:cs="宋体"/>
                <w:sz w:val="21"/>
                <w:szCs w:val="21"/>
              </w:rPr>
            </w:pP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77E4D274">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4.保持眼部、耳部清洁；</w:t>
            </w:r>
          </w:p>
        </w:tc>
      </w:tr>
      <w:tr w14:paraId="40DFC97F">
        <w:tblPrEx>
          <w:tblCellMar>
            <w:top w:w="0" w:type="dxa"/>
            <w:left w:w="108" w:type="dxa"/>
            <w:bottom w:w="0" w:type="dxa"/>
            <w:right w:w="108" w:type="dxa"/>
          </w:tblCellMar>
        </w:tblPrEx>
        <w:trPr>
          <w:trHeight w:val="27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308152">
            <w:pPr>
              <w:rPr>
                <w:rFonts w:hint="eastAsia" w:ascii="宋体" w:hAnsi="宋体" w:eastAsia="宋体" w:cs="宋体"/>
                <w:sz w:val="21"/>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noWrap/>
            <w:vAlign w:val="center"/>
          </w:tcPr>
          <w:p w14:paraId="4FE82AEA">
            <w:pPr>
              <w:rPr>
                <w:rFonts w:hint="eastAsia" w:ascii="宋体" w:hAnsi="宋体" w:eastAsia="宋体" w:cs="宋体"/>
                <w:sz w:val="21"/>
                <w:szCs w:val="21"/>
              </w:rPr>
            </w:pP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4EC2197C">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5.女员工应淡妆打扮， 不允许浓妆艳抹，不宜使用味浓的化妆品；</w:t>
            </w:r>
          </w:p>
        </w:tc>
      </w:tr>
      <w:tr w14:paraId="354795F3">
        <w:tblPrEx>
          <w:tblCellMar>
            <w:top w:w="0" w:type="dxa"/>
            <w:left w:w="108" w:type="dxa"/>
            <w:bottom w:w="0" w:type="dxa"/>
            <w:right w:w="108" w:type="dxa"/>
          </w:tblCellMar>
        </w:tblPrEx>
        <w:trPr>
          <w:trHeight w:val="27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9C2EDB">
            <w:pPr>
              <w:rPr>
                <w:rFonts w:hint="eastAsia" w:ascii="宋体" w:hAnsi="宋体" w:eastAsia="宋体" w:cs="宋体"/>
                <w:sz w:val="21"/>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noWrap/>
            <w:vAlign w:val="center"/>
          </w:tcPr>
          <w:p w14:paraId="72FE65DD">
            <w:pPr>
              <w:rPr>
                <w:rFonts w:hint="eastAsia" w:ascii="宋体" w:hAnsi="宋体" w:eastAsia="宋体" w:cs="宋体"/>
                <w:sz w:val="21"/>
                <w:szCs w:val="21"/>
              </w:rPr>
            </w:pP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6797C76B">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6.每天上班前应注意检查自己的仪表， 必要时应到卫生间或工作间整理。</w:t>
            </w:r>
          </w:p>
        </w:tc>
      </w:tr>
      <w:tr w14:paraId="1C38C7B7">
        <w:tblPrEx>
          <w:tblCellMar>
            <w:top w:w="0" w:type="dxa"/>
            <w:left w:w="108" w:type="dxa"/>
            <w:bottom w:w="0" w:type="dxa"/>
            <w:right w:w="108" w:type="dxa"/>
          </w:tblCellMar>
        </w:tblPrEx>
        <w:trPr>
          <w:trHeight w:val="270" w:hRule="atLeast"/>
        </w:trPr>
        <w:tc>
          <w:tcPr>
            <w:tcW w:w="1022" w:type="dxa"/>
            <w:vMerge w:val="restart"/>
            <w:tcBorders>
              <w:top w:val="single" w:color="000000" w:sz="4" w:space="0"/>
              <w:left w:val="single" w:color="000000" w:sz="4" w:space="0"/>
              <w:bottom w:val="single" w:color="000000" w:sz="4" w:space="0"/>
              <w:right w:val="single" w:color="000000" w:sz="4" w:space="0"/>
            </w:tcBorders>
            <w:noWrap w:val="0"/>
            <w:vAlign w:val="center"/>
          </w:tcPr>
          <w:p w14:paraId="51FF5E7C">
            <w:pPr>
              <w:widowControl/>
              <w:jc w:val="center"/>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行  为  举  止</w:t>
            </w: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14:paraId="3BAB9E56">
            <w:pPr>
              <w:widowControl/>
              <w:jc w:val="left"/>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服务态度</w:t>
            </w: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10011CAE">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1.对客人服务应面带笑容，和颜悦色， 热情主动，做到微笑服务；</w:t>
            </w:r>
          </w:p>
        </w:tc>
      </w:tr>
      <w:tr w14:paraId="1260C504">
        <w:tblPrEx>
          <w:tblCellMar>
            <w:top w:w="0" w:type="dxa"/>
            <w:left w:w="108" w:type="dxa"/>
            <w:bottom w:w="0" w:type="dxa"/>
            <w:right w:w="108" w:type="dxa"/>
          </w:tblCellMar>
        </w:tblPrEx>
        <w:trPr>
          <w:trHeight w:val="31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5368D8">
            <w:pPr>
              <w:rPr>
                <w:rFonts w:hint="eastAsia" w:ascii="宋体" w:hAnsi="宋体" w:eastAsia="宋体" w:cs="宋体"/>
                <w:sz w:val="21"/>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1DD9F5">
            <w:pPr>
              <w:rPr>
                <w:rFonts w:hint="eastAsia" w:ascii="宋体" w:hAnsi="宋体" w:eastAsia="宋体" w:cs="宋体"/>
                <w:sz w:val="21"/>
                <w:szCs w:val="21"/>
              </w:rPr>
            </w:pP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13457E92">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2.谦虚和悦接受客人的评价， 耐心倾听客人的投诉， 事后汇报。</w:t>
            </w:r>
          </w:p>
        </w:tc>
      </w:tr>
      <w:tr w14:paraId="627BAF6D">
        <w:tblPrEx>
          <w:tblCellMar>
            <w:top w:w="0" w:type="dxa"/>
            <w:left w:w="108" w:type="dxa"/>
            <w:bottom w:w="0" w:type="dxa"/>
            <w:right w:w="108" w:type="dxa"/>
          </w:tblCellMar>
        </w:tblPrEx>
        <w:trPr>
          <w:trHeight w:val="27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AD7B6">
            <w:pPr>
              <w:rPr>
                <w:rFonts w:hint="eastAsia" w:ascii="宋体" w:hAnsi="宋体" w:eastAsia="宋体" w:cs="宋体"/>
                <w:sz w:val="21"/>
                <w:szCs w:val="21"/>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14:paraId="2284E067">
            <w:pPr>
              <w:widowControl/>
              <w:jc w:val="center"/>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行走姿态</w:t>
            </w: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0F3AFBAA">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1.行走时不宜双手抱胸或背手走路；</w:t>
            </w:r>
          </w:p>
        </w:tc>
      </w:tr>
      <w:tr w14:paraId="79FE470B">
        <w:tblPrEx>
          <w:tblCellMar>
            <w:top w:w="0" w:type="dxa"/>
            <w:left w:w="108" w:type="dxa"/>
            <w:bottom w:w="0" w:type="dxa"/>
            <w:right w:w="108" w:type="dxa"/>
          </w:tblCellMar>
        </w:tblPrEx>
        <w:trPr>
          <w:trHeight w:val="31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24B0D9">
            <w:pPr>
              <w:rPr>
                <w:rFonts w:hint="eastAsia" w:ascii="宋体" w:hAnsi="宋体" w:eastAsia="宋体" w:cs="宋体"/>
                <w:sz w:val="21"/>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9599A">
            <w:pPr>
              <w:rPr>
                <w:rFonts w:hint="eastAsia" w:ascii="宋体" w:hAnsi="宋体" w:eastAsia="宋体" w:cs="宋体"/>
                <w:sz w:val="21"/>
                <w:szCs w:val="21"/>
              </w:rPr>
            </w:pP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366BED31">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2.在工作场合与他人同行时， 不允许勾肩搭背， 不允许同行时嘻戏打闹；</w:t>
            </w:r>
          </w:p>
        </w:tc>
      </w:tr>
      <w:tr w14:paraId="515327BD">
        <w:tblPrEx>
          <w:tblCellMar>
            <w:top w:w="0" w:type="dxa"/>
            <w:left w:w="108" w:type="dxa"/>
            <w:bottom w:w="0" w:type="dxa"/>
            <w:right w:w="108" w:type="dxa"/>
          </w:tblCellMar>
        </w:tblPrEx>
        <w:trPr>
          <w:trHeight w:val="27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CC5A28">
            <w:pPr>
              <w:rPr>
                <w:rFonts w:hint="eastAsia" w:ascii="宋体" w:hAnsi="宋体" w:eastAsia="宋体" w:cs="宋体"/>
                <w:sz w:val="21"/>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39D3EA">
            <w:pPr>
              <w:rPr>
                <w:rFonts w:hint="eastAsia" w:ascii="宋体" w:hAnsi="宋体" w:eastAsia="宋体" w:cs="宋体"/>
                <w:sz w:val="21"/>
                <w:szCs w:val="21"/>
              </w:rPr>
            </w:pP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18A46193">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3.手拉货物行走时应注意前方行人或障碍物，尽量靠路右侧行走；</w:t>
            </w:r>
          </w:p>
        </w:tc>
      </w:tr>
      <w:tr w14:paraId="19812408">
        <w:tblPrEx>
          <w:tblCellMar>
            <w:top w:w="0" w:type="dxa"/>
            <w:left w:w="108" w:type="dxa"/>
            <w:bottom w:w="0" w:type="dxa"/>
            <w:right w:w="108" w:type="dxa"/>
          </w:tblCellMar>
        </w:tblPrEx>
        <w:trPr>
          <w:trHeight w:val="27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A4AFB">
            <w:pPr>
              <w:rPr>
                <w:rFonts w:hint="eastAsia" w:ascii="宋体" w:hAnsi="宋体" w:eastAsia="宋体" w:cs="宋体"/>
                <w:sz w:val="21"/>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B9BD50">
            <w:pPr>
              <w:rPr>
                <w:rFonts w:hint="eastAsia" w:ascii="宋体" w:hAnsi="宋体" w:eastAsia="宋体" w:cs="宋体"/>
                <w:sz w:val="21"/>
                <w:szCs w:val="21"/>
              </w:rPr>
            </w:pP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4BD3143C">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4.与客户相遇时， 应主动点头示意。</w:t>
            </w:r>
          </w:p>
        </w:tc>
      </w:tr>
      <w:tr w14:paraId="2C829CD9">
        <w:tblPrEx>
          <w:tblCellMar>
            <w:top w:w="0" w:type="dxa"/>
            <w:left w:w="108" w:type="dxa"/>
            <w:bottom w:w="0" w:type="dxa"/>
            <w:right w:w="108" w:type="dxa"/>
          </w:tblCellMar>
        </w:tblPrEx>
        <w:trPr>
          <w:trHeight w:val="51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E077F8">
            <w:pPr>
              <w:rPr>
                <w:rFonts w:hint="eastAsia" w:ascii="宋体" w:hAnsi="宋体" w:eastAsia="宋体" w:cs="宋体"/>
                <w:sz w:val="21"/>
                <w:szCs w:val="21"/>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14:paraId="1C70B25C">
            <w:pPr>
              <w:widowControl/>
              <w:jc w:val="center"/>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坐立姿态</w:t>
            </w: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1530730B">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1.入坐要轻缓，就坐时姿态要端正，上身要直， 腰部挺起， 双膝并拢，手自然放在双膝上，面带笑容；</w:t>
            </w:r>
          </w:p>
        </w:tc>
      </w:tr>
      <w:tr w14:paraId="05A2A754">
        <w:tblPrEx>
          <w:tblCellMar>
            <w:top w:w="0" w:type="dxa"/>
            <w:left w:w="108" w:type="dxa"/>
            <w:bottom w:w="0" w:type="dxa"/>
            <w:right w:w="108" w:type="dxa"/>
          </w:tblCellMar>
        </w:tblPrEx>
        <w:trPr>
          <w:trHeight w:val="27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F3DE1">
            <w:pPr>
              <w:rPr>
                <w:rFonts w:hint="eastAsia" w:ascii="宋体" w:hAnsi="宋体" w:eastAsia="宋体" w:cs="宋体"/>
                <w:sz w:val="21"/>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F39913">
            <w:pPr>
              <w:rPr>
                <w:rFonts w:hint="eastAsia" w:ascii="宋体" w:hAnsi="宋体" w:eastAsia="宋体" w:cs="宋体"/>
                <w:sz w:val="21"/>
                <w:szCs w:val="21"/>
              </w:rPr>
            </w:pP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0A4CFAC2">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2.坐在椅子上不允许前俯后仰、摇腿跷脚或趴在工作台上或把脚放于工作台上；</w:t>
            </w:r>
          </w:p>
        </w:tc>
      </w:tr>
      <w:tr w14:paraId="51912B7F">
        <w:tblPrEx>
          <w:tblCellMar>
            <w:top w:w="0" w:type="dxa"/>
            <w:left w:w="108" w:type="dxa"/>
            <w:bottom w:w="0" w:type="dxa"/>
            <w:right w:w="108" w:type="dxa"/>
          </w:tblCellMar>
        </w:tblPrEx>
        <w:trPr>
          <w:trHeight w:val="51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8E81A">
            <w:pPr>
              <w:rPr>
                <w:rFonts w:hint="eastAsia" w:ascii="宋体" w:hAnsi="宋体" w:eastAsia="宋体" w:cs="宋体"/>
                <w:sz w:val="21"/>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45E52E">
            <w:pPr>
              <w:rPr>
                <w:rFonts w:hint="eastAsia" w:ascii="宋体" w:hAnsi="宋体" w:eastAsia="宋体" w:cs="宋体"/>
                <w:sz w:val="21"/>
                <w:szCs w:val="21"/>
              </w:rPr>
            </w:pP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38DA39BD">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3.站立时姿态要端正，上身要直，人体重心要稳，腰部挺起，双手自然下坠，双脚并拢， 目光平视，面带笑容。</w:t>
            </w:r>
          </w:p>
        </w:tc>
      </w:tr>
      <w:tr w14:paraId="5F6C0292">
        <w:tblPrEx>
          <w:tblCellMar>
            <w:top w:w="0" w:type="dxa"/>
            <w:left w:w="108" w:type="dxa"/>
            <w:bottom w:w="0" w:type="dxa"/>
            <w:right w:w="108" w:type="dxa"/>
          </w:tblCellMar>
        </w:tblPrEx>
        <w:trPr>
          <w:trHeight w:val="51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AAF83B">
            <w:pPr>
              <w:rPr>
                <w:rFonts w:hint="eastAsia" w:ascii="宋体" w:hAnsi="宋体" w:eastAsia="宋体" w:cs="宋体"/>
                <w:sz w:val="21"/>
                <w:szCs w:val="21"/>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14:paraId="4AFE7673">
            <w:pPr>
              <w:widowControl/>
              <w:jc w:val="center"/>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其他行为</w:t>
            </w: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5CD030B8">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 xml:space="preserve">1、 要注意个人形象，不允许随地吐痰， 乱扔果皮、纸屑；上班时间不允许吃零食，玩弄个人小物品或做与工作无关的事情； </w:t>
            </w:r>
          </w:p>
        </w:tc>
      </w:tr>
      <w:tr w14:paraId="5996221F">
        <w:tblPrEx>
          <w:tblCellMar>
            <w:top w:w="0" w:type="dxa"/>
            <w:left w:w="108" w:type="dxa"/>
            <w:bottom w:w="0" w:type="dxa"/>
            <w:right w:w="108" w:type="dxa"/>
          </w:tblCellMar>
        </w:tblPrEx>
        <w:trPr>
          <w:trHeight w:val="51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88CC5">
            <w:pPr>
              <w:rPr>
                <w:rFonts w:hint="eastAsia" w:ascii="宋体" w:hAnsi="宋体" w:eastAsia="宋体" w:cs="宋体"/>
                <w:sz w:val="21"/>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938886">
            <w:pPr>
              <w:rPr>
                <w:rFonts w:hint="eastAsia" w:ascii="宋体" w:hAnsi="宋体" w:eastAsia="宋体" w:cs="宋体"/>
                <w:sz w:val="21"/>
                <w:szCs w:val="21"/>
              </w:rPr>
            </w:pP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557DCCA0">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2、 到公共、工作场所（或客户处） 进行工作时， 不允许乱翻乱摸，更不允许随意拿走公用的（或客户的）东西；</w:t>
            </w:r>
          </w:p>
        </w:tc>
      </w:tr>
      <w:tr w14:paraId="619991E2">
        <w:tblPrEx>
          <w:tblCellMar>
            <w:top w:w="0" w:type="dxa"/>
            <w:left w:w="108" w:type="dxa"/>
            <w:bottom w:w="0" w:type="dxa"/>
            <w:right w:w="108" w:type="dxa"/>
          </w:tblCellMar>
        </w:tblPrEx>
        <w:trPr>
          <w:trHeight w:val="31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E3C087">
            <w:pPr>
              <w:rPr>
                <w:rFonts w:hint="eastAsia" w:ascii="宋体" w:hAnsi="宋体" w:eastAsia="宋体" w:cs="宋体"/>
                <w:sz w:val="21"/>
                <w:szCs w:val="21"/>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6B15F6">
            <w:pPr>
              <w:rPr>
                <w:rFonts w:hint="eastAsia" w:ascii="宋体" w:hAnsi="宋体" w:eastAsia="宋体" w:cs="宋体"/>
                <w:sz w:val="21"/>
                <w:szCs w:val="21"/>
              </w:rPr>
            </w:pP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15847D95">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3、 谈话时，手势不宜过多，幅度不宜太大。</w:t>
            </w:r>
          </w:p>
        </w:tc>
      </w:tr>
      <w:tr w14:paraId="7FB117E0">
        <w:tblPrEx>
          <w:tblCellMar>
            <w:top w:w="0" w:type="dxa"/>
            <w:left w:w="108" w:type="dxa"/>
            <w:bottom w:w="0" w:type="dxa"/>
            <w:right w:w="108" w:type="dxa"/>
          </w:tblCellMar>
        </w:tblPrEx>
        <w:trPr>
          <w:trHeight w:val="315" w:hRule="atLeast"/>
        </w:trPr>
        <w:tc>
          <w:tcPr>
            <w:tcW w:w="1022" w:type="dxa"/>
            <w:vMerge w:val="restart"/>
            <w:tcBorders>
              <w:top w:val="single" w:color="000000" w:sz="4" w:space="0"/>
              <w:left w:val="single" w:color="000000" w:sz="4" w:space="0"/>
              <w:bottom w:val="single" w:color="000000" w:sz="4" w:space="0"/>
              <w:right w:val="single" w:color="000000" w:sz="4" w:space="0"/>
            </w:tcBorders>
            <w:noWrap w:val="0"/>
            <w:vAlign w:val="center"/>
          </w:tcPr>
          <w:p w14:paraId="4176F63E">
            <w:pPr>
              <w:widowControl/>
              <w:jc w:val="center"/>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礼  貌  用  语</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06AD2AC">
            <w:pPr>
              <w:widowControl/>
              <w:jc w:val="left"/>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问候语</w:t>
            </w: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4319EEDA">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您好、早安、午安、早、早上好、下午好、晚上好、路上辛苦了。</w:t>
            </w:r>
          </w:p>
        </w:tc>
      </w:tr>
      <w:tr w14:paraId="43231C75">
        <w:tblPrEx>
          <w:tblCellMar>
            <w:top w:w="0" w:type="dxa"/>
            <w:left w:w="108" w:type="dxa"/>
            <w:bottom w:w="0" w:type="dxa"/>
            <w:right w:w="108" w:type="dxa"/>
          </w:tblCellMar>
        </w:tblPrEx>
        <w:trPr>
          <w:trHeight w:val="31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26C2F">
            <w:pPr>
              <w:rPr>
                <w:rFonts w:hint="eastAsia" w:ascii="宋体" w:hAnsi="宋体" w:eastAsia="宋体" w:cs="宋体"/>
                <w:sz w:val="21"/>
                <w:szCs w:val="21"/>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3D3B28C">
            <w:pPr>
              <w:widowControl/>
              <w:jc w:val="left"/>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欢迎语</w:t>
            </w: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505DC16B">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欢迎光临、欢迎您来 XX 单位。</w:t>
            </w:r>
          </w:p>
        </w:tc>
      </w:tr>
      <w:tr w14:paraId="5DF64AE7">
        <w:tblPrEx>
          <w:tblCellMar>
            <w:top w:w="0" w:type="dxa"/>
            <w:left w:w="108" w:type="dxa"/>
            <w:bottom w:w="0" w:type="dxa"/>
            <w:right w:w="108" w:type="dxa"/>
          </w:tblCellMar>
        </w:tblPrEx>
        <w:trPr>
          <w:trHeight w:val="31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58983A">
            <w:pPr>
              <w:rPr>
                <w:rFonts w:hint="eastAsia" w:ascii="宋体" w:hAnsi="宋体" w:eastAsia="宋体" w:cs="宋体"/>
                <w:sz w:val="21"/>
                <w:szCs w:val="21"/>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7557BEB">
            <w:pPr>
              <w:widowControl/>
              <w:jc w:val="left"/>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祝贺语</w:t>
            </w: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4F18B57A">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祝您节日愉快、祝您新年快乐、祝您新春快乐。</w:t>
            </w:r>
          </w:p>
        </w:tc>
      </w:tr>
      <w:tr w14:paraId="6123792B">
        <w:tblPrEx>
          <w:tblCellMar>
            <w:top w:w="0" w:type="dxa"/>
            <w:left w:w="108" w:type="dxa"/>
            <w:bottom w:w="0" w:type="dxa"/>
            <w:right w:w="108" w:type="dxa"/>
          </w:tblCellMar>
        </w:tblPrEx>
        <w:trPr>
          <w:trHeight w:val="31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ED8CFF">
            <w:pPr>
              <w:rPr>
                <w:rFonts w:hint="eastAsia" w:ascii="宋体" w:hAnsi="宋体" w:eastAsia="宋体" w:cs="宋体"/>
                <w:sz w:val="21"/>
                <w:szCs w:val="21"/>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5536790">
            <w:pPr>
              <w:widowControl/>
              <w:jc w:val="left"/>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告别语</w:t>
            </w: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4BCDCEEF">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再见、晚安、明天见、祝您一路平安。</w:t>
            </w:r>
          </w:p>
        </w:tc>
      </w:tr>
      <w:tr w14:paraId="2B406FF8">
        <w:tblPrEx>
          <w:tblCellMar>
            <w:top w:w="0" w:type="dxa"/>
            <w:left w:w="108" w:type="dxa"/>
            <w:bottom w:w="0" w:type="dxa"/>
            <w:right w:w="108" w:type="dxa"/>
          </w:tblCellMar>
        </w:tblPrEx>
        <w:trPr>
          <w:trHeight w:val="31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761140">
            <w:pPr>
              <w:rPr>
                <w:rFonts w:hint="eastAsia" w:ascii="宋体" w:hAnsi="宋体" w:eastAsia="宋体" w:cs="宋体"/>
                <w:sz w:val="21"/>
                <w:szCs w:val="21"/>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EF7A4B7">
            <w:pPr>
              <w:widowControl/>
              <w:jc w:val="left"/>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道歉语</w:t>
            </w: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76C0F22E">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对不起、请原谅、打扰您了、失礼了。</w:t>
            </w:r>
          </w:p>
        </w:tc>
      </w:tr>
      <w:tr w14:paraId="28385B65">
        <w:tblPrEx>
          <w:tblCellMar>
            <w:top w:w="0" w:type="dxa"/>
            <w:left w:w="108" w:type="dxa"/>
            <w:bottom w:w="0" w:type="dxa"/>
            <w:right w:w="108" w:type="dxa"/>
          </w:tblCellMar>
        </w:tblPrEx>
        <w:trPr>
          <w:trHeight w:val="31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EDD9C4">
            <w:pPr>
              <w:rPr>
                <w:rFonts w:hint="eastAsia" w:ascii="宋体" w:hAnsi="宋体" w:eastAsia="宋体" w:cs="宋体"/>
                <w:sz w:val="21"/>
                <w:szCs w:val="21"/>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8361CDD">
            <w:pPr>
              <w:widowControl/>
              <w:jc w:val="left"/>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道谢语</w:t>
            </w: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33A50B9F">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谢谢、非常感谢。</w:t>
            </w:r>
          </w:p>
        </w:tc>
      </w:tr>
      <w:tr w14:paraId="3591404E">
        <w:tblPrEx>
          <w:tblCellMar>
            <w:top w:w="0" w:type="dxa"/>
            <w:left w:w="108" w:type="dxa"/>
            <w:bottom w:w="0" w:type="dxa"/>
            <w:right w:w="108" w:type="dxa"/>
          </w:tblCellMar>
        </w:tblPrEx>
        <w:trPr>
          <w:trHeight w:val="31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D889B">
            <w:pPr>
              <w:rPr>
                <w:rFonts w:hint="eastAsia" w:ascii="宋体" w:hAnsi="宋体" w:eastAsia="宋体" w:cs="宋体"/>
                <w:sz w:val="21"/>
                <w:szCs w:val="21"/>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4BFD8032">
            <w:pPr>
              <w:widowControl/>
              <w:jc w:val="left"/>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应答语</w:t>
            </w: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583630EC">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是的、好的、我明白了、谢谢您的好意、不要客气、没关系、这是我应该做的。</w:t>
            </w:r>
          </w:p>
        </w:tc>
      </w:tr>
      <w:tr w14:paraId="54D989A3">
        <w:tblPrEx>
          <w:tblCellMar>
            <w:top w:w="0" w:type="dxa"/>
            <w:left w:w="108" w:type="dxa"/>
            <w:bottom w:w="0" w:type="dxa"/>
            <w:right w:w="108" w:type="dxa"/>
          </w:tblCellMar>
        </w:tblPrEx>
        <w:trPr>
          <w:trHeight w:val="31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1C14A">
            <w:pPr>
              <w:rPr>
                <w:rFonts w:hint="eastAsia" w:ascii="宋体" w:hAnsi="宋体" w:eastAsia="宋体" w:cs="宋体"/>
                <w:sz w:val="21"/>
                <w:szCs w:val="21"/>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4B9FD32">
            <w:pPr>
              <w:widowControl/>
              <w:jc w:val="left"/>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征询语</w:t>
            </w: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6CC70A5E">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请问您有什么事？我能为您做什么吗？需要我帮您做什么吗？ 您有别的事吗？</w:t>
            </w:r>
          </w:p>
        </w:tc>
      </w:tr>
      <w:tr w14:paraId="74D18053">
        <w:tblPrEx>
          <w:tblCellMar>
            <w:top w:w="0" w:type="dxa"/>
            <w:left w:w="108" w:type="dxa"/>
            <w:bottom w:w="0" w:type="dxa"/>
            <w:right w:w="108" w:type="dxa"/>
          </w:tblCellMar>
        </w:tblPrEx>
        <w:trPr>
          <w:trHeight w:val="31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23CF38">
            <w:pPr>
              <w:rPr>
                <w:rFonts w:hint="eastAsia" w:ascii="宋体" w:hAnsi="宋体" w:eastAsia="宋体" w:cs="宋体"/>
                <w:sz w:val="21"/>
                <w:szCs w:val="21"/>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1E7E6D98">
            <w:pPr>
              <w:widowControl/>
              <w:jc w:val="left"/>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请求语</w:t>
            </w: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145A81F1">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请您协助我们……、请您……好吗？</w:t>
            </w:r>
          </w:p>
        </w:tc>
      </w:tr>
      <w:tr w14:paraId="71CACEF4">
        <w:tblPrEx>
          <w:tblCellMar>
            <w:top w:w="0" w:type="dxa"/>
            <w:left w:w="108" w:type="dxa"/>
            <w:bottom w:w="0" w:type="dxa"/>
            <w:right w:w="108" w:type="dxa"/>
          </w:tblCellMar>
        </w:tblPrEx>
        <w:trPr>
          <w:trHeight w:val="31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4143AD">
            <w:pPr>
              <w:rPr>
                <w:rFonts w:hint="eastAsia" w:ascii="宋体" w:hAnsi="宋体" w:eastAsia="宋体" w:cs="宋体"/>
                <w:sz w:val="21"/>
                <w:szCs w:val="21"/>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6E5C078A">
            <w:pPr>
              <w:widowControl/>
              <w:jc w:val="left"/>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商量语</w:t>
            </w: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046D9240">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……您看这样好不好？……您看这样可以吗？</w:t>
            </w:r>
          </w:p>
        </w:tc>
      </w:tr>
      <w:tr w14:paraId="6C8E9358">
        <w:tblPrEx>
          <w:tblCellMar>
            <w:top w:w="0" w:type="dxa"/>
            <w:left w:w="108" w:type="dxa"/>
            <w:bottom w:w="0" w:type="dxa"/>
            <w:right w:w="108" w:type="dxa"/>
          </w:tblCellMar>
        </w:tblPrEx>
        <w:trPr>
          <w:trHeight w:val="31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DE2FCB">
            <w:pPr>
              <w:rPr>
                <w:rFonts w:hint="eastAsia" w:ascii="宋体" w:hAnsi="宋体" w:eastAsia="宋体" w:cs="宋体"/>
                <w:sz w:val="21"/>
                <w:szCs w:val="21"/>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B29A6A8">
            <w:pPr>
              <w:widowControl/>
              <w:jc w:val="left"/>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解释语</w:t>
            </w:r>
          </w:p>
        </w:tc>
        <w:tc>
          <w:tcPr>
            <w:tcW w:w="7800" w:type="dxa"/>
            <w:tcBorders>
              <w:top w:val="single" w:color="000000" w:sz="4" w:space="0"/>
              <w:left w:val="single" w:color="000000" w:sz="4" w:space="0"/>
              <w:bottom w:val="single" w:color="000000" w:sz="4" w:space="0"/>
              <w:right w:val="single" w:color="000000" w:sz="4" w:space="0"/>
            </w:tcBorders>
            <w:noWrap w:val="0"/>
            <w:vAlign w:val="center"/>
          </w:tcPr>
          <w:p w14:paraId="41276A97">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很抱歉，这种情况， 单位的规定是这样的。</w:t>
            </w:r>
          </w:p>
        </w:tc>
      </w:tr>
      <w:tr w14:paraId="6B35E304">
        <w:tblPrEx>
          <w:tblCellMar>
            <w:top w:w="0" w:type="dxa"/>
            <w:left w:w="108" w:type="dxa"/>
            <w:bottom w:w="0" w:type="dxa"/>
            <w:right w:w="108" w:type="dxa"/>
          </w:tblCellMar>
        </w:tblPrEx>
        <w:trPr>
          <w:trHeight w:val="270" w:hRule="atLeast"/>
        </w:trPr>
        <w:tc>
          <w:tcPr>
            <w:tcW w:w="1022" w:type="dxa"/>
            <w:vMerge w:val="restart"/>
            <w:tcBorders>
              <w:top w:val="single" w:color="000000" w:sz="4" w:space="0"/>
              <w:left w:val="single" w:color="000000" w:sz="4" w:space="0"/>
              <w:bottom w:val="single" w:color="000000" w:sz="4" w:space="0"/>
              <w:right w:val="single" w:color="000000" w:sz="4" w:space="0"/>
            </w:tcBorders>
            <w:noWrap w:val="0"/>
            <w:vAlign w:val="center"/>
          </w:tcPr>
          <w:p w14:paraId="222771D7">
            <w:pPr>
              <w:widowControl/>
              <w:jc w:val="center"/>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对  来  访  人员</w:t>
            </w:r>
          </w:p>
        </w:tc>
        <w:tc>
          <w:tcPr>
            <w:tcW w:w="8881" w:type="dxa"/>
            <w:gridSpan w:val="2"/>
            <w:tcBorders>
              <w:top w:val="single" w:color="000000" w:sz="4" w:space="0"/>
              <w:left w:val="single" w:color="000000" w:sz="4" w:space="0"/>
              <w:bottom w:val="single" w:color="000000" w:sz="4" w:space="0"/>
              <w:right w:val="single" w:color="000000" w:sz="4" w:space="0"/>
            </w:tcBorders>
            <w:noWrap w:val="0"/>
            <w:vAlign w:val="center"/>
          </w:tcPr>
          <w:p w14:paraId="72F45A9F">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1. 主动说：“您好，请问您找哪一位”或“我可以帮助您吗？ ”“请您出示证件。 ”（保安专用）</w:t>
            </w:r>
          </w:p>
        </w:tc>
      </w:tr>
      <w:tr w14:paraId="39D64594">
        <w:tblPrEx>
          <w:tblCellMar>
            <w:top w:w="0" w:type="dxa"/>
            <w:left w:w="108" w:type="dxa"/>
            <w:bottom w:w="0" w:type="dxa"/>
            <w:right w:w="108" w:type="dxa"/>
          </w:tblCellMar>
        </w:tblPrEx>
        <w:trPr>
          <w:trHeight w:val="66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8665AB">
            <w:pPr>
              <w:rPr>
                <w:rFonts w:hint="eastAsia" w:ascii="宋体" w:hAnsi="宋体" w:eastAsia="宋体" w:cs="宋体"/>
                <w:sz w:val="21"/>
                <w:szCs w:val="21"/>
              </w:rPr>
            </w:pPr>
          </w:p>
        </w:tc>
        <w:tc>
          <w:tcPr>
            <w:tcW w:w="8881" w:type="dxa"/>
            <w:gridSpan w:val="2"/>
            <w:tcBorders>
              <w:top w:val="single" w:color="000000" w:sz="4" w:space="0"/>
              <w:left w:val="single" w:color="000000" w:sz="4" w:space="0"/>
              <w:bottom w:val="single" w:color="000000" w:sz="4" w:space="0"/>
              <w:right w:val="single" w:color="000000" w:sz="4" w:space="0"/>
            </w:tcBorders>
            <w:noWrap w:val="0"/>
            <w:vAlign w:val="center"/>
          </w:tcPr>
          <w:p w14:paraId="6BA15AAB">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2. 确认来访人要求后， 说“请稍等， 我帮您联系”与被访人联系后告诉来访人“他马上来， 请您先等一下， 好吗？”</w:t>
            </w:r>
          </w:p>
        </w:tc>
      </w:tr>
      <w:tr w14:paraId="3936E0F8">
        <w:tblPrEx>
          <w:tblCellMar>
            <w:top w:w="0" w:type="dxa"/>
            <w:left w:w="108" w:type="dxa"/>
            <w:bottom w:w="0" w:type="dxa"/>
            <w:right w:w="108" w:type="dxa"/>
          </w:tblCellMar>
        </w:tblPrEx>
        <w:trPr>
          <w:trHeight w:val="60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98B813">
            <w:pPr>
              <w:rPr>
                <w:rFonts w:hint="eastAsia" w:ascii="宋体" w:hAnsi="宋体" w:eastAsia="宋体" w:cs="宋体"/>
                <w:sz w:val="21"/>
                <w:szCs w:val="21"/>
              </w:rPr>
            </w:pPr>
          </w:p>
        </w:tc>
        <w:tc>
          <w:tcPr>
            <w:tcW w:w="8881" w:type="dxa"/>
            <w:gridSpan w:val="2"/>
            <w:tcBorders>
              <w:top w:val="single" w:color="000000" w:sz="4" w:space="0"/>
              <w:left w:val="single" w:color="000000" w:sz="4" w:space="0"/>
              <w:bottom w:val="single" w:color="000000" w:sz="4" w:space="0"/>
              <w:right w:val="single" w:color="000000" w:sz="4" w:space="0"/>
            </w:tcBorders>
            <w:noWrap w:val="0"/>
            <w:vAlign w:val="center"/>
          </w:tcPr>
          <w:p w14:paraId="730FBEBA">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3. 当来访人员不理解或不愿意出示证件时，应说： “对不起， 先生/小姐， 这是单位规定，请理解！”（保安专用）。</w:t>
            </w:r>
          </w:p>
        </w:tc>
      </w:tr>
      <w:tr w14:paraId="448FAB0C">
        <w:tblPrEx>
          <w:tblCellMar>
            <w:top w:w="0" w:type="dxa"/>
            <w:left w:w="108" w:type="dxa"/>
            <w:bottom w:w="0" w:type="dxa"/>
            <w:right w:w="108" w:type="dxa"/>
          </w:tblCellMar>
        </w:tblPrEx>
        <w:trPr>
          <w:trHeight w:val="27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A4ADB">
            <w:pPr>
              <w:rPr>
                <w:rFonts w:hint="eastAsia" w:ascii="宋体" w:hAnsi="宋体" w:eastAsia="宋体" w:cs="宋体"/>
                <w:sz w:val="21"/>
                <w:szCs w:val="21"/>
              </w:rPr>
            </w:pPr>
          </w:p>
        </w:tc>
        <w:tc>
          <w:tcPr>
            <w:tcW w:w="8881" w:type="dxa"/>
            <w:gridSpan w:val="2"/>
            <w:tcBorders>
              <w:top w:val="single" w:color="000000" w:sz="4" w:space="0"/>
              <w:left w:val="single" w:color="000000" w:sz="4" w:space="0"/>
              <w:bottom w:val="single" w:color="000000" w:sz="4" w:space="0"/>
              <w:right w:val="single" w:color="000000" w:sz="4" w:space="0"/>
            </w:tcBorders>
            <w:noWrap w:val="0"/>
            <w:vAlign w:val="center"/>
          </w:tcPr>
          <w:p w14:paraId="1D7FAA27">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4. 当来访人员忘记带证件必须进入区域时，应说： “先生/小姐， 请稍候， 让我请示一下好吗？”</w:t>
            </w:r>
          </w:p>
        </w:tc>
      </w:tr>
      <w:tr w14:paraId="0B0E5EC7">
        <w:tblPrEx>
          <w:tblCellMar>
            <w:top w:w="0" w:type="dxa"/>
            <w:left w:w="108" w:type="dxa"/>
            <w:bottom w:w="0" w:type="dxa"/>
            <w:right w:w="108" w:type="dxa"/>
          </w:tblCellMar>
        </w:tblPrEx>
        <w:trPr>
          <w:trHeight w:val="60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0D28F0">
            <w:pPr>
              <w:rPr>
                <w:rFonts w:hint="eastAsia" w:ascii="宋体" w:hAnsi="宋体" w:eastAsia="宋体" w:cs="宋体"/>
                <w:sz w:val="21"/>
                <w:szCs w:val="21"/>
              </w:rPr>
            </w:pPr>
          </w:p>
        </w:tc>
        <w:tc>
          <w:tcPr>
            <w:tcW w:w="8881" w:type="dxa"/>
            <w:gridSpan w:val="2"/>
            <w:tcBorders>
              <w:top w:val="single" w:color="000000" w:sz="4" w:space="0"/>
              <w:left w:val="single" w:color="000000" w:sz="4" w:space="0"/>
              <w:bottom w:val="single" w:color="000000" w:sz="4" w:space="0"/>
              <w:right w:val="single" w:color="000000" w:sz="4" w:space="0"/>
            </w:tcBorders>
            <w:noWrap w:val="0"/>
            <w:vAlign w:val="center"/>
          </w:tcPr>
          <w:p w14:paraId="78B14CBE">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5. 当确认来访人故意捣乱，耍横硬闯时， 应先说： “对不起， 按单位的规定，没有证件不允许进入办公区，请配合我的工作。 ”</w:t>
            </w:r>
          </w:p>
        </w:tc>
      </w:tr>
      <w:tr w14:paraId="3D48A6B0">
        <w:tblPrEx>
          <w:tblCellMar>
            <w:top w:w="0" w:type="dxa"/>
            <w:left w:w="108" w:type="dxa"/>
            <w:bottom w:w="0" w:type="dxa"/>
            <w:right w:w="108" w:type="dxa"/>
          </w:tblCellMar>
        </w:tblPrEx>
        <w:trPr>
          <w:trHeight w:val="27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002576">
            <w:pPr>
              <w:rPr>
                <w:rFonts w:hint="eastAsia" w:ascii="宋体" w:hAnsi="宋体" w:eastAsia="宋体" w:cs="宋体"/>
                <w:sz w:val="21"/>
                <w:szCs w:val="21"/>
              </w:rPr>
            </w:pPr>
          </w:p>
        </w:tc>
        <w:tc>
          <w:tcPr>
            <w:tcW w:w="8881" w:type="dxa"/>
            <w:gridSpan w:val="2"/>
            <w:tcBorders>
              <w:top w:val="single" w:color="000000" w:sz="4" w:space="0"/>
              <w:left w:val="single" w:color="000000" w:sz="4" w:space="0"/>
              <w:bottom w:val="single" w:color="000000" w:sz="4" w:space="0"/>
              <w:right w:val="single" w:color="000000" w:sz="4" w:space="0"/>
            </w:tcBorders>
            <w:noWrap w:val="0"/>
            <w:vAlign w:val="center"/>
          </w:tcPr>
          <w:p w14:paraId="2A1771B2">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6. 当来访人员出示证件时，应说：“谢谢您的配合。 ”</w:t>
            </w:r>
          </w:p>
        </w:tc>
      </w:tr>
      <w:tr w14:paraId="7964FAC9">
        <w:tblPrEx>
          <w:tblCellMar>
            <w:top w:w="0" w:type="dxa"/>
            <w:left w:w="108" w:type="dxa"/>
            <w:bottom w:w="0" w:type="dxa"/>
            <w:right w:w="108" w:type="dxa"/>
          </w:tblCellMar>
        </w:tblPrEx>
        <w:trPr>
          <w:trHeight w:val="27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FC33F0">
            <w:pPr>
              <w:rPr>
                <w:rFonts w:hint="eastAsia" w:ascii="宋体" w:hAnsi="宋体" w:eastAsia="宋体" w:cs="宋体"/>
                <w:sz w:val="21"/>
                <w:szCs w:val="21"/>
              </w:rPr>
            </w:pPr>
          </w:p>
        </w:tc>
        <w:tc>
          <w:tcPr>
            <w:tcW w:w="8881" w:type="dxa"/>
            <w:gridSpan w:val="2"/>
            <w:tcBorders>
              <w:top w:val="single" w:color="000000" w:sz="4" w:space="0"/>
              <w:left w:val="single" w:color="000000" w:sz="4" w:space="0"/>
              <w:bottom w:val="single" w:color="000000" w:sz="4" w:space="0"/>
              <w:right w:val="single" w:color="000000" w:sz="4" w:space="0"/>
            </w:tcBorders>
            <w:noWrap w:val="0"/>
            <w:vAlign w:val="center"/>
          </w:tcPr>
          <w:p w14:paraId="03754096">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7. 如果要找的人不在或不想见时，应礼貌地对对方说“对不起，他现在不在，您能留下卡片或口信吗？”</w:t>
            </w:r>
          </w:p>
        </w:tc>
      </w:tr>
      <w:tr w14:paraId="6830C13A">
        <w:tblPrEx>
          <w:tblCellMar>
            <w:top w:w="0" w:type="dxa"/>
            <w:left w:w="108" w:type="dxa"/>
            <w:bottom w:w="0" w:type="dxa"/>
            <w:right w:w="108" w:type="dxa"/>
          </w:tblCellMar>
        </w:tblPrEx>
        <w:trPr>
          <w:trHeight w:val="27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88DBD">
            <w:pPr>
              <w:rPr>
                <w:rFonts w:hint="eastAsia" w:ascii="宋体" w:hAnsi="宋体" w:eastAsia="宋体" w:cs="宋体"/>
                <w:sz w:val="21"/>
                <w:szCs w:val="21"/>
              </w:rPr>
            </w:pPr>
          </w:p>
        </w:tc>
        <w:tc>
          <w:tcPr>
            <w:tcW w:w="8881" w:type="dxa"/>
            <w:gridSpan w:val="2"/>
            <w:tcBorders>
              <w:top w:val="single" w:color="000000" w:sz="4" w:space="0"/>
              <w:left w:val="single" w:color="000000" w:sz="4" w:space="0"/>
              <w:bottom w:val="single" w:color="000000" w:sz="4" w:space="0"/>
              <w:right w:val="single" w:color="000000" w:sz="4" w:space="0"/>
            </w:tcBorders>
            <w:noWrap w:val="0"/>
            <w:vAlign w:val="center"/>
          </w:tcPr>
          <w:p w14:paraId="6E49E165">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8. 当来访人员离开时， 应礼貌地说“再见！”</w:t>
            </w:r>
          </w:p>
        </w:tc>
      </w:tr>
      <w:tr w14:paraId="696C923E">
        <w:tblPrEx>
          <w:tblCellMar>
            <w:top w:w="0" w:type="dxa"/>
            <w:left w:w="108" w:type="dxa"/>
            <w:bottom w:w="0" w:type="dxa"/>
            <w:right w:w="108" w:type="dxa"/>
          </w:tblCellMar>
        </w:tblPrEx>
        <w:trPr>
          <w:trHeight w:val="527" w:hRule="atLeast"/>
        </w:trPr>
        <w:tc>
          <w:tcPr>
            <w:tcW w:w="1022" w:type="dxa"/>
            <w:vMerge w:val="restart"/>
            <w:tcBorders>
              <w:top w:val="single" w:color="000000" w:sz="4" w:space="0"/>
              <w:left w:val="single" w:color="000000" w:sz="4" w:space="0"/>
              <w:bottom w:val="single" w:color="000000" w:sz="4" w:space="0"/>
              <w:right w:val="single" w:color="000000" w:sz="4" w:space="0"/>
            </w:tcBorders>
            <w:noWrap w:val="0"/>
            <w:vAlign w:val="center"/>
          </w:tcPr>
          <w:p w14:paraId="426DA5F0">
            <w:pPr>
              <w:widowControl/>
              <w:jc w:val="center"/>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接  听  拨  打  电  话</w:t>
            </w:r>
          </w:p>
        </w:tc>
        <w:tc>
          <w:tcPr>
            <w:tcW w:w="8881" w:type="dxa"/>
            <w:gridSpan w:val="2"/>
            <w:tcBorders>
              <w:top w:val="single" w:color="000000" w:sz="4" w:space="0"/>
              <w:left w:val="single" w:color="000000" w:sz="4" w:space="0"/>
              <w:bottom w:val="single" w:color="000000" w:sz="4" w:space="0"/>
              <w:right w:val="single" w:color="000000" w:sz="4" w:space="0"/>
            </w:tcBorders>
            <w:noWrap w:val="0"/>
            <w:vAlign w:val="center"/>
          </w:tcPr>
          <w:p w14:paraId="60836C72">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1. 接听电话时应清晰应答：“您好， ××单位。 ”</w:t>
            </w:r>
          </w:p>
        </w:tc>
      </w:tr>
      <w:tr w14:paraId="0BC6763F">
        <w:trPr>
          <w:trHeight w:val="63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B3ACE2">
            <w:pPr>
              <w:rPr>
                <w:rFonts w:hint="eastAsia" w:ascii="宋体" w:hAnsi="宋体" w:eastAsia="宋体" w:cs="宋体"/>
                <w:sz w:val="21"/>
                <w:szCs w:val="21"/>
              </w:rPr>
            </w:pPr>
          </w:p>
        </w:tc>
        <w:tc>
          <w:tcPr>
            <w:tcW w:w="8881" w:type="dxa"/>
            <w:gridSpan w:val="2"/>
            <w:tcBorders>
              <w:top w:val="single" w:color="000000" w:sz="4" w:space="0"/>
              <w:left w:val="single" w:color="000000" w:sz="4" w:space="0"/>
              <w:bottom w:val="single" w:color="000000" w:sz="4" w:space="0"/>
              <w:right w:val="single" w:color="000000" w:sz="4" w:space="0"/>
            </w:tcBorders>
            <w:noWrap w:val="0"/>
            <w:vAlign w:val="center"/>
          </w:tcPr>
          <w:p w14:paraId="345F2B90">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2. 认真倾听对方的电话事由， 若需传呼他人，应请对方稍候，然后轻轻搁下电话，去传呼他人：如对方有公事相告时，应将对方要求逐条记录在《工作日记》内，并尽量详细回答。</w:t>
            </w:r>
          </w:p>
        </w:tc>
      </w:tr>
      <w:tr w14:paraId="470D5596">
        <w:tblPrEx>
          <w:tblCellMar>
            <w:top w:w="0" w:type="dxa"/>
            <w:left w:w="108" w:type="dxa"/>
            <w:bottom w:w="0" w:type="dxa"/>
            <w:right w:w="108" w:type="dxa"/>
          </w:tblCellMar>
        </w:tblPrEx>
        <w:trPr>
          <w:trHeight w:val="27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A0C681">
            <w:pPr>
              <w:rPr>
                <w:rFonts w:hint="eastAsia" w:ascii="宋体" w:hAnsi="宋体" w:eastAsia="宋体" w:cs="宋体"/>
                <w:sz w:val="21"/>
                <w:szCs w:val="21"/>
              </w:rPr>
            </w:pPr>
          </w:p>
        </w:tc>
        <w:tc>
          <w:tcPr>
            <w:tcW w:w="8881" w:type="dxa"/>
            <w:gridSpan w:val="2"/>
            <w:tcBorders>
              <w:top w:val="single" w:color="000000" w:sz="4" w:space="0"/>
              <w:left w:val="single" w:color="000000" w:sz="4" w:space="0"/>
              <w:bottom w:val="single" w:color="000000" w:sz="4" w:space="0"/>
              <w:right w:val="single" w:color="000000" w:sz="4" w:space="0"/>
            </w:tcBorders>
            <w:noWrap w:val="0"/>
            <w:vAlign w:val="center"/>
          </w:tcPr>
          <w:p w14:paraId="072C6117">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3. 通话完毕， 应说：“谢谢，再见！ ”语气平和， 并在对方放下电话后再轻轻放下电话。</w:t>
            </w:r>
          </w:p>
        </w:tc>
      </w:tr>
      <w:tr w14:paraId="52A05186">
        <w:tblPrEx>
          <w:tblCellMar>
            <w:top w:w="0" w:type="dxa"/>
            <w:left w:w="108" w:type="dxa"/>
            <w:bottom w:w="0" w:type="dxa"/>
            <w:right w:w="108" w:type="dxa"/>
          </w:tblCellMar>
        </w:tblPrEx>
        <w:trPr>
          <w:trHeight w:val="60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785E06">
            <w:pPr>
              <w:rPr>
                <w:rFonts w:hint="eastAsia" w:ascii="宋体" w:hAnsi="宋体" w:eastAsia="宋体" w:cs="宋体"/>
                <w:sz w:val="21"/>
                <w:szCs w:val="21"/>
              </w:rPr>
            </w:pPr>
          </w:p>
        </w:tc>
        <w:tc>
          <w:tcPr>
            <w:tcW w:w="8881" w:type="dxa"/>
            <w:gridSpan w:val="2"/>
            <w:tcBorders>
              <w:top w:val="single" w:color="000000" w:sz="4" w:space="0"/>
              <w:left w:val="single" w:color="000000" w:sz="4" w:space="0"/>
              <w:bottom w:val="single" w:color="000000" w:sz="4" w:space="0"/>
              <w:right w:val="single" w:color="000000" w:sz="4" w:space="0"/>
            </w:tcBorders>
            <w:noWrap w:val="0"/>
            <w:vAlign w:val="center"/>
          </w:tcPr>
          <w:p w14:paraId="6F822F0C">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 xml:space="preserve">4. 如接电话听不懂对方语言时， 应说：“对不起， 请您用普通话， 好吗？”或“不好意思， 请稍候， 我不会说当地话。 ” </w:t>
            </w:r>
          </w:p>
        </w:tc>
      </w:tr>
      <w:tr w14:paraId="087BD21E">
        <w:tblPrEx>
          <w:tblCellMar>
            <w:top w:w="0" w:type="dxa"/>
            <w:left w:w="108" w:type="dxa"/>
            <w:bottom w:w="0" w:type="dxa"/>
            <w:right w:w="108" w:type="dxa"/>
          </w:tblCellMar>
        </w:tblPrEx>
        <w:trPr>
          <w:trHeight w:val="62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CBEA80">
            <w:pPr>
              <w:rPr>
                <w:rFonts w:hint="eastAsia" w:ascii="宋体" w:hAnsi="宋体" w:eastAsia="宋体" w:cs="宋体"/>
                <w:sz w:val="21"/>
                <w:szCs w:val="21"/>
              </w:rPr>
            </w:pPr>
          </w:p>
        </w:tc>
        <w:tc>
          <w:tcPr>
            <w:tcW w:w="8881" w:type="dxa"/>
            <w:gridSpan w:val="2"/>
            <w:tcBorders>
              <w:top w:val="single" w:color="000000" w:sz="4" w:space="0"/>
              <w:left w:val="single" w:color="000000" w:sz="4" w:space="0"/>
              <w:bottom w:val="single" w:color="000000" w:sz="4" w:space="0"/>
              <w:right w:val="single" w:color="000000" w:sz="4" w:space="0"/>
            </w:tcBorders>
            <w:noWrap w:val="0"/>
            <w:vAlign w:val="center"/>
          </w:tcPr>
          <w:p w14:paraId="7979D0D7">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 xml:space="preserve">5. 中途若遇急事需暂时中断与对方通话时，应先征得对方的同意， 并表示感谢，恢复与对方通话时， 切勿忘记向对方致歉。 </w:t>
            </w:r>
          </w:p>
        </w:tc>
      </w:tr>
      <w:tr w14:paraId="4F46FE3A">
        <w:tblPrEx>
          <w:tblCellMar>
            <w:top w:w="0" w:type="dxa"/>
            <w:left w:w="108" w:type="dxa"/>
            <w:bottom w:w="0" w:type="dxa"/>
            <w:right w:w="108" w:type="dxa"/>
          </w:tblCellMar>
        </w:tblPrEx>
        <w:trPr>
          <w:trHeight w:val="27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450FC">
            <w:pPr>
              <w:rPr>
                <w:rFonts w:hint="eastAsia" w:ascii="宋体" w:hAnsi="宋体" w:eastAsia="宋体" w:cs="宋体"/>
                <w:sz w:val="21"/>
                <w:szCs w:val="21"/>
              </w:rPr>
            </w:pPr>
          </w:p>
        </w:tc>
        <w:tc>
          <w:tcPr>
            <w:tcW w:w="8881" w:type="dxa"/>
            <w:gridSpan w:val="2"/>
            <w:tcBorders>
              <w:top w:val="single" w:color="000000" w:sz="4" w:space="0"/>
              <w:left w:val="single" w:color="000000" w:sz="4" w:space="0"/>
              <w:bottom w:val="single" w:color="000000" w:sz="4" w:space="0"/>
              <w:right w:val="single" w:color="000000" w:sz="4" w:space="0"/>
            </w:tcBorders>
            <w:noWrap w:val="0"/>
            <w:vAlign w:val="center"/>
          </w:tcPr>
          <w:p w14:paraId="241CB76E">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6. 接听电话时，声调要自然清晰、柔和、亲切，音量要适宜，以免对方听不清楚。</w:t>
            </w:r>
          </w:p>
        </w:tc>
      </w:tr>
      <w:tr w14:paraId="2AB75822">
        <w:tblPrEx>
          <w:tblCellMar>
            <w:top w:w="0" w:type="dxa"/>
            <w:left w:w="108" w:type="dxa"/>
            <w:bottom w:w="0" w:type="dxa"/>
            <w:right w:w="108" w:type="dxa"/>
          </w:tblCellMar>
        </w:tblPrEx>
        <w:trPr>
          <w:trHeight w:val="64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0EA57A">
            <w:pPr>
              <w:rPr>
                <w:rFonts w:hint="eastAsia" w:ascii="宋体" w:hAnsi="宋体" w:eastAsia="宋体" w:cs="宋体"/>
                <w:sz w:val="21"/>
                <w:szCs w:val="21"/>
              </w:rPr>
            </w:pPr>
          </w:p>
        </w:tc>
        <w:tc>
          <w:tcPr>
            <w:tcW w:w="8881" w:type="dxa"/>
            <w:gridSpan w:val="2"/>
            <w:tcBorders>
              <w:top w:val="single" w:color="000000" w:sz="4" w:space="0"/>
              <w:left w:val="single" w:color="000000" w:sz="4" w:space="0"/>
              <w:bottom w:val="single" w:color="000000" w:sz="4" w:space="0"/>
              <w:right w:val="single" w:color="000000" w:sz="4" w:space="0"/>
            </w:tcBorders>
            <w:noWrap w:val="0"/>
            <w:vAlign w:val="center"/>
          </w:tcPr>
          <w:p w14:paraId="6FF78784">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7. 拨打电话接通后，应首先向对方致以问候， 如： “您好”， 并作自我介绍。 使用敬语， 将要找的通话人姓名及要做的事交待清楚。</w:t>
            </w:r>
          </w:p>
        </w:tc>
      </w:tr>
      <w:tr w14:paraId="5740BD14">
        <w:trPr>
          <w:trHeight w:val="27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DD5CB">
            <w:pPr>
              <w:rPr>
                <w:rFonts w:hint="eastAsia" w:ascii="宋体" w:hAnsi="宋体" w:eastAsia="宋体" w:cs="宋体"/>
                <w:sz w:val="21"/>
                <w:szCs w:val="21"/>
              </w:rPr>
            </w:pPr>
          </w:p>
        </w:tc>
        <w:tc>
          <w:tcPr>
            <w:tcW w:w="8881" w:type="dxa"/>
            <w:gridSpan w:val="2"/>
            <w:tcBorders>
              <w:top w:val="single" w:color="000000" w:sz="4" w:space="0"/>
              <w:left w:val="single" w:color="000000" w:sz="4" w:space="0"/>
              <w:bottom w:val="single" w:color="000000" w:sz="4" w:space="0"/>
              <w:right w:val="single" w:color="000000" w:sz="4" w:space="0"/>
            </w:tcBorders>
            <w:noWrap w:val="0"/>
            <w:vAlign w:val="center"/>
          </w:tcPr>
          <w:p w14:paraId="161282FC">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8. 通话完毕时，应说： “谢谢， 再见。 ”</w:t>
            </w:r>
          </w:p>
        </w:tc>
      </w:tr>
      <w:tr w14:paraId="07C07289">
        <w:tblPrEx>
          <w:tblCellMar>
            <w:top w:w="0" w:type="dxa"/>
            <w:left w:w="108" w:type="dxa"/>
            <w:bottom w:w="0" w:type="dxa"/>
            <w:right w:w="108" w:type="dxa"/>
          </w:tblCellMar>
        </w:tblPrEx>
        <w:trPr>
          <w:trHeight w:val="620" w:hRule="atLeast"/>
        </w:trPr>
        <w:tc>
          <w:tcPr>
            <w:tcW w:w="1022" w:type="dxa"/>
            <w:vMerge w:val="restart"/>
            <w:tcBorders>
              <w:top w:val="single" w:color="000000" w:sz="4" w:space="0"/>
              <w:left w:val="single" w:color="000000" w:sz="4" w:space="0"/>
              <w:bottom w:val="single" w:color="000000" w:sz="4" w:space="0"/>
              <w:right w:val="single" w:color="000000" w:sz="4" w:space="0"/>
            </w:tcBorders>
            <w:noWrap w:val="0"/>
            <w:vAlign w:val="center"/>
          </w:tcPr>
          <w:p w14:paraId="3913590B">
            <w:pPr>
              <w:widowControl/>
              <w:jc w:val="center"/>
              <w:textAlignment w:val="center"/>
              <w:rPr>
                <w:rFonts w:hint="eastAsia" w:ascii="宋体" w:hAnsi="宋体" w:eastAsia="宋体" w:cs="宋体"/>
                <w:b/>
                <w:bCs/>
                <w:color w:val="000000"/>
                <w:sz w:val="21"/>
                <w:szCs w:val="21"/>
                <w:lang w:bidi="ar-SA"/>
              </w:rPr>
            </w:pPr>
            <w:r>
              <w:rPr>
                <w:rFonts w:hint="eastAsia" w:ascii="宋体" w:hAnsi="宋体" w:eastAsia="宋体" w:cs="宋体"/>
                <w:b/>
                <w:bCs/>
                <w:color w:val="000000"/>
                <w:kern w:val="0"/>
                <w:sz w:val="21"/>
                <w:szCs w:val="21"/>
                <w:lang w:bidi="ar"/>
              </w:rPr>
              <w:t>同乘电梯</w:t>
            </w:r>
          </w:p>
        </w:tc>
        <w:tc>
          <w:tcPr>
            <w:tcW w:w="8881" w:type="dxa"/>
            <w:gridSpan w:val="2"/>
            <w:tcBorders>
              <w:top w:val="single" w:color="000000" w:sz="4" w:space="0"/>
              <w:left w:val="single" w:color="000000" w:sz="4" w:space="0"/>
              <w:bottom w:val="single" w:color="000000" w:sz="4" w:space="0"/>
              <w:right w:val="single" w:color="000000" w:sz="4" w:space="0"/>
            </w:tcBorders>
            <w:noWrap w:val="0"/>
            <w:vAlign w:val="center"/>
          </w:tcPr>
          <w:p w14:paraId="208F9E8A">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1. 主动按“开门”钮，  电梯到层时，应站在梯门边， 一只手斜放在梯门上，以免梯门突然关闭，同时面带微笑地说“电梯来了，请进。 ” 顾客进 入电梯后再进电梯， 面向电梯门，按“关门”钮。</w:t>
            </w:r>
          </w:p>
        </w:tc>
      </w:tr>
      <w:tr w14:paraId="29DD2D7E">
        <w:tblPrEx>
          <w:tblCellMar>
            <w:top w:w="0" w:type="dxa"/>
            <w:left w:w="108" w:type="dxa"/>
            <w:bottom w:w="0" w:type="dxa"/>
            <w:right w:w="108" w:type="dxa"/>
          </w:tblCellMar>
        </w:tblPrEx>
        <w:trPr>
          <w:trHeight w:val="620"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1E4F76">
            <w:pPr>
              <w:rPr>
                <w:rFonts w:hint="eastAsia" w:ascii="宋体" w:hAnsi="宋体" w:eastAsia="宋体" w:cs="宋体"/>
                <w:sz w:val="21"/>
                <w:szCs w:val="21"/>
              </w:rPr>
            </w:pPr>
          </w:p>
        </w:tc>
        <w:tc>
          <w:tcPr>
            <w:tcW w:w="8881" w:type="dxa"/>
            <w:gridSpan w:val="2"/>
            <w:tcBorders>
              <w:top w:val="single" w:color="000000" w:sz="4" w:space="0"/>
              <w:left w:val="single" w:color="000000" w:sz="4" w:space="0"/>
              <w:bottom w:val="single" w:color="000000" w:sz="4" w:space="0"/>
              <w:right w:val="single" w:color="000000" w:sz="4" w:space="0"/>
            </w:tcBorders>
            <w:noWrap w:val="0"/>
            <w:vAlign w:val="center"/>
          </w:tcPr>
          <w:p w14:paraId="026524EC">
            <w:pPr>
              <w:widowControl/>
              <w:jc w:val="left"/>
              <w:textAlignment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lang w:bidi="ar"/>
              </w:rPr>
              <w:t>2. 电梯停止梯门打开后，首先出去站立在梯门旁， 一只手斜放在梯门上，同时另一只手指向通道，面带微笑地说：“到了，请走好。 ”</w:t>
            </w:r>
          </w:p>
        </w:tc>
      </w:tr>
    </w:tbl>
    <w:p w14:paraId="1D6973AD">
      <w:pPr>
        <w:pStyle w:val="9"/>
        <w:spacing w:line="360" w:lineRule="auto"/>
        <w:rPr>
          <w:rFonts w:hint="eastAsia" w:ascii="宋体" w:hAnsi="宋体" w:eastAsia="宋体" w:cs="宋体"/>
          <w:b/>
          <w:bCs/>
          <w:sz w:val="21"/>
          <w:szCs w:val="21"/>
        </w:rPr>
      </w:pPr>
    </w:p>
    <w:p w14:paraId="1EBB3FC2">
      <w:pPr>
        <w:pStyle w:val="9"/>
        <w:spacing w:line="360" w:lineRule="auto"/>
        <w:rPr>
          <w:rFonts w:hint="eastAsia" w:ascii="宋体" w:hAnsi="宋体" w:eastAsia="宋体" w:cs="宋体"/>
          <w:b/>
          <w:bCs/>
          <w:sz w:val="21"/>
          <w:szCs w:val="21"/>
        </w:rPr>
      </w:pPr>
      <w:r>
        <w:rPr>
          <w:rFonts w:hint="eastAsia" w:ascii="宋体" w:hAnsi="宋体" w:eastAsia="宋体" w:cs="宋体"/>
          <w:b/>
          <w:bCs/>
          <w:sz w:val="21"/>
          <w:szCs w:val="21"/>
        </w:rPr>
        <w:t>2、履约考核参考标准</w:t>
      </w:r>
    </w:p>
    <w:tbl>
      <w:tblPr>
        <w:tblStyle w:val="15"/>
        <w:tblW w:w="8666" w:type="dxa"/>
        <w:tblInd w:w="93" w:type="dxa"/>
        <w:tblLayout w:type="fixed"/>
        <w:tblCellMar>
          <w:top w:w="0" w:type="dxa"/>
          <w:left w:w="108" w:type="dxa"/>
          <w:bottom w:w="0" w:type="dxa"/>
          <w:right w:w="108" w:type="dxa"/>
        </w:tblCellMar>
      </w:tblPr>
      <w:tblGrid>
        <w:gridCol w:w="1816"/>
        <w:gridCol w:w="5565"/>
        <w:gridCol w:w="667"/>
        <w:gridCol w:w="618"/>
      </w:tblGrid>
      <w:tr w14:paraId="2A1ADE0B">
        <w:tblPrEx>
          <w:tblCellMar>
            <w:top w:w="0" w:type="dxa"/>
            <w:left w:w="108" w:type="dxa"/>
            <w:bottom w:w="0" w:type="dxa"/>
            <w:right w:w="108" w:type="dxa"/>
          </w:tblCellMar>
        </w:tblPrEx>
        <w:trPr>
          <w:trHeight w:val="465" w:hRule="atLeast"/>
        </w:trPr>
        <w:tc>
          <w:tcPr>
            <w:tcW w:w="8666" w:type="dxa"/>
            <w:gridSpan w:val="4"/>
            <w:tcBorders>
              <w:top w:val="nil"/>
              <w:left w:val="nil"/>
              <w:bottom w:val="single" w:color="000000" w:sz="4" w:space="0"/>
              <w:right w:val="nil"/>
            </w:tcBorders>
            <w:noWrap/>
            <w:vAlign w:val="center"/>
          </w:tcPr>
          <w:p w14:paraId="2B058E93">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物业管理服务工作考核表</w:t>
            </w:r>
          </w:p>
        </w:tc>
      </w:tr>
      <w:tr w14:paraId="731C8B2F">
        <w:tblPrEx>
          <w:tblCellMar>
            <w:top w:w="0" w:type="dxa"/>
            <w:left w:w="108" w:type="dxa"/>
            <w:bottom w:w="0" w:type="dxa"/>
            <w:right w:w="108" w:type="dxa"/>
          </w:tblCellMar>
        </w:tblPrEx>
        <w:trPr>
          <w:trHeight w:val="525" w:hRule="atLeast"/>
        </w:trPr>
        <w:tc>
          <w:tcPr>
            <w:tcW w:w="1816" w:type="dxa"/>
            <w:tcBorders>
              <w:top w:val="single" w:color="000000" w:sz="4" w:space="0"/>
              <w:left w:val="single" w:color="000000" w:sz="4" w:space="0"/>
              <w:bottom w:val="single" w:color="000000" w:sz="4" w:space="0"/>
              <w:right w:val="single" w:color="000000" w:sz="4" w:space="0"/>
            </w:tcBorders>
            <w:noWrap w:val="0"/>
            <w:vAlign w:val="center"/>
          </w:tcPr>
          <w:p w14:paraId="6E911AA4">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考核项目</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76300E28">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考核内容</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1D339DAB">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满分</w:t>
            </w:r>
          </w:p>
        </w:tc>
        <w:tc>
          <w:tcPr>
            <w:tcW w:w="618" w:type="dxa"/>
            <w:tcBorders>
              <w:top w:val="single" w:color="000000" w:sz="4" w:space="0"/>
              <w:left w:val="single" w:color="000000" w:sz="4" w:space="0"/>
              <w:bottom w:val="single" w:color="000000" w:sz="4" w:space="0"/>
              <w:right w:val="single" w:color="000000" w:sz="4" w:space="0"/>
            </w:tcBorders>
            <w:noWrap/>
            <w:vAlign w:val="center"/>
          </w:tcPr>
          <w:p w14:paraId="5A601DED">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得分</w:t>
            </w:r>
          </w:p>
        </w:tc>
      </w:tr>
      <w:tr w14:paraId="23EAB248">
        <w:tblPrEx>
          <w:tblCellMar>
            <w:top w:w="0" w:type="dxa"/>
            <w:left w:w="108" w:type="dxa"/>
            <w:bottom w:w="0" w:type="dxa"/>
            <w:right w:w="108" w:type="dxa"/>
          </w:tblCellMar>
        </w:tblPrEx>
        <w:trPr>
          <w:trHeight w:val="360" w:hRule="atLeast"/>
        </w:trPr>
        <w:tc>
          <w:tcPr>
            <w:tcW w:w="1816" w:type="dxa"/>
            <w:vMerge w:val="restart"/>
            <w:tcBorders>
              <w:top w:val="single" w:color="000000" w:sz="4" w:space="0"/>
              <w:left w:val="single" w:color="000000" w:sz="4" w:space="0"/>
              <w:bottom w:val="single" w:color="000000" w:sz="4" w:space="0"/>
              <w:right w:val="single" w:color="000000" w:sz="4" w:space="0"/>
            </w:tcBorders>
            <w:noWrap w:val="0"/>
            <w:vAlign w:val="center"/>
          </w:tcPr>
          <w:p w14:paraId="0C4BD7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综合管理服务</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788B8E5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物业制度规范健全、年度计划制订</w:t>
            </w:r>
          </w:p>
        </w:tc>
        <w:tc>
          <w:tcPr>
            <w:tcW w:w="667" w:type="dxa"/>
            <w:vMerge w:val="restart"/>
            <w:tcBorders>
              <w:top w:val="single" w:color="000000" w:sz="4" w:space="0"/>
              <w:left w:val="single" w:color="000000" w:sz="4" w:space="0"/>
              <w:bottom w:val="single" w:color="000000" w:sz="4" w:space="0"/>
              <w:right w:val="single" w:color="000000" w:sz="4" w:space="0"/>
            </w:tcBorders>
            <w:noWrap/>
            <w:vAlign w:val="center"/>
          </w:tcPr>
          <w:p w14:paraId="2C3A82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14:paraId="1400B15E">
            <w:pPr>
              <w:jc w:val="center"/>
              <w:rPr>
                <w:rFonts w:hint="eastAsia" w:ascii="宋体" w:hAnsi="宋体" w:cs="宋体"/>
                <w:color w:val="000000"/>
                <w:sz w:val="20"/>
                <w:szCs w:val="20"/>
              </w:rPr>
            </w:pPr>
          </w:p>
        </w:tc>
      </w:tr>
      <w:tr w14:paraId="174DC347">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9C4A6">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3422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人员稳定、配备到位情况</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564BE67C">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7D7AF8C7">
            <w:pPr>
              <w:jc w:val="center"/>
              <w:rPr>
                <w:rFonts w:hint="eastAsia" w:ascii="宋体" w:hAnsi="宋体" w:cs="宋体"/>
                <w:color w:val="000000"/>
                <w:sz w:val="20"/>
                <w:szCs w:val="20"/>
              </w:rPr>
            </w:pPr>
          </w:p>
        </w:tc>
      </w:tr>
      <w:tr w14:paraId="1E29E353">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335EF">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E463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24小时接报修服务，完善统一的报修流程</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38D95698">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7E9BB999">
            <w:pPr>
              <w:jc w:val="center"/>
              <w:rPr>
                <w:rFonts w:hint="eastAsia" w:ascii="宋体" w:hAnsi="宋体" w:cs="宋体"/>
                <w:color w:val="000000"/>
                <w:sz w:val="20"/>
                <w:szCs w:val="20"/>
              </w:rPr>
            </w:pPr>
          </w:p>
        </w:tc>
      </w:tr>
      <w:tr w14:paraId="08C9F703">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2382A">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6420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物业人员的服务行为（遵章办事/积极主动/人性化服务）</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59037EA8">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5AF51C24">
            <w:pPr>
              <w:jc w:val="center"/>
              <w:rPr>
                <w:rFonts w:hint="eastAsia" w:ascii="宋体" w:hAnsi="宋体" w:cs="宋体"/>
                <w:color w:val="000000"/>
                <w:sz w:val="20"/>
                <w:szCs w:val="20"/>
              </w:rPr>
            </w:pPr>
          </w:p>
        </w:tc>
      </w:tr>
      <w:tr w14:paraId="1B6DD26D">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A40366">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ign w:val="center"/>
          </w:tcPr>
          <w:p w14:paraId="3DE5D6E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便民服务有效开展</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24CF57D0">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47DF1920">
            <w:pPr>
              <w:jc w:val="center"/>
              <w:rPr>
                <w:rFonts w:hint="eastAsia" w:ascii="宋体" w:hAnsi="宋体" w:cs="宋体"/>
                <w:color w:val="000000"/>
                <w:sz w:val="20"/>
                <w:szCs w:val="20"/>
              </w:rPr>
            </w:pPr>
          </w:p>
        </w:tc>
      </w:tr>
      <w:tr w14:paraId="6B0D6B7F">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F2887">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2811DE5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满意度达到85分以上，回访率≥95%</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006C7C7F">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4015885A">
            <w:pPr>
              <w:jc w:val="center"/>
              <w:rPr>
                <w:rFonts w:hint="eastAsia" w:ascii="宋体" w:hAnsi="宋体" w:cs="宋体"/>
                <w:color w:val="000000"/>
                <w:sz w:val="20"/>
                <w:szCs w:val="20"/>
              </w:rPr>
            </w:pPr>
          </w:p>
        </w:tc>
      </w:tr>
      <w:tr w14:paraId="2838697E">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5A7700">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033202E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投诉处理及时率100%</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5E076C29">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0682A037">
            <w:pPr>
              <w:jc w:val="center"/>
              <w:rPr>
                <w:rFonts w:hint="eastAsia" w:ascii="宋体" w:hAnsi="宋体" w:cs="宋体"/>
                <w:color w:val="000000"/>
                <w:sz w:val="20"/>
                <w:szCs w:val="20"/>
              </w:rPr>
            </w:pPr>
          </w:p>
        </w:tc>
      </w:tr>
      <w:tr w14:paraId="2BBD3D0C">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61541D">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3B6297E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物业人员对您诉求的响应速度</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57995B99">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6E834305">
            <w:pPr>
              <w:jc w:val="center"/>
              <w:rPr>
                <w:rFonts w:hint="eastAsia" w:ascii="宋体" w:hAnsi="宋体" w:cs="宋体"/>
                <w:color w:val="000000"/>
                <w:sz w:val="20"/>
                <w:szCs w:val="20"/>
              </w:rPr>
            </w:pPr>
          </w:p>
        </w:tc>
      </w:tr>
      <w:tr w14:paraId="3BD2ECF5">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18E0A">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1C17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您对综合服务的总体评价</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2EC67B70">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34D9FEFE">
            <w:pPr>
              <w:jc w:val="center"/>
              <w:rPr>
                <w:rFonts w:hint="eastAsia" w:ascii="宋体" w:hAnsi="宋体" w:cs="宋体"/>
                <w:color w:val="000000"/>
                <w:sz w:val="20"/>
                <w:szCs w:val="20"/>
              </w:rPr>
            </w:pPr>
          </w:p>
        </w:tc>
      </w:tr>
      <w:tr w14:paraId="009E9B7E">
        <w:tblPrEx>
          <w:tblCellMar>
            <w:top w:w="0" w:type="dxa"/>
            <w:left w:w="108" w:type="dxa"/>
            <w:bottom w:w="0" w:type="dxa"/>
            <w:right w:w="108" w:type="dxa"/>
          </w:tblCellMar>
        </w:tblPrEx>
        <w:trPr>
          <w:trHeight w:val="360" w:hRule="atLeast"/>
        </w:trPr>
        <w:tc>
          <w:tcPr>
            <w:tcW w:w="1816" w:type="dxa"/>
            <w:vMerge w:val="restart"/>
            <w:tcBorders>
              <w:top w:val="single" w:color="000000" w:sz="4" w:space="0"/>
              <w:left w:val="single" w:color="000000" w:sz="4" w:space="0"/>
              <w:bottom w:val="single" w:color="000000" w:sz="4" w:space="0"/>
              <w:right w:val="single" w:color="000000" w:sz="4" w:space="0"/>
            </w:tcBorders>
            <w:noWrap w:val="0"/>
            <w:vAlign w:val="center"/>
          </w:tcPr>
          <w:p w14:paraId="1EEB14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公共物业维护保养和（零星）维修管理服务</w:t>
            </w:r>
          </w:p>
        </w:tc>
        <w:tc>
          <w:tcPr>
            <w:tcW w:w="5565" w:type="dxa"/>
            <w:tcBorders>
              <w:top w:val="single" w:color="000000" w:sz="4" w:space="0"/>
              <w:left w:val="single" w:color="000000" w:sz="4" w:space="0"/>
              <w:bottom w:val="single" w:color="000000" w:sz="4" w:space="0"/>
              <w:right w:val="single" w:color="000000" w:sz="4" w:space="0"/>
            </w:tcBorders>
            <w:noWrap/>
            <w:vAlign w:val="center"/>
          </w:tcPr>
          <w:p w14:paraId="3AFB9F6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制订设施设备的巡检计划及养护计划</w:t>
            </w:r>
          </w:p>
        </w:tc>
        <w:tc>
          <w:tcPr>
            <w:tcW w:w="667" w:type="dxa"/>
            <w:vMerge w:val="restart"/>
            <w:tcBorders>
              <w:top w:val="single" w:color="000000" w:sz="4" w:space="0"/>
              <w:left w:val="single" w:color="000000" w:sz="4" w:space="0"/>
              <w:bottom w:val="single" w:color="000000" w:sz="4" w:space="0"/>
              <w:right w:val="single" w:color="000000" w:sz="4" w:space="0"/>
            </w:tcBorders>
            <w:noWrap/>
            <w:vAlign w:val="center"/>
          </w:tcPr>
          <w:p w14:paraId="23156E01">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22</w:t>
            </w:r>
          </w:p>
        </w:tc>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14:paraId="4BAFC06C">
            <w:pPr>
              <w:jc w:val="center"/>
              <w:rPr>
                <w:rFonts w:hint="eastAsia" w:ascii="宋体" w:hAnsi="宋体" w:cs="宋体"/>
                <w:color w:val="000000"/>
                <w:sz w:val="20"/>
                <w:szCs w:val="20"/>
              </w:rPr>
            </w:pPr>
          </w:p>
        </w:tc>
      </w:tr>
      <w:tr w14:paraId="3B927351">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B19529">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ign w:val="center"/>
          </w:tcPr>
          <w:p w14:paraId="7D7AB50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维修人员持证上岗、服务规范</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38BC2033">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3E9F2CD5">
            <w:pPr>
              <w:jc w:val="center"/>
              <w:rPr>
                <w:rFonts w:hint="eastAsia" w:ascii="宋体" w:hAnsi="宋体" w:cs="宋体"/>
                <w:color w:val="000000"/>
                <w:sz w:val="20"/>
                <w:szCs w:val="20"/>
              </w:rPr>
            </w:pPr>
          </w:p>
        </w:tc>
      </w:tr>
      <w:tr w14:paraId="7EE7EA12">
        <w:tblPrEx>
          <w:tblCellMar>
            <w:top w:w="0" w:type="dxa"/>
            <w:left w:w="108" w:type="dxa"/>
            <w:bottom w:w="0" w:type="dxa"/>
            <w:right w:w="108" w:type="dxa"/>
          </w:tblCellMar>
        </w:tblPrEx>
        <w:trPr>
          <w:trHeight w:val="60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EC3950">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215040A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及时响应报修服务（紧急维修10分钟内到场，普通维修30分钟内响应），返修率情况</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0C766273">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577570B1">
            <w:pPr>
              <w:jc w:val="center"/>
              <w:rPr>
                <w:rFonts w:hint="eastAsia" w:ascii="宋体" w:hAnsi="宋体" w:cs="宋体"/>
                <w:color w:val="000000"/>
                <w:sz w:val="20"/>
                <w:szCs w:val="20"/>
              </w:rPr>
            </w:pPr>
          </w:p>
        </w:tc>
      </w:tr>
      <w:tr w14:paraId="4780DB1F">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1951E9">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ign w:val="center"/>
          </w:tcPr>
          <w:p w14:paraId="24316DA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建立24小时运行维修值班制度，及时排除故障</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4C5D6A53">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0044B324">
            <w:pPr>
              <w:jc w:val="center"/>
              <w:rPr>
                <w:rFonts w:hint="eastAsia" w:ascii="宋体" w:hAnsi="宋体" w:cs="宋体"/>
                <w:color w:val="000000"/>
                <w:sz w:val="20"/>
                <w:szCs w:val="20"/>
              </w:rPr>
            </w:pPr>
          </w:p>
        </w:tc>
      </w:tr>
      <w:tr w14:paraId="0DB6E681">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2D1B9">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ign w:val="center"/>
          </w:tcPr>
          <w:p w14:paraId="720C559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校园内生活及办公用水的稳定性，水箱清洗情况</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615C19DC">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39269C37">
            <w:pPr>
              <w:jc w:val="center"/>
              <w:rPr>
                <w:rFonts w:hint="eastAsia" w:ascii="宋体" w:hAnsi="宋体" w:cs="宋体"/>
                <w:color w:val="000000"/>
                <w:sz w:val="20"/>
                <w:szCs w:val="20"/>
              </w:rPr>
            </w:pPr>
          </w:p>
        </w:tc>
      </w:tr>
      <w:tr w14:paraId="2676B08F">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906830">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ign w:val="center"/>
          </w:tcPr>
          <w:p w14:paraId="0F46E9B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门、窗、桌椅、照明、卫生间等设备的使用</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069BCFDB">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26FC65FD">
            <w:pPr>
              <w:jc w:val="center"/>
              <w:rPr>
                <w:rFonts w:hint="eastAsia" w:ascii="宋体" w:hAnsi="宋体" w:cs="宋体"/>
                <w:color w:val="000000"/>
                <w:sz w:val="20"/>
                <w:szCs w:val="20"/>
              </w:rPr>
            </w:pPr>
          </w:p>
        </w:tc>
      </w:tr>
      <w:tr w14:paraId="110BEBC7">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4AC388">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ign w:val="center"/>
          </w:tcPr>
          <w:p w14:paraId="33D5573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涉及第三方单位的维修，要及时联系，做好配合工作</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35AB66CB">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3917CBAE">
            <w:pPr>
              <w:jc w:val="center"/>
              <w:rPr>
                <w:rFonts w:hint="eastAsia" w:ascii="宋体" w:hAnsi="宋体" w:cs="宋体"/>
                <w:color w:val="000000"/>
                <w:sz w:val="20"/>
                <w:szCs w:val="20"/>
              </w:rPr>
            </w:pPr>
          </w:p>
        </w:tc>
      </w:tr>
      <w:tr w14:paraId="07266B7A">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69199">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ign w:val="center"/>
          </w:tcPr>
          <w:p w14:paraId="2E6E162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您对设备维修的总体评价</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11BC3F78">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0F36C23D">
            <w:pPr>
              <w:jc w:val="center"/>
              <w:rPr>
                <w:rFonts w:hint="eastAsia" w:ascii="宋体" w:hAnsi="宋体" w:cs="宋体"/>
                <w:color w:val="000000"/>
                <w:sz w:val="20"/>
                <w:szCs w:val="20"/>
              </w:rPr>
            </w:pPr>
          </w:p>
        </w:tc>
      </w:tr>
      <w:tr w14:paraId="572B41DD">
        <w:tblPrEx>
          <w:tblCellMar>
            <w:top w:w="0" w:type="dxa"/>
            <w:left w:w="108" w:type="dxa"/>
            <w:bottom w:w="0" w:type="dxa"/>
            <w:right w:w="108" w:type="dxa"/>
          </w:tblCellMar>
        </w:tblPrEx>
        <w:trPr>
          <w:trHeight w:val="360" w:hRule="atLeast"/>
        </w:trPr>
        <w:tc>
          <w:tcPr>
            <w:tcW w:w="18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178E1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公共区域卫生清洁及垃圾分类管理服务</w:t>
            </w:r>
          </w:p>
        </w:tc>
        <w:tc>
          <w:tcPr>
            <w:tcW w:w="5565" w:type="dxa"/>
            <w:tcBorders>
              <w:top w:val="single" w:color="000000" w:sz="4" w:space="0"/>
              <w:left w:val="single" w:color="000000" w:sz="4" w:space="0"/>
              <w:bottom w:val="single" w:color="000000" w:sz="4" w:space="0"/>
              <w:right w:val="single" w:color="000000" w:sz="4" w:space="0"/>
            </w:tcBorders>
            <w:noWrap/>
            <w:vAlign w:val="center"/>
          </w:tcPr>
          <w:p w14:paraId="0247208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保洁人员的岗位规范（及时清扫/举止文明）</w:t>
            </w:r>
          </w:p>
        </w:tc>
        <w:tc>
          <w:tcPr>
            <w:tcW w:w="667" w:type="dxa"/>
            <w:vMerge w:val="restart"/>
            <w:tcBorders>
              <w:top w:val="single" w:color="000000" w:sz="4" w:space="0"/>
              <w:left w:val="single" w:color="000000" w:sz="4" w:space="0"/>
              <w:bottom w:val="single" w:color="000000" w:sz="4" w:space="0"/>
              <w:right w:val="single" w:color="000000" w:sz="4" w:space="0"/>
            </w:tcBorders>
            <w:noWrap/>
            <w:vAlign w:val="center"/>
          </w:tcPr>
          <w:p w14:paraId="0889DF16">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23</w:t>
            </w:r>
          </w:p>
        </w:tc>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14:paraId="224C8368">
            <w:pPr>
              <w:jc w:val="center"/>
              <w:rPr>
                <w:rFonts w:hint="eastAsia" w:ascii="宋体" w:hAnsi="宋体" w:cs="宋体"/>
                <w:color w:val="000000"/>
                <w:sz w:val="20"/>
                <w:szCs w:val="20"/>
              </w:rPr>
            </w:pPr>
          </w:p>
        </w:tc>
      </w:tr>
      <w:tr w14:paraId="46B4C2E9">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08D08D">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ign w:val="center"/>
          </w:tcPr>
          <w:p w14:paraId="03FED94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校园内广场、场地、明沟、天沟、窨井、公告栏（牌）清洁</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00D180B3">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438054B7">
            <w:pPr>
              <w:jc w:val="center"/>
              <w:rPr>
                <w:rFonts w:hint="eastAsia" w:ascii="宋体" w:hAnsi="宋体" w:cs="宋体"/>
                <w:color w:val="000000"/>
                <w:sz w:val="20"/>
                <w:szCs w:val="20"/>
              </w:rPr>
            </w:pPr>
          </w:p>
        </w:tc>
      </w:tr>
      <w:tr w14:paraId="1E9DA151">
        <w:tblPrEx>
          <w:tblCellMar>
            <w:top w:w="0" w:type="dxa"/>
            <w:left w:w="108" w:type="dxa"/>
            <w:bottom w:w="0" w:type="dxa"/>
            <w:right w:w="108" w:type="dxa"/>
          </w:tblCellMar>
        </w:tblPrEx>
        <w:trPr>
          <w:trHeight w:val="60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567649">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2EF1EE5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楼内公共区域的清洁卫生（走廊/楼梯/玻璃//电梯轿厢/室外道路/广场/操场/场馆/咖吧）</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4170E102">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6260E055">
            <w:pPr>
              <w:jc w:val="center"/>
              <w:rPr>
                <w:rFonts w:hint="eastAsia" w:ascii="宋体" w:hAnsi="宋体" w:cs="宋体"/>
                <w:color w:val="000000"/>
                <w:sz w:val="20"/>
                <w:szCs w:val="20"/>
              </w:rPr>
            </w:pPr>
          </w:p>
        </w:tc>
      </w:tr>
      <w:tr w14:paraId="1D3FA427">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85AF6">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5098FC6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会务中心、大礼堂、会议室、贵宾厅的清洁卫生</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02BA81A4">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05830AF3">
            <w:pPr>
              <w:jc w:val="center"/>
              <w:rPr>
                <w:rFonts w:hint="eastAsia" w:ascii="宋体" w:hAnsi="宋体" w:cs="宋体"/>
                <w:color w:val="000000"/>
                <w:sz w:val="20"/>
                <w:szCs w:val="20"/>
              </w:rPr>
            </w:pPr>
          </w:p>
        </w:tc>
      </w:tr>
      <w:tr w14:paraId="6569BDBB">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D3A9F">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1D7727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公共洗手间的清洁卫生、消杀及记录完整情况</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49172ED3">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40446404">
            <w:pPr>
              <w:jc w:val="center"/>
              <w:rPr>
                <w:rFonts w:hint="eastAsia" w:ascii="宋体" w:hAnsi="宋体" w:cs="宋体"/>
                <w:color w:val="000000"/>
                <w:sz w:val="20"/>
                <w:szCs w:val="20"/>
              </w:rPr>
            </w:pPr>
          </w:p>
        </w:tc>
      </w:tr>
      <w:tr w14:paraId="752B023E">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42A6AE">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7290A3D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宿舍楼公共区域清洁</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4E33AEE4">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59BDED97">
            <w:pPr>
              <w:jc w:val="center"/>
              <w:rPr>
                <w:rFonts w:hint="eastAsia" w:ascii="宋体" w:hAnsi="宋体" w:cs="宋体"/>
                <w:color w:val="000000"/>
                <w:sz w:val="20"/>
                <w:szCs w:val="20"/>
              </w:rPr>
            </w:pPr>
          </w:p>
        </w:tc>
      </w:tr>
      <w:tr w14:paraId="6CB2D6CD">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229D7">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48551CE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垃圾分类、收集、清运是否及时及卫生消杀</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6EC40511">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39233D98">
            <w:pPr>
              <w:jc w:val="center"/>
              <w:rPr>
                <w:rFonts w:hint="eastAsia" w:ascii="宋体" w:hAnsi="宋体" w:cs="宋体"/>
                <w:color w:val="000000"/>
                <w:sz w:val="20"/>
                <w:szCs w:val="20"/>
              </w:rPr>
            </w:pPr>
          </w:p>
        </w:tc>
      </w:tr>
      <w:tr w14:paraId="636C865A">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28EBE5">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7869BA2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您对环境清洁的总体评价</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64616DF5">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42E53AA8">
            <w:pPr>
              <w:jc w:val="center"/>
              <w:rPr>
                <w:rFonts w:hint="eastAsia" w:ascii="宋体" w:hAnsi="宋体" w:cs="宋体"/>
                <w:color w:val="000000"/>
                <w:sz w:val="20"/>
                <w:szCs w:val="20"/>
              </w:rPr>
            </w:pPr>
          </w:p>
        </w:tc>
      </w:tr>
      <w:tr w14:paraId="359EC940">
        <w:tblPrEx>
          <w:tblCellMar>
            <w:top w:w="0" w:type="dxa"/>
            <w:left w:w="108" w:type="dxa"/>
            <w:bottom w:w="0" w:type="dxa"/>
            <w:right w:w="108" w:type="dxa"/>
          </w:tblCellMar>
        </w:tblPrEx>
        <w:trPr>
          <w:trHeight w:val="360" w:hRule="atLeast"/>
        </w:trPr>
        <w:tc>
          <w:tcPr>
            <w:tcW w:w="1816" w:type="dxa"/>
            <w:vMerge w:val="restart"/>
            <w:tcBorders>
              <w:top w:val="single" w:color="000000" w:sz="4" w:space="0"/>
              <w:left w:val="single" w:color="000000" w:sz="4" w:space="0"/>
              <w:bottom w:val="single" w:color="000000" w:sz="4" w:space="0"/>
              <w:right w:val="single" w:color="000000" w:sz="4" w:space="0"/>
            </w:tcBorders>
            <w:noWrap/>
            <w:vAlign w:val="center"/>
          </w:tcPr>
          <w:p w14:paraId="0E379F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学生公寓管理服务</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12804C8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宿舍管理人员严格培训，服务态度文明规范服务</w:t>
            </w:r>
          </w:p>
        </w:tc>
        <w:tc>
          <w:tcPr>
            <w:tcW w:w="667" w:type="dxa"/>
            <w:vMerge w:val="restart"/>
            <w:tcBorders>
              <w:top w:val="single" w:color="000000" w:sz="4" w:space="0"/>
              <w:left w:val="single" w:color="000000" w:sz="4" w:space="0"/>
              <w:bottom w:val="single" w:color="000000" w:sz="4" w:space="0"/>
              <w:right w:val="single" w:color="000000" w:sz="4" w:space="0"/>
            </w:tcBorders>
            <w:noWrap/>
            <w:vAlign w:val="center"/>
          </w:tcPr>
          <w:p w14:paraId="0C4844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14:paraId="00F9BD57">
            <w:pPr>
              <w:jc w:val="center"/>
              <w:rPr>
                <w:rFonts w:hint="eastAsia" w:ascii="宋体" w:hAnsi="宋体" w:cs="宋体"/>
                <w:color w:val="000000"/>
                <w:sz w:val="20"/>
                <w:szCs w:val="20"/>
              </w:rPr>
            </w:pPr>
          </w:p>
        </w:tc>
      </w:tr>
      <w:tr w14:paraId="1BA0785D">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ign w:val="center"/>
          </w:tcPr>
          <w:p w14:paraId="0BEE2712">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6C68923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严格执行宿舍安全管理规定，做好24小时门岗值班</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4136F26C">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4FF2932E">
            <w:pPr>
              <w:jc w:val="center"/>
              <w:rPr>
                <w:rFonts w:hint="eastAsia" w:ascii="宋体" w:hAnsi="宋体" w:cs="宋体"/>
                <w:color w:val="000000"/>
                <w:sz w:val="20"/>
                <w:szCs w:val="20"/>
              </w:rPr>
            </w:pPr>
          </w:p>
        </w:tc>
      </w:tr>
      <w:tr w14:paraId="22EE6DF9">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ign w:val="center"/>
          </w:tcPr>
          <w:p w14:paraId="48E15C39">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5C2E93C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配合新生入住接待等工作</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43FE3553">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222F15FF">
            <w:pPr>
              <w:jc w:val="center"/>
              <w:rPr>
                <w:rFonts w:hint="eastAsia" w:ascii="宋体" w:hAnsi="宋体" w:cs="宋体"/>
                <w:color w:val="000000"/>
                <w:sz w:val="20"/>
                <w:szCs w:val="20"/>
              </w:rPr>
            </w:pPr>
          </w:p>
        </w:tc>
      </w:tr>
      <w:tr w14:paraId="485F5BD1">
        <w:tblPrEx>
          <w:tblCellMar>
            <w:top w:w="0" w:type="dxa"/>
            <w:left w:w="108" w:type="dxa"/>
            <w:bottom w:w="0" w:type="dxa"/>
            <w:right w:w="108" w:type="dxa"/>
          </w:tblCellMar>
        </w:tblPrEx>
        <w:trPr>
          <w:trHeight w:val="615"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ign w:val="center"/>
          </w:tcPr>
          <w:p w14:paraId="018B9F98">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26F2F15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学生毕业、宿舍调整后房间的保洁、床铺整修及零星搬迁工作</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0F4BFFFF">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7AE82DC2">
            <w:pPr>
              <w:jc w:val="center"/>
              <w:rPr>
                <w:rFonts w:hint="eastAsia" w:ascii="宋体" w:hAnsi="宋体" w:cs="宋体"/>
                <w:color w:val="000000"/>
                <w:sz w:val="20"/>
                <w:szCs w:val="20"/>
              </w:rPr>
            </w:pPr>
          </w:p>
        </w:tc>
      </w:tr>
      <w:tr w14:paraId="590600B5">
        <w:tblPrEx>
          <w:tblCellMar>
            <w:top w:w="0" w:type="dxa"/>
            <w:left w:w="108" w:type="dxa"/>
            <w:bottom w:w="0" w:type="dxa"/>
            <w:right w:w="108" w:type="dxa"/>
          </w:tblCellMar>
        </w:tblPrEx>
        <w:trPr>
          <w:trHeight w:val="615"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ign w:val="center"/>
          </w:tcPr>
          <w:p w14:paraId="59CFB151">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3840680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学生入住、退宿和调整宿舍的管理工作及学校后勤系统宿舍及时调整</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05D7264F">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3C68767C">
            <w:pPr>
              <w:jc w:val="center"/>
              <w:rPr>
                <w:rFonts w:hint="eastAsia" w:ascii="宋体" w:hAnsi="宋体" w:cs="宋体"/>
                <w:color w:val="000000"/>
                <w:sz w:val="20"/>
                <w:szCs w:val="20"/>
              </w:rPr>
            </w:pPr>
          </w:p>
        </w:tc>
      </w:tr>
      <w:tr w14:paraId="7127FB15">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F0B6">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A803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对学生垃圾分类投放进行指导及纠正</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7A040550">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40C173ED">
            <w:pPr>
              <w:jc w:val="center"/>
              <w:rPr>
                <w:rFonts w:hint="eastAsia" w:ascii="宋体" w:hAnsi="宋体" w:cs="宋体"/>
                <w:color w:val="000000"/>
                <w:sz w:val="20"/>
                <w:szCs w:val="20"/>
              </w:rPr>
            </w:pPr>
          </w:p>
        </w:tc>
      </w:tr>
      <w:tr w14:paraId="5277DCD8">
        <w:tblPrEx>
          <w:tblCellMar>
            <w:top w:w="0" w:type="dxa"/>
            <w:left w:w="108" w:type="dxa"/>
            <w:bottom w:w="0" w:type="dxa"/>
            <w:right w:w="108" w:type="dxa"/>
          </w:tblCellMar>
        </w:tblPrEx>
        <w:trPr>
          <w:trHeight w:val="510" w:hRule="atLeast"/>
        </w:trPr>
        <w:tc>
          <w:tcPr>
            <w:tcW w:w="1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2F9A">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F42C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做好招待所的房间预订、安排，住宿人员的入住、退房等工作，并做好工作台账</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139F30ED">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426FAD47">
            <w:pPr>
              <w:jc w:val="center"/>
              <w:rPr>
                <w:rFonts w:hint="eastAsia" w:ascii="宋体" w:hAnsi="宋体" w:cs="宋体"/>
                <w:color w:val="000000"/>
                <w:sz w:val="20"/>
                <w:szCs w:val="20"/>
              </w:rPr>
            </w:pPr>
          </w:p>
        </w:tc>
      </w:tr>
      <w:tr w14:paraId="6357488A">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ign w:val="center"/>
          </w:tcPr>
          <w:p w14:paraId="69078823">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64C8B52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您对宿管服务的总体评价</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46B707CB">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1A7930E0">
            <w:pPr>
              <w:jc w:val="center"/>
              <w:rPr>
                <w:rFonts w:hint="eastAsia" w:ascii="宋体" w:hAnsi="宋体" w:cs="宋体"/>
                <w:color w:val="000000"/>
                <w:sz w:val="20"/>
                <w:szCs w:val="20"/>
              </w:rPr>
            </w:pPr>
          </w:p>
        </w:tc>
      </w:tr>
      <w:tr w14:paraId="0837E371">
        <w:tblPrEx>
          <w:tblCellMar>
            <w:top w:w="0" w:type="dxa"/>
            <w:left w:w="108" w:type="dxa"/>
            <w:bottom w:w="0" w:type="dxa"/>
            <w:right w:w="108" w:type="dxa"/>
          </w:tblCellMar>
        </w:tblPrEx>
        <w:trPr>
          <w:trHeight w:val="360" w:hRule="atLeast"/>
        </w:trPr>
        <w:tc>
          <w:tcPr>
            <w:tcW w:w="1816" w:type="dxa"/>
            <w:vMerge w:val="restart"/>
            <w:tcBorders>
              <w:top w:val="single" w:color="000000" w:sz="4" w:space="0"/>
              <w:left w:val="single" w:color="000000" w:sz="4" w:space="0"/>
              <w:bottom w:val="single" w:color="000000" w:sz="4" w:space="0"/>
              <w:right w:val="single" w:color="000000" w:sz="4" w:space="0"/>
            </w:tcBorders>
            <w:noWrap w:val="0"/>
            <w:vAlign w:val="center"/>
          </w:tcPr>
          <w:p w14:paraId="03A959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公共绿地养护和室内绿化、摆花的服务</w:t>
            </w: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48547C8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室外绿化养护得当及时修剪、补种</w:t>
            </w:r>
          </w:p>
        </w:tc>
        <w:tc>
          <w:tcPr>
            <w:tcW w:w="667" w:type="dxa"/>
            <w:vMerge w:val="restart"/>
            <w:tcBorders>
              <w:top w:val="single" w:color="000000" w:sz="4" w:space="0"/>
              <w:left w:val="single" w:color="000000" w:sz="4" w:space="0"/>
              <w:bottom w:val="single" w:color="000000" w:sz="4" w:space="0"/>
              <w:right w:val="single" w:color="000000" w:sz="4" w:space="0"/>
            </w:tcBorders>
            <w:noWrap/>
            <w:vAlign w:val="center"/>
          </w:tcPr>
          <w:p w14:paraId="4E814D62">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10</w:t>
            </w:r>
          </w:p>
        </w:tc>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14:paraId="1395C3A3">
            <w:pPr>
              <w:jc w:val="center"/>
              <w:rPr>
                <w:rFonts w:hint="eastAsia" w:ascii="宋体" w:hAnsi="宋体" w:cs="宋体"/>
                <w:color w:val="000000"/>
                <w:sz w:val="20"/>
                <w:szCs w:val="20"/>
              </w:rPr>
            </w:pPr>
          </w:p>
        </w:tc>
      </w:tr>
      <w:tr w14:paraId="1AFCF419">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614F7">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C76D0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室外绿化区域的环境卫生</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4F8F81B5">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6D471103">
            <w:pPr>
              <w:jc w:val="center"/>
              <w:rPr>
                <w:rFonts w:hint="eastAsia" w:ascii="宋体" w:hAnsi="宋体" w:cs="宋体"/>
                <w:color w:val="000000"/>
                <w:sz w:val="20"/>
                <w:szCs w:val="20"/>
              </w:rPr>
            </w:pPr>
          </w:p>
        </w:tc>
      </w:tr>
      <w:tr w14:paraId="5A7DE595">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389D43">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690E13A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绿化养护期间对您工作学习或通行的影响</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70118DD8">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6A2F0E4C">
            <w:pPr>
              <w:jc w:val="center"/>
              <w:rPr>
                <w:rFonts w:hint="eastAsia" w:ascii="宋体" w:hAnsi="宋体" w:cs="宋体"/>
                <w:color w:val="000000"/>
                <w:sz w:val="20"/>
                <w:szCs w:val="20"/>
              </w:rPr>
            </w:pPr>
          </w:p>
        </w:tc>
      </w:tr>
      <w:tr w14:paraId="211046F1">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DB34FD">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2866027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做好防台防汛期间绿化树木扶正加固，消除安全隐患</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6CE4F13E">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1C1E4FE8">
            <w:pPr>
              <w:jc w:val="center"/>
              <w:rPr>
                <w:rFonts w:hint="eastAsia" w:ascii="宋体" w:hAnsi="宋体" w:cs="宋体"/>
                <w:color w:val="000000"/>
                <w:sz w:val="20"/>
                <w:szCs w:val="20"/>
              </w:rPr>
            </w:pPr>
          </w:p>
        </w:tc>
      </w:tr>
      <w:tr w14:paraId="219E0A06">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4743B">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BE0A4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您对绿化养护的总体评价</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5B9F0F45">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4BBFECA4">
            <w:pPr>
              <w:jc w:val="center"/>
              <w:rPr>
                <w:rFonts w:hint="eastAsia" w:ascii="宋体" w:hAnsi="宋体" w:cs="宋体"/>
                <w:color w:val="000000"/>
                <w:sz w:val="20"/>
                <w:szCs w:val="20"/>
              </w:rPr>
            </w:pPr>
          </w:p>
        </w:tc>
      </w:tr>
      <w:tr w14:paraId="0D03C6AC">
        <w:tblPrEx>
          <w:tblCellMar>
            <w:top w:w="0" w:type="dxa"/>
            <w:left w:w="108" w:type="dxa"/>
            <w:bottom w:w="0" w:type="dxa"/>
            <w:right w:w="108" w:type="dxa"/>
          </w:tblCellMar>
        </w:tblPrEx>
        <w:trPr>
          <w:trHeight w:val="360" w:hRule="atLeast"/>
        </w:trPr>
        <w:tc>
          <w:tcPr>
            <w:tcW w:w="1816" w:type="dxa"/>
            <w:vMerge w:val="restart"/>
            <w:tcBorders>
              <w:top w:val="single" w:color="000000" w:sz="4" w:space="0"/>
              <w:left w:val="single" w:color="000000" w:sz="4" w:space="0"/>
              <w:bottom w:val="single" w:color="000000" w:sz="4" w:space="0"/>
              <w:right w:val="single" w:color="000000" w:sz="4" w:space="0"/>
            </w:tcBorders>
            <w:noWrap w:val="0"/>
            <w:vAlign w:val="center"/>
          </w:tcPr>
          <w:p w14:paraId="425E62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应急事件处置与防台防汛</w:t>
            </w:r>
          </w:p>
        </w:tc>
        <w:tc>
          <w:tcPr>
            <w:tcW w:w="5565" w:type="dxa"/>
            <w:tcBorders>
              <w:top w:val="single" w:color="000000" w:sz="4" w:space="0"/>
              <w:left w:val="single" w:color="000000" w:sz="4" w:space="0"/>
              <w:bottom w:val="single" w:color="000000" w:sz="4" w:space="0"/>
              <w:right w:val="single" w:color="000000" w:sz="4" w:space="0"/>
            </w:tcBorders>
            <w:noWrap/>
            <w:vAlign w:val="center"/>
          </w:tcPr>
          <w:p w14:paraId="484A630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制订针对学校各类应急预案，加强应急预案的培训</w:t>
            </w:r>
          </w:p>
        </w:tc>
        <w:tc>
          <w:tcPr>
            <w:tcW w:w="667" w:type="dxa"/>
            <w:vMerge w:val="restart"/>
            <w:tcBorders>
              <w:top w:val="single" w:color="000000" w:sz="4" w:space="0"/>
              <w:left w:val="single" w:color="000000" w:sz="4" w:space="0"/>
              <w:bottom w:val="single" w:color="000000" w:sz="4" w:space="0"/>
              <w:right w:val="single" w:color="000000" w:sz="4" w:space="0"/>
            </w:tcBorders>
            <w:noWrap/>
            <w:vAlign w:val="center"/>
          </w:tcPr>
          <w:p w14:paraId="27ECB5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618" w:type="dxa"/>
            <w:vMerge w:val="restart"/>
            <w:tcBorders>
              <w:top w:val="single" w:color="000000" w:sz="4" w:space="0"/>
              <w:left w:val="single" w:color="000000" w:sz="4" w:space="0"/>
              <w:bottom w:val="single" w:color="000000" w:sz="4" w:space="0"/>
              <w:right w:val="single" w:color="000000" w:sz="4" w:space="0"/>
            </w:tcBorders>
            <w:noWrap/>
            <w:vAlign w:val="center"/>
          </w:tcPr>
          <w:p w14:paraId="3E43EA66">
            <w:pPr>
              <w:jc w:val="center"/>
              <w:rPr>
                <w:rFonts w:hint="eastAsia" w:ascii="宋体" w:hAnsi="宋体" w:cs="宋体"/>
                <w:color w:val="000000"/>
                <w:sz w:val="20"/>
                <w:szCs w:val="20"/>
              </w:rPr>
            </w:pPr>
          </w:p>
        </w:tc>
      </w:tr>
      <w:tr w14:paraId="576C3A33">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B9749A">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ign w:val="center"/>
          </w:tcPr>
          <w:p w14:paraId="29D9816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积极参加学校相关部门组织的消防安全培训</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751E0F50">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101DA45C">
            <w:pPr>
              <w:jc w:val="center"/>
              <w:rPr>
                <w:rFonts w:hint="eastAsia" w:ascii="宋体" w:hAnsi="宋体" w:cs="宋体"/>
                <w:color w:val="000000"/>
                <w:sz w:val="20"/>
                <w:szCs w:val="20"/>
              </w:rPr>
            </w:pPr>
          </w:p>
        </w:tc>
      </w:tr>
      <w:tr w14:paraId="1E271154">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42D442">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ign w:val="center"/>
          </w:tcPr>
          <w:p w14:paraId="04B98E8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参加消防实操演练，熟悉及掌握灭火器材的基本使用方法</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63812EEB">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78A9F404">
            <w:pPr>
              <w:jc w:val="center"/>
              <w:rPr>
                <w:rFonts w:hint="eastAsia" w:ascii="宋体" w:hAnsi="宋体" w:cs="宋体"/>
                <w:color w:val="000000"/>
                <w:sz w:val="20"/>
                <w:szCs w:val="20"/>
              </w:rPr>
            </w:pPr>
          </w:p>
        </w:tc>
      </w:tr>
      <w:tr w14:paraId="61FCFB2F">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48D857">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7AC4312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每年汛期加强天沟、地沟、窨井的清理，保障排水畅通</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2760E771">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5529E226">
            <w:pPr>
              <w:jc w:val="center"/>
              <w:rPr>
                <w:rFonts w:hint="eastAsia" w:ascii="宋体" w:hAnsi="宋体" w:cs="宋体"/>
                <w:color w:val="000000"/>
                <w:sz w:val="20"/>
                <w:szCs w:val="20"/>
              </w:rPr>
            </w:pPr>
          </w:p>
        </w:tc>
      </w:tr>
      <w:tr w14:paraId="6CA46C32">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70BFF3">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0"/>
            <w:vAlign w:val="center"/>
          </w:tcPr>
          <w:p w14:paraId="698545E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汛期期间安排值班人员</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4DFC67C2">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54E8DAF3">
            <w:pPr>
              <w:jc w:val="center"/>
              <w:rPr>
                <w:rFonts w:hint="eastAsia" w:ascii="宋体" w:hAnsi="宋体" w:cs="宋体"/>
                <w:color w:val="000000"/>
                <w:sz w:val="20"/>
                <w:szCs w:val="20"/>
              </w:rPr>
            </w:pPr>
          </w:p>
        </w:tc>
      </w:tr>
      <w:tr w14:paraId="289AD4F4">
        <w:tblPrEx>
          <w:tblCellMar>
            <w:top w:w="0" w:type="dxa"/>
            <w:left w:w="108" w:type="dxa"/>
            <w:bottom w:w="0" w:type="dxa"/>
            <w:right w:w="108" w:type="dxa"/>
          </w:tblCellMar>
        </w:tblPrEx>
        <w:trPr>
          <w:trHeight w:val="360" w:hRule="atLeast"/>
        </w:trPr>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11389E">
            <w:pPr>
              <w:jc w:val="center"/>
              <w:rPr>
                <w:rFonts w:hint="eastAsia" w:ascii="宋体" w:hAnsi="宋体" w:cs="宋体"/>
                <w:color w:val="000000"/>
                <w:sz w:val="20"/>
                <w:szCs w:val="20"/>
              </w:rPr>
            </w:pPr>
          </w:p>
        </w:tc>
        <w:tc>
          <w:tcPr>
            <w:tcW w:w="5565" w:type="dxa"/>
            <w:tcBorders>
              <w:top w:val="single" w:color="000000" w:sz="4" w:space="0"/>
              <w:left w:val="single" w:color="000000" w:sz="4" w:space="0"/>
              <w:bottom w:val="single" w:color="000000" w:sz="4" w:space="0"/>
              <w:right w:val="single" w:color="000000" w:sz="4" w:space="0"/>
            </w:tcBorders>
            <w:noWrap/>
            <w:vAlign w:val="center"/>
          </w:tcPr>
          <w:p w14:paraId="7624D2F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汛期期间组织抢险队伍，时刻准备抢险任务</w:t>
            </w:r>
          </w:p>
        </w:tc>
        <w:tc>
          <w:tcPr>
            <w:tcW w:w="667" w:type="dxa"/>
            <w:vMerge w:val="continue"/>
            <w:tcBorders>
              <w:top w:val="single" w:color="000000" w:sz="4" w:space="0"/>
              <w:left w:val="single" w:color="000000" w:sz="4" w:space="0"/>
              <w:bottom w:val="single" w:color="000000" w:sz="4" w:space="0"/>
              <w:right w:val="single" w:color="000000" w:sz="4" w:space="0"/>
            </w:tcBorders>
            <w:noWrap/>
            <w:vAlign w:val="center"/>
          </w:tcPr>
          <w:p w14:paraId="20E0D5CA">
            <w:pPr>
              <w:jc w:val="center"/>
              <w:rPr>
                <w:rFonts w:hint="eastAsia" w:ascii="宋体" w:hAnsi="宋体" w:cs="宋体"/>
                <w:color w:val="000000"/>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14:paraId="480AE05D">
            <w:pPr>
              <w:jc w:val="center"/>
              <w:rPr>
                <w:rFonts w:hint="eastAsia" w:ascii="宋体" w:hAnsi="宋体" w:cs="宋体"/>
                <w:color w:val="000000"/>
                <w:sz w:val="20"/>
                <w:szCs w:val="20"/>
              </w:rPr>
            </w:pPr>
          </w:p>
        </w:tc>
      </w:tr>
      <w:tr w14:paraId="103A2E8E">
        <w:tblPrEx>
          <w:tblCellMar>
            <w:top w:w="0" w:type="dxa"/>
            <w:left w:w="108" w:type="dxa"/>
            <w:bottom w:w="0" w:type="dxa"/>
            <w:right w:w="108" w:type="dxa"/>
          </w:tblCellMar>
        </w:tblPrEx>
        <w:trPr>
          <w:trHeight w:val="555" w:hRule="atLeast"/>
        </w:trPr>
        <w:tc>
          <w:tcPr>
            <w:tcW w:w="7381" w:type="dxa"/>
            <w:gridSpan w:val="2"/>
            <w:tcBorders>
              <w:top w:val="single" w:color="000000" w:sz="4" w:space="0"/>
              <w:left w:val="single" w:color="000000" w:sz="4" w:space="0"/>
              <w:bottom w:val="single" w:color="000000" w:sz="4" w:space="0"/>
              <w:right w:val="nil"/>
            </w:tcBorders>
            <w:noWrap w:val="0"/>
            <w:vAlign w:val="center"/>
          </w:tcPr>
          <w:p w14:paraId="322B4A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综合得分</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0D6F32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618" w:type="dxa"/>
            <w:tcBorders>
              <w:top w:val="nil"/>
              <w:left w:val="nil"/>
              <w:bottom w:val="nil"/>
              <w:right w:val="single" w:color="000000" w:sz="4" w:space="0"/>
            </w:tcBorders>
            <w:noWrap/>
            <w:vAlign w:val="center"/>
          </w:tcPr>
          <w:p w14:paraId="7110985D">
            <w:pPr>
              <w:jc w:val="center"/>
              <w:rPr>
                <w:rFonts w:hint="eastAsia" w:ascii="宋体" w:hAnsi="宋体" w:cs="宋体"/>
                <w:color w:val="000000"/>
                <w:sz w:val="20"/>
                <w:szCs w:val="20"/>
              </w:rPr>
            </w:pPr>
          </w:p>
        </w:tc>
      </w:tr>
      <w:tr w14:paraId="4A5E8FF1">
        <w:tblPrEx>
          <w:tblCellMar>
            <w:top w:w="0" w:type="dxa"/>
            <w:left w:w="108" w:type="dxa"/>
            <w:bottom w:w="0" w:type="dxa"/>
            <w:right w:w="108" w:type="dxa"/>
          </w:tblCellMar>
        </w:tblPrEx>
        <w:trPr>
          <w:trHeight w:val="800" w:hRule="atLeast"/>
        </w:trPr>
        <w:tc>
          <w:tcPr>
            <w:tcW w:w="8666" w:type="dxa"/>
            <w:gridSpan w:val="4"/>
            <w:tcBorders>
              <w:top w:val="single" w:color="000000" w:sz="4" w:space="0"/>
              <w:left w:val="single" w:color="000000" w:sz="4" w:space="0"/>
              <w:bottom w:val="nil"/>
              <w:right w:val="single" w:color="000000" w:sz="4" w:space="0"/>
            </w:tcBorders>
            <w:noWrap/>
            <w:vAlign w:val="top"/>
          </w:tcPr>
          <w:p w14:paraId="58DA4F21">
            <w:pPr>
              <w:widowControl/>
              <w:jc w:val="left"/>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对物业服务的其他建议和意见：</w:t>
            </w:r>
          </w:p>
        </w:tc>
      </w:tr>
      <w:tr w14:paraId="380071DA">
        <w:tblPrEx>
          <w:tblCellMar>
            <w:top w:w="0" w:type="dxa"/>
            <w:left w:w="108" w:type="dxa"/>
            <w:bottom w:w="0" w:type="dxa"/>
            <w:right w:w="108" w:type="dxa"/>
          </w:tblCellMar>
        </w:tblPrEx>
        <w:trPr>
          <w:trHeight w:val="615" w:hRule="atLeast"/>
        </w:trPr>
        <w:tc>
          <w:tcPr>
            <w:tcW w:w="1816" w:type="dxa"/>
            <w:tcBorders>
              <w:top w:val="nil"/>
              <w:left w:val="single" w:color="000000" w:sz="4" w:space="0"/>
              <w:bottom w:val="single" w:color="000000" w:sz="4" w:space="0"/>
              <w:right w:val="nil"/>
            </w:tcBorders>
            <w:noWrap/>
            <w:vAlign w:val="center"/>
          </w:tcPr>
          <w:p w14:paraId="113CE0BE">
            <w:pPr>
              <w:rPr>
                <w:rFonts w:hint="eastAsia" w:ascii="宋体" w:hAnsi="宋体" w:cs="宋体"/>
                <w:color w:val="000000"/>
                <w:sz w:val="20"/>
                <w:szCs w:val="20"/>
              </w:rPr>
            </w:pPr>
          </w:p>
        </w:tc>
        <w:tc>
          <w:tcPr>
            <w:tcW w:w="5565" w:type="dxa"/>
            <w:tcBorders>
              <w:top w:val="nil"/>
              <w:left w:val="nil"/>
              <w:bottom w:val="single" w:color="000000" w:sz="4" w:space="0"/>
              <w:right w:val="nil"/>
            </w:tcBorders>
            <w:noWrap/>
            <w:vAlign w:val="center"/>
          </w:tcPr>
          <w:p w14:paraId="0AC78C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评价人：</w:t>
            </w:r>
          </w:p>
        </w:tc>
        <w:tc>
          <w:tcPr>
            <w:tcW w:w="667" w:type="dxa"/>
            <w:tcBorders>
              <w:top w:val="nil"/>
              <w:left w:val="nil"/>
              <w:bottom w:val="single" w:color="000000" w:sz="4" w:space="0"/>
              <w:right w:val="nil"/>
            </w:tcBorders>
            <w:noWrap/>
            <w:vAlign w:val="center"/>
          </w:tcPr>
          <w:p w14:paraId="2D1AF22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日期：</w:t>
            </w:r>
          </w:p>
        </w:tc>
        <w:tc>
          <w:tcPr>
            <w:tcW w:w="618" w:type="dxa"/>
            <w:tcBorders>
              <w:top w:val="nil"/>
              <w:left w:val="nil"/>
              <w:bottom w:val="single" w:color="000000" w:sz="4" w:space="0"/>
              <w:right w:val="single" w:color="000000" w:sz="4" w:space="0"/>
            </w:tcBorders>
            <w:noWrap/>
            <w:vAlign w:val="center"/>
          </w:tcPr>
          <w:p w14:paraId="5488D72B">
            <w:pPr>
              <w:rPr>
                <w:rFonts w:hint="eastAsia" w:ascii="宋体" w:hAnsi="宋体" w:cs="宋体"/>
                <w:color w:val="000000"/>
                <w:sz w:val="20"/>
                <w:szCs w:val="20"/>
              </w:rPr>
            </w:pPr>
          </w:p>
        </w:tc>
      </w:tr>
    </w:tbl>
    <w:p w14:paraId="52F7561F">
      <w:pPr>
        <w:pStyle w:val="9"/>
        <w:spacing w:line="360" w:lineRule="auto"/>
        <w:rPr>
          <w:rFonts w:hint="eastAsia" w:ascii="宋体" w:hAnsi="宋体" w:eastAsia="宋体" w:cs="宋体"/>
          <w:sz w:val="21"/>
          <w:szCs w:val="21"/>
        </w:rPr>
      </w:pPr>
    </w:p>
    <w:p w14:paraId="67CDEEC0">
      <w:pPr>
        <w:rPr>
          <w:rFonts w:hint="eastAsia" w:ascii="宋体" w:hAnsi="宋体" w:eastAsia="宋体" w:cs="宋体"/>
          <w:sz w:val="21"/>
          <w:szCs w:val="21"/>
        </w:rPr>
      </w:pPr>
    </w:p>
    <w:p w14:paraId="1CB1DE40">
      <w:pPr>
        <w:pStyle w:val="9"/>
        <w:spacing w:line="360" w:lineRule="auto"/>
        <w:rPr>
          <w:rFonts w:hint="eastAsia" w:hAnsi="宋体" w:cs="宋体"/>
          <w:b/>
          <w:bCs/>
          <w:sz w:val="21"/>
          <w:szCs w:val="21"/>
          <w:lang w:val="en-US" w:eastAsia="zh-CN"/>
        </w:rPr>
      </w:pPr>
      <w:r>
        <w:rPr>
          <w:rFonts w:hint="eastAsia" w:hAnsi="宋体" w:cs="宋体"/>
          <w:b/>
          <w:bCs/>
          <w:sz w:val="21"/>
          <w:szCs w:val="21"/>
          <w:lang w:val="en-US" w:eastAsia="zh-CN"/>
        </w:rPr>
        <w:t>3</w:t>
      </w:r>
      <w:r>
        <w:rPr>
          <w:rFonts w:hint="eastAsia" w:ascii="宋体" w:hAnsi="宋体" w:eastAsia="宋体" w:cs="宋体"/>
          <w:b/>
          <w:bCs/>
          <w:sz w:val="21"/>
          <w:szCs w:val="21"/>
        </w:rPr>
        <w:t>、</w:t>
      </w:r>
      <w:r>
        <w:rPr>
          <w:rFonts w:hint="eastAsia" w:hAnsi="宋体" w:cs="宋体"/>
          <w:b/>
          <w:bCs/>
          <w:sz w:val="21"/>
          <w:szCs w:val="21"/>
          <w:lang w:val="en-US" w:eastAsia="zh-CN"/>
        </w:rPr>
        <w:t>耗材附加表内容见下表（由投标单位提供和承担，数量供供应商报价参考）</w:t>
      </w:r>
    </w:p>
    <w:tbl>
      <w:tblPr>
        <w:tblStyle w:val="15"/>
        <w:tblW w:w="838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2764"/>
        <w:gridCol w:w="603"/>
        <w:gridCol w:w="887"/>
        <w:gridCol w:w="887"/>
        <w:gridCol w:w="1250"/>
        <w:gridCol w:w="645"/>
        <w:gridCol w:w="750"/>
      </w:tblGrid>
      <w:tr w14:paraId="5D19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89" w:type="dxa"/>
            <w:gridSpan w:val="8"/>
            <w:noWrap/>
            <w:vAlign w:val="center"/>
          </w:tcPr>
          <w:p w14:paraId="55C9513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保洁消耗品清单（年度）</w:t>
            </w:r>
          </w:p>
        </w:tc>
      </w:tr>
      <w:tr w14:paraId="1CE6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vMerge w:val="restart"/>
            <w:noWrap/>
            <w:vAlign w:val="center"/>
          </w:tcPr>
          <w:p w14:paraId="353B8C09">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764" w:type="dxa"/>
            <w:vMerge w:val="restart"/>
            <w:noWrap/>
            <w:vAlign w:val="center"/>
          </w:tcPr>
          <w:p w14:paraId="4039B44E">
            <w:pPr>
              <w:widowControl/>
              <w:jc w:val="center"/>
              <w:rPr>
                <w:rFonts w:ascii="宋体" w:hAnsi="宋体" w:cs="宋体"/>
                <w:color w:val="000000"/>
                <w:kern w:val="0"/>
                <w:sz w:val="18"/>
                <w:szCs w:val="18"/>
              </w:rPr>
            </w:pPr>
            <w:r>
              <w:rPr>
                <w:rFonts w:hint="eastAsia" w:ascii="宋体" w:hAnsi="宋体" w:cs="宋体"/>
                <w:color w:val="000000"/>
                <w:kern w:val="0"/>
                <w:sz w:val="18"/>
                <w:szCs w:val="18"/>
              </w:rPr>
              <w:t>货品名</w:t>
            </w:r>
          </w:p>
        </w:tc>
        <w:tc>
          <w:tcPr>
            <w:tcW w:w="603" w:type="dxa"/>
            <w:vMerge w:val="restart"/>
            <w:noWrap/>
            <w:vAlign w:val="center"/>
          </w:tcPr>
          <w:p w14:paraId="242D2B3D">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3669" w:type="dxa"/>
            <w:gridSpan w:val="4"/>
            <w:noWrap/>
            <w:vAlign w:val="center"/>
          </w:tcPr>
          <w:p w14:paraId="59103E12">
            <w:pPr>
              <w:widowControl/>
              <w:jc w:val="center"/>
              <w:rPr>
                <w:rFonts w:ascii="宋体" w:hAnsi="宋体" w:cs="宋体"/>
                <w:color w:val="000000"/>
                <w:kern w:val="0"/>
                <w:sz w:val="18"/>
                <w:szCs w:val="18"/>
              </w:rPr>
            </w:pPr>
            <w:r>
              <w:rPr>
                <w:rFonts w:hint="eastAsia" w:ascii="宋体" w:hAnsi="宋体" w:cs="宋体"/>
                <w:color w:val="000000"/>
                <w:kern w:val="0"/>
                <w:sz w:val="18"/>
                <w:szCs w:val="18"/>
              </w:rPr>
              <w:t>各区域用量</w:t>
            </w:r>
          </w:p>
        </w:tc>
        <w:tc>
          <w:tcPr>
            <w:tcW w:w="750" w:type="dxa"/>
            <w:vMerge w:val="restart"/>
            <w:noWrap/>
            <w:vAlign w:val="center"/>
          </w:tcPr>
          <w:p w14:paraId="58C88265">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合计总量</w:t>
            </w:r>
          </w:p>
        </w:tc>
      </w:tr>
      <w:tr w14:paraId="352E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vMerge w:val="continue"/>
            <w:noWrap w:val="0"/>
            <w:vAlign w:val="center"/>
          </w:tcPr>
          <w:p w14:paraId="07F93072">
            <w:pPr>
              <w:widowControl/>
              <w:jc w:val="left"/>
              <w:rPr>
                <w:rFonts w:ascii="宋体" w:hAnsi="宋体" w:cs="宋体"/>
                <w:color w:val="000000"/>
                <w:kern w:val="0"/>
                <w:sz w:val="18"/>
                <w:szCs w:val="18"/>
              </w:rPr>
            </w:pPr>
          </w:p>
        </w:tc>
        <w:tc>
          <w:tcPr>
            <w:tcW w:w="2764" w:type="dxa"/>
            <w:vMerge w:val="continue"/>
            <w:noWrap w:val="0"/>
            <w:vAlign w:val="center"/>
          </w:tcPr>
          <w:p w14:paraId="44BBDAFF">
            <w:pPr>
              <w:widowControl/>
              <w:jc w:val="left"/>
              <w:rPr>
                <w:rFonts w:ascii="宋体" w:hAnsi="宋体" w:cs="宋体"/>
                <w:color w:val="000000"/>
                <w:kern w:val="0"/>
                <w:sz w:val="18"/>
                <w:szCs w:val="18"/>
              </w:rPr>
            </w:pPr>
          </w:p>
        </w:tc>
        <w:tc>
          <w:tcPr>
            <w:tcW w:w="603" w:type="dxa"/>
            <w:vMerge w:val="continue"/>
            <w:noWrap w:val="0"/>
            <w:vAlign w:val="center"/>
          </w:tcPr>
          <w:p w14:paraId="099D9670">
            <w:pPr>
              <w:widowControl/>
              <w:jc w:val="left"/>
              <w:rPr>
                <w:rFonts w:ascii="宋体" w:hAnsi="宋体" w:cs="宋体"/>
                <w:color w:val="000000"/>
                <w:kern w:val="0"/>
                <w:sz w:val="18"/>
                <w:szCs w:val="18"/>
              </w:rPr>
            </w:pPr>
          </w:p>
        </w:tc>
        <w:tc>
          <w:tcPr>
            <w:tcW w:w="887" w:type="dxa"/>
            <w:noWrap/>
            <w:vAlign w:val="center"/>
          </w:tcPr>
          <w:p w14:paraId="66AFDBB1">
            <w:pPr>
              <w:widowControl/>
              <w:jc w:val="center"/>
              <w:rPr>
                <w:rFonts w:ascii="宋体" w:hAnsi="宋体" w:cs="宋体"/>
                <w:color w:val="000000"/>
                <w:kern w:val="0"/>
                <w:sz w:val="18"/>
                <w:szCs w:val="18"/>
              </w:rPr>
            </w:pPr>
            <w:r>
              <w:rPr>
                <w:rFonts w:hint="eastAsia" w:ascii="宋体" w:hAnsi="宋体" w:cs="宋体"/>
                <w:color w:val="000000"/>
                <w:kern w:val="0"/>
                <w:sz w:val="18"/>
                <w:szCs w:val="18"/>
              </w:rPr>
              <w:t>宿舍区</w:t>
            </w:r>
          </w:p>
        </w:tc>
        <w:tc>
          <w:tcPr>
            <w:tcW w:w="887" w:type="dxa"/>
            <w:noWrap/>
            <w:vAlign w:val="center"/>
          </w:tcPr>
          <w:p w14:paraId="560EA20E">
            <w:pPr>
              <w:widowControl/>
              <w:jc w:val="center"/>
              <w:rPr>
                <w:rFonts w:ascii="宋体" w:hAnsi="宋体" w:cs="宋体"/>
                <w:color w:val="000000"/>
                <w:kern w:val="0"/>
                <w:sz w:val="18"/>
                <w:szCs w:val="18"/>
              </w:rPr>
            </w:pPr>
            <w:r>
              <w:rPr>
                <w:rFonts w:hint="eastAsia" w:ascii="宋体" w:hAnsi="宋体" w:cs="宋体"/>
                <w:color w:val="000000"/>
                <w:kern w:val="0"/>
                <w:sz w:val="18"/>
                <w:szCs w:val="18"/>
              </w:rPr>
              <w:t>教育区</w:t>
            </w:r>
          </w:p>
        </w:tc>
        <w:tc>
          <w:tcPr>
            <w:tcW w:w="1250" w:type="dxa"/>
            <w:noWrap/>
            <w:vAlign w:val="center"/>
          </w:tcPr>
          <w:p w14:paraId="7ABDD70A">
            <w:pPr>
              <w:widowControl/>
              <w:jc w:val="center"/>
              <w:rPr>
                <w:rFonts w:ascii="宋体" w:hAnsi="宋体" w:cs="宋体"/>
                <w:color w:val="000000"/>
                <w:kern w:val="0"/>
                <w:sz w:val="18"/>
                <w:szCs w:val="18"/>
              </w:rPr>
            </w:pPr>
            <w:r>
              <w:rPr>
                <w:rFonts w:hint="eastAsia" w:ascii="宋体" w:hAnsi="宋体" w:cs="宋体"/>
                <w:color w:val="000000"/>
                <w:kern w:val="0"/>
                <w:sz w:val="18"/>
                <w:szCs w:val="18"/>
              </w:rPr>
              <w:t>F3楼招待处</w:t>
            </w:r>
          </w:p>
        </w:tc>
        <w:tc>
          <w:tcPr>
            <w:tcW w:w="645" w:type="dxa"/>
            <w:noWrap/>
            <w:vAlign w:val="center"/>
          </w:tcPr>
          <w:p w14:paraId="5BF11DFD">
            <w:pPr>
              <w:widowControl/>
              <w:jc w:val="center"/>
              <w:rPr>
                <w:rFonts w:ascii="宋体" w:hAnsi="宋体" w:cs="宋体"/>
                <w:color w:val="000000"/>
                <w:kern w:val="0"/>
                <w:sz w:val="18"/>
                <w:szCs w:val="18"/>
              </w:rPr>
            </w:pPr>
            <w:r>
              <w:rPr>
                <w:rFonts w:hint="eastAsia" w:ascii="宋体" w:hAnsi="宋体" w:cs="宋体"/>
                <w:color w:val="000000"/>
                <w:kern w:val="0"/>
                <w:sz w:val="18"/>
                <w:szCs w:val="18"/>
              </w:rPr>
              <w:t>外场</w:t>
            </w:r>
          </w:p>
        </w:tc>
        <w:tc>
          <w:tcPr>
            <w:tcW w:w="750" w:type="dxa"/>
            <w:vMerge w:val="continue"/>
            <w:noWrap w:val="0"/>
            <w:vAlign w:val="center"/>
          </w:tcPr>
          <w:p w14:paraId="7BB9FDBE">
            <w:pPr>
              <w:widowControl/>
              <w:jc w:val="left"/>
              <w:rPr>
                <w:rFonts w:ascii="宋体" w:hAnsi="宋体" w:cs="宋体"/>
                <w:color w:val="000000"/>
                <w:kern w:val="0"/>
                <w:sz w:val="18"/>
                <w:szCs w:val="18"/>
              </w:rPr>
            </w:pPr>
          </w:p>
        </w:tc>
      </w:tr>
      <w:tr w14:paraId="649B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0C9F7549">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764" w:type="dxa"/>
            <w:noWrap/>
            <w:vAlign w:val="center"/>
          </w:tcPr>
          <w:p w14:paraId="7A954A54">
            <w:pPr>
              <w:widowControl/>
              <w:jc w:val="center"/>
              <w:rPr>
                <w:rFonts w:ascii="宋体" w:hAnsi="宋体" w:cs="宋体"/>
                <w:color w:val="000000"/>
                <w:kern w:val="0"/>
                <w:sz w:val="18"/>
                <w:szCs w:val="18"/>
              </w:rPr>
            </w:pPr>
            <w:r>
              <w:rPr>
                <w:rFonts w:hint="eastAsia" w:ascii="宋体" w:hAnsi="宋体" w:cs="宋体"/>
                <w:color w:val="000000"/>
                <w:kern w:val="0"/>
                <w:sz w:val="18"/>
                <w:szCs w:val="18"/>
              </w:rPr>
              <w:t>大垃圾袋</w:t>
            </w:r>
          </w:p>
        </w:tc>
        <w:tc>
          <w:tcPr>
            <w:tcW w:w="603" w:type="dxa"/>
            <w:noWrap/>
            <w:vAlign w:val="center"/>
          </w:tcPr>
          <w:p w14:paraId="748153BB">
            <w:pPr>
              <w:widowControl/>
              <w:jc w:val="center"/>
              <w:rPr>
                <w:rFonts w:ascii="宋体" w:hAnsi="宋体" w:cs="宋体"/>
                <w:color w:val="000000"/>
                <w:kern w:val="0"/>
                <w:sz w:val="18"/>
                <w:szCs w:val="18"/>
              </w:rPr>
            </w:pPr>
            <w:r>
              <w:rPr>
                <w:rFonts w:hint="eastAsia" w:ascii="宋体" w:hAnsi="宋体" w:cs="宋体"/>
                <w:color w:val="000000"/>
                <w:kern w:val="0"/>
                <w:sz w:val="18"/>
                <w:szCs w:val="18"/>
              </w:rPr>
              <w:t>大包</w:t>
            </w:r>
          </w:p>
        </w:tc>
        <w:tc>
          <w:tcPr>
            <w:tcW w:w="887" w:type="dxa"/>
            <w:noWrap/>
            <w:vAlign w:val="center"/>
          </w:tcPr>
          <w:p w14:paraId="72B9518A">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87" w:type="dxa"/>
            <w:noWrap/>
            <w:vAlign w:val="center"/>
          </w:tcPr>
          <w:p w14:paraId="76FEA978">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1250" w:type="dxa"/>
            <w:noWrap/>
            <w:vAlign w:val="center"/>
          </w:tcPr>
          <w:p w14:paraId="67CC4051">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45" w:type="dxa"/>
            <w:noWrap/>
            <w:vAlign w:val="center"/>
          </w:tcPr>
          <w:p w14:paraId="4D745E3C">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50" w:type="dxa"/>
            <w:noWrap/>
            <w:vAlign w:val="center"/>
          </w:tcPr>
          <w:p w14:paraId="1EA91B7F">
            <w:pPr>
              <w:widowControl/>
              <w:jc w:val="center"/>
              <w:rPr>
                <w:rFonts w:ascii="宋体" w:hAnsi="宋体" w:cs="宋体"/>
                <w:color w:val="000000"/>
                <w:kern w:val="0"/>
                <w:sz w:val="18"/>
                <w:szCs w:val="18"/>
              </w:rPr>
            </w:pPr>
            <w:r>
              <w:rPr>
                <w:rFonts w:hint="eastAsia" w:ascii="宋体" w:hAnsi="宋体" w:cs="宋体"/>
                <w:color w:val="000000"/>
                <w:kern w:val="0"/>
                <w:sz w:val="18"/>
                <w:szCs w:val="18"/>
              </w:rPr>
              <w:t>158</w:t>
            </w:r>
          </w:p>
        </w:tc>
      </w:tr>
      <w:tr w14:paraId="2DF2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273686F7">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764" w:type="dxa"/>
            <w:noWrap/>
            <w:vAlign w:val="center"/>
          </w:tcPr>
          <w:p w14:paraId="4DF35F21">
            <w:pPr>
              <w:widowControl/>
              <w:jc w:val="center"/>
              <w:rPr>
                <w:rFonts w:ascii="宋体" w:hAnsi="宋体" w:cs="宋体"/>
                <w:color w:val="000000"/>
                <w:kern w:val="0"/>
                <w:sz w:val="18"/>
                <w:szCs w:val="18"/>
              </w:rPr>
            </w:pPr>
            <w:r>
              <w:rPr>
                <w:rFonts w:hint="eastAsia" w:ascii="宋体" w:hAnsi="宋体" w:cs="宋体"/>
                <w:color w:val="000000"/>
                <w:kern w:val="0"/>
                <w:sz w:val="18"/>
                <w:szCs w:val="18"/>
              </w:rPr>
              <w:t>小垃圾袋</w:t>
            </w:r>
          </w:p>
        </w:tc>
        <w:tc>
          <w:tcPr>
            <w:tcW w:w="603" w:type="dxa"/>
            <w:noWrap/>
            <w:vAlign w:val="center"/>
          </w:tcPr>
          <w:p w14:paraId="4869720E">
            <w:pPr>
              <w:widowControl/>
              <w:jc w:val="center"/>
              <w:rPr>
                <w:rFonts w:ascii="宋体" w:hAnsi="宋体" w:cs="宋体"/>
                <w:color w:val="000000"/>
                <w:kern w:val="0"/>
                <w:sz w:val="18"/>
                <w:szCs w:val="18"/>
              </w:rPr>
            </w:pPr>
            <w:r>
              <w:rPr>
                <w:rFonts w:hint="eastAsia" w:ascii="宋体" w:hAnsi="宋体" w:cs="宋体"/>
                <w:color w:val="000000"/>
                <w:kern w:val="0"/>
                <w:sz w:val="18"/>
                <w:szCs w:val="18"/>
              </w:rPr>
              <w:t>箱</w:t>
            </w:r>
          </w:p>
        </w:tc>
        <w:tc>
          <w:tcPr>
            <w:tcW w:w="887" w:type="dxa"/>
            <w:noWrap/>
            <w:vAlign w:val="center"/>
          </w:tcPr>
          <w:p w14:paraId="732AED67">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887" w:type="dxa"/>
            <w:noWrap/>
            <w:vAlign w:val="center"/>
          </w:tcPr>
          <w:p w14:paraId="48C538CA">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250" w:type="dxa"/>
            <w:noWrap/>
            <w:vAlign w:val="center"/>
          </w:tcPr>
          <w:p w14:paraId="5476F2E5">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5" w:type="dxa"/>
            <w:noWrap/>
            <w:vAlign w:val="center"/>
          </w:tcPr>
          <w:p w14:paraId="3E438AD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76072AAB">
            <w:pPr>
              <w:widowControl/>
              <w:jc w:val="center"/>
              <w:rPr>
                <w:rFonts w:ascii="宋体" w:hAnsi="宋体" w:cs="宋体"/>
                <w:color w:val="000000"/>
                <w:kern w:val="0"/>
                <w:sz w:val="18"/>
                <w:szCs w:val="18"/>
              </w:rPr>
            </w:pPr>
            <w:r>
              <w:rPr>
                <w:rFonts w:hint="eastAsia" w:ascii="宋体" w:hAnsi="宋体" w:cs="宋体"/>
                <w:color w:val="000000"/>
                <w:kern w:val="0"/>
                <w:sz w:val="18"/>
                <w:szCs w:val="18"/>
              </w:rPr>
              <w:t>47</w:t>
            </w:r>
          </w:p>
        </w:tc>
      </w:tr>
      <w:tr w14:paraId="0F5D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73C4D9F9">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764" w:type="dxa"/>
            <w:noWrap/>
            <w:vAlign w:val="center"/>
          </w:tcPr>
          <w:p w14:paraId="65F608FF">
            <w:pPr>
              <w:widowControl/>
              <w:jc w:val="center"/>
              <w:rPr>
                <w:rFonts w:ascii="宋体" w:hAnsi="宋体" w:cs="宋体"/>
                <w:color w:val="000000"/>
                <w:kern w:val="0"/>
                <w:sz w:val="18"/>
                <w:szCs w:val="18"/>
              </w:rPr>
            </w:pPr>
            <w:r>
              <w:rPr>
                <w:rFonts w:hint="eastAsia" w:ascii="宋体" w:hAnsi="宋体" w:cs="宋体"/>
                <w:color w:val="000000"/>
                <w:kern w:val="0"/>
                <w:sz w:val="18"/>
                <w:szCs w:val="18"/>
              </w:rPr>
              <w:t>洁瓷粉</w:t>
            </w:r>
          </w:p>
        </w:tc>
        <w:tc>
          <w:tcPr>
            <w:tcW w:w="603" w:type="dxa"/>
            <w:noWrap/>
            <w:vAlign w:val="center"/>
          </w:tcPr>
          <w:p w14:paraId="15AB1CEB">
            <w:pPr>
              <w:widowControl/>
              <w:jc w:val="center"/>
              <w:rPr>
                <w:rFonts w:ascii="宋体" w:hAnsi="宋体" w:cs="宋体"/>
                <w:color w:val="000000"/>
                <w:kern w:val="0"/>
                <w:sz w:val="18"/>
                <w:szCs w:val="18"/>
              </w:rPr>
            </w:pPr>
            <w:r>
              <w:rPr>
                <w:rFonts w:hint="eastAsia" w:ascii="宋体" w:hAnsi="宋体" w:cs="宋体"/>
                <w:color w:val="000000"/>
                <w:kern w:val="0"/>
                <w:sz w:val="18"/>
                <w:szCs w:val="18"/>
              </w:rPr>
              <w:t>箱</w:t>
            </w:r>
          </w:p>
        </w:tc>
        <w:tc>
          <w:tcPr>
            <w:tcW w:w="887" w:type="dxa"/>
            <w:noWrap/>
            <w:vAlign w:val="center"/>
          </w:tcPr>
          <w:p w14:paraId="087B5A2A">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887" w:type="dxa"/>
            <w:noWrap/>
            <w:vAlign w:val="center"/>
          </w:tcPr>
          <w:p w14:paraId="42D11EBB">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250" w:type="dxa"/>
            <w:noWrap/>
            <w:vAlign w:val="center"/>
          </w:tcPr>
          <w:p w14:paraId="55A4192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45" w:type="dxa"/>
            <w:noWrap/>
            <w:vAlign w:val="center"/>
          </w:tcPr>
          <w:p w14:paraId="5692E26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43F6B56F">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r>
      <w:tr w14:paraId="1A90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23156DF9">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764" w:type="dxa"/>
            <w:noWrap/>
            <w:vAlign w:val="center"/>
          </w:tcPr>
          <w:p w14:paraId="40EC5AC1">
            <w:pPr>
              <w:widowControl/>
              <w:jc w:val="center"/>
              <w:rPr>
                <w:rFonts w:ascii="宋体" w:hAnsi="宋体" w:cs="宋体"/>
                <w:color w:val="000000"/>
                <w:kern w:val="0"/>
                <w:sz w:val="18"/>
                <w:szCs w:val="18"/>
              </w:rPr>
            </w:pPr>
            <w:r>
              <w:rPr>
                <w:rFonts w:hint="eastAsia" w:ascii="宋体" w:hAnsi="宋体" w:cs="宋体"/>
                <w:color w:val="000000"/>
                <w:kern w:val="0"/>
                <w:sz w:val="18"/>
                <w:szCs w:val="18"/>
              </w:rPr>
              <w:t>百洁布</w:t>
            </w:r>
          </w:p>
        </w:tc>
        <w:tc>
          <w:tcPr>
            <w:tcW w:w="603" w:type="dxa"/>
            <w:noWrap/>
            <w:vAlign w:val="center"/>
          </w:tcPr>
          <w:p w14:paraId="78B1EE44">
            <w:pPr>
              <w:widowControl/>
              <w:jc w:val="center"/>
              <w:rPr>
                <w:rFonts w:ascii="宋体" w:hAnsi="宋体" w:cs="宋体"/>
                <w:color w:val="000000"/>
                <w:kern w:val="0"/>
                <w:sz w:val="18"/>
                <w:szCs w:val="18"/>
              </w:rPr>
            </w:pPr>
            <w:r>
              <w:rPr>
                <w:rFonts w:hint="eastAsia" w:ascii="宋体" w:hAnsi="宋体" w:cs="宋体"/>
                <w:color w:val="000000"/>
                <w:kern w:val="0"/>
                <w:sz w:val="18"/>
                <w:szCs w:val="18"/>
              </w:rPr>
              <w:t>片</w:t>
            </w:r>
          </w:p>
        </w:tc>
        <w:tc>
          <w:tcPr>
            <w:tcW w:w="887" w:type="dxa"/>
            <w:noWrap/>
            <w:vAlign w:val="center"/>
          </w:tcPr>
          <w:p w14:paraId="4C1017C3">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87" w:type="dxa"/>
            <w:noWrap/>
            <w:vAlign w:val="center"/>
          </w:tcPr>
          <w:p w14:paraId="498B90D1">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1250" w:type="dxa"/>
            <w:noWrap/>
            <w:vAlign w:val="center"/>
          </w:tcPr>
          <w:p w14:paraId="44D47A70">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645" w:type="dxa"/>
            <w:noWrap/>
            <w:vAlign w:val="center"/>
          </w:tcPr>
          <w:p w14:paraId="032224C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7D3E621A">
            <w:pPr>
              <w:widowControl/>
              <w:jc w:val="center"/>
              <w:rPr>
                <w:rFonts w:ascii="宋体" w:hAnsi="宋体" w:cs="宋体"/>
                <w:color w:val="000000"/>
                <w:kern w:val="0"/>
                <w:sz w:val="18"/>
                <w:szCs w:val="18"/>
              </w:rPr>
            </w:pPr>
            <w:r>
              <w:rPr>
                <w:rFonts w:hint="eastAsia" w:ascii="宋体" w:hAnsi="宋体" w:cs="宋体"/>
                <w:color w:val="000000"/>
                <w:kern w:val="0"/>
                <w:sz w:val="18"/>
                <w:szCs w:val="18"/>
              </w:rPr>
              <w:t>170</w:t>
            </w:r>
          </w:p>
        </w:tc>
      </w:tr>
      <w:tr w14:paraId="2869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50A4E59E">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764" w:type="dxa"/>
            <w:noWrap/>
            <w:vAlign w:val="center"/>
          </w:tcPr>
          <w:p w14:paraId="41ED7861">
            <w:pPr>
              <w:widowControl/>
              <w:jc w:val="center"/>
              <w:rPr>
                <w:rFonts w:ascii="宋体" w:hAnsi="宋体" w:cs="宋体"/>
                <w:color w:val="000000"/>
                <w:kern w:val="0"/>
                <w:sz w:val="18"/>
                <w:szCs w:val="18"/>
              </w:rPr>
            </w:pPr>
            <w:r>
              <w:rPr>
                <w:rFonts w:hint="eastAsia" w:ascii="宋体" w:hAnsi="宋体" w:cs="宋体"/>
                <w:color w:val="000000"/>
                <w:kern w:val="0"/>
                <w:sz w:val="18"/>
                <w:szCs w:val="18"/>
              </w:rPr>
              <w:t>排拖60、90公分</w:t>
            </w:r>
          </w:p>
        </w:tc>
        <w:tc>
          <w:tcPr>
            <w:tcW w:w="603" w:type="dxa"/>
            <w:noWrap/>
            <w:vAlign w:val="center"/>
          </w:tcPr>
          <w:p w14:paraId="7D625665">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887" w:type="dxa"/>
            <w:noWrap/>
            <w:vAlign w:val="center"/>
          </w:tcPr>
          <w:p w14:paraId="013BCE2E">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887" w:type="dxa"/>
            <w:noWrap/>
            <w:vAlign w:val="center"/>
          </w:tcPr>
          <w:p w14:paraId="285404D8">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1250" w:type="dxa"/>
            <w:noWrap/>
            <w:vAlign w:val="center"/>
          </w:tcPr>
          <w:p w14:paraId="600B00BF">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45" w:type="dxa"/>
            <w:noWrap/>
            <w:vAlign w:val="center"/>
          </w:tcPr>
          <w:p w14:paraId="4455483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6B75830A">
            <w:pPr>
              <w:widowControl/>
              <w:jc w:val="center"/>
              <w:rPr>
                <w:rFonts w:ascii="宋体" w:hAnsi="宋体" w:cs="宋体"/>
                <w:color w:val="000000"/>
                <w:kern w:val="0"/>
                <w:sz w:val="18"/>
                <w:szCs w:val="18"/>
              </w:rPr>
            </w:pPr>
            <w:r>
              <w:rPr>
                <w:rFonts w:hint="eastAsia" w:ascii="宋体" w:hAnsi="宋体" w:cs="宋体"/>
                <w:color w:val="000000"/>
                <w:kern w:val="0"/>
                <w:sz w:val="18"/>
                <w:szCs w:val="18"/>
              </w:rPr>
              <w:t>54</w:t>
            </w:r>
          </w:p>
        </w:tc>
      </w:tr>
      <w:tr w14:paraId="1C14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5AC3B6C4">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764" w:type="dxa"/>
            <w:noWrap/>
            <w:vAlign w:val="center"/>
          </w:tcPr>
          <w:p w14:paraId="76C15273">
            <w:pPr>
              <w:widowControl/>
              <w:jc w:val="center"/>
              <w:rPr>
                <w:rFonts w:ascii="宋体" w:hAnsi="宋体" w:cs="宋体"/>
                <w:color w:val="000000"/>
                <w:kern w:val="0"/>
                <w:sz w:val="18"/>
                <w:szCs w:val="18"/>
              </w:rPr>
            </w:pPr>
            <w:r>
              <w:rPr>
                <w:rFonts w:hint="eastAsia" w:ascii="宋体" w:hAnsi="宋体" w:cs="宋体"/>
                <w:color w:val="000000"/>
                <w:kern w:val="0"/>
                <w:sz w:val="18"/>
                <w:szCs w:val="18"/>
              </w:rPr>
              <w:t>排拖拖把布90、60公分</w:t>
            </w:r>
          </w:p>
        </w:tc>
        <w:tc>
          <w:tcPr>
            <w:tcW w:w="603" w:type="dxa"/>
            <w:noWrap/>
            <w:vAlign w:val="center"/>
          </w:tcPr>
          <w:p w14:paraId="4ED732E8">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887" w:type="dxa"/>
            <w:noWrap/>
            <w:vAlign w:val="center"/>
          </w:tcPr>
          <w:p w14:paraId="45E72840">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887" w:type="dxa"/>
            <w:noWrap/>
            <w:vAlign w:val="center"/>
          </w:tcPr>
          <w:p w14:paraId="1D01B78C">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1250" w:type="dxa"/>
            <w:noWrap/>
            <w:vAlign w:val="center"/>
          </w:tcPr>
          <w:p w14:paraId="3F0DF3E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45" w:type="dxa"/>
            <w:noWrap/>
            <w:vAlign w:val="center"/>
          </w:tcPr>
          <w:p w14:paraId="393F38B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2E615A05">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r>
      <w:tr w14:paraId="3AC6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6D6DDC35">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764" w:type="dxa"/>
            <w:noWrap/>
            <w:vAlign w:val="center"/>
          </w:tcPr>
          <w:p w14:paraId="014A2CB1">
            <w:pPr>
              <w:widowControl/>
              <w:jc w:val="center"/>
              <w:rPr>
                <w:rFonts w:ascii="宋体" w:hAnsi="宋体" w:cs="宋体"/>
                <w:color w:val="000000"/>
                <w:kern w:val="0"/>
                <w:sz w:val="18"/>
                <w:szCs w:val="18"/>
              </w:rPr>
            </w:pPr>
            <w:r>
              <w:rPr>
                <w:rFonts w:hint="eastAsia" w:ascii="宋体" w:hAnsi="宋体" w:cs="宋体"/>
                <w:color w:val="000000"/>
                <w:kern w:val="0"/>
                <w:sz w:val="18"/>
                <w:szCs w:val="18"/>
              </w:rPr>
              <w:t>排拖110公分</w:t>
            </w:r>
          </w:p>
        </w:tc>
        <w:tc>
          <w:tcPr>
            <w:tcW w:w="603" w:type="dxa"/>
            <w:noWrap/>
            <w:vAlign w:val="center"/>
          </w:tcPr>
          <w:p w14:paraId="5081E51B">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887" w:type="dxa"/>
            <w:noWrap/>
            <w:vAlign w:val="center"/>
          </w:tcPr>
          <w:p w14:paraId="37C41659">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87" w:type="dxa"/>
            <w:noWrap/>
            <w:vAlign w:val="center"/>
          </w:tcPr>
          <w:p w14:paraId="12560A81">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50" w:type="dxa"/>
            <w:noWrap/>
            <w:vAlign w:val="center"/>
          </w:tcPr>
          <w:p w14:paraId="136B822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45" w:type="dxa"/>
            <w:noWrap/>
            <w:vAlign w:val="center"/>
          </w:tcPr>
          <w:p w14:paraId="3773CC1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28AB3BA0">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r>
      <w:tr w14:paraId="4C54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10B985A4">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764" w:type="dxa"/>
            <w:noWrap/>
            <w:vAlign w:val="center"/>
          </w:tcPr>
          <w:p w14:paraId="1AC6129F">
            <w:pPr>
              <w:widowControl/>
              <w:jc w:val="center"/>
              <w:rPr>
                <w:rFonts w:ascii="宋体" w:hAnsi="宋体" w:cs="宋体"/>
                <w:color w:val="000000"/>
                <w:kern w:val="0"/>
                <w:sz w:val="18"/>
                <w:szCs w:val="18"/>
              </w:rPr>
            </w:pPr>
            <w:r>
              <w:rPr>
                <w:rFonts w:hint="eastAsia" w:ascii="宋体" w:hAnsi="宋体" w:cs="宋体"/>
                <w:color w:val="000000"/>
                <w:kern w:val="0"/>
                <w:sz w:val="18"/>
                <w:szCs w:val="18"/>
              </w:rPr>
              <w:t>长柄竹扫帚</w:t>
            </w:r>
          </w:p>
        </w:tc>
        <w:tc>
          <w:tcPr>
            <w:tcW w:w="603" w:type="dxa"/>
            <w:noWrap/>
            <w:vAlign w:val="center"/>
          </w:tcPr>
          <w:p w14:paraId="144B9080">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887" w:type="dxa"/>
            <w:noWrap/>
            <w:vAlign w:val="center"/>
          </w:tcPr>
          <w:p w14:paraId="7D570BFE">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887" w:type="dxa"/>
            <w:noWrap/>
            <w:vAlign w:val="center"/>
          </w:tcPr>
          <w:p w14:paraId="7205D6D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50" w:type="dxa"/>
            <w:noWrap/>
            <w:vAlign w:val="center"/>
          </w:tcPr>
          <w:p w14:paraId="4D25DC5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45" w:type="dxa"/>
            <w:noWrap/>
            <w:vAlign w:val="center"/>
          </w:tcPr>
          <w:p w14:paraId="034E6D86">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750" w:type="dxa"/>
            <w:noWrap/>
            <w:vAlign w:val="center"/>
          </w:tcPr>
          <w:p w14:paraId="7F3925DD">
            <w:pPr>
              <w:widowControl/>
              <w:jc w:val="center"/>
              <w:rPr>
                <w:rFonts w:ascii="宋体" w:hAnsi="宋体" w:cs="宋体"/>
                <w:color w:val="000000"/>
                <w:kern w:val="0"/>
                <w:sz w:val="18"/>
                <w:szCs w:val="18"/>
              </w:rPr>
            </w:pPr>
            <w:r>
              <w:rPr>
                <w:rFonts w:hint="eastAsia" w:ascii="宋体" w:hAnsi="宋体" w:cs="宋体"/>
                <w:color w:val="000000"/>
                <w:kern w:val="0"/>
                <w:sz w:val="18"/>
                <w:szCs w:val="18"/>
              </w:rPr>
              <w:t>70</w:t>
            </w:r>
          </w:p>
        </w:tc>
      </w:tr>
      <w:tr w14:paraId="22E4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6FFCCF37">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764" w:type="dxa"/>
            <w:noWrap/>
            <w:vAlign w:val="center"/>
          </w:tcPr>
          <w:p w14:paraId="6AA36F71">
            <w:pPr>
              <w:widowControl/>
              <w:jc w:val="center"/>
              <w:rPr>
                <w:rFonts w:ascii="宋体" w:hAnsi="宋体" w:cs="宋体"/>
                <w:color w:val="000000"/>
                <w:kern w:val="0"/>
                <w:sz w:val="18"/>
                <w:szCs w:val="18"/>
              </w:rPr>
            </w:pPr>
            <w:r>
              <w:rPr>
                <w:rFonts w:hint="eastAsia" w:ascii="宋体" w:hAnsi="宋体" w:cs="宋体"/>
                <w:color w:val="000000"/>
                <w:kern w:val="0"/>
                <w:sz w:val="18"/>
                <w:szCs w:val="18"/>
              </w:rPr>
              <w:t>铁皮畚箕</w:t>
            </w:r>
          </w:p>
        </w:tc>
        <w:tc>
          <w:tcPr>
            <w:tcW w:w="603" w:type="dxa"/>
            <w:noWrap/>
            <w:vAlign w:val="center"/>
          </w:tcPr>
          <w:p w14:paraId="19E7D626">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887" w:type="dxa"/>
            <w:noWrap/>
            <w:vAlign w:val="center"/>
          </w:tcPr>
          <w:p w14:paraId="5F1E1BED">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87" w:type="dxa"/>
            <w:noWrap/>
            <w:vAlign w:val="center"/>
          </w:tcPr>
          <w:p w14:paraId="6E1A645D">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50" w:type="dxa"/>
            <w:noWrap/>
            <w:vAlign w:val="center"/>
          </w:tcPr>
          <w:p w14:paraId="7187DF9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45" w:type="dxa"/>
            <w:noWrap/>
            <w:vAlign w:val="center"/>
          </w:tcPr>
          <w:p w14:paraId="4E9BDE5D">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750" w:type="dxa"/>
            <w:noWrap/>
            <w:vAlign w:val="center"/>
          </w:tcPr>
          <w:p w14:paraId="5363E4E1">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r>
      <w:tr w14:paraId="1375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383964C5">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764" w:type="dxa"/>
            <w:noWrap/>
            <w:vAlign w:val="center"/>
          </w:tcPr>
          <w:p w14:paraId="0D65E761">
            <w:pPr>
              <w:widowControl/>
              <w:jc w:val="center"/>
              <w:rPr>
                <w:rFonts w:ascii="宋体" w:hAnsi="宋体" w:cs="宋体"/>
                <w:color w:val="000000"/>
                <w:kern w:val="0"/>
                <w:sz w:val="18"/>
                <w:szCs w:val="18"/>
              </w:rPr>
            </w:pPr>
            <w:r>
              <w:rPr>
                <w:rFonts w:hint="eastAsia" w:ascii="宋体" w:hAnsi="宋体" w:cs="宋体"/>
                <w:color w:val="000000"/>
                <w:kern w:val="0"/>
                <w:sz w:val="18"/>
                <w:szCs w:val="18"/>
              </w:rPr>
              <w:t>拖把</w:t>
            </w:r>
          </w:p>
        </w:tc>
        <w:tc>
          <w:tcPr>
            <w:tcW w:w="603" w:type="dxa"/>
            <w:noWrap/>
            <w:vAlign w:val="center"/>
          </w:tcPr>
          <w:p w14:paraId="7F608803">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887" w:type="dxa"/>
            <w:noWrap/>
            <w:vAlign w:val="center"/>
          </w:tcPr>
          <w:p w14:paraId="4B2A5E49">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887" w:type="dxa"/>
            <w:noWrap/>
            <w:vAlign w:val="center"/>
          </w:tcPr>
          <w:p w14:paraId="1498463A">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1250" w:type="dxa"/>
            <w:noWrap/>
            <w:vAlign w:val="center"/>
          </w:tcPr>
          <w:p w14:paraId="17014275">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45" w:type="dxa"/>
            <w:noWrap/>
            <w:vAlign w:val="center"/>
          </w:tcPr>
          <w:p w14:paraId="7B7310F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0B74B06C">
            <w:pPr>
              <w:widowControl/>
              <w:jc w:val="center"/>
              <w:rPr>
                <w:rFonts w:ascii="宋体" w:hAnsi="宋体" w:cs="宋体"/>
                <w:color w:val="000000"/>
                <w:kern w:val="0"/>
                <w:sz w:val="18"/>
                <w:szCs w:val="18"/>
              </w:rPr>
            </w:pPr>
            <w:r>
              <w:rPr>
                <w:rFonts w:hint="eastAsia" w:ascii="宋体" w:hAnsi="宋体" w:cs="宋体"/>
                <w:color w:val="000000"/>
                <w:kern w:val="0"/>
                <w:sz w:val="18"/>
                <w:szCs w:val="18"/>
              </w:rPr>
              <w:t>155</w:t>
            </w:r>
          </w:p>
        </w:tc>
      </w:tr>
      <w:tr w14:paraId="6F2B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3E98BB3F">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2764" w:type="dxa"/>
            <w:noWrap/>
            <w:vAlign w:val="center"/>
          </w:tcPr>
          <w:p w14:paraId="5664D2E5">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塑料扫帚</w:t>
            </w:r>
          </w:p>
        </w:tc>
        <w:tc>
          <w:tcPr>
            <w:tcW w:w="603" w:type="dxa"/>
            <w:noWrap/>
            <w:vAlign w:val="center"/>
          </w:tcPr>
          <w:p w14:paraId="48D8873A">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887" w:type="dxa"/>
            <w:noWrap/>
            <w:vAlign w:val="center"/>
          </w:tcPr>
          <w:p w14:paraId="236AECF1">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887" w:type="dxa"/>
            <w:noWrap/>
            <w:vAlign w:val="center"/>
          </w:tcPr>
          <w:p w14:paraId="0A5615D1">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1250" w:type="dxa"/>
            <w:noWrap/>
            <w:vAlign w:val="center"/>
          </w:tcPr>
          <w:p w14:paraId="2C3FAFAC">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45" w:type="dxa"/>
            <w:noWrap/>
            <w:vAlign w:val="center"/>
          </w:tcPr>
          <w:p w14:paraId="4CE0CE5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7C348717">
            <w:pPr>
              <w:widowControl/>
              <w:jc w:val="center"/>
              <w:rPr>
                <w:rFonts w:ascii="宋体" w:hAnsi="宋体" w:cs="宋体"/>
                <w:color w:val="000000"/>
                <w:kern w:val="0"/>
                <w:sz w:val="18"/>
                <w:szCs w:val="18"/>
              </w:rPr>
            </w:pPr>
            <w:r>
              <w:rPr>
                <w:rFonts w:hint="eastAsia" w:ascii="宋体" w:hAnsi="宋体" w:cs="宋体"/>
                <w:color w:val="000000"/>
                <w:kern w:val="0"/>
                <w:sz w:val="18"/>
                <w:szCs w:val="18"/>
              </w:rPr>
              <w:t>150</w:t>
            </w:r>
          </w:p>
        </w:tc>
      </w:tr>
      <w:tr w14:paraId="79F3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33CA4672">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2764" w:type="dxa"/>
            <w:noWrap/>
            <w:vAlign w:val="center"/>
          </w:tcPr>
          <w:p w14:paraId="71C62D9F">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塑料畚箕</w:t>
            </w:r>
          </w:p>
        </w:tc>
        <w:tc>
          <w:tcPr>
            <w:tcW w:w="603" w:type="dxa"/>
            <w:noWrap/>
            <w:vAlign w:val="center"/>
          </w:tcPr>
          <w:p w14:paraId="247CD766">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887" w:type="dxa"/>
            <w:noWrap/>
            <w:vAlign w:val="center"/>
          </w:tcPr>
          <w:p w14:paraId="78239488">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887" w:type="dxa"/>
            <w:noWrap/>
            <w:vAlign w:val="center"/>
          </w:tcPr>
          <w:p w14:paraId="0665D338">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1250" w:type="dxa"/>
            <w:noWrap/>
            <w:vAlign w:val="center"/>
          </w:tcPr>
          <w:p w14:paraId="1D22B713">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45" w:type="dxa"/>
            <w:noWrap/>
            <w:vAlign w:val="center"/>
          </w:tcPr>
          <w:p w14:paraId="6A5EC9D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74A27929">
            <w:pPr>
              <w:widowControl/>
              <w:jc w:val="center"/>
              <w:rPr>
                <w:rFonts w:ascii="宋体" w:hAnsi="宋体" w:cs="宋体"/>
                <w:color w:val="000000"/>
                <w:kern w:val="0"/>
                <w:sz w:val="18"/>
                <w:szCs w:val="18"/>
              </w:rPr>
            </w:pPr>
            <w:r>
              <w:rPr>
                <w:rFonts w:hint="eastAsia" w:ascii="宋体" w:hAnsi="宋体" w:cs="宋体"/>
                <w:color w:val="000000"/>
                <w:kern w:val="0"/>
                <w:sz w:val="18"/>
                <w:szCs w:val="18"/>
              </w:rPr>
              <w:t>150</w:t>
            </w:r>
          </w:p>
        </w:tc>
      </w:tr>
      <w:tr w14:paraId="76CA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31448185">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2764" w:type="dxa"/>
            <w:noWrap/>
            <w:vAlign w:val="center"/>
          </w:tcPr>
          <w:p w14:paraId="231CA8FB">
            <w:pPr>
              <w:widowControl/>
              <w:jc w:val="center"/>
              <w:rPr>
                <w:rFonts w:ascii="宋体" w:hAnsi="宋体" w:cs="宋体"/>
                <w:color w:val="000000"/>
                <w:kern w:val="0"/>
                <w:sz w:val="18"/>
                <w:szCs w:val="18"/>
              </w:rPr>
            </w:pPr>
            <w:r>
              <w:rPr>
                <w:rFonts w:hint="eastAsia" w:ascii="宋体" w:hAnsi="宋体" w:cs="宋体"/>
                <w:color w:val="000000"/>
                <w:kern w:val="0"/>
                <w:sz w:val="18"/>
                <w:szCs w:val="18"/>
              </w:rPr>
              <w:t>海绵拖把38公分</w:t>
            </w:r>
          </w:p>
        </w:tc>
        <w:tc>
          <w:tcPr>
            <w:tcW w:w="603" w:type="dxa"/>
            <w:noWrap/>
            <w:vAlign w:val="center"/>
          </w:tcPr>
          <w:p w14:paraId="394BE34A">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887" w:type="dxa"/>
            <w:noWrap/>
            <w:vAlign w:val="center"/>
          </w:tcPr>
          <w:p w14:paraId="0B488648">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887" w:type="dxa"/>
            <w:noWrap/>
            <w:vAlign w:val="center"/>
          </w:tcPr>
          <w:p w14:paraId="1FFACF23">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50" w:type="dxa"/>
            <w:noWrap/>
            <w:vAlign w:val="center"/>
          </w:tcPr>
          <w:p w14:paraId="4FE4AAA2">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45" w:type="dxa"/>
            <w:noWrap/>
            <w:vAlign w:val="center"/>
          </w:tcPr>
          <w:p w14:paraId="03DDDC7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211BE038">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r>
      <w:tr w14:paraId="4EC2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3723EBEC">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2764" w:type="dxa"/>
            <w:noWrap/>
            <w:vAlign w:val="center"/>
          </w:tcPr>
          <w:p w14:paraId="38F9B49F">
            <w:pPr>
              <w:widowControl/>
              <w:jc w:val="center"/>
              <w:rPr>
                <w:rFonts w:ascii="宋体" w:hAnsi="宋体" w:cs="宋体"/>
                <w:color w:val="000000"/>
                <w:kern w:val="0"/>
                <w:sz w:val="18"/>
                <w:szCs w:val="18"/>
              </w:rPr>
            </w:pPr>
            <w:r>
              <w:rPr>
                <w:rFonts w:hint="eastAsia" w:ascii="宋体" w:hAnsi="宋体" w:cs="宋体"/>
                <w:color w:val="000000"/>
                <w:kern w:val="0"/>
                <w:sz w:val="18"/>
                <w:szCs w:val="18"/>
              </w:rPr>
              <w:t>海绵拖把30公分</w:t>
            </w:r>
          </w:p>
        </w:tc>
        <w:tc>
          <w:tcPr>
            <w:tcW w:w="603" w:type="dxa"/>
            <w:noWrap/>
            <w:vAlign w:val="center"/>
          </w:tcPr>
          <w:p w14:paraId="09EAF575">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887" w:type="dxa"/>
            <w:noWrap/>
            <w:vAlign w:val="center"/>
          </w:tcPr>
          <w:p w14:paraId="0B816151">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887" w:type="dxa"/>
            <w:noWrap/>
            <w:vAlign w:val="center"/>
          </w:tcPr>
          <w:p w14:paraId="1C6C5350">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50" w:type="dxa"/>
            <w:noWrap/>
            <w:vAlign w:val="center"/>
          </w:tcPr>
          <w:p w14:paraId="27E9A3E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45" w:type="dxa"/>
            <w:noWrap/>
            <w:vAlign w:val="center"/>
          </w:tcPr>
          <w:p w14:paraId="572E308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7D36A22D">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r>
      <w:tr w14:paraId="7C27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796C7ACD">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2764" w:type="dxa"/>
            <w:noWrap/>
            <w:vAlign w:val="center"/>
          </w:tcPr>
          <w:p w14:paraId="72BCDAF6">
            <w:pPr>
              <w:widowControl/>
              <w:jc w:val="center"/>
              <w:rPr>
                <w:rFonts w:ascii="宋体" w:hAnsi="宋体" w:cs="宋体"/>
                <w:color w:val="000000"/>
                <w:kern w:val="0"/>
                <w:sz w:val="18"/>
                <w:szCs w:val="18"/>
              </w:rPr>
            </w:pPr>
            <w:r>
              <w:rPr>
                <w:rFonts w:hint="eastAsia" w:ascii="宋体" w:hAnsi="宋体" w:cs="宋体"/>
                <w:color w:val="000000"/>
                <w:kern w:val="0"/>
                <w:sz w:val="18"/>
                <w:szCs w:val="18"/>
              </w:rPr>
              <w:t>长柄地板刷</w:t>
            </w:r>
          </w:p>
        </w:tc>
        <w:tc>
          <w:tcPr>
            <w:tcW w:w="603" w:type="dxa"/>
            <w:noWrap/>
            <w:vAlign w:val="center"/>
          </w:tcPr>
          <w:p w14:paraId="4B249306">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887" w:type="dxa"/>
            <w:noWrap/>
            <w:vAlign w:val="center"/>
          </w:tcPr>
          <w:p w14:paraId="5F447A69">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87" w:type="dxa"/>
            <w:noWrap/>
            <w:vAlign w:val="center"/>
          </w:tcPr>
          <w:p w14:paraId="00C467C4">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250" w:type="dxa"/>
            <w:noWrap/>
            <w:vAlign w:val="center"/>
          </w:tcPr>
          <w:p w14:paraId="4F1661E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45" w:type="dxa"/>
            <w:noWrap/>
            <w:vAlign w:val="center"/>
          </w:tcPr>
          <w:p w14:paraId="29A17AC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1372AC7A">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14:paraId="2FF6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54A5DCEE">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2764" w:type="dxa"/>
            <w:noWrap/>
            <w:vAlign w:val="center"/>
          </w:tcPr>
          <w:p w14:paraId="4050A8E6">
            <w:pPr>
              <w:widowControl/>
              <w:jc w:val="center"/>
              <w:rPr>
                <w:rFonts w:ascii="宋体" w:hAnsi="宋体" w:cs="宋体"/>
                <w:color w:val="000000"/>
                <w:kern w:val="0"/>
                <w:sz w:val="18"/>
                <w:szCs w:val="18"/>
              </w:rPr>
            </w:pPr>
            <w:r>
              <w:rPr>
                <w:rFonts w:hint="eastAsia" w:ascii="宋体" w:hAnsi="宋体" w:cs="宋体"/>
                <w:color w:val="000000"/>
                <w:kern w:val="0"/>
                <w:sz w:val="18"/>
                <w:szCs w:val="18"/>
              </w:rPr>
              <w:t>钢丝刷</w:t>
            </w:r>
          </w:p>
        </w:tc>
        <w:tc>
          <w:tcPr>
            <w:tcW w:w="603" w:type="dxa"/>
            <w:noWrap/>
            <w:vAlign w:val="center"/>
          </w:tcPr>
          <w:p w14:paraId="01BA4BEB">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887" w:type="dxa"/>
            <w:noWrap/>
            <w:vAlign w:val="center"/>
          </w:tcPr>
          <w:p w14:paraId="6B8B1453">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87" w:type="dxa"/>
            <w:noWrap/>
            <w:vAlign w:val="center"/>
          </w:tcPr>
          <w:p w14:paraId="70D2A369">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250" w:type="dxa"/>
            <w:noWrap/>
            <w:vAlign w:val="center"/>
          </w:tcPr>
          <w:p w14:paraId="5D7E7D5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45" w:type="dxa"/>
            <w:noWrap/>
            <w:vAlign w:val="center"/>
          </w:tcPr>
          <w:p w14:paraId="7FC24C0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7A1D4632">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14:paraId="069E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4DEF683F">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2764" w:type="dxa"/>
            <w:noWrap/>
            <w:vAlign w:val="center"/>
          </w:tcPr>
          <w:p w14:paraId="3E0E41D6">
            <w:pPr>
              <w:widowControl/>
              <w:jc w:val="center"/>
              <w:rPr>
                <w:rFonts w:ascii="宋体" w:hAnsi="宋体" w:cs="宋体"/>
                <w:color w:val="000000"/>
                <w:kern w:val="0"/>
                <w:sz w:val="18"/>
                <w:szCs w:val="18"/>
              </w:rPr>
            </w:pPr>
            <w:r>
              <w:rPr>
                <w:rFonts w:hint="eastAsia" w:ascii="宋体" w:hAnsi="宋体" w:cs="宋体"/>
                <w:color w:val="000000"/>
                <w:kern w:val="0"/>
                <w:sz w:val="18"/>
                <w:szCs w:val="18"/>
              </w:rPr>
              <w:t>马桶刷子</w:t>
            </w:r>
          </w:p>
        </w:tc>
        <w:tc>
          <w:tcPr>
            <w:tcW w:w="603" w:type="dxa"/>
            <w:noWrap/>
            <w:vAlign w:val="center"/>
          </w:tcPr>
          <w:p w14:paraId="2DB27BED">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887" w:type="dxa"/>
            <w:noWrap/>
            <w:vAlign w:val="center"/>
          </w:tcPr>
          <w:p w14:paraId="0A966D50">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887" w:type="dxa"/>
            <w:noWrap/>
            <w:vAlign w:val="center"/>
          </w:tcPr>
          <w:p w14:paraId="6E2C65DA">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250" w:type="dxa"/>
            <w:noWrap/>
            <w:vAlign w:val="center"/>
          </w:tcPr>
          <w:p w14:paraId="272D1BC2">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645" w:type="dxa"/>
            <w:noWrap/>
            <w:vAlign w:val="center"/>
          </w:tcPr>
          <w:p w14:paraId="1F06C1A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20D74892">
            <w:pPr>
              <w:widowControl/>
              <w:jc w:val="center"/>
              <w:rPr>
                <w:rFonts w:ascii="宋体" w:hAnsi="宋体" w:cs="宋体"/>
                <w:color w:val="000000"/>
                <w:kern w:val="0"/>
                <w:sz w:val="18"/>
                <w:szCs w:val="18"/>
              </w:rPr>
            </w:pPr>
            <w:r>
              <w:rPr>
                <w:rFonts w:hint="eastAsia" w:ascii="宋体" w:hAnsi="宋体" w:cs="宋体"/>
                <w:color w:val="000000"/>
                <w:kern w:val="0"/>
                <w:sz w:val="18"/>
                <w:szCs w:val="18"/>
              </w:rPr>
              <w:t>110</w:t>
            </w:r>
          </w:p>
        </w:tc>
      </w:tr>
      <w:tr w14:paraId="0062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31E011C7">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2764" w:type="dxa"/>
            <w:noWrap/>
            <w:vAlign w:val="center"/>
          </w:tcPr>
          <w:p w14:paraId="00076FB0">
            <w:pPr>
              <w:widowControl/>
              <w:jc w:val="center"/>
              <w:rPr>
                <w:rFonts w:ascii="宋体" w:hAnsi="宋体" w:cs="宋体"/>
                <w:color w:val="000000"/>
                <w:kern w:val="0"/>
                <w:sz w:val="18"/>
                <w:szCs w:val="18"/>
              </w:rPr>
            </w:pPr>
            <w:r>
              <w:rPr>
                <w:rFonts w:hint="eastAsia" w:ascii="宋体" w:hAnsi="宋体" w:cs="宋体"/>
                <w:color w:val="000000"/>
                <w:kern w:val="0"/>
                <w:sz w:val="18"/>
                <w:szCs w:val="18"/>
              </w:rPr>
              <w:t>吸泵透明</w:t>
            </w:r>
          </w:p>
        </w:tc>
        <w:tc>
          <w:tcPr>
            <w:tcW w:w="603" w:type="dxa"/>
            <w:noWrap/>
            <w:vAlign w:val="center"/>
          </w:tcPr>
          <w:p w14:paraId="16095E2D">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887" w:type="dxa"/>
            <w:noWrap/>
            <w:vAlign w:val="center"/>
          </w:tcPr>
          <w:p w14:paraId="79BC4D19">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887" w:type="dxa"/>
            <w:noWrap/>
            <w:vAlign w:val="center"/>
          </w:tcPr>
          <w:p w14:paraId="7DF0D6B4">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250" w:type="dxa"/>
            <w:noWrap/>
            <w:vAlign w:val="center"/>
          </w:tcPr>
          <w:p w14:paraId="0176EFEB">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45" w:type="dxa"/>
            <w:noWrap/>
            <w:vAlign w:val="center"/>
          </w:tcPr>
          <w:p w14:paraId="28E00F4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28A6232B">
            <w:pPr>
              <w:widowControl/>
              <w:jc w:val="center"/>
              <w:rPr>
                <w:rFonts w:ascii="宋体" w:hAnsi="宋体" w:cs="宋体"/>
                <w:color w:val="000000"/>
                <w:kern w:val="0"/>
                <w:sz w:val="18"/>
                <w:szCs w:val="18"/>
              </w:rPr>
            </w:pPr>
            <w:r>
              <w:rPr>
                <w:rFonts w:hint="eastAsia" w:ascii="宋体" w:hAnsi="宋体" w:cs="宋体"/>
                <w:color w:val="000000"/>
                <w:kern w:val="0"/>
                <w:sz w:val="18"/>
                <w:szCs w:val="18"/>
              </w:rPr>
              <w:t>53</w:t>
            </w:r>
          </w:p>
        </w:tc>
      </w:tr>
      <w:tr w14:paraId="2F2C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0969ABD3">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2764" w:type="dxa"/>
            <w:noWrap/>
            <w:vAlign w:val="center"/>
          </w:tcPr>
          <w:p w14:paraId="5F42ADC3">
            <w:pPr>
              <w:widowControl/>
              <w:jc w:val="center"/>
              <w:rPr>
                <w:rFonts w:ascii="宋体" w:hAnsi="宋体" w:cs="宋体"/>
                <w:color w:val="000000"/>
                <w:kern w:val="0"/>
                <w:sz w:val="18"/>
                <w:szCs w:val="18"/>
              </w:rPr>
            </w:pPr>
            <w:r>
              <w:rPr>
                <w:rFonts w:hint="eastAsia" w:ascii="宋体" w:hAnsi="宋体" w:cs="宋体"/>
                <w:color w:val="000000"/>
                <w:kern w:val="0"/>
                <w:sz w:val="18"/>
                <w:szCs w:val="18"/>
              </w:rPr>
              <w:t>玻璃刮刀</w:t>
            </w:r>
          </w:p>
        </w:tc>
        <w:tc>
          <w:tcPr>
            <w:tcW w:w="603" w:type="dxa"/>
            <w:noWrap/>
            <w:vAlign w:val="center"/>
          </w:tcPr>
          <w:p w14:paraId="14927907">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887" w:type="dxa"/>
            <w:noWrap/>
            <w:vAlign w:val="center"/>
          </w:tcPr>
          <w:p w14:paraId="5B37CCC5">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87" w:type="dxa"/>
            <w:noWrap/>
            <w:vAlign w:val="center"/>
          </w:tcPr>
          <w:p w14:paraId="10A91EA5">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250" w:type="dxa"/>
            <w:noWrap/>
            <w:vAlign w:val="center"/>
          </w:tcPr>
          <w:p w14:paraId="162D0332">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45" w:type="dxa"/>
            <w:noWrap/>
            <w:vAlign w:val="center"/>
          </w:tcPr>
          <w:p w14:paraId="04988BA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3438F4FD">
            <w:pPr>
              <w:widowControl/>
              <w:jc w:val="center"/>
              <w:rPr>
                <w:rFonts w:ascii="宋体" w:hAnsi="宋体" w:cs="宋体"/>
                <w:color w:val="000000"/>
                <w:kern w:val="0"/>
                <w:sz w:val="18"/>
                <w:szCs w:val="18"/>
              </w:rPr>
            </w:pPr>
            <w:r>
              <w:rPr>
                <w:rFonts w:hint="eastAsia" w:ascii="宋体" w:hAnsi="宋体" w:cs="宋体"/>
                <w:color w:val="000000"/>
                <w:kern w:val="0"/>
                <w:sz w:val="18"/>
                <w:szCs w:val="18"/>
              </w:rPr>
              <w:t>46</w:t>
            </w:r>
          </w:p>
        </w:tc>
      </w:tr>
      <w:tr w14:paraId="5F02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265C7CE3">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2764" w:type="dxa"/>
            <w:noWrap/>
            <w:vAlign w:val="center"/>
          </w:tcPr>
          <w:p w14:paraId="03D19B98">
            <w:pPr>
              <w:widowControl/>
              <w:jc w:val="center"/>
              <w:rPr>
                <w:rFonts w:ascii="宋体" w:hAnsi="宋体" w:cs="宋体"/>
                <w:color w:val="000000"/>
                <w:kern w:val="0"/>
                <w:sz w:val="18"/>
                <w:szCs w:val="18"/>
              </w:rPr>
            </w:pPr>
            <w:r>
              <w:rPr>
                <w:rFonts w:hint="eastAsia" w:ascii="宋体" w:hAnsi="宋体" w:cs="宋体"/>
                <w:color w:val="000000"/>
                <w:kern w:val="0"/>
                <w:sz w:val="18"/>
                <w:szCs w:val="18"/>
              </w:rPr>
              <w:t>毛套</w:t>
            </w:r>
          </w:p>
        </w:tc>
        <w:tc>
          <w:tcPr>
            <w:tcW w:w="603" w:type="dxa"/>
            <w:noWrap/>
            <w:vAlign w:val="center"/>
          </w:tcPr>
          <w:p w14:paraId="399560E9">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887" w:type="dxa"/>
            <w:noWrap/>
            <w:vAlign w:val="center"/>
          </w:tcPr>
          <w:p w14:paraId="7A700FFB">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87" w:type="dxa"/>
            <w:noWrap/>
            <w:vAlign w:val="center"/>
          </w:tcPr>
          <w:p w14:paraId="5BACC425">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250" w:type="dxa"/>
            <w:noWrap/>
            <w:vAlign w:val="center"/>
          </w:tcPr>
          <w:p w14:paraId="268BD280">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45" w:type="dxa"/>
            <w:noWrap/>
            <w:vAlign w:val="center"/>
          </w:tcPr>
          <w:p w14:paraId="3376CEF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5292BE16">
            <w:pPr>
              <w:widowControl/>
              <w:jc w:val="center"/>
              <w:rPr>
                <w:rFonts w:ascii="宋体" w:hAnsi="宋体" w:cs="宋体"/>
                <w:color w:val="000000"/>
                <w:kern w:val="0"/>
                <w:sz w:val="18"/>
                <w:szCs w:val="18"/>
              </w:rPr>
            </w:pPr>
            <w:r>
              <w:rPr>
                <w:rFonts w:hint="eastAsia" w:ascii="宋体" w:hAnsi="宋体" w:cs="宋体"/>
                <w:color w:val="000000"/>
                <w:kern w:val="0"/>
                <w:sz w:val="18"/>
                <w:szCs w:val="18"/>
              </w:rPr>
              <w:t>49</w:t>
            </w:r>
          </w:p>
        </w:tc>
      </w:tr>
      <w:tr w14:paraId="2E9E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2339BC68">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2764" w:type="dxa"/>
            <w:noWrap/>
            <w:vAlign w:val="center"/>
          </w:tcPr>
          <w:p w14:paraId="1BA1229A">
            <w:pPr>
              <w:widowControl/>
              <w:jc w:val="center"/>
              <w:rPr>
                <w:rFonts w:ascii="宋体" w:hAnsi="宋体" w:cs="宋体"/>
                <w:color w:val="000000"/>
                <w:kern w:val="0"/>
                <w:sz w:val="18"/>
                <w:szCs w:val="18"/>
              </w:rPr>
            </w:pPr>
            <w:r>
              <w:rPr>
                <w:rFonts w:hint="eastAsia" w:ascii="宋体" w:hAnsi="宋体" w:cs="宋体"/>
                <w:color w:val="000000"/>
                <w:kern w:val="0"/>
                <w:sz w:val="18"/>
                <w:szCs w:val="18"/>
              </w:rPr>
              <w:t>1.5米伸缩杆</w:t>
            </w:r>
          </w:p>
        </w:tc>
        <w:tc>
          <w:tcPr>
            <w:tcW w:w="603" w:type="dxa"/>
            <w:noWrap/>
            <w:vAlign w:val="center"/>
          </w:tcPr>
          <w:p w14:paraId="5A1E5517">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887" w:type="dxa"/>
            <w:noWrap/>
            <w:vAlign w:val="center"/>
          </w:tcPr>
          <w:p w14:paraId="0CFF894B">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87" w:type="dxa"/>
            <w:noWrap/>
            <w:vAlign w:val="center"/>
          </w:tcPr>
          <w:p w14:paraId="4E7777CD">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250" w:type="dxa"/>
            <w:noWrap/>
            <w:vAlign w:val="center"/>
          </w:tcPr>
          <w:p w14:paraId="16023209">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5" w:type="dxa"/>
            <w:noWrap/>
            <w:vAlign w:val="center"/>
          </w:tcPr>
          <w:p w14:paraId="1F9BD84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2402515C">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r>
      <w:tr w14:paraId="1EE0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14A57C95">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2764" w:type="dxa"/>
            <w:noWrap/>
            <w:vAlign w:val="center"/>
          </w:tcPr>
          <w:p w14:paraId="49DEBA77">
            <w:pPr>
              <w:widowControl/>
              <w:jc w:val="center"/>
              <w:rPr>
                <w:rFonts w:ascii="宋体" w:hAnsi="宋体" w:cs="宋体"/>
                <w:color w:val="000000"/>
                <w:kern w:val="0"/>
                <w:sz w:val="18"/>
                <w:szCs w:val="18"/>
              </w:rPr>
            </w:pPr>
            <w:r>
              <w:rPr>
                <w:rFonts w:hint="eastAsia" w:ascii="宋体" w:hAnsi="宋体" w:cs="宋体"/>
                <w:color w:val="000000"/>
                <w:kern w:val="0"/>
                <w:sz w:val="18"/>
                <w:szCs w:val="18"/>
              </w:rPr>
              <w:t>喷壶</w:t>
            </w:r>
          </w:p>
        </w:tc>
        <w:tc>
          <w:tcPr>
            <w:tcW w:w="603" w:type="dxa"/>
            <w:noWrap/>
            <w:vAlign w:val="center"/>
          </w:tcPr>
          <w:p w14:paraId="525194E2">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887" w:type="dxa"/>
            <w:noWrap/>
            <w:vAlign w:val="center"/>
          </w:tcPr>
          <w:p w14:paraId="20662B84">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887" w:type="dxa"/>
            <w:noWrap/>
            <w:vAlign w:val="center"/>
          </w:tcPr>
          <w:p w14:paraId="3BF62DDB">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50" w:type="dxa"/>
            <w:noWrap/>
            <w:vAlign w:val="center"/>
          </w:tcPr>
          <w:p w14:paraId="2C9BC12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45" w:type="dxa"/>
            <w:noWrap/>
            <w:vAlign w:val="center"/>
          </w:tcPr>
          <w:p w14:paraId="1FE6734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4DD386A0">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r>
      <w:tr w14:paraId="7E53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1A83998D">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2764" w:type="dxa"/>
            <w:noWrap/>
            <w:vAlign w:val="center"/>
          </w:tcPr>
          <w:p w14:paraId="6A89455B">
            <w:pPr>
              <w:widowControl/>
              <w:jc w:val="center"/>
              <w:rPr>
                <w:rFonts w:ascii="宋体" w:hAnsi="宋体" w:cs="宋体"/>
                <w:color w:val="000000"/>
                <w:kern w:val="0"/>
                <w:sz w:val="18"/>
                <w:szCs w:val="18"/>
              </w:rPr>
            </w:pPr>
            <w:r>
              <w:rPr>
                <w:rFonts w:hint="eastAsia" w:ascii="宋体" w:hAnsi="宋体" w:cs="宋体"/>
                <w:color w:val="000000"/>
                <w:kern w:val="0"/>
                <w:sz w:val="18"/>
                <w:szCs w:val="18"/>
              </w:rPr>
              <w:t>牛筋手套</w:t>
            </w:r>
          </w:p>
        </w:tc>
        <w:tc>
          <w:tcPr>
            <w:tcW w:w="603" w:type="dxa"/>
            <w:noWrap/>
            <w:vAlign w:val="center"/>
          </w:tcPr>
          <w:p w14:paraId="4214EAA3">
            <w:pPr>
              <w:widowControl/>
              <w:jc w:val="center"/>
              <w:rPr>
                <w:rFonts w:ascii="宋体" w:hAnsi="宋体" w:cs="宋体"/>
                <w:color w:val="000000"/>
                <w:kern w:val="0"/>
                <w:sz w:val="18"/>
                <w:szCs w:val="18"/>
              </w:rPr>
            </w:pPr>
            <w:r>
              <w:rPr>
                <w:rFonts w:hint="eastAsia" w:ascii="宋体" w:hAnsi="宋体" w:cs="宋体"/>
                <w:color w:val="000000"/>
                <w:kern w:val="0"/>
                <w:sz w:val="18"/>
                <w:szCs w:val="18"/>
              </w:rPr>
              <w:t>双</w:t>
            </w:r>
          </w:p>
        </w:tc>
        <w:tc>
          <w:tcPr>
            <w:tcW w:w="887" w:type="dxa"/>
            <w:noWrap/>
            <w:vAlign w:val="center"/>
          </w:tcPr>
          <w:p w14:paraId="3A49B544">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887" w:type="dxa"/>
            <w:noWrap/>
            <w:vAlign w:val="center"/>
          </w:tcPr>
          <w:p w14:paraId="51321428">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250" w:type="dxa"/>
            <w:noWrap/>
            <w:vAlign w:val="center"/>
          </w:tcPr>
          <w:p w14:paraId="7DCE925C">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45" w:type="dxa"/>
            <w:noWrap/>
            <w:vAlign w:val="center"/>
          </w:tcPr>
          <w:p w14:paraId="6D7A7C1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1FC7A1C8">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r>
      <w:tr w14:paraId="747F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1C6DDF10">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2764" w:type="dxa"/>
            <w:noWrap/>
            <w:vAlign w:val="center"/>
          </w:tcPr>
          <w:p w14:paraId="02BD57B8">
            <w:pPr>
              <w:widowControl/>
              <w:jc w:val="center"/>
              <w:rPr>
                <w:rFonts w:ascii="宋体" w:hAnsi="宋体" w:cs="宋体"/>
                <w:color w:val="000000"/>
                <w:kern w:val="0"/>
                <w:sz w:val="18"/>
                <w:szCs w:val="18"/>
              </w:rPr>
            </w:pPr>
            <w:r>
              <w:rPr>
                <w:rFonts w:hint="eastAsia" w:ascii="宋体" w:hAnsi="宋体" w:cs="宋体"/>
                <w:color w:val="000000"/>
                <w:kern w:val="0"/>
                <w:sz w:val="18"/>
                <w:szCs w:val="18"/>
              </w:rPr>
              <w:t>橡胶手套</w:t>
            </w:r>
          </w:p>
        </w:tc>
        <w:tc>
          <w:tcPr>
            <w:tcW w:w="603" w:type="dxa"/>
            <w:noWrap/>
            <w:vAlign w:val="center"/>
          </w:tcPr>
          <w:p w14:paraId="5552E394">
            <w:pPr>
              <w:widowControl/>
              <w:jc w:val="center"/>
              <w:rPr>
                <w:rFonts w:ascii="宋体" w:hAnsi="宋体" w:cs="宋体"/>
                <w:color w:val="000000"/>
                <w:kern w:val="0"/>
                <w:sz w:val="18"/>
                <w:szCs w:val="18"/>
              </w:rPr>
            </w:pPr>
            <w:r>
              <w:rPr>
                <w:rFonts w:hint="eastAsia" w:ascii="宋体" w:hAnsi="宋体" w:cs="宋体"/>
                <w:color w:val="000000"/>
                <w:kern w:val="0"/>
                <w:sz w:val="18"/>
                <w:szCs w:val="18"/>
              </w:rPr>
              <w:t>双</w:t>
            </w:r>
          </w:p>
        </w:tc>
        <w:tc>
          <w:tcPr>
            <w:tcW w:w="887" w:type="dxa"/>
            <w:noWrap/>
            <w:vAlign w:val="center"/>
          </w:tcPr>
          <w:p w14:paraId="5B0A9D1B">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887" w:type="dxa"/>
            <w:noWrap/>
            <w:vAlign w:val="center"/>
          </w:tcPr>
          <w:p w14:paraId="59142303">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250" w:type="dxa"/>
            <w:noWrap/>
            <w:vAlign w:val="center"/>
          </w:tcPr>
          <w:p w14:paraId="252F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45" w:type="dxa"/>
            <w:noWrap/>
            <w:vAlign w:val="center"/>
          </w:tcPr>
          <w:p w14:paraId="560781CA">
            <w:pPr>
              <w:widowControl/>
              <w:jc w:val="center"/>
              <w:rPr>
                <w:rFonts w:ascii="宋体" w:hAnsi="宋体" w:cs="宋体"/>
                <w:color w:val="000000"/>
                <w:kern w:val="0"/>
                <w:sz w:val="18"/>
                <w:szCs w:val="18"/>
              </w:rPr>
            </w:pPr>
          </w:p>
        </w:tc>
        <w:tc>
          <w:tcPr>
            <w:tcW w:w="750" w:type="dxa"/>
            <w:noWrap/>
            <w:vAlign w:val="center"/>
          </w:tcPr>
          <w:p w14:paraId="2C76AD5D">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r>
      <w:tr w14:paraId="427E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023309DB">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2764" w:type="dxa"/>
            <w:noWrap/>
            <w:vAlign w:val="center"/>
          </w:tcPr>
          <w:p w14:paraId="4B90416B">
            <w:pPr>
              <w:widowControl/>
              <w:jc w:val="center"/>
              <w:rPr>
                <w:rFonts w:ascii="宋体" w:hAnsi="宋体" w:cs="宋体"/>
                <w:color w:val="000000"/>
                <w:kern w:val="0"/>
                <w:sz w:val="18"/>
                <w:szCs w:val="18"/>
              </w:rPr>
            </w:pPr>
            <w:r>
              <w:rPr>
                <w:rFonts w:hint="eastAsia" w:ascii="宋体" w:hAnsi="宋体" w:cs="宋体"/>
                <w:color w:val="000000"/>
                <w:kern w:val="0"/>
                <w:sz w:val="18"/>
                <w:szCs w:val="18"/>
              </w:rPr>
              <w:t>棉纱手套</w:t>
            </w:r>
          </w:p>
        </w:tc>
        <w:tc>
          <w:tcPr>
            <w:tcW w:w="603" w:type="dxa"/>
            <w:noWrap/>
            <w:vAlign w:val="center"/>
          </w:tcPr>
          <w:p w14:paraId="1B15A32B">
            <w:pPr>
              <w:widowControl/>
              <w:jc w:val="center"/>
              <w:rPr>
                <w:rFonts w:ascii="宋体" w:hAnsi="宋体" w:cs="宋体"/>
                <w:color w:val="000000"/>
                <w:kern w:val="0"/>
                <w:sz w:val="18"/>
                <w:szCs w:val="18"/>
              </w:rPr>
            </w:pPr>
            <w:r>
              <w:rPr>
                <w:rFonts w:hint="eastAsia" w:ascii="宋体" w:hAnsi="宋体" w:cs="宋体"/>
                <w:color w:val="000000"/>
                <w:kern w:val="0"/>
                <w:sz w:val="18"/>
                <w:szCs w:val="18"/>
              </w:rPr>
              <w:t>双</w:t>
            </w:r>
          </w:p>
        </w:tc>
        <w:tc>
          <w:tcPr>
            <w:tcW w:w="887" w:type="dxa"/>
            <w:noWrap/>
            <w:vAlign w:val="center"/>
          </w:tcPr>
          <w:p w14:paraId="66BBCC21">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887" w:type="dxa"/>
            <w:noWrap/>
            <w:vAlign w:val="center"/>
          </w:tcPr>
          <w:p w14:paraId="04C9F544">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250" w:type="dxa"/>
            <w:noWrap/>
            <w:vAlign w:val="center"/>
          </w:tcPr>
          <w:p w14:paraId="7801986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45" w:type="dxa"/>
            <w:noWrap/>
            <w:vAlign w:val="center"/>
          </w:tcPr>
          <w:p w14:paraId="008A0E2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767DD893">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r>
      <w:tr w14:paraId="401B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4C2F4FF7">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764" w:type="dxa"/>
            <w:noWrap/>
            <w:vAlign w:val="center"/>
          </w:tcPr>
          <w:p w14:paraId="4EBFEAB7">
            <w:pPr>
              <w:widowControl/>
              <w:jc w:val="center"/>
              <w:rPr>
                <w:rFonts w:ascii="宋体" w:hAnsi="宋体" w:cs="宋体"/>
                <w:color w:val="000000"/>
                <w:kern w:val="0"/>
                <w:sz w:val="18"/>
                <w:szCs w:val="18"/>
              </w:rPr>
            </w:pPr>
            <w:r>
              <w:rPr>
                <w:rFonts w:hint="eastAsia" w:ascii="宋体" w:hAnsi="宋体" w:cs="宋体"/>
                <w:color w:val="000000"/>
                <w:kern w:val="0"/>
                <w:sz w:val="18"/>
                <w:szCs w:val="18"/>
              </w:rPr>
              <w:t>香精球</w:t>
            </w:r>
          </w:p>
        </w:tc>
        <w:tc>
          <w:tcPr>
            <w:tcW w:w="603" w:type="dxa"/>
            <w:noWrap/>
            <w:vAlign w:val="center"/>
          </w:tcPr>
          <w:p w14:paraId="13F811FF">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887" w:type="dxa"/>
            <w:noWrap/>
            <w:vAlign w:val="center"/>
          </w:tcPr>
          <w:p w14:paraId="5AA7EF23">
            <w:pPr>
              <w:widowControl/>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887" w:type="dxa"/>
            <w:noWrap/>
            <w:vAlign w:val="center"/>
          </w:tcPr>
          <w:p w14:paraId="77AF86FF">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250" w:type="dxa"/>
            <w:noWrap/>
            <w:vAlign w:val="center"/>
          </w:tcPr>
          <w:p w14:paraId="7B1254F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45" w:type="dxa"/>
            <w:noWrap/>
            <w:vAlign w:val="center"/>
          </w:tcPr>
          <w:p w14:paraId="058F6F7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06ABF105">
            <w:pPr>
              <w:widowControl/>
              <w:jc w:val="center"/>
              <w:rPr>
                <w:rFonts w:ascii="宋体" w:hAnsi="宋体" w:cs="宋体"/>
                <w:color w:val="000000"/>
                <w:kern w:val="0"/>
                <w:sz w:val="18"/>
                <w:szCs w:val="18"/>
              </w:rPr>
            </w:pPr>
            <w:r>
              <w:rPr>
                <w:rFonts w:hint="eastAsia" w:ascii="宋体" w:hAnsi="宋体" w:cs="宋体"/>
                <w:color w:val="000000"/>
                <w:kern w:val="0"/>
                <w:sz w:val="18"/>
                <w:szCs w:val="18"/>
              </w:rPr>
              <w:t>300</w:t>
            </w:r>
          </w:p>
        </w:tc>
      </w:tr>
      <w:tr w14:paraId="2867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722F2763">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2764" w:type="dxa"/>
            <w:noWrap/>
            <w:vAlign w:val="center"/>
          </w:tcPr>
          <w:p w14:paraId="1EF4A342">
            <w:pPr>
              <w:widowControl/>
              <w:jc w:val="center"/>
              <w:rPr>
                <w:rFonts w:ascii="宋体" w:hAnsi="宋体" w:cs="宋体"/>
                <w:color w:val="000000"/>
                <w:kern w:val="0"/>
                <w:sz w:val="18"/>
                <w:szCs w:val="18"/>
              </w:rPr>
            </w:pPr>
            <w:r>
              <w:rPr>
                <w:rFonts w:hint="eastAsia" w:ascii="宋体" w:hAnsi="宋体" w:cs="宋体"/>
                <w:color w:val="000000"/>
                <w:kern w:val="0"/>
                <w:sz w:val="18"/>
                <w:szCs w:val="18"/>
              </w:rPr>
              <w:t>玻璃水</w:t>
            </w:r>
          </w:p>
        </w:tc>
        <w:tc>
          <w:tcPr>
            <w:tcW w:w="603" w:type="dxa"/>
            <w:noWrap/>
            <w:vAlign w:val="center"/>
          </w:tcPr>
          <w:p w14:paraId="67B44D0B">
            <w:pPr>
              <w:widowControl/>
              <w:jc w:val="center"/>
              <w:rPr>
                <w:rFonts w:ascii="宋体" w:hAnsi="宋体" w:cs="宋体"/>
                <w:color w:val="000000"/>
                <w:kern w:val="0"/>
                <w:sz w:val="18"/>
                <w:szCs w:val="18"/>
              </w:rPr>
            </w:pPr>
            <w:r>
              <w:rPr>
                <w:rFonts w:hint="eastAsia" w:ascii="宋体" w:hAnsi="宋体" w:cs="宋体"/>
                <w:color w:val="000000"/>
                <w:kern w:val="0"/>
                <w:sz w:val="18"/>
                <w:szCs w:val="18"/>
              </w:rPr>
              <w:t>桶</w:t>
            </w:r>
          </w:p>
        </w:tc>
        <w:tc>
          <w:tcPr>
            <w:tcW w:w="887" w:type="dxa"/>
            <w:noWrap/>
            <w:vAlign w:val="center"/>
          </w:tcPr>
          <w:p w14:paraId="281062DA">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887" w:type="dxa"/>
            <w:noWrap/>
            <w:vAlign w:val="center"/>
          </w:tcPr>
          <w:p w14:paraId="5CFCBB21">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250" w:type="dxa"/>
            <w:noWrap/>
            <w:vAlign w:val="center"/>
          </w:tcPr>
          <w:p w14:paraId="69A5050C">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645" w:type="dxa"/>
            <w:noWrap/>
            <w:vAlign w:val="center"/>
          </w:tcPr>
          <w:p w14:paraId="2200912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2DBCB221">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r>
      <w:tr w14:paraId="0D4A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2695E0F3">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2764" w:type="dxa"/>
            <w:noWrap/>
            <w:vAlign w:val="center"/>
          </w:tcPr>
          <w:p w14:paraId="7DEEDEF6">
            <w:pPr>
              <w:widowControl/>
              <w:jc w:val="center"/>
              <w:rPr>
                <w:rFonts w:ascii="宋体" w:hAnsi="宋体" w:cs="宋体"/>
                <w:color w:val="000000"/>
                <w:kern w:val="0"/>
                <w:sz w:val="18"/>
                <w:szCs w:val="18"/>
              </w:rPr>
            </w:pPr>
            <w:r>
              <w:rPr>
                <w:rFonts w:hint="eastAsia" w:ascii="宋体" w:hAnsi="宋体" w:cs="宋体"/>
                <w:color w:val="000000"/>
                <w:kern w:val="0"/>
                <w:sz w:val="18"/>
                <w:szCs w:val="18"/>
              </w:rPr>
              <w:t>中性全能清洁剂</w:t>
            </w:r>
          </w:p>
        </w:tc>
        <w:tc>
          <w:tcPr>
            <w:tcW w:w="603" w:type="dxa"/>
            <w:noWrap/>
            <w:vAlign w:val="center"/>
          </w:tcPr>
          <w:p w14:paraId="034E82A9">
            <w:pPr>
              <w:widowControl/>
              <w:jc w:val="center"/>
              <w:rPr>
                <w:rFonts w:ascii="宋体" w:hAnsi="宋体" w:cs="宋体"/>
                <w:color w:val="000000"/>
                <w:kern w:val="0"/>
                <w:sz w:val="18"/>
                <w:szCs w:val="18"/>
              </w:rPr>
            </w:pPr>
            <w:r>
              <w:rPr>
                <w:rFonts w:hint="eastAsia" w:ascii="宋体" w:hAnsi="宋体" w:cs="宋体"/>
                <w:color w:val="000000"/>
                <w:kern w:val="0"/>
                <w:sz w:val="18"/>
                <w:szCs w:val="18"/>
              </w:rPr>
              <w:t>桶</w:t>
            </w:r>
          </w:p>
        </w:tc>
        <w:tc>
          <w:tcPr>
            <w:tcW w:w="887" w:type="dxa"/>
            <w:noWrap/>
            <w:vAlign w:val="center"/>
          </w:tcPr>
          <w:p w14:paraId="0EC00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87" w:type="dxa"/>
            <w:noWrap/>
            <w:vAlign w:val="center"/>
          </w:tcPr>
          <w:p w14:paraId="7728A3F1">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250" w:type="dxa"/>
            <w:noWrap/>
            <w:vAlign w:val="center"/>
          </w:tcPr>
          <w:p w14:paraId="51B62091">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5" w:type="dxa"/>
            <w:noWrap/>
            <w:vAlign w:val="center"/>
          </w:tcPr>
          <w:p w14:paraId="475C6006">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50" w:type="dxa"/>
            <w:noWrap/>
            <w:vAlign w:val="center"/>
          </w:tcPr>
          <w:p w14:paraId="29AEC0B8">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r>
      <w:tr w14:paraId="2F3F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7E8990CE">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2764" w:type="dxa"/>
            <w:noWrap/>
            <w:vAlign w:val="center"/>
          </w:tcPr>
          <w:p w14:paraId="69747846">
            <w:pPr>
              <w:widowControl/>
              <w:jc w:val="center"/>
              <w:rPr>
                <w:rFonts w:ascii="宋体" w:hAnsi="宋体" w:cs="宋体"/>
                <w:color w:val="000000"/>
                <w:kern w:val="0"/>
                <w:sz w:val="18"/>
                <w:szCs w:val="18"/>
              </w:rPr>
            </w:pPr>
            <w:r>
              <w:rPr>
                <w:rFonts w:hint="eastAsia" w:ascii="宋体" w:hAnsi="宋体" w:cs="宋体"/>
                <w:color w:val="000000"/>
                <w:kern w:val="0"/>
                <w:sz w:val="18"/>
                <w:szCs w:val="18"/>
              </w:rPr>
              <w:t>84消毒液</w:t>
            </w:r>
          </w:p>
        </w:tc>
        <w:tc>
          <w:tcPr>
            <w:tcW w:w="603" w:type="dxa"/>
            <w:noWrap/>
            <w:vAlign w:val="center"/>
          </w:tcPr>
          <w:p w14:paraId="4D5A39FF">
            <w:pPr>
              <w:widowControl/>
              <w:jc w:val="center"/>
              <w:rPr>
                <w:rFonts w:ascii="宋体" w:hAnsi="宋体" w:cs="宋体"/>
                <w:color w:val="000000"/>
                <w:kern w:val="0"/>
                <w:sz w:val="18"/>
                <w:szCs w:val="18"/>
              </w:rPr>
            </w:pPr>
            <w:r>
              <w:rPr>
                <w:rFonts w:hint="eastAsia" w:ascii="宋体" w:hAnsi="宋体" w:cs="宋体"/>
                <w:color w:val="000000"/>
                <w:kern w:val="0"/>
                <w:sz w:val="18"/>
                <w:szCs w:val="18"/>
              </w:rPr>
              <w:t>桶</w:t>
            </w:r>
          </w:p>
        </w:tc>
        <w:tc>
          <w:tcPr>
            <w:tcW w:w="887" w:type="dxa"/>
            <w:noWrap/>
            <w:vAlign w:val="center"/>
          </w:tcPr>
          <w:p w14:paraId="10A5ED84">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887" w:type="dxa"/>
            <w:noWrap/>
            <w:vAlign w:val="center"/>
          </w:tcPr>
          <w:p w14:paraId="199C083E">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250" w:type="dxa"/>
            <w:noWrap/>
            <w:vAlign w:val="center"/>
          </w:tcPr>
          <w:p w14:paraId="7891986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45" w:type="dxa"/>
            <w:noWrap/>
            <w:vAlign w:val="center"/>
          </w:tcPr>
          <w:p w14:paraId="7FF0C32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5590B7A3">
            <w:pPr>
              <w:widowControl/>
              <w:jc w:val="center"/>
              <w:rPr>
                <w:rFonts w:ascii="宋体" w:hAnsi="宋体" w:cs="宋体"/>
                <w:color w:val="000000"/>
                <w:kern w:val="0"/>
                <w:sz w:val="18"/>
                <w:szCs w:val="18"/>
              </w:rPr>
            </w:pPr>
            <w:r>
              <w:rPr>
                <w:rFonts w:hint="eastAsia" w:ascii="宋体" w:hAnsi="宋体" w:cs="宋体"/>
                <w:color w:val="000000"/>
                <w:kern w:val="0"/>
                <w:sz w:val="18"/>
                <w:szCs w:val="18"/>
              </w:rPr>
              <w:t>52</w:t>
            </w:r>
          </w:p>
        </w:tc>
      </w:tr>
      <w:tr w14:paraId="3FD2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169F3357">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2764" w:type="dxa"/>
            <w:noWrap/>
            <w:vAlign w:val="center"/>
          </w:tcPr>
          <w:p w14:paraId="3E7FE812">
            <w:pPr>
              <w:widowControl/>
              <w:jc w:val="center"/>
              <w:rPr>
                <w:rFonts w:ascii="宋体" w:hAnsi="宋体" w:cs="宋体"/>
                <w:color w:val="000000"/>
                <w:kern w:val="0"/>
                <w:sz w:val="18"/>
                <w:szCs w:val="18"/>
              </w:rPr>
            </w:pPr>
            <w:r>
              <w:rPr>
                <w:rFonts w:hint="eastAsia" w:ascii="宋体" w:hAnsi="宋体" w:cs="宋体"/>
                <w:color w:val="000000"/>
                <w:kern w:val="0"/>
                <w:sz w:val="18"/>
                <w:szCs w:val="18"/>
              </w:rPr>
              <w:t>除胶剂</w:t>
            </w:r>
          </w:p>
        </w:tc>
        <w:tc>
          <w:tcPr>
            <w:tcW w:w="603" w:type="dxa"/>
            <w:noWrap/>
            <w:vAlign w:val="center"/>
          </w:tcPr>
          <w:p w14:paraId="7CB898D8">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887" w:type="dxa"/>
            <w:noWrap/>
            <w:vAlign w:val="center"/>
          </w:tcPr>
          <w:p w14:paraId="27E46434">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887" w:type="dxa"/>
            <w:noWrap/>
            <w:vAlign w:val="center"/>
          </w:tcPr>
          <w:p w14:paraId="1435D96F">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250" w:type="dxa"/>
            <w:noWrap/>
            <w:vAlign w:val="center"/>
          </w:tcPr>
          <w:p w14:paraId="15E7D64F">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45" w:type="dxa"/>
            <w:noWrap/>
            <w:vAlign w:val="center"/>
          </w:tcPr>
          <w:p w14:paraId="6D9A88D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75DB27F1">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r>
      <w:tr w14:paraId="4C4D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056C41BD">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2764" w:type="dxa"/>
            <w:noWrap/>
            <w:vAlign w:val="center"/>
          </w:tcPr>
          <w:p w14:paraId="73A64FAA">
            <w:pPr>
              <w:widowControl/>
              <w:jc w:val="center"/>
              <w:rPr>
                <w:rFonts w:ascii="宋体" w:hAnsi="宋体" w:cs="宋体"/>
                <w:color w:val="000000"/>
                <w:kern w:val="0"/>
                <w:sz w:val="18"/>
                <w:szCs w:val="18"/>
              </w:rPr>
            </w:pPr>
            <w:r>
              <w:rPr>
                <w:rFonts w:hint="eastAsia" w:ascii="宋体" w:hAnsi="宋体" w:cs="宋体"/>
                <w:color w:val="000000"/>
                <w:kern w:val="0"/>
                <w:sz w:val="18"/>
                <w:szCs w:val="18"/>
              </w:rPr>
              <w:t>铲刀</w:t>
            </w:r>
          </w:p>
        </w:tc>
        <w:tc>
          <w:tcPr>
            <w:tcW w:w="603" w:type="dxa"/>
            <w:noWrap/>
            <w:vAlign w:val="center"/>
          </w:tcPr>
          <w:p w14:paraId="2719A956">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887" w:type="dxa"/>
            <w:noWrap/>
            <w:vAlign w:val="center"/>
          </w:tcPr>
          <w:p w14:paraId="5CFAA2A4">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887" w:type="dxa"/>
            <w:noWrap/>
            <w:vAlign w:val="center"/>
          </w:tcPr>
          <w:p w14:paraId="369E01D5">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250" w:type="dxa"/>
            <w:noWrap/>
            <w:vAlign w:val="center"/>
          </w:tcPr>
          <w:p w14:paraId="713B015D">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45" w:type="dxa"/>
            <w:noWrap/>
            <w:vAlign w:val="center"/>
          </w:tcPr>
          <w:p w14:paraId="5EC0BAE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180A133D">
            <w:pPr>
              <w:widowControl/>
              <w:jc w:val="center"/>
              <w:rPr>
                <w:rFonts w:ascii="宋体" w:hAnsi="宋体" w:cs="宋体"/>
                <w:color w:val="000000"/>
                <w:kern w:val="0"/>
                <w:sz w:val="18"/>
                <w:szCs w:val="18"/>
              </w:rPr>
            </w:pPr>
            <w:r>
              <w:rPr>
                <w:rFonts w:hint="eastAsia" w:ascii="宋体" w:hAnsi="宋体" w:cs="宋体"/>
                <w:color w:val="000000"/>
                <w:kern w:val="0"/>
                <w:sz w:val="18"/>
                <w:szCs w:val="18"/>
              </w:rPr>
              <w:t>108</w:t>
            </w:r>
          </w:p>
        </w:tc>
      </w:tr>
      <w:tr w14:paraId="0BAC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0159B02B">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764" w:type="dxa"/>
            <w:noWrap/>
            <w:vAlign w:val="center"/>
          </w:tcPr>
          <w:p w14:paraId="4A6000FE">
            <w:pPr>
              <w:widowControl/>
              <w:jc w:val="center"/>
              <w:rPr>
                <w:rFonts w:ascii="宋体" w:hAnsi="宋体" w:cs="宋体"/>
                <w:color w:val="000000"/>
                <w:kern w:val="0"/>
                <w:sz w:val="18"/>
                <w:szCs w:val="18"/>
              </w:rPr>
            </w:pPr>
            <w:r>
              <w:rPr>
                <w:rFonts w:hint="eastAsia" w:ascii="宋体" w:hAnsi="宋体" w:cs="宋体"/>
                <w:color w:val="000000"/>
                <w:kern w:val="0"/>
                <w:sz w:val="18"/>
                <w:szCs w:val="18"/>
              </w:rPr>
              <w:t>洗衣粉</w:t>
            </w:r>
          </w:p>
        </w:tc>
        <w:tc>
          <w:tcPr>
            <w:tcW w:w="603" w:type="dxa"/>
            <w:noWrap/>
            <w:vAlign w:val="center"/>
          </w:tcPr>
          <w:p w14:paraId="2B8D94EE">
            <w:pPr>
              <w:widowControl/>
              <w:jc w:val="center"/>
              <w:rPr>
                <w:rFonts w:ascii="宋体" w:hAnsi="宋体" w:cs="宋体"/>
                <w:color w:val="000000"/>
                <w:kern w:val="0"/>
                <w:sz w:val="18"/>
                <w:szCs w:val="18"/>
              </w:rPr>
            </w:pPr>
            <w:r>
              <w:rPr>
                <w:rFonts w:hint="eastAsia" w:ascii="宋体" w:hAnsi="宋体" w:cs="宋体"/>
                <w:color w:val="000000"/>
                <w:kern w:val="0"/>
                <w:sz w:val="18"/>
                <w:szCs w:val="18"/>
              </w:rPr>
              <w:t>小包</w:t>
            </w:r>
          </w:p>
        </w:tc>
        <w:tc>
          <w:tcPr>
            <w:tcW w:w="887" w:type="dxa"/>
            <w:noWrap/>
            <w:vAlign w:val="center"/>
          </w:tcPr>
          <w:p w14:paraId="3BF91914">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887" w:type="dxa"/>
            <w:noWrap/>
            <w:vAlign w:val="center"/>
          </w:tcPr>
          <w:p w14:paraId="04B9FA89">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1250" w:type="dxa"/>
            <w:noWrap/>
            <w:vAlign w:val="center"/>
          </w:tcPr>
          <w:p w14:paraId="57EB4DDC">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45" w:type="dxa"/>
            <w:noWrap/>
            <w:vAlign w:val="center"/>
          </w:tcPr>
          <w:p w14:paraId="376D71D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602BF59C">
            <w:pPr>
              <w:widowControl/>
              <w:jc w:val="center"/>
              <w:rPr>
                <w:rFonts w:ascii="宋体" w:hAnsi="宋体" w:cs="宋体"/>
                <w:color w:val="000000"/>
                <w:kern w:val="0"/>
                <w:sz w:val="18"/>
                <w:szCs w:val="18"/>
              </w:rPr>
            </w:pPr>
            <w:r>
              <w:rPr>
                <w:rFonts w:hint="eastAsia" w:ascii="宋体" w:hAnsi="宋体" w:cs="宋体"/>
                <w:color w:val="000000"/>
                <w:kern w:val="0"/>
                <w:sz w:val="18"/>
                <w:szCs w:val="18"/>
              </w:rPr>
              <w:t>65</w:t>
            </w:r>
          </w:p>
        </w:tc>
      </w:tr>
      <w:tr w14:paraId="5AF1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0EF059D3">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2764" w:type="dxa"/>
            <w:noWrap/>
            <w:vAlign w:val="center"/>
          </w:tcPr>
          <w:p w14:paraId="46942CFD">
            <w:pPr>
              <w:widowControl/>
              <w:jc w:val="center"/>
              <w:rPr>
                <w:rFonts w:ascii="宋体" w:hAnsi="宋体" w:cs="宋体"/>
                <w:color w:val="000000"/>
                <w:kern w:val="0"/>
                <w:sz w:val="18"/>
                <w:szCs w:val="18"/>
              </w:rPr>
            </w:pPr>
            <w:r>
              <w:rPr>
                <w:rFonts w:hint="eastAsia" w:ascii="宋体" w:hAnsi="宋体" w:cs="宋体"/>
                <w:color w:val="000000"/>
                <w:kern w:val="0"/>
                <w:sz w:val="18"/>
                <w:szCs w:val="18"/>
              </w:rPr>
              <w:t>吊垃圾绳子</w:t>
            </w:r>
          </w:p>
        </w:tc>
        <w:tc>
          <w:tcPr>
            <w:tcW w:w="603" w:type="dxa"/>
            <w:noWrap/>
            <w:vAlign w:val="center"/>
          </w:tcPr>
          <w:p w14:paraId="166C5472">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887" w:type="dxa"/>
            <w:noWrap/>
            <w:vAlign w:val="center"/>
          </w:tcPr>
          <w:p w14:paraId="3976F35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87" w:type="dxa"/>
            <w:noWrap/>
            <w:vAlign w:val="center"/>
          </w:tcPr>
          <w:p w14:paraId="0EC9183F">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250" w:type="dxa"/>
            <w:noWrap/>
            <w:vAlign w:val="center"/>
          </w:tcPr>
          <w:p w14:paraId="0FFE895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45" w:type="dxa"/>
            <w:noWrap/>
            <w:vAlign w:val="center"/>
          </w:tcPr>
          <w:p w14:paraId="5D233F69">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750" w:type="dxa"/>
            <w:noWrap/>
            <w:vAlign w:val="center"/>
          </w:tcPr>
          <w:p w14:paraId="0245C5C4">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r>
      <w:tr w14:paraId="4E00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0123385F">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2764" w:type="dxa"/>
            <w:noWrap/>
            <w:vAlign w:val="center"/>
          </w:tcPr>
          <w:p w14:paraId="3FE091D0">
            <w:pPr>
              <w:widowControl/>
              <w:jc w:val="center"/>
              <w:rPr>
                <w:rFonts w:ascii="宋体" w:hAnsi="宋体" w:cs="宋体"/>
                <w:color w:val="000000"/>
                <w:kern w:val="0"/>
                <w:sz w:val="18"/>
                <w:szCs w:val="18"/>
              </w:rPr>
            </w:pPr>
            <w:r>
              <w:rPr>
                <w:rFonts w:hint="eastAsia" w:ascii="宋体" w:hAnsi="宋体" w:cs="宋体"/>
                <w:color w:val="000000"/>
                <w:kern w:val="0"/>
                <w:sz w:val="18"/>
                <w:szCs w:val="18"/>
              </w:rPr>
              <w:t>水桶</w:t>
            </w:r>
          </w:p>
        </w:tc>
        <w:tc>
          <w:tcPr>
            <w:tcW w:w="603" w:type="dxa"/>
            <w:noWrap/>
            <w:vAlign w:val="center"/>
          </w:tcPr>
          <w:p w14:paraId="491036B1">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887" w:type="dxa"/>
            <w:noWrap/>
            <w:vAlign w:val="center"/>
          </w:tcPr>
          <w:p w14:paraId="7BFD1CE4">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887" w:type="dxa"/>
            <w:noWrap/>
            <w:vAlign w:val="center"/>
          </w:tcPr>
          <w:p w14:paraId="1E01B019">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50" w:type="dxa"/>
            <w:noWrap/>
            <w:vAlign w:val="center"/>
          </w:tcPr>
          <w:p w14:paraId="32527270">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5" w:type="dxa"/>
            <w:noWrap/>
            <w:vAlign w:val="center"/>
          </w:tcPr>
          <w:p w14:paraId="6179E5D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6957FD91">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r>
      <w:tr w14:paraId="456D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14EF5D43">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2764" w:type="dxa"/>
            <w:noWrap/>
            <w:vAlign w:val="center"/>
          </w:tcPr>
          <w:p w14:paraId="162EC34A">
            <w:pPr>
              <w:widowControl/>
              <w:jc w:val="center"/>
              <w:rPr>
                <w:rFonts w:ascii="宋体" w:hAnsi="宋体" w:cs="宋体"/>
                <w:color w:val="000000"/>
                <w:kern w:val="0"/>
                <w:sz w:val="18"/>
                <w:szCs w:val="18"/>
              </w:rPr>
            </w:pPr>
            <w:r>
              <w:rPr>
                <w:rFonts w:hint="eastAsia" w:ascii="宋体" w:hAnsi="宋体" w:cs="宋体"/>
                <w:color w:val="000000"/>
                <w:kern w:val="0"/>
                <w:sz w:val="18"/>
                <w:szCs w:val="18"/>
              </w:rPr>
              <w:t>84消毒液（小瓶）</w:t>
            </w:r>
          </w:p>
        </w:tc>
        <w:tc>
          <w:tcPr>
            <w:tcW w:w="603" w:type="dxa"/>
            <w:noWrap/>
            <w:vAlign w:val="center"/>
          </w:tcPr>
          <w:p w14:paraId="47FA5A2F">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887" w:type="dxa"/>
            <w:noWrap/>
            <w:vAlign w:val="center"/>
          </w:tcPr>
          <w:p w14:paraId="41003C3C">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887" w:type="dxa"/>
            <w:noWrap/>
            <w:vAlign w:val="center"/>
          </w:tcPr>
          <w:p w14:paraId="0CE53A34">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250" w:type="dxa"/>
            <w:noWrap/>
            <w:vAlign w:val="center"/>
          </w:tcPr>
          <w:p w14:paraId="42CE9D7E">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645" w:type="dxa"/>
            <w:noWrap/>
            <w:vAlign w:val="center"/>
          </w:tcPr>
          <w:p w14:paraId="6575D69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0C589956">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r>
      <w:tr w14:paraId="6B58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320D9E41">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2764" w:type="dxa"/>
            <w:noWrap/>
            <w:vAlign w:val="center"/>
          </w:tcPr>
          <w:p w14:paraId="61B140A4">
            <w:pPr>
              <w:widowControl/>
              <w:jc w:val="center"/>
              <w:rPr>
                <w:rFonts w:ascii="宋体" w:hAnsi="宋体" w:cs="宋体"/>
                <w:color w:val="000000"/>
                <w:kern w:val="0"/>
                <w:sz w:val="18"/>
                <w:szCs w:val="18"/>
              </w:rPr>
            </w:pPr>
            <w:r>
              <w:rPr>
                <w:rFonts w:hint="eastAsia" w:ascii="宋体" w:hAnsi="宋体" w:cs="宋体"/>
                <w:color w:val="000000"/>
                <w:kern w:val="0"/>
                <w:sz w:val="18"/>
                <w:szCs w:val="18"/>
              </w:rPr>
              <w:t>玻璃水（小桶）</w:t>
            </w:r>
          </w:p>
        </w:tc>
        <w:tc>
          <w:tcPr>
            <w:tcW w:w="603" w:type="dxa"/>
            <w:noWrap/>
            <w:vAlign w:val="center"/>
          </w:tcPr>
          <w:p w14:paraId="4D208A6A">
            <w:pPr>
              <w:widowControl/>
              <w:jc w:val="center"/>
              <w:rPr>
                <w:rFonts w:ascii="宋体" w:hAnsi="宋体" w:cs="宋体"/>
                <w:color w:val="000000"/>
                <w:kern w:val="0"/>
                <w:sz w:val="18"/>
                <w:szCs w:val="18"/>
              </w:rPr>
            </w:pPr>
            <w:r>
              <w:rPr>
                <w:rFonts w:hint="eastAsia" w:ascii="宋体" w:hAnsi="宋体" w:cs="宋体"/>
                <w:color w:val="000000"/>
                <w:kern w:val="0"/>
                <w:sz w:val="18"/>
                <w:szCs w:val="18"/>
              </w:rPr>
              <w:t>桶</w:t>
            </w:r>
          </w:p>
        </w:tc>
        <w:tc>
          <w:tcPr>
            <w:tcW w:w="887" w:type="dxa"/>
            <w:noWrap/>
            <w:vAlign w:val="center"/>
          </w:tcPr>
          <w:p w14:paraId="29B04C4E">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887" w:type="dxa"/>
            <w:noWrap/>
            <w:vAlign w:val="center"/>
          </w:tcPr>
          <w:p w14:paraId="29121017">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250" w:type="dxa"/>
            <w:noWrap/>
            <w:vAlign w:val="center"/>
          </w:tcPr>
          <w:p w14:paraId="376AE710">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45" w:type="dxa"/>
            <w:noWrap/>
            <w:vAlign w:val="center"/>
          </w:tcPr>
          <w:p w14:paraId="23F8370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19B05254">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14:paraId="1DB7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654EDC58">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2764" w:type="dxa"/>
            <w:noWrap/>
            <w:vAlign w:val="center"/>
          </w:tcPr>
          <w:p w14:paraId="54AE6D33">
            <w:pPr>
              <w:widowControl/>
              <w:jc w:val="center"/>
              <w:rPr>
                <w:rFonts w:ascii="宋体" w:hAnsi="宋体" w:cs="宋体"/>
                <w:color w:val="000000"/>
                <w:kern w:val="0"/>
                <w:sz w:val="18"/>
                <w:szCs w:val="18"/>
              </w:rPr>
            </w:pPr>
            <w:r>
              <w:rPr>
                <w:rFonts w:hint="eastAsia" w:ascii="宋体" w:hAnsi="宋体" w:cs="宋体"/>
                <w:color w:val="000000"/>
                <w:kern w:val="0"/>
                <w:sz w:val="18"/>
                <w:szCs w:val="18"/>
              </w:rPr>
              <w:t>蚊香</w:t>
            </w:r>
          </w:p>
        </w:tc>
        <w:tc>
          <w:tcPr>
            <w:tcW w:w="603" w:type="dxa"/>
            <w:noWrap/>
            <w:vAlign w:val="center"/>
          </w:tcPr>
          <w:p w14:paraId="75A1FA3A">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887" w:type="dxa"/>
            <w:noWrap/>
            <w:vAlign w:val="center"/>
          </w:tcPr>
          <w:p w14:paraId="36B0EB9A">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887" w:type="dxa"/>
            <w:noWrap/>
            <w:vAlign w:val="center"/>
          </w:tcPr>
          <w:p w14:paraId="7733ED27">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250" w:type="dxa"/>
            <w:noWrap/>
            <w:vAlign w:val="center"/>
          </w:tcPr>
          <w:p w14:paraId="19A9948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45" w:type="dxa"/>
            <w:noWrap/>
            <w:vAlign w:val="center"/>
          </w:tcPr>
          <w:p w14:paraId="32DF09C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02B1B5B5">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r>
      <w:tr w14:paraId="7B05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7F4DCC63">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2764" w:type="dxa"/>
            <w:noWrap/>
            <w:vAlign w:val="center"/>
          </w:tcPr>
          <w:p w14:paraId="571BF942">
            <w:pPr>
              <w:widowControl/>
              <w:jc w:val="center"/>
              <w:rPr>
                <w:rFonts w:ascii="宋体" w:hAnsi="宋体" w:cs="宋体"/>
                <w:color w:val="000000"/>
                <w:kern w:val="0"/>
                <w:sz w:val="18"/>
                <w:szCs w:val="18"/>
              </w:rPr>
            </w:pPr>
            <w:r>
              <w:rPr>
                <w:rFonts w:hint="eastAsia" w:ascii="宋体" w:hAnsi="宋体" w:cs="宋体"/>
                <w:color w:val="000000"/>
                <w:kern w:val="0"/>
                <w:sz w:val="18"/>
                <w:szCs w:val="18"/>
              </w:rPr>
              <w:t>洗洁精</w:t>
            </w:r>
          </w:p>
        </w:tc>
        <w:tc>
          <w:tcPr>
            <w:tcW w:w="603" w:type="dxa"/>
            <w:noWrap/>
            <w:vAlign w:val="center"/>
          </w:tcPr>
          <w:p w14:paraId="5A2F2ADD">
            <w:pPr>
              <w:widowControl/>
              <w:jc w:val="center"/>
              <w:rPr>
                <w:rFonts w:ascii="宋体" w:hAnsi="宋体" w:cs="宋体"/>
                <w:color w:val="000000"/>
                <w:kern w:val="0"/>
                <w:sz w:val="18"/>
                <w:szCs w:val="18"/>
              </w:rPr>
            </w:pPr>
            <w:r>
              <w:rPr>
                <w:rFonts w:hint="eastAsia" w:ascii="宋体" w:hAnsi="宋体" w:cs="宋体"/>
                <w:color w:val="000000"/>
                <w:kern w:val="0"/>
                <w:sz w:val="18"/>
                <w:szCs w:val="18"/>
              </w:rPr>
              <w:t>桶</w:t>
            </w:r>
          </w:p>
        </w:tc>
        <w:tc>
          <w:tcPr>
            <w:tcW w:w="887" w:type="dxa"/>
            <w:noWrap/>
            <w:vAlign w:val="center"/>
          </w:tcPr>
          <w:p w14:paraId="478D962A">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887" w:type="dxa"/>
            <w:noWrap/>
            <w:vAlign w:val="center"/>
          </w:tcPr>
          <w:p w14:paraId="7A80E34D">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250" w:type="dxa"/>
            <w:noWrap/>
            <w:vAlign w:val="center"/>
          </w:tcPr>
          <w:p w14:paraId="1995D0E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45" w:type="dxa"/>
            <w:noWrap/>
            <w:vAlign w:val="center"/>
          </w:tcPr>
          <w:p w14:paraId="3F74A7B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48E9BE3F">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r>
      <w:tr w14:paraId="6769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3227531B">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2764" w:type="dxa"/>
            <w:noWrap/>
            <w:vAlign w:val="center"/>
          </w:tcPr>
          <w:p w14:paraId="2B4F3750">
            <w:pPr>
              <w:widowControl/>
              <w:jc w:val="center"/>
              <w:rPr>
                <w:rFonts w:ascii="宋体" w:hAnsi="宋体" w:cs="宋体"/>
                <w:color w:val="000000"/>
                <w:kern w:val="0"/>
                <w:sz w:val="18"/>
                <w:szCs w:val="18"/>
              </w:rPr>
            </w:pPr>
            <w:r>
              <w:rPr>
                <w:rFonts w:hint="eastAsia" w:ascii="宋体" w:hAnsi="宋体" w:cs="宋体"/>
                <w:color w:val="000000"/>
                <w:kern w:val="0"/>
                <w:sz w:val="18"/>
                <w:szCs w:val="18"/>
              </w:rPr>
              <w:t>洁厕净</w:t>
            </w:r>
          </w:p>
        </w:tc>
        <w:tc>
          <w:tcPr>
            <w:tcW w:w="603" w:type="dxa"/>
            <w:noWrap/>
            <w:vAlign w:val="center"/>
          </w:tcPr>
          <w:p w14:paraId="26C228AF">
            <w:pPr>
              <w:widowControl/>
              <w:jc w:val="center"/>
              <w:rPr>
                <w:rFonts w:ascii="宋体" w:hAnsi="宋体" w:cs="宋体"/>
                <w:color w:val="000000"/>
                <w:kern w:val="0"/>
                <w:sz w:val="18"/>
                <w:szCs w:val="18"/>
              </w:rPr>
            </w:pPr>
            <w:r>
              <w:rPr>
                <w:rFonts w:hint="eastAsia" w:ascii="宋体" w:hAnsi="宋体" w:cs="宋体"/>
                <w:color w:val="000000"/>
                <w:kern w:val="0"/>
                <w:sz w:val="18"/>
                <w:szCs w:val="18"/>
              </w:rPr>
              <w:t>箱</w:t>
            </w:r>
          </w:p>
        </w:tc>
        <w:tc>
          <w:tcPr>
            <w:tcW w:w="887" w:type="dxa"/>
            <w:noWrap/>
            <w:vAlign w:val="center"/>
          </w:tcPr>
          <w:p w14:paraId="233579F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87" w:type="dxa"/>
            <w:noWrap/>
            <w:vAlign w:val="center"/>
          </w:tcPr>
          <w:p w14:paraId="0D0669B1">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250" w:type="dxa"/>
            <w:noWrap/>
            <w:vAlign w:val="center"/>
          </w:tcPr>
          <w:p w14:paraId="6120CE5A">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645" w:type="dxa"/>
            <w:noWrap/>
            <w:vAlign w:val="center"/>
          </w:tcPr>
          <w:p w14:paraId="0B18D10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0B8F7837">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r>
      <w:tr w14:paraId="2492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43EF6363">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2764" w:type="dxa"/>
            <w:noWrap/>
            <w:vAlign w:val="center"/>
          </w:tcPr>
          <w:p w14:paraId="05FE5CE2">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不锈钢光亮剂</w:t>
            </w:r>
          </w:p>
        </w:tc>
        <w:tc>
          <w:tcPr>
            <w:tcW w:w="603" w:type="dxa"/>
            <w:noWrap/>
            <w:vAlign w:val="center"/>
          </w:tcPr>
          <w:p w14:paraId="099E2274">
            <w:pPr>
              <w:widowControl/>
              <w:jc w:val="center"/>
              <w:rPr>
                <w:rFonts w:ascii="宋体" w:hAnsi="宋体" w:cs="宋体"/>
                <w:color w:val="000000"/>
                <w:kern w:val="0"/>
                <w:sz w:val="18"/>
                <w:szCs w:val="18"/>
              </w:rPr>
            </w:pPr>
            <w:r>
              <w:rPr>
                <w:rFonts w:hint="eastAsia" w:ascii="宋体" w:hAnsi="宋体" w:cs="宋体"/>
                <w:color w:val="000000"/>
                <w:kern w:val="0"/>
                <w:sz w:val="18"/>
                <w:szCs w:val="18"/>
              </w:rPr>
              <w:t>桶</w:t>
            </w:r>
          </w:p>
        </w:tc>
        <w:tc>
          <w:tcPr>
            <w:tcW w:w="887" w:type="dxa"/>
            <w:noWrap/>
            <w:vAlign w:val="center"/>
          </w:tcPr>
          <w:p w14:paraId="405CBD3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87" w:type="dxa"/>
            <w:noWrap/>
            <w:vAlign w:val="center"/>
          </w:tcPr>
          <w:p w14:paraId="73DD3A26">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1250" w:type="dxa"/>
            <w:noWrap/>
            <w:vAlign w:val="center"/>
          </w:tcPr>
          <w:p w14:paraId="022E65EE">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45" w:type="dxa"/>
            <w:noWrap/>
            <w:vAlign w:val="center"/>
          </w:tcPr>
          <w:p w14:paraId="739CCF0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189021DF">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14:paraId="43DF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5DD8B099">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2764" w:type="dxa"/>
            <w:noWrap/>
            <w:vAlign w:val="center"/>
          </w:tcPr>
          <w:p w14:paraId="00DCF3DC">
            <w:pPr>
              <w:widowControl/>
              <w:jc w:val="center"/>
              <w:rPr>
                <w:rFonts w:ascii="宋体" w:hAnsi="宋体" w:cs="宋体"/>
                <w:color w:val="000000"/>
                <w:kern w:val="0"/>
                <w:sz w:val="18"/>
                <w:szCs w:val="18"/>
              </w:rPr>
            </w:pPr>
            <w:r>
              <w:rPr>
                <w:rFonts w:hint="eastAsia" w:ascii="宋体" w:hAnsi="宋体" w:cs="宋体"/>
                <w:color w:val="000000"/>
                <w:kern w:val="0"/>
                <w:sz w:val="18"/>
                <w:szCs w:val="18"/>
              </w:rPr>
              <w:t>毛巾</w:t>
            </w:r>
          </w:p>
        </w:tc>
        <w:tc>
          <w:tcPr>
            <w:tcW w:w="603" w:type="dxa"/>
            <w:noWrap/>
            <w:vAlign w:val="center"/>
          </w:tcPr>
          <w:p w14:paraId="78FA987A">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887" w:type="dxa"/>
            <w:noWrap/>
            <w:vAlign w:val="center"/>
          </w:tcPr>
          <w:p w14:paraId="35240EC8">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87" w:type="dxa"/>
            <w:noWrap/>
            <w:vAlign w:val="center"/>
          </w:tcPr>
          <w:p w14:paraId="261CEE84">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1250" w:type="dxa"/>
            <w:noWrap/>
            <w:vAlign w:val="center"/>
          </w:tcPr>
          <w:p w14:paraId="539CEA53">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645" w:type="dxa"/>
            <w:noWrap/>
            <w:vAlign w:val="center"/>
          </w:tcPr>
          <w:p w14:paraId="03DE18A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noWrap/>
            <w:vAlign w:val="center"/>
          </w:tcPr>
          <w:p w14:paraId="5ED2C678">
            <w:pPr>
              <w:widowControl/>
              <w:jc w:val="center"/>
              <w:rPr>
                <w:rFonts w:ascii="宋体" w:hAnsi="宋体" w:cs="宋体"/>
                <w:color w:val="000000"/>
                <w:kern w:val="0"/>
                <w:sz w:val="18"/>
                <w:szCs w:val="18"/>
              </w:rPr>
            </w:pPr>
            <w:r>
              <w:rPr>
                <w:rFonts w:hint="eastAsia" w:ascii="宋体" w:hAnsi="宋体" w:cs="宋体"/>
                <w:color w:val="000000"/>
                <w:kern w:val="0"/>
                <w:sz w:val="18"/>
                <w:szCs w:val="18"/>
              </w:rPr>
              <w:t>170</w:t>
            </w:r>
          </w:p>
        </w:tc>
      </w:tr>
      <w:tr w14:paraId="795C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3" w:type="dxa"/>
            <w:noWrap/>
            <w:vAlign w:val="center"/>
          </w:tcPr>
          <w:p w14:paraId="39A29F3E">
            <w:pPr>
              <w:widowControl/>
              <w:jc w:val="center"/>
              <w:rPr>
                <w:rFonts w:ascii="宋体" w:hAnsi="宋体" w:cs="宋体"/>
                <w:kern w:val="0"/>
                <w:sz w:val="18"/>
                <w:szCs w:val="18"/>
              </w:rPr>
            </w:pPr>
            <w:r>
              <w:rPr>
                <w:rFonts w:hint="eastAsia" w:ascii="宋体" w:hAnsi="宋体" w:cs="宋体"/>
                <w:kern w:val="0"/>
                <w:sz w:val="18"/>
                <w:szCs w:val="18"/>
              </w:rPr>
              <w:t>42</w:t>
            </w:r>
          </w:p>
        </w:tc>
        <w:tc>
          <w:tcPr>
            <w:tcW w:w="2764" w:type="dxa"/>
            <w:noWrap/>
            <w:vAlign w:val="center"/>
          </w:tcPr>
          <w:p w14:paraId="1B21F32B">
            <w:pPr>
              <w:widowControl/>
              <w:jc w:val="center"/>
              <w:rPr>
                <w:rFonts w:ascii="宋体" w:hAnsi="宋体" w:cs="宋体"/>
                <w:kern w:val="0"/>
                <w:sz w:val="18"/>
                <w:szCs w:val="18"/>
              </w:rPr>
            </w:pPr>
            <w:r>
              <w:rPr>
                <w:rFonts w:hint="eastAsia" w:ascii="宋体" w:hAnsi="宋体" w:cs="宋体"/>
                <w:kern w:val="0"/>
                <w:sz w:val="18"/>
                <w:szCs w:val="18"/>
              </w:rPr>
              <w:t>行政楼六楼卷筒纸</w:t>
            </w:r>
          </w:p>
        </w:tc>
        <w:tc>
          <w:tcPr>
            <w:tcW w:w="603" w:type="dxa"/>
            <w:noWrap/>
            <w:vAlign w:val="center"/>
          </w:tcPr>
          <w:p w14:paraId="5F0D65CF">
            <w:pPr>
              <w:widowControl/>
              <w:jc w:val="center"/>
              <w:rPr>
                <w:rFonts w:ascii="宋体" w:hAnsi="宋体" w:cs="宋体"/>
                <w:kern w:val="0"/>
                <w:sz w:val="18"/>
                <w:szCs w:val="18"/>
              </w:rPr>
            </w:pPr>
            <w:r>
              <w:rPr>
                <w:rFonts w:hint="eastAsia" w:ascii="宋体" w:hAnsi="宋体" w:cs="宋体"/>
                <w:kern w:val="0"/>
                <w:sz w:val="18"/>
                <w:szCs w:val="18"/>
              </w:rPr>
              <w:t>卷</w:t>
            </w:r>
          </w:p>
        </w:tc>
        <w:tc>
          <w:tcPr>
            <w:tcW w:w="887" w:type="dxa"/>
            <w:noWrap/>
            <w:vAlign w:val="center"/>
          </w:tcPr>
          <w:p w14:paraId="57F9217E">
            <w:pPr>
              <w:widowControl/>
              <w:jc w:val="center"/>
              <w:rPr>
                <w:rFonts w:ascii="宋体" w:hAnsi="宋体" w:cs="宋体"/>
                <w:kern w:val="0"/>
                <w:sz w:val="18"/>
                <w:szCs w:val="18"/>
              </w:rPr>
            </w:pPr>
            <w:r>
              <w:rPr>
                <w:rFonts w:hint="eastAsia" w:ascii="宋体" w:hAnsi="宋体" w:cs="宋体"/>
                <w:kern w:val="0"/>
                <w:sz w:val="18"/>
                <w:szCs w:val="18"/>
              </w:rPr>
              <w:t>　</w:t>
            </w:r>
          </w:p>
        </w:tc>
        <w:tc>
          <w:tcPr>
            <w:tcW w:w="887" w:type="dxa"/>
            <w:noWrap/>
            <w:vAlign w:val="center"/>
          </w:tcPr>
          <w:p w14:paraId="522B65F8">
            <w:pPr>
              <w:widowControl/>
              <w:jc w:val="center"/>
              <w:rPr>
                <w:rFonts w:ascii="宋体" w:hAnsi="宋体" w:cs="宋体"/>
                <w:kern w:val="0"/>
                <w:sz w:val="18"/>
                <w:szCs w:val="18"/>
              </w:rPr>
            </w:pPr>
            <w:r>
              <w:rPr>
                <w:rFonts w:hint="eastAsia" w:ascii="宋体" w:hAnsi="宋体" w:cs="宋体"/>
                <w:kern w:val="0"/>
                <w:sz w:val="18"/>
                <w:szCs w:val="18"/>
              </w:rPr>
              <w:t>200</w:t>
            </w:r>
          </w:p>
        </w:tc>
        <w:tc>
          <w:tcPr>
            <w:tcW w:w="1250" w:type="dxa"/>
            <w:noWrap/>
            <w:vAlign w:val="center"/>
          </w:tcPr>
          <w:p w14:paraId="56119770">
            <w:pPr>
              <w:widowControl/>
              <w:jc w:val="center"/>
              <w:rPr>
                <w:rFonts w:ascii="宋体" w:hAnsi="宋体" w:cs="宋体"/>
                <w:kern w:val="0"/>
                <w:sz w:val="18"/>
                <w:szCs w:val="18"/>
              </w:rPr>
            </w:pPr>
            <w:r>
              <w:rPr>
                <w:rFonts w:hint="eastAsia" w:ascii="宋体" w:hAnsi="宋体" w:cs="宋体"/>
                <w:kern w:val="0"/>
                <w:sz w:val="18"/>
                <w:szCs w:val="18"/>
              </w:rPr>
              <w:t>　</w:t>
            </w:r>
          </w:p>
        </w:tc>
        <w:tc>
          <w:tcPr>
            <w:tcW w:w="645" w:type="dxa"/>
            <w:noWrap/>
            <w:vAlign w:val="center"/>
          </w:tcPr>
          <w:p w14:paraId="613D31D5">
            <w:pPr>
              <w:widowControl/>
              <w:jc w:val="center"/>
              <w:rPr>
                <w:rFonts w:ascii="宋体" w:hAnsi="宋体" w:cs="宋体"/>
                <w:kern w:val="0"/>
                <w:sz w:val="18"/>
                <w:szCs w:val="18"/>
              </w:rPr>
            </w:pPr>
            <w:r>
              <w:rPr>
                <w:rFonts w:hint="eastAsia" w:ascii="宋体" w:hAnsi="宋体" w:cs="宋体"/>
                <w:kern w:val="0"/>
                <w:sz w:val="18"/>
                <w:szCs w:val="18"/>
              </w:rPr>
              <w:t>　</w:t>
            </w:r>
          </w:p>
        </w:tc>
        <w:tc>
          <w:tcPr>
            <w:tcW w:w="750" w:type="dxa"/>
            <w:noWrap/>
            <w:vAlign w:val="center"/>
          </w:tcPr>
          <w:p w14:paraId="7D1C96E4">
            <w:pPr>
              <w:widowControl/>
              <w:jc w:val="center"/>
              <w:rPr>
                <w:rFonts w:ascii="宋体" w:hAnsi="宋体" w:cs="宋体"/>
                <w:kern w:val="0"/>
                <w:sz w:val="18"/>
                <w:szCs w:val="18"/>
              </w:rPr>
            </w:pPr>
            <w:r>
              <w:rPr>
                <w:rFonts w:hint="eastAsia" w:ascii="宋体" w:hAnsi="宋体" w:cs="宋体"/>
                <w:kern w:val="0"/>
                <w:sz w:val="18"/>
                <w:szCs w:val="18"/>
              </w:rPr>
              <w:t>200</w:t>
            </w:r>
          </w:p>
        </w:tc>
      </w:tr>
    </w:tbl>
    <w:p w14:paraId="330BF646">
      <w:pPr>
        <w:rPr>
          <w:rFonts w:hint="eastAsia" w:ascii="宋体" w:hAnsi="宋体" w:eastAsia="宋体" w:cs="宋体"/>
          <w:b/>
          <w:sz w:val="21"/>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兰亭黑_GBK">
    <w:altName w:val="方正黑体_GBK"/>
    <w:panose1 w:val="02000000000000000000"/>
    <w:charset w:val="00"/>
    <w:family w:val="script"/>
    <w:pitch w:val="default"/>
    <w:sig w:usb0="00000000" w:usb1="00000000" w:usb2="0008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79470"/>
    <w:multiLevelType w:val="singleLevel"/>
    <w:tmpl w:val="84579470"/>
    <w:lvl w:ilvl="0" w:tentative="0">
      <w:start w:val="1"/>
      <w:numFmt w:val="decimal"/>
      <w:lvlText w:val="(%1)"/>
      <w:lvlJc w:val="left"/>
      <w:pPr>
        <w:ind w:left="425" w:hanging="425"/>
      </w:pPr>
      <w:rPr>
        <w:rFonts w:hint="default"/>
      </w:rPr>
    </w:lvl>
  </w:abstractNum>
  <w:abstractNum w:abstractNumId="1">
    <w:nsid w:val="B6427193"/>
    <w:multiLevelType w:val="singleLevel"/>
    <w:tmpl w:val="B6427193"/>
    <w:lvl w:ilvl="0" w:tentative="0">
      <w:start w:val="1"/>
      <w:numFmt w:val="decimal"/>
      <w:lvlText w:val="%1."/>
      <w:lvlJc w:val="left"/>
      <w:pPr>
        <w:ind w:left="425" w:hanging="425"/>
      </w:pPr>
      <w:rPr>
        <w:rFonts w:hint="default"/>
      </w:rPr>
    </w:lvl>
  </w:abstractNum>
  <w:abstractNum w:abstractNumId="2">
    <w:nsid w:val="BCC9E6DD"/>
    <w:multiLevelType w:val="singleLevel"/>
    <w:tmpl w:val="BCC9E6DD"/>
    <w:lvl w:ilvl="0" w:tentative="0">
      <w:start w:val="1"/>
      <w:numFmt w:val="decimal"/>
      <w:suff w:val="nothing"/>
      <w:lvlText w:val="（%1）"/>
      <w:lvlJc w:val="left"/>
    </w:lvl>
  </w:abstractNum>
  <w:abstractNum w:abstractNumId="3">
    <w:nsid w:val="C2106F0B"/>
    <w:multiLevelType w:val="singleLevel"/>
    <w:tmpl w:val="C2106F0B"/>
    <w:lvl w:ilvl="0" w:tentative="0">
      <w:start w:val="1"/>
      <w:numFmt w:val="decimal"/>
      <w:suff w:val="nothing"/>
      <w:lvlText w:val="（%1）"/>
      <w:lvlJc w:val="left"/>
    </w:lvl>
  </w:abstractNum>
  <w:abstractNum w:abstractNumId="4">
    <w:nsid w:val="00000018"/>
    <w:multiLevelType w:val="multilevel"/>
    <w:tmpl w:val="0000001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C37885"/>
    <w:multiLevelType w:val="multilevel"/>
    <w:tmpl w:val="03C378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8ECE770"/>
    <w:multiLevelType w:val="singleLevel"/>
    <w:tmpl w:val="08ECE770"/>
    <w:lvl w:ilvl="0" w:tentative="0">
      <w:start w:val="1"/>
      <w:numFmt w:val="decimal"/>
      <w:lvlText w:val="(%1)"/>
      <w:lvlJc w:val="left"/>
      <w:pPr>
        <w:ind w:left="425" w:hanging="425"/>
      </w:pPr>
      <w:rPr>
        <w:rFonts w:hint="default"/>
      </w:rPr>
    </w:lvl>
  </w:abstractNum>
  <w:abstractNum w:abstractNumId="7">
    <w:nsid w:val="114B4647"/>
    <w:multiLevelType w:val="singleLevel"/>
    <w:tmpl w:val="114B4647"/>
    <w:lvl w:ilvl="0" w:tentative="0">
      <w:start w:val="1"/>
      <w:numFmt w:val="decimalEnclosedCircleChinese"/>
      <w:suff w:val="nothing"/>
      <w:lvlText w:val="%1　"/>
      <w:lvlJc w:val="left"/>
      <w:pPr>
        <w:ind w:left="0" w:firstLine="400"/>
      </w:pPr>
      <w:rPr>
        <w:rFonts w:hint="eastAsia"/>
      </w:rPr>
    </w:lvl>
  </w:abstractNum>
  <w:abstractNum w:abstractNumId="8">
    <w:nsid w:val="167A36E8"/>
    <w:multiLevelType w:val="singleLevel"/>
    <w:tmpl w:val="167A36E8"/>
    <w:lvl w:ilvl="0" w:tentative="0">
      <w:start w:val="1"/>
      <w:numFmt w:val="decimal"/>
      <w:lvlText w:val="(%1)"/>
      <w:lvlJc w:val="left"/>
      <w:pPr>
        <w:ind w:left="425" w:hanging="425"/>
      </w:pPr>
      <w:rPr>
        <w:rFonts w:hint="default"/>
      </w:rPr>
    </w:lvl>
  </w:abstractNum>
  <w:abstractNum w:abstractNumId="9">
    <w:nsid w:val="1BF8A12C"/>
    <w:multiLevelType w:val="singleLevel"/>
    <w:tmpl w:val="1BF8A12C"/>
    <w:lvl w:ilvl="0" w:tentative="0">
      <w:start w:val="1"/>
      <w:numFmt w:val="decimal"/>
      <w:lvlText w:val="(%1)"/>
      <w:lvlJc w:val="left"/>
      <w:pPr>
        <w:ind w:left="425" w:hanging="425"/>
      </w:pPr>
      <w:rPr>
        <w:rFonts w:hint="default"/>
      </w:rPr>
    </w:lvl>
  </w:abstractNum>
  <w:abstractNum w:abstractNumId="10">
    <w:nsid w:val="1E3D4437"/>
    <w:multiLevelType w:val="multilevel"/>
    <w:tmpl w:val="1E3D4437"/>
    <w:lvl w:ilvl="0" w:tentative="0">
      <w:start w:val="1"/>
      <w:numFmt w:val="chineseCountingThousand"/>
      <w:lvlText w:val="（%1）"/>
      <w:lvlJc w:val="left"/>
      <w:pPr>
        <w:ind w:left="125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8DE7639"/>
    <w:multiLevelType w:val="multilevel"/>
    <w:tmpl w:val="28DE7639"/>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2A344AFB"/>
    <w:multiLevelType w:val="multilevel"/>
    <w:tmpl w:val="2A344AFB"/>
    <w:lvl w:ilvl="0" w:tentative="0">
      <w:start w:val="1"/>
      <w:numFmt w:val="decimal"/>
      <w:lvlText w:val="（%1）"/>
      <w:lvlJc w:val="left"/>
      <w:pPr>
        <w:ind w:left="900" w:hanging="420"/>
      </w:pPr>
      <w:rPr>
        <w:rFonts w:hint="default" w:ascii="Times New Roman" w:hAnsi="Times New Roman" w:cs="Times New Roman"/>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321A0EBD"/>
    <w:multiLevelType w:val="singleLevel"/>
    <w:tmpl w:val="321A0EBD"/>
    <w:lvl w:ilvl="0" w:tentative="0">
      <w:start w:val="1"/>
      <w:numFmt w:val="chineseCounting"/>
      <w:suff w:val="nothing"/>
      <w:lvlText w:val="（%1）"/>
      <w:lvlJc w:val="left"/>
      <w:pPr>
        <w:ind w:left="0" w:firstLine="420"/>
      </w:pPr>
      <w:rPr>
        <w:rFonts w:hint="eastAsia"/>
      </w:rPr>
    </w:lvl>
  </w:abstractNum>
  <w:abstractNum w:abstractNumId="14">
    <w:nsid w:val="36C68389"/>
    <w:multiLevelType w:val="singleLevel"/>
    <w:tmpl w:val="36C68389"/>
    <w:lvl w:ilvl="0" w:tentative="0">
      <w:start w:val="1"/>
      <w:numFmt w:val="decimal"/>
      <w:lvlText w:val="(%1)"/>
      <w:lvlJc w:val="left"/>
      <w:pPr>
        <w:ind w:left="425" w:hanging="425"/>
      </w:pPr>
      <w:rPr>
        <w:rFonts w:hint="default"/>
      </w:rPr>
    </w:lvl>
  </w:abstractNum>
  <w:abstractNum w:abstractNumId="15">
    <w:nsid w:val="5BA213BD"/>
    <w:multiLevelType w:val="multilevel"/>
    <w:tmpl w:val="5BA213BD"/>
    <w:lvl w:ilvl="0" w:tentative="0">
      <w:start w:val="1"/>
      <w:numFmt w:val="bullet"/>
      <w:lvlText w:val="-"/>
      <w:lvlJc w:val="left"/>
      <w:pPr>
        <w:ind w:left="420" w:hanging="420"/>
      </w:pPr>
      <w:rPr>
        <w:rFonts w:hint="eastAsia" w:ascii="宋体" w:hAnsi="宋体" w:eastAsia="宋体"/>
        <w:b w:val="0"/>
        <w:i w:val="0"/>
        <w:color w:val="7F7F7F"/>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F256630"/>
    <w:multiLevelType w:val="multilevel"/>
    <w:tmpl w:val="5F256630"/>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6750250D"/>
    <w:multiLevelType w:val="singleLevel"/>
    <w:tmpl w:val="6750250D"/>
    <w:lvl w:ilvl="0" w:tentative="0">
      <w:start w:val="1"/>
      <w:numFmt w:val="decimal"/>
      <w:suff w:val="nothing"/>
      <w:lvlText w:val="（%1）"/>
      <w:lvlJc w:val="left"/>
    </w:lvl>
  </w:abstractNum>
  <w:abstractNum w:abstractNumId="18">
    <w:nsid w:val="6BE9EC69"/>
    <w:multiLevelType w:val="singleLevel"/>
    <w:tmpl w:val="6BE9EC69"/>
    <w:lvl w:ilvl="0" w:tentative="0">
      <w:start w:val="1"/>
      <w:numFmt w:val="decimal"/>
      <w:lvlText w:val="(%1)"/>
      <w:lvlJc w:val="left"/>
      <w:pPr>
        <w:ind w:left="425" w:hanging="425"/>
      </w:pPr>
      <w:rPr>
        <w:rFonts w:hint="default"/>
      </w:rPr>
    </w:lvl>
  </w:abstractNum>
  <w:num w:numId="1">
    <w:abstractNumId w:val="1"/>
  </w:num>
  <w:num w:numId="2">
    <w:abstractNumId w:val="4"/>
  </w:num>
  <w:num w:numId="3">
    <w:abstractNumId w:val="13"/>
  </w:num>
  <w:num w:numId="4">
    <w:abstractNumId w:val="10"/>
  </w:num>
  <w:num w:numId="5">
    <w:abstractNumId w:val="16"/>
  </w:num>
  <w:num w:numId="6">
    <w:abstractNumId w:val="5"/>
  </w:num>
  <w:num w:numId="7">
    <w:abstractNumId w:val="12"/>
  </w:num>
  <w:num w:numId="8">
    <w:abstractNumId w:val="15"/>
  </w:num>
  <w:num w:numId="9">
    <w:abstractNumId w:val="14"/>
  </w:num>
  <w:num w:numId="10">
    <w:abstractNumId w:val="11"/>
  </w:num>
  <w:num w:numId="11">
    <w:abstractNumId w:val="8"/>
  </w:num>
  <w:num w:numId="12">
    <w:abstractNumId w:val="9"/>
  </w:num>
  <w:num w:numId="13">
    <w:abstractNumId w:val="18"/>
  </w:num>
  <w:num w:numId="14">
    <w:abstractNumId w:val="6"/>
  </w:num>
  <w:num w:numId="15">
    <w:abstractNumId w:val="0"/>
  </w:num>
  <w:num w:numId="16">
    <w:abstractNumId w:val="3"/>
  </w:num>
  <w:num w:numId="17">
    <w:abstractNumId w:val="17"/>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M2NmOWViMzgzYjA3YmI3NTY5ZWFiNzdiOWNiZTEifQ=="/>
  </w:docVars>
  <w:rsids>
    <w:rsidRoot w:val="001C31E9"/>
    <w:rsid w:val="04B3326C"/>
    <w:rsid w:val="0A014251"/>
    <w:rsid w:val="0BD61DA9"/>
    <w:rsid w:val="116925D7"/>
    <w:rsid w:val="1299771C"/>
    <w:rsid w:val="169555C6"/>
    <w:rsid w:val="19BF63DE"/>
    <w:rsid w:val="1ABA160A"/>
    <w:rsid w:val="23B412E0"/>
    <w:rsid w:val="25E164BA"/>
    <w:rsid w:val="269B74AD"/>
    <w:rsid w:val="27975986"/>
    <w:rsid w:val="2C8D0061"/>
    <w:rsid w:val="2CF15F47"/>
    <w:rsid w:val="2EDD56FF"/>
    <w:rsid w:val="2F1FDE19"/>
    <w:rsid w:val="30526765"/>
    <w:rsid w:val="32E941D6"/>
    <w:rsid w:val="36BC6514"/>
    <w:rsid w:val="37CD63E9"/>
    <w:rsid w:val="3A1A6DE3"/>
    <w:rsid w:val="423E04AF"/>
    <w:rsid w:val="45731E92"/>
    <w:rsid w:val="49B15F43"/>
    <w:rsid w:val="4BA15224"/>
    <w:rsid w:val="4EA61A5E"/>
    <w:rsid w:val="4F3E5BD6"/>
    <w:rsid w:val="4FFAF18E"/>
    <w:rsid w:val="50D86ED8"/>
    <w:rsid w:val="56363FCC"/>
    <w:rsid w:val="5ABF14EF"/>
    <w:rsid w:val="5CE7687A"/>
    <w:rsid w:val="5F3514BA"/>
    <w:rsid w:val="63B4148E"/>
    <w:rsid w:val="66B6356E"/>
    <w:rsid w:val="66F61A4D"/>
    <w:rsid w:val="6B8005EE"/>
    <w:rsid w:val="6F800BBD"/>
    <w:rsid w:val="73910471"/>
    <w:rsid w:val="7698272D"/>
    <w:rsid w:val="76AC7B4F"/>
    <w:rsid w:val="770A2636"/>
    <w:rsid w:val="77B61824"/>
    <w:rsid w:val="7DC73E5B"/>
    <w:rsid w:val="7F9C7C91"/>
    <w:rsid w:val="7FD94922"/>
    <w:rsid w:val="7FDD0AA0"/>
    <w:rsid w:val="AF9C4112"/>
    <w:rsid w:val="BB7A928D"/>
    <w:rsid w:val="BF1D888F"/>
    <w:rsid w:val="C8BBA527"/>
    <w:rsid w:val="EFE3B61A"/>
    <w:rsid w:val="F7CCE69D"/>
    <w:rsid w:val="FF39EE86"/>
    <w:rsid w:val="FFFE8A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7">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0" w:firstLine="2560"/>
    </w:pPr>
    <w:rPr>
      <w:rFonts w:ascii="Times New Roman" w:hAnsi="Times New Roman" w:cs="Times New Roman"/>
    </w:rPr>
  </w:style>
  <w:style w:type="paragraph" w:styleId="6">
    <w:name w:val="Normal Indent"/>
    <w:basedOn w:val="1"/>
    <w:next w:val="1"/>
    <w:qFormat/>
    <w:uiPriority w:val="0"/>
    <w:pPr>
      <w:ind w:left="420" w:firstLine="4772"/>
    </w:pPr>
  </w:style>
  <w:style w:type="paragraph" w:styleId="7">
    <w:name w:val="annotation text"/>
    <w:basedOn w:val="1"/>
    <w:qFormat/>
    <w:uiPriority w:val="0"/>
    <w:pPr>
      <w:jc w:val="left"/>
    </w:pPr>
  </w:style>
  <w:style w:type="paragraph" w:styleId="8">
    <w:name w:val="Body Text Indent"/>
    <w:basedOn w:val="1"/>
    <w:unhideWhenUsed/>
    <w:qFormat/>
    <w:uiPriority w:val="99"/>
    <w:pPr>
      <w:spacing w:after="120"/>
      <w:ind w:left="420" w:leftChars="200"/>
    </w:pPr>
    <w:rPr>
      <w:kern w:val="0"/>
      <w:sz w:val="20"/>
      <w:szCs w:val="20"/>
    </w:rPr>
  </w:style>
  <w:style w:type="paragraph" w:styleId="9">
    <w:name w:val="Plain Text"/>
    <w:basedOn w:val="1"/>
    <w:qFormat/>
    <w:uiPriority w:val="0"/>
    <w:rPr>
      <w:rFonts w:ascii="宋体"/>
      <w:szCs w:val="20"/>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List"/>
    <w:basedOn w:val="1"/>
    <w:qFormat/>
    <w:uiPriority w:val="0"/>
    <w:pPr>
      <w:ind w:left="200" w:hanging="200" w:hangingChars="200"/>
    </w:pPr>
    <w:rPr>
      <w:rFonts w:ascii="Times New Roman" w:hAnsi="Times New Roman"/>
      <w:szCs w:val="24"/>
    </w:rPr>
  </w:style>
  <w:style w:type="paragraph" w:styleId="14">
    <w:name w:val="annotation subject"/>
    <w:basedOn w:val="7"/>
    <w:next w:val="7"/>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annotation reference"/>
    <w:qFormat/>
    <w:uiPriority w:val="0"/>
    <w:rPr>
      <w:sz w:val="21"/>
      <w:szCs w:val="21"/>
    </w:rPr>
  </w:style>
  <w:style w:type="paragraph" w:styleId="20">
    <w:name w:val="List Paragraph"/>
    <w:basedOn w:val="1"/>
    <w:qFormat/>
    <w:uiPriority w:val="0"/>
    <w:pPr>
      <w:ind w:firstLine="200" w:firstLineChars="200"/>
    </w:pPr>
  </w:style>
  <w:style w:type="character" w:customStyle="1" w:styleId="21">
    <w:name w:val="font11"/>
    <w:qFormat/>
    <w:uiPriority w:val="0"/>
    <w:rPr>
      <w:rFonts w:ascii="宋体" w:eastAsia="宋体" w:cs="宋体"/>
      <w:color w:val="000000"/>
      <w:sz w:val="21"/>
      <w:szCs w:val="21"/>
      <w:u w:val="none"/>
      <w:lang w:bidi="ar-SA"/>
    </w:rPr>
  </w:style>
  <w:style w:type="character" w:customStyle="1" w:styleId="22">
    <w:name w:val="font21"/>
    <w:qFormat/>
    <w:uiPriority w:val="0"/>
    <w:rPr>
      <w:rFonts w:ascii="Times New Roman" w:hAnsi="Times New Roman" w:cs="Times New Roman"/>
      <w:color w:val="000000"/>
      <w:sz w:val="21"/>
      <w:szCs w:val="21"/>
      <w:u w:val="none"/>
      <w:lang w:bidi="ar-SA"/>
    </w:rPr>
  </w:style>
  <w:style w:type="character" w:customStyle="1" w:styleId="23">
    <w:name w:val="font41"/>
    <w:qFormat/>
    <w:uiPriority w:val="0"/>
    <w:rPr>
      <w:rFonts w:ascii="宋体" w:eastAsia="宋体" w:cs="宋体"/>
      <w:color w:val="000000"/>
      <w:sz w:val="21"/>
      <w:szCs w:val="21"/>
      <w:u w:val="single"/>
      <w:lang w:bidi="ar-SA"/>
    </w:rPr>
  </w:style>
  <w:style w:type="character" w:customStyle="1" w:styleId="24">
    <w:name w:val="font31"/>
    <w:qFormat/>
    <w:uiPriority w:val="0"/>
    <w:rPr>
      <w:rFonts w:ascii="宋体" w:eastAsia="宋体" w:cs="宋体"/>
      <w:color w:val="000000"/>
      <w:sz w:val="21"/>
      <w:szCs w:val="21"/>
      <w:u w:val="none"/>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14952</Words>
  <Characters>15425</Characters>
  <TotalTime>5</TotalTime>
  <ScaleCrop>false</ScaleCrop>
  <LinksUpToDate>false</LinksUpToDate>
  <CharactersWithSpaces>16000</CharactersWithSpaces>
  <Application>WPS Office_12.8.2.18605_F1E327BC-269C-435d-A152-05C5408002CA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2024-03-22T17:35:00Z</dcterms:created>
  <dc:creator>未定义</dc:creator>
  <cp:lastModifiedBy>乐乐乐</cp:lastModifiedBy>
  <cp:lastPrinted>2025-05-21T16:32:00Z</cp:lastPrinted>
  <dcterms:modified xsi:type="dcterms:W3CDTF">2025-08-19T09:17:56Z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7E6E38D1685644069A2ADB47734FEC7F_13</vt:lpwstr>
  </property>
  <property fmtid="{D5CDD505-2E9C-101B-9397-08002B2CF9AE}" pid="4" name="KSOTemplateDocerSaveRecord">
    <vt:lpwstr>eyJoZGlkIjoiMmNkZDNiZDNiZTQzYzkyNzVhNzI1NjcxYTBiMDk4NjgiLCJ1c2VySWQiOiIxNDU1MzYxODY3In0=</vt:lpwstr>
  </property>
</Properties>
</file>