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bCs/>
          <w:sz w:val="28"/>
          <w:szCs w:val="22"/>
        </w:rPr>
      </w:pPr>
      <w:r>
        <w:rPr>
          <w:rFonts w:hint="eastAsia"/>
          <w:b/>
          <w:bCs/>
          <w:sz w:val="28"/>
          <w:szCs w:val="22"/>
        </w:rPr>
        <w:t>上海市普陀区人民法院审判业务管理系统（</w:t>
      </w:r>
      <w:r>
        <w:rPr>
          <w:b/>
          <w:bCs/>
          <w:sz w:val="28"/>
          <w:szCs w:val="22"/>
        </w:rPr>
        <w:t>2025年升级改造）</w:t>
      </w:r>
    </w:p>
    <w:p>
      <w:pPr>
        <w:ind w:firstLine="0" w:firstLineChars="0"/>
        <w:jc w:val="center"/>
        <w:rPr>
          <w:b/>
          <w:bCs/>
          <w:sz w:val="22"/>
          <w:szCs w:val="20"/>
        </w:rPr>
      </w:pPr>
      <w:r>
        <w:rPr>
          <w:rFonts w:hint="eastAsia"/>
          <w:b/>
          <w:bCs/>
          <w:sz w:val="28"/>
          <w:szCs w:val="22"/>
          <w:lang w:eastAsia="zh-CN"/>
        </w:rPr>
        <w:t>采购</w:t>
      </w:r>
      <w:r>
        <w:rPr>
          <w:rFonts w:hint="eastAsia"/>
          <w:b/>
          <w:bCs/>
          <w:sz w:val="28"/>
          <w:szCs w:val="22"/>
        </w:rPr>
        <w:t>需求</w:t>
      </w:r>
    </w:p>
    <w:p>
      <w:pPr>
        <w:pStyle w:val="3"/>
      </w:pPr>
      <w:r>
        <w:rPr>
          <w:rFonts w:hint="eastAsia"/>
        </w:rPr>
        <w:t>建设背景</w:t>
      </w:r>
    </w:p>
    <w:p>
      <w:pPr>
        <w:ind w:firstLine="480"/>
      </w:pPr>
      <w:r>
        <w:t>2014年最高人民法院又下发了《人民法院科技审判法庭系统建设规范》，对于地方各级人民法院新建、扩建、改建的审判法庭做出了进一步的规范要求。2015年3月上海高院《上海法院高清审判法庭庭审系统建设规范》，对原有标清科技法院进行升级改造。</w:t>
      </w:r>
    </w:p>
    <w:p>
      <w:pPr>
        <w:ind w:firstLine="480"/>
      </w:pPr>
      <w:r>
        <w:t>2021年5月底，最高人民法院下发《科技法庭信息化建设规范》，对法庭建设进一步进行全方位指导完善，提出了科技法庭对视频支持的要求。</w:t>
      </w:r>
    </w:p>
    <w:p>
      <w:pPr>
        <w:ind w:firstLine="480"/>
      </w:pPr>
      <w:r>
        <w:rPr>
          <w:rFonts w:hint="eastAsia"/>
        </w:rPr>
        <w:t>根据《最高人民法院关于印发〈人民法院远程视频提讯系统建设和对接技术要求〉和〈人民法院远程视频提讯系统使用管理办法〉的通知》标准，为提高刑事案件办案质量和效率，节约司法资源，缓解看守所监管工作压力，人民法院利用现代化信息技术，通过科技法庭设备和远程音视频传输设备等，实现审判人员在审判法庭（提讯室）对在看守所内的被告人开展远程视频提讯、视频审讯、视频庭审、视频质证等司法审判活动。</w:t>
      </w:r>
    </w:p>
    <w:p>
      <w:pPr>
        <w:pStyle w:val="3"/>
      </w:pPr>
      <w:r>
        <w:rPr>
          <w:rFonts w:hint="eastAsia"/>
        </w:rPr>
        <w:t>建设内容</w:t>
      </w:r>
    </w:p>
    <w:p>
      <w:pPr>
        <w:ind w:firstLine="480"/>
      </w:pPr>
      <w:r>
        <w:rPr>
          <w:rFonts w:hint="eastAsia"/>
        </w:rPr>
        <w:t>改造</w:t>
      </w:r>
      <w:r>
        <w:t>7个科技法庭及2间远程提讯室，更换相关信息化设备及布线重新改造。</w:t>
      </w:r>
    </w:p>
    <w:p>
      <w:pPr>
        <w:ind w:firstLine="480"/>
      </w:pPr>
      <w:r>
        <w:t>7个科技法庭：包括一间刑事法庭、一间行政庭和5间民事法庭，涉及视频采集处理系统、听说音频采集扩声系统、法官辅助系统、高清示证系统、法庭公告屏及其他配套设施。</w:t>
      </w:r>
    </w:p>
    <w:p>
      <w:pPr>
        <w:ind w:firstLine="480"/>
      </w:pPr>
      <w:r>
        <w:t>2间远程提讯室：更换2间远程提讯室（本部和看守所端）远程提讯主机、摄像机、界面话筒、矩阵切换器、智能语音识别主机及其他配套设施。</w:t>
      </w:r>
    </w:p>
    <w:p>
      <w:pPr>
        <w:pStyle w:val="3"/>
      </w:pPr>
      <w:r>
        <w:rPr>
          <w:rFonts w:hint="eastAsia"/>
        </w:rPr>
        <w:t>建设总体要求</w:t>
      </w:r>
    </w:p>
    <w:p>
      <w:pPr>
        <w:ind w:firstLine="480"/>
      </w:pPr>
      <w:r>
        <w:rPr>
          <w:rFonts w:hint="eastAsia"/>
        </w:rPr>
        <w:t>上海法院的业务应用系统已经在上海市数据资源平台和公共赋能平台的基础上，遵照最高院、上海法院业务流程体系和标准规范体系框架，按照“统一门户集成、统一用户管理、统一接入管理、统一授权管理、统一安全防护、统一资源管理”等六个统一的要求。</w:t>
      </w:r>
      <w:r>
        <w:t xml:space="preserve"> </w:t>
      </w:r>
    </w:p>
    <w:p>
      <w:pPr>
        <w:ind w:firstLine="480"/>
      </w:pPr>
      <w:r>
        <w:rPr>
          <w:rFonts w:hint="eastAsia"/>
        </w:rPr>
        <w:t>统一门户集成：本次项目须通过上海法院单点登录模块作为唯一的系统入口，采用符合上海法院现有单点登录的身份验证机制和</w:t>
      </w:r>
      <w:r>
        <w:t>API接口要求。项目中的定制开发界面和调用的第三方产品功能页面的设计风格、样式、操作习惯等均需与上海法院现有应用系统保持一致。</w:t>
      </w:r>
    </w:p>
    <w:p>
      <w:pPr>
        <w:ind w:firstLine="480"/>
      </w:pPr>
      <w:r>
        <w:rPr>
          <w:rFonts w:hint="eastAsia"/>
        </w:rPr>
        <w:t>统一授权管理：本次项目须使用上海法院现有权限管理体系管理维护应用系统资源操作权限，实现各类信息资源访问控制的管理维护，分配和管理用户与角色针对资源数据的访问权限。</w:t>
      </w:r>
    </w:p>
    <w:p>
      <w:pPr>
        <w:ind w:firstLine="480"/>
      </w:pPr>
      <w:r>
        <w:rPr>
          <w:rFonts w:hint="eastAsia"/>
        </w:rPr>
        <w:t>统一用户管理：本次项目须使用上海法院现有的组织机构和用户管理功能，不得另建组织机构和用户管理功能。须以</w:t>
      </w:r>
      <w:r>
        <w:t>API接口方式动态获取用户数据，获取的用户数据不得落地存储。</w:t>
      </w:r>
    </w:p>
    <w:p>
      <w:pPr>
        <w:ind w:firstLine="480"/>
      </w:pPr>
      <w:r>
        <w:rPr>
          <w:rFonts w:hint="eastAsia"/>
        </w:rPr>
        <w:t>统一接入管理：上海法院在系统整合改造过程中，建设了基于微服务架构的上海法院应用系统开发、运行、管理和维护体系，建立了统一的数据标准、接口访问标准等标准体系，提供了各类主流数据和组件访问接口，包含统一数据交换平台等。本次项目建设过程中，须最大化复用已有的各类业务、技术标准和业务功能组件，系统已经实现的功能原则上直接调用，不得重复建设。</w:t>
      </w:r>
    </w:p>
    <w:p>
      <w:pPr>
        <w:ind w:firstLine="480"/>
      </w:pPr>
      <w:r>
        <w:rPr>
          <w:rFonts w:hint="eastAsia"/>
        </w:rPr>
        <w:t>统一安全防护：审计信息集中统一管理，实现各类操作、数据访问等日志数据的记录和查询管理；依托上海法院已有的密码机、数据加密存储等资源实现关键数据的安全防护涉及的底层密码算法；系统建设完成后符合等级保护要求并通过系统测评。</w:t>
      </w:r>
    </w:p>
    <w:p>
      <w:pPr>
        <w:ind w:firstLine="480"/>
      </w:pPr>
      <w:r>
        <w:rPr>
          <w:rFonts w:hint="eastAsia"/>
        </w:rPr>
        <w:t>统一资源管理：与现有应用系统实现统一的数据资源管理，保证数据在全上海法院的唯一性，实现一次录入、全面共享，一次变动、实时同步；统一系统运行资源，应用系统运行在上海大数据中心云服务器上，须支持上海法院已有的国产化操作系统、数据库、中间件等平台软件；应用系统须支持上海法院的微服务应用开发体系，定制开发模块与现有应用系统集中部署；应用系统和产品页面须支持在上海法院现有的国产化终端计算机操作系统、浏览器、办公软件、电子签章软件环境上等运行。</w:t>
      </w:r>
    </w:p>
    <w:p>
      <w:pPr>
        <w:pStyle w:val="3"/>
      </w:pPr>
      <w:r>
        <w:rPr>
          <w:rFonts w:hint="eastAsia"/>
        </w:rPr>
        <w:t>系统建设清单</w:t>
      </w:r>
    </w:p>
    <w:tbl>
      <w:tblPr>
        <w:tblStyle w:val="11"/>
        <w:tblW w:w="50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1514"/>
        <w:gridCol w:w="5747"/>
        <w:gridCol w:w="487"/>
        <w:gridCol w:w="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序号</w:t>
            </w:r>
          </w:p>
        </w:tc>
        <w:tc>
          <w:tcPr>
            <w:tcW w:w="8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名称</w:t>
            </w:r>
          </w:p>
        </w:tc>
        <w:tc>
          <w:tcPr>
            <w:tcW w:w="330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技术指标要求</w:t>
            </w:r>
          </w:p>
        </w:tc>
        <w:tc>
          <w:tcPr>
            <w:tcW w:w="28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数量</w:t>
            </w:r>
          </w:p>
        </w:tc>
        <w:tc>
          <w:tcPr>
            <w:tcW w:w="28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高清录播工作站</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不低于如下参数要求：高清庭审主机，具备8寸触控显示屏，支持8路高清1080P SDI摄像机或4K网络摄像机接入，H.265/H.264编码，支持多画面合成，支持双光盘同步刻录，含两个DVD刻录机，含2T硬盘；支持21路音频输入、5路音频输出；支持4路DVI输入、6路HDMI输入及8路DVI输出、5路HDMI输出；支持6路红外控制、6路RS232控制、8路RS485控制；支持语音激励及智能分析功能</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高清摄像机</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详见“重要产品技术指标要求”</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32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3</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数字音频处理器</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详见“重要产品技术指标要求”</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4</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桌面会议话筒</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不低于如下参数要求：单体：背极式驻极体</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指向性：超心形</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頻率回应：50Hz-16KHz</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灵敏度：-42dB±3dB/（0dB=1V/Paat1KHz)</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最大声压级:132dB（at1kHz≦1%T.H.D)</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65</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5</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立杆话筒</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不低于如下参数要求：立杆话筒</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换能方式： 电容式</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指向性： 超心型指向</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频率响应：30Hz-20kHz</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输出阻坑：75Ω</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灵敏度： -43dB±2dB</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供电电压： DC11V-50V(10MA)幻象电源</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6</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数字功放</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不低于如下参数要求：数字功放</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输入电压AC220V/50HZ</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承载功率8Ω300Wx2</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承载功率4Ω500Wx2</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桥接单声8Ω1000W@8Ω</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频率响应10HZ～20KHZ(+/-1dB)</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失真/THD≦0.2%</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信噪比/S/N:&gt;100dB</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吸顶音箱</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不低于如下参数要求：吸顶音箱</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高音单元19mm×1(0.75×1Inch)</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低频单元6.5""布边折环，低失真,准平板扬声器</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频率响应65Hz-20kHz</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标称阻抗8Ω</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功率60W～120W</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灵敏度91dB/W/m</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标称覆盖角90°圆锥覆盖</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类型专门定制的低失真叠片铁芯，宽频段设计</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30</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8</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电源控制器</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不低于如下参数要求：电源控制器</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支持书记员电脑开机自启功能,书记员电脑关机自关功能。</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铝面板，配有输出电压、电流实时显示</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共十路可控八路电源输出，每路可达30A</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可控输出延时时间为1S</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继电器受控输出最大承受单路功率/总功率(无功功率）:6000W/10000W最大承受无功功率</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单路独立开关功能:支持面板设定某通道关闭与打开</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功能显示电压显示表类型:点阵显示功能操作，支持电压显示</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中控控制接口：232控制，I/O口控制</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9</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庭审助手触摸显示器</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不低于如下参数要求：庭审助手触摸显示器</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23.8寸、10点电容屏、16:9宽屏电容屏、分辨率1920*1080、HDMI</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40</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10</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庭审助手显示器</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不低于如下参数要求：庭审助手显示器</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23.8英寸，AH-IPS面板，1920*1080P，16:9，100Hz，HDMI*2，音频输出</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11</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法官当事人庭审助手终端</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不低于如下参数要求：单路8核2.7GHz，8G,256GSSD硬盘,1G独显</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37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12</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高清示证系统显示器</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不低于如下参数要求：65寸，4K（3840*2160）</w:t>
            </w:r>
            <w:r>
              <w:rPr>
                <w:rFonts w:hint="eastAsia" w:ascii="等线" w:hAnsi="等线" w:eastAsia="等线" w:cs="等线"/>
                <w:i w:val="0"/>
                <w:iCs w:val="0"/>
                <w:color w:val="000000"/>
                <w:kern w:val="0"/>
                <w:sz w:val="21"/>
                <w:szCs w:val="21"/>
                <w:u w:val="none"/>
                <w:lang w:val="en-US" w:eastAsia="zh-CN" w:bidi="ar"/>
                <w14:ligatures w14:val="none"/>
              </w:rPr>
              <w:br w:type="textWrapping"/>
            </w:r>
            <w:r>
              <w:rPr>
                <w:rFonts w:hint="eastAsia" w:ascii="等线" w:hAnsi="等线" w:eastAsia="等线" w:cs="等线"/>
                <w:i w:val="0"/>
                <w:iCs w:val="0"/>
                <w:color w:val="000000"/>
                <w:kern w:val="0"/>
                <w:sz w:val="21"/>
                <w:szCs w:val="21"/>
                <w:u w:val="none"/>
                <w:lang w:val="en-US" w:eastAsia="zh-CN" w:bidi="ar"/>
                <w14:ligatures w14:val="none"/>
              </w:rPr>
              <w:t>含支架</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4</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13</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高清矩阵</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不低于如下参数要求：16路HDMI信号输入；16路HDMI信号输出；</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14</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高清多媒体播放器</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不低于如下参数要求：蓝光DVD，输入端口：USB、HDMI；读取光盘格式：DVD、CD、VCD等</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15</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高拍仪</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不低于如下参数要求：高拍仪2700万高清像素 A3/A4高速高清</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16</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信息公告发布屏</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不低于如下参数要求：信息公告发布屏</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1.显示屏：10.1英寸</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2.分辨率：1920*1200</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3.触摸屏：电容屏，多点式触摸</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17</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庭审交换机</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不低于如下参数要求：L2以太网交换机主机,支持24个10/100/1000BASE-T电口,4个1G/10GBASE-XSFP+端口-1台</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18</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光纤模块</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不低于如下参数要求：光纤模块</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光模块-SFP-GE-多模模块-(850nm,0.55km,LC)</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14</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19</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机柜</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不低于如下参数要求：标准机柜600*600，与书记员电脑桌等高</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7</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20</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HDMI</w:t>
            </w:r>
            <w:r>
              <w:rPr>
                <w:rStyle w:val="22"/>
                <w:lang w:val="en-US" w:eastAsia="zh-CN" w:bidi="ar"/>
              </w:rPr>
              <w:t>矩阵切换器</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不低于如下参数要求：HDMI矩阵切换器</w:t>
            </w:r>
            <w:r>
              <w:rPr>
                <w:rFonts w:hint="eastAsia" w:ascii="等线" w:hAnsi="等线" w:eastAsia="等线" w:cs="等线"/>
                <w:i w:val="0"/>
                <w:iCs w:val="0"/>
                <w:color w:val="000000"/>
                <w:kern w:val="0"/>
                <w:sz w:val="21"/>
                <w:szCs w:val="21"/>
                <w:u w:val="none"/>
                <w:lang w:val="en-US" w:eastAsia="zh-CN" w:bidi="ar"/>
                <w14:ligatures w14:val="none"/>
              </w:rPr>
              <w:br w:type="textWrapping"/>
            </w:r>
            <w:r>
              <w:rPr>
                <w:rFonts w:hint="eastAsia" w:ascii="等线" w:hAnsi="等线" w:eastAsia="等线" w:cs="等线"/>
                <w:i w:val="0"/>
                <w:iCs w:val="0"/>
                <w:color w:val="000000"/>
                <w:kern w:val="0"/>
                <w:sz w:val="21"/>
                <w:szCs w:val="21"/>
                <w:u w:val="none"/>
                <w:lang w:val="en-US" w:eastAsia="zh-CN" w:bidi="ar"/>
                <w14:ligatures w14:val="none"/>
              </w:rPr>
              <w:t>4进4出混合矩阵切换器，4个HDMI输入口，4个HDMI输出口，1个CONSOLE口</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21</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远程提讯摄像机</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详见“重要产品技术指标要求”</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22</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界面话筒</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不低于如下参数要求：音视频会议全向麦克风，内置回声消除AEC、自动增益AGC以及噪声抑制ANS，360°拾音麦克风星型阵列</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23</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高清录播工作站</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none"/>
              </w:rPr>
              <w:t>详见“重要产品技术指标要求”</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5</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24</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数字签名板</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不低于如下参数要求：压感级别：512级；速写速度：200点/秒以上；手写区域：5英寸</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9</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25</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智能语音识别庭审应用音频采集系统</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不低于如下参数要求：智能语音识别庭审应用音频采集系统</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包括法庭内音频采集及处理设备</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26</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高灵敏度拾音器</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不低于如下参数要求：监听面积:10平方米-100平方米</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频率响应:20Hz ～ 20kHz</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灵敏度:-38dB（1 kHz@94dB SPL）</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信噪比:80dB（1 kHz@94dB SPL）</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指向特性:全指向</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动态范围:80dB（1 kHz@94dB SPL）</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声道:立体声</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音频处理:EQ、AGC</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27</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高清同录主机</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不低于如下参数要求：高清同录主机，具备7寸触控显示屏，支持6路高清1080P/30f SDI摄像机，支持多画面合成，支持双光盘同步刻录，含两个DVD刻录机，含2T硬盘；支持14路音频输入、4路音频输出；支持6路VGA输入、1路HDMI输入及10路VGA输出、2路HDMI输出；支持2路红外控制、4路RS232控制、4路RS485控制。</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28</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高清示证系统显示器</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不低于如下参数要求：55寸，4K（3840*2160）</w:t>
            </w:r>
            <w:r>
              <w:rPr>
                <w:rFonts w:hint="eastAsia" w:ascii="等线" w:hAnsi="等线" w:eastAsia="等线" w:cs="等线"/>
                <w:i w:val="0"/>
                <w:iCs w:val="0"/>
                <w:color w:val="000000"/>
                <w:kern w:val="0"/>
                <w:sz w:val="21"/>
                <w:szCs w:val="21"/>
                <w:u w:val="none"/>
                <w:lang w:val="en-US" w:eastAsia="zh-CN" w:bidi="ar"/>
                <w14:ligatures w14:val="none"/>
              </w:rPr>
              <w:br w:type="textWrapping"/>
            </w:r>
            <w:r>
              <w:rPr>
                <w:rFonts w:hint="eastAsia" w:ascii="等线" w:hAnsi="等线" w:eastAsia="等线" w:cs="等线"/>
                <w:i w:val="0"/>
                <w:iCs w:val="0"/>
                <w:color w:val="000000"/>
                <w:kern w:val="0"/>
                <w:sz w:val="21"/>
                <w:szCs w:val="21"/>
                <w:u w:val="none"/>
                <w:lang w:val="en-US" w:eastAsia="zh-CN" w:bidi="ar"/>
                <w14:ligatures w14:val="none"/>
              </w:rPr>
              <w:t>含支架</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10</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29</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庭审公告屏显示软件部署</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庭审公告屏显示软件部署</w:t>
            </w:r>
            <w:r>
              <w:rPr>
                <w:rFonts w:hint="eastAsia" w:ascii="宋体" w:hAnsi="宋体" w:cs="宋体"/>
                <w:i w:val="0"/>
                <w:iCs w:val="0"/>
                <w:color w:val="000000"/>
                <w:kern w:val="0"/>
                <w:sz w:val="21"/>
                <w:szCs w:val="21"/>
                <w:u w:val="none"/>
                <w:lang w:val="en-US" w:eastAsia="zh-CN" w:bidi="ar"/>
                <w14:ligatures w14:val="none"/>
              </w:rPr>
              <w:t>，</w:t>
            </w:r>
            <w:r>
              <w:rPr>
                <w:rFonts w:hint="eastAsia" w:ascii="宋体" w:hAnsi="宋体" w:eastAsia="宋体" w:cs="宋体"/>
                <w:i w:val="0"/>
                <w:iCs w:val="0"/>
                <w:color w:val="000000"/>
                <w:kern w:val="0"/>
                <w:sz w:val="21"/>
                <w:szCs w:val="21"/>
                <w:u w:val="none"/>
                <w:lang w:val="en-US" w:eastAsia="zh-CN" w:bidi="ar"/>
                <w14:ligatures w14:val="none"/>
              </w:rPr>
              <w:t>滚动显示该法庭当天审理所有案件信息，当前审理案件的排期、法庭纪律</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5</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30</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高清庭审信息管理系统许可</w:t>
            </w:r>
          </w:p>
        </w:tc>
        <w:tc>
          <w:tcPr>
            <w:tcW w:w="33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高清庭审信息管理系统许可</w:t>
            </w:r>
            <w:r>
              <w:rPr>
                <w:rFonts w:hint="eastAsia" w:ascii="宋体" w:hAnsi="宋体" w:eastAsia="宋体" w:cs="宋体"/>
                <w:i w:val="0"/>
                <w:iCs w:val="0"/>
                <w:color w:val="000000"/>
                <w:kern w:val="0"/>
                <w:sz w:val="21"/>
                <w:szCs w:val="21"/>
                <w:u w:val="none"/>
                <w:lang w:val="en-US" w:eastAsia="zh-CN" w:bidi="ar"/>
                <w14:ligatures w14:val="none"/>
              </w:rPr>
              <w:br w:type="textWrapping"/>
            </w:r>
            <w:r>
              <w:rPr>
                <w:rFonts w:hint="eastAsia" w:ascii="宋体" w:hAnsi="宋体" w:eastAsia="宋体" w:cs="宋体"/>
                <w:i w:val="0"/>
                <w:iCs w:val="0"/>
                <w:color w:val="000000"/>
                <w:kern w:val="0"/>
                <w:sz w:val="21"/>
                <w:szCs w:val="21"/>
                <w:u w:val="none"/>
                <w:lang w:val="en-US" w:eastAsia="zh-CN" w:bidi="ar"/>
                <w14:ligatures w14:val="none"/>
              </w:rPr>
              <w:t>庭审及书记员软件</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5</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31</w:t>
            </w:r>
          </w:p>
        </w:tc>
        <w:tc>
          <w:tcPr>
            <w:tcW w:w="871"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庭审智能辅助对接服务许可</w:t>
            </w:r>
          </w:p>
        </w:tc>
        <w:tc>
          <w:tcPr>
            <w:tcW w:w="330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庭审智能辅助对接服务</w:t>
            </w:r>
          </w:p>
        </w:tc>
        <w:tc>
          <w:tcPr>
            <w:tcW w:w="280"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none"/>
              </w:rPr>
              <w:t>5</w:t>
            </w:r>
          </w:p>
        </w:tc>
        <w:tc>
          <w:tcPr>
            <w:tcW w:w="282"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none"/>
              </w:rPr>
              <w:t>套</w:t>
            </w:r>
          </w:p>
        </w:tc>
      </w:tr>
    </w:tbl>
    <w:p>
      <w:pPr>
        <w:ind w:left="0" w:leftChars="0" w:firstLine="0" w:firstLineChars="0"/>
      </w:pPr>
    </w:p>
    <w:p>
      <w:pPr>
        <w:pStyle w:val="3"/>
      </w:pPr>
      <w:r>
        <w:rPr>
          <w:rFonts w:hint="eastAsia"/>
        </w:rPr>
        <w:t>重要产品技术指标要求</w:t>
      </w:r>
    </w:p>
    <w:p>
      <w:pPr>
        <w:pStyle w:val="4"/>
      </w:pPr>
      <w:r>
        <w:rPr>
          <w:rFonts w:hint="eastAsia"/>
        </w:rPr>
        <w:t>高清录播工作站</w:t>
      </w:r>
    </w:p>
    <w:p>
      <w:pPr>
        <w:ind w:firstLine="480"/>
      </w:pPr>
      <w:r>
        <w:t>1.应采用一体化嵌入式架构及嵌入式操作系统，集成音视频矩阵、编解码、智能分析等模块，具有画面合成、混音录像、视音频存储、光盘刻录加密、音视频智能处理等功能。</w:t>
      </w:r>
    </w:p>
    <w:p>
      <w:pPr>
        <w:ind w:firstLine="480"/>
      </w:pPr>
      <w:r>
        <w:t>2.应支持6路SDI输入， 6路HDMI输入，4路DVI视频输入，6路DVI视频输出，3路HDMI输出。</w:t>
      </w:r>
    </w:p>
    <w:p>
      <w:pPr>
        <w:ind w:firstLine="480"/>
      </w:pPr>
      <w:r>
        <w:t>3.应支持2路100M/1000M自适应网口，支持双网隔离，网络容错，负载均衡。</w:t>
      </w:r>
    </w:p>
    <w:p>
      <w:pPr>
        <w:ind w:firstLine="480"/>
      </w:pPr>
      <w:r>
        <w:t>4.应支持12*Mic in幻象输入、4*line in，支持3*line out、2*XLR out。</w:t>
      </w:r>
    </w:p>
    <w:p>
      <w:pPr>
        <w:ind w:firstLine="480"/>
      </w:pPr>
      <w:r>
        <w:rPr>
          <w:rFonts w:hint="eastAsia"/>
        </w:rPr>
        <w:t>▲</w:t>
      </w:r>
      <w:r>
        <w:t>5.应支持4路RS485控制接口，6路RS232控制接口，应支持4路红外输出，1路红外接收，2路告警输入，2路告警输出</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t>6.应支持4个SATA接口，单块硬盘最大支持8T。</w:t>
      </w:r>
    </w:p>
    <w:p>
      <w:pPr>
        <w:ind w:firstLine="480"/>
      </w:pPr>
      <w:r>
        <w:rPr>
          <w:rFonts w:hint="eastAsia"/>
        </w:rPr>
        <w:t>▲</w:t>
      </w:r>
      <w:r>
        <w:t>7.内置8寸电容触控屏，支持实时显示通道状态、刻录/录制状态、USB接入状态、视频画面、光盘/硬盘总容量及已使用容量、刻录剩余时长、异常告警信息、CPU内存占用率、网络情况等。</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t>8.应内置双DVD刻录光驱，支持光驱热插拔，支持便捷拆卸光驱，可实现在不拆设备机箱的情况下更换光驱。</w:t>
      </w:r>
    </w:p>
    <w:p>
      <w:pPr>
        <w:ind w:firstLine="480"/>
      </w:pPr>
      <w:r>
        <w:rPr>
          <w:rFonts w:hint="eastAsia"/>
        </w:rPr>
        <w:t>▲</w:t>
      </w:r>
      <w:r>
        <w:t>9.视频应支持H.264和H.265编码，支持4K、2K、1080P、720P、D1图像分辨率前端接入，并进入合成画面。</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t>10.应支持6路IP摄像机（H.264或H.265摄像机）和SDI摄像机的混合接入。</w:t>
      </w:r>
    </w:p>
    <w:p>
      <w:pPr>
        <w:ind w:firstLine="480"/>
      </w:pPr>
      <w:r>
        <w:t>11.应支持大画面，1大1小，2等分，1大2小，4等分，1大4小，1大5小，1大7小，9等分等12种合成画面风格可选，可同时接入9路通道参与合成。</w:t>
      </w:r>
    </w:p>
    <w:p>
      <w:pPr>
        <w:ind w:firstLine="480"/>
      </w:pPr>
      <w:r>
        <w:t>12.应支持2路独立示证编码并参与合成，支持HDMI、DVI两种信号，支持两路证据编码独立录像，可同时将两路证据画面加入到合成画面中。</w:t>
      </w:r>
    </w:p>
    <w:p>
      <w:pPr>
        <w:ind w:firstLine="480"/>
      </w:pPr>
      <w:r>
        <w:t>13.应支持调节合成画面尺寸，支持4K、2K、1080P、720P、D1分辨率编码，合成画面帧率支持30fps、45fps和60fps可设置。</w:t>
      </w:r>
    </w:p>
    <w:p>
      <w:pPr>
        <w:ind w:firstLine="480"/>
      </w:pPr>
      <w:r>
        <w:t>14.应支持断电续刻/续录功能，设备刻录过程中断电重启后，刻录机仍继续执行刻录任务。</w:t>
      </w:r>
    </w:p>
    <w:p>
      <w:pPr>
        <w:ind w:firstLine="480"/>
      </w:pPr>
      <w:r>
        <w:t>15.应支持对多种视频智能分析（证人保护、庭纪监督、区域看防、视频诊断、异常行为检测、姿态检测）的算法进行详细的参数配置，支持视频窗口绘制待检测区域。支持自定义配置算法别名。支持自动抓拍保存报警图片，并可通过客户端对抓拍的图片进行查看，报警图片可叠加目标框信息。支持通过客户端查看报警前后录像。</w:t>
      </w:r>
    </w:p>
    <w:p>
      <w:pPr>
        <w:ind w:firstLine="480"/>
      </w:pPr>
      <w:r>
        <w:t>16.应支持对指定区域内秩序不规范检测，如迟到、早退、中途离席、缺席、检察官制服不规范检测，准确率不低于95%。支持在视频图像中设定检测区域，当有人员进入、逗留、离开均会产生告警信息，准确率不低于95%。支持对视频图像全画面的清晰度、偏色、曝光、视频干扰、遮挡、视频丢失指标进行检测。</w:t>
      </w:r>
    </w:p>
    <w:p>
      <w:pPr>
        <w:pStyle w:val="4"/>
        <w:rPr>
          <w:rFonts w:hint="eastAsia"/>
        </w:rPr>
      </w:pPr>
      <w:r>
        <w:rPr>
          <w:rFonts w:hint="eastAsia"/>
        </w:rPr>
        <w:t>高清摄像机</w:t>
      </w:r>
    </w:p>
    <w:p>
      <w:pPr>
        <w:ind w:firstLine="480"/>
      </w:pPr>
      <w:r>
        <w:rPr>
          <w:rFonts w:hint="eastAsia"/>
        </w:rPr>
        <w:t>设备应采用</w:t>
      </w:r>
      <w:r>
        <w:t>1/1.8英寸200万像素高性能传感器</w:t>
      </w:r>
    </w:p>
    <w:p>
      <w:pPr>
        <w:ind w:firstLine="480"/>
      </w:pPr>
      <w:r>
        <w:rPr>
          <w:rFonts w:hint="eastAsia"/>
        </w:rPr>
        <w:t>设备最低照度支持</w:t>
      </w:r>
      <w:r>
        <w:t>0.001lx(F=1.2,AGC ON,彩色模式），能基本分辨被摄目标的轮廓特征和色彩，支持0.0001lx(F=1.2,AGC ON,黑白模式）。</w:t>
      </w:r>
    </w:p>
    <w:p>
      <w:pPr>
        <w:ind w:firstLine="480"/>
      </w:pPr>
      <w:r>
        <w:rPr>
          <w:rFonts w:hint="eastAsia"/>
        </w:rPr>
        <w:t>设备应该支持</w:t>
      </w:r>
      <w:r>
        <w:t>12倍光学变倍，内置f=5.3mm~63.6mm，F=1.6~2.8电动变焦镜头</w:t>
      </w:r>
    </w:p>
    <w:p>
      <w:pPr>
        <w:ind w:firstLine="480"/>
      </w:pPr>
      <w:r>
        <w:rPr>
          <w:rFonts w:hint="eastAsia"/>
        </w:rPr>
        <w:t>当环境照度低于一定值时，通过补光照射，可基本分辨距离</w:t>
      </w:r>
      <w:r>
        <w:t>80米处所摄目标的轮廓及状态</w:t>
      </w:r>
    </w:p>
    <w:p>
      <w:pPr>
        <w:ind w:firstLine="480"/>
      </w:pPr>
      <w:r>
        <w:rPr>
          <w:rFonts w:hint="eastAsia"/>
        </w:rPr>
        <w:t>设备支持</w:t>
      </w:r>
      <w:r>
        <w:t>H.265、H.264编码格式；可将H.264格式设置Baseline/Main/High Profile</w:t>
      </w:r>
    </w:p>
    <w:p>
      <w:pPr>
        <w:ind w:firstLine="480"/>
      </w:pPr>
      <w:r>
        <w:rPr>
          <w:rFonts w:hint="eastAsia"/>
        </w:rPr>
        <w:t>设备图像分辨率尺寸满足</w:t>
      </w:r>
      <w:r>
        <w:t>1920×1080，帧率满足30fps</w:t>
      </w:r>
    </w:p>
    <w:p>
      <w:pPr>
        <w:ind w:firstLine="480"/>
      </w:pPr>
      <w:r>
        <w:rPr>
          <w:rFonts w:hint="eastAsia"/>
        </w:rPr>
        <w:t>▲支持三码流并发输出：可达到主码流</w:t>
      </w:r>
      <w:r>
        <w:t>1920×1080，帧率30帧/秒；第一辅码流704×576，帧率30帧/秒；第二辅码流1080×720，帧率30帧/秒</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rPr>
          <w:rFonts w:hint="eastAsia"/>
        </w:rPr>
        <w:t>设备宽动态范围不小于</w:t>
      </w:r>
      <w:r>
        <w:t>120dB</w:t>
      </w:r>
    </w:p>
    <w:p>
      <w:pPr>
        <w:ind w:firstLine="480"/>
      </w:pPr>
      <w:r>
        <w:rPr>
          <w:rFonts w:hint="eastAsia"/>
        </w:rPr>
        <w:t>设备具有强光抑制功能，透雾，可以开启或关闭</w:t>
      </w:r>
    </w:p>
    <w:p>
      <w:pPr>
        <w:ind w:firstLine="480"/>
      </w:pPr>
      <w:r>
        <w:rPr>
          <w:rFonts w:hint="eastAsia"/>
        </w:rPr>
        <w:t>设备应具有心跳机制，能按</w:t>
      </w:r>
      <w:r>
        <w:t>SNMP管理协议已固定时间间隔（可调整设置且不大于300秒）发送和接收设备状态信息</w:t>
      </w:r>
    </w:p>
    <w:p>
      <w:pPr>
        <w:ind w:firstLine="480"/>
      </w:pPr>
      <w:r>
        <w:rPr>
          <w:rFonts w:hint="eastAsia"/>
        </w:rPr>
        <w:t>设备支持感兴趣区域</w:t>
      </w:r>
      <w:r>
        <w:t>(ROI)设置功能，支持一个区域的ROI编码，区域大小可设置，支持开启和关闭该功能，默认关闭，编码等级高、中、低可选；支持区域遮盖功能，支持在画面上设置4个矩形区域，遮蔽区域可以设置不同颜色；支持开启和关闭该功能，默认关闭</w:t>
      </w:r>
    </w:p>
    <w:p>
      <w:pPr>
        <w:ind w:firstLine="480"/>
      </w:pPr>
      <w:r>
        <w:rPr>
          <w:rFonts w:hint="eastAsia"/>
        </w:rPr>
        <w:t>设备应支持警戒线穿越、区域入侵、区域离开、人员聚集、音频异常侦测、移动侦测等智能分析功能。</w:t>
      </w:r>
    </w:p>
    <w:p>
      <w:pPr>
        <w:ind w:firstLine="480"/>
      </w:pPr>
      <w:r>
        <w:rPr>
          <w:rFonts w:hint="eastAsia"/>
        </w:rPr>
        <w:t>设备宜扩展支持</w:t>
      </w:r>
      <w:r>
        <w:t>SIP、RTSP、RTP、RTCP等网络协议</w:t>
      </w:r>
    </w:p>
    <w:p>
      <w:pPr>
        <w:ind w:firstLine="480"/>
      </w:pPr>
      <w:r>
        <w:rPr>
          <w:rFonts w:hint="eastAsia"/>
        </w:rPr>
        <w:t>设备应具备</w:t>
      </w:r>
      <w:r>
        <w:t>1×RJ45、1×LineIn、1×LineOut、1路内置MIC、1路HD-SDI输出、2×开关量报警输入、1×开关量报警输出、1×RS485、1×TF卡插槽（内置）。</w:t>
      </w:r>
    </w:p>
    <w:p>
      <w:pPr>
        <w:ind w:firstLine="480"/>
      </w:pPr>
      <w:r>
        <w:rPr>
          <w:rFonts w:hint="eastAsia"/>
        </w:rPr>
        <w:t>设备应具备</w:t>
      </w:r>
      <w:r>
        <w:t>IP66防护等级及IK10的防暴等级，在-40°的低温及+70°的高温下都运行正常。</w:t>
      </w:r>
    </w:p>
    <w:p>
      <w:pPr>
        <w:ind w:firstLine="480"/>
      </w:pPr>
      <w:r>
        <w:rPr>
          <w:rFonts w:hint="eastAsia"/>
        </w:rPr>
        <w:t>设备应能满足在</w:t>
      </w:r>
      <w:r>
        <w:t>AC24V±10%宽电压环境下正常工作，设备应支持POE功能。</w:t>
      </w:r>
    </w:p>
    <w:p>
      <w:pPr>
        <w:pStyle w:val="4"/>
      </w:pPr>
      <w:r>
        <w:rPr>
          <w:rFonts w:hint="eastAsia"/>
        </w:rPr>
        <w:t>数字音频处理器</w:t>
      </w:r>
    </w:p>
    <w:p>
      <w:pPr>
        <w:ind w:firstLine="480"/>
      </w:pPr>
      <w:r>
        <w:rPr>
          <w:rFonts w:hint="eastAsia"/>
        </w:rPr>
        <w:t>▲</w:t>
      </w:r>
      <w:r>
        <w:t>1.设备具备总容量20*17规模的矩阵混音能力，支持所有音频通道之间任意混音。</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t>2.支持≥16路模拟输入通道，≥16路模拟输出通道。</w:t>
      </w:r>
    </w:p>
    <w:p>
      <w:pPr>
        <w:ind w:firstLine="480"/>
      </w:pPr>
      <w:r>
        <w:t>3.DSP信号处理采样频率:48kHZ、量化精度~24bit。</w:t>
      </w:r>
    </w:p>
    <w:p>
      <w:pPr>
        <w:ind w:firstLine="480"/>
      </w:pPr>
      <w:r>
        <w:rPr>
          <w:rFonts w:hint="eastAsia"/>
        </w:rPr>
        <w:t>▲</w:t>
      </w:r>
      <w:r>
        <w:t>4.动态范围:&gt;115dB 。</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t>5.频响范围 (土0.5dB):20Hz~20kHz。</w:t>
      </w:r>
    </w:p>
    <w:p>
      <w:pPr>
        <w:ind w:firstLine="480"/>
      </w:pPr>
      <w:r>
        <w:t xml:space="preserve"> 6.总谐波失真:0.01%。</w:t>
      </w:r>
    </w:p>
    <w:p>
      <w:pPr>
        <w:ind w:firstLine="480"/>
      </w:pPr>
      <w:r>
        <w:t xml:space="preserve"> 7.具备压缩、扩展、噪声门、自动噪声抑制、峰值限幅、自动增益）、增益共享自动混音(AMC)、回声消除（AEC）、高通/低通滤波，参量均衡、延时、分频控制等音频信号处理功能。</w:t>
      </w:r>
    </w:p>
    <w:p>
      <w:pPr>
        <w:ind w:firstLine="480"/>
      </w:pPr>
      <w:r>
        <w:t>8.16通道反馈抑制器支持8个反馈抑制频点数量，支持自动扫描啸叫频点。</w:t>
      </w:r>
    </w:p>
    <w:p>
      <w:pPr>
        <w:ind w:firstLine="480"/>
      </w:pPr>
      <w:r>
        <w:t>9.支持网络音频调度管理平台软件管理，编辑矩阵切换、混音、音效处理预案，支持预案数量≥16个，支持对接集中控制系统通过调取预案实现快速音频控制。</w:t>
      </w:r>
    </w:p>
    <w:p>
      <w:pPr>
        <w:pStyle w:val="4"/>
        <w:rPr>
          <w:rFonts w:hint="eastAsia"/>
        </w:rPr>
      </w:pPr>
      <w:r>
        <w:rPr>
          <w:rFonts w:hint="eastAsia"/>
        </w:rPr>
        <w:t>摄像机</w:t>
      </w:r>
    </w:p>
    <w:p>
      <w:pPr>
        <w:ind w:firstLine="480"/>
      </w:pPr>
      <w:r>
        <w:t>1、全功能USB接口，兼容USB3.0、USB2.0，支持音频，支持编码输出，支持UVC v1.1~1.5协议。</w:t>
      </w:r>
    </w:p>
    <w:p>
      <w:pPr>
        <w:ind w:firstLine="480"/>
      </w:pPr>
      <w:r>
        <w:t>2、高品质1/2.8英寸、207万有效像素的高品质HD CMOS传感器，可实现最大1920x1080高分辨率的优质图像。</w:t>
      </w:r>
    </w:p>
    <w:p>
      <w:pPr>
        <w:ind w:firstLine="480"/>
      </w:pPr>
      <w:r>
        <w:rPr>
          <w:rFonts w:hint="eastAsia"/>
        </w:rPr>
        <w:t>▲</w:t>
      </w:r>
      <w:r>
        <w:t>3、支持1920x1080P/60HZ，1920x1080P/30HZ，1280x720P/60HZ，1280x720P/50HZ等多种分辨率。</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rPr>
          <w:rFonts w:hint="eastAsia"/>
        </w:rPr>
        <w:t>▲</w:t>
      </w:r>
      <w:r>
        <w:t>4、镜头广角度≥72.5°，光学变焦≥12倍，数字变焦≥16倍。</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t>5、超高性噪比的全新CMOS图像传感器可有效降低在低照度情况下的图像噪声，同时应用2D和3D降噪算法，大幅降低了图像噪声，即便是超低照度情况下，依然保持画面干净清晰，图像信噪比高达55dB以上。</w:t>
      </w:r>
    </w:p>
    <w:p>
      <w:pPr>
        <w:ind w:firstLine="480"/>
      </w:pPr>
      <w:r>
        <w:t>6、有线网络支持PoE供电，控制、供电、视频和音频仅需一条网线即可完成。</w:t>
      </w:r>
    </w:p>
    <w:p>
      <w:pPr>
        <w:ind w:firstLine="480"/>
      </w:pPr>
      <w:r>
        <w:t>7、多种控制方式，使用RS232，RS485、网络以及USB，对摄像机进行控制。</w:t>
      </w:r>
    </w:p>
    <w:p>
      <w:pPr>
        <w:ind w:firstLine="480"/>
      </w:pPr>
      <w:r>
        <w:t>8、输出H.264码流支持Slice和SVC编码模式，适应高端USB会议视频应用。</w:t>
      </w:r>
    </w:p>
    <w:p>
      <w:pPr>
        <w:ind w:firstLine="480"/>
      </w:pPr>
      <w:r>
        <w:t>9、同时支持两路码流输出 (YUY2、MJPEG、H.264任两路)，减轻主机编解码压力。</w:t>
      </w:r>
    </w:p>
    <w:p>
      <w:pPr>
        <w:ind w:firstLine="480"/>
      </w:pPr>
      <w:r>
        <w:rPr>
          <w:rFonts w:hint="eastAsia"/>
        </w:rPr>
        <w:t>▲</w:t>
      </w:r>
      <w:r>
        <w:t>10、支持HMDI、USB3.0、网络输出接口，三路可同时输出1080P视频。</w:t>
      </w:r>
      <w:r>
        <w:rPr>
          <w:rFonts w:hint="eastAsia"/>
        </w:rPr>
        <w:t>（需提供产品界面截图、产品彩页、产品说明书、产品白皮书</w:t>
      </w:r>
      <w:r>
        <w:rPr>
          <w:rFonts w:hint="eastAsia"/>
          <w:lang w:eastAsia="zh-CN"/>
        </w:rPr>
        <w:t>或具有CMA标识的第三方检测报告</w:t>
      </w:r>
      <w:r>
        <w:rPr>
          <w:rFonts w:hint="eastAsia"/>
        </w:rPr>
        <w:t>等证明材料）</w:t>
      </w:r>
    </w:p>
    <w:p>
      <w:pPr>
        <w:ind w:firstLine="480"/>
      </w:pPr>
      <w:r>
        <w:t xml:space="preserve">11、同时支持USB 5V供电，12V电源适配器供电和PoE供电。 </w:t>
      </w:r>
    </w:p>
    <w:p>
      <w:pPr>
        <w:pStyle w:val="3"/>
      </w:pPr>
      <w:r>
        <w:t>系统对接、数据接口要求</w:t>
      </w:r>
    </w:p>
    <w:p>
      <w:pPr>
        <w:ind w:firstLine="480"/>
      </w:pPr>
      <w:r>
        <w:rPr>
          <w:rFonts w:hint="eastAsia"/>
        </w:rPr>
        <w:t>本次采购项目中提供的专用设备（含配套）与上海市普陀区人民法院现有业务系统须进行对接服务，实现上海市普陀区人民法院高清庭审各项功能及数据之间多种类型</w:t>
      </w:r>
      <w:r>
        <w:rPr>
          <w:rFonts w:hint="eastAsia"/>
          <w:lang w:eastAsia="zh-CN"/>
        </w:rPr>
        <w:t>交互</w:t>
      </w:r>
      <w:r>
        <w:rPr>
          <w:rFonts w:hint="eastAsia"/>
        </w:rPr>
        <w:t>、处理、查询及应用。</w:t>
      </w:r>
    </w:p>
    <w:p>
      <w:pPr>
        <w:pStyle w:val="3"/>
      </w:pPr>
      <w:r>
        <w:t>实施人员要求</w:t>
      </w:r>
    </w:p>
    <w:p>
      <w:pPr>
        <w:ind w:firstLine="480"/>
      </w:pPr>
      <w:r>
        <w:rPr>
          <w:rFonts w:hint="eastAsia"/>
        </w:rPr>
        <w:t>本项目技术环境复杂，且涉及多单位部门的协调，因此要求项目组成员具有很强的组织协调能力，应考虑本项目的复杂程度及实施要求，合理配置项目实施团队，具体要求如下：</w:t>
      </w:r>
    </w:p>
    <w:p>
      <w:pPr>
        <w:ind w:firstLine="480"/>
      </w:pPr>
      <w:r>
        <w:t>1.要求明确实施团队的组织架构及各成员的分工职责；</w:t>
      </w:r>
    </w:p>
    <w:p>
      <w:pPr>
        <w:ind w:firstLine="480"/>
      </w:pPr>
      <w:r>
        <w:t>2.要求项目经理、项目组成员，需要是与成交供应商签订正式劳动关系的员工，需提供项目人员最近一季度任意一个月的社保缴费证明。</w:t>
      </w:r>
    </w:p>
    <w:p>
      <w:pPr>
        <w:ind w:firstLine="480"/>
      </w:pPr>
      <w:r>
        <w:t>3.项目经理要求：成交供应商应优先选派具备以下资质或能力的人员作为项目经理，要求包括且不限于：具有本科及以上学位；具有高级工程师证书；具有 10 年以上从业经历；至少担任过一个类似本项目的项目经理业绩。</w:t>
      </w:r>
    </w:p>
    <w:p>
      <w:pPr>
        <w:ind w:firstLine="480"/>
      </w:pPr>
      <w:r>
        <w:t>4.项目组成员要求：为保证项目顺利实施，供应商选派的人员应具备以下资质或能力，包括且不限于：信息系统项目管理师，系统集成项目管理工程师</w:t>
      </w:r>
      <w:r>
        <w:rPr>
          <w:rFonts w:hint="eastAsia"/>
          <w:lang w:eastAsia="zh-CN"/>
        </w:rPr>
        <w:t>等</w:t>
      </w:r>
      <w:r>
        <w:t>。</w:t>
      </w:r>
    </w:p>
    <w:p>
      <w:pPr>
        <w:pStyle w:val="3"/>
      </w:pPr>
      <w:r>
        <w:t>售后服务要求</w:t>
      </w:r>
    </w:p>
    <w:p>
      <w:pPr>
        <w:ind w:firstLine="480"/>
        <w:rPr>
          <w:rFonts w:hint="eastAsia"/>
          <w:lang w:eastAsia="zh-CN"/>
        </w:rPr>
      </w:pPr>
      <w:r>
        <w:rPr>
          <w:rFonts w:hint="eastAsia"/>
          <w:lang w:eastAsia="zh-CN"/>
        </w:rPr>
        <w:t>提供自系统验收通过之日起不少于</w:t>
      </w:r>
      <w:r>
        <w:rPr>
          <w:rFonts w:hint="eastAsia"/>
          <w:lang w:val="en-US" w:eastAsia="zh-CN"/>
        </w:rPr>
        <w:t>3</w:t>
      </w:r>
      <w:r>
        <w:rPr>
          <w:rFonts w:hint="eastAsia"/>
          <w:lang w:eastAsia="zh-CN"/>
        </w:rPr>
        <w:t>年的免费质保。</w:t>
      </w:r>
    </w:p>
    <w:p>
      <w:pPr>
        <w:ind w:firstLine="480"/>
      </w:pPr>
      <w:r>
        <w:rPr>
          <w:rFonts w:hint="eastAsia"/>
        </w:rPr>
        <w:t>系统建设完毕后，提供技术支持和保障服务</w:t>
      </w:r>
      <w:bookmarkStart w:id="0" w:name="_GoBack"/>
      <w:bookmarkEnd w:id="0"/>
      <w:r>
        <w:rPr>
          <w:rFonts w:hint="eastAsia"/>
        </w:rPr>
        <w:t>；工作时间半小时响应，如有紧急或重大情况发生，需增派工程师提供现场服务；非工作时间</w:t>
      </w:r>
      <w:r>
        <w:t>2小时响应（上门服务），供应商应合理配备备件库，应具备一定数量的备品备件，以保证出现系统故障时能及时到达并修复。</w:t>
      </w:r>
    </w:p>
    <w:p>
      <w:pPr>
        <w:ind w:firstLine="480"/>
      </w:pPr>
      <w:r>
        <w:rPr>
          <w:rFonts w:hint="eastAsia"/>
        </w:rPr>
        <w:t>提供系统的技术培训、系统扩充、升级方面的技术支持服务。</w:t>
      </w:r>
    </w:p>
    <w:p>
      <w:pPr>
        <w:pStyle w:val="3"/>
      </w:pPr>
      <w:r>
        <w:t>其他要求</w:t>
      </w:r>
    </w:p>
    <w:p>
      <w:pPr>
        <w:ind w:firstLine="480"/>
        <w:rPr>
          <w:rFonts w:hint="eastAsia"/>
        </w:rPr>
      </w:pPr>
      <w:r>
        <w:rPr>
          <w:rFonts w:hint="eastAsia"/>
        </w:rPr>
        <w:t>供应商具有质量管理体系认证、信息技术服务管理体系认证、信息安全管理体系认证的优先考虑。</w:t>
      </w:r>
    </w:p>
    <w:p>
      <w:pPr>
        <w:ind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044BD3"/>
    <w:multiLevelType w:val="multilevel"/>
    <w:tmpl w:val="7A044BD3"/>
    <w:lvl w:ilvl="0" w:tentative="0">
      <w:start w:val="1"/>
      <w:numFmt w:val="decimal"/>
      <w:pStyle w:val="2"/>
      <w:suff w:val="space"/>
      <w:lvlText w:val="第%1章"/>
      <w:lvlJc w:val="center"/>
      <w:pPr>
        <w:ind w:left="0" w:firstLine="0"/>
      </w:pPr>
      <w:rPr>
        <w:rFonts w:hint="eastAsia" w:eastAsia="宋体"/>
      </w:rPr>
    </w:lvl>
    <w:lvl w:ilvl="1" w:tentative="0">
      <w:start w:val="1"/>
      <w:numFmt w:val="decimal"/>
      <w:pStyle w:val="3"/>
      <w:suff w:val="space"/>
      <w:lvlText w:val="%1.%2"/>
      <w:lvlJc w:val="left"/>
      <w:pPr>
        <w:ind w:left="0" w:firstLine="0"/>
      </w:pPr>
      <w:rPr>
        <w:rFonts w:hint="eastAsia" w:eastAsia="宋体"/>
      </w:rPr>
    </w:lvl>
    <w:lvl w:ilvl="2" w:tentative="0">
      <w:start w:val="1"/>
      <w:numFmt w:val="decimal"/>
      <w:pStyle w:val="4"/>
      <w:suff w:val="space"/>
      <w:lvlText w:val="%1.%2.%3"/>
      <w:lvlJc w:val="left"/>
      <w:pPr>
        <w:ind w:left="0" w:firstLine="0"/>
      </w:pPr>
      <w:rPr>
        <w:rFonts w:hint="default" w:eastAsia="宋体" w:asciiTheme="majorHAnsi" w:hAnsiTheme="majorHAnsi"/>
      </w:rPr>
    </w:lvl>
    <w:lvl w:ilvl="3" w:tentative="0">
      <w:start w:val="1"/>
      <w:numFmt w:val="decimal"/>
      <w:pStyle w:val="5"/>
      <w:suff w:val="space"/>
      <w:lvlText w:val="%1.%2.%3.%4"/>
      <w:lvlJc w:val="left"/>
      <w:pPr>
        <w:ind w:left="0" w:firstLine="0"/>
      </w:pPr>
      <w:rPr>
        <w:rFonts w:hint="eastAsia" w:eastAsia="宋体"/>
      </w:rPr>
    </w:lvl>
    <w:lvl w:ilvl="4" w:tentative="0">
      <w:start w:val="1"/>
      <w:numFmt w:val="decimal"/>
      <w:pStyle w:val="6"/>
      <w:suff w:val="space"/>
      <w:lvlText w:val="%1.%2.%3.%4.%5"/>
      <w:lvlJc w:val="left"/>
      <w:pPr>
        <w:ind w:left="568" w:firstLine="0"/>
      </w:pPr>
      <w:rPr>
        <w:rFonts w:hint="default" w:eastAsia="宋体" w:asciiTheme="majorHAnsi" w:hAnsiTheme="majorHAnsi"/>
      </w:rPr>
    </w:lvl>
    <w:lvl w:ilvl="5" w:tentative="0">
      <w:start w:val="1"/>
      <w:numFmt w:val="decimal"/>
      <w:pStyle w:val="7"/>
      <w:suff w:val="space"/>
      <w:lvlText w:val="%1.%2.%3.%4.%5.%6"/>
      <w:lvlJc w:val="left"/>
      <w:pPr>
        <w:ind w:left="567" w:firstLine="0"/>
      </w:pPr>
      <w:rPr>
        <w:rFonts w:hint="eastAsia" w:eastAsia="宋体"/>
      </w:rPr>
    </w:lvl>
    <w:lvl w:ilvl="6" w:tentative="0">
      <w:start w:val="1"/>
      <w:numFmt w:val="decimal"/>
      <w:pStyle w:val="8"/>
      <w:suff w:val="space"/>
      <w:lvlText w:val="%1.%2.%3.%4.%5.%6.%7"/>
      <w:lvlJc w:val="left"/>
      <w:pPr>
        <w:ind w:left="567" w:firstLine="0"/>
      </w:pPr>
      <w:rPr>
        <w:rFonts w:hint="eastAsia" w:eastAsia="宋体"/>
      </w:rPr>
    </w:lvl>
    <w:lvl w:ilvl="7" w:tentative="0">
      <w:start w:val="1"/>
      <w:numFmt w:val="decimal"/>
      <w:pStyle w:val="9"/>
      <w:suff w:val="space"/>
      <w:lvlText w:val="%1.%2.%3.%4.%5.%6.%7.%8"/>
      <w:lvlJc w:val="left"/>
      <w:pPr>
        <w:ind w:left="567" w:firstLine="0"/>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27"/>
    <w:rsid w:val="00207D29"/>
    <w:rsid w:val="00240F35"/>
    <w:rsid w:val="00265D7E"/>
    <w:rsid w:val="00387D27"/>
    <w:rsid w:val="004005B5"/>
    <w:rsid w:val="004A3FF9"/>
    <w:rsid w:val="00706810"/>
    <w:rsid w:val="0086577E"/>
    <w:rsid w:val="00894DEE"/>
    <w:rsid w:val="009C7E70"/>
    <w:rsid w:val="00A8595F"/>
    <w:rsid w:val="00AD4B83"/>
    <w:rsid w:val="00B20616"/>
    <w:rsid w:val="00B30C05"/>
    <w:rsid w:val="00FB2F27"/>
    <w:rsid w:val="204606DD"/>
    <w:rsid w:val="2B7B5457"/>
    <w:rsid w:val="3AAE92B7"/>
    <w:rsid w:val="3DEE3528"/>
    <w:rsid w:val="46F10BCE"/>
    <w:rsid w:val="6ECD92E7"/>
    <w:rsid w:val="BAFFC7A9"/>
    <w:rsid w:val="E5BD00C6"/>
    <w:rsid w:val="F7F7F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360" w:lineRule="auto"/>
      <w:ind w:firstLine="200" w:firstLineChars="200"/>
      <w:jc w:val="both"/>
    </w:pPr>
    <w:rPr>
      <w:rFonts w:eastAsia="宋体" w:asciiTheme="minorHAnsi" w:hAnsiTheme="minorHAnsi" w:cstheme="minorBidi"/>
      <w:kern w:val="2"/>
      <w:sz w:val="24"/>
      <w:szCs w:val="21"/>
      <w:lang w:val="en-US" w:eastAsia="zh-CN" w:bidi="ar-SA"/>
      <w14:ligatures w14:val="none"/>
    </w:rPr>
  </w:style>
  <w:style w:type="paragraph" w:styleId="2">
    <w:name w:val="heading 1"/>
    <w:basedOn w:val="1"/>
    <w:link w:val="14"/>
    <w:autoRedefine/>
    <w:qFormat/>
    <w:uiPriority w:val="9"/>
    <w:pPr>
      <w:keepNext/>
      <w:keepLines/>
      <w:numPr>
        <w:ilvl w:val="0"/>
        <w:numId w:val="1"/>
      </w:numPr>
      <w:ind w:firstLineChars="0"/>
      <w:jc w:val="center"/>
      <w:outlineLvl w:val="0"/>
    </w:pPr>
    <w:rPr>
      <w:b/>
      <w:bCs/>
      <w:kern w:val="44"/>
      <w:sz w:val="36"/>
      <w:szCs w:val="44"/>
    </w:rPr>
  </w:style>
  <w:style w:type="paragraph" w:styleId="3">
    <w:name w:val="heading 2"/>
    <w:basedOn w:val="1"/>
    <w:link w:val="15"/>
    <w:unhideWhenUsed/>
    <w:qFormat/>
    <w:uiPriority w:val="9"/>
    <w:pPr>
      <w:keepNext/>
      <w:keepLines/>
      <w:numPr>
        <w:ilvl w:val="1"/>
        <w:numId w:val="1"/>
      </w:numPr>
      <w:ind w:firstLineChars="0"/>
      <w:outlineLvl w:val="1"/>
    </w:pPr>
    <w:rPr>
      <w:rFonts w:asciiTheme="majorHAnsi" w:hAnsiTheme="majorHAnsi" w:eastAsiaTheme="majorEastAsia" w:cstheme="majorBidi"/>
      <w:b/>
      <w:bCs/>
      <w:sz w:val="32"/>
      <w:szCs w:val="32"/>
    </w:rPr>
  </w:style>
  <w:style w:type="paragraph" w:styleId="4">
    <w:name w:val="heading 3"/>
    <w:basedOn w:val="1"/>
    <w:link w:val="16"/>
    <w:autoRedefine/>
    <w:unhideWhenUsed/>
    <w:qFormat/>
    <w:uiPriority w:val="9"/>
    <w:pPr>
      <w:keepNext/>
      <w:keepLines/>
      <w:numPr>
        <w:ilvl w:val="2"/>
        <w:numId w:val="1"/>
      </w:numPr>
      <w:ind w:firstLineChars="0"/>
      <w:outlineLvl w:val="2"/>
    </w:pPr>
    <w:rPr>
      <w:b/>
      <w:bCs/>
      <w:sz w:val="30"/>
      <w:szCs w:val="32"/>
    </w:rPr>
  </w:style>
  <w:style w:type="paragraph" w:styleId="5">
    <w:name w:val="heading 4"/>
    <w:basedOn w:val="1"/>
    <w:link w:val="17"/>
    <w:autoRedefine/>
    <w:unhideWhenUsed/>
    <w:qFormat/>
    <w:uiPriority w:val="9"/>
    <w:pPr>
      <w:keepNext/>
      <w:keepLines/>
      <w:numPr>
        <w:ilvl w:val="3"/>
        <w:numId w:val="1"/>
      </w:numPr>
      <w:ind w:firstLineChars="0"/>
      <w:outlineLvl w:val="3"/>
    </w:pPr>
    <w:rPr>
      <w:rFonts w:asciiTheme="majorHAnsi" w:hAnsiTheme="majorHAnsi" w:eastAsiaTheme="majorEastAsia" w:cstheme="majorBidi"/>
      <w:b/>
      <w:bCs/>
      <w:sz w:val="28"/>
      <w:szCs w:val="28"/>
    </w:rPr>
  </w:style>
  <w:style w:type="paragraph" w:styleId="6">
    <w:name w:val="heading 5"/>
    <w:basedOn w:val="1"/>
    <w:link w:val="18"/>
    <w:autoRedefine/>
    <w:unhideWhenUsed/>
    <w:qFormat/>
    <w:uiPriority w:val="9"/>
    <w:pPr>
      <w:keepNext/>
      <w:keepLines/>
      <w:numPr>
        <w:ilvl w:val="4"/>
        <w:numId w:val="1"/>
      </w:numPr>
      <w:ind w:firstLineChars="0"/>
      <w:outlineLvl w:val="4"/>
    </w:pPr>
    <w:rPr>
      <w:b/>
      <w:bCs/>
      <w:szCs w:val="28"/>
    </w:rPr>
  </w:style>
  <w:style w:type="paragraph" w:styleId="7">
    <w:name w:val="heading 6"/>
    <w:basedOn w:val="1"/>
    <w:link w:val="19"/>
    <w:autoRedefine/>
    <w:unhideWhenUsed/>
    <w:qFormat/>
    <w:uiPriority w:val="9"/>
    <w:pPr>
      <w:keepNext/>
      <w:keepLines/>
      <w:numPr>
        <w:ilvl w:val="5"/>
        <w:numId w:val="1"/>
      </w:numPr>
      <w:ind w:firstLineChars="0"/>
      <w:outlineLvl w:val="5"/>
    </w:pPr>
    <w:rPr>
      <w:rFonts w:asciiTheme="majorHAnsi" w:hAnsiTheme="majorHAnsi" w:eastAsiaTheme="majorEastAsia" w:cstheme="majorBidi"/>
      <w:b/>
      <w:bCs/>
    </w:rPr>
  </w:style>
  <w:style w:type="paragraph" w:styleId="8">
    <w:name w:val="heading 7"/>
    <w:basedOn w:val="1"/>
    <w:next w:val="1"/>
    <w:link w:val="20"/>
    <w:unhideWhenUsed/>
    <w:qFormat/>
    <w:uiPriority w:val="9"/>
    <w:pPr>
      <w:keepNext/>
      <w:keepLines/>
      <w:numPr>
        <w:ilvl w:val="6"/>
        <w:numId w:val="1"/>
      </w:numPr>
      <w:spacing w:before="240" w:after="64" w:line="320" w:lineRule="auto"/>
      <w:ind w:firstLineChars="0"/>
      <w:outlineLvl w:val="6"/>
    </w:pPr>
    <w:rPr>
      <w:b/>
      <w:bCs/>
      <w:szCs w:val="24"/>
    </w:rPr>
  </w:style>
  <w:style w:type="paragraph" w:styleId="9">
    <w:name w:val="heading 8"/>
    <w:basedOn w:val="1"/>
    <w:next w:val="1"/>
    <w:link w:val="2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0">
    <w:name w:val="Title"/>
    <w:basedOn w:val="1"/>
    <w:next w:val="1"/>
    <w:link w:val="13"/>
    <w:autoRedefine/>
    <w:qFormat/>
    <w:uiPriority w:val="10"/>
    <w:pPr>
      <w:spacing w:before="240" w:after="60"/>
      <w:jc w:val="center"/>
      <w:outlineLvl w:val="0"/>
    </w:pPr>
    <w:rPr>
      <w:rFonts w:asciiTheme="majorHAnsi" w:hAnsiTheme="majorHAnsi" w:cstheme="majorBidi"/>
      <w:b/>
      <w:bCs/>
      <w:sz w:val="32"/>
      <w:szCs w:val="32"/>
    </w:rPr>
  </w:style>
  <w:style w:type="character" w:customStyle="1" w:styleId="13">
    <w:name w:val="标题 字符"/>
    <w:basedOn w:val="12"/>
    <w:link w:val="10"/>
    <w:autoRedefine/>
    <w:qFormat/>
    <w:uiPriority w:val="10"/>
    <w:rPr>
      <w:rFonts w:eastAsia="宋体" w:asciiTheme="majorHAnsi" w:hAnsiTheme="majorHAnsi" w:cstheme="majorBidi"/>
      <w:b/>
      <w:bCs/>
      <w:sz w:val="32"/>
      <w:szCs w:val="32"/>
      <w14:ligatures w14:val="none"/>
    </w:rPr>
  </w:style>
  <w:style w:type="character" w:customStyle="1" w:styleId="14">
    <w:name w:val="标题 1 字符"/>
    <w:basedOn w:val="12"/>
    <w:link w:val="2"/>
    <w:autoRedefine/>
    <w:qFormat/>
    <w:uiPriority w:val="9"/>
    <w:rPr>
      <w:rFonts w:eastAsia="宋体"/>
      <w:b/>
      <w:bCs/>
      <w:kern w:val="44"/>
      <w:sz w:val="36"/>
      <w:szCs w:val="44"/>
      <w14:ligatures w14:val="none"/>
    </w:rPr>
  </w:style>
  <w:style w:type="character" w:customStyle="1" w:styleId="15">
    <w:name w:val="标题 2 字符"/>
    <w:basedOn w:val="12"/>
    <w:link w:val="3"/>
    <w:autoRedefine/>
    <w:qFormat/>
    <w:uiPriority w:val="9"/>
    <w:rPr>
      <w:rFonts w:asciiTheme="majorHAnsi" w:hAnsiTheme="majorHAnsi" w:eastAsiaTheme="majorEastAsia" w:cstheme="majorBidi"/>
      <w:b/>
      <w:bCs/>
      <w:sz w:val="32"/>
      <w:szCs w:val="32"/>
      <w14:ligatures w14:val="none"/>
    </w:rPr>
  </w:style>
  <w:style w:type="character" w:customStyle="1" w:styleId="16">
    <w:name w:val="标题 3 字符"/>
    <w:basedOn w:val="12"/>
    <w:link w:val="4"/>
    <w:autoRedefine/>
    <w:qFormat/>
    <w:uiPriority w:val="9"/>
    <w:rPr>
      <w:rFonts w:eastAsia="宋体"/>
      <w:b/>
      <w:bCs/>
      <w:sz w:val="30"/>
      <w:szCs w:val="32"/>
      <w14:ligatures w14:val="none"/>
    </w:rPr>
  </w:style>
  <w:style w:type="character" w:customStyle="1" w:styleId="17">
    <w:name w:val="标题 4 字符"/>
    <w:basedOn w:val="12"/>
    <w:link w:val="5"/>
    <w:autoRedefine/>
    <w:qFormat/>
    <w:uiPriority w:val="9"/>
    <w:rPr>
      <w:rFonts w:asciiTheme="majorHAnsi" w:hAnsiTheme="majorHAnsi" w:eastAsiaTheme="majorEastAsia" w:cstheme="majorBidi"/>
      <w:b/>
      <w:bCs/>
      <w:sz w:val="28"/>
      <w:szCs w:val="28"/>
      <w14:ligatures w14:val="none"/>
    </w:rPr>
  </w:style>
  <w:style w:type="character" w:customStyle="1" w:styleId="18">
    <w:name w:val="标题 5 字符"/>
    <w:basedOn w:val="12"/>
    <w:link w:val="6"/>
    <w:autoRedefine/>
    <w:qFormat/>
    <w:uiPriority w:val="9"/>
    <w:rPr>
      <w:rFonts w:eastAsia="宋体"/>
      <w:b/>
      <w:bCs/>
      <w:sz w:val="24"/>
      <w:szCs w:val="28"/>
      <w14:ligatures w14:val="none"/>
    </w:rPr>
  </w:style>
  <w:style w:type="character" w:customStyle="1" w:styleId="19">
    <w:name w:val="标题 6 字符"/>
    <w:basedOn w:val="12"/>
    <w:link w:val="7"/>
    <w:autoRedefine/>
    <w:qFormat/>
    <w:uiPriority w:val="9"/>
    <w:rPr>
      <w:rFonts w:asciiTheme="majorHAnsi" w:hAnsiTheme="majorHAnsi" w:eastAsiaTheme="majorEastAsia" w:cstheme="majorBidi"/>
      <w:b/>
      <w:bCs/>
      <w:sz w:val="24"/>
      <w:szCs w:val="21"/>
      <w14:ligatures w14:val="none"/>
    </w:rPr>
  </w:style>
  <w:style w:type="character" w:customStyle="1" w:styleId="20">
    <w:name w:val="标题 7 字符"/>
    <w:basedOn w:val="12"/>
    <w:link w:val="8"/>
    <w:qFormat/>
    <w:uiPriority w:val="9"/>
    <w:rPr>
      <w:rFonts w:eastAsia="宋体"/>
      <w:b/>
      <w:bCs/>
      <w:sz w:val="24"/>
      <w14:ligatures w14:val="none"/>
    </w:rPr>
  </w:style>
  <w:style w:type="character" w:customStyle="1" w:styleId="21">
    <w:name w:val="标题 8 字符"/>
    <w:basedOn w:val="12"/>
    <w:link w:val="9"/>
    <w:qFormat/>
    <w:uiPriority w:val="9"/>
    <w:rPr>
      <w:rFonts w:asciiTheme="majorHAnsi" w:hAnsiTheme="majorHAnsi" w:eastAsiaTheme="majorEastAsia" w:cstheme="majorBidi"/>
      <w:sz w:val="24"/>
      <w14:ligatures w14:val="none"/>
    </w:rPr>
  </w:style>
  <w:style w:type="character" w:customStyle="1" w:styleId="22">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7967</Words>
  <Characters>9294</Characters>
  <Lines>69</Lines>
  <Paragraphs>19</Paragraphs>
  <TotalTime>3</TotalTime>
  <ScaleCrop>false</ScaleCrop>
  <LinksUpToDate>false</LinksUpToDate>
  <CharactersWithSpaces>9335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2025-01-16T02:24:00Z</dcterms:created>
  <dc:creator>唐 唐</dc:creator>
  <cp:lastModifiedBy>user</cp:lastModifiedBy>
  <dcterms:modified xsi:type="dcterms:W3CDTF">2025-09-15T15:47:28Z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E87DE7D178FB4BC5AE5D7972EA3E8E74_13</vt:lpwstr>
  </property>
  <property fmtid="{D5CDD505-2E9C-101B-9397-08002B2CF9AE}" pid="4" name="KSOTemplateDocerSaveRecord">
    <vt:lpwstr>eyJoZGlkIjoiMDljYzUzMWQ4OWI0YzBkYjYzMDRhZTY5ZjZkYmFmYTgiLCJ1c2VySWQiOiI0ODIyNDA4MzAifQ==</vt:lpwstr>
  </property>
</Properties>
</file>