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 w:after="81"/>
        <w:ind w:firstLine="0" w:firstLineChars="0"/>
      </w:pPr>
      <w:bookmarkStart w:id="0" w:name="_Toc351117190"/>
      <w:bookmarkStart w:id="1" w:name="_Hlk532227420"/>
    </w:p>
    <w:p>
      <w:pPr>
        <w:spacing w:before="81" w:after="81"/>
        <w:ind w:firstLine="0" w:firstLineChars="0"/>
      </w:pPr>
    </w:p>
    <w:p>
      <w:pPr>
        <w:spacing w:before="81" w:after="81"/>
        <w:ind w:firstLine="0" w:firstLineChars="0"/>
        <w:jc w:val="center"/>
        <w:rPr>
          <w:b/>
          <w:sz w:val="52"/>
          <w:szCs w:val="52"/>
        </w:rPr>
      </w:pPr>
      <w:r>
        <w:rPr>
          <w:b/>
          <w:sz w:val="52"/>
          <w:szCs w:val="52"/>
        </w:rPr>
        <w:t>上海市公安局智慧法制一体化管理系统项目（产品软件</w:t>
      </w:r>
      <w:r>
        <w:rPr>
          <w:rFonts w:hint="eastAsia"/>
          <w:b/>
          <w:sz w:val="52"/>
          <w:szCs w:val="52"/>
        </w:rPr>
        <w:t>购置</w:t>
      </w:r>
      <w:r>
        <w:rPr>
          <w:b/>
          <w:sz w:val="52"/>
          <w:szCs w:val="52"/>
        </w:rPr>
        <w:t>）</w:t>
      </w:r>
    </w:p>
    <w:p>
      <w:pPr>
        <w:spacing w:before="81" w:after="81"/>
        <w:ind w:firstLine="883"/>
        <w:jc w:val="center"/>
        <w:rPr>
          <w:b/>
          <w:sz w:val="44"/>
          <w:szCs w:val="44"/>
        </w:rPr>
      </w:pPr>
    </w:p>
    <w:p>
      <w:pPr>
        <w:spacing w:before="81" w:after="81"/>
        <w:ind w:firstLine="883"/>
        <w:jc w:val="center"/>
        <w:rPr>
          <w:b/>
          <w:sz w:val="44"/>
          <w:szCs w:val="44"/>
        </w:rPr>
      </w:pPr>
    </w:p>
    <w:p>
      <w:pPr>
        <w:spacing w:before="81" w:after="81"/>
        <w:ind w:firstLine="883"/>
        <w:jc w:val="center"/>
        <w:rPr>
          <w:b/>
          <w:sz w:val="44"/>
          <w:szCs w:val="44"/>
        </w:rPr>
      </w:pPr>
    </w:p>
    <w:p>
      <w:pPr>
        <w:spacing w:before="81" w:after="81"/>
        <w:ind w:firstLine="0" w:firstLineChars="0"/>
        <w:jc w:val="center"/>
        <w:rPr>
          <w:b/>
          <w:sz w:val="56"/>
          <w:szCs w:val="56"/>
        </w:rPr>
      </w:pPr>
      <w:r>
        <w:rPr>
          <w:b/>
          <w:sz w:val="56"/>
          <w:szCs w:val="56"/>
        </w:rPr>
        <w:t>用户需求</w:t>
      </w:r>
    </w:p>
    <w:p>
      <w:pPr>
        <w:tabs>
          <w:tab w:val="left" w:pos="4309"/>
        </w:tabs>
        <w:spacing w:before="81" w:after="81"/>
        <w:ind w:firstLine="1680"/>
        <w:rPr>
          <w:sz w:val="84"/>
          <w:szCs w:val="84"/>
        </w:rPr>
      </w:pPr>
      <w:r>
        <w:rPr>
          <w:sz w:val="84"/>
          <w:szCs w:val="84"/>
        </w:rPr>
        <w:tab/>
      </w:r>
    </w:p>
    <w:p>
      <w:pPr>
        <w:tabs>
          <w:tab w:val="left" w:pos="4309"/>
        </w:tabs>
        <w:spacing w:before="81" w:after="81"/>
        <w:ind w:firstLine="1680"/>
        <w:rPr>
          <w:sz w:val="84"/>
          <w:szCs w:val="84"/>
        </w:rPr>
        <w:sectPr>
          <w:headerReference r:id="rId6" w:type="first"/>
          <w:footerReference r:id="rId9" w:type="first"/>
          <w:footerReference r:id="rId7" w:type="default"/>
          <w:headerReference r:id="rId5" w:type="even"/>
          <w:footerReference r:id="rId8" w:type="even"/>
          <w:pgSz w:w="11906" w:h="16838"/>
          <w:pgMar w:top="1440" w:right="1800" w:bottom="1440" w:left="1800" w:header="737" w:footer="340" w:gutter="0"/>
          <w:pgNumType w:fmt="upperRoman"/>
          <w:cols w:space="720" w:num="1"/>
          <w:docGrid w:type="lines" w:linePitch="326" w:charSpace="0"/>
        </w:sectPr>
      </w:pPr>
      <w:r>
        <w:rPr>
          <w:sz w:val="84"/>
          <w:szCs w:val="84"/>
        </w:rPr>
        <w:tab/>
      </w:r>
    </w:p>
    <w:p>
      <w:pPr>
        <w:spacing w:before="78" w:after="78"/>
        <w:ind w:firstLine="0" w:firstLineChars="0"/>
        <w:jc w:val="center"/>
        <w:rPr>
          <w:b/>
          <w:color w:val="000000"/>
          <w:sz w:val="36"/>
          <w:szCs w:val="36"/>
        </w:rPr>
      </w:pPr>
      <w:r>
        <w:rPr>
          <w:b/>
          <w:color w:val="000000"/>
          <w:sz w:val="36"/>
          <w:szCs w:val="36"/>
        </w:rPr>
        <w:t>目录</w:t>
      </w:r>
    </w:p>
    <w:p>
      <w:pPr>
        <w:pStyle w:val="20"/>
        <w:spacing w:before="78" w:after="78"/>
        <w:rPr>
          <w:sz w:val="21"/>
        </w:rPr>
      </w:pPr>
      <w:r>
        <w:rPr>
          <w:color w:val="000000"/>
          <w:kern w:val="0"/>
          <w:szCs w:val="24"/>
        </w:rPr>
        <w:fldChar w:fldCharType="begin"/>
      </w:r>
      <w:r>
        <w:rPr>
          <w:color w:val="000000"/>
          <w:szCs w:val="24"/>
        </w:rPr>
        <w:instrText xml:space="preserve"> TOC \o "1-3" \h \z \u </w:instrText>
      </w:r>
      <w:r>
        <w:rPr>
          <w:color w:val="000000"/>
          <w:kern w:val="0"/>
          <w:szCs w:val="24"/>
        </w:rPr>
        <w:fldChar w:fldCharType="separate"/>
      </w:r>
      <w:r>
        <w:fldChar w:fldCharType="begin"/>
      </w:r>
      <w:r>
        <w:instrText xml:space="preserve"> HYPERLINK \l "_Toc175071538" </w:instrText>
      </w:r>
      <w:r>
        <w:fldChar w:fldCharType="separate"/>
      </w:r>
      <w:r>
        <w:rPr>
          <w:rStyle w:val="28"/>
        </w:rPr>
        <w:t>1.</w:t>
      </w:r>
      <w:r>
        <w:rPr>
          <w:sz w:val="21"/>
        </w:rPr>
        <w:tab/>
      </w:r>
      <w:r>
        <w:rPr>
          <w:rStyle w:val="28"/>
          <w:rFonts w:hAnsi="宋体"/>
        </w:rPr>
        <w:t>建设背景</w:t>
      </w:r>
      <w:r>
        <w:tab/>
      </w:r>
      <w:r>
        <w:fldChar w:fldCharType="begin"/>
      </w:r>
      <w:r>
        <w:instrText xml:space="preserve"> PAGEREF _Toc175071538 \h </w:instrText>
      </w:r>
      <w:r>
        <w:fldChar w:fldCharType="separate"/>
      </w:r>
      <w:r>
        <w:t>1</w:t>
      </w:r>
      <w:r>
        <w:fldChar w:fldCharType="end"/>
      </w:r>
      <w:r>
        <w:fldChar w:fldCharType="end"/>
      </w:r>
    </w:p>
    <w:p>
      <w:pPr>
        <w:pStyle w:val="20"/>
        <w:spacing w:before="78" w:after="78"/>
        <w:rPr>
          <w:sz w:val="21"/>
        </w:rPr>
      </w:pPr>
      <w:r>
        <w:fldChar w:fldCharType="begin"/>
      </w:r>
      <w:r>
        <w:instrText xml:space="preserve"> HYPERLINK \l "_Toc175071539" </w:instrText>
      </w:r>
      <w:r>
        <w:fldChar w:fldCharType="separate"/>
      </w:r>
      <w:r>
        <w:rPr>
          <w:rStyle w:val="28"/>
        </w:rPr>
        <w:t>2.</w:t>
      </w:r>
      <w:r>
        <w:rPr>
          <w:sz w:val="21"/>
        </w:rPr>
        <w:tab/>
      </w:r>
      <w:r>
        <w:rPr>
          <w:rStyle w:val="28"/>
          <w:rFonts w:hAnsi="宋体"/>
        </w:rPr>
        <w:t>建设目标</w:t>
      </w:r>
      <w:r>
        <w:tab/>
      </w:r>
      <w:r>
        <w:fldChar w:fldCharType="begin"/>
      </w:r>
      <w:r>
        <w:instrText xml:space="preserve"> PAGEREF _Toc175071539 \h </w:instrText>
      </w:r>
      <w:r>
        <w:fldChar w:fldCharType="separate"/>
      </w:r>
      <w:r>
        <w:t>1</w:t>
      </w:r>
      <w:r>
        <w:fldChar w:fldCharType="end"/>
      </w:r>
      <w:r>
        <w:fldChar w:fldCharType="end"/>
      </w:r>
    </w:p>
    <w:p>
      <w:pPr>
        <w:pStyle w:val="20"/>
        <w:spacing w:before="78" w:after="78"/>
        <w:rPr>
          <w:sz w:val="21"/>
        </w:rPr>
      </w:pPr>
      <w:r>
        <w:fldChar w:fldCharType="begin"/>
      </w:r>
      <w:r>
        <w:instrText xml:space="preserve"> HYPERLINK \l "_Toc175071540" </w:instrText>
      </w:r>
      <w:r>
        <w:fldChar w:fldCharType="separate"/>
      </w:r>
      <w:r>
        <w:rPr>
          <w:rStyle w:val="28"/>
        </w:rPr>
        <w:t>3.</w:t>
      </w:r>
      <w:r>
        <w:rPr>
          <w:sz w:val="21"/>
        </w:rPr>
        <w:tab/>
      </w:r>
      <w:r>
        <w:rPr>
          <w:rStyle w:val="28"/>
          <w:rFonts w:hAnsi="宋体"/>
        </w:rPr>
        <w:t>招标清单</w:t>
      </w:r>
      <w:r>
        <w:tab/>
      </w:r>
      <w:r>
        <w:fldChar w:fldCharType="begin"/>
      </w:r>
      <w:r>
        <w:instrText xml:space="preserve"> PAGEREF _Toc175071540 \h </w:instrText>
      </w:r>
      <w:r>
        <w:fldChar w:fldCharType="separate"/>
      </w:r>
      <w:r>
        <w:t>2</w:t>
      </w:r>
      <w:r>
        <w:fldChar w:fldCharType="end"/>
      </w:r>
      <w:r>
        <w:fldChar w:fldCharType="end"/>
      </w:r>
    </w:p>
    <w:p>
      <w:pPr>
        <w:pStyle w:val="20"/>
        <w:spacing w:before="78" w:after="78"/>
        <w:rPr>
          <w:sz w:val="21"/>
        </w:rPr>
      </w:pPr>
      <w:r>
        <w:fldChar w:fldCharType="begin"/>
      </w:r>
      <w:r>
        <w:instrText xml:space="preserve"> HYPERLINK \l "_Toc175071541" </w:instrText>
      </w:r>
      <w:r>
        <w:fldChar w:fldCharType="separate"/>
      </w:r>
      <w:r>
        <w:rPr>
          <w:rStyle w:val="28"/>
        </w:rPr>
        <w:t>4.</w:t>
      </w:r>
      <w:r>
        <w:rPr>
          <w:sz w:val="21"/>
        </w:rPr>
        <w:tab/>
      </w:r>
      <w:r>
        <w:rPr>
          <w:rStyle w:val="28"/>
          <w:rFonts w:hAnsi="宋体"/>
        </w:rPr>
        <w:t>产品需求</w:t>
      </w:r>
      <w:r>
        <w:tab/>
      </w:r>
      <w:r>
        <w:fldChar w:fldCharType="begin"/>
      </w:r>
      <w:r>
        <w:instrText xml:space="preserve"> PAGEREF _Toc175071541 \h </w:instrText>
      </w:r>
      <w:r>
        <w:fldChar w:fldCharType="separate"/>
      </w:r>
      <w:r>
        <w:t>2</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"_Toc175071542" </w:instrText>
      </w:r>
      <w:r>
        <w:fldChar w:fldCharType="separate"/>
      </w:r>
      <w:r>
        <w:rPr>
          <w:rStyle w:val="28"/>
        </w:rPr>
        <w:t>4.1.</w:t>
      </w:r>
      <w:r>
        <w:rPr>
          <w:sz w:val="21"/>
        </w:rPr>
        <w:tab/>
      </w:r>
      <w:r>
        <w:rPr>
          <w:rStyle w:val="28"/>
          <w:rFonts w:hAnsi="宋体"/>
        </w:rPr>
        <w:t>国产化服务器操作系统需求</w:t>
      </w:r>
      <w:r>
        <w:tab/>
      </w:r>
      <w:r>
        <w:fldChar w:fldCharType="begin"/>
      </w:r>
      <w:r>
        <w:instrText xml:space="preserve"> PAGEREF _Toc175071542 \h </w:instrText>
      </w:r>
      <w:r>
        <w:fldChar w:fldCharType="separate"/>
      </w:r>
      <w:r>
        <w:t>2</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"_Toc175071543" </w:instrText>
      </w:r>
      <w:r>
        <w:fldChar w:fldCharType="separate"/>
      </w:r>
      <w:r>
        <w:rPr>
          <w:rStyle w:val="28"/>
        </w:rPr>
        <w:t>4.2.</w:t>
      </w:r>
      <w:r>
        <w:rPr>
          <w:sz w:val="21"/>
        </w:rPr>
        <w:tab/>
      </w:r>
      <w:r>
        <w:rPr>
          <w:rStyle w:val="28"/>
          <w:rFonts w:hAnsi="宋体"/>
        </w:rPr>
        <w:t>国产化中间件需求</w:t>
      </w:r>
      <w:r>
        <w:tab/>
      </w:r>
      <w:r>
        <w:fldChar w:fldCharType="begin"/>
      </w:r>
      <w:r>
        <w:instrText xml:space="preserve"> PAGEREF _Toc175071543 \h </w:instrText>
      </w:r>
      <w:r>
        <w:fldChar w:fldCharType="separate"/>
      </w:r>
      <w:r>
        <w:t>12</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"_Toc175071544" </w:instrText>
      </w:r>
      <w:r>
        <w:fldChar w:fldCharType="separate"/>
      </w:r>
      <w:r>
        <w:rPr>
          <w:rStyle w:val="28"/>
        </w:rPr>
        <w:t>4.3.</w:t>
      </w:r>
      <w:r>
        <w:rPr>
          <w:sz w:val="21"/>
        </w:rPr>
        <w:tab/>
      </w:r>
      <w:r>
        <w:rPr>
          <w:rStyle w:val="28"/>
          <w:rFonts w:hAnsi="宋体"/>
        </w:rPr>
        <w:t>国产化集中式数据库系统需求</w:t>
      </w:r>
      <w:r>
        <w:tab/>
      </w:r>
      <w:r>
        <w:fldChar w:fldCharType="begin"/>
      </w:r>
      <w:r>
        <w:instrText xml:space="preserve"> PAGEREF _Toc175071544 \h </w:instrText>
      </w:r>
      <w:r>
        <w:fldChar w:fldCharType="separate"/>
      </w:r>
      <w:r>
        <w:t>14</w:t>
      </w:r>
      <w:r>
        <w:fldChar w:fldCharType="end"/>
      </w:r>
      <w:r>
        <w:fldChar w:fldCharType="end"/>
      </w:r>
    </w:p>
    <w:p>
      <w:pPr>
        <w:pStyle w:val="20"/>
        <w:spacing w:before="78" w:after="78"/>
        <w:rPr>
          <w:sz w:val="21"/>
        </w:rPr>
      </w:pPr>
      <w:r>
        <w:fldChar w:fldCharType="begin"/>
      </w:r>
      <w:r>
        <w:instrText xml:space="preserve"> HYPERLINK \l "_Toc175071545" </w:instrText>
      </w:r>
      <w:r>
        <w:fldChar w:fldCharType="separate"/>
      </w:r>
      <w:r>
        <w:rPr>
          <w:rStyle w:val="28"/>
        </w:rPr>
        <w:t>5.</w:t>
      </w:r>
      <w:r>
        <w:rPr>
          <w:sz w:val="21"/>
        </w:rPr>
        <w:tab/>
      </w:r>
      <w:r>
        <w:rPr>
          <w:rStyle w:val="28"/>
          <w:rFonts w:hAnsi="宋体"/>
        </w:rPr>
        <w:t>实施及运维需求</w:t>
      </w:r>
      <w:r>
        <w:tab/>
      </w:r>
      <w:r>
        <w:fldChar w:fldCharType="begin"/>
      </w:r>
      <w:r>
        <w:instrText xml:space="preserve"> PAGEREF _Toc175071545 \h </w:instrText>
      </w:r>
      <w:r>
        <w:fldChar w:fldCharType="separate"/>
      </w:r>
      <w:r>
        <w:t>26</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"_Toc175071546" </w:instrText>
      </w:r>
      <w:r>
        <w:fldChar w:fldCharType="separate"/>
      </w:r>
      <w:r>
        <w:rPr>
          <w:rStyle w:val="28"/>
        </w:rPr>
        <w:t>5.1.</w:t>
      </w:r>
      <w:r>
        <w:rPr>
          <w:sz w:val="21"/>
        </w:rPr>
        <w:tab/>
      </w:r>
      <w:r>
        <w:rPr>
          <w:rStyle w:val="28"/>
          <w:rFonts w:hAnsi="宋体"/>
        </w:rPr>
        <w:t>供应商要求</w:t>
      </w:r>
      <w:r>
        <w:tab/>
      </w:r>
      <w:r>
        <w:fldChar w:fldCharType="begin"/>
      </w:r>
      <w:r>
        <w:instrText xml:space="preserve"> PAGEREF _Toc175071546 \h </w:instrText>
      </w:r>
      <w:r>
        <w:fldChar w:fldCharType="separate"/>
      </w:r>
      <w:r>
        <w:t>26</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"_Toc175071547" </w:instrText>
      </w:r>
      <w:r>
        <w:fldChar w:fldCharType="separate"/>
      </w:r>
      <w:r>
        <w:rPr>
          <w:rStyle w:val="28"/>
        </w:rPr>
        <w:t>5.2.</w:t>
      </w:r>
      <w:r>
        <w:rPr>
          <w:sz w:val="21"/>
        </w:rPr>
        <w:tab/>
      </w:r>
      <w:r>
        <w:rPr>
          <w:rStyle w:val="28"/>
          <w:rFonts w:hAnsi="宋体"/>
        </w:rPr>
        <w:t>服务要求</w:t>
      </w:r>
      <w:r>
        <w:tab/>
      </w:r>
      <w:r>
        <w:fldChar w:fldCharType="begin"/>
      </w:r>
      <w:r>
        <w:instrText xml:space="preserve"> PAGEREF _Toc175071547 \h </w:instrText>
      </w:r>
      <w:r>
        <w:fldChar w:fldCharType="separate"/>
      </w:r>
      <w:r>
        <w:t>26</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"_Toc175071548" </w:instrText>
      </w:r>
      <w:r>
        <w:fldChar w:fldCharType="separate"/>
      </w:r>
      <w:r>
        <w:rPr>
          <w:rStyle w:val="28"/>
        </w:rPr>
        <w:t>5.3.</w:t>
      </w:r>
      <w:r>
        <w:rPr>
          <w:sz w:val="21"/>
        </w:rPr>
        <w:tab/>
      </w:r>
      <w:r>
        <w:rPr>
          <w:rStyle w:val="28"/>
          <w:rFonts w:hAnsi="宋体"/>
        </w:rPr>
        <w:t>供货时间要求</w:t>
      </w:r>
      <w:r>
        <w:tab/>
      </w:r>
      <w:r>
        <w:fldChar w:fldCharType="begin"/>
      </w:r>
      <w:r>
        <w:instrText xml:space="preserve"> PAGEREF _Toc175071548 \h </w:instrText>
      </w:r>
      <w:r>
        <w:fldChar w:fldCharType="separate"/>
      </w:r>
      <w:r>
        <w:t>26</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"_Toc175071549" </w:instrText>
      </w:r>
      <w:r>
        <w:fldChar w:fldCharType="separate"/>
      </w:r>
      <w:r>
        <w:rPr>
          <w:rStyle w:val="28"/>
        </w:rPr>
        <w:t>5.4.</w:t>
      </w:r>
      <w:r>
        <w:rPr>
          <w:sz w:val="21"/>
        </w:rPr>
        <w:tab/>
      </w:r>
      <w:r>
        <w:rPr>
          <w:rStyle w:val="28"/>
          <w:rFonts w:hAnsi="宋体"/>
        </w:rPr>
        <w:t>验收要求</w:t>
      </w:r>
      <w:r>
        <w:tab/>
      </w:r>
      <w:r>
        <w:fldChar w:fldCharType="begin"/>
      </w:r>
      <w:r>
        <w:instrText xml:space="preserve"> PAGEREF _Toc175071549 \h </w:instrText>
      </w:r>
      <w:r>
        <w:fldChar w:fldCharType="separate"/>
      </w:r>
      <w:r>
        <w:t>26</w:t>
      </w:r>
      <w:r>
        <w:fldChar w:fldCharType="end"/>
      </w:r>
      <w:r>
        <w:fldChar w:fldCharType="end"/>
      </w:r>
    </w:p>
    <w:p>
      <w:pPr>
        <w:pStyle w:val="21"/>
        <w:tabs>
          <w:tab w:val="left" w:pos="1680"/>
          <w:tab w:val="right" w:leader="dot" w:pos="8296"/>
        </w:tabs>
        <w:spacing w:before="78" w:after="78"/>
        <w:ind w:left="480" w:firstLine="480"/>
        <w:rPr>
          <w:sz w:val="21"/>
        </w:rPr>
      </w:pPr>
      <w:r>
        <w:fldChar w:fldCharType="begin"/>
      </w:r>
      <w:r>
        <w:instrText xml:space="preserve"> HYPERLINK \l "_Toc175071550" </w:instrText>
      </w:r>
      <w:r>
        <w:fldChar w:fldCharType="separate"/>
      </w:r>
      <w:r>
        <w:rPr>
          <w:rStyle w:val="28"/>
        </w:rPr>
        <w:t>5.5.</w:t>
      </w:r>
      <w:r>
        <w:rPr>
          <w:sz w:val="21"/>
        </w:rPr>
        <w:tab/>
      </w:r>
      <w:r>
        <w:rPr>
          <w:rStyle w:val="28"/>
          <w:rFonts w:hAnsi="宋体"/>
        </w:rPr>
        <w:t>运维要求</w:t>
      </w:r>
      <w:r>
        <w:tab/>
      </w:r>
      <w:r>
        <w:fldChar w:fldCharType="begin"/>
      </w:r>
      <w:r>
        <w:instrText xml:space="preserve"> PAGEREF _Toc175071550 \h </w:instrText>
      </w:r>
      <w:r>
        <w:fldChar w:fldCharType="separate"/>
      </w:r>
      <w:r>
        <w:t>26</w:t>
      </w:r>
      <w:r>
        <w:fldChar w:fldCharType="end"/>
      </w:r>
      <w:r>
        <w:fldChar w:fldCharType="end"/>
      </w:r>
    </w:p>
    <w:p>
      <w:pPr>
        <w:spacing w:before="78" w:after="78" w:line="480" w:lineRule="auto"/>
        <w:ind w:firstLine="0" w:firstLineChars="0"/>
        <w:rPr>
          <w:color w:val="000000"/>
          <w:szCs w:val="24"/>
        </w:rPr>
      </w:pPr>
      <w:r>
        <w:rPr>
          <w:color w:val="000000"/>
          <w:szCs w:val="24"/>
        </w:rPr>
        <w:fldChar w:fldCharType="end"/>
      </w:r>
    </w:p>
    <w:p>
      <w:pPr>
        <w:spacing w:before="78" w:after="78"/>
        <w:ind w:firstLine="480"/>
        <w:rPr>
          <w:szCs w:val="24"/>
        </w:rPr>
      </w:pPr>
    </w:p>
    <w:p>
      <w:pPr>
        <w:spacing w:before="78" w:after="78"/>
        <w:ind w:firstLine="480"/>
        <w:rPr>
          <w:szCs w:val="24"/>
        </w:rPr>
      </w:pPr>
    </w:p>
    <w:p>
      <w:pPr>
        <w:spacing w:before="78" w:after="78"/>
        <w:ind w:firstLine="480"/>
        <w:rPr>
          <w:szCs w:val="24"/>
        </w:rPr>
      </w:pPr>
    </w:p>
    <w:p>
      <w:pPr>
        <w:tabs>
          <w:tab w:val="left" w:pos="5750"/>
        </w:tabs>
        <w:spacing w:before="78" w:after="78"/>
        <w:ind w:firstLine="480"/>
        <w:rPr>
          <w:szCs w:val="24"/>
        </w:rPr>
        <w:sectPr>
          <w:footerReference r:id="rId10" w:type="default"/>
          <w:pgSz w:w="11906" w:h="16838"/>
          <w:pgMar w:top="1440" w:right="1800" w:bottom="1440" w:left="1800" w:header="851" w:footer="992" w:gutter="0"/>
          <w:cols w:space="720" w:num="1"/>
          <w:docGrid w:type="lines" w:linePitch="312" w:charSpace="0"/>
        </w:sectPr>
      </w:pPr>
    </w:p>
    <w:p>
      <w:pPr>
        <w:pStyle w:val="3"/>
        <w:keepLines w:val="0"/>
        <w:widowControl/>
        <w:numPr>
          <w:ilvl w:val="0"/>
          <w:numId w:val="1"/>
        </w:numPr>
        <w:spacing w:before="120" w:after="120"/>
        <w:ind w:left="0" w:firstLine="0"/>
        <w:jc w:val="left"/>
        <w:rPr>
          <w:rFonts w:eastAsia="黑体"/>
          <w:bCs w:val="0"/>
          <w:kern w:val="2"/>
        </w:rPr>
      </w:pPr>
      <w:bookmarkStart w:id="2" w:name="_Toc44516098"/>
      <w:bookmarkStart w:id="3" w:name="_Toc44516259"/>
      <w:bookmarkStart w:id="4" w:name="_Toc175071538"/>
      <w:r>
        <w:rPr>
          <w:rFonts w:hAnsi="黑体" w:eastAsia="黑体"/>
          <w:bCs w:val="0"/>
          <w:kern w:val="2"/>
        </w:rPr>
        <w:t>建设</w:t>
      </w:r>
      <w:bookmarkEnd w:id="2"/>
      <w:bookmarkEnd w:id="3"/>
      <w:r>
        <w:rPr>
          <w:rFonts w:hAnsi="黑体" w:eastAsia="黑体"/>
          <w:bCs w:val="0"/>
          <w:kern w:val="2"/>
        </w:rPr>
        <w:t>背景</w:t>
      </w:r>
      <w:bookmarkEnd w:id="4"/>
    </w:p>
    <w:p>
      <w:pPr>
        <w:spacing w:beforeLines="0" w:afterLines="0" w:line="560" w:lineRule="exact"/>
        <w:ind w:firstLine="600"/>
        <w:rPr>
          <w:rFonts w:eastAsia="仿宋_GB2312"/>
          <w:sz w:val="30"/>
          <w:szCs w:val="30"/>
        </w:rPr>
      </w:pPr>
      <w:r>
        <w:rPr>
          <w:rFonts w:eastAsia="仿宋_GB2312"/>
          <w:sz w:val="30"/>
          <w:szCs w:val="30"/>
        </w:rPr>
        <w:t>“上海市公安局智慧法制一体化管理系统项目（产品软件）”项目属于上海市公安局智慧法制一体化管理系统建设的重要组成部分，该项目提供的产品软件为各种应用系统提供标准化支撑和基础服务。</w:t>
      </w:r>
    </w:p>
    <w:p>
      <w:pPr>
        <w:spacing w:beforeLines="0" w:afterLines="0" w:line="560" w:lineRule="exact"/>
        <w:ind w:firstLine="600"/>
        <w:rPr>
          <w:rFonts w:eastAsia="仿宋_GB2312"/>
          <w:sz w:val="30"/>
          <w:szCs w:val="30"/>
        </w:rPr>
      </w:pPr>
      <w:r>
        <w:rPr>
          <w:rFonts w:eastAsia="仿宋_GB2312"/>
          <w:sz w:val="30"/>
          <w:szCs w:val="30"/>
        </w:rPr>
        <w:t>本项目是上海市公安局智慧法制一体化管理系统能够发挥作用的基石，拟选型基础软件产品，保证建设合规的同时，选择出好的基础软件产品（包括操作系统、中间件、数据库系统），相关产品满足“高性能”、“高可用”、“高安全”、“高兼容”、“高稳定”的要求，同时需满足国产化要求。</w:t>
      </w:r>
    </w:p>
    <w:p>
      <w:pPr>
        <w:pStyle w:val="2"/>
        <w:spacing w:before="60"/>
        <w:ind w:firstLine="480"/>
      </w:pPr>
    </w:p>
    <w:p>
      <w:pPr>
        <w:pStyle w:val="3"/>
        <w:keepLines w:val="0"/>
        <w:widowControl/>
        <w:numPr>
          <w:ilvl w:val="0"/>
          <w:numId w:val="1"/>
        </w:numPr>
        <w:spacing w:before="120" w:after="120"/>
        <w:ind w:left="0" w:firstLine="0"/>
        <w:jc w:val="left"/>
        <w:rPr>
          <w:rFonts w:eastAsia="黑体"/>
          <w:bCs w:val="0"/>
          <w:kern w:val="2"/>
        </w:rPr>
      </w:pPr>
      <w:bookmarkStart w:id="5" w:name="_Toc175071539"/>
      <w:r>
        <w:rPr>
          <w:rFonts w:hAnsi="黑体" w:eastAsia="黑体"/>
          <w:bCs w:val="0"/>
          <w:kern w:val="2"/>
        </w:rPr>
        <w:t>建设目标</w:t>
      </w:r>
      <w:bookmarkEnd w:id="5"/>
    </w:p>
    <w:p>
      <w:pPr>
        <w:spacing w:beforeLines="0" w:afterLines="0" w:line="560" w:lineRule="exact"/>
        <w:ind w:firstLine="600"/>
        <w:rPr>
          <w:rFonts w:eastAsia="仿宋_GB2312"/>
          <w:sz w:val="30"/>
          <w:szCs w:val="30"/>
        </w:rPr>
      </w:pPr>
      <w:r>
        <w:rPr>
          <w:rFonts w:eastAsia="仿宋_GB2312"/>
          <w:sz w:val="30"/>
          <w:szCs w:val="30"/>
        </w:rPr>
        <w:t>产品软件是为上海市公安局智慧法制一体化管理系统各种应用系统提供标准化支撑和基础服务，通过统一的数据标准和接口规范将应用系统联通。系统软件主要满足相关应用运行环境的需要。</w:t>
      </w:r>
    </w:p>
    <w:p>
      <w:pPr>
        <w:pStyle w:val="3"/>
        <w:keepLines w:val="0"/>
        <w:widowControl/>
        <w:numPr>
          <w:ilvl w:val="0"/>
          <w:numId w:val="1"/>
        </w:numPr>
        <w:spacing w:before="120" w:after="120"/>
        <w:ind w:left="0" w:firstLine="0"/>
        <w:jc w:val="left"/>
        <w:rPr>
          <w:rFonts w:eastAsia="黑体"/>
          <w:bCs w:val="0"/>
          <w:kern w:val="2"/>
        </w:rPr>
      </w:pPr>
      <w:bookmarkStart w:id="6" w:name="_Toc175071540"/>
      <w:r>
        <w:rPr>
          <w:rFonts w:hAnsi="黑体" w:eastAsia="黑体"/>
          <w:bCs w:val="0"/>
          <w:kern w:val="2"/>
        </w:rPr>
        <w:t>招标清单</w:t>
      </w:r>
      <w:bookmarkEnd w:id="6"/>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92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tcPr>
          <w:p>
            <w:pPr>
              <w:spacing w:before="60" w:after="60" w:line="240" w:lineRule="auto"/>
              <w:ind w:firstLine="0" w:firstLineChars="0"/>
              <w:jc w:val="center"/>
            </w:pPr>
            <w:r>
              <w:t>序号</w:t>
            </w:r>
          </w:p>
        </w:tc>
        <w:tc>
          <w:tcPr>
            <w:tcW w:w="2929" w:type="dxa"/>
          </w:tcPr>
          <w:p>
            <w:pPr>
              <w:spacing w:before="60" w:after="60" w:line="240" w:lineRule="auto"/>
              <w:ind w:firstLine="0" w:firstLineChars="0"/>
              <w:jc w:val="center"/>
            </w:pPr>
            <w:r>
              <w:t>名称</w:t>
            </w:r>
          </w:p>
        </w:tc>
        <w:tc>
          <w:tcPr>
            <w:tcW w:w="2131" w:type="dxa"/>
          </w:tcPr>
          <w:p>
            <w:pPr>
              <w:spacing w:before="60" w:after="60" w:line="240" w:lineRule="auto"/>
              <w:ind w:firstLine="0" w:firstLineChars="0"/>
              <w:jc w:val="center"/>
            </w:pPr>
            <w:r>
              <w:t>单位</w:t>
            </w:r>
          </w:p>
        </w:tc>
        <w:tc>
          <w:tcPr>
            <w:tcW w:w="2131" w:type="dxa"/>
          </w:tcPr>
          <w:p>
            <w:pPr>
              <w:spacing w:before="60" w:after="60" w:line="240" w:lineRule="auto"/>
              <w:ind w:firstLine="0" w:firstLineChars="0"/>
              <w:jc w:val="center"/>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tcPr>
          <w:p>
            <w:pPr>
              <w:spacing w:before="60" w:after="60" w:line="240" w:lineRule="auto"/>
              <w:ind w:firstLine="0" w:firstLineChars="0"/>
              <w:jc w:val="center"/>
            </w:pPr>
            <w:r>
              <w:t>1</w:t>
            </w:r>
          </w:p>
        </w:tc>
        <w:tc>
          <w:tcPr>
            <w:tcW w:w="2929" w:type="dxa"/>
          </w:tcPr>
          <w:p>
            <w:pPr>
              <w:spacing w:before="60" w:after="60" w:line="240" w:lineRule="auto"/>
              <w:ind w:firstLine="0" w:firstLineChars="0"/>
            </w:pPr>
            <w:r>
              <w:t>国产化数据库系统</w:t>
            </w:r>
          </w:p>
        </w:tc>
        <w:tc>
          <w:tcPr>
            <w:tcW w:w="2131" w:type="dxa"/>
          </w:tcPr>
          <w:p>
            <w:pPr>
              <w:spacing w:before="60" w:after="60" w:line="240" w:lineRule="auto"/>
              <w:ind w:firstLine="0" w:firstLineChars="0"/>
              <w:jc w:val="center"/>
            </w:pPr>
            <w:r>
              <w:t>套</w:t>
            </w:r>
          </w:p>
        </w:tc>
        <w:tc>
          <w:tcPr>
            <w:tcW w:w="2131" w:type="dxa"/>
          </w:tcPr>
          <w:p>
            <w:pPr>
              <w:spacing w:before="60" w:after="60" w:line="240" w:lineRule="auto"/>
              <w:ind w:firstLine="0" w:firstLineChars="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tcPr>
          <w:p>
            <w:pPr>
              <w:spacing w:before="60" w:after="60" w:line="240" w:lineRule="auto"/>
              <w:ind w:firstLine="0" w:firstLineChars="0"/>
              <w:jc w:val="center"/>
            </w:pPr>
            <w:r>
              <w:t>2</w:t>
            </w:r>
          </w:p>
        </w:tc>
        <w:tc>
          <w:tcPr>
            <w:tcW w:w="2929" w:type="dxa"/>
          </w:tcPr>
          <w:p>
            <w:pPr>
              <w:spacing w:before="60" w:after="60" w:line="240" w:lineRule="auto"/>
              <w:ind w:firstLine="0" w:firstLineChars="0"/>
            </w:pPr>
            <w:r>
              <w:t>国产化中间件</w:t>
            </w:r>
          </w:p>
        </w:tc>
        <w:tc>
          <w:tcPr>
            <w:tcW w:w="2131" w:type="dxa"/>
          </w:tcPr>
          <w:p>
            <w:pPr>
              <w:spacing w:before="60" w:after="60" w:line="240" w:lineRule="auto"/>
              <w:ind w:firstLine="0" w:firstLineChars="0"/>
              <w:jc w:val="center"/>
            </w:pPr>
            <w:r>
              <w:t>套</w:t>
            </w:r>
          </w:p>
        </w:tc>
        <w:tc>
          <w:tcPr>
            <w:tcW w:w="2131" w:type="dxa"/>
          </w:tcPr>
          <w:p>
            <w:pPr>
              <w:spacing w:before="60" w:after="60" w:line="240" w:lineRule="auto"/>
              <w:ind w:firstLine="0" w:firstLineChars="0"/>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tcPr>
          <w:p>
            <w:pPr>
              <w:spacing w:before="60" w:after="60" w:line="240" w:lineRule="auto"/>
              <w:ind w:firstLine="0" w:firstLineChars="0"/>
              <w:jc w:val="center"/>
            </w:pPr>
            <w:r>
              <w:t>3</w:t>
            </w:r>
          </w:p>
        </w:tc>
        <w:tc>
          <w:tcPr>
            <w:tcW w:w="2929" w:type="dxa"/>
          </w:tcPr>
          <w:p>
            <w:pPr>
              <w:spacing w:before="60" w:after="60" w:line="240" w:lineRule="auto"/>
              <w:ind w:firstLine="0" w:firstLineChars="0"/>
            </w:pPr>
            <w:r>
              <w:t>国产化服务器操作系统</w:t>
            </w:r>
          </w:p>
        </w:tc>
        <w:tc>
          <w:tcPr>
            <w:tcW w:w="2131" w:type="dxa"/>
          </w:tcPr>
          <w:p>
            <w:pPr>
              <w:spacing w:before="60" w:after="60" w:line="240" w:lineRule="auto"/>
              <w:ind w:firstLine="0" w:firstLineChars="0"/>
              <w:jc w:val="center"/>
            </w:pPr>
            <w:r>
              <w:t>套</w:t>
            </w:r>
          </w:p>
        </w:tc>
        <w:tc>
          <w:tcPr>
            <w:tcW w:w="2131" w:type="dxa"/>
          </w:tcPr>
          <w:p>
            <w:pPr>
              <w:spacing w:before="60" w:after="60" w:line="240" w:lineRule="auto"/>
              <w:ind w:firstLine="0" w:firstLineChars="0"/>
              <w:jc w:val="center"/>
            </w:pPr>
            <w:r>
              <w:t>150</w:t>
            </w:r>
          </w:p>
        </w:tc>
      </w:tr>
    </w:tbl>
    <w:p>
      <w:pPr>
        <w:spacing w:beforeLines="0" w:afterLines="0" w:line="560" w:lineRule="exact"/>
        <w:ind w:firstLine="600"/>
        <w:rPr>
          <w:rFonts w:eastAsia="仿宋_GB2312"/>
          <w:sz w:val="30"/>
          <w:szCs w:val="30"/>
        </w:rPr>
      </w:pPr>
      <w:r>
        <w:rPr>
          <w:rFonts w:eastAsia="仿宋_GB2312"/>
          <w:sz w:val="30"/>
          <w:szCs w:val="30"/>
        </w:rPr>
        <w:t>本项目相关产品应与上海市公安局智慧法制一体化管理系统项目（主体项目软件开发、集成及数据清洗）</w:t>
      </w:r>
      <w:r>
        <w:rPr>
          <w:rFonts w:hint="eastAsia" w:eastAsia="仿宋_GB2312"/>
          <w:sz w:val="30"/>
          <w:szCs w:val="30"/>
        </w:rPr>
        <w:t>项目中建设的应用软件及相关服务器资源适配。其中，操作系统采购共计150套，中间件采购共计12套，数据库采购共计10套，其中核心产品为操作系统，预算为2440000元，最高价限额为2280000元。</w:t>
      </w:r>
    </w:p>
    <w:p>
      <w:pPr>
        <w:pStyle w:val="3"/>
        <w:keepLines w:val="0"/>
        <w:widowControl/>
        <w:numPr>
          <w:ilvl w:val="0"/>
          <w:numId w:val="1"/>
        </w:numPr>
        <w:spacing w:before="120" w:after="120"/>
        <w:ind w:left="0" w:firstLine="0"/>
        <w:jc w:val="left"/>
        <w:rPr>
          <w:rFonts w:eastAsia="黑体"/>
          <w:bCs w:val="0"/>
          <w:kern w:val="2"/>
        </w:rPr>
      </w:pPr>
      <w:r>
        <w:rPr>
          <w:rFonts w:hAnsi="黑体" w:eastAsia="黑体"/>
          <w:bCs w:val="0"/>
          <w:kern w:val="2"/>
        </w:rPr>
        <w:t>产品需求</w:t>
      </w:r>
    </w:p>
    <w:p>
      <w:pPr>
        <w:pStyle w:val="4"/>
        <w:spacing w:before="60" w:after="60"/>
        <w:rPr>
          <w:rFonts w:ascii="Times New Roman" w:hAnsi="Times New Roman"/>
        </w:rPr>
      </w:pPr>
      <w:r>
        <w:rPr>
          <w:rFonts w:ascii="Times New Roman"/>
        </w:rPr>
        <w:t>国产化数据库系统需求</w:t>
      </w:r>
    </w:p>
    <w:p>
      <w:pPr>
        <w:spacing w:beforeLines="0" w:afterLines="0" w:line="560" w:lineRule="exact"/>
        <w:ind w:firstLine="600"/>
        <w:rPr>
          <w:rFonts w:eastAsia="仿宋_GB2312"/>
          <w:sz w:val="30"/>
          <w:szCs w:val="30"/>
        </w:rPr>
      </w:pPr>
      <w:r>
        <w:rPr>
          <w:rFonts w:eastAsia="仿宋_GB2312"/>
          <w:sz w:val="30"/>
          <w:szCs w:val="30"/>
        </w:rPr>
        <w:t>本次需采购国产化数据库系统软件共计10套，具体要求如下：</w:t>
      </w:r>
    </w:p>
    <w:tbl>
      <w:tblPr>
        <w:tblStyle w:val="48"/>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1020"/>
        <w:gridCol w:w="1180"/>
        <w:gridCol w:w="1070"/>
        <w:gridCol w:w="3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序号</w:t>
            </w:r>
          </w:p>
        </w:tc>
        <w:tc>
          <w:tcPr>
            <w:tcW w:w="1020" w:type="dxa"/>
          </w:tcPr>
          <w:p>
            <w:pPr>
              <w:pStyle w:val="47"/>
              <w:spacing w:before="60" w:after="60"/>
              <w:jc w:val="both"/>
              <w:rPr>
                <w:rFonts w:eastAsia="宋体"/>
              </w:rPr>
            </w:pPr>
            <w:r>
              <w:rPr>
                <w:rFonts w:hint="eastAsia"/>
              </w:rPr>
              <w:t>分类</w:t>
            </w:r>
          </w:p>
        </w:tc>
        <w:tc>
          <w:tcPr>
            <w:tcW w:w="2250" w:type="dxa"/>
            <w:gridSpan w:val="2"/>
          </w:tcPr>
          <w:p>
            <w:pPr>
              <w:pStyle w:val="47"/>
              <w:spacing w:before="60" w:after="60"/>
              <w:rPr>
                <w:rFonts w:eastAsia="宋体"/>
              </w:rPr>
            </w:pPr>
            <w:r>
              <w:t>指标</w:t>
            </w:r>
            <w:r>
              <w:rPr>
                <w:rFonts w:hint="eastAsia"/>
              </w:rPr>
              <w:t>项</w:t>
            </w:r>
          </w:p>
        </w:tc>
        <w:tc>
          <w:tcPr>
            <w:tcW w:w="3953" w:type="dxa"/>
          </w:tcPr>
          <w:p>
            <w:pPr>
              <w:pStyle w:val="47"/>
              <w:spacing w:before="60" w:after="60"/>
              <w:jc w:val="left"/>
            </w:pPr>
            <w: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07" w:type="dxa"/>
            <w:gridSpan w:val="5"/>
            <w:vAlign w:val="center"/>
          </w:tcPr>
          <w:p>
            <w:pPr>
              <w:pStyle w:val="47"/>
              <w:spacing w:before="60" w:after="60"/>
              <w:jc w:val="left"/>
            </w:pPr>
            <w:r>
              <w:rPr>
                <w:rFonts w:hint="eastAsia"/>
              </w:rPr>
              <w:t>基础需求指标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*安装与升级</w:t>
            </w:r>
          </w:p>
        </w:tc>
        <w:tc>
          <w:tcPr>
            <w:tcW w:w="1070" w:type="dxa"/>
          </w:tcPr>
          <w:p>
            <w:pPr>
              <w:pStyle w:val="47"/>
              <w:spacing w:before="60" w:after="60"/>
            </w:pPr>
            <w:r>
              <w:t>*数据库安装</w:t>
            </w:r>
          </w:p>
        </w:tc>
        <w:tc>
          <w:tcPr>
            <w:tcW w:w="3953" w:type="dxa"/>
          </w:tcPr>
          <w:p>
            <w:pPr>
              <w:pStyle w:val="47"/>
              <w:spacing w:before="60" w:after="60"/>
              <w:jc w:val="left"/>
            </w:pPr>
            <w:r>
              <w:t>a)支持命令行或图形化的安装；</w:t>
            </w:r>
          </w:p>
          <w:p>
            <w:pPr>
              <w:pStyle w:val="47"/>
              <w:spacing w:before="60" w:after="60"/>
              <w:jc w:val="left"/>
            </w:pPr>
            <w:r>
              <w:t>b)支持命令行或图形化的可配置安装能力；</w:t>
            </w:r>
          </w:p>
          <w:p>
            <w:pPr>
              <w:pStyle w:val="47"/>
              <w:spacing w:before="60" w:after="60"/>
              <w:jc w:val="left"/>
            </w:pPr>
            <w:r>
              <w:t>c)依据安装环境提供相应的初始化参数配置值；</w:t>
            </w:r>
          </w:p>
          <w:p>
            <w:pPr>
              <w:pStyle w:val="47"/>
              <w:spacing w:before="60" w:after="60"/>
              <w:jc w:val="left"/>
            </w:pPr>
            <w:r>
              <w:t>d)提供图形化软件组件管理向导工具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*数据库重启</w:t>
            </w:r>
          </w:p>
        </w:tc>
        <w:tc>
          <w:tcPr>
            <w:tcW w:w="3953" w:type="dxa"/>
          </w:tcPr>
          <w:p>
            <w:pPr>
              <w:pStyle w:val="47"/>
              <w:spacing w:before="60" w:after="60"/>
              <w:jc w:val="left"/>
            </w:pPr>
            <w:r>
              <w:t>a)支持命令行或图形化的方式关闭和启动服务；</w:t>
            </w:r>
          </w:p>
          <w:p>
            <w:pPr>
              <w:pStyle w:val="47"/>
              <w:spacing w:before="60" w:after="60"/>
              <w:jc w:val="left"/>
            </w:pPr>
            <w:r>
              <w:t>b)关闭服务后，再启动服务，服务正常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w:t>
            </w:r>
          </w:p>
        </w:tc>
        <w:tc>
          <w:tcPr>
            <w:tcW w:w="1020" w:type="dxa"/>
          </w:tcPr>
          <w:p>
            <w:pPr>
              <w:pStyle w:val="47"/>
              <w:spacing w:before="60" w:after="60"/>
            </w:pPr>
          </w:p>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p>
          <w:p>
            <w:pPr>
              <w:pStyle w:val="47"/>
              <w:spacing w:before="60" w:after="60"/>
            </w:pPr>
            <w:r>
              <w:t>*安装配置日志</w:t>
            </w:r>
          </w:p>
        </w:tc>
        <w:tc>
          <w:tcPr>
            <w:tcW w:w="3953" w:type="dxa"/>
          </w:tcPr>
          <w:p>
            <w:pPr>
              <w:pStyle w:val="47"/>
              <w:spacing w:before="60" w:after="60"/>
              <w:jc w:val="left"/>
            </w:pPr>
            <w:r>
              <w:t>a)提供软件安装的日志记录功能；</w:t>
            </w:r>
          </w:p>
          <w:p>
            <w:pPr>
              <w:pStyle w:val="47"/>
              <w:spacing w:before="60" w:after="60"/>
              <w:jc w:val="left"/>
            </w:pPr>
            <w:r>
              <w:t>b)记录的软件安装信息完整正确；</w:t>
            </w:r>
          </w:p>
          <w:p>
            <w:pPr>
              <w:pStyle w:val="47"/>
              <w:spacing w:before="60" w:after="60"/>
              <w:jc w:val="left"/>
            </w:pPr>
            <w:r>
              <w:t>c)提供安装配置操作的日志记录功能；</w:t>
            </w:r>
          </w:p>
          <w:p>
            <w:pPr>
              <w:pStyle w:val="47"/>
              <w:spacing w:before="60" w:after="60"/>
              <w:jc w:val="left"/>
            </w:pPr>
            <w:r>
              <w:t>d)记录的配置操作信息完整正确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p>
          <w:p>
            <w:pPr>
              <w:pStyle w:val="47"/>
              <w:spacing w:before="60" w:after="60"/>
            </w:pPr>
            <w:r>
              <w:t>*升级维护</w:t>
            </w:r>
          </w:p>
        </w:tc>
        <w:tc>
          <w:tcPr>
            <w:tcW w:w="3953" w:type="dxa"/>
          </w:tcPr>
          <w:p>
            <w:pPr>
              <w:pStyle w:val="47"/>
              <w:spacing w:before="60" w:after="60"/>
              <w:jc w:val="left"/>
            </w:pPr>
            <w:r>
              <w:t>a)支持版本升级，保证版本间功能和数据的兼容性；</w:t>
            </w:r>
          </w:p>
          <w:p>
            <w:pPr>
              <w:pStyle w:val="47"/>
              <w:spacing w:before="60" w:after="60"/>
              <w:jc w:val="left"/>
            </w:pPr>
            <w:r>
              <w:t>b)厂商提供当前版本与历史版本的差异说明文档，包含新版本对软件和硬件的支持情况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安装和升级的兼容性</w:t>
            </w:r>
          </w:p>
        </w:tc>
        <w:tc>
          <w:tcPr>
            <w:tcW w:w="3953" w:type="dxa"/>
          </w:tcPr>
          <w:p>
            <w:pPr>
              <w:pStyle w:val="47"/>
              <w:spacing w:before="60" w:after="60"/>
              <w:jc w:val="left"/>
            </w:pPr>
            <w:r>
              <w:t>支持在不同CPU架构的节点上安装配置、升级，且安装配置、升级数据库的命令行或图形界面相同或相似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节点部署</w:t>
            </w:r>
          </w:p>
        </w:tc>
        <w:tc>
          <w:tcPr>
            <w:tcW w:w="3953" w:type="dxa"/>
          </w:tcPr>
          <w:p>
            <w:pPr>
              <w:pStyle w:val="47"/>
              <w:spacing w:before="60" w:after="60"/>
              <w:jc w:val="left"/>
            </w:pPr>
            <w:r>
              <w:t>a)支持节点安装配置；</w:t>
            </w:r>
          </w:p>
          <w:p>
            <w:pPr>
              <w:pStyle w:val="47"/>
              <w:spacing w:before="60" w:after="60"/>
              <w:jc w:val="left"/>
            </w:pPr>
            <w:r>
              <w:t>b)支持通过单一节点发起并将数据库部署在多个节点上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*数据配置</w:t>
            </w:r>
          </w:p>
        </w:tc>
        <w:tc>
          <w:tcPr>
            <w:tcW w:w="1070" w:type="dxa"/>
          </w:tcPr>
          <w:p>
            <w:pPr>
              <w:pStyle w:val="47"/>
              <w:spacing w:before="60" w:after="60"/>
            </w:pPr>
            <w:r>
              <w:t>*参数配置</w:t>
            </w:r>
          </w:p>
        </w:tc>
        <w:tc>
          <w:tcPr>
            <w:tcW w:w="3953" w:type="dxa"/>
          </w:tcPr>
          <w:p>
            <w:pPr>
              <w:pStyle w:val="47"/>
              <w:spacing w:before="60" w:after="60"/>
              <w:jc w:val="left"/>
            </w:pPr>
            <w:r>
              <w:t>a)依据工作负载和运行环境，提供配置参数修改的能力</w:t>
            </w:r>
          </w:p>
          <w:p>
            <w:pPr>
              <w:pStyle w:val="47"/>
              <w:spacing w:before="60" w:after="60"/>
              <w:jc w:val="left"/>
            </w:pPr>
            <w:r>
              <w:t>b)修改数据库配置参数后，配置参数立即生效或数据库重新启动生效，立即生效的配置参数和需要数据库重新启动方可生效的配置参数在相关文档中明确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存储配置</w:t>
            </w:r>
          </w:p>
        </w:tc>
        <w:tc>
          <w:tcPr>
            <w:tcW w:w="3953" w:type="dxa"/>
          </w:tcPr>
          <w:p>
            <w:pPr>
              <w:pStyle w:val="47"/>
              <w:spacing w:before="60" w:after="60"/>
              <w:jc w:val="left"/>
            </w:pPr>
            <w:r>
              <w:t>a)提供数据库级物理存储位置、逻辑存储参数配置功能；</w:t>
            </w:r>
          </w:p>
          <w:p>
            <w:pPr>
              <w:pStyle w:val="47"/>
              <w:spacing w:before="60" w:after="60"/>
              <w:jc w:val="left"/>
            </w:pPr>
            <w:r>
              <w:t>b)在数据库初始化阶段，提供数据库物理读写块大小的配置功能；</w:t>
            </w:r>
          </w:p>
          <w:p>
            <w:pPr>
              <w:pStyle w:val="47"/>
              <w:spacing w:before="60" w:after="60"/>
              <w:jc w:val="left"/>
            </w:pPr>
            <w:r>
              <w:t>c)提供数据库存储对象空间使用参数的配置功能；</w:t>
            </w:r>
          </w:p>
          <w:p>
            <w:pPr>
              <w:pStyle w:val="47"/>
              <w:spacing w:before="60" w:after="60"/>
              <w:jc w:val="left"/>
            </w:pPr>
            <w:r>
              <w:t>d)提供索引数据存储参数管理功能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内存配置</w:t>
            </w:r>
          </w:p>
        </w:tc>
        <w:tc>
          <w:tcPr>
            <w:tcW w:w="3953" w:type="dxa"/>
          </w:tcPr>
          <w:p>
            <w:pPr>
              <w:pStyle w:val="47"/>
              <w:spacing w:before="60" w:after="60"/>
              <w:jc w:val="left"/>
            </w:pPr>
            <w:r>
              <w:t>a)提供数据库内存规划和配置建议；</w:t>
            </w:r>
          </w:p>
          <w:p>
            <w:pPr>
              <w:pStyle w:val="47"/>
              <w:spacing w:before="60" w:after="60"/>
              <w:jc w:val="left"/>
            </w:pPr>
            <w:r>
              <w:t>b)依据物理内存规划数据库可用内存；</w:t>
            </w:r>
          </w:p>
          <w:p>
            <w:pPr>
              <w:pStyle w:val="47"/>
              <w:spacing w:before="60" w:after="60"/>
              <w:jc w:val="left"/>
            </w:pPr>
            <w:r>
              <w:t>c)依据可用内存或负载情况，自动设置或向用户建议不同数据缓存区大小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w:t>
            </w:r>
          </w:p>
        </w:tc>
        <w:tc>
          <w:tcPr>
            <w:tcW w:w="1020" w:type="dxa"/>
          </w:tcPr>
          <w:p>
            <w:pPr>
              <w:pStyle w:val="47"/>
              <w:spacing w:before="60" w:after="60"/>
            </w:pPr>
          </w:p>
          <w:p>
            <w:pPr>
              <w:pStyle w:val="47"/>
              <w:spacing w:before="60" w:after="60"/>
            </w:pPr>
            <w:r>
              <w:t>功能</w:t>
            </w:r>
          </w:p>
          <w:p>
            <w:pPr>
              <w:pStyle w:val="47"/>
              <w:spacing w:before="60" w:after="60"/>
            </w:pPr>
            <w:r>
              <w:t>要求</w:t>
            </w:r>
          </w:p>
        </w:tc>
        <w:tc>
          <w:tcPr>
            <w:tcW w:w="1180" w:type="dxa"/>
          </w:tcPr>
          <w:p>
            <w:pPr>
              <w:pStyle w:val="47"/>
              <w:spacing w:before="60" w:after="60"/>
            </w:pPr>
            <w:r>
              <w:t>*SQL功能</w:t>
            </w:r>
          </w:p>
        </w:tc>
        <w:tc>
          <w:tcPr>
            <w:tcW w:w="1070" w:type="dxa"/>
          </w:tcPr>
          <w:p>
            <w:pPr>
              <w:pStyle w:val="47"/>
              <w:spacing w:before="60" w:after="60"/>
            </w:pPr>
            <w:r>
              <w:t>*基础数据类型</w:t>
            </w:r>
          </w:p>
        </w:tc>
        <w:tc>
          <w:tcPr>
            <w:tcW w:w="3953" w:type="dxa"/>
          </w:tcPr>
          <w:p>
            <w:pPr>
              <w:pStyle w:val="47"/>
              <w:spacing w:before="60" w:after="60"/>
              <w:jc w:val="left"/>
            </w:pPr>
            <w:r>
              <w:t>a)支持数值类型；</w:t>
            </w:r>
          </w:p>
          <w:p>
            <w:pPr>
              <w:pStyle w:val="47"/>
              <w:spacing w:before="60" w:after="60"/>
              <w:jc w:val="left"/>
            </w:pPr>
            <w:r>
              <w:t>b)支持字符类型；</w:t>
            </w:r>
          </w:p>
          <w:p>
            <w:pPr>
              <w:pStyle w:val="47"/>
              <w:spacing w:before="60" w:after="60"/>
              <w:jc w:val="left"/>
            </w:pPr>
            <w:r>
              <w:t>c)支持二进制类型；</w:t>
            </w:r>
          </w:p>
          <w:p>
            <w:pPr>
              <w:pStyle w:val="47"/>
              <w:spacing w:before="60" w:after="60"/>
              <w:jc w:val="left"/>
            </w:pPr>
            <w:r>
              <w:t>d)支持日期和时间类型；</w:t>
            </w:r>
          </w:p>
          <w:p>
            <w:pPr>
              <w:pStyle w:val="47"/>
              <w:spacing w:before="60" w:after="60"/>
              <w:jc w:val="left"/>
            </w:pPr>
            <w:r>
              <w:t>e)支持布尔类型；</w:t>
            </w:r>
          </w:p>
          <w:p>
            <w:pPr>
              <w:pStyle w:val="47"/>
              <w:spacing w:before="60" w:after="60"/>
              <w:jc w:val="left"/>
            </w:pPr>
            <w:r>
              <w:t>f)支持（大）文本类型；</w:t>
            </w:r>
          </w:p>
          <w:p>
            <w:pPr>
              <w:pStyle w:val="47"/>
              <w:spacing w:before="60" w:after="60"/>
              <w:jc w:val="left"/>
            </w:pPr>
            <w:r>
              <w:t>g)支持大对象类型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11</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*SQL功能</w:t>
            </w:r>
          </w:p>
        </w:tc>
        <w:tc>
          <w:tcPr>
            <w:tcW w:w="1070" w:type="dxa"/>
          </w:tcPr>
          <w:p>
            <w:pPr>
              <w:pStyle w:val="47"/>
              <w:spacing w:before="60" w:after="60"/>
            </w:pPr>
            <w:r>
              <w:t>扩展数据类型</w:t>
            </w:r>
          </w:p>
        </w:tc>
        <w:tc>
          <w:tcPr>
            <w:tcW w:w="3953" w:type="dxa"/>
          </w:tcPr>
          <w:p>
            <w:pPr>
              <w:pStyle w:val="47"/>
              <w:spacing w:before="60" w:after="60"/>
              <w:jc w:val="left"/>
            </w:pPr>
            <w:r>
              <w:t>支持间隔、XML、JSON等数据类型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自定义数据类型</w:t>
            </w:r>
          </w:p>
        </w:tc>
        <w:tc>
          <w:tcPr>
            <w:tcW w:w="3953" w:type="dxa"/>
          </w:tcPr>
          <w:p>
            <w:pPr>
              <w:pStyle w:val="47"/>
              <w:spacing w:before="60" w:after="60"/>
              <w:jc w:val="left"/>
            </w:pPr>
            <w:r>
              <w:t>具备用户自定义数据类型的能力，可支持不同应用场景的数据类型需求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13</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*数据存储基础功能</w:t>
            </w:r>
          </w:p>
        </w:tc>
        <w:tc>
          <w:tcPr>
            <w:tcW w:w="3953" w:type="dxa"/>
          </w:tcPr>
          <w:p>
            <w:pPr>
              <w:pStyle w:val="47"/>
              <w:spacing w:before="60" w:after="60"/>
              <w:jc w:val="left"/>
            </w:pPr>
            <w:r>
              <w:t>支持基础数据类型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数据存储增强功能</w:t>
            </w:r>
          </w:p>
        </w:tc>
        <w:tc>
          <w:tcPr>
            <w:tcW w:w="3953" w:type="dxa"/>
          </w:tcPr>
          <w:p>
            <w:pPr>
              <w:pStyle w:val="47"/>
              <w:spacing w:before="60" w:after="60"/>
              <w:jc w:val="left"/>
            </w:pPr>
            <w:r>
              <w:t>a)支持扩展数据类型；</w:t>
            </w:r>
          </w:p>
          <w:p>
            <w:pPr>
              <w:pStyle w:val="47"/>
              <w:spacing w:before="60" w:after="60"/>
              <w:jc w:val="left"/>
            </w:pPr>
            <w:r>
              <w:t>b)支持自定义数据类型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15</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*数据检索基础功能</w:t>
            </w:r>
          </w:p>
        </w:tc>
        <w:tc>
          <w:tcPr>
            <w:tcW w:w="3953" w:type="dxa"/>
          </w:tcPr>
          <w:p>
            <w:pPr>
              <w:pStyle w:val="47"/>
              <w:spacing w:before="60" w:after="60"/>
              <w:jc w:val="left"/>
            </w:pPr>
            <w:r>
              <w:t>支持基础数据类型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数据检索增强功能</w:t>
            </w:r>
          </w:p>
        </w:tc>
        <w:tc>
          <w:tcPr>
            <w:tcW w:w="3953" w:type="dxa"/>
          </w:tcPr>
          <w:p>
            <w:pPr>
              <w:pStyle w:val="47"/>
              <w:spacing w:before="60" w:after="60"/>
              <w:jc w:val="left"/>
            </w:pPr>
            <w:r>
              <w:t>a)支持扩展数据类型；</w:t>
            </w:r>
          </w:p>
          <w:p>
            <w:pPr>
              <w:pStyle w:val="47"/>
              <w:spacing w:before="60" w:after="60"/>
              <w:jc w:val="left"/>
            </w:pPr>
            <w:r>
              <w:t>b)支持自定义数据类型；</w:t>
            </w:r>
          </w:p>
          <w:p>
            <w:pPr>
              <w:pStyle w:val="47"/>
              <w:spacing w:before="60" w:after="60"/>
              <w:jc w:val="left"/>
            </w:pPr>
            <w:r>
              <w:t>c)支持中文检索功能，如使用中国纪年历法进行检索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*核心SQL能力</w:t>
            </w:r>
          </w:p>
        </w:tc>
        <w:tc>
          <w:tcPr>
            <w:tcW w:w="3953" w:type="dxa"/>
          </w:tcPr>
          <w:p>
            <w:pPr>
              <w:pStyle w:val="47"/>
              <w:spacing w:before="60" w:after="60"/>
              <w:jc w:val="left"/>
            </w:pPr>
            <w:r>
              <w:t>a)支持左外连接；</w:t>
            </w:r>
          </w:p>
          <w:p>
            <w:pPr>
              <w:pStyle w:val="47"/>
              <w:spacing w:before="60" w:after="60"/>
              <w:jc w:val="left"/>
            </w:pPr>
            <w:r>
              <w:t>b)支持右外连接；</w:t>
            </w:r>
          </w:p>
          <w:p>
            <w:pPr>
              <w:pStyle w:val="47"/>
              <w:spacing w:before="60" w:after="60"/>
              <w:jc w:val="left"/>
            </w:pPr>
            <w:r>
              <w:t>c)支持内连接；</w:t>
            </w:r>
          </w:p>
          <w:p>
            <w:pPr>
              <w:pStyle w:val="47"/>
              <w:spacing w:before="60" w:after="60"/>
              <w:jc w:val="left"/>
            </w:pPr>
            <w:r>
              <w:t>d)支持全连接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*字符集</w:t>
            </w:r>
          </w:p>
        </w:tc>
        <w:tc>
          <w:tcPr>
            <w:tcW w:w="3953" w:type="dxa"/>
          </w:tcPr>
          <w:p>
            <w:pPr>
              <w:pStyle w:val="47"/>
              <w:spacing w:before="60" w:after="60"/>
              <w:jc w:val="left"/>
            </w:pPr>
            <w:r>
              <w:t>中文字符集符合GB18030的要求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p>
          <w:p>
            <w:pPr>
              <w:pStyle w:val="47"/>
              <w:spacing w:before="60" w:after="60"/>
            </w:pPr>
            <w:r>
              <w:t>19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*常用操作符</w:t>
            </w:r>
          </w:p>
        </w:tc>
        <w:tc>
          <w:tcPr>
            <w:tcW w:w="3953" w:type="dxa"/>
          </w:tcPr>
          <w:p>
            <w:pPr>
              <w:pStyle w:val="47"/>
              <w:spacing w:before="60" w:after="60"/>
              <w:jc w:val="left"/>
            </w:pPr>
            <w:r>
              <w:t>a)支持逻辑操作符及相关运算；</w:t>
            </w:r>
          </w:p>
          <w:p>
            <w:pPr>
              <w:pStyle w:val="47"/>
              <w:spacing w:before="60" w:after="60"/>
              <w:jc w:val="left"/>
            </w:pPr>
            <w:r>
              <w:t>b)支持比较操作符及相关运算；</w:t>
            </w:r>
          </w:p>
          <w:p>
            <w:pPr>
              <w:pStyle w:val="47"/>
              <w:spacing w:before="60" w:after="60"/>
              <w:jc w:val="left"/>
            </w:pPr>
            <w:r>
              <w:t>c)支持算术运算符及相关运算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20</w:t>
            </w:r>
          </w:p>
        </w:tc>
        <w:tc>
          <w:tcPr>
            <w:tcW w:w="1020" w:type="dxa"/>
          </w:tcPr>
          <w:p>
            <w:pPr>
              <w:pStyle w:val="47"/>
              <w:spacing w:before="60" w:after="60"/>
            </w:pPr>
          </w:p>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*条件表达式</w:t>
            </w:r>
          </w:p>
        </w:tc>
        <w:tc>
          <w:tcPr>
            <w:tcW w:w="3953" w:type="dxa"/>
          </w:tcPr>
          <w:p>
            <w:pPr>
              <w:pStyle w:val="47"/>
              <w:spacing w:before="60" w:after="60"/>
              <w:jc w:val="left"/>
            </w:pPr>
            <w:r>
              <w:t>a)支持对比条件表达式；</w:t>
            </w:r>
          </w:p>
          <w:p>
            <w:pPr>
              <w:pStyle w:val="47"/>
              <w:spacing w:before="60" w:after="60"/>
              <w:jc w:val="left"/>
            </w:pPr>
            <w:r>
              <w:t>b)支持逻辑条件表达式；</w:t>
            </w:r>
          </w:p>
          <w:p>
            <w:pPr>
              <w:pStyle w:val="47"/>
              <w:spacing w:before="60" w:after="60"/>
              <w:jc w:val="left"/>
            </w:pPr>
            <w:r>
              <w:t>c)支持空值条件表达式；</w:t>
            </w:r>
          </w:p>
          <w:p>
            <w:pPr>
              <w:pStyle w:val="47"/>
              <w:spacing w:before="60" w:after="60"/>
              <w:jc w:val="left"/>
            </w:pPr>
            <w:r>
              <w:t>d)支持等于条件表达式；</w:t>
            </w:r>
          </w:p>
          <w:p>
            <w:pPr>
              <w:pStyle w:val="47"/>
              <w:spacing w:before="60" w:after="60"/>
              <w:jc w:val="left"/>
            </w:pPr>
            <w:r>
              <w:t>e)支持模式匹配条件表达式；</w:t>
            </w:r>
          </w:p>
          <w:p>
            <w:pPr>
              <w:pStyle w:val="47"/>
              <w:spacing w:before="60" w:after="60"/>
              <w:jc w:val="left"/>
            </w:pPr>
            <w:r>
              <w:t>f)支持区间条件表达式；</w:t>
            </w:r>
          </w:p>
          <w:p>
            <w:pPr>
              <w:pStyle w:val="47"/>
              <w:spacing w:before="60" w:after="60"/>
              <w:jc w:val="left"/>
            </w:pPr>
            <w:r>
              <w:t>g)支持IN条件表达式；</w:t>
            </w:r>
          </w:p>
          <w:p>
            <w:pPr>
              <w:pStyle w:val="47"/>
              <w:spacing w:before="60" w:after="60"/>
              <w:jc w:val="left"/>
            </w:pPr>
            <w:r>
              <w:t>h)支持存在条件表达式；</w:t>
            </w:r>
          </w:p>
          <w:p>
            <w:pPr>
              <w:pStyle w:val="47"/>
              <w:spacing w:before="60" w:after="60"/>
              <w:jc w:val="left"/>
            </w:pPr>
            <w:r>
              <w:t>i)支持以上条件表达式的复合表达式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21</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*SQL执行计划</w:t>
            </w:r>
          </w:p>
        </w:tc>
        <w:tc>
          <w:tcPr>
            <w:tcW w:w="3953" w:type="dxa"/>
          </w:tcPr>
          <w:p>
            <w:pPr>
              <w:pStyle w:val="47"/>
              <w:spacing w:before="60" w:after="60"/>
              <w:jc w:val="left"/>
            </w:pPr>
            <w:r>
              <w:t>支持SQL计划，使SQL按照指定的语句执行，并实现预期结果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p>
          <w:p>
            <w:pPr>
              <w:pStyle w:val="47"/>
              <w:spacing w:before="60" w:after="60"/>
            </w:pPr>
            <w:r>
              <w:t>22</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*数据库对象</w:t>
            </w:r>
          </w:p>
        </w:tc>
        <w:tc>
          <w:tcPr>
            <w:tcW w:w="1070" w:type="dxa"/>
          </w:tcPr>
          <w:p>
            <w:pPr>
              <w:pStyle w:val="47"/>
              <w:spacing w:before="60" w:after="60"/>
            </w:pPr>
            <w:r>
              <w:t>*基础对象类型</w:t>
            </w:r>
          </w:p>
        </w:tc>
        <w:tc>
          <w:tcPr>
            <w:tcW w:w="3953" w:type="dxa"/>
          </w:tcPr>
          <w:p>
            <w:pPr>
              <w:pStyle w:val="47"/>
              <w:spacing w:before="60" w:after="60"/>
              <w:jc w:val="left"/>
            </w:pPr>
            <w:r>
              <w:t>a)支持用户的创建、删除、修改；</w:t>
            </w:r>
          </w:p>
          <w:p>
            <w:pPr>
              <w:pStyle w:val="47"/>
              <w:spacing w:before="60" w:after="60"/>
              <w:jc w:val="left"/>
            </w:pPr>
            <w:r>
              <w:t>b)支持角色的创建、删除、修改；</w:t>
            </w:r>
          </w:p>
          <w:p>
            <w:pPr>
              <w:pStyle w:val="47"/>
              <w:spacing w:before="60" w:after="60"/>
              <w:jc w:val="left"/>
            </w:pPr>
            <w:r>
              <w:t>c)支持存储过程的创建、删除、修改；</w:t>
            </w:r>
          </w:p>
          <w:p>
            <w:pPr>
              <w:pStyle w:val="47"/>
              <w:spacing w:before="60" w:after="60"/>
              <w:jc w:val="left"/>
            </w:pPr>
            <w:r>
              <w:t>d)支持表操作功能；</w:t>
            </w:r>
          </w:p>
          <w:p>
            <w:pPr>
              <w:pStyle w:val="47"/>
              <w:spacing w:before="60" w:after="60"/>
              <w:jc w:val="left"/>
            </w:pPr>
            <w:r>
              <w:t>e)支持自增序列；</w:t>
            </w:r>
          </w:p>
          <w:p>
            <w:pPr>
              <w:pStyle w:val="47"/>
              <w:spacing w:before="60" w:after="60"/>
              <w:jc w:val="left"/>
            </w:pPr>
            <w:r>
              <w:t>f)支持主键约束、外键约束、唯一性约束、检查约束和联合主键约束；</w:t>
            </w:r>
          </w:p>
          <w:p>
            <w:pPr>
              <w:pStyle w:val="47"/>
              <w:spacing w:before="60" w:after="60"/>
              <w:jc w:val="left"/>
            </w:pPr>
            <w:r>
              <w:t>g)支持游标功能；</w:t>
            </w:r>
          </w:p>
          <w:p>
            <w:pPr>
              <w:pStyle w:val="47"/>
              <w:spacing w:before="60" w:after="60"/>
              <w:jc w:val="left"/>
            </w:pPr>
            <w:r>
              <w:t>h)支持视图的创建、删除、修改；</w:t>
            </w:r>
          </w:p>
          <w:p>
            <w:pPr>
              <w:pStyle w:val="47"/>
              <w:spacing w:before="60" w:after="60"/>
              <w:jc w:val="left"/>
            </w:pPr>
            <w:r>
              <w:t>i)支持数值计算函数、字符处理函数、日期时间值函数、间隔函数、类型转换函数、位运算函数、聚合函数、格式化、系统信息等常用函数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23</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扩展对象类型</w:t>
            </w:r>
          </w:p>
        </w:tc>
        <w:tc>
          <w:tcPr>
            <w:tcW w:w="3953" w:type="dxa"/>
          </w:tcPr>
          <w:p>
            <w:pPr>
              <w:pStyle w:val="47"/>
              <w:spacing w:before="60" w:after="60"/>
              <w:jc w:val="left"/>
            </w:pPr>
            <w:r>
              <w:t>a)支持包的创建、删除、修改；</w:t>
            </w:r>
          </w:p>
          <w:p>
            <w:pPr>
              <w:pStyle w:val="47"/>
              <w:spacing w:before="60" w:after="60"/>
              <w:jc w:val="left"/>
            </w:pPr>
            <w:r>
              <w:t>b)支持触发器的创建、删除、修改；</w:t>
            </w:r>
          </w:p>
          <w:p>
            <w:pPr>
              <w:pStyle w:val="47"/>
              <w:spacing w:before="60" w:after="60"/>
              <w:jc w:val="left"/>
            </w:pPr>
            <w:r>
              <w:t>c)支持外部链接的创建、删除，并可以通过外部链接进行外部访问；</w:t>
            </w:r>
          </w:p>
          <w:p>
            <w:pPr>
              <w:pStyle w:val="47"/>
              <w:spacing w:before="60" w:after="60"/>
              <w:jc w:val="left"/>
            </w:pPr>
            <w:r>
              <w:t>d)支持作业的创建、删除、修改；</w:t>
            </w:r>
          </w:p>
          <w:p>
            <w:pPr>
              <w:pStyle w:val="47"/>
              <w:spacing w:before="60" w:after="60"/>
              <w:jc w:val="left"/>
            </w:pPr>
            <w:r>
              <w:t>e)支持全局唯一的自增序列；</w:t>
            </w:r>
          </w:p>
          <w:p>
            <w:pPr>
              <w:pStyle w:val="47"/>
              <w:spacing w:before="60" w:after="60"/>
              <w:jc w:val="left"/>
            </w:pPr>
            <w:r>
              <w:t>f)支持创建函数索引；</w:t>
            </w:r>
          </w:p>
          <w:p>
            <w:pPr>
              <w:pStyle w:val="47"/>
              <w:spacing w:before="60" w:after="60"/>
              <w:jc w:val="left"/>
            </w:pPr>
            <w:r>
              <w:t>g)支持定义同义词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*基础表分区管理</w:t>
            </w:r>
          </w:p>
        </w:tc>
        <w:tc>
          <w:tcPr>
            <w:tcW w:w="3953" w:type="dxa"/>
          </w:tcPr>
          <w:p>
            <w:pPr>
              <w:pStyle w:val="47"/>
              <w:spacing w:before="60" w:after="60"/>
              <w:jc w:val="left"/>
            </w:pPr>
            <w:r>
              <w:t>a)哈希分区方式；</w:t>
            </w:r>
          </w:p>
          <w:p>
            <w:pPr>
              <w:pStyle w:val="47"/>
              <w:spacing w:before="60" w:after="60"/>
              <w:jc w:val="left"/>
            </w:pPr>
            <w:r>
              <w:t>b)范围分区方式；</w:t>
            </w:r>
          </w:p>
          <w:p>
            <w:pPr>
              <w:pStyle w:val="47"/>
              <w:spacing w:before="60" w:after="60"/>
              <w:jc w:val="left"/>
            </w:pPr>
            <w:r>
              <w:t>c)列表分区方式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p>
          <w:p>
            <w:pPr>
              <w:pStyle w:val="47"/>
              <w:spacing w:before="60" w:after="60"/>
            </w:pPr>
            <w:r>
              <w:t>25</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扩展表分区管理</w:t>
            </w:r>
          </w:p>
        </w:tc>
        <w:tc>
          <w:tcPr>
            <w:tcW w:w="3953" w:type="dxa"/>
          </w:tcPr>
          <w:p>
            <w:pPr>
              <w:pStyle w:val="47"/>
              <w:spacing w:before="60" w:after="60"/>
              <w:jc w:val="left"/>
            </w:pPr>
            <w:r>
              <w:t>a)支持数据库表分区及二级分区能力；</w:t>
            </w:r>
          </w:p>
          <w:p>
            <w:pPr>
              <w:pStyle w:val="47"/>
              <w:spacing w:before="60" w:after="60"/>
              <w:jc w:val="left"/>
            </w:pPr>
            <w:r>
              <w:t>b)支持建立分区索引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查看对象</w:t>
            </w:r>
          </w:p>
        </w:tc>
        <w:tc>
          <w:tcPr>
            <w:tcW w:w="3953" w:type="dxa"/>
          </w:tcPr>
          <w:p>
            <w:pPr>
              <w:pStyle w:val="47"/>
              <w:spacing w:before="60" w:after="60"/>
              <w:jc w:val="left"/>
            </w:pPr>
            <w:r>
              <w:t>a)支持查看数据库信息；</w:t>
            </w:r>
          </w:p>
          <w:p>
            <w:pPr>
              <w:pStyle w:val="47"/>
              <w:spacing w:before="60" w:after="60"/>
              <w:jc w:val="left"/>
            </w:pPr>
            <w:r>
              <w:t>b)支持查看表对象信息；</w:t>
            </w:r>
          </w:p>
          <w:p>
            <w:pPr>
              <w:pStyle w:val="47"/>
              <w:spacing w:before="60" w:after="60"/>
              <w:jc w:val="left"/>
            </w:pPr>
            <w:r>
              <w:t>c)支持查看索引对象信息；</w:t>
            </w:r>
          </w:p>
          <w:p>
            <w:pPr>
              <w:pStyle w:val="47"/>
              <w:spacing w:before="60" w:after="60"/>
              <w:jc w:val="left"/>
            </w:pPr>
            <w:r>
              <w:t>d)支持查看字段对象信息；</w:t>
            </w:r>
          </w:p>
          <w:p>
            <w:pPr>
              <w:pStyle w:val="47"/>
              <w:spacing w:before="60" w:after="60"/>
              <w:jc w:val="left"/>
            </w:pPr>
            <w:r>
              <w:t>e）支持查看约束对象信息；</w:t>
            </w:r>
          </w:p>
          <w:p>
            <w:pPr>
              <w:pStyle w:val="47"/>
              <w:spacing w:before="60" w:after="60"/>
              <w:jc w:val="left"/>
            </w:pPr>
            <w:r>
              <w:t>f）支持查看数据库实例信息；</w:t>
            </w:r>
          </w:p>
          <w:p>
            <w:pPr>
              <w:pStyle w:val="47"/>
              <w:spacing w:before="60" w:after="60"/>
              <w:jc w:val="left"/>
            </w:pPr>
            <w:r>
              <w:t>g）支持查看表空间信息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查看日志、系统信息</w:t>
            </w:r>
          </w:p>
        </w:tc>
        <w:tc>
          <w:tcPr>
            <w:tcW w:w="3953" w:type="dxa"/>
          </w:tcPr>
          <w:p>
            <w:pPr>
              <w:pStyle w:val="47"/>
              <w:spacing w:before="60" w:after="60"/>
              <w:jc w:val="left"/>
            </w:pPr>
            <w:r>
              <w:t>a)支持查看日志文件的能力；</w:t>
            </w:r>
          </w:p>
          <w:p>
            <w:pPr>
              <w:pStyle w:val="47"/>
              <w:spacing w:before="60" w:after="60"/>
              <w:jc w:val="left"/>
            </w:pPr>
            <w:r>
              <w:t>b）厂商提供查看实例数据缓存的视图或图形化管理工具；</w:t>
            </w:r>
          </w:p>
          <w:p>
            <w:pPr>
              <w:pStyle w:val="47"/>
              <w:spacing w:before="60" w:after="60"/>
              <w:jc w:val="left"/>
            </w:pPr>
            <w:r>
              <w:t>c）厂商提供查看日志缓存的视图或图形化管理工具；</w:t>
            </w:r>
          </w:p>
          <w:p>
            <w:pPr>
              <w:pStyle w:val="47"/>
              <w:spacing w:before="60" w:after="60"/>
              <w:jc w:val="left"/>
            </w:pPr>
            <w:r>
              <w:t>d）厂商提供查看数据字典的视图或图形化管理工具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*对象变更</w:t>
            </w:r>
          </w:p>
        </w:tc>
        <w:tc>
          <w:tcPr>
            <w:tcW w:w="3953" w:type="dxa"/>
          </w:tcPr>
          <w:p>
            <w:pPr>
              <w:pStyle w:val="47"/>
              <w:spacing w:before="60" w:after="60"/>
              <w:jc w:val="left"/>
            </w:pPr>
            <w:r>
              <w:t>a)支持数据库的创建、删除、更新以及数据库属性的查询；</w:t>
            </w:r>
          </w:p>
          <w:p>
            <w:pPr>
              <w:pStyle w:val="47"/>
              <w:spacing w:before="60" w:after="60"/>
              <w:jc w:val="left"/>
            </w:pPr>
            <w:r>
              <w:t>b)支持在线变更表结构、索引；</w:t>
            </w:r>
          </w:p>
          <w:p>
            <w:pPr>
              <w:pStyle w:val="47"/>
              <w:spacing w:before="60" w:after="60"/>
              <w:jc w:val="left"/>
            </w:pPr>
            <w:r>
              <w:t>c)支持数据的增加、删除、修改和查询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29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查看会话系统表/视图</w:t>
            </w:r>
          </w:p>
        </w:tc>
        <w:tc>
          <w:tcPr>
            <w:tcW w:w="3953" w:type="dxa"/>
          </w:tcPr>
          <w:p>
            <w:pPr>
              <w:pStyle w:val="47"/>
              <w:spacing w:before="60" w:after="60"/>
              <w:jc w:val="left"/>
            </w:pPr>
            <w:r>
              <w:t>a)提供查看会话标识的视图或图形化管理工具；</w:t>
            </w:r>
          </w:p>
          <w:p>
            <w:pPr>
              <w:pStyle w:val="47"/>
              <w:spacing w:before="60" w:after="60"/>
              <w:jc w:val="left"/>
            </w:pPr>
            <w:r>
              <w:t>b)提供查看进程/线程标识的视图或图形化管理工具；</w:t>
            </w:r>
          </w:p>
          <w:p>
            <w:pPr>
              <w:pStyle w:val="47"/>
              <w:spacing w:before="60" w:after="60"/>
              <w:jc w:val="left"/>
            </w:pPr>
            <w:r>
              <w:t>c)提供查看用户标识的视图或图形化管理工具；</w:t>
            </w:r>
          </w:p>
          <w:p>
            <w:pPr>
              <w:pStyle w:val="47"/>
              <w:spacing w:before="60" w:after="60"/>
              <w:jc w:val="left"/>
            </w:pPr>
            <w:r>
              <w:t>d)提供查看最近的用户请求命令的视图或图形化管理工具；</w:t>
            </w:r>
          </w:p>
          <w:p>
            <w:pPr>
              <w:pStyle w:val="47"/>
              <w:spacing w:before="60" w:after="60"/>
              <w:jc w:val="left"/>
            </w:pPr>
            <w:r>
              <w:t>e)提供查看缺省模式的视图或图形化管理工具；</w:t>
            </w:r>
          </w:p>
          <w:p>
            <w:pPr>
              <w:pStyle w:val="47"/>
              <w:spacing w:before="60" w:after="60"/>
              <w:jc w:val="left"/>
            </w:pPr>
            <w:r>
              <w:t>f)提供查看登录时间/会话状态的视图或图形化管理工具；</w:t>
            </w:r>
          </w:p>
          <w:p>
            <w:pPr>
              <w:pStyle w:val="47"/>
              <w:spacing w:before="60" w:after="60"/>
              <w:jc w:val="left"/>
            </w:pPr>
            <w:r>
              <w:t>g)提供查看会话状态的视图或图形化管理工具；</w:t>
            </w:r>
          </w:p>
          <w:p>
            <w:pPr>
              <w:pStyle w:val="47"/>
              <w:spacing w:before="60" w:after="60"/>
              <w:jc w:val="left"/>
            </w:pPr>
            <w:r>
              <w:t>h)提供查看等待会话的锁信息的视图或图形化管理工具；</w:t>
            </w:r>
          </w:p>
          <w:p>
            <w:pPr>
              <w:pStyle w:val="47"/>
              <w:spacing w:before="60" w:after="60"/>
              <w:jc w:val="left"/>
            </w:pPr>
            <w:r>
              <w:t>i)提供查看等待时间统计信息的视图或图形化管理工具；</w:t>
            </w:r>
          </w:p>
          <w:p>
            <w:pPr>
              <w:pStyle w:val="47"/>
              <w:spacing w:before="60" w:after="60"/>
              <w:jc w:val="left"/>
            </w:pPr>
            <w:r>
              <w:t>j)提供查看使用时间统计信息的视图或图形化管理工具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30</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查看监控连接系统表/视图</w:t>
            </w:r>
          </w:p>
        </w:tc>
        <w:tc>
          <w:tcPr>
            <w:tcW w:w="3953" w:type="dxa"/>
          </w:tcPr>
          <w:p>
            <w:pPr>
              <w:pStyle w:val="47"/>
              <w:spacing w:before="60" w:after="60"/>
              <w:jc w:val="left"/>
            </w:pPr>
            <w:r>
              <w:t>a)提供查看连接标识的视图或图形化管理工具；</w:t>
            </w:r>
          </w:p>
          <w:p>
            <w:pPr>
              <w:pStyle w:val="47"/>
              <w:spacing w:before="60" w:after="60"/>
              <w:jc w:val="left"/>
            </w:pPr>
            <w:r>
              <w:t>b)提供查看连接状态的视图或图形化管理工具；</w:t>
            </w:r>
          </w:p>
          <w:p>
            <w:pPr>
              <w:pStyle w:val="47"/>
              <w:spacing w:before="60" w:after="60"/>
              <w:jc w:val="left"/>
            </w:pPr>
            <w:r>
              <w:t>c)提供查看连接用户的视图或图形化管理工具；</w:t>
            </w:r>
          </w:p>
          <w:p>
            <w:pPr>
              <w:pStyle w:val="47"/>
              <w:spacing w:before="60" w:after="60"/>
              <w:jc w:val="left"/>
            </w:pPr>
            <w:r>
              <w:t>d)提供查看连接类型的视图或图形化管理工具；</w:t>
            </w:r>
          </w:p>
          <w:p>
            <w:pPr>
              <w:pStyle w:val="47"/>
              <w:spacing w:before="60" w:after="60"/>
              <w:jc w:val="left"/>
            </w:pPr>
            <w:r>
              <w:t>e)提供查看当前事务信息的视图或图形化管理工具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31</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异构数据库联机访问</w:t>
            </w:r>
          </w:p>
        </w:tc>
        <w:tc>
          <w:tcPr>
            <w:tcW w:w="3953" w:type="dxa"/>
          </w:tcPr>
          <w:p>
            <w:pPr>
              <w:pStyle w:val="47"/>
              <w:spacing w:before="60" w:after="60"/>
              <w:jc w:val="left"/>
            </w:pPr>
            <w:r>
              <w:t>提供异构数据库数据联机访问功能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完整性管理</w:t>
            </w:r>
          </w:p>
        </w:tc>
        <w:tc>
          <w:tcPr>
            <w:tcW w:w="3953" w:type="dxa"/>
          </w:tcPr>
          <w:p>
            <w:pPr>
              <w:pStyle w:val="47"/>
              <w:spacing w:before="60" w:after="60"/>
              <w:jc w:val="left"/>
            </w:pPr>
            <w:r>
              <w:t>a)支持验证表存储完整性；</w:t>
            </w:r>
          </w:p>
          <w:p>
            <w:pPr>
              <w:pStyle w:val="47"/>
              <w:spacing w:before="60" w:after="60"/>
              <w:jc w:val="left"/>
            </w:pPr>
            <w:r>
              <w:t>b)支持验证索引存储完整性；</w:t>
            </w:r>
          </w:p>
          <w:p>
            <w:pPr>
              <w:pStyle w:val="47"/>
              <w:spacing w:before="60" w:after="60"/>
              <w:jc w:val="left"/>
            </w:pPr>
            <w:r>
              <w:t>c)支持验证数据库存储结构完整性；</w:t>
            </w:r>
          </w:p>
          <w:p>
            <w:pPr>
              <w:pStyle w:val="47"/>
              <w:spacing w:before="60" w:after="60"/>
              <w:jc w:val="left"/>
            </w:pPr>
            <w:r>
              <w:t>d)支持查看视图定义完整性；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33</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r>
              <w:t>*事务能力</w:t>
            </w:r>
          </w:p>
        </w:tc>
        <w:tc>
          <w:tcPr>
            <w:tcW w:w="1070" w:type="dxa"/>
          </w:tcPr>
          <w:p>
            <w:pPr>
              <w:pStyle w:val="47"/>
              <w:spacing w:before="60" w:after="60"/>
            </w:pPr>
            <w:r>
              <w:t>*事务基础特性</w:t>
            </w:r>
          </w:p>
        </w:tc>
        <w:tc>
          <w:tcPr>
            <w:tcW w:w="3953" w:type="dxa"/>
          </w:tcPr>
          <w:p>
            <w:pPr>
              <w:pStyle w:val="47"/>
              <w:spacing w:before="60" w:after="60"/>
              <w:jc w:val="left"/>
            </w:pPr>
            <w:r>
              <w:t>支持事务的ACID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*死锁检测与处理</w:t>
            </w:r>
          </w:p>
        </w:tc>
        <w:tc>
          <w:tcPr>
            <w:tcW w:w="3953" w:type="dxa"/>
          </w:tcPr>
          <w:p>
            <w:pPr>
              <w:pStyle w:val="47"/>
              <w:spacing w:before="60" w:after="60"/>
              <w:jc w:val="left"/>
            </w:pPr>
            <w:r>
              <w:t>a)在并发执行过程中，能检测到死锁；</w:t>
            </w:r>
          </w:p>
          <w:p>
            <w:pPr>
              <w:pStyle w:val="47"/>
              <w:spacing w:before="60" w:after="60"/>
              <w:jc w:val="left"/>
            </w:pPr>
            <w:r>
              <w:t>b)提供解决全局死锁的机制；</w:t>
            </w:r>
          </w:p>
          <w:p>
            <w:pPr>
              <w:pStyle w:val="47"/>
              <w:spacing w:before="60" w:after="60"/>
              <w:jc w:val="left"/>
            </w:pPr>
            <w:r>
              <w:t>c)具备死锁处理能力；</w:t>
            </w:r>
          </w:p>
          <w:p>
            <w:pPr>
              <w:pStyle w:val="47"/>
              <w:spacing w:before="60" w:after="60"/>
              <w:jc w:val="left"/>
            </w:pPr>
            <w:r>
              <w:t>d)具备死锁超时回滚的能力；</w:t>
            </w:r>
          </w:p>
          <w:p>
            <w:pPr>
              <w:pStyle w:val="47"/>
              <w:spacing w:before="60" w:after="60"/>
              <w:jc w:val="left"/>
            </w:pPr>
            <w:r>
              <w:t>e)具备死锁检测与处理记录功能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35</w:t>
            </w:r>
          </w:p>
        </w:tc>
        <w:tc>
          <w:tcPr>
            <w:tcW w:w="1020" w:type="dxa"/>
          </w:tcPr>
          <w:p>
            <w:pPr>
              <w:pStyle w:val="47"/>
              <w:spacing w:before="60" w:after="60"/>
            </w:pPr>
            <w:r>
              <w:t>功能</w:t>
            </w:r>
          </w:p>
          <w:p>
            <w:pPr>
              <w:pStyle w:val="47"/>
              <w:spacing w:before="60" w:after="60"/>
            </w:pPr>
            <w:r>
              <w:t>要求</w:t>
            </w:r>
          </w:p>
        </w:tc>
        <w:tc>
          <w:tcPr>
            <w:tcW w:w="1180" w:type="dxa"/>
          </w:tcPr>
          <w:p>
            <w:pPr>
              <w:pStyle w:val="47"/>
              <w:spacing w:before="60" w:after="60"/>
            </w:pPr>
            <w:r>
              <w:t>*运维</w:t>
            </w:r>
          </w:p>
        </w:tc>
        <w:tc>
          <w:tcPr>
            <w:tcW w:w="1070" w:type="dxa"/>
          </w:tcPr>
          <w:p>
            <w:pPr>
              <w:pStyle w:val="47"/>
              <w:spacing w:before="60" w:after="60"/>
            </w:pPr>
            <w:r>
              <w:t>*运行时统计信息基础功能</w:t>
            </w:r>
          </w:p>
        </w:tc>
        <w:tc>
          <w:tcPr>
            <w:tcW w:w="3953" w:type="dxa"/>
          </w:tcPr>
          <w:p>
            <w:pPr>
              <w:pStyle w:val="47"/>
              <w:spacing w:before="60" w:after="60"/>
              <w:jc w:val="left"/>
            </w:pPr>
            <w:r>
              <w:t>a）数据库慢SQL统计：</w:t>
            </w:r>
          </w:p>
          <w:p>
            <w:pPr>
              <w:pStyle w:val="47"/>
              <w:spacing w:before="60" w:after="60"/>
              <w:jc w:val="left"/>
            </w:pPr>
            <w:r>
              <w:t>1）支持统计SQL语句；</w:t>
            </w:r>
          </w:p>
          <w:p>
            <w:pPr>
              <w:pStyle w:val="47"/>
              <w:spacing w:before="60" w:after="60"/>
              <w:jc w:val="left"/>
            </w:pPr>
            <w:r>
              <w:t>2）支持统计用户名；</w:t>
            </w:r>
          </w:p>
          <w:p>
            <w:pPr>
              <w:pStyle w:val="47"/>
              <w:spacing w:before="60" w:after="60"/>
              <w:jc w:val="left"/>
            </w:pPr>
            <w:r>
              <w:t>3）支持统计数据库名；</w:t>
            </w:r>
          </w:p>
          <w:p>
            <w:pPr>
              <w:pStyle w:val="47"/>
              <w:spacing w:before="60" w:after="60"/>
              <w:jc w:val="left"/>
            </w:pPr>
            <w:r>
              <w:t>4）支持统计执行时长；</w:t>
            </w:r>
          </w:p>
          <w:p>
            <w:pPr>
              <w:pStyle w:val="47"/>
              <w:spacing w:before="60" w:after="60"/>
              <w:jc w:val="left"/>
            </w:pPr>
            <w:r>
              <w:t>b）数据库性能状态统计：</w:t>
            </w:r>
          </w:p>
          <w:p>
            <w:pPr>
              <w:pStyle w:val="47"/>
              <w:spacing w:before="60" w:after="60"/>
              <w:jc w:val="left"/>
            </w:pPr>
            <w:r>
              <w:t>1）支持统计每秒事务数和查询数；</w:t>
            </w:r>
          </w:p>
          <w:p>
            <w:pPr>
              <w:pStyle w:val="47"/>
              <w:spacing w:before="60" w:after="60"/>
              <w:jc w:val="left"/>
            </w:pPr>
            <w:r>
              <w:t>2）支持统计SQL平均响应时间；</w:t>
            </w:r>
          </w:p>
          <w:p>
            <w:pPr>
              <w:pStyle w:val="47"/>
              <w:spacing w:before="60" w:after="60"/>
              <w:jc w:val="left"/>
            </w:pPr>
            <w:r>
              <w:t>3）支持统计高频SQL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36</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*运维</w:t>
            </w:r>
          </w:p>
        </w:tc>
        <w:tc>
          <w:tcPr>
            <w:tcW w:w="1070" w:type="dxa"/>
          </w:tcPr>
          <w:p>
            <w:pPr>
              <w:pStyle w:val="47"/>
              <w:spacing w:before="60" w:after="60"/>
            </w:pPr>
            <w:r>
              <w:t>运行时统计信息增强功能</w:t>
            </w:r>
          </w:p>
        </w:tc>
        <w:tc>
          <w:tcPr>
            <w:tcW w:w="3953" w:type="dxa"/>
          </w:tcPr>
          <w:p>
            <w:pPr>
              <w:pStyle w:val="47"/>
              <w:spacing w:before="60" w:after="60"/>
              <w:jc w:val="left"/>
            </w:pPr>
            <w:r>
              <w:t>a)支持统计集群节点CPU使用情况；</w:t>
            </w:r>
          </w:p>
          <w:p>
            <w:pPr>
              <w:pStyle w:val="47"/>
              <w:spacing w:before="60" w:after="60"/>
              <w:jc w:val="left"/>
            </w:pPr>
            <w:r>
              <w:t>b)支持统计集群节点内存使用情况；</w:t>
            </w:r>
          </w:p>
          <w:p>
            <w:pPr>
              <w:pStyle w:val="47"/>
              <w:spacing w:before="60" w:after="60"/>
              <w:jc w:val="left"/>
            </w:pPr>
            <w:r>
              <w:t>c)支持统计集群节点磁盘使用情况；</w:t>
            </w:r>
          </w:p>
          <w:p>
            <w:pPr>
              <w:pStyle w:val="47"/>
              <w:spacing w:before="60" w:after="60"/>
              <w:jc w:val="left"/>
            </w:pPr>
            <w:r>
              <w:t>d)支持统计集群节点网络使用情况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*日志</w:t>
            </w:r>
          </w:p>
        </w:tc>
        <w:tc>
          <w:tcPr>
            <w:tcW w:w="3953" w:type="dxa"/>
          </w:tcPr>
          <w:p>
            <w:pPr>
              <w:pStyle w:val="47"/>
              <w:spacing w:before="60" w:after="60"/>
              <w:jc w:val="left"/>
            </w:pPr>
            <w:r>
              <w:t>a)具备对各类事件进行日志记录的功能，可通过日志查看操作内容、执行过程和结果；</w:t>
            </w:r>
          </w:p>
          <w:p>
            <w:pPr>
              <w:pStyle w:val="47"/>
              <w:spacing w:before="60" w:after="60"/>
              <w:jc w:val="left"/>
            </w:pPr>
            <w:r>
              <w:t>b)具备提示和警告功能，提示或警告数据库结构修改、数据库运行配置修改等重要操作；</w:t>
            </w:r>
          </w:p>
          <w:p>
            <w:pPr>
              <w:pStyle w:val="47"/>
              <w:spacing w:before="60" w:after="60"/>
              <w:jc w:val="left"/>
            </w:pPr>
            <w:r>
              <w:t>c)日志完整正确，并且提供可读文本的形式；</w:t>
            </w:r>
          </w:p>
          <w:p>
            <w:pPr>
              <w:pStyle w:val="47"/>
              <w:spacing w:before="60" w:after="60"/>
              <w:jc w:val="left"/>
            </w:pPr>
            <w:r>
              <w:t>d)支持中文日志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*远程运维</w:t>
            </w:r>
          </w:p>
        </w:tc>
        <w:tc>
          <w:tcPr>
            <w:tcW w:w="3953" w:type="dxa"/>
          </w:tcPr>
          <w:p>
            <w:pPr>
              <w:pStyle w:val="47"/>
              <w:spacing w:before="60" w:after="60"/>
              <w:jc w:val="left"/>
            </w:pPr>
            <w:r>
              <w:t>具备远程维护功能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39</w:t>
            </w:r>
          </w:p>
        </w:tc>
        <w:tc>
          <w:tcPr>
            <w:tcW w:w="1020" w:type="dxa"/>
          </w:tcPr>
          <w:p>
            <w:pPr>
              <w:pStyle w:val="47"/>
              <w:spacing w:before="60" w:after="60"/>
            </w:pPr>
          </w:p>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*报警</w:t>
            </w:r>
          </w:p>
        </w:tc>
        <w:tc>
          <w:tcPr>
            <w:tcW w:w="3953" w:type="dxa"/>
          </w:tcPr>
          <w:p>
            <w:pPr>
              <w:pStyle w:val="47"/>
              <w:spacing w:before="60" w:after="60"/>
              <w:jc w:val="left"/>
            </w:pPr>
            <w:r>
              <w:t>a)厂商提供通知管理员的方法或工具；</w:t>
            </w:r>
          </w:p>
          <w:p>
            <w:pPr>
              <w:pStyle w:val="47"/>
              <w:spacing w:before="60" w:after="60"/>
              <w:jc w:val="left"/>
            </w:pPr>
            <w:r>
              <w:t>b)支持设置报警基线，数据库运行中遇到重要事件、异常事件和状态、超过报警阈值等情况时，通知管理员；</w:t>
            </w:r>
          </w:p>
          <w:p>
            <w:pPr>
              <w:pStyle w:val="47"/>
              <w:spacing w:before="60" w:after="60"/>
              <w:jc w:val="left"/>
            </w:pPr>
            <w:r>
              <w:t>c)提供报警API；</w:t>
            </w:r>
          </w:p>
          <w:p>
            <w:pPr>
              <w:pStyle w:val="47"/>
              <w:spacing w:before="60" w:after="60"/>
              <w:jc w:val="left"/>
            </w:pPr>
            <w:r>
              <w:t>d)报警发生时，支持报警信息的实时展示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40</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SQL监测与优化建议</w:t>
            </w:r>
          </w:p>
        </w:tc>
        <w:tc>
          <w:tcPr>
            <w:tcW w:w="3953" w:type="dxa"/>
          </w:tcPr>
          <w:p>
            <w:pPr>
              <w:pStyle w:val="47"/>
              <w:spacing w:before="60" w:after="60"/>
              <w:jc w:val="left"/>
            </w:pPr>
            <w:r>
              <w:t>a)实时监测SQL执行过程中资源使用情况；</w:t>
            </w:r>
          </w:p>
          <w:p>
            <w:pPr>
              <w:pStyle w:val="47"/>
              <w:spacing w:before="60" w:after="60"/>
              <w:jc w:val="left"/>
            </w:pPr>
            <w:r>
              <w:t>b)提供查询计划的缓存管理功能；</w:t>
            </w:r>
          </w:p>
          <w:p>
            <w:pPr>
              <w:pStyle w:val="47"/>
              <w:spacing w:before="60" w:after="60"/>
              <w:jc w:val="left"/>
            </w:pPr>
            <w:r>
              <w:t>c)提供SQL改写的优化建议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41</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*迁移</w:t>
            </w:r>
          </w:p>
        </w:tc>
        <w:tc>
          <w:tcPr>
            <w:tcW w:w="1070" w:type="dxa"/>
          </w:tcPr>
          <w:p>
            <w:pPr>
              <w:pStyle w:val="47"/>
              <w:spacing w:before="60" w:after="60"/>
            </w:pPr>
            <w:r>
              <w:t>应用迁移</w:t>
            </w:r>
          </w:p>
        </w:tc>
        <w:tc>
          <w:tcPr>
            <w:tcW w:w="3953" w:type="dxa"/>
          </w:tcPr>
          <w:p>
            <w:pPr>
              <w:pStyle w:val="47"/>
              <w:spacing w:before="60" w:after="60"/>
              <w:jc w:val="left"/>
            </w:pPr>
            <w:r>
              <w:t>a)提供SQL、存储过程等价语法转换，并将转换后的语法在目标库进行校验，转换后语法可编译可执行；</w:t>
            </w:r>
          </w:p>
          <w:p>
            <w:pPr>
              <w:pStyle w:val="47"/>
              <w:spacing w:before="60" w:after="60"/>
              <w:jc w:val="left"/>
            </w:pPr>
            <w:r>
              <w:t>b)对转换出错或校验出错的语法进行定位，引导用户进行错误校正后再次编译校验；</w:t>
            </w:r>
          </w:p>
          <w:p>
            <w:pPr>
              <w:pStyle w:val="47"/>
              <w:spacing w:before="60" w:after="60"/>
              <w:jc w:val="left"/>
            </w:pPr>
            <w:r>
              <w:t>c)尽量减少应用的修改，从源数据库迁移到目标数据库，并可运行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*数据迁移</w:t>
            </w:r>
          </w:p>
        </w:tc>
        <w:tc>
          <w:tcPr>
            <w:tcW w:w="3953" w:type="dxa"/>
          </w:tcPr>
          <w:p>
            <w:pPr>
              <w:pStyle w:val="47"/>
              <w:spacing w:before="60" w:after="60"/>
              <w:jc w:val="left"/>
            </w:pPr>
            <w:r>
              <w:t>a)提供元数据、数据库、数据库对象、表数据快速迁移的功能；</w:t>
            </w:r>
          </w:p>
          <w:p>
            <w:pPr>
              <w:pStyle w:val="47"/>
              <w:spacing w:before="60" w:after="60"/>
              <w:jc w:val="left"/>
            </w:pPr>
            <w:r>
              <w:t>b)支持数据迁移工具实现同构或异构数据库之间的数据迁移；</w:t>
            </w:r>
          </w:p>
          <w:p>
            <w:pPr>
              <w:pStyle w:val="47"/>
              <w:spacing w:before="60" w:after="60"/>
              <w:jc w:val="left"/>
            </w:pPr>
            <w:r>
              <w:t>c)支持全量数据迁移、增量数据持续同步等迁移模式；</w:t>
            </w:r>
          </w:p>
          <w:p>
            <w:pPr>
              <w:pStyle w:val="47"/>
              <w:spacing w:before="60" w:after="60"/>
              <w:jc w:val="left"/>
            </w:pPr>
            <w:r>
              <w:t>d)在数据迁移过程中具备应对传输异常的能力，保障数据迁移的稳定性、连续性和一致性；</w:t>
            </w:r>
          </w:p>
          <w:p>
            <w:pPr>
              <w:pStyle w:val="47"/>
              <w:spacing w:before="60" w:after="60"/>
              <w:jc w:val="left"/>
            </w:pPr>
            <w:r>
              <w:t>e)支持存量数据的一次性迁移和增量数据库的持续同步；</w:t>
            </w:r>
          </w:p>
          <w:p>
            <w:pPr>
              <w:pStyle w:val="47"/>
              <w:spacing w:before="60" w:after="60"/>
              <w:jc w:val="left"/>
            </w:pPr>
            <w:r>
              <w:t>f)支持多种不同类型的源数据库和目标数据库之间的数据迁移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43</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*数据比对基础功能</w:t>
            </w:r>
          </w:p>
        </w:tc>
        <w:tc>
          <w:tcPr>
            <w:tcW w:w="3953" w:type="dxa"/>
          </w:tcPr>
          <w:p>
            <w:pPr>
              <w:pStyle w:val="47"/>
              <w:spacing w:before="60" w:after="60"/>
              <w:jc w:val="left"/>
            </w:pPr>
            <w:r>
              <w:t>对源数据库和目标数据库之间的数据进行比对，支持数据一致性，并提供一致性比对报告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数据比对增强功能</w:t>
            </w:r>
          </w:p>
        </w:tc>
        <w:tc>
          <w:tcPr>
            <w:tcW w:w="3953" w:type="dxa"/>
          </w:tcPr>
          <w:p>
            <w:pPr>
              <w:pStyle w:val="47"/>
              <w:spacing w:before="60" w:after="60"/>
              <w:jc w:val="left"/>
            </w:pPr>
            <w:r>
              <w:t>数据比对规模是可配置的，用户可根据业务需求，进行库级、表级等级别的比对，提供数据修复功能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45</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*备份恢复</w:t>
            </w:r>
          </w:p>
        </w:tc>
        <w:tc>
          <w:tcPr>
            <w:tcW w:w="1070" w:type="dxa"/>
          </w:tcPr>
          <w:p>
            <w:pPr>
              <w:pStyle w:val="47"/>
              <w:spacing w:before="60" w:after="60"/>
            </w:pPr>
            <w:r>
              <w:t>*数据备份</w:t>
            </w:r>
          </w:p>
        </w:tc>
        <w:tc>
          <w:tcPr>
            <w:tcW w:w="3953" w:type="dxa"/>
          </w:tcPr>
          <w:p>
            <w:pPr>
              <w:pStyle w:val="47"/>
              <w:spacing w:before="60" w:after="60"/>
              <w:jc w:val="left"/>
            </w:pPr>
            <w:r>
              <w:t>a)运行状态下支持对数据库进行全库备份；</w:t>
            </w:r>
          </w:p>
          <w:p>
            <w:pPr>
              <w:pStyle w:val="47"/>
              <w:spacing w:before="60" w:after="60"/>
              <w:jc w:val="left"/>
            </w:pPr>
            <w:r>
              <w:t>b)运行状态下支持对数据库进行部分备份；</w:t>
            </w:r>
          </w:p>
          <w:p>
            <w:pPr>
              <w:pStyle w:val="47"/>
              <w:spacing w:before="60" w:after="60"/>
              <w:jc w:val="left"/>
            </w:pPr>
            <w:r>
              <w:t>c)运行状态下支持对数据库进行增量备份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备份数据管理</w:t>
            </w:r>
          </w:p>
        </w:tc>
        <w:tc>
          <w:tcPr>
            <w:tcW w:w="3953" w:type="dxa"/>
          </w:tcPr>
          <w:p>
            <w:pPr>
              <w:pStyle w:val="47"/>
              <w:spacing w:before="60" w:after="60"/>
              <w:jc w:val="left"/>
            </w:pPr>
            <w:r>
              <w:t>a)支持备份数据的加密；</w:t>
            </w:r>
          </w:p>
          <w:p>
            <w:pPr>
              <w:pStyle w:val="47"/>
              <w:spacing w:before="60" w:after="60"/>
              <w:jc w:val="left"/>
            </w:pPr>
            <w:r>
              <w:t>b)支持备份数据的压缩；</w:t>
            </w:r>
          </w:p>
          <w:p>
            <w:pPr>
              <w:pStyle w:val="47"/>
              <w:spacing w:before="60" w:after="60"/>
              <w:jc w:val="left"/>
            </w:pPr>
            <w:r>
              <w:t>c)支持备份数据的存储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用户/模式备份、恢复</w:t>
            </w:r>
          </w:p>
        </w:tc>
        <w:tc>
          <w:tcPr>
            <w:tcW w:w="3953" w:type="dxa"/>
          </w:tcPr>
          <w:p>
            <w:pPr>
              <w:pStyle w:val="47"/>
              <w:spacing w:before="60" w:after="60"/>
              <w:jc w:val="left"/>
            </w:pPr>
            <w:r>
              <w:t>a)支持对数据库的所有或指定用户/模式下的数据进行备份；</w:t>
            </w:r>
          </w:p>
          <w:p>
            <w:pPr>
              <w:pStyle w:val="47"/>
              <w:spacing w:before="60" w:after="60"/>
              <w:jc w:val="left"/>
            </w:pPr>
            <w:r>
              <w:t>b)支持对数据库的所有或指定用户/模式下的数据备份进行恢复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*多种存储媒体备份、还原</w:t>
            </w:r>
          </w:p>
        </w:tc>
        <w:tc>
          <w:tcPr>
            <w:tcW w:w="3953" w:type="dxa"/>
          </w:tcPr>
          <w:p>
            <w:pPr>
              <w:pStyle w:val="47"/>
              <w:spacing w:before="60" w:after="60"/>
              <w:jc w:val="left"/>
            </w:pPr>
            <w:r>
              <w:t>支持多种备份存储媒体，支持多种存储媒体的部分、完整数据库数据还原处理能力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49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*备份还原的一致性校验</w:t>
            </w:r>
          </w:p>
        </w:tc>
        <w:tc>
          <w:tcPr>
            <w:tcW w:w="3953" w:type="dxa"/>
          </w:tcPr>
          <w:p>
            <w:pPr>
              <w:pStyle w:val="47"/>
              <w:spacing w:before="60" w:after="60"/>
              <w:jc w:val="left"/>
            </w:pPr>
            <w:r>
              <w:t>提供数据库备份数据一致性校验的命令或工具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50</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*集群管理</w:t>
            </w:r>
          </w:p>
        </w:tc>
        <w:tc>
          <w:tcPr>
            <w:tcW w:w="1070" w:type="dxa"/>
          </w:tcPr>
          <w:p>
            <w:pPr>
              <w:pStyle w:val="47"/>
              <w:spacing w:before="60" w:after="60"/>
            </w:pPr>
            <w:r>
              <w:t>*集群构建</w:t>
            </w:r>
          </w:p>
          <w:p>
            <w:pPr>
              <w:pStyle w:val="47"/>
              <w:spacing w:before="60" w:after="60"/>
            </w:pPr>
            <w:r>
              <w:t>与管理</w:t>
            </w:r>
          </w:p>
        </w:tc>
        <w:tc>
          <w:tcPr>
            <w:tcW w:w="3953" w:type="dxa"/>
          </w:tcPr>
          <w:p>
            <w:pPr>
              <w:pStyle w:val="47"/>
              <w:spacing w:before="60" w:after="60"/>
              <w:jc w:val="left"/>
            </w:pPr>
            <w:r>
              <w:t>a)支持集群的运行环境；</w:t>
            </w:r>
          </w:p>
          <w:p>
            <w:pPr>
              <w:pStyle w:val="47"/>
              <w:spacing w:before="60" w:after="60"/>
              <w:jc w:val="left"/>
            </w:pPr>
            <w:r>
              <w:t>b)支持创建并配置数据库集群；</w:t>
            </w:r>
          </w:p>
          <w:p>
            <w:pPr>
              <w:pStyle w:val="47"/>
              <w:spacing w:before="60" w:after="60"/>
              <w:jc w:val="left"/>
            </w:pPr>
            <w:r>
              <w:t>c)配置信息至少包括日常运维管理、容灾管理、日志管理、备份管理、监控等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51</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集群构建与管理扩展要求</w:t>
            </w:r>
          </w:p>
        </w:tc>
        <w:tc>
          <w:tcPr>
            <w:tcW w:w="3953" w:type="dxa"/>
          </w:tcPr>
          <w:p>
            <w:pPr>
              <w:pStyle w:val="47"/>
              <w:spacing w:before="60" w:after="60"/>
              <w:jc w:val="left"/>
            </w:pPr>
            <w:r>
              <w:t>在读写操作负载差距较大时，提供读写分离能力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共享存储架构下的集群要求</w:t>
            </w:r>
          </w:p>
        </w:tc>
        <w:tc>
          <w:tcPr>
            <w:tcW w:w="3953" w:type="dxa"/>
          </w:tcPr>
          <w:p>
            <w:pPr>
              <w:pStyle w:val="47"/>
              <w:spacing w:before="60" w:after="60"/>
              <w:jc w:val="left"/>
            </w:pPr>
            <w:r>
              <w:t>在共享存储集群架构的基础上：</w:t>
            </w:r>
          </w:p>
          <w:p>
            <w:pPr>
              <w:pStyle w:val="47"/>
              <w:spacing w:before="60" w:after="60"/>
              <w:jc w:val="left"/>
            </w:pPr>
            <w:r>
              <w:t>a)支持管理硬件存储资源，包括为共享存储扩展存储容量；</w:t>
            </w:r>
          </w:p>
          <w:p>
            <w:pPr>
              <w:pStyle w:val="47"/>
              <w:spacing w:before="60" w:after="60"/>
              <w:jc w:val="left"/>
            </w:pPr>
            <w:r>
              <w:t>b)支持集群多个节点同时写入或一写多读，事务支持ACID特性；</w:t>
            </w:r>
          </w:p>
          <w:p>
            <w:pPr>
              <w:pStyle w:val="47"/>
              <w:spacing w:before="60" w:after="60"/>
              <w:jc w:val="left"/>
            </w:pPr>
            <w:r>
              <w:t>c)支持节点间的缓存一致性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53</w:t>
            </w:r>
          </w:p>
        </w:tc>
        <w:tc>
          <w:tcPr>
            <w:tcW w:w="1020" w:type="dxa"/>
          </w:tcPr>
          <w:p>
            <w:pPr>
              <w:pStyle w:val="47"/>
              <w:spacing w:before="60" w:after="60"/>
            </w:pPr>
          </w:p>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*工具</w:t>
            </w:r>
          </w:p>
        </w:tc>
        <w:tc>
          <w:tcPr>
            <w:tcW w:w="1070" w:type="dxa"/>
          </w:tcPr>
          <w:p>
            <w:pPr>
              <w:pStyle w:val="47"/>
              <w:spacing w:before="60" w:after="60"/>
            </w:pPr>
          </w:p>
          <w:p>
            <w:pPr>
              <w:pStyle w:val="47"/>
              <w:spacing w:before="60" w:after="60"/>
            </w:pPr>
            <w:r>
              <w:t>*数据库开发调试工具</w:t>
            </w:r>
          </w:p>
        </w:tc>
        <w:tc>
          <w:tcPr>
            <w:tcW w:w="3953" w:type="dxa"/>
          </w:tcPr>
          <w:p>
            <w:pPr>
              <w:pStyle w:val="47"/>
              <w:spacing w:before="60" w:after="60"/>
              <w:jc w:val="left"/>
            </w:pPr>
            <w:r>
              <w:t>a)具备图形化功能，提高易用性；</w:t>
            </w:r>
          </w:p>
          <w:p>
            <w:pPr>
              <w:pStyle w:val="47"/>
              <w:spacing w:before="60" w:after="60"/>
              <w:jc w:val="left"/>
            </w:pPr>
            <w:r>
              <w:t>b)具备导入、编辑、保存、执行SQL语句和SQL脚本功能；</w:t>
            </w:r>
          </w:p>
          <w:p>
            <w:pPr>
              <w:pStyle w:val="47"/>
              <w:spacing w:before="60" w:after="60"/>
              <w:jc w:val="left"/>
            </w:pPr>
            <w:r>
              <w:t>c)具备复制、编辑现有数据库对象功能；</w:t>
            </w:r>
          </w:p>
          <w:p>
            <w:pPr>
              <w:pStyle w:val="47"/>
              <w:spacing w:before="60" w:after="60"/>
              <w:jc w:val="left"/>
            </w:pPr>
            <w:r>
              <w:t>d)具备关键词显示标记、动态语法提示的SQL编辑器功能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54</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数据库预编译工具</w:t>
            </w:r>
          </w:p>
        </w:tc>
        <w:tc>
          <w:tcPr>
            <w:tcW w:w="3953" w:type="dxa"/>
          </w:tcPr>
          <w:p>
            <w:pPr>
              <w:pStyle w:val="47"/>
              <w:spacing w:before="60" w:after="60"/>
              <w:jc w:val="left"/>
            </w:pPr>
            <w:r>
              <w:t>厂商提供预编译工具，支持嵌入式SQL编程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55</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网络配置工具</w:t>
            </w:r>
          </w:p>
        </w:tc>
        <w:tc>
          <w:tcPr>
            <w:tcW w:w="3953" w:type="dxa"/>
          </w:tcPr>
          <w:p>
            <w:pPr>
              <w:pStyle w:val="47"/>
              <w:spacing w:before="60" w:after="60"/>
              <w:jc w:val="left"/>
            </w:pPr>
            <w:r>
              <w:t>a)提供客户端、服务器端网络配置向导；</w:t>
            </w:r>
          </w:p>
          <w:p>
            <w:pPr>
              <w:pStyle w:val="47"/>
              <w:spacing w:before="60" w:after="60"/>
              <w:jc w:val="left"/>
            </w:pPr>
            <w:r>
              <w:t>b)支持配置网络连接参数、主机、端口、协议等内容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p>
          <w:p>
            <w:pPr>
              <w:pStyle w:val="47"/>
              <w:spacing w:before="60" w:after="60"/>
            </w:pPr>
            <w:r>
              <w:t>创建、修改、删除工具</w:t>
            </w:r>
          </w:p>
        </w:tc>
        <w:tc>
          <w:tcPr>
            <w:tcW w:w="3953" w:type="dxa"/>
          </w:tcPr>
          <w:p>
            <w:pPr>
              <w:pStyle w:val="47"/>
              <w:spacing w:before="60" w:after="60"/>
              <w:jc w:val="left"/>
            </w:pPr>
            <w:r>
              <w:t>a)支持数据库的创建、修改和删除；</w:t>
            </w:r>
          </w:p>
          <w:p>
            <w:pPr>
              <w:pStyle w:val="47"/>
              <w:spacing w:before="60" w:after="60"/>
              <w:jc w:val="left"/>
            </w:pPr>
            <w:r>
              <w:t>b)支持配置数据库数据文件、日志文件、归档文件的存储位置、逻辑空间（如表空间）等参数；</w:t>
            </w:r>
          </w:p>
          <w:p>
            <w:pPr>
              <w:pStyle w:val="47"/>
              <w:spacing w:before="60" w:after="60"/>
              <w:jc w:val="left"/>
            </w:pPr>
            <w:r>
              <w:t>c)支持配置数据库属性相关参数（如最大连接数等）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*用户、角色管理工具</w:t>
            </w:r>
          </w:p>
        </w:tc>
        <w:tc>
          <w:tcPr>
            <w:tcW w:w="3953" w:type="dxa"/>
          </w:tcPr>
          <w:p>
            <w:pPr>
              <w:pStyle w:val="47"/>
              <w:spacing w:before="60" w:after="60"/>
              <w:jc w:val="left"/>
            </w:pPr>
            <w:r>
              <w:t>a)支持创建、修改、删除用户的功能；</w:t>
            </w:r>
          </w:p>
          <w:p>
            <w:pPr>
              <w:pStyle w:val="47"/>
              <w:spacing w:before="60" w:after="60"/>
              <w:jc w:val="left"/>
            </w:pPr>
            <w:r>
              <w:t>b）提供定义用户的功能；</w:t>
            </w:r>
          </w:p>
          <w:p>
            <w:pPr>
              <w:pStyle w:val="47"/>
              <w:spacing w:before="60" w:after="60"/>
              <w:jc w:val="left"/>
            </w:pPr>
            <w:r>
              <w:t>c)支持创建、修改、删除角色的功能，且提供用户自定义角色的功能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*SQL执行计划查看工具</w:t>
            </w:r>
          </w:p>
        </w:tc>
        <w:tc>
          <w:tcPr>
            <w:tcW w:w="3953" w:type="dxa"/>
          </w:tcPr>
          <w:p>
            <w:pPr>
              <w:pStyle w:val="47"/>
              <w:spacing w:before="60" w:after="60"/>
              <w:jc w:val="left"/>
            </w:pPr>
            <w:r>
              <w:t>a)提供与数据库管理系统进行SQL交互的工具，方便运维工作；</w:t>
            </w:r>
          </w:p>
          <w:p>
            <w:pPr>
              <w:pStyle w:val="47"/>
              <w:spacing w:before="60" w:after="60"/>
              <w:jc w:val="left"/>
            </w:pPr>
            <w:r>
              <w:t>b)支持查看SQL语句查询执行计划与统计信息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59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*数据库对象工具</w:t>
            </w:r>
          </w:p>
        </w:tc>
        <w:tc>
          <w:tcPr>
            <w:tcW w:w="3953" w:type="dxa"/>
          </w:tcPr>
          <w:p>
            <w:pPr>
              <w:pStyle w:val="47"/>
              <w:spacing w:before="60" w:after="60"/>
              <w:jc w:val="left"/>
            </w:pPr>
            <w:r>
              <w:t>a)支持创建、修改、删除表的功能，支持定义表结构、约束、存储配置管理的功能；</w:t>
            </w:r>
          </w:p>
          <w:p>
            <w:pPr>
              <w:pStyle w:val="47"/>
              <w:spacing w:before="60" w:after="60"/>
              <w:jc w:val="left"/>
            </w:pPr>
            <w:r>
              <w:t>b)支持创建、修改、删除索引的功能，支持定义索引结构、类型、存储配置管理的功能；</w:t>
            </w:r>
          </w:p>
          <w:p>
            <w:pPr>
              <w:pStyle w:val="47"/>
              <w:spacing w:before="60" w:after="60"/>
              <w:jc w:val="left"/>
            </w:pPr>
            <w:r>
              <w:t>c)支持创建、修改、删除视图的功能，支持视图定义的功能；</w:t>
            </w:r>
          </w:p>
          <w:p>
            <w:pPr>
              <w:pStyle w:val="47"/>
              <w:spacing w:before="60" w:after="60"/>
              <w:jc w:val="left"/>
            </w:pPr>
            <w:r>
              <w:t>d)支持创建、修改、删除约束的功能，支持约束定义的功能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60</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*导入导出工具</w:t>
            </w:r>
          </w:p>
        </w:tc>
        <w:tc>
          <w:tcPr>
            <w:tcW w:w="3953" w:type="dxa"/>
          </w:tcPr>
          <w:p>
            <w:pPr>
              <w:pStyle w:val="47"/>
              <w:spacing w:before="60" w:after="60"/>
              <w:jc w:val="left"/>
            </w:pPr>
            <w:r>
              <w:t>a)支持导出不同格式，可以将不同格式数据导入到数据库中；</w:t>
            </w:r>
          </w:p>
          <w:p>
            <w:pPr>
              <w:pStyle w:val="47"/>
              <w:spacing w:before="60" w:after="60"/>
              <w:jc w:val="left"/>
            </w:pPr>
            <w:r>
              <w:t>b)支持不同级别和不同数据库对象的导入/导出功能；</w:t>
            </w:r>
          </w:p>
          <w:p>
            <w:pPr>
              <w:pStyle w:val="47"/>
              <w:spacing w:before="60" w:after="60"/>
              <w:jc w:val="left"/>
            </w:pPr>
            <w:r>
              <w:t>c)支持从文本文件或者其他上游数据源将数据导入；</w:t>
            </w:r>
          </w:p>
          <w:p>
            <w:pPr>
              <w:pStyle w:val="47"/>
              <w:spacing w:before="60" w:after="60"/>
              <w:jc w:val="left"/>
            </w:pPr>
            <w:r>
              <w:t>d)支持SQL脚本进行导入导出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61</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触发器、存储过程/函数工具</w:t>
            </w:r>
          </w:p>
        </w:tc>
        <w:tc>
          <w:tcPr>
            <w:tcW w:w="3953" w:type="dxa"/>
          </w:tcPr>
          <w:p>
            <w:pPr>
              <w:pStyle w:val="47"/>
              <w:spacing w:before="60" w:after="60"/>
              <w:jc w:val="left"/>
            </w:pPr>
            <w:r>
              <w:t>a)支持创建、修改、删除触发器的功能，支持触发条件、事件的设置；</w:t>
            </w:r>
          </w:p>
          <w:p>
            <w:pPr>
              <w:pStyle w:val="47"/>
              <w:spacing w:before="60" w:after="60"/>
              <w:jc w:val="left"/>
            </w:pPr>
            <w:r>
              <w:t>b)支持创建、修改、删除存储过程/函数的功能，提供定义存储过程/函数的工具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*数据库运维工具</w:t>
            </w:r>
          </w:p>
        </w:tc>
        <w:tc>
          <w:tcPr>
            <w:tcW w:w="3953" w:type="dxa"/>
          </w:tcPr>
          <w:p>
            <w:pPr>
              <w:pStyle w:val="47"/>
              <w:spacing w:before="60" w:after="60"/>
              <w:jc w:val="left"/>
            </w:pPr>
            <w:r>
              <w:t>a)支持数据库、数据库存储对象结构、数据、统计信息更新维护；</w:t>
            </w:r>
          </w:p>
          <w:p>
            <w:pPr>
              <w:pStyle w:val="47"/>
              <w:spacing w:before="60" w:after="60"/>
              <w:jc w:val="left"/>
            </w:pPr>
            <w:r>
              <w:t>b)支持数据库创建、数据库修改、数据库删除、数据库模板维护；</w:t>
            </w:r>
          </w:p>
          <w:p>
            <w:pPr>
              <w:pStyle w:val="47"/>
              <w:spacing w:before="60" w:after="60"/>
              <w:jc w:val="left"/>
            </w:pPr>
            <w:r>
              <w:t>c)支持数据库任务自动化调度作业管理；</w:t>
            </w:r>
          </w:p>
          <w:p>
            <w:pPr>
              <w:pStyle w:val="47"/>
              <w:spacing w:before="60" w:after="60"/>
              <w:jc w:val="left"/>
            </w:pPr>
            <w:r>
              <w:t>d)支持图形化展示数据库管理的各种元数据界面，展示的内容具有层次性，包括模式、非模式数据字典信息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63</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监控跟踪工具</w:t>
            </w:r>
          </w:p>
        </w:tc>
        <w:tc>
          <w:tcPr>
            <w:tcW w:w="3953" w:type="dxa"/>
          </w:tcPr>
          <w:p>
            <w:pPr>
              <w:pStyle w:val="47"/>
              <w:spacing w:before="60" w:after="60"/>
              <w:jc w:val="left"/>
            </w:pPr>
            <w:r>
              <w:t>a)收集和统计数据库某时间段的运行状态及性能信息，判断该时间的数据库运行性能瓶颈；</w:t>
            </w:r>
          </w:p>
          <w:p>
            <w:pPr>
              <w:pStyle w:val="47"/>
              <w:spacing w:before="60" w:after="60"/>
              <w:jc w:val="left"/>
            </w:pPr>
            <w:r>
              <w:t>b)支持系统状态监控能力，包括对集群、服务器和数据库状态的监控等；</w:t>
            </w:r>
          </w:p>
          <w:p>
            <w:pPr>
              <w:pStyle w:val="47"/>
              <w:spacing w:before="60" w:after="60"/>
              <w:jc w:val="left"/>
            </w:pPr>
            <w:r>
              <w:t>c)支持性能瓶颈跟踪、运行过程监测与调优；</w:t>
            </w:r>
          </w:p>
          <w:p>
            <w:pPr>
              <w:pStyle w:val="47"/>
              <w:spacing w:before="60" w:after="60"/>
              <w:jc w:val="left"/>
            </w:pPr>
            <w:r>
              <w:t>d)提供数据库实例、网络通信、数据库对象的跟踪日志，日志数据准确、完整；</w:t>
            </w:r>
          </w:p>
          <w:p>
            <w:pPr>
              <w:pStyle w:val="47"/>
              <w:spacing w:before="60" w:after="60"/>
              <w:jc w:val="left"/>
            </w:pPr>
            <w:r>
              <w:t>e)支持特定事件或事务发生时收集监控数据库活动事务数据；</w:t>
            </w:r>
          </w:p>
          <w:p>
            <w:pPr>
              <w:pStyle w:val="47"/>
              <w:spacing w:before="60" w:after="60"/>
              <w:jc w:val="left"/>
            </w:pPr>
            <w:r>
              <w:t>f)支持跟踪数据库等待事件；</w:t>
            </w:r>
          </w:p>
          <w:p>
            <w:pPr>
              <w:pStyle w:val="47"/>
              <w:spacing w:before="60" w:after="60"/>
              <w:jc w:val="left"/>
            </w:pPr>
            <w:r>
              <w:t>g)提供捕获并记录实例、数据库在特定时间点的状态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64</w:t>
            </w:r>
          </w:p>
        </w:tc>
        <w:tc>
          <w:tcPr>
            <w:tcW w:w="1020" w:type="dxa"/>
          </w:tcPr>
          <w:p>
            <w:pPr>
              <w:pStyle w:val="47"/>
              <w:spacing w:before="60" w:after="60"/>
            </w:pPr>
            <w:r>
              <w:t>功能</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*图形化管理</w:t>
            </w:r>
          </w:p>
        </w:tc>
        <w:tc>
          <w:tcPr>
            <w:tcW w:w="1070" w:type="dxa"/>
          </w:tcPr>
          <w:p>
            <w:pPr>
              <w:pStyle w:val="47"/>
              <w:spacing w:before="60" w:after="60"/>
            </w:pPr>
            <w:r>
              <w:t>图形化远程启动、关闭数据库</w:t>
            </w:r>
          </w:p>
        </w:tc>
        <w:tc>
          <w:tcPr>
            <w:tcW w:w="3953" w:type="dxa"/>
          </w:tcPr>
          <w:p>
            <w:pPr>
              <w:pStyle w:val="47"/>
              <w:spacing w:before="60" w:after="60"/>
              <w:jc w:val="left"/>
            </w:pPr>
            <w:r>
              <w:t>a)提供数据库资源配置向导；</w:t>
            </w:r>
          </w:p>
          <w:p>
            <w:pPr>
              <w:pStyle w:val="47"/>
              <w:spacing w:before="60" w:after="60"/>
              <w:jc w:val="left"/>
            </w:pPr>
            <w:r>
              <w:t>b)提供远程数据库服务启动、关闭功能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65</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*图形化的开发工具</w:t>
            </w:r>
          </w:p>
        </w:tc>
        <w:tc>
          <w:tcPr>
            <w:tcW w:w="3953" w:type="dxa"/>
          </w:tcPr>
          <w:p>
            <w:pPr>
              <w:pStyle w:val="47"/>
              <w:spacing w:before="60" w:after="60"/>
              <w:jc w:val="left"/>
            </w:pPr>
            <w:r>
              <w:t>厂商提供图形化的开发工具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66</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*图形化运维工具</w:t>
            </w:r>
          </w:p>
        </w:tc>
        <w:tc>
          <w:tcPr>
            <w:tcW w:w="3953" w:type="dxa"/>
          </w:tcPr>
          <w:p>
            <w:pPr>
              <w:pStyle w:val="47"/>
              <w:spacing w:before="60" w:after="60"/>
              <w:jc w:val="left"/>
            </w:pPr>
            <w:r>
              <w:t>厂商提供图形化的运维工具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67</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图形化展示工具</w:t>
            </w:r>
          </w:p>
        </w:tc>
        <w:tc>
          <w:tcPr>
            <w:tcW w:w="3953" w:type="dxa"/>
          </w:tcPr>
          <w:p>
            <w:pPr>
              <w:pStyle w:val="47"/>
              <w:spacing w:before="60" w:after="60"/>
              <w:jc w:val="left"/>
            </w:pPr>
            <w:r>
              <w:t>厂商提供图形化数据展示工具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68</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图形界面配置参数基础功能</w:t>
            </w:r>
          </w:p>
        </w:tc>
        <w:tc>
          <w:tcPr>
            <w:tcW w:w="3953" w:type="dxa"/>
          </w:tcPr>
          <w:p>
            <w:pPr>
              <w:pStyle w:val="47"/>
              <w:spacing w:before="60" w:after="60"/>
              <w:jc w:val="left"/>
            </w:pPr>
            <w:r>
              <w:t>a）基本配置参数：</w:t>
            </w:r>
          </w:p>
          <w:p>
            <w:pPr>
              <w:pStyle w:val="47"/>
              <w:spacing w:before="60" w:after="60"/>
              <w:jc w:val="left"/>
            </w:pPr>
            <w:r>
              <w:t>1）配置资源使用限额；</w:t>
            </w:r>
          </w:p>
          <w:p>
            <w:pPr>
              <w:pStyle w:val="47"/>
              <w:spacing w:before="60" w:after="60"/>
              <w:jc w:val="left"/>
            </w:pPr>
            <w:r>
              <w:t>2）配置连接数；</w:t>
            </w:r>
          </w:p>
          <w:p>
            <w:pPr>
              <w:pStyle w:val="47"/>
              <w:spacing w:before="60" w:after="60"/>
              <w:jc w:val="left"/>
            </w:pPr>
            <w:r>
              <w:t>3）配置白名单；</w:t>
            </w:r>
          </w:p>
          <w:p>
            <w:pPr>
              <w:pStyle w:val="47"/>
              <w:spacing w:before="60" w:after="60"/>
              <w:jc w:val="left"/>
            </w:pPr>
            <w:r>
              <w:t>b）逻辑存储配置：</w:t>
            </w:r>
          </w:p>
          <w:p>
            <w:pPr>
              <w:pStyle w:val="47"/>
              <w:spacing w:before="60" w:after="60"/>
              <w:jc w:val="left"/>
            </w:pPr>
            <w:r>
              <w:t>1）图形界面支持逻辑存储配置；</w:t>
            </w:r>
          </w:p>
          <w:p>
            <w:pPr>
              <w:pStyle w:val="47"/>
              <w:spacing w:before="60" w:after="60"/>
              <w:jc w:val="left"/>
            </w:pPr>
            <w:r>
              <w:t>2）提供图形化界面管理数据库对象逻辑空间分配功能；</w:t>
            </w:r>
          </w:p>
          <w:p>
            <w:pPr>
              <w:pStyle w:val="47"/>
              <w:spacing w:before="60" w:after="60"/>
              <w:jc w:val="left"/>
            </w:pPr>
            <w:r>
              <w:t>c）提供图形界面配置参数功能，支持图形界面配置用户口令；</w:t>
            </w:r>
          </w:p>
          <w:p>
            <w:pPr>
              <w:pStyle w:val="47"/>
              <w:spacing w:before="60" w:after="60"/>
              <w:jc w:val="left"/>
            </w:pPr>
            <w:r>
              <w:t>d）配置审计：</w:t>
            </w:r>
          </w:p>
          <w:p>
            <w:pPr>
              <w:pStyle w:val="47"/>
              <w:spacing w:before="60" w:after="60"/>
              <w:jc w:val="left"/>
            </w:pPr>
            <w:r>
              <w:t>1）支持图形化界面配置审计策略；</w:t>
            </w:r>
          </w:p>
          <w:p>
            <w:pPr>
              <w:pStyle w:val="47"/>
              <w:spacing w:before="60" w:after="60"/>
              <w:jc w:val="left"/>
            </w:pPr>
            <w:r>
              <w:t>2）支持查看审计数据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69</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图形化管理数据库对象</w:t>
            </w:r>
          </w:p>
        </w:tc>
        <w:tc>
          <w:tcPr>
            <w:tcW w:w="3953" w:type="dxa"/>
          </w:tcPr>
          <w:p>
            <w:pPr>
              <w:pStyle w:val="47"/>
              <w:spacing w:before="60" w:after="60"/>
              <w:jc w:val="left"/>
            </w:pPr>
            <w: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70</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图形化监控</w:t>
            </w:r>
          </w:p>
        </w:tc>
        <w:tc>
          <w:tcPr>
            <w:tcW w:w="3953" w:type="dxa"/>
          </w:tcPr>
          <w:p>
            <w:pPr>
              <w:pStyle w:val="47"/>
              <w:spacing w:before="60" w:after="60"/>
              <w:jc w:val="left"/>
            </w:pPr>
            <w:r>
              <w:t>a）支持多实例集成监控与管理；</w:t>
            </w:r>
          </w:p>
          <w:p>
            <w:pPr>
              <w:pStyle w:val="47"/>
              <w:spacing w:before="60" w:after="60"/>
              <w:jc w:val="left"/>
            </w:pPr>
            <w:r>
              <w:t>b）支持操作系统和网络资源集成监控与管理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71</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图形化管理归档</w:t>
            </w:r>
          </w:p>
        </w:tc>
        <w:tc>
          <w:tcPr>
            <w:tcW w:w="3953" w:type="dxa"/>
          </w:tcPr>
          <w:p>
            <w:pPr>
              <w:pStyle w:val="47"/>
              <w:spacing w:before="60" w:after="60"/>
              <w:jc w:val="left"/>
            </w:pPr>
            <w:r>
              <w:t>支持对归档模式、归档文件位置、归档启用/停用进行管理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72</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图形化管理数据的备份、还原/恢复</w:t>
            </w:r>
          </w:p>
        </w:tc>
        <w:tc>
          <w:tcPr>
            <w:tcW w:w="3953" w:type="dxa"/>
          </w:tcPr>
          <w:p>
            <w:pPr>
              <w:pStyle w:val="47"/>
              <w:spacing w:before="60" w:after="60"/>
              <w:jc w:val="left"/>
            </w:pPr>
            <w:r>
              <w:t>提供图形化管理数据的备份、还原/恢复的功能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73</w:t>
            </w:r>
          </w:p>
        </w:tc>
        <w:tc>
          <w:tcPr>
            <w:tcW w:w="1020" w:type="dxa"/>
          </w:tcPr>
          <w:p>
            <w:pPr>
              <w:pStyle w:val="47"/>
              <w:spacing w:before="60" w:after="60"/>
            </w:pPr>
            <w:r>
              <w:t>功能</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图形化界面易用性</w:t>
            </w:r>
          </w:p>
        </w:tc>
        <w:tc>
          <w:tcPr>
            <w:tcW w:w="3953" w:type="dxa"/>
          </w:tcPr>
          <w:p>
            <w:pPr>
              <w:pStyle w:val="47"/>
              <w:spacing w:before="60" w:after="60"/>
              <w:jc w:val="left"/>
            </w:pPr>
            <w:r>
              <w:t>a)支持浏览器图形界面管理；</w:t>
            </w:r>
          </w:p>
          <w:p>
            <w:pPr>
              <w:pStyle w:val="47"/>
              <w:spacing w:before="60" w:after="60"/>
              <w:jc w:val="left"/>
            </w:pPr>
            <w:r>
              <w:t>b)图形化管理工具界面窗口、选单、图标、文字、快捷键统一并易于理解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74</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tcPr>
          <w:p>
            <w:pPr>
              <w:pStyle w:val="47"/>
              <w:spacing w:before="60" w:after="60"/>
            </w:pPr>
            <w:r>
              <w:t>*稳定运行</w:t>
            </w:r>
          </w:p>
        </w:tc>
        <w:tc>
          <w:tcPr>
            <w:tcW w:w="1070" w:type="dxa"/>
          </w:tcPr>
          <w:p>
            <w:pPr>
              <w:pStyle w:val="47"/>
              <w:spacing w:before="60" w:after="60"/>
            </w:pPr>
            <w:r>
              <w:t>*稳定运行</w:t>
            </w:r>
          </w:p>
        </w:tc>
        <w:tc>
          <w:tcPr>
            <w:tcW w:w="3953" w:type="dxa"/>
          </w:tcPr>
          <w:p>
            <w:pPr>
              <w:pStyle w:val="47"/>
              <w:spacing w:before="60" w:after="60"/>
              <w:jc w:val="left"/>
            </w:pPr>
            <w:r>
              <w:t>a)支持连续稳定运行；</w:t>
            </w:r>
          </w:p>
          <w:p>
            <w:pPr>
              <w:pStyle w:val="47"/>
              <w:spacing w:before="60" w:after="60"/>
              <w:jc w:val="left"/>
            </w:pPr>
            <w:r>
              <w:t>b)支持数据库管理系统运行风险的报警能力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75</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restart"/>
          </w:tcPr>
          <w:p>
            <w:pPr>
              <w:pStyle w:val="47"/>
              <w:spacing w:before="60" w:after="60"/>
            </w:pPr>
            <w:r>
              <w:t>*故障切换</w:t>
            </w:r>
          </w:p>
        </w:tc>
        <w:tc>
          <w:tcPr>
            <w:tcW w:w="1070" w:type="dxa"/>
          </w:tcPr>
          <w:p>
            <w:pPr>
              <w:pStyle w:val="47"/>
              <w:spacing w:before="60" w:after="60"/>
            </w:pPr>
            <w:r>
              <w:t>*快速切换</w:t>
            </w:r>
          </w:p>
        </w:tc>
        <w:tc>
          <w:tcPr>
            <w:tcW w:w="3953" w:type="dxa"/>
          </w:tcPr>
          <w:p>
            <w:pPr>
              <w:pStyle w:val="47"/>
              <w:spacing w:before="60" w:after="60"/>
              <w:jc w:val="left"/>
            </w:pPr>
            <w:r>
              <w:t>支持快速切换，在主数据库出现故障时，能够快速切换到备用数据库，保障业务正常运行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76</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*恢复无断点</w:t>
            </w:r>
          </w:p>
        </w:tc>
        <w:tc>
          <w:tcPr>
            <w:tcW w:w="3953" w:type="dxa"/>
          </w:tcPr>
          <w:p>
            <w:pPr>
              <w:pStyle w:val="47"/>
              <w:spacing w:before="60" w:after="60"/>
              <w:jc w:val="left"/>
            </w:pPr>
            <w:r>
              <w:t>支持无断点恢复能力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77</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*容灾能力</w:t>
            </w:r>
          </w:p>
        </w:tc>
        <w:tc>
          <w:tcPr>
            <w:tcW w:w="1070" w:type="dxa"/>
          </w:tcPr>
          <w:p>
            <w:pPr>
              <w:pStyle w:val="47"/>
              <w:spacing w:before="60" w:after="60"/>
            </w:pPr>
            <w:r>
              <w:t>*主备备份</w:t>
            </w:r>
          </w:p>
        </w:tc>
        <w:tc>
          <w:tcPr>
            <w:tcW w:w="3953" w:type="dxa"/>
          </w:tcPr>
          <w:p>
            <w:pPr>
              <w:pStyle w:val="47"/>
              <w:spacing w:before="60" w:after="60"/>
              <w:jc w:val="left"/>
            </w:pPr>
            <w:r>
              <w:t>a)支持多副本，支持主副本与从副本之间的数据同步，最低时延由生产厂商提供；</w:t>
            </w:r>
          </w:p>
          <w:p>
            <w:pPr>
              <w:pStyle w:val="47"/>
              <w:spacing w:before="60" w:after="60"/>
              <w:jc w:val="left"/>
            </w:pPr>
            <w:r>
              <w:t>b)提供基于主机的数据库复制技术，包括基于日志的备用数据库远程数据库备份技术，并具备数据副本间的复制能力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78</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*实例容灾</w:t>
            </w:r>
          </w:p>
        </w:tc>
        <w:tc>
          <w:tcPr>
            <w:tcW w:w="3953" w:type="dxa"/>
          </w:tcPr>
          <w:p>
            <w:pPr>
              <w:pStyle w:val="47"/>
              <w:spacing w:before="60" w:after="60"/>
              <w:jc w:val="left"/>
            </w:pPr>
            <w:r>
              <w:t>a)在任意数据库实例出现故障时，集群内服务正常运行，数据不丢失，集群整体业务可用；</w:t>
            </w:r>
          </w:p>
          <w:p>
            <w:pPr>
              <w:pStyle w:val="47"/>
              <w:spacing w:before="60" w:after="60"/>
              <w:jc w:val="left"/>
            </w:pPr>
            <w:r>
              <w:t>b)在实例故障、节点故障等单数据库实例故障时，RPO时间等于0，RTO时间小于30s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79</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*容灾部署</w:t>
            </w:r>
          </w:p>
        </w:tc>
        <w:tc>
          <w:tcPr>
            <w:tcW w:w="3953" w:type="dxa"/>
          </w:tcPr>
          <w:p>
            <w:pPr>
              <w:pStyle w:val="47"/>
              <w:spacing w:before="60" w:after="60"/>
              <w:jc w:val="left"/>
            </w:pPr>
            <w:r>
              <w:t>a)提供远程容灾部署与管理功能；</w:t>
            </w:r>
          </w:p>
          <w:p>
            <w:pPr>
              <w:pStyle w:val="47"/>
              <w:spacing w:before="60" w:after="60"/>
              <w:jc w:val="left"/>
            </w:pPr>
            <w:r>
              <w:t>b)提供生产中心与备份中心之间的容灾部署与管理功能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80</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*同城容灾</w:t>
            </w:r>
          </w:p>
        </w:tc>
        <w:tc>
          <w:tcPr>
            <w:tcW w:w="3953" w:type="dxa"/>
          </w:tcPr>
          <w:p>
            <w:pPr>
              <w:pStyle w:val="47"/>
              <w:spacing w:before="60" w:after="60"/>
              <w:jc w:val="left"/>
            </w:pPr>
            <w:r>
              <w:t>a)支持同城双中心部署，当主中心故障时，业务切换到备中心；</w:t>
            </w:r>
          </w:p>
          <w:p>
            <w:pPr>
              <w:pStyle w:val="47"/>
              <w:spacing w:before="60" w:after="60"/>
              <w:jc w:val="left"/>
            </w:pPr>
            <w:r>
              <w:t>b)由于网络、供电等原因造成的可用区级故障，触发集群计划外停机，在同城多可用区场景下，RPO时间等于0，RTO时间小于1分钟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81</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异地容灾</w:t>
            </w:r>
          </w:p>
        </w:tc>
        <w:tc>
          <w:tcPr>
            <w:tcW w:w="3953" w:type="dxa"/>
          </w:tcPr>
          <w:p>
            <w:pPr>
              <w:pStyle w:val="47"/>
              <w:spacing w:before="60" w:after="60"/>
              <w:jc w:val="left"/>
            </w:pPr>
            <w:r>
              <w:t>a)城市级故障，比如地震，业务可以切换到异地；</w:t>
            </w:r>
          </w:p>
          <w:p>
            <w:pPr>
              <w:pStyle w:val="47"/>
              <w:spacing w:before="60" w:after="60"/>
              <w:jc w:val="left"/>
            </w:pPr>
            <w:r>
              <w:t>b)异地灾备场景支持两地三中心部署架构，在本地建立同城灾备中心，在异地建立异地灾备中心，RPO时间小于1分钟，RTO时间小于10分钟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82</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*容错性</w:t>
            </w:r>
          </w:p>
        </w:tc>
        <w:tc>
          <w:tcPr>
            <w:tcW w:w="1070" w:type="dxa"/>
          </w:tcPr>
          <w:p>
            <w:pPr>
              <w:pStyle w:val="47"/>
              <w:spacing w:before="60" w:after="60"/>
            </w:pPr>
            <w:r>
              <w:t>*服务端编程稳定性</w:t>
            </w:r>
          </w:p>
        </w:tc>
        <w:tc>
          <w:tcPr>
            <w:tcW w:w="3953" w:type="dxa"/>
          </w:tcPr>
          <w:p>
            <w:pPr>
              <w:pStyle w:val="47"/>
              <w:spacing w:before="60" w:after="60"/>
              <w:jc w:val="left"/>
            </w:pPr>
            <w:r>
              <w:t>支持当用户自定义的存储过程、函数运行异常时，数据库稳定运行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83</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*网络容错</w:t>
            </w:r>
          </w:p>
        </w:tc>
        <w:tc>
          <w:tcPr>
            <w:tcW w:w="3953" w:type="dxa"/>
          </w:tcPr>
          <w:p>
            <w:pPr>
              <w:pStyle w:val="47"/>
              <w:spacing w:before="60" w:after="60"/>
              <w:jc w:val="left"/>
            </w:pPr>
            <w:r>
              <w:t>支持网络中断时，保障事务一致性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84</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*检测报警</w:t>
            </w:r>
          </w:p>
        </w:tc>
        <w:tc>
          <w:tcPr>
            <w:tcW w:w="3953" w:type="dxa"/>
          </w:tcPr>
          <w:p>
            <w:pPr>
              <w:pStyle w:val="47"/>
              <w:spacing w:before="60" w:after="60"/>
              <w:jc w:val="left"/>
            </w:pPr>
            <w:r>
              <w:t>a)支持数据库实例启动时错误检测能力；</w:t>
            </w:r>
          </w:p>
          <w:p>
            <w:pPr>
              <w:pStyle w:val="47"/>
              <w:spacing w:before="60" w:after="60"/>
              <w:jc w:val="left"/>
            </w:pPr>
            <w:r>
              <w:t>b)支持加载不同文件格式、不同大小数据出现错误时的故障检测和处理能力；</w:t>
            </w:r>
          </w:p>
          <w:p>
            <w:pPr>
              <w:pStyle w:val="47"/>
              <w:spacing w:before="60" w:after="60"/>
              <w:jc w:val="left"/>
            </w:pPr>
            <w:r>
              <w:t>c)支持数据库备份执行过程中发生故障时报错或者报警能力；</w:t>
            </w:r>
          </w:p>
          <w:p>
            <w:pPr>
              <w:pStyle w:val="47"/>
              <w:spacing w:before="60" w:after="60"/>
              <w:jc w:val="left"/>
            </w:pPr>
            <w:r>
              <w:t>d)支持数据库恢复发生故障时报错或者报警能力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85</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*故障恢复</w:t>
            </w:r>
          </w:p>
        </w:tc>
        <w:tc>
          <w:tcPr>
            <w:tcW w:w="3953" w:type="dxa"/>
          </w:tcPr>
          <w:p>
            <w:pPr>
              <w:pStyle w:val="47"/>
              <w:spacing w:before="60" w:after="60"/>
              <w:jc w:val="left"/>
            </w:pPr>
            <w:r>
              <w:t>a)系统故障重启后能正常运行且支持数据一致性；</w:t>
            </w:r>
          </w:p>
          <w:p>
            <w:pPr>
              <w:pStyle w:val="47"/>
              <w:spacing w:before="60" w:after="60"/>
              <w:jc w:val="left"/>
            </w:pPr>
            <w:r>
              <w:t>b)支持完全媒体故障恢复的能力；</w:t>
            </w:r>
          </w:p>
          <w:p>
            <w:pPr>
              <w:pStyle w:val="47"/>
              <w:spacing w:before="60" w:after="60"/>
              <w:jc w:val="left"/>
            </w:pPr>
            <w:r>
              <w:t>c)提供基于时间点故障恢复功能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86</w:t>
            </w:r>
          </w:p>
        </w:tc>
        <w:tc>
          <w:tcPr>
            <w:tcW w:w="1020" w:type="dxa"/>
          </w:tcPr>
          <w:p>
            <w:pPr>
              <w:pStyle w:val="47"/>
              <w:spacing w:before="60" w:after="60"/>
            </w:pPr>
            <w:r>
              <w:t>可靠</w:t>
            </w:r>
          </w:p>
          <w:p>
            <w:pPr>
              <w:pStyle w:val="47"/>
              <w:spacing w:before="60" w:after="60"/>
            </w:pPr>
            <w:r>
              <w:t>性要</w:t>
            </w:r>
          </w:p>
          <w:p>
            <w:pPr>
              <w:pStyle w:val="47"/>
              <w:spacing w:before="60" w:after="60"/>
            </w:pPr>
            <w:r>
              <w:t>求</w:t>
            </w:r>
          </w:p>
        </w:tc>
        <w:tc>
          <w:tcPr>
            <w:tcW w:w="1180" w:type="dxa"/>
            <w:vMerge w:val="continue"/>
          </w:tcPr>
          <w:p>
            <w:pPr>
              <w:pStyle w:val="47"/>
              <w:spacing w:before="60" w:after="60"/>
            </w:pPr>
          </w:p>
        </w:tc>
        <w:tc>
          <w:tcPr>
            <w:tcW w:w="1070" w:type="dxa"/>
          </w:tcPr>
          <w:p>
            <w:pPr>
              <w:pStyle w:val="47"/>
              <w:spacing w:before="60" w:after="60"/>
            </w:pPr>
            <w:r>
              <w:t>*不同级别故障可恢复</w:t>
            </w:r>
          </w:p>
        </w:tc>
        <w:tc>
          <w:tcPr>
            <w:tcW w:w="3953" w:type="dxa"/>
          </w:tcPr>
          <w:p>
            <w:pPr>
              <w:pStyle w:val="47"/>
              <w:spacing w:before="60" w:after="60"/>
              <w:jc w:val="left"/>
            </w:pPr>
            <w:r>
              <w:t>支持数据库事务故障、系统故障、存储媒体故障不同级别的可恢复能力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87</w:t>
            </w:r>
          </w:p>
        </w:tc>
        <w:tc>
          <w:tcPr>
            <w:tcW w:w="1020" w:type="dxa"/>
          </w:tcPr>
          <w:p>
            <w:pPr>
              <w:pStyle w:val="47"/>
              <w:spacing w:before="60" w:after="60"/>
            </w:pPr>
            <w:r>
              <w:t>兼容</w:t>
            </w:r>
          </w:p>
          <w:p>
            <w:pPr>
              <w:pStyle w:val="47"/>
              <w:spacing w:before="60" w:after="60"/>
            </w:pPr>
            <w:r>
              <w:t>要求</w:t>
            </w:r>
          </w:p>
        </w:tc>
        <w:tc>
          <w:tcPr>
            <w:tcW w:w="1180" w:type="dxa"/>
          </w:tcPr>
          <w:p>
            <w:pPr>
              <w:pStyle w:val="47"/>
              <w:spacing w:before="60" w:after="60"/>
            </w:pPr>
            <w:r>
              <w:t>软件兼容</w:t>
            </w:r>
          </w:p>
        </w:tc>
        <w:tc>
          <w:tcPr>
            <w:tcW w:w="1070" w:type="dxa"/>
          </w:tcPr>
          <w:p>
            <w:pPr>
              <w:pStyle w:val="47"/>
              <w:spacing w:before="60" w:after="60"/>
            </w:pPr>
            <w:r>
              <w:t>云化部署</w:t>
            </w:r>
          </w:p>
        </w:tc>
        <w:tc>
          <w:tcPr>
            <w:tcW w:w="3953" w:type="dxa"/>
          </w:tcPr>
          <w:p>
            <w:pPr>
              <w:pStyle w:val="47"/>
              <w:spacing w:before="60" w:after="60"/>
              <w:jc w:val="left"/>
            </w:pPr>
            <w:r>
              <w:t>持虚拟化部署或容器化部署等云化部署方式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88</w:t>
            </w:r>
          </w:p>
        </w:tc>
        <w:tc>
          <w:tcPr>
            <w:tcW w:w="1020" w:type="dxa"/>
          </w:tcPr>
          <w:p>
            <w:pPr>
              <w:pStyle w:val="47"/>
              <w:spacing w:before="60" w:after="60"/>
            </w:pPr>
            <w:r>
              <w:t>兼容</w:t>
            </w:r>
          </w:p>
          <w:p>
            <w:pPr>
              <w:pStyle w:val="47"/>
              <w:spacing w:before="60" w:after="60"/>
            </w:pPr>
            <w:r>
              <w:t>要求</w:t>
            </w:r>
          </w:p>
        </w:tc>
        <w:tc>
          <w:tcPr>
            <w:tcW w:w="1180" w:type="dxa"/>
          </w:tcPr>
          <w:p>
            <w:pPr>
              <w:pStyle w:val="47"/>
              <w:spacing w:before="60" w:after="60"/>
            </w:pPr>
            <w:r>
              <w:t>*硬件兼容</w:t>
            </w:r>
          </w:p>
        </w:tc>
        <w:tc>
          <w:tcPr>
            <w:tcW w:w="1070" w:type="dxa"/>
          </w:tcPr>
          <w:p>
            <w:pPr>
              <w:pStyle w:val="47"/>
              <w:spacing w:before="60" w:after="60"/>
            </w:pPr>
            <w:r>
              <w:t>*硬件平台</w:t>
            </w:r>
          </w:p>
          <w:p>
            <w:pPr>
              <w:pStyle w:val="47"/>
              <w:spacing w:before="60" w:after="60"/>
            </w:pPr>
            <w:r>
              <w:t>兼容</w:t>
            </w:r>
          </w:p>
        </w:tc>
        <w:tc>
          <w:tcPr>
            <w:tcW w:w="3953" w:type="dxa"/>
          </w:tcPr>
          <w:p>
            <w:pPr>
              <w:pStyle w:val="47"/>
              <w:spacing w:before="60" w:after="60"/>
              <w:jc w:val="left"/>
            </w:pPr>
            <w:r>
              <w:t>a)同源支持以下至少三种CPU平台架构：</w:t>
            </w:r>
          </w:p>
          <w:p>
            <w:pPr>
              <w:pStyle w:val="47"/>
              <w:spacing w:before="60" w:after="60"/>
              <w:jc w:val="left"/>
            </w:pPr>
            <w:r>
              <w:t>1)ARM；</w:t>
            </w:r>
          </w:p>
          <w:p>
            <w:pPr>
              <w:pStyle w:val="47"/>
              <w:spacing w:before="60" w:after="60"/>
              <w:jc w:val="left"/>
            </w:pPr>
            <w:r>
              <w:t>2)LoongArch；</w:t>
            </w:r>
          </w:p>
          <w:p>
            <w:pPr>
              <w:pStyle w:val="47"/>
              <w:spacing w:before="60" w:after="60"/>
              <w:jc w:val="left"/>
            </w:pPr>
            <w:r>
              <w:t>3)MIPS；</w:t>
            </w:r>
          </w:p>
          <w:p>
            <w:pPr>
              <w:pStyle w:val="47"/>
              <w:spacing w:before="60" w:after="60"/>
              <w:jc w:val="left"/>
            </w:pPr>
            <w:r>
              <w:t>4)SW64；</w:t>
            </w:r>
          </w:p>
          <w:p>
            <w:pPr>
              <w:pStyle w:val="47"/>
              <w:spacing w:before="60" w:after="60"/>
              <w:jc w:val="left"/>
            </w:pPr>
            <w:r>
              <w:t>5)x86；</w:t>
            </w:r>
          </w:p>
          <w:p>
            <w:pPr>
              <w:pStyle w:val="47"/>
              <w:spacing w:before="60" w:after="60"/>
              <w:jc w:val="left"/>
            </w:pPr>
            <w:r>
              <w:t>b)支持SMP和NUMA的运行环境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89</w:t>
            </w:r>
          </w:p>
        </w:tc>
        <w:tc>
          <w:tcPr>
            <w:tcW w:w="1020" w:type="dxa"/>
          </w:tcPr>
          <w:p>
            <w:pPr>
              <w:pStyle w:val="47"/>
              <w:spacing w:before="60" w:after="60"/>
            </w:pPr>
            <w:r>
              <w:t>兼容</w:t>
            </w:r>
          </w:p>
          <w:p>
            <w:pPr>
              <w:pStyle w:val="47"/>
              <w:spacing w:before="60" w:after="60"/>
            </w:pPr>
            <w:r>
              <w:t>要求</w:t>
            </w:r>
          </w:p>
        </w:tc>
        <w:tc>
          <w:tcPr>
            <w:tcW w:w="1180" w:type="dxa"/>
            <w:vMerge w:val="restart"/>
          </w:tcPr>
          <w:p>
            <w:pPr>
              <w:pStyle w:val="47"/>
              <w:spacing w:before="60" w:after="60"/>
            </w:pPr>
            <w:r>
              <w:t>*标准兼容</w:t>
            </w:r>
          </w:p>
        </w:tc>
        <w:tc>
          <w:tcPr>
            <w:tcW w:w="1070" w:type="dxa"/>
          </w:tcPr>
          <w:p>
            <w:pPr>
              <w:pStyle w:val="47"/>
              <w:spacing w:before="60" w:after="60"/>
            </w:pPr>
            <w:r>
              <w:t>*ODBC</w:t>
            </w:r>
          </w:p>
        </w:tc>
        <w:tc>
          <w:tcPr>
            <w:tcW w:w="3953" w:type="dxa"/>
          </w:tcPr>
          <w:p>
            <w:pPr>
              <w:pStyle w:val="47"/>
              <w:spacing w:before="60" w:after="60"/>
              <w:jc w:val="left"/>
            </w:pPr>
            <w:r>
              <w:t>支持ODBC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90</w:t>
            </w:r>
          </w:p>
        </w:tc>
        <w:tc>
          <w:tcPr>
            <w:tcW w:w="1020" w:type="dxa"/>
          </w:tcPr>
          <w:p>
            <w:pPr>
              <w:pStyle w:val="47"/>
              <w:spacing w:before="60" w:after="60"/>
            </w:pPr>
            <w:r>
              <w:t>兼容</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*JDBC</w:t>
            </w:r>
          </w:p>
        </w:tc>
        <w:tc>
          <w:tcPr>
            <w:tcW w:w="3953" w:type="dxa"/>
          </w:tcPr>
          <w:p>
            <w:pPr>
              <w:pStyle w:val="47"/>
              <w:spacing w:before="60" w:after="60"/>
              <w:jc w:val="left"/>
            </w:pPr>
            <w:r>
              <w:t>支持JDBC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91</w:t>
            </w:r>
          </w:p>
        </w:tc>
        <w:tc>
          <w:tcPr>
            <w:tcW w:w="1020" w:type="dxa"/>
          </w:tcPr>
          <w:p>
            <w:pPr>
              <w:pStyle w:val="47"/>
              <w:spacing w:before="60" w:after="60"/>
            </w:pPr>
            <w:r>
              <w:t>服务</w:t>
            </w:r>
          </w:p>
          <w:p>
            <w:pPr>
              <w:pStyle w:val="47"/>
              <w:spacing w:before="60" w:after="60"/>
            </w:pPr>
            <w:r>
              <w:t>要求</w:t>
            </w:r>
          </w:p>
        </w:tc>
        <w:tc>
          <w:tcPr>
            <w:tcW w:w="1180" w:type="dxa"/>
          </w:tcPr>
          <w:p>
            <w:pPr>
              <w:pStyle w:val="47"/>
              <w:spacing w:before="60" w:after="60"/>
            </w:pPr>
            <w:r>
              <w:t>*交付方式</w:t>
            </w:r>
          </w:p>
        </w:tc>
        <w:tc>
          <w:tcPr>
            <w:tcW w:w="1070" w:type="dxa"/>
          </w:tcPr>
          <w:p>
            <w:pPr>
              <w:pStyle w:val="47"/>
              <w:spacing w:before="60" w:after="60"/>
            </w:pPr>
            <w:r>
              <w:t>*交付方式</w:t>
            </w:r>
          </w:p>
        </w:tc>
        <w:tc>
          <w:tcPr>
            <w:tcW w:w="3953" w:type="dxa"/>
          </w:tcPr>
          <w:p>
            <w:pPr>
              <w:pStyle w:val="47"/>
              <w:spacing w:before="60" w:after="60"/>
              <w:jc w:val="left"/>
            </w:pPr>
            <w:r>
              <w:t>以光盘、便携式移动设备、镜像文件、在线下载等交付方式提供产品交付物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92</w:t>
            </w:r>
          </w:p>
        </w:tc>
        <w:tc>
          <w:tcPr>
            <w:tcW w:w="1020" w:type="dxa"/>
          </w:tcPr>
          <w:p>
            <w:pPr>
              <w:pStyle w:val="47"/>
              <w:spacing w:before="60" w:after="60"/>
            </w:pPr>
            <w:r>
              <w:t>服务</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*服务周期</w:t>
            </w:r>
          </w:p>
        </w:tc>
        <w:tc>
          <w:tcPr>
            <w:tcW w:w="1070" w:type="dxa"/>
          </w:tcPr>
          <w:p>
            <w:pPr>
              <w:pStyle w:val="47"/>
              <w:spacing w:before="60" w:after="60"/>
            </w:pPr>
            <w:r>
              <w:t>*产品维护</w:t>
            </w:r>
          </w:p>
          <w:p>
            <w:pPr>
              <w:pStyle w:val="47"/>
              <w:spacing w:before="60" w:after="60"/>
            </w:pPr>
            <w:r>
              <w:t>周期</w:t>
            </w:r>
          </w:p>
        </w:tc>
        <w:tc>
          <w:tcPr>
            <w:tcW w:w="3953" w:type="dxa"/>
          </w:tcPr>
          <w:p>
            <w:pPr>
              <w:pStyle w:val="47"/>
              <w:spacing w:before="60" w:after="60"/>
              <w:jc w:val="left"/>
            </w:pPr>
            <w:r>
              <w:t>产品自发布之日起至产品停止功能升级（包含不限于新特性、新硬件支持、问题修复、安全补丁等）之日止≥5年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93</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*产品延伸</w:t>
            </w:r>
          </w:p>
          <w:p>
            <w:pPr>
              <w:pStyle w:val="47"/>
              <w:spacing w:before="60" w:after="60"/>
            </w:pPr>
            <w:r>
              <w:t>服务周期</w:t>
            </w:r>
          </w:p>
        </w:tc>
        <w:tc>
          <w:tcPr>
            <w:tcW w:w="3953" w:type="dxa"/>
          </w:tcPr>
          <w:p>
            <w:pPr>
              <w:pStyle w:val="47"/>
              <w:spacing w:before="60" w:after="60"/>
              <w:jc w:val="left"/>
            </w:pPr>
            <w:r>
              <w:t>产品停止功能升级之日起至产品停止功能维护（包括问题修复、安全补丁等）之日止≥4年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94</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*产品延伸安全服务周期</w:t>
            </w:r>
          </w:p>
        </w:tc>
        <w:tc>
          <w:tcPr>
            <w:tcW w:w="3953" w:type="dxa"/>
          </w:tcPr>
          <w:p>
            <w:pPr>
              <w:pStyle w:val="47"/>
              <w:spacing w:before="60" w:after="60"/>
              <w:jc w:val="left"/>
            </w:pPr>
            <w:r>
              <w:t>产品功能维护停止之日起至产品停止安全维护（包括中高风险漏洞修复）之日止≥2年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95</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*售后服务最小保障期</w:t>
            </w:r>
          </w:p>
        </w:tc>
        <w:tc>
          <w:tcPr>
            <w:tcW w:w="3953" w:type="dxa"/>
          </w:tcPr>
          <w:p>
            <w:pPr>
              <w:pStyle w:val="47"/>
              <w:spacing w:before="60" w:after="60"/>
              <w:jc w:val="left"/>
            </w:pPr>
            <w:r>
              <w:t>自销售之日起，产品售后服务周期≥6年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96</w:t>
            </w:r>
          </w:p>
        </w:tc>
        <w:tc>
          <w:tcPr>
            <w:tcW w:w="1020" w:type="dxa"/>
          </w:tcPr>
          <w:p>
            <w:pPr>
              <w:pStyle w:val="47"/>
              <w:spacing w:before="60" w:after="60"/>
            </w:pPr>
            <w:r>
              <w:t>服务</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*供应链与服务保障</w:t>
            </w:r>
          </w:p>
        </w:tc>
        <w:tc>
          <w:tcPr>
            <w:tcW w:w="1070" w:type="dxa"/>
          </w:tcPr>
          <w:p>
            <w:pPr>
              <w:pStyle w:val="47"/>
              <w:spacing w:before="60" w:after="60"/>
            </w:pPr>
            <w:r>
              <w:t>*供应链与服务保障基础要求</w:t>
            </w:r>
          </w:p>
        </w:tc>
        <w:tc>
          <w:tcPr>
            <w:tcW w:w="3953" w:type="dxa"/>
          </w:tcPr>
          <w:p>
            <w:pPr>
              <w:pStyle w:val="47"/>
              <w:spacing w:before="60" w:after="60"/>
              <w:jc w:val="left"/>
            </w:pPr>
            <w:r>
              <w:t>a)提供多种形式支持服务，包含电话、电子邮件、远程连接等；</w:t>
            </w:r>
          </w:p>
          <w:p>
            <w:pPr>
              <w:pStyle w:val="47"/>
              <w:spacing w:before="60" w:after="60"/>
              <w:jc w:val="left"/>
            </w:pPr>
            <w:r>
              <w:t>b)提供技术支持服务，支持同城4h、异地12h响应要求，两个工作日解决问题，对于未能解决的问题和故障提供可行的升级方案；</w:t>
            </w:r>
          </w:p>
          <w:p>
            <w:pPr>
              <w:pStyle w:val="47"/>
              <w:spacing w:before="60" w:after="60"/>
              <w:jc w:val="left"/>
            </w:pPr>
            <w:r>
              <w:t>c)提供培训材料、产品手册、培训视频等培训相关内容；</w:t>
            </w:r>
          </w:p>
          <w:p>
            <w:pPr>
              <w:pStyle w:val="47"/>
              <w:spacing w:before="60" w:after="60"/>
              <w:jc w:val="left"/>
            </w:pPr>
            <w:r>
              <w:t>d)建立全国技术服务体系和服务团</w:t>
            </w:r>
          </w:p>
          <w:p>
            <w:pPr>
              <w:pStyle w:val="47"/>
              <w:spacing w:before="60" w:after="60"/>
              <w:jc w:val="left"/>
            </w:pPr>
            <w:r>
              <w:t>队，符合专业服务体系标准要求，提供原厂中文服务；</w:t>
            </w:r>
          </w:p>
          <w:p>
            <w:pPr>
              <w:pStyle w:val="47"/>
              <w:spacing w:before="60" w:after="60"/>
              <w:jc w:val="left"/>
            </w:pPr>
            <w:r>
              <w:t>e)服务周期内支持版本免费升级；</w:t>
            </w:r>
          </w:p>
          <w:p>
            <w:pPr>
              <w:pStyle w:val="47"/>
              <w:spacing w:before="60" w:after="60"/>
              <w:jc w:val="left"/>
            </w:pPr>
            <w:r>
              <w:t>f)开源产品对获得的社区源代码进行安全性和知识产权审查与管理；</w:t>
            </w:r>
          </w:p>
          <w:p>
            <w:pPr>
              <w:pStyle w:val="47"/>
              <w:spacing w:before="60" w:after="60"/>
              <w:jc w:val="left"/>
            </w:pPr>
            <w:r>
              <w:t>g)提供数据库参数、慢SQL语句的性能优化指南，包含性能优化的具体措施、技巧、案例及建议等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97</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定制服务</w:t>
            </w:r>
          </w:p>
        </w:tc>
        <w:tc>
          <w:tcPr>
            <w:tcW w:w="3953" w:type="dxa"/>
          </w:tcPr>
          <w:p>
            <w:pPr>
              <w:pStyle w:val="47"/>
              <w:spacing w:before="60" w:after="60"/>
              <w:jc w:val="left"/>
            </w:pPr>
            <w:r>
              <w:t>针对关键客户提供代码级定制优化服务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98</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驻场服务</w:t>
            </w:r>
          </w:p>
        </w:tc>
        <w:tc>
          <w:tcPr>
            <w:tcW w:w="3953" w:type="dxa"/>
          </w:tcPr>
          <w:p>
            <w:pPr>
              <w:pStyle w:val="47"/>
              <w:spacing w:before="60" w:after="60"/>
              <w:jc w:val="left"/>
            </w:pPr>
            <w:r>
              <w:t>提供原厂团队驻场服务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99</w:t>
            </w:r>
          </w:p>
        </w:tc>
        <w:tc>
          <w:tcPr>
            <w:tcW w:w="1020" w:type="dxa"/>
          </w:tcPr>
          <w:p>
            <w:pPr>
              <w:pStyle w:val="47"/>
              <w:spacing w:before="60" w:after="60"/>
            </w:pPr>
            <w:r>
              <w:t>服务</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在线反馈</w:t>
            </w:r>
          </w:p>
        </w:tc>
        <w:tc>
          <w:tcPr>
            <w:tcW w:w="3953" w:type="dxa"/>
          </w:tcPr>
          <w:p>
            <w:pPr>
              <w:pStyle w:val="47"/>
              <w:spacing w:before="60" w:after="60"/>
              <w:jc w:val="left"/>
            </w:pPr>
            <w:r>
              <w:t>支持在线问题反馈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100</w:t>
            </w:r>
          </w:p>
        </w:tc>
        <w:tc>
          <w:tcPr>
            <w:tcW w:w="1020" w:type="dxa"/>
          </w:tcPr>
          <w:p>
            <w:pPr>
              <w:pStyle w:val="47"/>
              <w:spacing w:before="60" w:after="60"/>
            </w:pPr>
            <w:r>
              <w:t>安全</w:t>
            </w:r>
          </w:p>
          <w:p>
            <w:pPr>
              <w:pStyle w:val="47"/>
              <w:spacing w:before="60" w:after="60"/>
            </w:pPr>
            <w:r>
              <w:t>要求</w:t>
            </w:r>
          </w:p>
        </w:tc>
        <w:tc>
          <w:tcPr>
            <w:tcW w:w="1180" w:type="dxa"/>
          </w:tcPr>
          <w:p>
            <w:pPr>
              <w:pStyle w:val="47"/>
              <w:spacing w:before="60" w:after="60"/>
            </w:pPr>
            <w:r>
              <w:t>*基本要求</w:t>
            </w:r>
          </w:p>
        </w:tc>
        <w:tc>
          <w:tcPr>
            <w:tcW w:w="1070" w:type="dxa"/>
          </w:tcPr>
          <w:p>
            <w:pPr>
              <w:pStyle w:val="47"/>
              <w:spacing w:before="60" w:after="60"/>
            </w:pPr>
            <w:r>
              <w:t>*基本要求6</w:t>
            </w:r>
          </w:p>
        </w:tc>
        <w:tc>
          <w:tcPr>
            <w:tcW w:w="3953" w:type="dxa"/>
          </w:tcPr>
          <w:p>
            <w:pPr>
              <w:pStyle w:val="47"/>
              <w:spacing w:before="60" w:after="60"/>
              <w:jc w:val="left"/>
            </w:pPr>
            <w:r>
              <w:t>数据库应当符合安全可靠测评要求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101</w:t>
            </w:r>
          </w:p>
        </w:tc>
        <w:tc>
          <w:tcPr>
            <w:tcW w:w="1020" w:type="dxa"/>
          </w:tcPr>
          <w:p>
            <w:pPr>
              <w:pStyle w:val="47"/>
              <w:spacing w:before="60" w:after="60"/>
            </w:pPr>
            <w:r>
              <w:t>安全</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r>
              <w:t>*基础安全</w:t>
            </w:r>
          </w:p>
        </w:tc>
        <w:tc>
          <w:tcPr>
            <w:tcW w:w="1070" w:type="dxa"/>
          </w:tcPr>
          <w:p>
            <w:pPr>
              <w:pStyle w:val="47"/>
              <w:spacing w:before="60" w:after="60"/>
            </w:pPr>
            <w:r>
              <w:t>安全架构</w:t>
            </w:r>
          </w:p>
        </w:tc>
        <w:tc>
          <w:tcPr>
            <w:tcW w:w="3953" w:type="dxa"/>
          </w:tcPr>
          <w:p>
            <w:pPr>
              <w:pStyle w:val="47"/>
              <w:spacing w:before="60" w:after="60"/>
              <w:jc w:val="left"/>
            </w:pPr>
            <w:r>
              <w:t>将系统管理员分为数据库管理员、数据库安全员和数据库审计员三种类型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p>
          <w:p>
            <w:pPr>
              <w:pStyle w:val="47"/>
              <w:spacing w:before="60" w:after="60"/>
            </w:pPr>
            <w:r>
              <w:t>102</w:t>
            </w:r>
          </w:p>
        </w:tc>
        <w:tc>
          <w:tcPr>
            <w:tcW w:w="1020" w:type="dxa"/>
          </w:tcPr>
          <w:p>
            <w:pPr>
              <w:pStyle w:val="47"/>
              <w:spacing w:before="60" w:after="60"/>
            </w:pPr>
            <w:r>
              <w:t>安全</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*漏洞管理</w:t>
            </w:r>
          </w:p>
        </w:tc>
        <w:tc>
          <w:tcPr>
            <w:tcW w:w="3953" w:type="dxa"/>
          </w:tcPr>
          <w:p>
            <w:pPr>
              <w:pStyle w:val="47"/>
              <w:spacing w:before="60" w:after="60"/>
              <w:jc w:val="left"/>
            </w:pPr>
            <w:r>
              <w:t>建立漏洞管理机制，及时通过邮件、网站等方式将安全漏洞告知用户，并提供安全补丁对漏洞进行修复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103</w:t>
            </w:r>
          </w:p>
        </w:tc>
        <w:tc>
          <w:tcPr>
            <w:tcW w:w="1020" w:type="dxa"/>
          </w:tcPr>
          <w:p>
            <w:pPr>
              <w:pStyle w:val="47"/>
              <w:spacing w:before="60" w:after="60"/>
            </w:pPr>
            <w:r>
              <w:t>安全</w:t>
            </w:r>
          </w:p>
          <w:p>
            <w:pPr>
              <w:pStyle w:val="47"/>
              <w:spacing w:before="60" w:after="60"/>
            </w:pPr>
            <w:r>
              <w:t>要求</w:t>
            </w:r>
          </w:p>
        </w:tc>
        <w:tc>
          <w:tcPr>
            <w:tcW w:w="1180" w:type="dxa"/>
          </w:tcPr>
          <w:p>
            <w:pPr>
              <w:pStyle w:val="47"/>
              <w:spacing w:before="60" w:after="60"/>
            </w:pPr>
          </w:p>
        </w:tc>
        <w:tc>
          <w:tcPr>
            <w:tcW w:w="1070" w:type="dxa"/>
          </w:tcPr>
          <w:p>
            <w:pPr>
              <w:pStyle w:val="47"/>
              <w:spacing w:before="60" w:after="60"/>
            </w:pPr>
            <w:r>
              <w:t>*身份鉴别及访问控制</w:t>
            </w:r>
          </w:p>
        </w:tc>
        <w:tc>
          <w:tcPr>
            <w:tcW w:w="3953" w:type="dxa"/>
          </w:tcPr>
          <w:p>
            <w:pPr>
              <w:pStyle w:val="47"/>
              <w:spacing w:before="60" w:after="60"/>
              <w:jc w:val="left"/>
            </w:pPr>
            <w:r>
              <w:t>提供身份鉴别及访问控制，加解密的密码要求符合GM/T0028的相关规定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104</w:t>
            </w:r>
          </w:p>
        </w:tc>
        <w:tc>
          <w:tcPr>
            <w:tcW w:w="1020" w:type="dxa"/>
          </w:tcPr>
          <w:p>
            <w:pPr>
              <w:pStyle w:val="47"/>
              <w:spacing w:before="60" w:after="60"/>
            </w:pPr>
            <w:r>
              <w:t>安全</w:t>
            </w:r>
          </w:p>
          <w:p>
            <w:pPr>
              <w:pStyle w:val="47"/>
              <w:spacing w:before="60" w:after="60"/>
            </w:pPr>
            <w:r>
              <w:t>要求</w:t>
            </w:r>
          </w:p>
        </w:tc>
        <w:tc>
          <w:tcPr>
            <w:tcW w:w="1180" w:type="dxa"/>
            <w:vMerge w:val="restart"/>
          </w:tcPr>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p>
          <w:p>
            <w:pPr>
              <w:pStyle w:val="47"/>
              <w:spacing w:before="60" w:after="60"/>
            </w:pPr>
            <w:r>
              <w:t>增强安全</w:t>
            </w:r>
          </w:p>
        </w:tc>
        <w:tc>
          <w:tcPr>
            <w:tcW w:w="1070" w:type="dxa"/>
          </w:tcPr>
          <w:p>
            <w:pPr>
              <w:pStyle w:val="47"/>
              <w:spacing w:before="60" w:after="60"/>
            </w:pPr>
            <w:r>
              <w:t>防篡改</w:t>
            </w:r>
          </w:p>
        </w:tc>
        <w:tc>
          <w:tcPr>
            <w:tcW w:w="3953" w:type="dxa"/>
          </w:tcPr>
          <w:p>
            <w:pPr>
              <w:pStyle w:val="47"/>
              <w:spacing w:before="60" w:after="60"/>
              <w:jc w:val="left"/>
            </w:pPr>
            <w:r>
              <w:t>a)支持对指定的表开启防篡改能力，开启后，对重要数据的增、删、改操作，记录篡改校验信息，并提供篡改校验能力；</w:t>
            </w:r>
          </w:p>
          <w:p>
            <w:pPr>
              <w:pStyle w:val="47"/>
              <w:spacing w:before="60" w:after="60"/>
              <w:jc w:val="left"/>
            </w:pPr>
            <w:r>
              <w:t>b)支持对指定的表开启追溯能力，开启后，对数据的变更具有全向追溯能力，能够记录数据变更的历史信息以及相应的操作记录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105</w:t>
            </w:r>
          </w:p>
        </w:tc>
        <w:tc>
          <w:tcPr>
            <w:tcW w:w="1020" w:type="dxa"/>
          </w:tcPr>
          <w:p>
            <w:pPr>
              <w:pStyle w:val="47"/>
              <w:spacing w:before="60" w:after="60"/>
            </w:pPr>
            <w:r>
              <w:t>安全</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全密态</w:t>
            </w:r>
          </w:p>
        </w:tc>
        <w:tc>
          <w:tcPr>
            <w:tcW w:w="3953" w:type="dxa"/>
          </w:tcPr>
          <w:p>
            <w:pPr>
              <w:pStyle w:val="47"/>
              <w:spacing w:before="60" w:after="60"/>
              <w:jc w:val="left"/>
            </w:pPr>
            <w:r>
              <w:t>支持全密态的等值、非等值查询能力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106</w:t>
            </w:r>
          </w:p>
        </w:tc>
        <w:tc>
          <w:tcPr>
            <w:tcW w:w="1020" w:type="dxa"/>
          </w:tcPr>
          <w:p>
            <w:pPr>
              <w:pStyle w:val="47"/>
              <w:spacing w:before="60" w:after="60"/>
            </w:pPr>
            <w:r>
              <w:t>安全</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安全扩展要求</w:t>
            </w:r>
          </w:p>
        </w:tc>
        <w:tc>
          <w:tcPr>
            <w:tcW w:w="3953" w:type="dxa"/>
          </w:tcPr>
          <w:p>
            <w:pPr>
              <w:pStyle w:val="47"/>
              <w:spacing w:before="60" w:after="60"/>
              <w:jc w:val="left"/>
            </w:pPr>
            <w:r>
              <w:t>支持自身数据的动态脱敏和透明加密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Pr>
          <w:p>
            <w:pPr>
              <w:pStyle w:val="47"/>
              <w:spacing w:before="60" w:after="60"/>
            </w:pPr>
            <w:r>
              <w:t>107</w:t>
            </w:r>
          </w:p>
        </w:tc>
        <w:tc>
          <w:tcPr>
            <w:tcW w:w="1020" w:type="dxa"/>
          </w:tcPr>
          <w:p>
            <w:pPr>
              <w:pStyle w:val="47"/>
              <w:spacing w:before="60" w:after="60"/>
            </w:pPr>
            <w:r>
              <w:t>安全</w:t>
            </w:r>
          </w:p>
          <w:p>
            <w:pPr>
              <w:pStyle w:val="47"/>
              <w:spacing w:before="60" w:after="60"/>
            </w:pPr>
            <w:r>
              <w:t>要求</w:t>
            </w:r>
          </w:p>
        </w:tc>
        <w:tc>
          <w:tcPr>
            <w:tcW w:w="1180" w:type="dxa"/>
            <w:vMerge w:val="continue"/>
          </w:tcPr>
          <w:p>
            <w:pPr>
              <w:pStyle w:val="47"/>
              <w:spacing w:before="60" w:after="60"/>
            </w:pPr>
          </w:p>
        </w:tc>
        <w:tc>
          <w:tcPr>
            <w:tcW w:w="1070" w:type="dxa"/>
          </w:tcPr>
          <w:p>
            <w:pPr>
              <w:pStyle w:val="47"/>
              <w:spacing w:before="60" w:after="60"/>
            </w:pPr>
            <w:r>
              <w:t>闪回查询</w:t>
            </w:r>
          </w:p>
        </w:tc>
        <w:tc>
          <w:tcPr>
            <w:tcW w:w="3953" w:type="dxa"/>
          </w:tcPr>
          <w:p>
            <w:pPr>
              <w:pStyle w:val="47"/>
              <w:spacing w:before="60" w:after="60"/>
              <w:jc w:val="left"/>
            </w:pPr>
            <w:r>
              <w:t>支持数据库闪回查询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bottom w:val="single" w:color="auto" w:sz="4" w:space="0"/>
            </w:tcBorders>
          </w:tcPr>
          <w:p>
            <w:pPr>
              <w:pStyle w:val="47"/>
              <w:spacing w:before="60" w:after="60"/>
            </w:pPr>
            <w:r>
              <w:t>108</w:t>
            </w:r>
          </w:p>
        </w:tc>
        <w:tc>
          <w:tcPr>
            <w:tcW w:w="1020" w:type="dxa"/>
            <w:tcBorders>
              <w:bottom w:val="single" w:color="auto" w:sz="4" w:space="0"/>
            </w:tcBorders>
          </w:tcPr>
          <w:p>
            <w:pPr>
              <w:pStyle w:val="47"/>
              <w:spacing w:before="60" w:after="60"/>
            </w:pPr>
            <w:r>
              <w:t>安全</w:t>
            </w:r>
          </w:p>
          <w:p>
            <w:pPr>
              <w:pStyle w:val="47"/>
              <w:spacing w:before="60" w:after="60"/>
            </w:pPr>
            <w:r>
              <w:t>要求</w:t>
            </w:r>
          </w:p>
        </w:tc>
        <w:tc>
          <w:tcPr>
            <w:tcW w:w="1180" w:type="dxa"/>
            <w:vMerge w:val="continue"/>
            <w:tcBorders>
              <w:bottom w:val="single" w:color="auto" w:sz="4" w:space="0"/>
            </w:tcBorders>
          </w:tcPr>
          <w:p>
            <w:pPr>
              <w:pStyle w:val="47"/>
              <w:spacing w:before="60" w:after="60"/>
            </w:pPr>
          </w:p>
        </w:tc>
        <w:tc>
          <w:tcPr>
            <w:tcW w:w="1070" w:type="dxa"/>
            <w:tcBorders>
              <w:bottom w:val="single" w:color="auto" w:sz="4" w:space="0"/>
            </w:tcBorders>
          </w:tcPr>
          <w:p>
            <w:pPr>
              <w:pStyle w:val="47"/>
              <w:spacing w:before="60" w:after="60"/>
            </w:pPr>
            <w:r>
              <w:t>闪回恢复</w:t>
            </w:r>
          </w:p>
        </w:tc>
        <w:tc>
          <w:tcPr>
            <w:tcW w:w="3953" w:type="dxa"/>
            <w:tcBorders>
              <w:bottom w:val="single" w:color="auto" w:sz="4" w:space="0"/>
            </w:tcBorders>
          </w:tcPr>
          <w:p>
            <w:pPr>
              <w:pStyle w:val="47"/>
              <w:spacing w:before="60" w:after="60"/>
              <w:jc w:val="left"/>
            </w:pPr>
            <w:r>
              <w:t>支持闪回查询实时恢复数据，支持不同级别（如库级、表级等）的闪回恢复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07" w:type="dxa"/>
            <w:gridSpan w:val="5"/>
          </w:tcPr>
          <w:p>
            <w:pPr>
              <w:pStyle w:val="47"/>
              <w:spacing w:before="60" w:after="60"/>
              <w:jc w:val="left"/>
            </w:pPr>
            <w:r>
              <w:rPr>
                <w:rFonts w:hint="eastAsia"/>
              </w:rPr>
              <w:t>扩展需求指标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1</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rPr>
                <w:rFonts w:hint="eastAsia"/>
                <w:lang w:eastAsia="zh-CN"/>
              </w:rPr>
            </w:pPr>
            <w:r>
              <w:rPr>
                <w:rFonts w:hint="eastAsia"/>
                <w:lang w:eastAsia="zh-CN"/>
              </w:rPr>
              <w:t>知识</w:t>
            </w:r>
          </w:p>
          <w:p>
            <w:pPr>
              <w:pStyle w:val="47"/>
              <w:spacing w:before="60" w:after="60"/>
              <w:rPr>
                <w:rFonts w:hint="eastAsia"/>
                <w:lang w:eastAsia="zh-CN"/>
              </w:rPr>
            </w:pPr>
            <w:r>
              <w:rPr>
                <w:rFonts w:hint="eastAsia"/>
                <w:lang w:eastAsia="zh-CN"/>
              </w:rPr>
              <w:t>产权</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jc w:val="center"/>
              <w:rPr>
                <w:rFonts w:hint="eastAsia" w:eastAsia="仿宋"/>
                <w:lang w:eastAsia="zh-CN"/>
              </w:rPr>
            </w:pPr>
            <w:r>
              <w:rPr>
                <w:rFonts w:hint="eastAsia"/>
              </w:rPr>
              <w:t>相关</w:t>
            </w:r>
            <w:r>
              <w:rPr>
                <w:rFonts w:hint="eastAsia"/>
                <w:lang w:eastAsia="zh-CN"/>
              </w:rPr>
              <w:t>知识产权</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jc w:val="center"/>
            </w:pPr>
            <w:r>
              <w:rPr>
                <w:rFonts w:hint="eastAsia"/>
              </w:rPr>
              <w:t>软著</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▲提供产品软件著作权证书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2</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rPr>
                <w:rFonts w:hint="eastAsia"/>
                <w:lang w:eastAsia="zh-CN"/>
              </w:rPr>
            </w:pPr>
            <w:r>
              <w:rPr>
                <w:rFonts w:hint="eastAsia"/>
                <w:lang w:eastAsia="zh-CN"/>
              </w:rPr>
              <w:t>知识</w:t>
            </w:r>
          </w:p>
          <w:p>
            <w:pPr>
              <w:pStyle w:val="47"/>
              <w:spacing w:before="60" w:after="60"/>
              <w:rPr>
                <w:rFonts w:hint="eastAsia"/>
                <w:lang w:eastAsia="zh-CN"/>
              </w:rPr>
            </w:pPr>
            <w:r>
              <w:rPr>
                <w:rFonts w:hint="eastAsia"/>
                <w:lang w:eastAsia="zh-CN"/>
              </w:rPr>
              <w:t>产权</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jc w:val="center"/>
            </w:pPr>
            <w:r>
              <w:rPr>
                <w:rFonts w:hint="eastAsia"/>
              </w:rPr>
              <w:t>专利</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▲提供产品专利证书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3</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安全</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数据安全</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保密控制</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▲支持数据保密、权限控制、抗攻击、用户行为追踪（提供相关证明材料）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4</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安全</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jc w:val="center"/>
            </w:pPr>
            <w:r>
              <w:rPr>
                <w:rFonts w:hint="eastAsia"/>
              </w:rPr>
              <w:t>加密能力</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▲支持软件加密、密码卡加密（提供相关证明材料）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5</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安全</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三权分立</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▲支持三权分立（提供相关证明材料）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6</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高可用</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高可用能力</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部署能力</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▲支持单机、主备、共享存储部署（提供相关证明材料）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7</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高可用</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故障切换</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▲支持故障自动秒级切换（提供相关证明材料）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8</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兼容</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兼容能力</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语法</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▲兼容Oracle语法，在PL/SQL、包、系统函数、系统视图、DML语句、DDL语句、数据类型、操作符等方面都有良好的兼容性（提供相关证明材料）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default"/>
                <w:lang w:val="en-US"/>
              </w:rPr>
              <w:t>9</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兼容</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字符集</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▲支持GB18030-2022字符集（提供相关证明材料）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10</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工具</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运维工具</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管理工具</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▲提供图形化管理工具，支持图形化安装、管理、开发等（提供相关证明材料）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11</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工具</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监控工具</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▲支持B/S架构的数据库监控工具，用于实时监控数据库状态、资源消耗状况、数据库健康状况检查等。（提供相关证明材料）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12</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工具</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迁移工具</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▲提供异构数据库数据迁移工具，可将目标数据库中的对象、数据等迁移至数据库中（提供相关证明材料）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13</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性能</w:t>
            </w:r>
          </w:p>
          <w:p>
            <w:pPr>
              <w:pStyle w:val="47"/>
              <w:spacing w:before="60" w:after="60"/>
            </w:pPr>
            <w:r>
              <w:rPr>
                <w:rFonts w:hint="eastAsia"/>
              </w:rPr>
              <w:t>要求</w:t>
            </w:r>
          </w:p>
        </w:tc>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47"/>
              <w:spacing w:before="60" w:after="60"/>
              <w:jc w:val="center"/>
            </w:pPr>
            <w:r>
              <w:rPr>
                <w:rFonts w:hint="eastAsia"/>
              </w:rPr>
              <w:t>数据库性能</w:t>
            </w: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并发访问</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▲数据库支持最大并行访问用户数10000（提供相关证明材料）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14</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性能</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TPMC</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▲单机数据库事务处理能力TPMC值150W（提供相关证明材料）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4" w:type="dxa"/>
            <w:tcBorders>
              <w:top w:val="single" w:color="auto" w:sz="4" w:space="0"/>
              <w:left w:val="single" w:color="auto" w:sz="4" w:space="0"/>
              <w:bottom w:val="single" w:color="auto" w:sz="4" w:space="0"/>
              <w:right w:val="single" w:color="auto" w:sz="4" w:space="0"/>
            </w:tcBorders>
          </w:tcPr>
          <w:p>
            <w:pPr>
              <w:pStyle w:val="47"/>
              <w:spacing w:before="60" w:after="60"/>
              <w:rPr>
                <w:rFonts w:hint="default"/>
                <w:lang w:val="en-US"/>
              </w:rPr>
            </w:pPr>
            <w:r>
              <w:rPr>
                <w:rFonts w:hint="default"/>
                <w:lang w:val="en-US"/>
              </w:rPr>
              <w:t>15</w:t>
            </w:r>
          </w:p>
        </w:tc>
        <w:tc>
          <w:tcPr>
            <w:tcW w:w="1020" w:type="dxa"/>
            <w:tcBorders>
              <w:top w:val="single" w:color="auto" w:sz="4" w:space="0"/>
              <w:left w:val="single" w:color="auto" w:sz="4" w:space="0"/>
              <w:bottom w:val="single" w:color="auto" w:sz="4" w:space="0"/>
              <w:right w:val="single" w:color="auto" w:sz="4" w:space="0"/>
            </w:tcBorders>
          </w:tcPr>
          <w:p>
            <w:pPr>
              <w:pStyle w:val="47"/>
              <w:spacing w:before="60" w:after="60"/>
            </w:pPr>
            <w:r>
              <w:rPr>
                <w:rFonts w:hint="eastAsia"/>
              </w:rPr>
              <w:t>性能</w:t>
            </w:r>
          </w:p>
          <w:p>
            <w:pPr>
              <w:pStyle w:val="47"/>
              <w:spacing w:before="60" w:after="60"/>
            </w:pPr>
            <w:r>
              <w:rPr>
                <w:rFonts w:hint="eastAsia"/>
              </w:rPr>
              <w:t>要求</w:t>
            </w: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pStyle w:val="47"/>
              <w:spacing w:before="60" w:after="60"/>
            </w:pPr>
          </w:p>
        </w:tc>
        <w:tc>
          <w:tcPr>
            <w:tcW w:w="1070" w:type="dxa"/>
            <w:tcBorders>
              <w:top w:val="single" w:color="auto" w:sz="4" w:space="0"/>
              <w:left w:val="single" w:color="auto" w:sz="4" w:space="0"/>
              <w:bottom w:val="single" w:color="auto" w:sz="4" w:space="0"/>
              <w:right w:val="single" w:color="auto" w:sz="4" w:space="0"/>
            </w:tcBorders>
            <w:vAlign w:val="center"/>
          </w:tcPr>
          <w:p>
            <w:pPr>
              <w:pStyle w:val="47"/>
              <w:spacing w:before="60" w:after="60"/>
            </w:pPr>
            <w:r>
              <w:rPr>
                <w:rFonts w:hint="eastAsia"/>
              </w:rPr>
              <w:t>VARCHAR</w:t>
            </w:r>
          </w:p>
        </w:tc>
        <w:tc>
          <w:tcPr>
            <w:tcW w:w="3953" w:type="dxa"/>
            <w:tcBorders>
              <w:top w:val="single" w:color="auto" w:sz="4" w:space="0"/>
              <w:left w:val="single" w:color="auto" w:sz="4" w:space="0"/>
              <w:bottom w:val="single" w:color="auto" w:sz="4" w:space="0"/>
              <w:right w:val="single" w:color="auto" w:sz="4" w:space="0"/>
            </w:tcBorders>
          </w:tcPr>
          <w:p>
            <w:pPr>
              <w:pStyle w:val="47"/>
              <w:spacing w:before="60" w:after="60"/>
              <w:jc w:val="left"/>
            </w:pPr>
            <w:r>
              <w:rPr>
                <w:rFonts w:hint="eastAsia"/>
              </w:rPr>
              <w:t>▲VARCHAR类型的最大长度2000字节（提供相关证明材料）</w:t>
            </w:r>
          </w:p>
        </w:tc>
      </w:tr>
    </w:tbl>
    <w:p>
      <w:pPr>
        <w:pStyle w:val="2"/>
        <w:spacing w:before="60" w:after="60"/>
        <w:ind w:firstLine="480"/>
        <w:rPr>
          <w:rFonts w:hint="eastAsia"/>
        </w:rPr>
      </w:pPr>
    </w:p>
    <w:p>
      <w:pPr>
        <w:pStyle w:val="2"/>
        <w:spacing w:before="60" w:after="60"/>
        <w:ind w:firstLine="480"/>
      </w:pPr>
      <w:r>
        <w:rPr>
          <w:rFonts w:hint="eastAsia"/>
        </w:rPr>
        <w:t xml:space="preserve">注:加*指标的为政府采购需求必须项。 </w:t>
      </w:r>
    </w:p>
    <w:p>
      <w:pPr>
        <w:pStyle w:val="2"/>
        <w:spacing w:before="60" w:after="60"/>
        <w:ind w:firstLine="480" w:firstLineChars="0"/>
      </w:pPr>
    </w:p>
    <w:p>
      <w:pPr>
        <w:pStyle w:val="4"/>
        <w:spacing w:before="60" w:after="60"/>
        <w:rPr>
          <w:rFonts w:ascii="Times New Roman" w:hAnsi="Times New Roman"/>
        </w:rPr>
      </w:pPr>
      <w:r>
        <w:rPr>
          <w:rFonts w:ascii="Times New Roman"/>
        </w:rPr>
        <w:t>中间件</w:t>
      </w:r>
    </w:p>
    <w:p>
      <w:pPr>
        <w:spacing w:beforeLines="0" w:afterLines="0" w:line="560" w:lineRule="exact"/>
        <w:ind w:firstLine="600"/>
        <w:rPr>
          <w:rFonts w:eastAsia="仿宋_GB2312"/>
          <w:sz w:val="30"/>
          <w:szCs w:val="30"/>
        </w:rPr>
      </w:pPr>
      <w:r>
        <w:rPr>
          <w:rFonts w:eastAsia="仿宋_GB2312"/>
          <w:sz w:val="30"/>
          <w:szCs w:val="30"/>
        </w:rPr>
        <w:t>本次需采购国产化中间件软件共计12套，具体要求如下：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572"/>
        <w:gridCol w:w="572"/>
        <w:gridCol w:w="6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pPr>
            <w:r>
              <w:t>序号</w:t>
            </w:r>
          </w:p>
        </w:tc>
        <w:tc>
          <w:tcPr>
            <w:tcW w:w="0" w:type="auto"/>
            <w:vAlign w:val="center"/>
          </w:tcPr>
          <w:p>
            <w:pPr>
              <w:pStyle w:val="47"/>
              <w:spacing w:before="60" w:after="60"/>
            </w:pPr>
            <w:r>
              <w:rPr>
                <w:rFonts w:hint="eastAsia"/>
              </w:rPr>
              <w:t>分类</w:t>
            </w:r>
          </w:p>
        </w:tc>
        <w:tc>
          <w:tcPr>
            <w:tcW w:w="0" w:type="auto"/>
            <w:vAlign w:val="center"/>
          </w:tcPr>
          <w:p>
            <w:pPr>
              <w:pStyle w:val="47"/>
              <w:spacing w:before="60" w:after="60"/>
            </w:pPr>
            <w:r>
              <w:t>指标项</w:t>
            </w:r>
          </w:p>
        </w:tc>
        <w:tc>
          <w:tcPr>
            <w:tcW w:w="0" w:type="auto"/>
          </w:tcPr>
          <w:p>
            <w:pPr>
              <w:pStyle w:val="47"/>
              <w:spacing w:before="60" w:after="60"/>
              <w:jc w:val="left"/>
            </w:pPr>
            <w:r>
              <w:rPr>
                <w:rFonts w:hint="eastAsi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1</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遵循国际标准，必须通过JavaEE5、6、7、8四个标准规范的官方兼容认证，并且逐个提供JavaEE对上述标准兼容认证的查询网址及网页截图。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2</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产品厂商获得JavaEE平台授权许可，提供JavaEE官方证明。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47"/>
              <w:spacing w:before="60" w:after="60"/>
              <w:rPr>
                <w:rFonts w:hint="eastAsia" w:eastAsia="仿宋"/>
                <w:lang w:eastAsia="zh-CN"/>
              </w:rPr>
            </w:pPr>
            <w:r>
              <w:rPr>
                <w:rFonts w:hint="eastAsia"/>
                <w:lang w:val="en-US" w:eastAsia="zh-CN"/>
              </w:rPr>
              <w:t>3</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产品厂商具有良好的技术规划和先进性，参与JavaEE6标准（JSR316）、JavaEE7标准（JSR342）制定，提供JCP查询网址和截图。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4</w:t>
            </w:r>
          </w:p>
        </w:tc>
        <w:tc>
          <w:tcPr>
            <w:tcW w:w="0" w:type="auto"/>
            <w:vMerge w:val="restart"/>
            <w:vAlign w:val="center"/>
          </w:tcPr>
          <w:p>
            <w:pPr>
              <w:pStyle w:val="47"/>
              <w:spacing w:before="60" w:after="60"/>
            </w:pPr>
            <w:r>
              <w:rPr>
                <w:rFonts w:hint="eastAsia"/>
              </w:rPr>
              <w:t>基础功能</w:t>
            </w:r>
          </w:p>
        </w:tc>
        <w:tc>
          <w:tcPr>
            <w:tcW w:w="0" w:type="auto"/>
            <w:vMerge w:val="restart"/>
            <w:vAlign w:val="center"/>
          </w:tcPr>
          <w:p>
            <w:pPr>
              <w:pStyle w:val="47"/>
              <w:spacing w:before="60" w:after="60"/>
            </w:pPr>
            <w:r>
              <w:t>基础功能</w:t>
            </w:r>
          </w:p>
        </w:tc>
        <w:tc>
          <w:tcPr>
            <w:tcW w:w="0" w:type="auto"/>
          </w:tcPr>
          <w:p>
            <w:pPr>
              <w:pStyle w:val="47"/>
              <w:spacing w:before="60" w:after="60"/>
              <w:jc w:val="left"/>
            </w:pPr>
            <w:r>
              <w:t>产品应具备良好的生态环境适应能力，支持多种主流国产操作系统，如麒麟OS、统信UOS等；支持多种主流国产数据库系统，如达梦、金仓、神通、南大通用等。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5</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支持集群部署，提供集群管理工具。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val="en-US" w:eastAsia="zh-CN"/>
              </w:rPr>
            </w:pPr>
            <w:r>
              <w:rPr>
                <w:rFonts w:hint="eastAsia"/>
                <w:lang w:val="en-US" w:eastAsia="zh-CN"/>
              </w:rPr>
              <w:t>6</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内置类加载冲突检测工具，可以检测出应用部署和运行过程中哪些类存在类加载冲突问题，并能自动生成冲突检测报告，方便快速定位和解决应用类加载问题。提供产品功能截图。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47"/>
              <w:spacing w:before="60" w:after="60"/>
              <w:rPr>
                <w:rFonts w:hint="eastAsia" w:eastAsia="仿宋"/>
                <w:lang w:eastAsia="zh-CN"/>
              </w:rPr>
            </w:pPr>
            <w:r>
              <w:rPr>
                <w:rFonts w:hint="eastAsia"/>
                <w:lang w:val="en-US" w:eastAsia="zh-CN"/>
              </w:rPr>
              <w:t>7</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支持在管理控制台页面上配置异步日志，保证日志输出的同时降低对应用系统性能的影响。提供产品功能截图。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8</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监控服务可以选择监视信息的回放时间段，方便运维人员了解过去某段时间的系统和应用的监控情况。提供产品功能截图。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eastAsia" w:eastAsia="仿宋"/>
                <w:lang w:eastAsia="zh-CN"/>
              </w:rPr>
            </w:pPr>
            <w:r>
              <w:rPr>
                <w:rFonts w:hint="eastAsia"/>
                <w:lang w:val="en-US" w:eastAsia="zh-CN"/>
              </w:rPr>
              <w:t>9</w:t>
            </w:r>
          </w:p>
        </w:tc>
        <w:tc>
          <w:tcPr>
            <w:tcW w:w="0" w:type="auto"/>
            <w:vAlign w:val="center"/>
          </w:tcPr>
          <w:p>
            <w:pPr>
              <w:pStyle w:val="47"/>
              <w:spacing w:before="60" w:after="60"/>
            </w:pPr>
            <w:r>
              <w:t>性能要求</w:t>
            </w:r>
          </w:p>
        </w:tc>
        <w:tc>
          <w:tcPr>
            <w:tcW w:w="0" w:type="auto"/>
            <w:vAlign w:val="center"/>
          </w:tcPr>
          <w:p>
            <w:pPr>
              <w:pStyle w:val="47"/>
              <w:spacing w:before="60" w:after="60"/>
            </w:pPr>
            <w:r>
              <w:t>性能要求</w:t>
            </w:r>
          </w:p>
        </w:tc>
        <w:tc>
          <w:tcPr>
            <w:tcW w:w="0" w:type="auto"/>
          </w:tcPr>
          <w:p>
            <w:pPr>
              <w:pStyle w:val="47"/>
              <w:spacing w:before="60" w:after="60"/>
              <w:jc w:val="left"/>
            </w:pPr>
            <w:r>
              <w:t>为保证系统稳定运行，对中间件负载能力要求较高，要求在全国产环境下通过集群横向扩张可满足至少五十万在线用户访问能力，并且长时间运行稳定，中位响应时间低于200毫秒，90%平均响应时间低于400毫秒，95%平均响应时间低于500毫秒，99%平均响应时间低于700毫秒。需提供国产操作系统厂商、国产大型商务软件厂商和国产应用中间件厂商联合盖章证明，同时提供第三方测评机构出具的全国产环境性能测试报告证明，至少包括测评机构资质、报告首页、软硬件环境页、测试结果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default" w:eastAsia="仿宋"/>
                <w:lang w:val="en-US" w:eastAsia="zh-CN"/>
              </w:rPr>
            </w:pPr>
            <w:r>
              <w:rPr>
                <w:rFonts w:hint="eastAsia"/>
                <w:lang w:val="en-US" w:eastAsia="zh-CN"/>
              </w:rPr>
              <w:t>10</w:t>
            </w:r>
          </w:p>
        </w:tc>
        <w:tc>
          <w:tcPr>
            <w:tcW w:w="0" w:type="auto"/>
            <w:vAlign w:val="center"/>
          </w:tcPr>
          <w:p>
            <w:pPr>
              <w:pStyle w:val="47"/>
              <w:spacing w:before="60" w:after="60"/>
            </w:pPr>
            <w:r>
              <w:t>可靠性</w:t>
            </w:r>
          </w:p>
        </w:tc>
        <w:tc>
          <w:tcPr>
            <w:tcW w:w="0" w:type="auto"/>
            <w:vAlign w:val="center"/>
          </w:tcPr>
          <w:p>
            <w:pPr>
              <w:pStyle w:val="47"/>
              <w:spacing w:before="60" w:after="60"/>
            </w:pPr>
            <w:r>
              <w:t>可靠性</w:t>
            </w:r>
          </w:p>
        </w:tc>
        <w:tc>
          <w:tcPr>
            <w:tcW w:w="0" w:type="auto"/>
          </w:tcPr>
          <w:p>
            <w:pPr>
              <w:pStyle w:val="47"/>
              <w:spacing w:before="60" w:after="60"/>
              <w:jc w:val="left"/>
            </w:pPr>
            <w:r>
              <w:t>在不停止应用服务器运行的情况下，支持动态更新license以及集中管理替换license，避免更新license对业务正常运行的影响。提供产品功能截图。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47"/>
              <w:spacing w:before="60" w:after="60"/>
              <w:rPr>
                <w:rFonts w:hint="default" w:eastAsia="仿宋"/>
                <w:lang w:val="en-US" w:eastAsia="zh-CN"/>
              </w:rPr>
            </w:pPr>
            <w:r>
              <w:rPr>
                <w:rFonts w:hint="eastAsia"/>
                <w:lang w:val="en-US" w:eastAsia="zh-CN"/>
              </w:rPr>
              <w:t>11</w:t>
            </w:r>
          </w:p>
        </w:tc>
        <w:tc>
          <w:tcPr>
            <w:tcW w:w="0" w:type="auto"/>
            <w:vMerge w:val="restart"/>
            <w:vAlign w:val="center"/>
          </w:tcPr>
          <w:p>
            <w:pPr>
              <w:pStyle w:val="47"/>
              <w:spacing w:before="60" w:after="60"/>
            </w:pPr>
            <w:r>
              <w:t>安全性</w:t>
            </w:r>
          </w:p>
        </w:tc>
        <w:tc>
          <w:tcPr>
            <w:tcW w:w="0" w:type="auto"/>
            <w:vMerge w:val="restart"/>
            <w:vAlign w:val="center"/>
          </w:tcPr>
          <w:p>
            <w:pPr>
              <w:pStyle w:val="47"/>
              <w:spacing w:before="60" w:after="60"/>
            </w:pPr>
            <w:r>
              <w:t>安全性</w:t>
            </w:r>
          </w:p>
        </w:tc>
        <w:tc>
          <w:tcPr>
            <w:tcW w:w="0" w:type="auto"/>
          </w:tcPr>
          <w:p>
            <w:pPr>
              <w:pStyle w:val="47"/>
              <w:spacing w:before="60" w:after="60"/>
              <w:jc w:val="left"/>
            </w:pPr>
            <w:r>
              <w:t>为保障产品安全性，应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几个方面的测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47"/>
              <w:spacing w:before="60" w:after="60"/>
              <w:rPr>
                <w:rFonts w:hint="default" w:eastAsia="仿宋"/>
                <w:lang w:val="en-US" w:eastAsia="zh-CN"/>
              </w:rPr>
            </w:pPr>
            <w:r>
              <w:rPr>
                <w:rFonts w:hint="eastAsia"/>
                <w:lang w:val="en-US" w:eastAsia="zh-CN"/>
              </w:rPr>
              <w:t>12</w:t>
            </w:r>
          </w:p>
        </w:tc>
        <w:tc>
          <w:tcPr>
            <w:tcW w:w="0" w:type="auto"/>
            <w:vMerge w:val="continue"/>
            <w:vAlign w:val="center"/>
          </w:tcPr>
          <w:p>
            <w:pPr>
              <w:pStyle w:val="47"/>
              <w:spacing w:before="60" w:after="60"/>
            </w:pPr>
          </w:p>
        </w:tc>
        <w:tc>
          <w:tcPr>
            <w:tcW w:w="0" w:type="auto"/>
            <w:vMerge w:val="continue"/>
            <w:vAlign w:val="center"/>
          </w:tcPr>
          <w:p>
            <w:pPr>
              <w:pStyle w:val="47"/>
              <w:spacing w:before="60" w:after="60"/>
            </w:pPr>
          </w:p>
        </w:tc>
        <w:tc>
          <w:tcPr>
            <w:tcW w:w="0" w:type="auto"/>
          </w:tcPr>
          <w:p>
            <w:pPr>
              <w:pStyle w:val="47"/>
              <w:spacing w:before="60" w:after="60"/>
              <w:jc w:val="left"/>
            </w:pPr>
            <w:r>
              <w:t>产品需通过中国网络安全审查技术与认证中心的IT产品信息安全认证，符合GB/T18336-2015《信息技术安全技术信息技术安全评估准则》和CCRC-TR-128-2023《中间件安全技术要求和测试评价方法》,提供IT产品信息安全认证证书和IT产品信息安全认证型式试验报告。</w:t>
            </w:r>
          </w:p>
        </w:tc>
      </w:tr>
    </w:tbl>
    <w:p>
      <w:pPr>
        <w:spacing w:before="60" w:after="60"/>
        <w:ind w:firstLine="0" w:firstLineChars="0"/>
      </w:pPr>
    </w:p>
    <w:p>
      <w:pPr>
        <w:pStyle w:val="4"/>
        <w:spacing w:before="60" w:after="60"/>
        <w:rPr>
          <w:rFonts w:ascii="Times New Roman" w:hAnsi="Times New Roman"/>
        </w:rPr>
      </w:pPr>
      <w:r>
        <w:rPr>
          <w:rFonts w:ascii="Times New Roman"/>
        </w:rPr>
        <w:t>国产化服务器操作系统</w:t>
      </w:r>
    </w:p>
    <w:p>
      <w:pPr>
        <w:spacing w:beforeLines="0" w:afterLines="0" w:line="560" w:lineRule="exact"/>
        <w:ind w:firstLine="600"/>
        <w:rPr>
          <w:rFonts w:eastAsia="仿宋_GB2312"/>
          <w:sz w:val="30"/>
          <w:szCs w:val="30"/>
        </w:rPr>
      </w:pPr>
      <w:r>
        <w:rPr>
          <w:rFonts w:eastAsia="仿宋_GB2312"/>
          <w:sz w:val="30"/>
          <w:szCs w:val="30"/>
        </w:rPr>
        <w:t>本次需采购国产化国产化服务器操作系统软件共计150套，具体要求如下：</w:t>
      </w:r>
    </w:p>
    <w:p>
      <w:pPr>
        <w:pStyle w:val="2"/>
        <w:spacing w:before="60"/>
        <w:ind w:firstLine="480"/>
      </w:pPr>
    </w:p>
    <w:tbl>
      <w:tblPr>
        <w:tblStyle w:val="24"/>
        <w:tblW w:w="0" w:type="auto"/>
        <w:tblInd w:w="98" w:type="dxa"/>
        <w:tblLayout w:type="autofit"/>
        <w:tblCellMar>
          <w:top w:w="0" w:type="dxa"/>
          <w:left w:w="108" w:type="dxa"/>
          <w:bottom w:w="0" w:type="dxa"/>
          <w:right w:w="108" w:type="dxa"/>
        </w:tblCellMar>
      </w:tblPr>
      <w:tblGrid>
        <w:gridCol w:w="696"/>
        <w:gridCol w:w="620"/>
        <w:gridCol w:w="1041"/>
        <w:gridCol w:w="6074"/>
      </w:tblGrid>
      <w:tr>
        <w:trPr>
          <w:trHeight w:val="3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pStyle w:val="47"/>
              <w:spacing w:before="60" w:after="60"/>
            </w:pPr>
            <w:r>
              <w:rPr>
                <w:rFonts w:hint="eastAsia"/>
              </w:rPr>
              <w:t>序号</w:t>
            </w:r>
          </w:p>
        </w:tc>
        <w:tc>
          <w:tcPr>
            <w:tcW w:w="0" w:type="auto"/>
            <w:tcBorders>
              <w:top w:val="single" w:color="000000" w:sz="4" w:space="0"/>
              <w:left w:val="single" w:color="000000" w:sz="4" w:space="0"/>
              <w:bottom w:val="nil"/>
              <w:right w:val="single" w:color="000000" w:sz="4" w:space="0"/>
            </w:tcBorders>
            <w:shd w:val="clear" w:color="auto" w:fill="auto"/>
            <w:vAlign w:val="center"/>
          </w:tcPr>
          <w:p>
            <w:pPr>
              <w:pStyle w:val="47"/>
              <w:spacing w:before="60" w:after="60"/>
            </w:pPr>
            <w:r>
              <w:rPr>
                <w:rFonts w:hint="eastAsia"/>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rPr>
                <w:rFonts w:eastAsia="宋体"/>
              </w:rPr>
            </w:pPr>
            <w:r>
              <w:rPr>
                <w:rFonts w:hint="eastAsia"/>
              </w:rPr>
              <w:t>指标项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指标要求</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基础需求指标</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功能要求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操作系统支持多</w:t>
            </w:r>
            <w:r>
              <w:t>CPU</w:t>
            </w:r>
            <w:r>
              <w:rPr>
                <w:rFonts w:hint="eastAsia"/>
              </w:rPr>
              <w:t>架构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操作系统支持同源兼容</w:t>
            </w:r>
            <w:r>
              <w:t>ARM</w:t>
            </w:r>
            <w:r>
              <w:rPr>
                <w:rFonts w:hint="eastAsia"/>
              </w:rPr>
              <w:t>、</w:t>
            </w:r>
            <w:r>
              <w:t>LoongArch</w:t>
            </w:r>
            <w:r>
              <w:rPr>
                <w:rFonts w:hint="eastAsia"/>
              </w:rPr>
              <w:t>、</w:t>
            </w:r>
            <w:r>
              <w:t>MIPS</w:t>
            </w:r>
            <w:r>
              <w:rPr>
                <w:rFonts w:hint="eastAsia"/>
              </w:rPr>
              <w:t>、</w:t>
            </w:r>
            <w:r>
              <w:t>SW64</w:t>
            </w:r>
            <w:r>
              <w:rPr>
                <w:rFonts w:hint="eastAsia"/>
              </w:rPr>
              <w:t>、</w:t>
            </w:r>
            <w:r>
              <w:t>x86</w:t>
            </w:r>
            <w:r>
              <w:rPr>
                <w:rFonts w:hint="eastAsia"/>
              </w:rPr>
              <w:t>架构的</w:t>
            </w:r>
            <w:r>
              <w:t>CPU</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操作系统支持</w:t>
            </w:r>
            <w:r>
              <w:t>CPU</w:t>
            </w:r>
            <w:r>
              <w:rPr>
                <w:rFonts w:hint="eastAsia"/>
              </w:rPr>
              <w:t>内置功能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操作系统支持双核及多核处理器，包括核间负载均衡、线程绑定等，并提供接口，通过访问接口获取运行状态和控制多核调度</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CPU</w:t>
            </w:r>
            <w:r>
              <w:rPr>
                <w:rFonts w:hint="eastAsia"/>
              </w:rPr>
              <w:t>虚拟化技术</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操作系统根据负载情况，自动调节</w:t>
            </w:r>
            <w:r>
              <w:t>CPU</w:t>
            </w:r>
            <w:r>
              <w:rPr>
                <w:rFonts w:hint="eastAsia"/>
              </w:rPr>
              <w:t>的运行频率</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操作系统支持跨路内存访问，支持</w:t>
            </w:r>
            <w:r>
              <w:t>CPU</w:t>
            </w:r>
            <w:r>
              <w:rPr>
                <w:rFonts w:hint="eastAsia"/>
              </w:rPr>
              <w:t>间负载均衡，支持并优化</w:t>
            </w:r>
            <w:r>
              <w:t>NMA</w:t>
            </w:r>
            <w:r>
              <w:rPr>
                <w:rFonts w:hint="eastAsia"/>
              </w:rPr>
              <w:t>体系架构</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CPU</w:t>
            </w:r>
            <w:r>
              <w:rPr>
                <w:rFonts w:hint="eastAsia"/>
              </w:rPr>
              <w:t>硬件密码运算与随机数生成等功能；提供编程接口供应用程序调用；支持通过硬件指令判别临界区冲突；支持调用</w:t>
            </w:r>
            <w:r>
              <w:t>CPU</w:t>
            </w:r>
            <w:r>
              <w:rPr>
                <w:rFonts w:hint="eastAsia"/>
              </w:rPr>
              <w:t>指令，实现自旋锁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安装部署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操作系统支持光盘安装、</w:t>
            </w:r>
            <w:r>
              <w:t>USB</w:t>
            </w:r>
            <w:r>
              <w:rPr>
                <w:rFonts w:hint="eastAsia"/>
              </w:rPr>
              <w:t>闪存盘安装、网络安装和无人值守安装</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操作系统支持图形或文本安装模式</w:t>
            </w:r>
          </w:p>
        </w:tc>
      </w:tr>
      <w:tr>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操作系统支持安装界面文种设置、逻辑分区配置</w:t>
            </w:r>
            <w:r>
              <w:t>(</w:t>
            </w:r>
            <w:r>
              <w:rPr>
                <w:rFonts w:hint="eastAsia"/>
              </w:rPr>
              <w:t>如</w:t>
            </w:r>
            <w:r>
              <w:t>LVM)</w:t>
            </w:r>
            <w:r>
              <w:rPr>
                <w:rFonts w:hint="eastAsia"/>
              </w:rPr>
              <w:t>、自定义分区设置、安装组件设置、时区设置、键盘布局设置、初始用户设置、计算机名设置和网络设置，支持通过</w:t>
            </w:r>
            <w:r>
              <w:t>USB</w:t>
            </w:r>
            <w:r>
              <w:rPr>
                <w:rFonts w:hint="eastAsia"/>
              </w:rPr>
              <w:t>闪存盘等方式加载硬件驱动、支持设置加密文件系统</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t>a)</w:t>
            </w:r>
            <w:r>
              <w:rPr>
                <w:rFonts w:hint="eastAsia"/>
              </w:rPr>
              <w:t>操作系统应支持</w:t>
            </w:r>
            <w:r>
              <w:t>UEFI2.0</w:t>
            </w:r>
            <w:r>
              <w:rPr>
                <w:rFonts w:hint="eastAsia"/>
              </w:rPr>
              <w:t>及以上规范固件引导，当计算机以</w:t>
            </w:r>
            <w:r>
              <w:t>UEFI</w:t>
            </w:r>
            <w:r>
              <w:rPr>
                <w:rFonts w:hint="eastAsia"/>
              </w:rPr>
              <w:t>模式启动安装时，安装程序应分配</w:t>
            </w:r>
            <w:r>
              <w:t>ESP,</w:t>
            </w:r>
            <w:r>
              <w:rPr>
                <w:rFonts w:hint="eastAsia"/>
              </w:rPr>
              <w:t>并在</w:t>
            </w:r>
            <w:r>
              <w:t>ESP</w:t>
            </w:r>
            <w:r>
              <w:rPr>
                <w:rFonts w:hint="eastAsia"/>
              </w:rPr>
              <w:t>中放置启动引导文件，使系统能以</w:t>
            </w:r>
            <w:r>
              <w:t>UEFI</w:t>
            </w:r>
            <w:r>
              <w:rPr>
                <w:rFonts w:hint="eastAsia"/>
              </w:rPr>
              <w:t>模式引导；</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t>b)</w:t>
            </w:r>
            <w:r>
              <w:rPr>
                <w:rFonts w:hint="eastAsia"/>
              </w:rPr>
              <w:t>支持</w:t>
            </w:r>
            <w:r>
              <w:t>boot|oader</w:t>
            </w:r>
            <w:r>
              <w:rPr>
                <w:rFonts w:hint="eastAsia"/>
              </w:rPr>
              <w:t>引导，支持</w:t>
            </w:r>
            <w:r>
              <w:t>MBR</w:t>
            </w:r>
            <w:r>
              <w:rPr>
                <w:rFonts w:hint="eastAsia"/>
              </w:rPr>
              <w:t>及</w:t>
            </w:r>
            <w:r>
              <w:t>GPT</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操作系统安装媒体提供系统引导修复功能，当已安装的系统引导被破坏时，可重建系统引导</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操作系统支持用户编辑引导参数，支持</w:t>
            </w:r>
            <w:r>
              <w:t>GRUB</w:t>
            </w:r>
            <w:r>
              <w:rPr>
                <w:rFonts w:hint="eastAsia"/>
              </w:rPr>
              <w:t>口令保护</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安装程序在安装执行前明确提示用户可能会删除已有数据，并提供退出</w:t>
            </w:r>
            <w:r>
              <w:t>/</w:t>
            </w:r>
            <w:r>
              <w:rPr>
                <w:rFonts w:hint="eastAsia"/>
              </w:rPr>
              <w:t>取消功能，当用户取消安装时，不改变硬盘上已有数据</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操作系统安装完成后应自动适配显示器最佳分辨率</w:t>
            </w:r>
            <w:r>
              <w:t>(</w:t>
            </w:r>
            <w:r>
              <w:rPr>
                <w:rFonts w:hint="eastAsia"/>
              </w:rPr>
              <w:t>文本模式除外</w:t>
            </w:r>
            <w:r>
              <w:t>)</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操作系统安装和配置过程中，如用户自定义的某些配置可能会影响系统启动或正常使用，予以明确提示</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系统内核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t>a)</w:t>
            </w:r>
            <w:r>
              <w:rPr>
                <w:rFonts w:hint="eastAsia"/>
              </w:rPr>
              <w:t>若操作系统是基于</w:t>
            </w:r>
            <w:r>
              <w:t>Linux</w:t>
            </w:r>
            <w:r>
              <w:rPr>
                <w:rFonts w:hint="eastAsia"/>
              </w:rPr>
              <w:t>内核的服务器操作系统应兼容</w:t>
            </w:r>
            <w:r>
              <w:t>4.19</w:t>
            </w:r>
            <w:r>
              <w:rPr>
                <w:rFonts w:hint="eastAsia"/>
              </w:rPr>
              <w:t>版内核</w:t>
            </w:r>
            <w:r>
              <w:t>b)若操作系统属于其他类型内核不做要求</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进程、线程调度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NUMA</w:t>
            </w:r>
            <w:r>
              <w:rPr>
                <w:rFonts w:hint="eastAsia"/>
              </w:rPr>
              <w:t>的亲和调度</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CPU</w:t>
            </w:r>
            <w:r>
              <w:rPr>
                <w:rFonts w:hint="eastAsia"/>
              </w:rPr>
              <w:t>多核轮询调度</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操作系统具备进程优先级动态调整能力，允许在进程运行时对优先级进行调整；区分实时进程与非实时进程，分别进行调度；支持进程运行状态检查</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内存管理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操作系统支持最大内存不小于</w:t>
            </w:r>
            <w:r>
              <w:t>4TB</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操作系统允许应用申请内存大页降低页表转换</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NUMA.</w:t>
            </w:r>
            <w:r>
              <w:rPr>
                <w:rFonts w:hint="eastAsia"/>
              </w:rPr>
              <w:t>近节点优化</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操作系统支持虚拟内存超分，提升内存的使用率</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存储管理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操作系统支持硬</w:t>
            </w:r>
            <w:r>
              <w:t>RAID</w:t>
            </w:r>
            <w:r>
              <w:rPr>
                <w:rFonts w:hint="eastAsia"/>
              </w:rPr>
              <w:t>和软</w:t>
            </w:r>
            <w:r>
              <w:t>RAID,</w:t>
            </w:r>
            <w:r>
              <w:rPr>
                <w:rFonts w:hint="eastAsia"/>
              </w:rPr>
              <w:t>支持软</w:t>
            </w:r>
            <w:r>
              <w:t>RAID</w:t>
            </w:r>
            <w:r>
              <w:rPr>
                <w:rFonts w:hint="eastAsia"/>
              </w:rPr>
              <w:t>级别</w:t>
            </w:r>
            <w:r>
              <w:t>0</w:t>
            </w:r>
            <w:r>
              <w:rPr>
                <w:rFonts w:hint="eastAsia"/>
              </w:rPr>
              <w:t>、</w:t>
            </w:r>
            <w:r>
              <w:t>1</w:t>
            </w:r>
            <w:r>
              <w:rPr>
                <w:rFonts w:hint="eastAsia"/>
              </w:rPr>
              <w:t>、</w:t>
            </w:r>
            <w:r>
              <w:t>5</w:t>
            </w:r>
            <w:r>
              <w:rPr>
                <w:rFonts w:hint="eastAsia"/>
              </w:rPr>
              <w:t>、</w:t>
            </w:r>
            <w:r>
              <w:t>6</w:t>
            </w:r>
            <w:r>
              <w:rPr>
                <w:rFonts w:hint="eastAsia"/>
              </w:rPr>
              <w:t>、</w:t>
            </w:r>
            <w:r>
              <w:t>10</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操作系统支持将不同功能的外部设备抽象为统一的文件操作接口，包括存储、输入输出设备</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操作系统支持文件存储、检索和共享</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操作系统支持对可移动外部存储的管理，包括启停、禁用、恢复等</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操作系统支持使用外部独立存储设备</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操作系统支持存储多路径聚合及</w:t>
            </w:r>
            <w:r>
              <w:t>1/0</w:t>
            </w:r>
            <w:r>
              <w:rPr>
                <w:rFonts w:hint="eastAsia"/>
              </w:rPr>
              <w:t>动态负载均衡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操作系统支持硬盘损坏或老化检测及信息收集</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操作系统支持将硬盘的特定分区或文件作为虚拟扩展内存用于存放内存数据，支持虚拟内存压缩</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FCoE</w:t>
            </w:r>
            <w:r>
              <w:rPr>
                <w:rFonts w:hint="eastAsia"/>
              </w:rPr>
              <w:t>、</w:t>
            </w:r>
            <w:r>
              <w:t>iSCS1,</w:t>
            </w:r>
            <w:r>
              <w:rPr>
                <w:rFonts w:hint="eastAsia"/>
              </w:rPr>
              <w:t>支持将</w:t>
            </w:r>
            <w:r>
              <w:t>Ceph</w:t>
            </w:r>
            <w:r>
              <w:rPr>
                <w:rFonts w:hint="eastAsia"/>
              </w:rPr>
              <w:t>块设备视为常规存储设备挂载到某个目录并作为标准文件系统使用</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操作系统支持快速块设备作为慢速块设备缓存以加速</w:t>
            </w:r>
            <w:r>
              <w:t>1/0</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网络管理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操作系统支持网络链路故障检测、链路事件通知和链路状态查询</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操作系统支持运行</w:t>
            </w:r>
            <w:r>
              <w:t>TGP</w:t>
            </w:r>
            <w:r>
              <w:rPr>
                <w:rFonts w:hint="eastAsia"/>
              </w:rPr>
              <w:t>协议卸载引擎的网卡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IPv4</w:t>
            </w:r>
            <w:r>
              <w:rPr>
                <w:rFonts w:hint="eastAsia"/>
              </w:rPr>
              <w:t>、</w:t>
            </w:r>
            <w:r>
              <w:t>IPv6</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操作系统支持多网卡绑定</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操作系统支持用户态</w:t>
            </w:r>
            <w:r>
              <w:t>TCP/IP</w:t>
            </w:r>
            <w:r>
              <w:rPr>
                <w:rFonts w:hint="eastAsia"/>
              </w:rPr>
              <w:t>协议栈</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文件系统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XFS</w:t>
            </w:r>
            <w:r>
              <w:rPr>
                <w:rFonts w:hint="eastAsia"/>
              </w:rPr>
              <w:t>、</w:t>
            </w:r>
            <w:r>
              <w:t>EXT3</w:t>
            </w:r>
            <w:r>
              <w:rPr>
                <w:rFonts w:hint="eastAsia"/>
              </w:rPr>
              <w:t>、</w:t>
            </w:r>
            <w:r>
              <w:t>EXT4</w:t>
            </w:r>
            <w:r>
              <w:rPr>
                <w:rFonts w:hint="eastAsia"/>
              </w:rPr>
              <w:t>、</w:t>
            </w:r>
            <w:r>
              <w:t>NTFS</w:t>
            </w:r>
            <w:r>
              <w:rPr>
                <w:rFonts w:hint="eastAsia"/>
              </w:rPr>
              <w:t>、</w:t>
            </w:r>
            <w:r>
              <w:t>FAT32</w:t>
            </w:r>
            <w:r>
              <w:rPr>
                <w:rFonts w:hint="eastAsia"/>
              </w:rPr>
              <w:t>等文件系统，支持，相应格式分区创建、删除、格式化等</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操作系统支持日志式文件系统</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操作系统支持最大文件不小于</w:t>
            </w:r>
            <w:r>
              <w:t>4TB,</w:t>
            </w:r>
            <w:r>
              <w:rPr>
                <w:rFonts w:hint="eastAsia"/>
              </w:rPr>
              <w:t>最大分区与文件系统不小于</w:t>
            </w:r>
            <w:r>
              <w:t>10PB,</w:t>
            </w:r>
            <w:r>
              <w:rPr>
                <w:rFonts w:hint="eastAsia"/>
              </w:rPr>
              <w:t>最大文件名长度不小于</w:t>
            </w:r>
            <w:r>
              <w:t>255</w:t>
            </w:r>
            <w:r>
              <w:rPr>
                <w:rFonts w:hint="eastAsia"/>
              </w:rPr>
              <w:t>字节</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操作系统支持动态调整分区大小，对系统分区容量进行改变</w:t>
            </w:r>
          </w:p>
        </w:tc>
      </w:tr>
      <w:tr>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授权激活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t>a)</w:t>
            </w:r>
            <w:r>
              <w:rPr>
                <w:rFonts w:hint="eastAsia"/>
              </w:rPr>
              <w:t>操作系统支持序列号授权、批量激活服务、场地授权等方式；未激活期间，系统不得频繁提示干扰用户正常使用；未激活系统不得影响用户数据安全与完整性；</w:t>
            </w:r>
            <w:r>
              <w:br w:type="textWrapping"/>
            </w:r>
            <w:r>
              <w:t>b)免激活的系统不适用</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应用开发运行环境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操作系统通过内置、软件仓库或附加光盘等方式提供开发环境，包括</w:t>
            </w:r>
            <w:r>
              <w:t>Qt</w:t>
            </w:r>
            <w:r>
              <w:rPr>
                <w:rFonts w:hint="eastAsia"/>
              </w:rPr>
              <w:t>、</w:t>
            </w:r>
            <w:r>
              <w:t>Eclipse</w:t>
            </w:r>
            <w:r>
              <w:rPr>
                <w:rFonts w:hint="eastAsia"/>
              </w:rPr>
              <w:t>、</w:t>
            </w:r>
            <w:r>
              <w:t>VSCode</w:t>
            </w:r>
            <w:r>
              <w:rPr>
                <w:rFonts w:hint="eastAsia"/>
              </w:rPr>
              <w:t>等</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操作系统通过内置、软件仓库或附加光盘等方式提供开发库，包括</w:t>
            </w:r>
            <w:r>
              <w:t>GNUC</w:t>
            </w:r>
            <w:r>
              <w:rPr>
                <w:rFonts w:hint="eastAsia"/>
              </w:rPr>
              <w:t>、</w:t>
            </w:r>
            <w:r>
              <w:t>GNUC++</w:t>
            </w:r>
            <w:r>
              <w:rPr>
                <w:rFonts w:hint="eastAsia"/>
              </w:rPr>
              <w:t>、</w:t>
            </w:r>
            <w:r>
              <w:t>Java</w:t>
            </w:r>
            <w:r>
              <w:rPr>
                <w:rFonts w:hint="eastAsia"/>
              </w:rPr>
              <w:t>、</w:t>
            </w:r>
            <w:r>
              <w:t>Qt</w:t>
            </w:r>
            <w:r>
              <w:rPr>
                <w:rFonts w:hint="eastAsia"/>
              </w:rPr>
              <w:t>、</w:t>
            </w:r>
            <w:r>
              <w:t>Gtk+</w:t>
            </w:r>
            <w:r>
              <w:rPr>
                <w:rFonts w:hint="eastAsia"/>
              </w:rPr>
              <w:t>、</w:t>
            </w:r>
            <w:r>
              <w:t>Cairo</w:t>
            </w:r>
            <w:r>
              <w:rPr>
                <w:rFonts w:hint="eastAsia"/>
              </w:rPr>
              <w:t>、</w:t>
            </w:r>
            <w:r>
              <w:t>OpenGL</w:t>
            </w:r>
            <w:r>
              <w:rPr>
                <w:rFonts w:hint="eastAsia"/>
              </w:rPr>
              <w:t>、</w:t>
            </w:r>
            <w:r>
              <w:t>Perl</w:t>
            </w:r>
            <w:r>
              <w:rPr>
                <w:rFonts w:hint="eastAsia"/>
              </w:rPr>
              <w:t>、</w:t>
            </w:r>
            <w:r>
              <w:t>Python</w:t>
            </w:r>
            <w:r>
              <w:rPr>
                <w:rFonts w:hint="eastAsia"/>
              </w:rPr>
              <w:t>、</w:t>
            </w:r>
            <w:r>
              <w:t>Ruby</w:t>
            </w:r>
            <w:r>
              <w:rPr>
                <w:rFonts w:hint="eastAsia"/>
              </w:rPr>
              <w:t>、</w:t>
            </w:r>
            <w:r>
              <w:t>Rust</w:t>
            </w:r>
            <w:r>
              <w:rPr>
                <w:rFonts w:hint="eastAsia"/>
              </w:rPr>
              <w:t>、</w:t>
            </w:r>
            <w:r>
              <w:t>Golang</w:t>
            </w:r>
            <w:r>
              <w:rPr>
                <w:rFonts w:hint="eastAsia"/>
              </w:rPr>
              <w:t>、</w:t>
            </w:r>
            <w:r>
              <w:t>JS</w:t>
            </w:r>
            <w:r>
              <w:rPr>
                <w:rFonts w:hint="eastAsia"/>
              </w:rPr>
              <w:t>等</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操作系统通过内置、软件仓库或附加光盘等方式提供编译开发工具，包括</w:t>
            </w:r>
            <w:r>
              <w:t>GCC</w:t>
            </w:r>
            <w:r>
              <w:rPr>
                <w:rFonts w:hint="eastAsia"/>
              </w:rPr>
              <w:t>、</w:t>
            </w:r>
            <w:r>
              <w:t>G++</w:t>
            </w:r>
            <w:r>
              <w:rPr>
                <w:rFonts w:hint="eastAsia"/>
              </w:rPr>
              <w:t>、</w:t>
            </w:r>
            <w:r>
              <w:t>BinutilsGDB</w:t>
            </w:r>
            <w:r>
              <w:rPr>
                <w:rFonts w:hint="eastAsia"/>
              </w:rPr>
              <w:t>、</w:t>
            </w:r>
            <w:r>
              <w:t>Make</w:t>
            </w:r>
            <w:r>
              <w:rPr>
                <w:rFonts w:hint="eastAsia"/>
              </w:rPr>
              <w:t>、</w:t>
            </w:r>
            <w:r>
              <w:t>CMake</w:t>
            </w:r>
            <w:r>
              <w:rPr>
                <w:rFonts w:hint="eastAsia"/>
              </w:rPr>
              <w:t>等</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操作系统通过内置、软件仓库或附加光盘等方式提供文本编辑工具，包括</w:t>
            </w:r>
            <w:r>
              <w:t>Emacs</w:t>
            </w:r>
            <w:r>
              <w:rPr>
                <w:rFonts w:hint="eastAsia"/>
              </w:rPr>
              <w:t>、</w:t>
            </w:r>
            <w:r>
              <w:t>Vim</w:t>
            </w:r>
            <w:r>
              <w:rPr>
                <w:rFonts w:hint="eastAsia"/>
              </w:rPr>
              <w:t>等</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操作系统支持查询软件包描述和包含文件，以及软件包依赖；支持在安装时自动提示并下载安装缺失的依赖软件包</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供应商应提供软件开发参考文档、驱动开发参考文档、应用移植开发文档、</w:t>
            </w:r>
            <w:r>
              <w:t>API</w:t>
            </w:r>
            <w:r>
              <w:rPr>
                <w:rFonts w:hint="eastAsia"/>
              </w:rPr>
              <w:t>文档</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服务支持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TCP/UDP</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NFS</w:t>
            </w:r>
            <w:r>
              <w:rPr>
                <w:rFonts w:hint="eastAsia"/>
              </w:rPr>
              <w:t>、</w:t>
            </w:r>
            <w:r>
              <w:t>SMB</w:t>
            </w:r>
            <w:r>
              <w:rPr>
                <w:rFonts w:hint="eastAsia"/>
              </w:rPr>
              <w:t>、</w:t>
            </w:r>
            <w:r>
              <w:t>FTP</w:t>
            </w:r>
            <w:r>
              <w:rPr>
                <w:rFonts w:hint="eastAsia"/>
              </w:rPr>
              <w:t>、</w:t>
            </w:r>
            <w:r>
              <w:t>CIFS</w:t>
            </w:r>
            <w:r>
              <w:rPr>
                <w:rFonts w:hint="eastAsia"/>
              </w:rPr>
              <w:t>等协议的数据网络共享服务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HTTP</w:t>
            </w:r>
            <w:r>
              <w:rPr>
                <w:rFonts w:hint="eastAsia"/>
              </w:rPr>
              <w:t>、</w:t>
            </w:r>
            <w:r>
              <w:t>HTTPS</w:t>
            </w:r>
            <w:r>
              <w:rPr>
                <w:rFonts w:hint="eastAsia"/>
              </w:rPr>
              <w:t>、</w:t>
            </w:r>
            <w:r>
              <w:t>FastCGl</w:t>
            </w:r>
            <w:r>
              <w:rPr>
                <w:rFonts w:hint="eastAsia"/>
              </w:rPr>
              <w:t>等协议</w:t>
            </w:r>
            <w:r>
              <w:t>WEB</w:t>
            </w:r>
            <w:r>
              <w:rPr>
                <w:rFonts w:hint="eastAsia"/>
              </w:rPr>
              <w:t>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IPSec</w:t>
            </w:r>
            <w:r>
              <w:rPr>
                <w:rFonts w:hint="eastAsia"/>
              </w:rPr>
              <w:t>和</w:t>
            </w:r>
            <w:r>
              <w:t>SSL</w:t>
            </w:r>
            <w:r>
              <w:rPr>
                <w:rFonts w:hint="eastAsia"/>
              </w:rPr>
              <w:t>协议的隧道加密传输服务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PKI</w:t>
            </w:r>
            <w:r>
              <w:rPr>
                <w:rFonts w:hint="eastAsia"/>
              </w:rPr>
              <w:t>体系的数字证书服务</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RBAC(</w:t>
            </w:r>
            <w:r>
              <w:rPr>
                <w:rFonts w:hint="eastAsia"/>
              </w:rPr>
              <w:t>基于角色的访问控制</w:t>
            </w:r>
            <w:r>
              <w:t>)</w:t>
            </w:r>
            <w:r>
              <w:rPr>
                <w:rFonts w:hint="eastAsia"/>
              </w:rPr>
              <w:t>机制的访问控制服务</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SNMP</w:t>
            </w:r>
            <w:r>
              <w:rPr>
                <w:rFonts w:hint="eastAsia"/>
              </w:rPr>
              <w:t>、</w:t>
            </w:r>
            <w:r>
              <w:t>NETCONF</w:t>
            </w:r>
            <w:r>
              <w:rPr>
                <w:rFonts w:hint="eastAsia"/>
              </w:rPr>
              <w:t>、</w:t>
            </w:r>
            <w:r>
              <w:t>RESTCONF</w:t>
            </w:r>
            <w:r>
              <w:rPr>
                <w:rFonts w:hint="eastAsia"/>
              </w:rPr>
              <w:t>等协议的网络管理服务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NTP</w:t>
            </w:r>
            <w:r>
              <w:rPr>
                <w:rFonts w:hint="eastAsia"/>
              </w:rPr>
              <w:t>协议网络时间同步服务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RPC</w:t>
            </w:r>
            <w:r>
              <w:rPr>
                <w:rFonts w:hint="eastAsia"/>
              </w:rPr>
              <w:t>、</w:t>
            </w:r>
            <w:r>
              <w:t>rsync</w:t>
            </w:r>
            <w:r>
              <w:rPr>
                <w:rFonts w:hint="eastAsia"/>
              </w:rPr>
              <w:t>、</w:t>
            </w:r>
            <w:r>
              <w:t>SSH</w:t>
            </w:r>
            <w:r>
              <w:rPr>
                <w:rFonts w:hint="eastAsia"/>
              </w:rPr>
              <w:t>等远程服务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SMTP</w:t>
            </w:r>
            <w:r>
              <w:rPr>
                <w:rFonts w:hint="eastAsia"/>
              </w:rPr>
              <w:t>、</w:t>
            </w:r>
            <w:r>
              <w:t>POP3</w:t>
            </w:r>
            <w:r>
              <w:rPr>
                <w:rFonts w:hint="eastAsia"/>
              </w:rPr>
              <w:t>、</w:t>
            </w:r>
            <w:r>
              <w:t>IMAP</w:t>
            </w:r>
            <w:r>
              <w:rPr>
                <w:rFonts w:hint="eastAsia"/>
              </w:rPr>
              <w:t>等的邮件服务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操作系统支持基于轻量级目录访问协议的统一身份鉴别服务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操作系统支持结构化和非结构化格式数据的存储和查询服务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操作系统支持块、文件、对象等类型的数据存储服务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SQL</w:t>
            </w:r>
            <w:r>
              <w:rPr>
                <w:rFonts w:hint="eastAsia"/>
              </w:rPr>
              <w:t>、</w:t>
            </w:r>
            <w:r>
              <w:t>NoSQL</w:t>
            </w:r>
            <w:r>
              <w:rPr>
                <w:rFonts w:hint="eastAsia"/>
              </w:rPr>
              <w:t>、键值等类型的数据库</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操作系统支持多种传输速率和存储协议的</w:t>
            </w:r>
            <w:r>
              <w:t>SAN</w:t>
            </w:r>
            <w:r>
              <w:rPr>
                <w:rFonts w:hint="eastAsia"/>
              </w:rPr>
              <w:t>和</w:t>
            </w:r>
            <w:r>
              <w:t>NAS</w:t>
            </w:r>
            <w:r>
              <w:rPr>
                <w:rFonts w:hint="eastAsia"/>
              </w:rPr>
              <w:t>存储</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操作系统支持服务基于主备机制的分布式集群、高可用集群的部署模式</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操作系统支持服务基于分布式通信协议的分布式集群、高可用集群的部署模式</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操作系统支持基于虚拟路由器冗余协议的高可用集群部署模式</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操作系统支持基于同步、异步请求处理机制的分布式服务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w:t>
            </w:r>
            <w:r>
              <w:t>0SI</w:t>
            </w:r>
            <w:r>
              <w:rPr>
                <w:rFonts w:hint="eastAsia"/>
              </w:rPr>
              <w:t>模型的</w:t>
            </w:r>
            <w:r>
              <w:t>4/7</w:t>
            </w:r>
            <w:r>
              <w:rPr>
                <w:rFonts w:hint="eastAsia"/>
              </w:rPr>
              <w:t>层和链路层的负载均衡模式</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操作系统支持基于不同调度算法的负载均衡模式</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操作系统提供对</w:t>
            </w:r>
            <w:r>
              <w:t>HA</w:t>
            </w:r>
            <w:r>
              <w:rPr>
                <w:rFonts w:hint="eastAsia"/>
              </w:rPr>
              <w:t>的支持，支持多种集群配置模式，包括主主模式、主备模式、</w:t>
            </w:r>
            <w:r>
              <w:t>N+1</w:t>
            </w:r>
            <w:r>
              <w:rPr>
                <w:rFonts w:hint="eastAsia"/>
              </w:rPr>
              <w:t>模式和</w:t>
            </w:r>
            <w:r>
              <w:t>N+M</w:t>
            </w:r>
            <w:r>
              <w:rPr>
                <w:rFonts w:hint="eastAsia"/>
              </w:rPr>
              <w:t>模式，支持资源及节点故障检测</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开源组件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供应商可通过安装镜像内置、软件仓库或附加光盘等方式提供开源数据库，并对提供的开源组件进行签名认证，确保组件的安全性、稳定性、可靠性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供应商可通过安装镜像内置、软件仓库或附加光盘等方式提供开源中间件，并对提供的开源组件进行签名认证，确保组件的安全性、稳定性、可靠性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供应商可通过安装镜像内置、软件仓库或附加光盘等方式提供开源单机虚拟化管理软件，并对提供的开源组件进行签名认证，确保组件的安全性、稳定性、可靠性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供应商可通过安装镜像内置、软件仓库或附加光盘等方式提供开源容器虚拟化软件，并对提供的开源组件进行签名认证，确保组件的安全性、稳定性、可靠性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供应商可通过安装镜像内置、软件仓库或附加光盘等方式提供开源容器管理工具，并对提供的开源组件进行签名认证，确保组件的安全性、稳定性、可靠性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供应商可通过安装镜像内置、软件仓库或附加光盘等方式提供开源分布式存储软件，并对提供的开源组件进行签名认证，确保组件的安全性、稳定性、可靠性</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供应商可通过安装镜像内置、软件仓库或附加光盘等方式提供开源云计算管理平台，并对提供的开源组件进行签名认证，确保组件的安全性、稳定性、可靠性</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虚拟化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操作系统支持在</w:t>
            </w:r>
            <w:r>
              <w:t>KVM</w:t>
            </w:r>
            <w:r>
              <w:rPr>
                <w:rFonts w:hint="eastAsia"/>
              </w:rPr>
              <w:t>、</w:t>
            </w:r>
            <w:r>
              <w:t>Xen</w:t>
            </w:r>
            <w:r>
              <w:rPr>
                <w:rFonts w:hint="eastAsia"/>
              </w:rPr>
              <w:t>、</w:t>
            </w:r>
            <w:r>
              <w:t>Hyper-V</w:t>
            </w:r>
            <w:r>
              <w:rPr>
                <w:rFonts w:hint="eastAsia"/>
              </w:rPr>
              <w:t>虚拟机上安装部署操作系统</w:t>
            </w:r>
          </w:p>
        </w:tc>
      </w:tr>
      <w:tr>
        <w:trPr>
          <w:trHeight w:val="4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KVM</w:t>
            </w:r>
            <w:r>
              <w:rPr>
                <w:rFonts w:hint="eastAsia"/>
              </w:rPr>
              <w:t>虚拟化：</w:t>
            </w:r>
            <w:r>
              <w:rPr>
                <w:rFonts w:hint="eastAsia"/>
              </w:rPr>
              <w:br w:type="textWrapping"/>
            </w:r>
            <w:r>
              <w:rPr>
                <w:rFonts w:hint="eastAsia"/>
              </w:rPr>
              <w:t>操作系统支持KVM虚拟化：</w:t>
            </w:r>
            <w:r>
              <w:rPr>
                <w:rFonts w:hint="eastAsia"/>
              </w:rPr>
              <w:br w:type="textWrapping"/>
            </w:r>
            <w:r>
              <w:rPr>
                <w:rFonts w:hint="eastAsia"/>
              </w:rPr>
              <w:t>对虚拟机进行启、停等管理操作；对虚拟机硬盘做快照并从快照恢复；兼容qemu、libvirt标准接口；支持UEFI或legacy BIOS方式启动；</w:t>
            </w:r>
            <w:r>
              <w:rPr>
                <w:rFonts w:hint="eastAsia"/>
              </w:rPr>
              <w:br w:type="textWrapping"/>
            </w:r>
            <w:r>
              <w:rPr>
                <w:rFonts w:hint="eastAsia"/>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0设备；支持虚拟机CPU、内存、网卡、硬盘等离线调整；支持虚拟机网卡、硬盘、USB设备热插拔；支持PCl/PCIE设备直通；支持虚拟机热迁移和加密传输；支持虚拟机远程访问；支持虚拟机CPU和1/0线程绑定</w:t>
            </w:r>
          </w:p>
        </w:tc>
      </w:tr>
      <w:tr>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1/0、网卡；支持CPU拓扑模拟和透传</w:t>
            </w:r>
          </w:p>
        </w:tc>
      </w:tr>
      <w:tr>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容器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0C1;</w:t>
            </w:r>
            <w:r>
              <w:rPr>
                <w:rFonts w:hint="eastAsia"/>
              </w:rPr>
              <w:t>支持进程命名空间隔离技术包括不限于</w:t>
            </w:r>
            <w:r>
              <w:t>mnt</w:t>
            </w:r>
            <w:r>
              <w:rPr>
                <w:rFonts w:hint="eastAsia"/>
              </w:rPr>
              <w:t>、</w:t>
            </w:r>
            <w:r>
              <w:t>pid</w:t>
            </w:r>
            <w:r>
              <w:rPr>
                <w:rFonts w:hint="eastAsia"/>
              </w:rPr>
              <w:t>、</w:t>
            </w:r>
            <w:r>
              <w:t>ipc</w:t>
            </w:r>
            <w:r>
              <w:rPr>
                <w:rFonts w:hint="eastAsia"/>
              </w:rPr>
              <w:t>、</w:t>
            </w:r>
            <w:r>
              <w:t>uts</w:t>
            </w:r>
            <w:r>
              <w:rPr>
                <w:rFonts w:hint="eastAsia"/>
              </w:rPr>
              <w:t>、</w:t>
            </w:r>
            <w:r>
              <w:t>user</w:t>
            </w:r>
            <w:r>
              <w:rPr>
                <w:rFonts w:hint="eastAsia"/>
              </w:rPr>
              <w:t>、</w:t>
            </w:r>
            <w:r>
              <w:t>network</w:t>
            </w:r>
            <w:r>
              <w:rPr>
                <w:rFonts w:hint="eastAsia"/>
              </w:rPr>
              <w:t>等；支持在同</w:t>
            </w:r>
            <w:r>
              <w:t>CPU</w:t>
            </w:r>
            <w:r>
              <w:rPr>
                <w:rFonts w:hint="eastAsia"/>
              </w:rPr>
              <w:t>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w:t>
            </w:r>
            <w:r>
              <w:rPr>
                <w:rFonts w:hint="eastAsia"/>
              </w:rPr>
              <w:br w:type="textWrapping"/>
            </w:r>
            <w:r>
              <w:rPr>
                <w:rFonts w:hint="eastAsia"/>
              </w:rPr>
              <w:t>对容器内新建进程的标准输入输出对接交互；支持容器存储卷管理(新增、删除、卷容量配置，自动回收)、卷共享；支持面向容器的网络设备资源分配和使用；支持CNI;支持容器获取物理节点资源信息</w:t>
            </w:r>
          </w:p>
        </w:tc>
      </w:tr>
      <w:tr>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操作系统支持容器镜像导入，导出；支持容器镜像分层保存、导入</w:t>
            </w:r>
            <w:r>
              <w:rPr>
                <w:rFonts w:hint="eastAsia"/>
              </w:rPr>
              <w:br w:type="textWrapping"/>
            </w:r>
            <w:r>
              <w:rPr>
                <w:rFonts w:hint="eastAsia"/>
              </w:rPr>
              <w:t>操作系统支持容器资源在线调整，包括CPU资源、内存资源、1/0资源等；支持文件配额分配、存储带宽资源使用量监控等机制，实现容器级1/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易用性要求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中文支持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操作系统应符合</w:t>
            </w:r>
            <w:r>
              <w:t>GB18030</w:t>
            </w:r>
            <w:r>
              <w:rPr>
                <w:rFonts w:hint="eastAsia"/>
              </w:rPr>
              <w:t>的要求</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操作系统内置中文帮助文档</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操作系统的多文种图形用户界面应支持</w:t>
            </w:r>
            <w:r>
              <w:t>GB18030</w:t>
            </w:r>
            <w:r>
              <w:rPr>
                <w:rFonts w:hint="eastAsia"/>
              </w:rPr>
              <w:t>规定</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操作系统支持中文图形操作界面</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管理工具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操作系统支持查看系统版本、内核版本、内存容量、</w:t>
            </w:r>
            <w:r>
              <w:t>GPU</w:t>
            </w:r>
            <w:r>
              <w:rPr>
                <w:rFonts w:hint="eastAsia"/>
              </w:rPr>
              <w:t>型号等信息</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操作系统支持多网口自动连接、网络地址</w:t>
            </w:r>
            <w:r>
              <w:t>(</w:t>
            </w:r>
            <w:r>
              <w:rPr>
                <w:rFonts w:hint="eastAsia"/>
              </w:rPr>
              <w:t>常被称为“</w:t>
            </w:r>
            <w:r>
              <w:t>IP</w:t>
            </w:r>
            <w:r>
              <w:rPr>
                <w:rFonts w:hint="eastAsia"/>
              </w:rPr>
              <w:t>地址”</w:t>
            </w:r>
            <w:r>
              <w:t>)</w:t>
            </w:r>
            <w:r>
              <w:rPr>
                <w:rFonts w:hint="eastAsia"/>
              </w:rPr>
              <w:t>设置、</w:t>
            </w:r>
            <w:r>
              <w:t>DNS</w:t>
            </w:r>
            <w:r>
              <w:rPr>
                <w:rFonts w:hint="eastAsia"/>
              </w:rPr>
              <w:t>设置、路由设置；支持多网卡链路聚合，模式类型包括但不仅限于轮询、主备、</w:t>
            </w:r>
            <w:r>
              <w:t>802.3AD</w:t>
            </w:r>
            <w:r>
              <w:rPr>
                <w:rFonts w:hint="eastAsia"/>
              </w:rPr>
              <w:t>动态链路聚合</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操作系统可设置时间同步服务器地址，支持局域网和广域网的同步设置</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操作系统支持收集系统日志</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操作系统支持帐户添加、删除、属性修改等</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操作系统支持用户操作痕迹查询</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EXT</w:t>
            </w:r>
            <w:r>
              <w:rPr>
                <w:rFonts w:hint="eastAsia"/>
              </w:rPr>
              <w:t>、</w:t>
            </w:r>
            <w:r>
              <w:t>XFS</w:t>
            </w:r>
            <w:r>
              <w:rPr>
                <w:rFonts w:hint="eastAsia"/>
              </w:rPr>
              <w:t>、</w:t>
            </w:r>
            <w:r>
              <w:t>NTFS</w:t>
            </w:r>
            <w:r>
              <w:rPr>
                <w:rFonts w:hint="eastAsia"/>
              </w:rPr>
              <w:t>、</w:t>
            </w:r>
            <w:r>
              <w:t>FAT</w:t>
            </w:r>
            <w:r>
              <w:rPr>
                <w:rFonts w:hint="eastAsia"/>
              </w:rPr>
              <w:t>、</w:t>
            </w:r>
            <w:r>
              <w:t>SWAP</w:t>
            </w:r>
            <w:r>
              <w:rPr>
                <w:rFonts w:hint="eastAsia"/>
              </w:rPr>
              <w:t>等多种格式的分区管理</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SNMP</w:t>
            </w:r>
            <w:r>
              <w:rPr>
                <w:rFonts w:hint="eastAsia"/>
              </w:rPr>
              <w:t>设备和操作信息检索</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操作系统支持多终端协同管理</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操作系统支持服务启动与停止，查看服务状态及日志，查询服务启动顺序及依赖关系</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操作系统提供配置管理工具，可以简化任务配置及服务管理</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操作系统支持监控系统资源使用情况，包含</w:t>
            </w:r>
            <w:r>
              <w:t>CPU</w:t>
            </w:r>
            <w:r>
              <w:rPr>
                <w:rFonts w:hint="eastAsia"/>
              </w:rPr>
              <w:t>、内存、存储</w:t>
            </w:r>
            <w:r>
              <w:t>1/0</w:t>
            </w:r>
            <w:r>
              <w:rPr>
                <w:rFonts w:hint="eastAsia"/>
              </w:rPr>
              <w:t>、网络</w:t>
            </w:r>
            <w:r>
              <w:t>1/0</w:t>
            </w:r>
            <w:r>
              <w:rPr>
                <w:rFonts w:hint="eastAsia"/>
              </w:rPr>
              <w:t>等</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操作系统支持按需启动守护进程，用户可自定义设定需求守护的进程，如遇异常可重新加载实现应用持续运行</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兼容性要求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基础组件兼容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操作系统基础运行库或开发环境向后</w:t>
            </w:r>
            <w:r>
              <w:t>(</w:t>
            </w:r>
            <w:r>
              <w:rPr>
                <w:rFonts w:hint="eastAsia"/>
              </w:rPr>
              <w:t>向下</w:t>
            </w:r>
            <w:r>
              <w:t>)</w:t>
            </w:r>
            <w:r>
              <w:rPr>
                <w:rFonts w:hint="eastAsia"/>
              </w:rPr>
              <w:t>兼容，即系统版本升级后，能兼容上一版本所运行的软件与设备</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操作系统主版本兼容维护时间自发布之日起不低于</w:t>
            </w:r>
            <w:r>
              <w:t>5</w:t>
            </w:r>
            <w:r>
              <w:rPr>
                <w:rFonts w:hint="eastAsia"/>
              </w:rPr>
              <w:t>年，包括但不限于安全修复、功能升级、新硬件支持等</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操作系统支持以增量升级包的方式实现版本更新</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运行环境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供应商应给出长期兼容支持的文件系统层次结构</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供应商应给出长期兼容支持的运行库</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供应商应给出长期兼容支持的常用命令</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软件包格式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RPM</w:t>
            </w:r>
            <w:r>
              <w:rPr>
                <w:rFonts w:hint="eastAsia"/>
              </w:rPr>
              <w:t>或</w:t>
            </w:r>
            <w:r>
              <w:t>DEB</w:t>
            </w:r>
            <w:r>
              <w:rPr>
                <w:rFonts w:hint="eastAsia"/>
              </w:rPr>
              <w:t>格式的软件包，当系统不支持</w:t>
            </w:r>
            <w:r>
              <w:t>RPM</w:t>
            </w:r>
            <w:r>
              <w:rPr>
                <w:rFonts w:hint="eastAsia"/>
              </w:rPr>
              <w:t>或</w:t>
            </w:r>
            <w:r>
              <w:t>DEB</w:t>
            </w:r>
            <w:r>
              <w:rPr>
                <w:rFonts w:hint="eastAsia"/>
              </w:rPr>
              <w:t>格式的软件包时，提供工具对软件包格式进行转换</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软件兼容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供应商提供兼容的集群软件清单，且至少兼容一款产品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供应商提供兼容的虚拟化平台软件清单，且至少兼容三款产品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供应商提供兼容的容器云软件清单，且至少兼容三款产品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供应商提供兼容的存储软件清单，且至少兼容一款产品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供应商提供兼容的数据库软件清单，且至少兼容三款产品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供应商提供兼容的中间件软件清单，且至少兼容三款产品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供应商提供兼容的运维平台软件清单，且至少兼容一款产品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供应商提供兼容的备份恢复软件清单，且至少兼容一款产品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供应商提供兼容的大数据平台软件清单，且至少兼容一款产品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供应商提供兼容的终端防护及杀毒软件清单，且至少兼容一款产品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供应商提供兼容的网络防护软件清单，且至少兼容一款产品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供应商提供兼容的身份认证软件清单，且至少兼容一款产品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硬件兼容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供应商提供兼容的服务器整机品牌及型号清单，且至少兼容一款产品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w:t>
            </w:r>
            <w:r>
              <w:t>Al</w:t>
            </w:r>
            <w:r>
              <w:rPr>
                <w:rFonts w:hint="eastAsia"/>
              </w:rPr>
              <w:t>服务器整机品牌及型号清单，且至少兼容一款产品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供应商提供兼容的存储服务器整机品牌及型号清单，且至少兼容一款产品</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供应商提供兼容的系统总线、</w:t>
            </w:r>
            <w:r>
              <w:t>HBA</w:t>
            </w:r>
            <w:r>
              <w:rPr>
                <w:rFonts w:hint="eastAsia"/>
              </w:rPr>
              <w:t>卡、</w:t>
            </w:r>
            <w:r>
              <w:t>RAID</w:t>
            </w:r>
            <w:r>
              <w:rPr>
                <w:rFonts w:hint="eastAsia"/>
              </w:rPr>
              <w:t>卡、网卡、光纤卡、</w:t>
            </w:r>
            <w:r>
              <w:t>Al</w:t>
            </w:r>
            <w:r>
              <w:rPr>
                <w:rFonts w:hint="eastAsia"/>
              </w:rPr>
              <w:t>加速卡、</w:t>
            </w:r>
            <w:r>
              <w:t>GPU</w:t>
            </w:r>
            <w:r>
              <w:rPr>
                <w:rFonts w:hint="eastAsia"/>
              </w:rPr>
              <w:t>、</w:t>
            </w:r>
            <w:r>
              <w:t>NPU</w:t>
            </w:r>
            <w:r>
              <w:rPr>
                <w:rFonts w:hint="eastAsia"/>
              </w:rPr>
              <w:t>等品牌及型号清单</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可靠性要求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操作系统高负载下连续常态运行</w:t>
            </w:r>
            <w:r>
              <w:t>168</w:t>
            </w:r>
            <w:r>
              <w:rPr>
                <w:rFonts w:hint="eastAsia"/>
              </w:rPr>
              <w:t>小时无故障</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备份还原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操作系统提供备份还原功能，支持生成系统状态快照及恢复系统状态</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内存纠错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DDR3</w:t>
            </w:r>
            <w:r>
              <w:rPr>
                <w:rFonts w:hint="eastAsia"/>
              </w:rPr>
              <w:t>、</w:t>
            </w:r>
            <w:r>
              <w:t>DDR4</w:t>
            </w:r>
            <w:r>
              <w:rPr>
                <w:rFonts w:hint="eastAsia"/>
              </w:rPr>
              <w:t>等内存上的</w:t>
            </w:r>
            <w:r>
              <w:t>ECC</w:t>
            </w:r>
            <w:r>
              <w:rPr>
                <w:rFonts w:hint="eastAsia"/>
              </w:rPr>
              <w:t>查错、纠错</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热插拔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硬件支持时，操作系统支持</w:t>
            </w:r>
            <w:r>
              <w:t>CPU</w:t>
            </w:r>
            <w:r>
              <w:rPr>
                <w:rFonts w:hint="eastAsia"/>
              </w:rPr>
              <w:t>热插拔</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硬件支持时，操作系统支持内存热插拔</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硬件支持时，操作系统支持硬盘热插拔</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可维护性要求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维护工具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操作系统提供远程控制管理工具，支持</w:t>
            </w:r>
            <w:r>
              <w:t>RDP</w:t>
            </w:r>
            <w:r>
              <w:rPr>
                <w:rFonts w:hint="eastAsia"/>
              </w:rPr>
              <w:t>、</w:t>
            </w:r>
            <w:r>
              <w:t>SSH</w:t>
            </w:r>
            <w:r>
              <w:rPr>
                <w:rFonts w:hint="eastAsia"/>
              </w:rPr>
              <w:t>、</w:t>
            </w:r>
            <w:r>
              <w:t>SPICE</w:t>
            </w:r>
            <w:r>
              <w:rPr>
                <w:rFonts w:hint="eastAsia"/>
              </w:rPr>
              <w:t>、</w:t>
            </w:r>
            <w:r>
              <w:t>VNC</w:t>
            </w:r>
            <w:r>
              <w:rPr>
                <w:rFonts w:hint="eastAsia"/>
              </w:rPr>
              <w:t>等协议，方便用户进行文本或图形化形式的远程连接及维护</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操作系统提供文件系统检查工具，对文件系统完整性进行检测和修复</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操作系统提供内核性能分析工具，提供性能分析框架，支持对内核函数层面进行分析；提供内核探测工具，支持对内核及用户态程序动态追踪</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操作系统提供集中管控工具，支持对区域内服务器操作系统进行集中管理维护</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操作系统提供软硬件兼容性检查工具，自动分析应用软件、硬件兼容性，定位兼容性问题；提供操作系统跨版本兼容性分析工具，在迁移前检查分析软硬件，定位兼容性问题。</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操作系统提供性能测试调优工具，按系统工作特点</w:t>
            </w:r>
            <w:r>
              <w:t>(</w:t>
            </w:r>
            <w:r>
              <w:rPr>
                <w:rFonts w:hint="eastAsia"/>
              </w:rPr>
              <w:t>如计算为主、存储为主等</w:t>
            </w:r>
            <w:r>
              <w:t>)</w:t>
            </w:r>
            <w:r>
              <w:rPr>
                <w:rFonts w:hint="eastAsia"/>
              </w:rPr>
              <w:t>自动优化系统配置</w:t>
            </w:r>
          </w:p>
        </w:tc>
      </w:tr>
      <w:tr>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日志管理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操作系统提供系统错误问题回溯分析工具，对系统崩溃问题及错误问题进行回溯；支持日志切分、一键收集、转储、同步机制</w:t>
            </w:r>
          </w:p>
        </w:tc>
      </w:tr>
      <w:tr>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脆弱性管理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t>CPU</w:t>
            </w:r>
            <w:r>
              <w:rPr>
                <w:rFonts w:hint="eastAsia"/>
              </w:rPr>
              <w:t>、内存及</w:t>
            </w:r>
            <w:r>
              <w:t>PCle</w:t>
            </w:r>
            <w:r>
              <w:rPr>
                <w:rFonts w:hint="eastAsia"/>
              </w:rPr>
              <w:t>设备等硬件的故障；支持诊断</w:t>
            </w:r>
            <w:r>
              <w:t>/</w:t>
            </w:r>
            <w:r>
              <w:rPr>
                <w:rFonts w:hint="eastAsia"/>
              </w:rPr>
              <w:t>晌应组件动态加载机制；提供或支持第三方远程诊断框架及调测工具集，实现远程诊断及调试断点功能；支持物理机、虚拟机中操作系统的故障恢复</w:t>
            </w:r>
          </w:p>
        </w:tc>
      </w:tr>
      <w:tr>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热补丁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系统升级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操作系统支持系统增量升级功能，对系统部件、安全补丁等升级</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操作系统支持在线升级和离线升级</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操作系统升级不得修改破坏用户数据</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操作系统升级不得影响原有软硬件兼容性，如有影响应显式的提示告知用户</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操作系统提供升级回退机制，能卸载已升级的软件包，恢复系统原有状态，如升级为不可回退，则系统升级前以显式的提示告知用户</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服务要求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交付方式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供应商提供光盘、</w:t>
            </w:r>
            <w:r>
              <w:t>USB</w:t>
            </w:r>
            <w:r>
              <w:rPr>
                <w:rFonts w:hint="eastAsia"/>
              </w:rPr>
              <w:t>闪存盘、镜像文件</w:t>
            </w:r>
            <w:r>
              <w:t>(</w:t>
            </w:r>
            <w:r>
              <w:rPr>
                <w:rFonts w:hint="eastAsia"/>
              </w:rPr>
              <w:t>下载</w:t>
            </w:r>
            <w:r>
              <w:t>)</w:t>
            </w:r>
            <w:r>
              <w:rPr>
                <w:rFonts w:hint="eastAsia"/>
              </w:rPr>
              <w:t>等交付方式</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服务周期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产品自发布之日起至产品停止功能升级</w:t>
            </w:r>
            <w:r>
              <w:t>(</w:t>
            </w:r>
            <w:r>
              <w:rPr>
                <w:rFonts w:hint="eastAsia"/>
              </w:rPr>
              <w:t>包含不限于新特性、新硬件支持、问题修复、安全补丁等</w:t>
            </w:r>
            <w:r>
              <w:t>)</w:t>
            </w:r>
            <w:r>
              <w:rPr>
                <w:rFonts w:hint="eastAsia"/>
              </w:rPr>
              <w:t>之日止≥</w:t>
            </w:r>
            <w:r>
              <w:t>5</w:t>
            </w:r>
            <w:r>
              <w:rPr>
                <w:rFonts w:hint="eastAsia"/>
              </w:rPr>
              <w:t>年</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产品停止功能升级之日起至产品停止功能维护</w:t>
            </w:r>
            <w:r>
              <w:t>(</w:t>
            </w:r>
            <w:r>
              <w:rPr>
                <w:rFonts w:hint="eastAsia"/>
              </w:rPr>
              <w:t>包括问题修复、安全补丁等</w:t>
            </w:r>
            <w:r>
              <w:t>)</w:t>
            </w:r>
            <w:r>
              <w:rPr>
                <w:rFonts w:hint="eastAsia"/>
              </w:rPr>
              <w:t>之日止≥</w:t>
            </w:r>
            <w:r>
              <w:t>5</w:t>
            </w:r>
            <w:r>
              <w:rPr>
                <w:rFonts w:hint="eastAsia"/>
              </w:rPr>
              <w:t>年</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产品延伸安全服务周期≥</w:t>
            </w:r>
            <w:r>
              <w:t>3</w:t>
            </w:r>
            <w:r>
              <w:rPr>
                <w:rFonts w:hint="eastAsia"/>
              </w:rPr>
              <w:t>年</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售后服务最小保障期≥</w:t>
            </w:r>
            <w:r>
              <w:t>8</w:t>
            </w:r>
            <w:r>
              <w:rPr>
                <w:rFonts w:hint="eastAsia"/>
              </w:rPr>
              <w:t>年</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售后服务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服务由操作系统厂商的正式员工提供，不由代理商提供</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操作系统厂商为最终用户提供工作日每日不少于</w:t>
            </w:r>
            <w:r>
              <w:t>8h(</w:t>
            </w:r>
            <w:r>
              <w:rPr>
                <w:rFonts w:hint="eastAsia"/>
              </w:rPr>
              <w:t>覆盖一般工作时间，具体时间由企业标准给出</w:t>
            </w:r>
            <w:r>
              <w:t>)</w:t>
            </w:r>
            <w:r>
              <w:rPr>
                <w:rFonts w:hint="eastAsia"/>
              </w:rPr>
              <w:t>中文技术服务热线</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操作系统厂商提供工作日每日不少于</w:t>
            </w:r>
            <w:r>
              <w:t>8h</w:t>
            </w:r>
            <w:r>
              <w:rPr>
                <w:rFonts w:hint="eastAsia"/>
              </w:rPr>
              <w:t>技术支持服务</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操作系统厂商提供代码级定制优化服务</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操作系统厂商满足同城</w:t>
            </w:r>
            <w:r>
              <w:t>4h</w:t>
            </w:r>
            <w:r>
              <w:rPr>
                <w:rFonts w:hint="eastAsia"/>
              </w:rPr>
              <w:t>、异地</w:t>
            </w:r>
            <w:r>
              <w:t>12h</w:t>
            </w:r>
            <w:r>
              <w:rPr>
                <w:rFonts w:hint="eastAsia"/>
              </w:rPr>
              <w:t>响要求，两个工作日解决问题，对于未能解决的问题和故障提供可行的升级方案</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发生非人为因素故障，在七日内由操作系统厂商原厂人员免费对产品进行补充或更换</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现场交付与安装调试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操作系统厂商提供产品安装与现场调试，并提供安装与调试所需的工具和设备</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交付产品时操作系统厂商提供配套的技术资料，包括但不限于系统说明文件、用户手册</w:t>
            </w:r>
            <w:r>
              <w:t>(</w:t>
            </w:r>
            <w:r>
              <w:rPr>
                <w:rFonts w:hint="eastAsia"/>
              </w:rPr>
              <w:t>用户安装、操作、维护、故障排除</w:t>
            </w:r>
            <w:r>
              <w:t>)</w:t>
            </w:r>
            <w:r>
              <w:rPr>
                <w:rFonts w:hint="eastAsia"/>
              </w:rPr>
              <w:t>等</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系统更换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服务期内，操作系统厂商支持版本免费更换</w:t>
            </w:r>
            <w:r>
              <w:t>(</w:t>
            </w:r>
            <w:r>
              <w:rPr>
                <w:rFonts w:hint="eastAsia"/>
              </w:rPr>
              <w:t>注：更换后不延长服务期</w:t>
            </w:r>
            <w:r>
              <w:t>)</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厂商能力要求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操作系统厂商建立全国技术服务体系和服务团队，为客户提供专业的原厂中文服务</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供应保障要求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数据安全保障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除用户授权采集的信息外不采集其他数据，相关信息采集无安全风险，相关数据存储在大陆境内</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涉及数据下载的线上服务物理服务器不出境，包括代码仓库、系统补丁、安全补丁、服务网站等</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代码无风险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操作系统厂商提供源代码，源代码可供第三方机构审查，开源许可合规，代码知识产权无风险，无恶意安全漏洞或后门，代码可追溯、可重构</w:t>
            </w:r>
          </w:p>
        </w:tc>
      </w:tr>
      <w:tr>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工程构建体系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操作系统厂商具备统一的工程构建体系，能用一套操作系统源码构建用于云侧计算、边侧计算场景中部署运行的操作系统，降低部署后系统维护、使用复杂度</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rPr>
                <w:rFonts w:hint="eastAsia"/>
              </w:rPr>
              <w:t>安全要求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基本要求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操作系统应当符合安全可靠测评要求</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密码算法支持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w:t>
            </w:r>
            <w:r>
              <w:t>GM/T0002</w:t>
            </w:r>
            <w:r>
              <w:rPr>
                <w:rFonts w:hint="eastAsia"/>
              </w:rPr>
              <w:t>、</w:t>
            </w:r>
            <w:r>
              <w:t>GM/T0003</w:t>
            </w:r>
            <w:r>
              <w:rPr>
                <w:rFonts w:hint="eastAsia"/>
              </w:rPr>
              <w:t>和</w:t>
            </w:r>
            <w:r>
              <w:t>GM/T0004</w:t>
            </w:r>
            <w:r>
              <w:rPr>
                <w:rFonts w:hint="eastAsia"/>
              </w:rPr>
              <w:t>规定的密码算法运算</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操作系统随机数质量符合</w:t>
            </w:r>
            <w:r>
              <w:t>GM/T0005</w:t>
            </w:r>
            <w:r>
              <w:rPr>
                <w:rFonts w:hint="eastAsia"/>
              </w:rPr>
              <w:t>《随机性检测规范》或</w:t>
            </w:r>
            <w:r>
              <w:t>GB/T32915</w:t>
            </w:r>
            <w:r>
              <w:rPr>
                <w:rFonts w:hint="eastAsia"/>
              </w:rPr>
              <w:t>《信息安全技术二元序列随机性检测方法》</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操作系统内置国家电子认证根</w:t>
            </w:r>
            <w:r>
              <w:t>CA</w:t>
            </w:r>
            <w:r>
              <w:rPr>
                <w:rFonts w:hint="eastAsia"/>
              </w:rPr>
              <w:t>的根证书</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操作系统支持符合</w:t>
            </w:r>
            <w:r>
              <w:t>GB/T38636</w:t>
            </w:r>
            <w:r>
              <w:rPr>
                <w:rFonts w:hint="eastAsia"/>
              </w:rPr>
              <w:t>—</w:t>
            </w:r>
            <w:r>
              <w:t>2020</w:t>
            </w:r>
            <w:r>
              <w:rPr>
                <w:rFonts w:hint="eastAsia"/>
              </w:rPr>
              <w:t>的</w:t>
            </w:r>
            <w:r>
              <w:t>TLCP</w:t>
            </w:r>
          </w:p>
        </w:tc>
      </w:tr>
      <w:tr>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操作系统提供防火墙配置管理工具，支持基于协议、网络地址、端口的访问控制规则配置，规则修改后立即生效；支持关闭指定服务和端口，包括但不限于关闭远程访问、共享访问等；支持防止</w:t>
            </w:r>
            <w:r>
              <w:t>ARP</w:t>
            </w:r>
            <w:r>
              <w:rPr>
                <w:rFonts w:hint="eastAsia"/>
              </w:rPr>
              <w:t>欺骗攻击</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操作系统提供统一访问控制安全框架</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操作系统支持系统管理员、安全管理员、审计管理员分权管理</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操作系统支持静态文件度量</w:t>
            </w:r>
            <w:r>
              <w:t>(</w:t>
            </w:r>
            <w:r>
              <w:rPr>
                <w:rFonts w:hint="eastAsia"/>
              </w:rPr>
              <w:t>如</w:t>
            </w:r>
            <w:r>
              <w:t>IMA)</w:t>
            </w:r>
            <w:r>
              <w:rPr>
                <w:rFonts w:hint="eastAsia"/>
              </w:rPr>
              <w:t>和动态内存度量，保障特定文件及内存中运行程序的完整性</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操作系统支持机密计算框架，提供机密计算</w:t>
            </w:r>
            <w:r>
              <w:t>SDK,</w:t>
            </w:r>
            <w:r>
              <w:rPr>
                <w:rFonts w:hint="eastAsia"/>
              </w:rPr>
              <w:t>能接入</w:t>
            </w:r>
            <w:r>
              <w:t>1</w:t>
            </w:r>
            <w:r>
              <w:rPr>
                <w:rFonts w:hint="eastAsia"/>
              </w:rPr>
              <w:t>种以上可信执行环境</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操作系统支持内核完整性保护，保障内核不被非授权改变；提供内核模块加载黑名单机制</w:t>
            </w:r>
          </w:p>
        </w:tc>
      </w:tr>
      <w:tr>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身份鉴别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用户标识使用帐户名和帐户</w:t>
            </w:r>
            <w:r>
              <w:t>ID,</w:t>
            </w:r>
            <w:r>
              <w:rPr>
                <w:rFonts w:hint="eastAsia"/>
              </w:rPr>
              <w:t>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w:t>
            </w:r>
            <w:r>
              <w:t>(root)</w:t>
            </w:r>
            <w:r>
              <w:rPr>
                <w:rFonts w:hint="eastAsia"/>
              </w:rPr>
              <w:t>远程登录设置</w:t>
            </w:r>
          </w:p>
        </w:tc>
      </w:tr>
      <w:tr>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访问控制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操作系统支持对应用程序的访问控制与资源限制，包括对文件、网络等客体的访问控制；支持应用安装控制、应用执行控制</w:t>
            </w:r>
          </w:p>
        </w:tc>
      </w:tr>
      <w:tr>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7"/>
              <w:spacing w:before="60" w:after="60"/>
            </w:pPr>
            <w:r>
              <w:rPr>
                <w:rFonts w:hint="eastAsia"/>
              </w:rPr>
              <w:t>181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pPr>
            <w:r>
              <w:t>*</w:t>
            </w:r>
            <w:r>
              <w:rPr>
                <w:rFonts w:hint="eastAsia"/>
              </w:rPr>
              <w:t>漏洞管理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spacing w:before="60" w:after="60"/>
              <w:jc w:val="left"/>
            </w:pPr>
            <w:r>
              <w:rPr>
                <w:rFonts w:hint="eastAsia"/>
              </w:rPr>
              <w:t>操作系统支持漏洞编号，每个漏洞独立编号，可直接使用</w:t>
            </w:r>
            <w:r>
              <w:t>NVDB</w:t>
            </w:r>
            <w:r>
              <w:rPr>
                <w:rFonts w:hint="eastAsia"/>
              </w:rPr>
              <w:t>、</w:t>
            </w:r>
            <w:r>
              <w:t>CNVD</w:t>
            </w:r>
            <w:r>
              <w:rPr>
                <w:rFonts w:hint="eastAsia"/>
              </w:rPr>
              <w:t>或</w:t>
            </w:r>
            <w:r>
              <w:t>CVE</w:t>
            </w:r>
            <w:r>
              <w:rPr>
                <w:rFonts w:hint="eastAsia"/>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pPr>
        <w:pStyle w:val="2"/>
        <w:spacing w:before="60" w:after="60"/>
        <w:ind w:firstLine="480"/>
      </w:pPr>
    </w:p>
    <w:p>
      <w:pPr>
        <w:pStyle w:val="2"/>
        <w:spacing w:before="60" w:after="60"/>
        <w:ind w:firstLine="480"/>
      </w:pPr>
      <w:r>
        <w:rPr>
          <w:rFonts w:hint="eastAsia"/>
        </w:rPr>
        <w:t xml:space="preserve">注:加*指标的为政府采购需求必须项。 </w:t>
      </w:r>
    </w:p>
    <w:p>
      <w:pPr>
        <w:pStyle w:val="2"/>
        <w:widowControl/>
        <w:spacing w:before="60" w:beforeLines="0" w:after="60" w:afterLines="0" w:line="240" w:lineRule="auto"/>
        <w:ind w:firstLine="560" w:firstLineChars="0"/>
        <w:jc w:val="left"/>
        <w:rPr>
          <w:rFonts w:eastAsia="仿宋_GB2312"/>
          <w:sz w:val="28"/>
          <w:szCs w:val="24"/>
        </w:rPr>
      </w:pPr>
    </w:p>
    <w:p>
      <w:pPr>
        <w:pStyle w:val="3"/>
        <w:keepLines w:val="0"/>
        <w:widowControl/>
        <w:numPr>
          <w:ilvl w:val="0"/>
          <w:numId w:val="1"/>
        </w:numPr>
        <w:spacing w:before="120" w:after="120"/>
        <w:ind w:left="0" w:firstLine="0"/>
        <w:jc w:val="left"/>
        <w:rPr>
          <w:rFonts w:eastAsia="黑体"/>
          <w:bCs w:val="0"/>
          <w:kern w:val="2"/>
        </w:rPr>
      </w:pPr>
      <w:bookmarkStart w:id="7" w:name="_Toc175071545"/>
      <w:r>
        <w:rPr>
          <w:rFonts w:hAnsi="黑体" w:eastAsia="黑体"/>
          <w:bCs w:val="0"/>
          <w:kern w:val="2"/>
        </w:rPr>
        <w:t>实施及运维需求</w:t>
      </w:r>
      <w:bookmarkEnd w:id="7"/>
    </w:p>
    <w:p>
      <w:pPr>
        <w:pStyle w:val="106"/>
        <w:widowControl/>
        <w:numPr>
          <w:ilvl w:val="1"/>
          <w:numId w:val="1"/>
        </w:numPr>
        <w:ind w:left="730" w:hanging="730" w:hangingChars="202"/>
        <w:contextualSpacing/>
        <w:jc w:val="left"/>
        <w:outlineLvl w:val="1"/>
        <w:rPr>
          <w:rFonts w:ascii="Times New Roman" w:hAnsi="Times New Roman" w:eastAsia="黑体" w:cs="Times New Roman"/>
          <w:b/>
          <w:sz w:val="36"/>
          <w:szCs w:val="36"/>
        </w:rPr>
      </w:pPr>
      <w:bookmarkStart w:id="8" w:name="_Toc175071546"/>
      <w:r>
        <w:rPr>
          <w:rFonts w:ascii="Times New Roman" w:hAnsi="黑体" w:eastAsia="黑体" w:cs="Times New Roman"/>
          <w:b/>
          <w:sz w:val="36"/>
          <w:szCs w:val="36"/>
        </w:rPr>
        <w:t>供应商要求</w:t>
      </w:r>
      <w:bookmarkEnd w:id="8"/>
    </w:p>
    <w:p>
      <w:pPr>
        <w:spacing w:beforeLines="0" w:afterLines="0" w:line="560" w:lineRule="exact"/>
        <w:ind w:firstLine="600"/>
        <w:rPr>
          <w:rFonts w:eastAsia="仿宋_GB2312"/>
          <w:sz w:val="30"/>
          <w:szCs w:val="30"/>
        </w:rPr>
      </w:pPr>
      <w:r>
        <w:rPr>
          <w:rFonts w:eastAsia="仿宋_GB2312"/>
          <w:sz w:val="30"/>
          <w:szCs w:val="30"/>
        </w:rPr>
        <w:t>本项目优先考虑具有相关软件集成服务经验的供应商。投标人应获得所供应软件产品原厂的授权文件。</w:t>
      </w:r>
    </w:p>
    <w:p>
      <w:pPr>
        <w:spacing w:beforeLines="0" w:afterLines="0" w:line="560" w:lineRule="exact"/>
        <w:ind w:firstLine="600"/>
        <w:rPr>
          <w:rFonts w:eastAsia="仿宋_GB2312"/>
          <w:sz w:val="30"/>
          <w:szCs w:val="30"/>
        </w:rPr>
      </w:pPr>
      <w:r>
        <w:rPr>
          <w:rFonts w:hint="eastAsia" w:eastAsia="仿宋_GB2312"/>
          <w:sz w:val="30"/>
          <w:szCs w:val="30"/>
        </w:rPr>
        <w:t>投标</w:t>
      </w:r>
      <w:r>
        <w:rPr>
          <w:rFonts w:eastAsia="仿宋_GB2312"/>
          <w:sz w:val="30"/>
          <w:szCs w:val="30"/>
        </w:rPr>
        <w:t>人</w:t>
      </w:r>
      <w:r>
        <w:rPr>
          <w:rFonts w:hint="eastAsia" w:eastAsia="仿宋_GB2312"/>
          <w:sz w:val="30"/>
          <w:szCs w:val="30"/>
        </w:rPr>
        <w:t>有</w:t>
      </w:r>
      <w:r>
        <w:rPr>
          <w:rFonts w:eastAsia="仿宋_GB2312"/>
          <w:sz w:val="30"/>
          <w:szCs w:val="30"/>
        </w:rPr>
        <w:t>涉密项目经验的</w:t>
      </w:r>
      <w:r>
        <w:rPr>
          <w:rFonts w:hint="eastAsia" w:eastAsia="仿宋_GB2312"/>
          <w:sz w:val="30"/>
          <w:szCs w:val="30"/>
        </w:rPr>
        <w:t>优先</w:t>
      </w:r>
      <w:r>
        <w:rPr>
          <w:rFonts w:eastAsia="仿宋_GB2312"/>
          <w:sz w:val="30"/>
          <w:szCs w:val="30"/>
        </w:rPr>
        <w:t>。</w:t>
      </w:r>
    </w:p>
    <w:p>
      <w:pPr>
        <w:pStyle w:val="106"/>
        <w:widowControl/>
        <w:numPr>
          <w:ilvl w:val="1"/>
          <w:numId w:val="1"/>
        </w:numPr>
        <w:ind w:left="730" w:hanging="730" w:hangingChars="202"/>
        <w:contextualSpacing/>
        <w:jc w:val="left"/>
        <w:outlineLvl w:val="1"/>
        <w:rPr>
          <w:rFonts w:ascii="Times New Roman" w:hAnsi="Times New Roman" w:eastAsia="黑体" w:cs="Times New Roman"/>
          <w:b/>
          <w:sz w:val="36"/>
          <w:szCs w:val="36"/>
        </w:rPr>
      </w:pPr>
      <w:bookmarkStart w:id="9" w:name="_Toc175071547"/>
      <w:r>
        <w:rPr>
          <w:rFonts w:ascii="Times New Roman" w:hAnsi="黑体" w:eastAsia="黑体" w:cs="Times New Roman"/>
          <w:b/>
          <w:sz w:val="36"/>
          <w:szCs w:val="36"/>
        </w:rPr>
        <w:t>服务要求</w:t>
      </w:r>
      <w:bookmarkEnd w:id="9"/>
    </w:p>
    <w:p>
      <w:pPr>
        <w:spacing w:beforeLines="0" w:afterLines="0" w:line="560" w:lineRule="exact"/>
        <w:ind w:firstLine="600"/>
        <w:rPr>
          <w:rFonts w:eastAsia="仿宋_GB2312"/>
          <w:sz w:val="30"/>
          <w:szCs w:val="30"/>
        </w:rPr>
      </w:pPr>
      <w:r>
        <w:rPr>
          <w:rFonts w:eastAsia="仿宋_GB2312"/>
          <w:sz w:val="30"/>
          <w:szCs w:val="30"/>
        </w:rPr>
        <w:t>投标人应根据招标人需求，做好所供应软件的操作培训工作。</w:t>
      </w:r>
    </w:p>
    <w:p>
      <w:pPr>
        <w:spacing w:beforeLines="0" w:afterLines="0" w:line="560" w:lineRule="exact"/>
        <w:ind w:firstLine="600"/>
        <w:rPr>
          <w:rFonts w:eastAsia="仿宋_GB2312"/>
          <w:sz w:val="30"/>
          <w:szCs w:val="30"/>
        </w:rPr>
      </w:pPr>
      <w:r>
        <w:rPr>
          <w:rFonts w:eastAsia="仿宋_GB2312"/>
          <w:sz w:val="30"/>
          <w:szCs w:val="30"/>
        </w:rPr>
        <w:t>相关软件在安装、应用过程中投标人需提供技术支持，以及能够获得原厂支持。</w:t>
      </w:r>
    </w:p>
    <w:p>
      <w:pPr>
        <w:spacing w:beforeLines="0" w:afterLines="0" w:line="560" w:lineRule="exact"/>
        <w:ind w:firstLine="600"/>
        <w:rPr>
          <w:rFonts w:eastAsia="仿宋_GB2312"/>
          <w:sz w:val="30"/>
          <w:szCs w:val="30"/>
        </w:rPr>
      </w:pPr>
      <w:r>
        <w:rPr>
          <w:rFonts w:eastAsia="仿宋_GB2312"/>
          <w:sz w:val="30"/>
          <w:szCs w:val="30"/>
        </w:rPr>
        <w:t>投标的中间件、数据库必须适配投标的操作系统。</w:t>
      </w:r>
    </w:p>
    <w:p>
      <w:pPr>
        <w:pStyle w:val="106"/>
        <w:widowControl/>
        <w:numPr>
          <w:ilvl w:val="1"/>
          <w:numId w:val="1"/>
        </w:numPr>
        <w:ind w:left="730" w:hanging="730" w:hangingChars="202"/>
        <w:contextualSpacing/>
        <w:jc w:val="left"/>
        <w:outlineLvl w:val="1"/>
        <w:rPr>
          <w:rFonts w:ascii="Times New Roman" w:hAnsi="Times New Roman" w:eastAsia="黑体" w:cs="Times New Roman"/>
          <w:b/>
          <w:sz w:val="36"/>
          <w:szCs w:val="36"/>
        </w:rPr>
      </w:pPr>
      <w:bookmarkStart w:id="10" w:name="_Toc175071548"/>
      <w:r>
        <w:rPr>
          <w:rFonts w:ascii="Times New Roman" w:hAnsi="黑体" w:eastAsia="黑体" w:cs="Times New Roman"/>
          <w:b/>
          <w:sz w:val="36"/>
          <w:szCs w:val="36"/>
        </w:rPr>
        <w:t>供货时间要求</w:t>
      </w:r>
      <w:bookmarkEnd w:id="10"/>
    </w:p>
    <w:p>
      <w:pPr>
        <w:spacing w:beforeLines="0" w:afterLines="0" w:line="560" w:lineRule="exact"/>
        <w:ind w:firstLine="600"/>
        <w:rPr>
          <w:rFonts w:eastAsia="仿宋_GB2312"/>
          <w:sz w:val="30"/>
          <w:szCs w:val="30"/>
        </w:rPr>
      </w:pPr>
      <w:r>
        <w:rPr>
          <w:rFonts w:eastAsia="仿宋_GB2312"/>
          <w:sz w:val="30"/>
          <w:szCs w:val="30"/>
        </w:rPr>
        <w:t>本项目所采购的产品要求合同签订后</w:t>
      </w:r>
      <w:r>
        <w:rPr>
          <w:rFonts w:hint="eastAsia" w:eastAsia="仿宋_GB2312"/>
          <w:sz w:val="30"/>
          <w:szCs w:val="30"/>
        </w:rPr>
        <w:t>20</w:t>
      </w:r>
      <w:r>
        <w:rPr>
          <w:rFonts w:eastAsia="仿宋_GB2312"/>
          <w:sz w:val="30"/>
          <w:szCs w:val="30"/>
        </w:rPr>
        <w:t>日内完成到货。</w:t>
      </w:r>
    </w:p>
    <w:p>
      <w:pPr>
        <w:pStyle w:val="106"/>
        <w:widowControl/>
        <w:numPr>
          <w:ilvl w:val="1"/>
          <w:numId w:val="1"/>
        </w:numPr>
        <w:ind w:left="730" w:hanging="730" w:hangingChars="202"/>
        <w:contextualSpacing/>
        <w:jc w:val="left"/>
        <w:outlineLvl w:val="1"/>
        <w:rPr>
          <w:rFonts w:ascii="Times New Roman" w:hAnsi="Times New Roman" w:eastAsia="黑体" w:cs="Times New Roman"/>
          <w:b/>
          <w:sz w:val="36"/>
          <w:szCs w:val="36"/>
        </w:rPr>
      </w:pPr>
      <w:bookmarkStart w:id="11" w:name="_Toc175071549"/>
      <w:r>
        <w:rPr>
          <w:rFonts w:ascii="Times New Roman" w:hAnsi="黑体" w:eastAsia="黑体" w:cs="Times New Roman"/>
          <w:b/>
          <w:sz w:val="36"/>
          <w:szCs w:val="36"/>
        </w:rPr>
        <w:t>验收要求</w:t>
      </w:r>
      <w:bookmarkEnd w:id="11"/>
    </w:p>
    <w:p>
      <w:pPr>
        <w:spacing w:beforeLines="0" w:afterLines="0" w:line="560" w:lineRule="exact"/>
        <w:ind w:firstLine="600"/>
        <w:rPr>
          <w:rFonts w:eastAsia="仿宋_GB2312"/>
          <w:sz w:val="30"/>
          <w:szCs w:val="30"/>
        </w:rPr>
      </w:pPr>
      <w:r>
        <w:rPr>
          <w:rFonts w:eastAsia="仿宋_GB2312"/>
          <w:sz w:val="30"/>
          <w:szCs w:val="30"/>
        </w:rPr>
        <w:t>投标人应配合招标人相关项目整体专项验收工作，提供相关验收材料。</w:t>
      </w:r>
    </w:p>
    <w:p>
      <w:pPr>
        <w:pStyle w:val="106"/>
        <w:widowControl/>
        <w:numPr>
          <w:ilvl w:val="1"/>
          <w:numId w:val="1"/>
        </w:numPr>
        <w:ind w:left="730" w:hanging="730" w:hangingChars="202"/>
        <w:contextualSpacing/>
        <w:jc w:val="left"/>
        <w:outlineLvl w:val="1"/>
        <w:rPr>
          <w:rFonts w:ascii="Times New Roman" w:hAnsi="Times New Roman" w:eastAsia="黑体" w:cs="Times New Roman"/>
          <w:b/>
          <w:sz w:val="36"/>
          <w:szCs w:val="36"/>
        </w:rPr>
      </w:pPr>
      <w:bookmarkStart w:id="12" w:name="_Toc175071550"/>
      <w:r>
        <w:rPr>
          <w:rFonts w:ascii="Times New Roman" w:hAnsi="黑体" w:eastAsia="黑体" w:cs="Times New Roman"/>
          <w:b/>
          <w:sz w:val="36"/>
          <w:szCs w:val="36"/>
        </w:rPr>
        <w:t>运维要求</w:t>
      </w:r>
      <w:bookmarkEnd w:id="12"/>
    </w:p>
    <w:bookmarkEnd w:id="0"/>
    <w:bookmarkEnd w:id="1"/>
    <w:p>
      <w:pPr>
        <w:spacing w:beforeLines="0" w:afterLines="0" w:line="560" w:lineRule="exact"/>
        <w:ind w:firstLine="600"/>
        <w:rPr>
          <w:rFonts w:eastAsia="仿宋_GB2312"/>
          <w:sz w:val="30"/>
          <w:szCs w:val="30"/>
        </w:rPr>
      </w:pPr>
      <w:r>
        <w:rPr>
          <w:rFonts w:eastAsia="仿宋_GB2312"/>
          <w:sz w:val="30"/>
          <w:szCs w:val="30"/>
        </w:rPr>
        <w:t>投标人自项目完成验收之日起，免费提供</w:t>
      </w:r>
      <w:r>
        <w:rPr>
          <w:rFonts w:hint="eastAsia" w:eastAsia="仿宋_GB2312"/>
          <w:sz w:val="30"/>
          <w:szCs w:val="30"/>
        </w:rPr>
        <w:t>36个月</w:t>
      </w:r>
      <w:r>
        <w:rPr>
          <w:rFonts w:eastAsia="仿宋_GB2312"/>
          <w:sz w:val="30"/>
          <w:szCs w:val="30"/>
        </w:rPr>
        <w:t>软件运行维护服务。</w:t>
      </w:r>
    </w:p>
    <w:p>
      <w:pPr>
        <w:spacing w:beforeLines="0" w:afterLines="0" w:line="560" w:lineRule="exact"/>
        <w:ind w:firstLine="600"/>
        <w:rPr>
          <w:rFonts w:eastAsia="仿宋_GB2312"/>
          <w:sz w:val="30"/>
          <w:szCs w:val="30"/>
        </w:rPr>
      </w:pPr>
      <w:r>
        <w:rPr>
          <w:rFonts w:hint="eastAsia" w:eastAsia="仿宋_GB2312"/>
          <w:sz w:val="30"/>
          <w:szCs w:val="30"/>
        </w:rPr>
        <w:t>工作时间内对用户的问题、故障，在30分钟内响应，需要到机房处理问题时，60分钟内达到机房。</w:t>
      </w:r>
    </w:p>
    <w:p>
      <w:pPr>
        <w:spacing w:beforeLines="0" w:afterLines="0" w:line="560" w:lineRule="exact"/>
        <w:ind w:firstLine="600"/>
        <w:rPr>
          <w:rFonts w:eastAsia="仿宋_GB2312"/>
          <w:sz w:val="30"/>
          <w:szCs w:val="30"/>
        </w:rPr>
      </w:pPr>
      <w:r>
        <w:rPr>
          <w:rFonts w:hint="eastAsia" w:eastAsia="仿宋_GB2312"/>
          <w:sz w:val="30"/>
          <w:szCs w:val="30"/>
        </w:rPr>
        <w:t>非工作时间内对用户的问题、故障，在</w:t>
      </w:r>
      <w:r>
        <w:rPr>
          <w:rFonts w:eastAsia="仿宋_GB2312"/>
          <w:sz w:val="30"/>
          <w:szCs w:val="30"/>
        </w:rPr>
        <w:t>90</w:t>
      </w:r>
      <w:r>
        <w:rPr>
          <w:rFonts w:hint="eastAsia" w:eastAsia="仿宋_GB2312"/>
          <w:sz w:val="30"/>
          <w:szCs w:val="30"/>
        </w:rPr>
        <w:t>分钟内响应，包括需要到机房处理问题时，在</w:t>
      </w:r>
      <w:r>
        <w:rPr>
          <w:rFonts w:eastAsia="仿宋_GB2312"/>
          <w:sz w:val="30"/>
          <w:szCs w:val="30"/>
        </w:rPr>
        <w:t>120</w:t>
      </w:r>
      <w:r>
        <w:rPr>
          <w:rFonts w:hint="eastAsia" w:eastAsia="仿宋_GB2312"/>
          <w:sz w:val="30"/>
          <w:szCs w:val="30"/>
        </w:rPr>
        <w:t>分钟内达到机房。</w:t>
      </w:r>
      <w:bookmarkStart w:id="13" w:name="_GoBack"/>
      <w:bookmarkEnd w:id="13"/>
    </w:p>
    <w:p>
      <w:pPr>
        <w:spacing w:beforeLines="0" w:afterLines="0" w:line="560" w:lineRule="exact"/>
        <w:ind w:firstLine="600"/>
        <w:rPr>
          <w:rFonts w:eastAsia="仿宋_GB2312"/>
          <w:sz w:val="30"/>
          <w:szCs w:val="30"/>
        </w:rPr>
      </w:pPr>
      <w:r>
        <w:rPr>
          <w:rFonts w:eastAsia="仿宋_GB2312"/>
          <w:sz w:val="30"/>
          <w:szCs w:val="30"/>
        </w:rPr>
        <w:t>为保障系统运行稳定，投标人需派遣运维团队提供5*8小时驻场服务，</w:t>
      </w:r>
      <w:r>
        <w:rPr>
          <w:rFonts w:hint="eastAsia" w:eastAsia="仿宋_GB2312"/>
          <w:sz w:val="30"/>
          <w:szCs w:val="30"/>
        </w:rPr>
        <w:t>现场运维团队不少于</w:t>
      </w:r>
      <w:r>
        <w:rPr>
          <w:rFonts w:eastAsia="仿宋_GB2312"/>
          <w:sz w:val="30"/>
          <w:szCs w:val="30"/>
        </w:rPr>
        <w:t>2</w:t>
      </w:r>
      <w:r>
        <w:rPr>
          <w:rFonts w:hint="eastAsia" w:eastAsia="仿宋_GB2312"/>
          <w:sz w:val="30"/>
          <w:szCs w:val="30"/>
        </w:rPr>
        <w:t>人。</w:t>
      </w:r>
    </w:p>
    <w:p>
      <w:pPr>
        <w:spacing w:beforeLines="0" w:afterLines="0" w:line="560" w:lineRule="exact"/>
        <w:ind w:firstLine="600"/>
        <w:rPr>
          <w:rFonts w:eastAsia="仿宋_GB2312"/>
          <w:sz w:val="30"/>
          <w:szCs w:val="30"/>
        </w:rPr>
      </w:pPr>
      <w:r>
        <w:rPr>
          <w:rFonts w:eastAsia="仿宋_GB2312"/>
          <w:sz w:val="30"/>
          <w:szCs w:val="30"/>
        </w:rPr>
        <w:t>并提供7*24小时线上运维支持。</w:t>
      </w:r>
    </w:p>
    <w:sectPr>
      <w:headerReference r:id="rId11" w:type="default"/>
      <w:footerReference r:id="rId12" w:type="default"/>
      <w:pgSz w:w="11907" w:h="16840"/>
      <w:pgMar w:top="1440" w:right="1797" w:bottom="1440" w:left="1797" w:header="0" w:footer="858"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utura Hv">
    <w:altName w:val="仿宋_GB2312"/>
    <w:panose1 w:val="00000000000000000000"/>
    <w:charset w:val="00"/>
    <w:family w:val="swiss"/>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微软雅黑 Light">
    <w:altName w:val="方正黑体_GBK"/>
    <w:panose1 w:val="00000000000000000000"/>
    <w:charset w:val="86"/>
    <w:family w:val="swiss"/>
    <w:pitch w:val="default"/>
    <w:sig w:usb0="00000000" w:usb1="00000000" w:usb2="00000016" w:usb3="00000000" w:csb0="0004001F"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142"/>
        <w:tab w:val="right" w:pos="8126"/>
      </w:tabs>
      <w:spacing w:before="60" w:after="60"/>
      <w:ind w:right="270" w:firstLine="360"/>
      <w:rPr>
        <w:rFonts w:ascii="微软雅黑" w:hAnsi="微软雅黑" w:eastAsia="微软雅黑"/>
        <w:color w:val="548DD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142"/>
        <w:tab w:val="right" w:pos="8126"/>
      </w:tabs>
      <w:spacing w:before="60" w:after="60"/>
      <w:ind w:right="270" w:firstLine="360"/>
      <w:rPr>
        <w:rFonts w:ascii="微软雅黑" w:hAnsi="微软雅黑" w:eastAsia="微软雅黑"/>
        <w:color w:val="548DD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jc w:val="center"/>
    </w:pPr>
    <w:r>
      <w:fldChar w:fldCharType="begin"/>
    </w:r>
    <w:r>
      <w:instrText xml:space="preserve">PAGE   \* MERGEFORMAT</w:instrText>
    </w:r>
    <w:r>
      <w:fldChar w:fldCharType="separate"/>
    </w:r>
    <w:r>
      <w:rPr>
        <w:lang w:val="zh-CN"/>
      </w:rPr>
      <w:t>20</w:t>
    </w:r>
    <w:r>
      <w:rPr>
        <w:lang w:val="zh-CN"/>
      </w:rPr>
      <w:fldChar w:fldCharType="end"/>
    </w:r>
  </w:p>
  <w:p>
    <w:pPr>
      <w:pStyle w:val="18"/>
      <w:spacing w:before="60" w:after="6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37038"/>
    <w:multiLevelType w:val="multilevel"/>
    <w:tmpl w:val="6313703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1710"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wOTdiZjZmNjZhNjdiMGIwNGU4NGQ4ZGUxOTUxYTAifQ=="/>
  </w:docVars>
  <w:rsids>
    <w:rsidRoot w:val="4252628C"/>
    <w:rsid w:val="00007015"/>
    <w:rsid w:val="00010BEE"/>
    <w:rsid w:val="000114A7"/>
    <w:rsid w:val="00015B07"/>
    <w:rsid w:val="00017C50"/>
    <w:rsid w:val="000203F2"/>
    <w:rsid w:val="00020E8F"/>
    <w:rsid w:val="0002100B"/>
    <w:rsid w:val="000346C7"/>
    <w:rsid w:val="000372C5"/>
    <w:rsid w:val="00040A83"/>
    <w:rsid w:val="00041B7D"/>
    <w:rsid w:val="00043CA9"/>
    <w:rsid w:val="000455F5"/>
    <w:rsid w:val="00047A07"/>
    <w:rsid w:val="00051A29"/>
    <w:rsid w:val="000547EF"/>
    <w:rsid w:val="0005504C"/>
    <w:rsid w:val="0005571F"/>
    <w:rsid w:val="00055F4D"/>
    <w:rsid w:val="000613F3"/>
    <w:rsid w:val="0006198A"/>
    <w:rsid w:val="00061EFF"/>
    <w:rsid w:val="0006400D"/>
    <w:rsid w:val="000669C4"/>
    <w:rsid w:val="00073885"/>
    <w:rsid w:val="000758FE"/>
    <w:rsid w:val="0007656D"/>
    <w:rsid w:val="000765E3"/>
    <w:rsid w:val="000A04FE"/>
    <w:rsid w:val="000A154A"/>
    <w:rsid w:val="000A3047"/>
    <w:rsid w:val="000A3F18"/>
    <w:rsid w:val="000A47F4"/>
    <w:rsid w:val="000A7AFB"/>
    <w:rsid w:val="000B5662"/>
    <w:rsid w:val="000C4EED"/>
    <w:rsid w:val="000C79B0"/>
    <w:rsid w:val="000D234F"/>
    <w:rsid w:val="000D3C85"/>
    <w:rsid w:val="000D55E1"/>
    <w:rsid w:val="000D5CD6"/>
    <w:rsid w:val="000E1337"/>
    <w:rsid w:val="000E2C6C"/>
    <w:rsid w:val="000E3704"/>
    <w:rsid w:val="000E3F06"/>
    <w:rsid w:val="000E594F"/>
    <w:rsid w:val="000F074E"/>
    <w:rsid w:val="000F10A0"/>
    <w:rsid w:val="000F27F4"/>
    <w:rsid w:val="000F4840"/>
    <w:rsid w:val="000F670A"/>
    <w:rsid w:val="00102392"/>
    <w:rsid w:val="0011071A"/>
    <w:rsid w:val="00112661"/>
    <w:rsid w:val="0012680D"/>
    <w:rsid w:val="001269EE"/>
    <w:rsid w:val="00131D00"/>
    <w:rsid w:val="00132174"/>
    <w:rsid w:val="00133B04"/>
    <w:rsid w:val="0013565E"/>
    <w:rsid w:val="00141974"/>
    <w:rsid w:val="001450DE"/>
    <w:rsid w:val="0015008F"/>
    <w:rsid w:val="001605C6"/>
    <w:rsid w:val="0016200F"/>
    <w:rsid w:val="001663C7"/>
    <w:rsid w:val="00175339"/>
    <w:rsid w:val="00186075"/>
    <w:rsid w:val="00186B24"/>
    <w:rsid w:val="00187835"/>
    <w:rsid w:val="001904BD"/>
    <w:rsid w:val="00192FEC"/>
    <w:rsid w:val="001936AC"/>
    <w:rsid w:val="00197B2E"/>
    <w:rsid w:val="00197B75"/>
    <w:rsid w:val="001B38A2"/>
    <w:rsid w:val="001B75AD"/>
    <w:rsid w:val="001C59F7"/>
    <w:rsid w:val="001C6DB5"/>
    <w:rsid w:val="001D0A85"/>
    <w:rsid w:val="001D5058"/>
    <w:rsid w:val="001E1B80"/>
    <w:rsid w:val="001E22A0"/>
    <w:rsid w:val="001E5271"/>
    <w:rsid w:val="001F38EB"/>
    <w:rsid w:val="0020259F"/>
    <w:rsid w:val="00203F8B"/>
    <w:rsid w:val="00206C2A"/>
    <w:rsid w:val="00206C9E"/>
    <w:rsid w:val="00207167"/>
    <w:rsid w:val="00210145"/>
    <w:rsid w:val="002105CC"/>
    <w:rsid w:val="002120BB"/>
    <w:rsid w:val="00212409"/>
    <w:rsid w:val="0021674F"/>
    <w:rsid w:val="00220166"/>
    <w:rsid w:val="002240A8"/>
    <w:rsid w:val="00231457"/>
    <w:rsid w:val="00231F47"/>
    <w:rsid w:val="00236B13"/>
    <w:rsid w:val="00243FCF"/>
    <w:rsid w:val="002448AA"/>
    <w:rsid w:val="00246985"/>
    <w:rsid w:val="00246BA3"/>
    <w:rsid w:val="002504BD"/>
    <w:rsid w:val="00251702"/>
    <w:rsid w:val="00252DD8"/>
    <w:rsid w:val="0025528B"/>
    <w:rsid w:val="00257CCD"/>
    <w:rsid w:val="00261426"/>
    <w:rsid w:val="00261F69"/>
    <w:rsid w:val="00263196"/>
    <w:rsid w:val="0026652A"/>
    <w:rsid w:val="00267683"/>
    <w:rsid w:val="00271C79"/>
    <w:rsid w:val="00273310"/>
    <w:rsid w:val="0027399F"/>
    <w:rsid w:val="00274195"/>
    <w:rsid w:val="0027632D"/>
    <w:rsid w:val="00280416"/>
    <w:rsid w:val="0029219F"/>
    <w:rsid w:val="00295969"/>
    <w:rsid w:val="002976A5"/>
    <w:rsid w:val="002A2929"/>
    <w:rsid w:val="002A411F"/>
    <w:rsid w:val="002B048D"/>
    <w:rsid w:val="002B2056"/>
    <w:rsid w:val="002B2F35"/>
    <w:rsid w:val="002B5993"/>
    <w:rsid w:val="002C554C"/>
    <w:rsid w:val="002C6E56"/>
    <w:rsid w:val="002C7727"/>
    <w:rsid w:val="002C7B4F"/>
    <w:rsid w:val="002D5320"/>
    <w:rsid w:val="002D6D59"/>
    <w:rsid w:val="002D7EAA"/>
    <w:rsid w:val="002E3E7C"/>
    <w:rsid w:val="002E687A"/>
    <w:rsid w:val="002F07D5"/>
    <w:rsid w:val="002F1304"/>
    <w:rsid w:val="002F494C"/>
    <w:rsid w:val="002F5064"/>
    <w:rsid w:val="002F54F5"/>
    <w:rsid w:val="00301E63"/>
    <w:rsid w:val="00303A0D"/>
    <w:rsid w:val="003111A8"/>
    <w:rsid w:val="00314B41"/>
    <w:rsid w:val="00314EF6"/>
    <w:rsid w:val="003155AC"/>
    <w:rsid w:val="00316117"/>
    <w:rsid w:val="00316274"/>
    <w:rsid w:val="00316A86"/>
    <w:rsid w:val="00322A2E"/>
    <w:rsid w:val="00326CF5"/>
    <w:rsid w:val="003273FC"/>
    <w:rsid w:val="0032740B"/>
    <w:rsid w:val="00330391"/>
    <w:rsid w:val="00340A95"/>
    <w:rsid w:val="0034666B"/>
    <w:rsid w:val="0035152B"/>
    <w:rsid w:val="0036198D"/>
    <w:rsid w:val="003629B6"/>
    <w:rsid w:val="00362D1F"/>
    <w:rsid w:val="00363FB9"/>
    <w:rsid w:val="00372887"/>
    <w:rsid w:val="00373712"/>
    <w:rsid w:val="003766F7"/>
    <w:rsid w:val="00376920"/>
    <w:rsid w:val="00376FA5"/>
    <w:rsid w:val="00377682"/>
    <w:rsid w:val="003854A7"/>
    <w:rsid w:val="0038554A"/>
    <w:rsid w:val="003871B8"/>
    <w:rsid w:val="003A1293"/>
    <w:rsid w:val="003B0B55"/>
    <w:rsid w:val="003C13CE"/>
    <w:rsid w:val="003C18D5"/>
    <w:rsid w:val="003C417F"/>
    <w:rsid w:val="003C5947"/>
    <w:rsid w:val="003D6624"/>
    <w:rsid w:val="003F0A07"/>
    <w:rsid w:val="0040240F"/>
    <w:rsid w:val="00403A4B"/>
    <w:rsid w:val="004045EC"/>
    <w:rsid w:val="00412A62"/>
    <w:rsid w:val="0041320D"/>
    <w:rsid w:val="0041359F"/>
    <w:rsid w:val="004145D5"/>
    <w:rsid w:val="004169C7"/>
    <w:rsid w:val="00430237"/>
    <w:rsid w:val="0043351B"/>
    <w:rsid w:val="00436DA9"/>
    <w:rsid w:val="0043782C"/>
    <w:rsid w:val="0044218F"/>
    <w:rsid w:val="00446B23"/>
    <w:rsid w:val="00450B16"/>
    <w:rsid w:val="0045105F"/>
    <w:rsid w:val="00452489"/>
    <w:rsid w:val="0046763B"/>
    <w:rsid w:val="00467B9C"/>
    <w:rsid w:val="0047529D"/>
    <w:rsid w:val="00475562"/>
    <w:rsid w:val="00477575"/>
    <w:rsid w:val="00482868"/>
    <w:rsid w:val="00486924"/>
    <w:rsid w:val="0049424D"/>
    <w:rsid w:val="00494923"/>
    <w:rsid w:val="0049761A"/>
    <w:rsid w:val="004A1F46"/>
    <w:rsid w:val="004A3680"/>
    <w:rsid w:val="004A420D"/>
    <w:rsid w:val="004A6F35"/>
    <w:rsid w:val="004B1B8A"/>
    <w:rsid w:val="004B27EC"/>
    <w:rsid w:val="004C5266"/>
    <w:rsid w:val="004D07BF"/>
    <w:rsid w:val="004D17DA"/>
    <w:rsid w:val="004D2DA3"/>
    <w:rsid w:val="004D376C"/>
    <w:rsid w:val="004E08C6"/>
    <w:rsid w:val="004E36F6"/>
    <w:rsid w:val="004E438C"/>
    <w:rsid w:val="004E53E8"/>
    <w:rsid w:val="004E5F43"/>
    <w:rsid w:val="004E66A2"/>
    <w:rsid w:val="004E6F1D"/>
    <w:rsid w:val="004F052D"/>
    <w:rsid w:val="004F075A"/>
    <w:rsid w:val="004F34F2"/>
    <w:rsid w:val="00500E1F"/>
    <w:rsid w:val="0050648A"/>
    <w:rsid w:val="00507707"/>
    <w:rsid w:val="00507A4D"/>
    <w:rsid w:val="00511A23"/>
    <w:rsid w:val="00512AB6"/>
    <w:rsid w:val="005132E3"/>
    <w:rsid w:val="00514C4F"/>
    <w:rsid w:val="00515289"/>
    <w:rsid w:val="005156E4"/>
    <w:rsid w:val="005164CE"/>
    <w:rsid w:val="00522D26"/>
    <w:rsid w:val="00523554"/>
    <w:rsid w:val="00523AAF"/>
    <w:rsid w:val="005242AD"/>
    <w:rsid w:val="0053267E"/>
    <w:rsid w:val="00534BAF"/>
    <w:rsid w:val="00544352"/>
    <w:rsid w:val="005467ED"/>
    <w:rsid w:val="00546943"/>
    <w:rsid w:val="00546F10"/>
    <w:rsid w:val="00546F82"/>
    <w:rsid w:val="00551A53"/>
    <w:rsid w:val="00567161"/>
    <w:rsid w:val="00571309"/>
    <w:rsid w:val="00572105"/>
    <w:rsid w:val="00572EB1"/>
    <w:rsid w:val="00575315"/>
    <w:rsid w:val="00575FB9"/>
    <w:rsid w:val="0058140F"/>
    <w:rsid w:val="005824F5"/>
    <w:rsid w:val="00584C58"/>
    <w:rsid w:val="005859FB"/>
    <w:rsid w:val="0058637B"/>
    <w:rsid w:val="00586D49"/>
    <w:rsid w:val="005875C7"/>
    <w:rsid w:val="00587CFC"/>
    <w:rsid w:val="00594801"/>
    <w:rsid w:val="005A1A92"/>
    <w:rsid w:val="005A2558"/>
    <w:rsid w:val="005A3DD9"/>
    <w:rsid w:val="005B43A7"/>
    <w:rsid w:val="005B44A5"/>
    <w:rsid w:val="005C60AE"/>
    <w:rsid w:val="005D0223"/>
    <w:rsid w:val="005D0FD4"/>
    <w:rsid w:val="005D3921"/>
    <w:rsid w:val="005D55DA"/>
    <w:rsid w:val="005D7BF5"/>
    <w:rsid w:val="005E035D"/>
    <w:rsid w:val="005E0E11"/>
    <w:rsid w:val="005E1CB4"/>
    <w:rsid w:val="005E3E9D"/>
    <w:rsid w:val="005F6DD0"/>
    <w:rsid w:val="00600609"/>
    <w:rsid w:val="0060363C"/>
    <w:rsid w:val="00604749"/>
    <w:rsid w:val="0060572B"/>
    <w:rsid w:val="00612287"/>
    <w:rsid w:val="0061231F"/>
    <w:rsid w:val="00631E76"/>
    <w:rsid w:val="00632625"/>
    <w:rsid w:val="00632B61"/>
    <w:rsid w:val="00642F7F"/>
    <w:rsid w:val="00651DC9"/>
    <w:rsid w:val="00652B1F"/>
    <w:rsid w:val="00655A23"/>
    <w:rsid w:val="00663549"/>
    <w:rsid w:val="0066360C"/>
    <w:rsid w:val="006647D3"/>
    <w:rsid w:val="00666A15"/>
    <w:rsid w:val="00670455"/>
    <w:rsid w:val="00680BA8"/>
    <w:rsid w:val="00683955"/>
    <w:rsid w:val="00687768"/>
    <w:rsid w:val="006904A9"/>
    <w:rsid w:val="00691330"/>
    <w:rsid w:val="00693092"/>
    <w:rsid w:val="00693CC2"/>
    <w:rsid w:val="00696374"/>
    <w:rsid w:val="0069711B"/>
    <w:rsid w:val="006A15D8"/>
    <w:rsid w:val="006A2C91"/>
    <w:rsid w:val="006C02B0"/>
    <w:rsid w:val="006C2855"/>
    <w:rsid w:val="006D2D03"/>
    <w:rsid w:val="006D2DEB"/>
    <w:rsid w:val="006D3D02"/>
    <w:rsid w:val="006D68E2"/>
    <w:rsid w:val="006D6F89"/>
    <w:rsid w:val="006E442E"/>
    <w:rsid w:val="006E4D13"/>
    <w:rsid w:val="006E72E9"/>
    <w:rsid w:val="006F0DBC"/>
    <w:rsid w:val="006F26D9"/>
    <w:rsid w:val="006F61D3"/>
    <w:rsid w:val="00700994"/>
    <w:rsid w:val="0070282A"/>
    <w:rsid w:val="00703103"/>
    <w:rsid w:val="007049B0"/>
    <w:rsid w:val="00711A9C"/>
    <w:rsid w:val="00711B5E"/>
    <w:rsid w:val="0071293A"/>
    <w:rsid w:val="0071539A"/>
    <w:rsid w:val="007159B7"/>
    <w:rsid w:val="00716227"/>
    <w:rsid w:val="00717EFD"/>
    <w:rsid w:val="00720A5D"/>
    <w:rsid w:val="00727010"/>
    <w:rsid w:val="00727365"/>
    <w:rsid w:val="00733377"/>
    <w:rsid w:val="007340D6"/>
    <w:rsid w:val="0073628A"/>
    <w:rsid w:val="00742AEF"/>
    <w:rsid w:val="00743270"/>
    <w:rsid w:val="00745BA3"/>
    <w:rsid w:val="00750E4C"/>
    <w:rsid w:val="007519AE"/>
    <w:rsid w:val="00756602"/>
    <w:rsid w:val="00760F5F"/>
    <w:rsid w:val="0076199D"/>
    <w:rsid w:val="00764296"/>
    <w:rsid w:val="00764D31"/>
    <w:rsid w:val="00764EB5"/>
    <w:rsid w:val="00777156"/>
    <w:rsid w:val="00784672"/>
    <w:rsid w:val="00791526"/>
    <w:rsid w:val="007A1C94"/>
    <w:rsid w:val="007A6BC7"/>
    <w:rsid w:val="007A6FC4"/>
    <w:rsid w:val="007B5A09"/>
    <w:rsid w:val="007C16E3"/>
    <w:rsid w:val="007C3059"/>
    <w:rsid w:val="007C7AF6"/>
    <w:rsid w:val="007D50AE"/>
    <w:rsid w:val="007D6415"/>
    <w:rsid w:val="007E0D14"/>
    <w:rsid w:val="007E3E8D"/>
    <w:rsid w:val="007E736D"/>
    <w:rsid w:val="007F0CF6"/>
    <w:rsid w:val="007F263F"/>
    <w:rsid w:val="007F734B"/>
    <w:rsid w:val="00811B2C"/>
    <w:rsid w:val="008175E5"/>
    <w:rsid w:val="00833E6F"/>
    <w:rsid w:val="00835B7B"/>
    <w:rsid w:val="0083681A"/>
    <w:rsid w:val="0083735C"/>
    <w:rsid w:val="00852DD7"/>
    <w:rsid w:val="00854B08"/>
    <w:rsid w:val="008559ED"/>
    <w:rsid w:val="008647DC"/>
    <w:rsid w:val="00866C80"/>
    <w:rsid w:val="00867558"/>
    <w:rsid w:val="00884038"/>
    <w:rsid w:val="00884547"/>
    <w:rsid w:val="00885098"/>
    <w:rsid w:val="008863EF"/>
    <w:rsid w:val="008909B8"/>
    <w:rsid w:val="00895B9C"/>
    <w:rsid w:val="00897074"/>
    <w:rsid w:val="00897DDB"/>
    <w:rsid w:val="008A31ED"/>
    <w:rsid w:val="008A32E9"/>
    <w:rsid w:val="008B3065"/>
    <w:rsid w:val="008C1036"/>
    <w:rsid w:val="008C733F"/>
    <w:rsid w:val="008D067A"/>
    <w:rsid w:val="008D16A2"/>
    <w:rsid w:val="008D3F5F"/>
    <w:rsid w:val="008D5727"/>
    <w:rsid w:val="008E4412"/>
    <w:rsid w:val="008E551C"/>
    <w:rsid w:val="008F18D5"/>
    <w:rsid w:val="008F3643"/>
    <w:rsid w:val="008F3C57"/>
    <w:rsid w:val="008F63C8"/>
    <w:rsid w:val="00902359"/>
    <w:rsid w:val="00906101"/>
    <w:rsid w:val="00910A6C"/>
    <w:rsid w:val="00913DF2"/>
    <w:rsid w:val="009160D9"/>
    <w:rsid w:val="009307D2"/>
    <w:rsid w:val="00931E6E"/>
    <w:rsid w:val="0093650E"/>
    <w:rsid w:val="009378A9"/>
    <w:rsid w:val="00945C16"/>
    <w:rsid w:val="0095396F"/>
    <w:rsid w:val="009715F5"/>
    <w:rsid w:val="00972528"/>
    <w:rsid w:val="00973536"/>
    <w:rsid w:val="00976345"/>
    <w:rsid w:val="009764F3"/>
    <w:rsid w:val="00985AF1"/>
    <w:rsid w:val="00987C76"/>
    <w:rsid w:val="009921CB"/>
    <w:rsid w:val="00995998"/>
    <w:rsid w:val="009A1A51"/>
    <w:rsid w:val="009A1D81"/>
    <w:rsid w:val="009A2E6C"/>
    <w:rsid w:val="009A58FD"/>
    <w:rsid w:val="009A683B"/>
    <w:rsid w:val="009B3652"/>
    <w:rsid w:val="009B64FD"/>
    <w:rsid w:val="009B6E53"/>
    <w:rsid w:val="009C45EA"/>
    <w:rsid w:val="009C506A"/>
    <w:rsid w:val="009C7472"/>
    <w:rsid w:val="009D0173"/>
    <w:rsid w:val="009D1252"/>
    <w:rsid w:val="009D5619"/>
    <w:rsid w:val="009E184C"/>
    <w:rsid w:val="009E3C92"/>
    <w:rsid w:val="009E7A4A"/>
    <w:rsid w:val="009F0151"/>
    <w:rsid w:val="009F28C2"/>
    <w:rsid w:val="009F55F4"/>
    <w:rsid w:val="009F6D8D"/>
    <w:rsid w:val="009F74EE"/>
    <w:rsid w:val="009F7987"/>
    <w:rsid w:val="00A01184"/>
    <w:rsid w:val="00A05968"/>
    <w:rsid w:val="00A1007A"/>
    <w:rsid w:val="00A1145E"/>
    <w:rsid w:val="00A146E3"/>
    <w:rsid w:val="00A16450"/>
    <w:rsid w:val="00A1673A"/>
    <w:rsid w:val="00A168B6"/>
    <w:rsid w:val="00A17286"/>
    <w:rsid w:val="00A23335"/>
    <w:rsid w:val="00A24E9B"/>
    <w:rsid w:val="00A25986"/>
    <w:rsid w:val="00A30FD8"/>
    <w:rsid w:val="00A33885"/>
    <w:rsid w:val="00A37814"/>
    <w:rsid w:val="00A425AC"/>
    <w:rsid w:val="00A45E4C"/>
    <w:rsid w:val="00A521CD"/>
    <w:rsid w:val="00A5748C"/>
    <w:rsid w:val="00A57F76"/>
    <w:rsid w:val="00A60852"/>
    <w:rsid w:val="00A615CC"/>
    <w:rsid w:val="00A641C2"/>
    <w:rsid w:val="00A67DD3"/>
    <w:rsid w:val="00A709B5"/>
    <w:rsid w:val="00A77A0B"/>
    <w:rsid w:val="00A825C3"/>
    <w:rsid w:val="00A83CD6"/>
    <w:rsid w:val="00A86B2E"/>
    <w:rsid w:val="00A87460"/>
    <w:rsid w:val="00A909AA"/>
    <w:rsid w:val="00AA1325"/>
    <w:rsid w:val="00AA774D"/>
    <w:rsid w:val="00AB0299"/>
    <w:rsid w:val="00AB3FF8"/>
    <w:rsid w:val="00AB78F7"/>
    <w:rsid w:val="00AC0086"/>
    <w:rsid w:val="00AE2E12"/>
    <w:rsid w:val="00AF1DA9"/>
    <w:rsid w:val="00AF3B95"/>
    <w:rsid w:val="00AF4234"/>
    <w:rsid w:val="00B00BE2"/>
    <w:rsid w:val="00B03EF1"/>
    <w:rsid w:val="00B059F5"/>
    <w:rsid w:val="00B05F71"/>
    <w:rsid w:val="00B06667"/>
    <w:rsid w:val="00B12092"/>
    <w:rsid w:val="00B150A4"/>
    <w:rsid w:val="00B205AC"/>
    <w:rsid w:val="00B213AF"/>
    <w:rsid w:val="00B22A6D"/>
    <w:rsid w:val="00B23030"/>
    <w:rsid w:val="00B26377"/>
    <w:rsid w:val="00B3126E"/>
    <w:rsid w:val="00B345D2"/>
    <w:rsid w:val="00B36387"/>
    <w:rsid w:val="00B377AB"/>
    <w:rsid w:val="00B407E5"/>
    <w:rsid w:val="00B41D9E"/>
    <w:rsid w:val="00B47C9B"/>
    <w:rsid w:val="00B57103"/>
    <w:rsid w:val="00B606F3"/>
    <w:rsid w:val="00B62F29"/>
    <w:rsid w:val="00B72085"/>
    <w:rsid w:val="00B76A5E"/>
    <w:rsid w:val="00B83549"/>
    <w:rsid w:val="00B9607F"/>
    <w:rsid w:val="00BA0208"/>
    <w:rsid w:val="00BA7D48"/>
    <w:rsid w:val="00BB23BD"/>
    <w:rsid w:val="00BB2B3A"/>
    <w:rsid w:val="00BB6072"/>
    <w:rsid w:val="00BD2573"/>
    <w:rsid w:val="00BD35A2"/>
    <w:rsid w:val="00BD4759"/>
    <w:rsid w:val="00BD59DC"/>
    <w:rsid w:val="00BD6F4B"/>
    <w:rsid w:val="00BD7716"/>
    <w:rsid w:val="00BE2DFC"/>
    <w:rsid w:val="00BE4F4F"/>
    <w:rsid w:val="00BE69DE"/>
    <w:rsid w:val="00BE6CFF"/>
    <w:rsid w:val="00BF3C86"/>
    <w:rsid w:val="00BF483E"/>
    <w:rsid w:val="00BF5F0C"/>
    <w:rsid w:val="00C01D47"/>
    <w:rsid w:val="00C10C88"/>
    <w:rsid w:val="00C11D0C"/>
    <w:rsid w:val="00C16D31"/>
    <w:rsid w:val="00C25327"/>
    <w:rsid w:val="00C36C0A"/>
    <w:rsid w:val="00C41609"/>
    <w:rsid w:val="00C43061"/>
    <w:rsid w:val="00C47D06"/>
    <w:rsid w:val="00C519A0"/>
    <w:rsid w:val="00C5398D"/>
    <w:rsid w:val="00C54655"/>
    <w:rsid w:val="00C55EEC"/>
    <w:rsid w:val="00C64E99"/>
    <w:rsid w:val="00C657D5"/>
    <w:rsid w:val="00C734E2"/>
    <w:rsid w:val="00C760D4"/>
    <w:rsid w:val="00C77FEA"/>
    <w:rsid w:val="00C83394"/>
    <w:rsid w:val="00C835F2"/>
    <w:rsid w:val="00C8744B"/>
    <w:rsid w:val="00C906DF"/>
    <w:rsid w:val="00C91613"/>
    <w:rsid w:val="00C958C3"/>
    <w:rsid w:val="00CA15E7"/>
    <w:rsid w:val="00CA25B6"/>
    <w:rsid w:val="00CA3CB8"/>
    <w:rsid w:val="00CA7A53"/>
    <w:rsid w:val="00CC2A8E"/>
    <w:rsid w:val="00CC2D1B"/>
    <w:rsid w:val="00CC45A8"/>
    <w:rsid w:val="00CC7EAB"/>
    <w:rsid w:val="00CD00E9"/>
    <w:rsid w:val="00CD6DE3"/>
    <w:rsid w:val="00CD7EBF"/>
    <w:rsid w:val="00CE6CFB"/>
    <w:rsid w:val="00CF6A25"/>
    <w:rsid w:val="00D02DB2"/>
    <w:rsid w:val="00D0607C"/>
    <w:rsid w:val="00D107CF"/>
    <w:rsid w:val="00D13875"/>
    <w:rsid w:val="00D15B19"/>
    <w:rsid w:val="00D21B6A"/>
    <w:rsid w:val="00D21C9A"/>
    <w:rsid w:val="00D23604"/>
    <w:rsid w:val="00D31097"/>
    <w:rsid w:val="00D31DE5"/>
    <w:rsid w:val="00D33A51"/>
    <w:rsid w:val="00D35851"/>
    <w:rsid w:val="00D407DF"/>
    <w:rsid w:val="00D46E7F"/>
    <w:rsid w:val="00D5444A"/>
    <w:rsid w:val="00D574CF"/>
    <w:rsid w:val="00D579A9"/>
    <w:rsid w:val="00D60CF0"/>
    <w:rsid w:val="00D6643A"/>
    <w:rsid w:val="00D70345"/>
    <w:rsid w:val="00D76D5C"/>
    <w:rsid w:val="00D7761D"/>
    <w:rsid w:val="00D86204"/>
    <w:rsid w:val="00D90C37"/>
    <w:rsid w:val="00DA09D4"/>
    <w:rsid w:val="00DA6ABD"/>
    <w:rsid w:val="00DA7098"/>
    <w:rsid w:val="00DA7470"/>
    <w:rsid w:val="00DB12CA"/>
    <w:rsid w:val="00DB2BCA"/>
    <w:rsid w:val="00DB3C9A"/>
    <w:rsid w:val="00DB58CA"/>
    <w:rsid w:val="00DB5BE6"/>
    <w:rsid w:val="00DB712D"/>
    <w:rsid w:val="00DC0F21"/>
    <w:rsid w:val="00DC2236"/>
    <w:rsid w:val="00DC463B"/>
    <w:rsid w:val="00DC5054"/>
    <w:rsid w:val="00DC5AB7"/>
    <w:rsid w:val="00DC5B9C"/>
    <w:rsid w:val="00DD0F25"/>
    <w:rsid w:val="00DD62AC"/>
    <w:rsid w:val="00DD7BE2"/>
    <w:rsid w:val="00DE4105"/>
    <w:rsid w:val="00DE575A"/>
    <w:rsid w:val="00DE5CC1"/>
    <w:rsid w:val="00DE7199"/>
    <w:rsid w:val="00DE736B"/>
    <w:rsid w:val="00DF0E2E"/>
    <w:rsid w:val="00DF297C"/>
    <w:rsid w:val="00DF6963"/>
    <w:rsid w:val="00E02A4B"/>
    <w:rsid w:val="00E04555"/>
    <w:rsid w:val="00E06381"/>
    <w:rsid w:val="00E06B32"/>
    <w:rsid w:val="00E07E7A"/>
    <w:rsid w:val="00E20760"/>
    <w:rsid w:val="00E25002"/>
    <w:rsid w:val="00E266E3"/>
    <w:rsid w:val="00E31A41"/>
    <w:rsid w:val="00E32833"/>
    <w:rsid w:val="00E5038C"/>
    <w:rsid w:val="00E51B33"/>
    <w:rsid w:val="00E57A57"/>
    <w:rsid w:val="00E62BF6"/>
    <w:rsid w:val="00E67EBB"/>
    <w:rsid w:val="00E71127"/>
    <w:rsid w:val="00E71E7D"/>
    <w:rsid w:val="00E80EF7"/>
    <w:rsid w:val="00E83E73"/>
    <w:rsid w:val="00E9021D"/>
    <w:rsid w:val="00E906ED"/>
    <w:rsid w:val="00E90D55"/>
    <w:rsid w:val="00E9151B"/>
    <w:rsid w:val="00E92E35"/>
    <w:rsid w:val="00E93400"/>
    <w:rsid w:val="00E96362"/>
    <w:rsid w:val="00EA6E68"/>
    <w:rsid w:val="00EB5859"/>
    <w:rsid w:val="00EC0B2D"/>
    <w:rsid w:val="00EC1B6E"/>
    <w:rsid w:val="00EC4ED7"/>
    <w:rsid w:val="00EC5362"/>
    <w:rsid w:val="00ED2E5F"/>
    <w:rsid w:val="00ED3B9E"/>
    <w:rsid w:val="00ED6AC5"/>
    <w:rsid w:val="00EE2CB2"/>
    <w:rsid w:val="00EE4357"/>
    <w:rsid w:val="00EE552E"/>
    <w:rsid w:val="00F12710"/>
    <w:rsid w:val="00F204FE"/>
    <w:rsid w:val="00F2199E"/>
    <w:rsid w:val="00F219CF"/>
    <w:rsid w:val="00F21FFD"/>
    <w:rsid w:val="00F23419"/>
    <w:rsid w:val="00F264F0"/>
    <w:rsid w:val="00F307C9"/>
    <w:rsid w:val="00F33C4B"/>
    <w:rsid w:val="00F370D8"/>
    <w:rsid w:val="00F43246"/>
    <w:rsid w:val="00F43693"/>
    <w:rsid w:val="00F51973"/>
    <w:rsid w:val="00F52300"/>
    <w:rsid w:val="00F523D2"/>
    <w:rsid w:val="00F53DD4"/>
    <w:rsid w:val="00F54702"/>
    <w:rsid w:val="00F552D6"/>
    <w:rsid w:val="00F669FB"/>
    <w:rsid w:val="00F81040"/>
    <w:rsid w:val="00F82A37"/>
    <w:rsid w:val="00F82C0E"/>
    <w:rsid w:val="00F84B9B"/>
    <w:rsid w:val="00F8578D"/>
    <w:rsid w:val="00F8678C"/>
    <w:rsid w:val="00F905EC"/>
    <w:rsid w:val="00F90868"/>
    <w:rsid w:val="00F9203A"/>
    <w:rsid w:val="00F92931"/>
    <w:rsid w:val="00F93236"/>
    <w:rsid w:val="00FA1A6E"/>
    <w:rsid w:val="00FA6C43"/>
    <w:rsid w:val="00FB0318"/>
    <w:rsid w:val="00FB19C1"/>
    <w:rsid w:val="00FB425E"/>
    <w:rsid w:val="00FB5DB2"/>
    <w:rsid w:val="00FC1322"/>
    <w:rsid w:val="00FE230E"/>
    <w:rsid w:val="00FF1AFA"/>
    <w:rsid w:val="00FF4D2B"/>
    <w:rsid w:val="013C7617"/>
    <w:rsid w:val="018363FF"/>
    <w:rsid w:val="01C43311"/>
    <w:rsid w:val="025A34EF"/>
    <w:rsid w:val="031C69F7"/>
    <w:rsid w:val="0360013E"/>
    <w:rsid w:val="05990952"/>
    <w:rsid w:val="0641712D"/>
    <w:rsid w:val="06B6300F"/>
    <w:rsid w:val="06DE46EF"/>
    <w:rsid w:val="082C5522"/>
    <w:rsid w:val="0844526D"/>
    <w:rsid w:val="0A923431"/>
    <w:rsid w:val="0ABE11CF"/>
    <w:rsid w:val="0ACE6829"/>
    <w:rsid w:val="0B1F7084"/>
    <w:rsid w:val="0BA70C53"/>
    <w:rsid w:val="0C085D6A"/>
    <w:rsid w:val="0CB45081"/>
    <w:rsid w:val="0D0C2ED4"/>
    <w:rsid w:val="0D116EA1"/>
    <w:rsid w:val="0D123874"/>
    <w:rsid w:val="0EFB4202"/>
    <w:rsid w:val="1009199B"/>
    <w:rsid w:val="10DB4913"/>
    <w:rsid w:val="127B520B"/>
    <w:rsid w:val="143C4803"/>
    <w:rsid w:val="14FE41AE"/>
    <w:rsid w:val="151267AE"/>
    <w:rsid w:val="15187937"/>
    <w:rsid w:val="15373172"/>
    <w:rsid w:val="163F74D7"/>
    <w:rsid w:val="183C0DD2"/>
    <w:rsid w:val="1890390E"/>
    <w:rsid w:val="19571682"/>
    <w:rsid w:val="19906341"/>
    <w:rsid w:val="19B1359D"/>
    <w:rsid w:val="1A291B97"/>
    <w:rsid w:val="1B264F23"/>
    <w:rsid w:val="1BE3383D"/>
    <w:rsid w:val="1C2642B3"/>
    <w:rsid w:val="1E934495"/>
    <w:rsid w:val="20612771"/>
    <w:rsid w:val="21BE719F"/>
    <w:rsid w:val="22F17100"/>
    <w:rsid w:val="247955FF"/>
    <w:rsid w:val="24BE3012"/>
    <w:rsid w:val="24D252FD"/>
    <w:rsid w:val="25FE4FAB"/>
    <w:rsid w:val="267442D0"/>
    <w:rsid w:val="26966E1D"/>
    <w:rsid w:val="26A5092E"/>
    <w:rsid w:val="271635D9"/>
    <w:rsid w:val="28081174"/>
    <w:rsid w:val="284D1ED5"/>
    <w:rsid w:val="298C373E"/>
    <w:rsid w:val="29C63CBA"/>
    <w:rsid w:val="2A482069"/>
    <w:rsid w:val="2B107731"/>
    <w:rsid w:val="2B492511"/>
    <w:rsid w:val="2BA76479"/>
    <w:rsid w:val="2BC13422"/>
    <w:rsid w:val="2C1F7C04"/>
    <w:rsid w:val="2D785C17"/>
    <w:rsid w:val="2D9659B0"/>
    <w:rsid w:val="2DA240F3"/>
    <w:rsid w:val="2E022D46"/>
    <w:rsid w:val="2E5F13C2"/>
    <w:rsid w:val="2E6D0438"/>
    <w:rsid w:val="2F9477B2"/>
    <w:rsid w:val="2FD162F0"/>
    <w:rsid w:val="30D977CB"/>
    <w:rsid w:val="33661445"/>
    <w:rsid w:val="33CF6FEA"/>
    <w:rsid w:val="35A80C4C"/>
    <w:rsid w:val="35FC6731"/>
    <w:rsid w:val="36511023"/>
    <w:rsid w:val="36F81194"/>
    <w:rsid w:val="372E22A3"/>
    <w:rsid w:val="386F13AC"/>
    <w:rsid w:val="38A20478"/>
    <w:rsid w:val="3986639D"/>
    <w:rsid w:val="3ADB44C6"/>
    <w:rsid w:val="3B4C4B41"/>
    <w:rsid w:val="3C243C4B"/>
    <w:rsid w:val="3DBD3298"/>
    <w:rsid w:val="3DBF201D"/>
    <w:rsid w:val="3E083450"/>
    <w:rsid w:val="3F1E7DD5"/>
    <w:rsid w:val="40215E8C"/>
    <w:rsid w:val="40393972"/>
    <w:rsid w:val="412D70FE"/>
    <w:rsid w:val="41DD7971"/>
    <w:rsid w:val="422E312E"/>
    <w:rsid w:val="4252628C"/>
    <w:rsid w:val="43A22025"/>
    <w:rsid w:val="43AA0DEB"/>
    <w:rsid w:val="441870ED"/>
    <w:rsid w:val="44586B88"/>
    <w:rsid w:val="44D07C58"/>
    <w:rsid w:val="45196317"/>
    <w:rsid w:val="45A2455E"/>
    <w:rsid w:val="478F28C0"/>
    <w:rsid w:val="47F60B91"/>
    <w:rsid w:val="48297819"/>
    <w:rsid w:val="49977FBB"/>
    <w:rsid w:val="49CD5922"/>
    <w:rsid w:val="4AB66903"/>
    <w:rsid w:val="4B425E9C"/>
    <w:rsid w:val="4B726781"/>
    <w:rsid w:val="4BEF7DD1"/>
    <w:rsid w:val="4CBC3CCA"/>
    <w:rsid w:val="4CC620C2"/>
    <w:rsid w:val="4CD21F4C"/>
    <w:rsid w:val="4D313178"/>
    <w:rsid w:val="4D84736B"/>
    <w:rsid w:val="4E6F51FA"/>
    <w:rsid w:val="4EC72940"/>
    <w:rsid w:val="4FF5172F"/>
    <w:rsid w:val="510562D8"/>
    <w:rsid w:val="517E5997"/>
    <w:rsid w:val="52F07F1E"/>
    <w:rsid w:val="52FC4B82"/>
    <w:rsid w:val="5311478A"/>
    <w:rsid w:val="534A3FB3"/>
    <w:rsid w:val="53C03E02"/>
    <w:rsid w:val="53E960D4"/>
    <w:rsid w:val="5409620A"/>
    <w:rsid w:val="544F3B03"/>
    <w:rsid w:val="54A4596D"/>
    <w:rsid w:val="55760986"/>
    <w:rsid w:val="559B1D1B"/>
    <w:rsid w:val="55F83D27"/>
    <w:rsid w:val="582E2CD1"/>
    <w:rsid w:val="587A7E63"/>
    <w:rsid w:val="58E56176"/>
    <w:rsid w:val="59146DE0"/>
    <w:rsid w:val="593254E5"/>
    <w:rsid w:val="59895229"/>
    <w:rsid w:val="59B368E2"/>
    <w:rsid w:val="5AF0321E"/>
    <w:rsid w:val="5B1E26CF"/>
    <w:rsid w:val="5BA26C0E"/>
    <w:rsid w:val="5C090A3C"/>
    <w:rsid w:val="5D8D603B"/>
    <w:rsid w:val="5EDF8271"/>
    <w:rsid w:val="5F5C0E82"/>
    <w:rsid w:val="5FA626FC"/>
    <w:rsid w:val="60953AC2"/>
    <w:rsid w:val="614C40A6"/>
    <w:rsid w:val="617E3191"/>
    <w:rsid w:val="618D7A19"/>
    <w:rsid w:val="641926EC"/>
    <w:rsid w:val="645962D8"/>
    <w:rsid w:val="64900E0A"/>
    <w:rsid w:val="6558791B"/>
    <w:rsid w:val="66E26ECE"/>
    <w:rsid w:val="671EABC6"/>
    <w:rsid w:val="6729598A"/>
    <w:rsid w:val="67737C48"/>
    <w:rsid w:val="68E92010"/>
    <w:rsid w:val="690F3037"/>
    <w:rsid w:val="697F233D"/>
    <w:rsid w:val="699127A3"/>
    <w:rsid w:val="6C477870"/>
    <w:rsid w:val="6C9B6F91"/>
    <w:rsid w:val="6D163D3C"/>
    <w:rsid w:val="6D894D38"/>
    <w:rsid w:val="6EE01511"/>
    <w:rsid w:val="6F917C18"/>
    <w:rsid w:val="71FA43FA"/>
    <w:rsid w:val="77000835"/>
    <w:rsid w:val="775D2872"/>
    <w:rsid w:val="781C7039"/>
    <w:rsid w:val="78D077FC"/>
    <w:rsid w:val="79142376"/>
    <w:rsid w:val="793A34EB"/>
    <w:rsid w:val="79AA388F"/>
    <w:rsid w:val="79F91C98"/>
    <w:rsid w:val="7A3812D1"/>
    <w:rsid w:val="7A3B1DDD"/>
    <w:rsid w:val="7AE446F6"/>
    <w:rsid w:val="7C8E4220"/>
    <w:rsid w:val="7CF16A9C"/>
    <w:rsid w:val="7D5A3A32"/>
    <w:rsid w:val="7DAC7021"/>
    <w:rsid w:val="7DF12C86"/>
    <w:rsid w:val="7E9E4BBC"/>
    <w:rsid w:val="7F021902"/>
    <w:rsid w:val="7F0A5983"/>
    <w:rsid w:val="7F3FBE5F"/>
    <w:rsid w:val="E1FF5BE8"/>
    <w:rsid w:val="FE447F9B"/>
    <w:rsid w:val="FFAF2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25" w:afterLines="25"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30"/>
    <w:qFormat/>
    <w:uiPriority w:val="0"/>
    <w:pPr>
      <w:keepNext/>
      <w:keepLines/>
      <w:spacing w:beforeLines="50" w:afterLines="50"/>
      <w:ind w:firstLine="0" w:firstLineChars="0"/>
      <w:outlineLvl w:val="0"/>
    </w:pPr>
    <w:rPr>
      <w:b/>
      <w:bCs/>
      <w:kern w:val="44"/>
      <w:sz w:val="44"/>
      <w:szCs w:val="44"/>
    </w:rPr>
  </w:style>
  <w:style w:type="paragraph" w:styleId="4">
    <w:name w:val="heading 2"/>
    <w:basedOn w:val="1"/>
    <w:next w:val="1"/>
    <w:link w:val="32"/>
    <w:unhideWhenUsed/>
    <w:qFormat/>
    <w:uiPriority w:val="0"/>
    <w:pPr>
      <w:keepNext/>
      <w:keepLines/>
      <w:numPr>
        <w:ilvl w:val="1"/>
        <w:numId w:val="1"/>
      </w:numPr>
      <w:spacing w:before="10" w:after="10"/>
      <w:ind w:left="575" w:firstLine="0" w:firstLineChars="0"/>
      <w:outlineLvl w:val="1"/>
    </w:pPr>
    <w:rPr>
      <w:rFonts w:ascii="Arial" w:hAnsi="Arial"/>
      <w:b/>
      <w:bCs/>
      <w:sz w:val="32"/>
      <w:szCs w:val="32"/>
    </w:rPr>
  </w:style>
  <w:style w:type="paragraph" w:styleId="5">
    <w:name w:val="heading 3"/>
    <w:basedOn w:val="1"/>
    <w:next w:val="1"/>
    <w:link w:val="31"/>
    <w:unhideWhenUsed/>
    <w:qFormat/>
    <w:uiPriority w:val="0"/>
    <w:pPr>
      <w:keepNext/>
      <w:keepLines/>
      <w:numPr>
        <w:ilvl w:val="2"/>
        <w:numId w:val="1"/>
      </w:numPr>
      <w:spacing w:beforeLines="50" w:afterLines="50"/>
      <w:ind w:firstLine="0" w:firstLineChars="0"/>
      <w:outlineLvl w:val="2"/>
    </w:pPr>
    <w:rPr>
      <w:b/>
      <w:bCs/>
      <w:sz w:val="28"/>
      <w:szCs w:val="32"/>
    </w:rPr>
  </w:style>
  <w:style w:type="paragraph" w:styleId="6">
    <w:name w:val="heading 4"/>
    <w:basedOn w:val="1"/>
    <w:next w:val="1"/>
    <w:link w:val="34"/>
    <w:unhideWhenUsed/>
    <w:qFormat/>
    <w:uiPriority w:val="9"/>
    <w:pPr>
      <w:keepNext/>
      <w:keepLines/>
      <w:numPr>
        <w:ilvl w:val="3"/>
        <w:numId w:val="1"/>
      </w:numPr>
      <w:tabs>
        <w:tab w:val="left" w:pos="1290"/>
      </w:tabs>
      <w:spacing w:beforeLines="50" w:afterLines="50"/>
      <w:ind w:firstLine="0" w:firstLineChars="0"/>
      <w:outlineLvl w:val="3"/>
    </w:pPr>
    <w:rPr>
      <w:rFonts w:ascii="Cambria" w:hAnsi="Cambria"/>
      <w:b/>
      <w:bCs/>
      <w:szCs w:val="28"/>
    </w:rPr>
  </w:style>
  <w:style w:type="paragraph" w:styleId="7">
    <w:name w:val="heading 5"/>
    <w:basedOn w:val="1"/>
    <w:next w:val="1"/>
    <w:link w:val="35"/>
    <w:unhideWhenUsed/>
    <w:qFormat/>
    <w:uiPriority w:val="9"/>
    <w:pPr>
      <w:keepNext/>
      <w:keepLines/>
      <w:snapToGrid w:val="0"/>
      <w:spacing w:beforeLines="50"/>
      <w:ind w:firstLine="0" w:firstLineChars="0"/>
      <w:jc w:val="left"/>
      <w:outlineLvl w:val="4"/>
    </w:pPr>
    <w:rPr>
      <w:b/>
      <w:bCs/>
      <w:szCs w:val="28"/>
    </w:rPr>
  </w:style>
  <w:style w:type="paragraph" w:styleId="8">
    <w:name w:val="heading 6"/>
    <w:basedOn w:val="1"/>
    <w:next w:val="1"/>
    <w:link w:val="33"/>
    <w:unhideWhenUsed/>
    <w:qFormat/>
    <w:uiPriority w:val="9"/>
    <w:pPr>
      <w:keepNext/>
      <w:keepLines/>
      <w:numPr>
        <w:ilvl w:val="5"/>
        <w:numId w:val="1"/>
      </w:numPr>
      <w:spacing w:beforeLines="50" w:afterLines="50"/>
      <w:ind w:firstLine="0" w:firstLineChars="0"/>
      <w:outlineLvl w:val="5"/>
    </w:pPr>
    <w:rPr>
      <w:rFonts w:ascii="Cambria" w:hAnsi="Cambria"/>
      <w:b/>
      <w:bCs/>
      <w:szCs w:val="24"/>
    </w:rPr>
  </w:style>
  <w:style w:type="paragraph" w:styleId="9">
    <w:name w:val="heading 7"/>
    <w:basedOn w:val="1"/>
    <w:next w:val="10"/>
    <w:link w:val="36"/>
    <w:unhideWhenUsed/>
    <w:qFormat/>
    <w:uiPriority w:val="0"/>
    <w:pPr>
      <w:keepNext/>
      <w:keepLines/>
      <w:numPr>
        <w:ilvl w:val="6"/>
        <w:numId w:val="1"/>
      </w:numPr>
      <w:spacing w:beforeLines="50" w:afterLines="50"/>
      <w:ind w:firstLine="0" w:firstLineChars="0"/>
      <w:outlineLvl w:val="6"/>
    </w:pPr>
    <w:rPr>
      <w:b/>
      <w:szCs w:val="20"/>
    </w:rPr>
  </w:style>
  <w:style w:type="paragraph" w:styleId="11">
    <w:name w:val="heading 8"/>
    <w:basedOn w:val="1"/>
    <w:next w:val="10"/>
    <w:link w:val="37"/>
    <w:unhideWhenUsed/>
    <w:qFormat/>
    <w:uiPriority w:val="9"/>
    <w:pPr>
      <w:keepNext/>
      <w:keepLines/>
      <w:numPr>
        <w:ilvl w:val="7"/>
        <w:numId w:val="1"/>
      </w:numPr>
      <w:spacing w:before="10" w:after="10"/>
      <w:ind w:left="0" w:firstLine="0" w:firstLineChars="0"/>
      <w:outlineLvl w:val="7"/>
    </w:pPr>
    <w:rPr>
      <w:rFonts w:ascii="Arial" w:hAnsi="Arial"/>
      <w:szCs w:val="20"/>
    </w:rPr>
  </w:style>
  <w:style w:type="paragraph" w:styleId="12">
    <w:name w:val="heading 9"/>
    <w:basedOn w:val="1"/>
    <w:next w:val="10"/>
    <w:link w:val="38"/>
    <w:unhideWhenUsed/>
    <w:qFormat/>
    <w:uiPriority w:val="9"/>
    <w:pPr>
      <w:keepNext/>
      <w:keepLines/>
      <w:numPr>
        <w:ilvl w:val="8"/>
        <w:numId w:val="1"/>
      </w:numPr>
      <w:tabs>
        <w:tab w:val="left" w:pos="7228"/>
      </w:tabs>
      <w:spacing w:before="10" w:after="10"/>
      <w:ind w:firstLine="0" w:firstLineChars="0"/>
      <w:outlineLvl w:val="8"/>
    </w:pPr>
    <w:rPr>
      <w:rFonts w:ascii="Arial" w:hAnsi="Arial"/>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pPr>
      <w:spacing w:afterLines="0"/>
    </w:pPr>
  </w:style>
  <w:style w:type="paragraph" w:styleId="10">
    <w:name w:val="Normal Indent"/>
    <w:basedOn w:val="1"/>
    <w:link w:val="114"/>
    <w:qFormat/>
    <w:uiPriority w:val="0"/>
    <w:pPr>
      <w:ind w:firstLine="420"/>
    </w:pPr>
  </w:style>
  <w:style w:type="paragraph" w:styleId="13">
    <w:name w:val="annotation text"/>
    <w:basedOn w:val="1"/>
    <w:link w:val="49"/>
    <w:unhideWhenUsed/>
    <w:qFormat/>
    <w:uiPriority w:val="0"/>
    <w:pPr>
      <w:jc w:val="left"/>
    </w:pPr>
  </w:style>
  <w:style w:type="paragraph" w:styleId="14">
    <w:name w:val="toc 3"/>
    <w:basedOn w:val="1"/>
    <w:next w:val="1"/>
    <w:unhideWhenUsed/>
    <w:qFormat/>
    <w:uiPriority w:val="39"/>
    <w:pPr>
      <w:ind w:left="840" w:leftChars="400"/>
    </w:pPr>
  </w:style>
  <w:style w:type="paragraph" w:styleId="15">
    <w:name w:val="Plain Text"/>
    <w:basedOn w:val="1"/>
    <w:link w:val="105"/>
    <w:qFormat/>
    <w:uiPriority w:val="0"/>
    <w:rPr>
      <w:rFonts w:ascii="宋体" w:hAnsi="Courier New"/>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3"/>
    <w:qFormat/>
    <w:uiPriority w:val="0"/>
    <w:pPr>
      <w:spacing w:line="240" w:lineRule="auto"/>
    </w:pPr>
    <w:rPr>
      <w:sz w:val="18"/>
      <w:szCs w:val="18"/>
    </w:rPr>
  </w:style>
  <w:style w:type="paragraph" w:styleId="18">
    <w:name w:val="footer"/>
    <w:basedOn w:val="1"/>
    <w:link w:val="101"/>
    <w:qFormat/>
    <w:uiPriority w:val="0"/>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1680"/>
        <w:tab w:val="right" w:leader="dot" w:pos="8296"/>
      </w:tabs>
      <w:spacing w:before="81" w:after="81"/>
      <w:ind w:firstLine="480"/>
    </w:p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0"/>
    <w:pPr>
      <w:widowControl/>
      <w:spacing w:beforeLines="0" w:beforeAutospacing="1" w:afterLines="0" w:afterAutospacing="1"/>
      <w:jc w:val="left"/>
    </w:pPr>
    <w:rPr>
      <w:rFonts w:ascii="宋体" w:hAnsi="宋体"/>
      <w:kern w:val="0"/>
      <w:szCs w:val="24"/>
    </w:rPr>
  </w:style>
  <w:style w:type="paragraph" w:styleId="23">
    <w:name w:val="annotation subject"/>
    <w:basedOn w:val="13"/>
    <w:next w:val="13"/>
    <w:link w:val="50"/>
    <w:semiHidden/>
    <w:unhideWhenUsed/>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unhideWhenUsed/>
    <w:qFormat/>
    <w:uiPriority w:val="99"/>
    <w:rPr>
      <w:color w:val="954F72"/>
      <w:u w:val="single"/>
    </w:rPr>
  </w:style>
  <w:style w:type="character" w:styleId="28">
    <w:name w:val="Hyperlink"/>
    <w:basedOn w:val="26"/>
    <w:unhideWhenUsed/>
    <w:qFormat/>
    <w:uiPriority w:val="99"/>
    <w:rPr>
      <w:color w:val="0563C1" w:themeColor="hyperlink"/>
      <w:u w:val="single"/>
    </w:rPr>
  </w:style>
  <w:style w:type="character" w:styleId="29">
    <w:name w:val="annotation reference"/>
    <w:basedOn w:val="26"/>
    <w:qFormat/>
    <w:uiPriority w:val="0"/>
    <w:rPr>
      <w:sz w:val="21"/>
      <w:szCs w:val="21"/>
    </w:rPr>
  </w:style>
  <w:style w:type="character" w:customStyle="1" w:styleId="30">
    <w:name w:val="标题 1 Char"/>
    <w:basedOn w:val="26"/>
    <w:link w:val="3"/>
    <w:qFormat/>
    <w:uiPriority w:val="0"/>
    <w:rPr>
      <w:rFonts w:ascii="Calibri" w:hAnsi="Calibri" w:eastAsia="宋体" w:cs="Times New Roman"/>
      <w:b/>
      <w:bCs/>
      <w:kern w:val="44"/>
      <w:sz w:val="44"/>
      <w:szCs w:val="44"/>
    </w:rPr>
  </w:style>
  <w:style w:type="character" w:customStyle="1" w:styleId="31">
    <w:name w:val="标题 3 Char"/>
    <w:link w:val="5"/>
    <w:qFormat/>
    <w:uiPriority w:val="0"/>
    <w:rPr>
      <w:b/>
      <w:bCs/>
      <w:kern w:val="2"/>
      <w:sz w:val="28"/>
      <w:szCs w:val="32"/>
    </w:rPr>
  </w:style>
  <w:style w:type="character" w:customStyle="1" w:styleId="32">
    <w:name w:val="标题 2 Char"/>
    <w:link w:val="4"/>
    <w:qFormat/>
    <w:uiPriority w:val="0"/>
    <w:rPr>
      <w:rFonts w:ascii="Arial" w:hAnsi="Arial"/>
      <w:b/>
      <w:bCs/>
      <w:kern w:val="2"/>
      <w:sz w:val="32"/>
      <w:szCs w:val="32"/>
    </w:rPr>
  </w:style>
  <w:style w:type="character" w:customStyle="1" w:styleId="33">
    <w:name w:val="标题 6 Char"/>
    <w:basedOn w:val="26"/>
    <w:link w:val="8"/>
    <w:qFormat/>
    <w:uiPriority w:val="9"/>
    <w:rPr>
      <w:rFonts w:ascii="Cambria" w:hAnsi="Cambria"/>
      <w:b/>
      <w:bCs/>
      <w:kern w:val="2"/>
      <w:sz w:val="24"/>
      <w:szCs w:val="24"/>
    </w:rPr>
  </w:style>
  <w:style w:type="character" w:customStyle="1" w:styleId="34">
    <w:name w:val="标题 4 Char"/>
    <w:basedOn w:val="26"/>
    <w:link w:val="6"/>
    <w:qFormat/>
    <w:uiPriority w:val="9"/>
    <w:rPr>
      <w:rFonts w:ascii="Cambria" w:hAnsi="Cambria"/>
      <w:b/>
      <w:bCs/>
      <w:kern w:val="2"/>
      <w:sz w:val="24"/>
      <w:szCs w:val="28"/>
    </w:rPr>
  </w:style>
  <w:style w:type="character" w:customStyle="1" w:styleId="35">
    <w:name w:val="标题 5 Char"/>
    <w:basedOn w:val="26"/>
    <w:link w:val="7"/>
    <w:qFormat/>
    <w:uiPriority w:val="0"/>
    <w:rPr>
      <w:rFonts w:ascii="Times New Roman" w:hAnsi="Times New Roman" w:eastAsia="宋体" w:cs="Times New Roman"/>
      <w:b/>
      <w:bCs/>
      <w:sz w:val="24"/>
      <w:szCs w:val="28"/>
    </w:rPr>
  </w:style>
  <w:style w:type="character" w:customStyle="1" w:styleId="36">
    <w:name w:val="标题 7 Char"/>
    <w:basedOn w:val="26"/>
    <w:link w:val="9"/>
    <w:qFormat/>
    <w:uiPriority w:val="0"/>
    <w:rPr>
      <w:b/>
      <w:kern w:val="2"/>
      <w:sz w:val="24"/>
    </w:rPr>
  </w:style>
  <w:style w:type="character" w:customStyle="1" w:styleId="37">
    <w:name w:val="标题 8 Char"/>
    <w:basedOn w:val="26"/>
    <w:link w:val="11"/>
    <w:qFormat/>
    <w:uiPriority w:val="9"/>
    <w:rPr>
      <w:rFonts w:ascii="Arial" w:hAnsi="Arial"/>
      <w:kern w:val="2"/>
      <w:sz w:val="24"/>
    </w:rPr>
  </w:style>
  <w:style w:type="character" w:customStyle="1" w:styleId="38">
    <w:name w:val="标题 9 Char"/>
    <w:basedOn w:val="26"/>
    <w:link w:val="12"/>
    <w:qFormat/>
    <w:uiPriority w:val="9"/>
    <w:rPr>
      <w:rFonts w:ascii="Arial" w:hAnsi="Arial"/>
      <w:kern w:val="2"/>
      <w:sz w:val="24"/>
    </w:rPr>
  </w:style>
  <w:style w:type="paragraph" w:customStyle="1" w:styleId="39">
    <w:name w:val="_正文段落"/>
    <w:basedOn w:val="15"/>
    <w:link w:val="40"/>
    <w:qFormat/>
    <w:uiPriority w:val="0"/>
    <w:pPr>
      <w:spacing w:beforeLines="15" w:afterLines="30"/>
      <w:jc w:val="left"/>
    </w:pPr>
    <w:rPr>
      <w:rFonts w:hAnsi="宋体"/>
      <w:szCs w:val="20"/>
    </w:rPr>
  </w:style>
  <w:style w:type="character" w:customStyle="1" w:styleId="40">
    <w:name w:val="_正文段落 Char"/>
    <w:basedOn w:val="26"/>
    <w:link w:val="39"/>
    <w:qFormat/>
    <w:uiPriority w:val="0"/>
    <w:rPr>
      <w:rFonts w:ascii="宋体" w:hAnsi="宋体" w:eastAsia="宋体" w:cs="Times New Roman"/>
      <w:sz w:val="24"/>
      <w:szCs w:val="20"/>
    </w:rPr>
  </w:style>
  <w:style w:type="paragraph" w:customStyle="1" w:styleId="41">
    <w:name w:val="列出段落1"/>
    <w:basedOn w:val="1"/>
    <w:qFormat/>
    <w:uiPriority w:val="34"/>
    <w:pPr>
      <w:ind w:firstLine="420"/>
    </w:pPr>
    <w:rPr>
      <w:rFonts w:ascii="Calibri" w:hAnsi="Calibri"/>
      <w:szCs w:val="21"/>
    </w:rPr>
  </w:style>
  <w:style w:type="paragraph" w:styleId="42">
    <w:name w:val="List Paragraph"/>
    <w:basedOn w:val="1"/>
    <w:link w:val="100"/>
    <w:qFormat/>
    <w:uiPriority w:val="99"/>
    <w:pPr>
      <w:ind w:firstLine="420"/>
    </w:pPr>
  </w:style>
  <w:style w:type="character" w:customStyle="1" w:styleId="43">
    <w:name w:val="批注框文本 Char"/>
    <w:basedOn w:val="26"/>
    <w:link w:val="17"/>
    <w:qFormat/>
    <w:uiPriority w:val="0"/>
    <w:rPr>
      <w:kern w:val="2"/>
      <w:sz w:val="18"/>
      <w:szCs w:val="18"/>
    </w:rPr>
  </w:style>
  <w:style w:type="paragraph" w:customStyle="1" w:styleId="44">
    <w:name w:val="04-正文"/>
    <w:basedOn w:val="1"/>
    <w:qFormat/>
    <w:uiPriority w:val="0"/>
    <w:pPr>
      <w:spacing w:line="360" w:lineRule="exact"/>
      <w:ind w:firstLine="482"/>
    </w:pPr>
    <w:rPr>
      <w:rFonts w:eastAsia="仿宋"/>
      <w:szCs w:val="24"/>
    </w:rPr>
  </w:style>
  <w:style w:type="paragraph" w:customStyle="1" w:styleId="45">
    <w:name w:val="wdcj_7_p"/>
    <w:basedOn w:val="1"/>
    <w:qFormat/>
    <w:uiPriority w:val="0"/>
    <w:pPr>
      <w:widowControl/>
      <w:spacing w:before="100" w:beforeAutospacing="1" w:after="100" w:afterAutospacing="1"/>
      <w:jc w:val="left"/>
    </w:pPr>
    <w:rPr>
      <w:rFonts w:ascii="宋体" w:hAnsi="宋体" w:cs="宋体"/>
      <w:kern w:val="0"/>
      <w:szCs w:val="24"/>
    </w:rPr>
  </w:style>
  <w:style w:type="paragraph" w:customStyle="1" w:styleId="46">
    <w:name w:val="表格抬头"/>
    <w:basedOn w:val="1"/>
    <w:qFormat/>
    <w:uiPriority w:val="0"/>
    <w:pPr>
      <w:keepNext/>
      <w:widowControl/>
      <w:adjustRightInd w:val="0"/>
      <w:spacing w:line="240" w:lineRule="auto"/>
      <w:jc w:val="center"/>
    </w:pPr>
    <w:rPr>
      <w:rFonts w:cs="宋体"/>
      <w:b/>
      <w:bCs/>
      <w:kern w:val="0"/>
      <w:szCs w:val="21"/>
    </w:rPr>
  </w:style>
  <w:style w:type="paragraph" w:customStyle="1" w:styleId="47">
    <w:name w:val="表格内容左对齐"/>
    <w:basedOn w:val="1"/>
    <w:qFormat/>
    <w:uiPriority w:val="0"/>
    <w:pPr>
      <w:keepNext/>
      <w:widowControl/>
      <w:adjustRightInd w:val="0"/>
      <w:spacing w:before="25" w:after="25" w:line="240" w:lineRule="auto"/>
      <w:ind w:firstLine="0" w:firstLineChars="0"/>
      <w:jc w:val="center"/>
    </w:pPr>
    <w:rPr>
      <w:rFonts w:ascii="Futura Hv" w:hAnsi="Futura Hv" w:eastAsia="仿宋" w:cs="Futura Hv"/>
      <w:kern w:val="0"/>
      <w:szCs w:val="21"/>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批注文字 Char"/>
    <w:basedOn w:val="26"/>
    <w:link w:val="13"/>
    <w:qFormat/>
    <w:uiPriority w:val="0"/>
    <w:rPr>
      <w:kern w:val="2"/>
      <w:sz w:val="24"/>
      <w:szCs w:val="22"/>
    </w:rPr>
  </w:style>
  <w:style w:type="character" w:customStyle="1" w:styleId="50">
    <w:name w:val="批注主题 Char"/>
    <w:basedOn w:val="49"/>
    <w:link w:val="23"/>
    <w:semiHidden/>
    <w:qFormat/>
    <w:uiPriority w:val="0"/>
    <w:rPr>
      <w:b/>
      <w:bCs/>
      <w:kern w:val="2"/>
      <w:sz w:val="24"/>
      <w:szCs w:val="22"/>
    </w:rPr>
  </w:style>
  <w:style w:type="paragraph" w:customStyle="1" w:styleId="51">
    <w:name w:val="修订1"/>
    <w:hidden/>
    <w:semiHidden/>
    <w:qFormat/>
    <w:uiPriority w:val="99"/>
    <w:rPr>
      <w:rFonts w:ascii="Times New Roman" w:hAnsi="Times New Roman" w:eastAsia="宋体" w:cs="Times New Roman"/>
      <w:kern w:val="2"/>
      <w:sz w:val="24"/>
      <w:szCs w:val="22"/>
      <w:lang w:val="en-US" w:eastAsia="zh-CN" w:bidi="ar-SA"/>
    </w:rPr>
  </w:style>
  <w:style w:type="character" w:customStyle="1" w:styleId="52">
    <w:name w:val="正文文本 Char"/>
    <w:basedOn w:val="26"/>
    <w:link w:val="2"/>
    <w:qFormat/>
    <w:uiPriority w:val="99"/>
    <w:rPr>
      <w:kern w:val="2"/>
      <w:sz w:val="24"/>
      <w:szCs w:val="22"/>
    </w:rPr>
  </w:style>
  <w:style w:type="paragraph" w:customStyle="1" w:styleId="53">
    <w:name w:val="msonormal"/>
    <w:basedOn w:val="1"/>
    <w:qFormat/>
    <w:uiPriority w:val="0"/>
    <w:pPr>
      <w:widowControl/>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4">
    <w:name w:val="font5"/>
    <w:basedOn w:val="1"/>
    <w:qFormat/>
    <w:uiPriority w:val="0"/>
    <w:pPr>
      <w:widowControl/>
      <w:spacing w:beforeLines="0" w:beforeAutospacing="1" w:afterLines="0" w:afterAutospacing="1" w:line="240" w:lineRule="auto"/>
      <w:ind w:firstLine="0" w:firstLineChars="0"/>
      <w:jc w:val="left"/>
    </w:pPr>
    <w:rPr>
      <w:rFonts w:ascii="等线" w:hAnsi="等线" w:eastAsia="等线" w:cs="宋体"/>
      <w:kern w:val="0"/>
      <w:sz w:val="18"/>
      <w:szCs w:val="18"/>
    </w:rPr>
  </w:style>
  <w:style w:type="paragraph" w:customStyle="1" w:styleId="55">
    <w:name w:val="xl65"/>
    <w:basedOn w:val="1"/>
    <w:qFormat/>
    <w:uiPriority w:val="0"/>
    <w:pPr>
      <w:widowControl/>
      <w:shd w:val="clear" w:color="000000" w:fill="FF000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6">
    <w:name w:val="xl66"/>
    <w:basedOn w:val="1"/>
    <w:qFormat/>
    <w:uiPriority w:val="0"/>
    <w:pPr>
      <w:widowControl/>
      <w:shd w:val="clear" w:color="000000" w:fill="E7E6E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7">
    <w:name w:val="xl67"/>
    <w:basedOn w:val="1"/>
    <w:qFormat/>
    <w:uiPriority w:val="0"/>
    <w:pPr>
      <w:widowControl/>
      <w:shd w:val="clear" w:color="000000" w:fill="FFFF0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w:hAnsi="微软雅黑" w:eastAsia="微软雅黑" w:cs="宋体"/>
      <w:b/>
      <w:bCs/>
      <w:kern w:val="0"/>
      <w:sz w:val="20"/>
      <w:szCs w:val="20"/>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w:hAnsi="微软雅黑" w:eastAsia="微软雅黑" w:cs="宋体"/>
      <w:b/>
      <w:bCs/>
      <w:kern w:val="0"/>
      <w:sz w:val="20"/>
      <w:szCs w:val="20"/>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305496"/>
      <w:kern w:val="0"/>
      <w:sz w:val="20"/>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305496"/>
      <w:kern w:val="0"/>
      <w:sz w:val="20"/>
      <w:szCs w:val="20"/>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6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6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6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2">
    <w:name w:val="xl82"/>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3">
    <w:name w:val="xl83"/>
    <w:basedOn w:val="1"/>
    <w:qFormat/>
    <w:uiPriority w:val="0"/>
    <w:pPr>
      <w:widowControl/>
      <w:spacing w:beforeLines="0" w:beforeAutospacing="1" w:afterLines="0" w:afterAutospacing="1" w:line="240" w:lineRule="auto"/>
      <w:ind w:firstLine="0" w:firstLineChars="0"/>
      <w:jc w:val="left"/>
      <w:textAlignment w:val="center"/>
    </w:pPr>
    <w:rPr>
      <w:rFonts w:ascii="宋体" w:hAnsi="宋体" w:cs="宋体"/>
      <w:kern w:val="0"/>
      <w:sz w:val="20"/>
      <w:szCs w:val="20"/>
    </w:rPr>
  </w:style>
  <w:style w:type="paragraph" w:customStyle="1" w:styleId="74">
    <w:name w:val="xl84"/>
    <w:basedOn w:val="1"/>
    <w:qFormat/>
    <w:uiPriority w:val="0"/>
    <w:pPr>
      <w:widowControl/>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7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7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8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b/>
      <w:bCs/>
      <w:color w:val="C65911"/>
      <w:kern w:val="0"/>
      <w:sz w:val="20"/>
      <w:szCs w:val="20"/>
    </w:rPr>
  </w:style>
  <w:style w:type="paragraph" w:customStyle="1" w:styleId="8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8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3">
    <w:name w:val="xl93"/>
    <w:basedOn w:val="1"/>
    <w:qFormat/>
    <w:uiPriority w:val="0"/>
    <w:pPr>
      <w:widowControl/>
      <w:shd w:val="clear" w:color="000000" w:fill="92D05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8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8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8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8">
    <w:name w:val="xl98"/>
    <w:basedOn w:val="1"/>
    <w:qFormat/>
    <w:uiPriority w:val="0"/>
    <w:pPr>
      <w:widowControl/>
      <w:shd w:val="clear" w:color="000000" w:fill="9BC2E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8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92">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9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9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6">
    <w:name w:val="xl106"/>
    <w:basedOn w:val="1"/>
    <w:qFormat/>
    <w:uiPriority w:val="0"/>
    <w:pPr>
      <w:widowControl/>
      <w:shd w:val="clear" w:color="000000" w:fill="FFD96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97">
    <w:name w:val="xl107"/>
    <w:basedOn w:val="1"/>
    <w:qFormat/>
    <w:uiPriority w:val="0"/>
    <w:pPr>
      <w:widowControl/>
      <w:pBdr>
        <w:top w:val="single" w:color="auto" w:sz="4" w:space="0"/>
        <w:left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8">
    <w:name w:val="xl108"/>
    <w:basedOn w:val="1"/>
    <w:qFormat/>
    <w:uiPriority w:val="0"/>
    <w:pPr>
      <w:widowControl/>
      <w:pBdr>
        <w:left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9">
    <w:name w:val="xl109"/>
    <w:basedOn w:val="1"/>
    <w:qFormat/>
    <w:uiPriority w:val="0"/>
    <w:pPr>
      <w:widowControl/>
      <w:pBdr>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character" w:customStyle="1" w:styleId="100">
    <w:name w:val="列出段落 Char"/>
    <w:link w:val="42"/>
    <w:qFormat/>
    <w:uiPriority w:val="99"/>
    <w:rPr>
      <w:kern w:val="2"/>
      <w:sz w:val="24"/>
      <w:szCs w:val="22"/>
    </w:rPr>
  </w:style>
  <w:style w:type="character" w:customStyle="1" w:styleId="101">
    <w:name w:val="页脚 Char"/>
    <w:basedOn w:val="26"/>
    <w:link w:val="18"/>
    <w:qFormat/>
    <w:uiPriority w:val="99"/>
    <w:rPr>
      <w:kern w:val="2"/>
      <w:sz w:val="18"/>
      <w:szCs w:val="18"/>
    </w:rPr>
  </w:style>
  <w:style w:type="paragraph" w:customStyle="1" w:styleId="102">
    <w:name w:val="【正文】"/>
    <w:basedOn w:val="1"/>
    <w:qFormat/>
    <w:uiPriority w:val="0"/>
    <w:pPr>
      <w:spacing w:beforeLines="0" w:afterLines="0"/>
    </w:pPr>
    <w:rPr>
      <w:rFonts w:ascii="Calibri" w:hAnsi="Calibri" w:eastAsia="仿宋_GB2312"/>
      <w:sz w:val="28"/>
    </w:rPr>
  </w:style>
  <w:style w:type="paragraph" w:customStyle="1" w:styleId="103">
    <w:name w:val="可研正文"/>
    <w:basedOn w:val="1"/>
    <w:link w:val="104"/>
    <w:qFormat/>
    <w:uiPriority w:val="0"/>
    <w:pPr>
      <w:spacing w:beforeLines="0" w:afterLines="0"/>
    </w:pPr>
    <w:rPr>
      <w:rFonts w:ascii="仿宋" w:hAnsi="仿宋" w:eastAsia="仿宋" w:cstheme="minorBidi"/>
      <w:sz w:val="28"/>
      <w:szCs w:val="28"/>
    </w:rPr>
  </w:style>
  <w:style w:type="character" w:customStyle="1" w:styleId="104">
    <w:name w:val="可研正文 Char"/>
    <w:link w:val="103"/>
    <w:qFormat/>
    <w:uiPriority w:val="0"/>
    <w:rPr>
      <w:rFonts w:ascii="仿宋" w:hAnsi="仿宋" w:eastAsia="仿宋" w:cstheme="minorBidi"/>
      <w:kern w:val="2"/>
      <w:sz w:val="28"/>
      <w:szCs w:val="28"/>
    </w:rPr>
  </w:style>
  <w:style w:type="character" w:customStyle="1" w:styleId="105">
    <w:name w:val="纯文本 Char"/>
    <w:link w:val="15"/>
    <w:qFormat/>
    <w:uiPriority w:val="0"/>
    <w:rPr>
      <w:rFonts w:ascii="宋体" w:hAnsi="Courier New"/>
      <w:kern w:val="2"/>
      <w:sz w:val="24"/>
      <w:szCs w:val="22"/>
    </w:rPr>
  </w:style>
  <w:style w:type="paragraph" w:customStyle="1" w:styleId="106">
    <w:name w:val="*正文"/>
    <w:basedOn w:val="1"/>
    <w:link w:val="107"/>
    <w:qFormat/>
    <w:uiPriority w:val="0"/>
    <w:pPr>
      <w:spacing w:beforeLines="0" w:afterLines="0"/>
    </w:pPr>
    <w:rPr>
      <w:rFonts w:ascii="宋体" w:hAnsi="宋体" w:eastAsiaTheme="minorEastAsia" w:cstheme="minorBidi"/>
      <w:szCs w:val="24"/>
    </w:rPr>
  </w:style>
  <w:style w:type="character" w:customStyle="1" w:styleId="107">
    <w:name w:val="*正文 Char"/>
    <w:link w:val="106"/>
    <w:qFormat/>
    <w:uiPriority w:val="0"/>
    <w:rPr>
      <w:rFonts w:ascii="宋体" w:hAnsi="宋体" w:eastAsiaTheme="minorEastAsia" w:cstheme="minorBidi"/>
      <w:kern w:val="2"/>
      <w:sz w:val="24"/>
      <w:szCs w:val="24"/>
    </w:rPr>
  </w:style>
  <w:style w:type="paragraph" w:customStyle="1" w:styleId="108">
    <w:name w:val="正文样式"/>
    <w:basedOn w:val="1"/>
    <w:link w:val="109"/>
    <w:qFormat/>
    <w:uiPriority w:val="0"/>
    <w:pPr>
      <w:spacing w:beforeLines="0" w:afterLines="0" w:line="560" w:lineRule="exact"/>
      <w:ind w:firstLine="660" w:firstLineChars="0"/>
    </w:pPr>
    <w:rPr>
      <w:rFonts w:ascii="仿宋_GB2312" w:eastAsia="仿宋_GB2312" w:hAnsiTheme="minorHAnsi" w:cstheme="minorBidi"/>
      <w:sz w:val="28"/>
      <w:szCs w:val="28"/>
    </w:rPr>
  </w:style>
  <w:style w:type="character" w:customStyle="1" w:styleId="109">
    <w:name w:val="正文样式 Char"/>
    <w:basedOn w:val="26"/>
    <w:link w:val="108"/>
    <w:qFormat/>
    <w:uiPriority w:val="0"/>
    <w:rPr>
      <w:rFonts w:ascii="仿宋_GB2312" w:eastAsia="仿宋_GB2312" w:hAnsiTheme="minorHAnsi" w:cstheme="minorBidi"/>
      <w:kern w:val="2"/>
      <w:sz w:val="28"/>
      <w:szCs w:val="28"/>
    </w:rPr>
  </w:style>
  <w:style w:type="paragraph" w:customStyle="1" w:styleId="110">
    <w:name w:val="标题1+"/>
    <w:basedOn w:val="106"/>
    <w:qFormat/>
    <w:uiPriority w:val="0"/>
    <w:pPr>
      <w:widowControl/>
      <w:spacing w:before="200"/>
      <w:ind w:firstLine="0" w:firstLineChars="0"/>
      <w:contextualSpacing/>
      <w:jc w:val="left"/>
      <w:outlineLvl w:val="1"/>
    </w:pPr>
    <w:rPr>
      <w:rFonts w:ascii="黑体" w:hAnsi="黑体" w:eastAsia="黑体" w:cs="仿宋_GB2312"/>
      <w:b/>
      <w:sz w:val="36"/>
      <w:szCs w:val="36"/>
    </w:rPr>
  </w:style>
  <w:style w:type="character" w:customStyle="1" w:styleId="111">
    <w:name w:val="font11"/>
    <w:basedOn w:val="26"/>
    <w:qFormat/>
    <w:uiPriority w:val="0"/>
    <w:rPr>
      <w:rFonts w:hint="default" w:ascii="Helvetica" w:hAnsi="Helvetica" w:eastAsia="Helvetica" w:cs="Helvetica"/>
      <w:color w:val="FF0000"/>
      <w:sz w:val="22"/>
      <w:szCs w:val="22"/>
      <w:u w:val="none"/>
    </w:rPr>
  </w:style>
  <w:style w:type="character" w:customStyle="1" w:styleId="112">
    <w:name w:val="font21"/>
    <w:basedOn w:val="26"/>
    <w:qFormat/>
    <w:uiPriority w:val="0"/>
    <w:rPr>
      <w:rFonts w:hint="default" w:ascii="Helvetica" w:hAnsi="Helvetica" w:eastAsia="Helvetica" w:cs="Helvetica"/>
      <w:color w:val="000000"/>
      <w:sz w:val="22"/>
      <w:szCs w:val="22"/>
      <w:u w:val="none"/>
    </w:rPr>
  </w:style>
  <w:style w:type="character" w:customStyle="1" w:styleId="113">
    <w:name w:val="font41"/>
    <w:basedOn w:val="26"/>
    <w:qFormat/>
    <w:uiPriority w:val="0"/>
    <w:rPr>
      <w:rFonts w:hint="eastAsia" w:ascii="等线" w:hAnsi="等线" w:eastAsia="等线" w:cs="等线"/>
      <w:color w:val="000000"/>
      <w:sz w:val="22"/>
      <w:szCs w:val="22"/>
      <w:u w:val="none"/>
    </w:rPr>
  </w:style>
  <w:style w:type="character" w:customStyle="1" w:styleId="114">
    <w:name w:val="正文缩进 Char"/>
    <w:basedOn w:val="26"/>
    <w:link w:val="10"/>
    <w:qFormat/>
    <w:uiPriority w:val="0"/>
    <w:rPr>
      <w:kern w:val="2"/>
      <w:sz w:val="24"/>
      <w:szCs w:val="22"/>
    </w:rPr>
  </w:style>
  <w:style w:type="paragraph" w:customStyle="1" w:styleId="115">
    <w:name w:val="Table Text"/>
    <w:basedOn w:val="1"/>
    <w:semiHidden/>
    <w:qFormat/>
    <w:uiPriority w:val="0"/>
    <w:pPr>
      <w:widowControl/>
      <w:kinsoku w:val="0"/>
      <w:autoSpaceDE w:val="0"/>
      <w:autoSpaceDN w:val="0"/>
      <w:adjustRightInd w:val="0"/>
      <w:snapToGrid w:val="0"/>
      <w:spacing w:beforeLines="0" w:afterLines="0" w:line="240" w:lineRule="auto"/>
      <w:ind w:firstLine="0" w:firstLineChars="0"/>
      <w:jc w:val="left"/>
      <w:textAlignment w:val="baseline"/>
    </w:pPr>
    <w:rPr>
      <w:rFonts w:ascii="黑体" w:hAnsi="黑体" w:eastAsia="黑体" w:cs="黑体"/>
      <w:snapToGrid w:val="0"/>
      <w:color w:val="000000"/>
      <w:kern w:val="0"/>
      <w:sz w:val="18"/>
      <w:szCs w:val="18"/>
      <w:lang w:eastAsia="en-US"/>
    </w:rPr>
  </w:style>
  <w:style w:type="paragraph" w:customStyle="1" w:styleId="116">
    <w:name w:val="页眉样式"/>
    <w:basedOn w:val="19"/>
    <w:qFormat/>
    <w:uiPriority w:val="0"/>
    <w:pPr>
      <w:pBdr>
        <w:bottom w:val="thinThickSmallGap" w:color="auto" w:sz="24" w:space="1"/>
      </w:pBdr>
      <w:spacing w:before="120" w:after="120"/>
      <w:jc w:val="distribute"/>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D0FA83E4-7663-4F05-81E2-8A0F2800FC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3689</Words>
  <Characters>21030</Characters>
  <Lines>175</Lines>
  <Paragraphs>49</Paragraphs>
  <TotalTime>1532</TotalTime>
  <ScaleCrop>false</ScaleCrop>
  <LinksUpToDate>false</LinksUpToDate>
  <CharactersWithSpaces>24670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2024-09-20T09:28:00Z</dcterms:created>
  <dc:creator>次凯歌</dc:creator>
  <cp:lastModifiedBy>朱  晨</cp:lastModifiedBy>
  <cp:lastPrinted>2024-09-10T06:10:00Z</cp:lastPrinted>
  <dcterms:modified xsi:type="dcterms:W3CDTF">2024-10-21T09:36:41Z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D0C874693D394D4CA0D84F22DAE174BB_13</vt:lpwstr>
  </property>
  <property fmtid="{D5CDD505-2E9C-101B-9397-08002B2CF9AE}" pid="4" name="CWM63889120855a11ef80005f5900005e59">
    <vt:lpwstr>CWM2gJ4mJPAGcAFvngBS8ZQqbaw1MqTpxx5NgTfqz6i2QKbrDu2B39RNqKb7uB+E5+eyfXRGXGZlhj7gOWLX9Op3w==</vt:lpwstr>
  </property>
</Properties>
</file>