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914C">
      <w:pPr>
        <w:jc w:val="center"/>
        <w:rPr>
          <w:rFonts w:ascii="仿宋_GB2312" w:hAnsi="仿宋_GB2312" w:eastAsia="仿宋_GB2312"/>
          <w:b/>
          <w:sz w:val="28"/>
          <w:szCs w:val="28"/>
        </w:rPr>
      </w:pPr>
      <w:r>
        <w:rPr>
          <w:rFonts w:hint="eastAsia" w:ascii="仿宋_GB2312" w:hAnsi="仿宋_GB2312" w:eastAsia="仿宋_GB2312"/>
          <w:b/>
          <w:sz w:val="28"/>
          <w:szCs w:val="28"/>
        </w:rPr>
        <w:t>中心（分部</w:t>
      </w:r>
      <w:r>
        <w:rPr>
          <w:rFonts w:ascii="仿宋_GB2312" w:hAnsi="仿宋_GB2312" w:eastAsia="仿宋_GB2312"/>
          <w:b/>
          <w:sz w:val="28"/>
          <w:szCs w:val="28"/>
        </w:rPr>
        <w:t>）</w:t>
      </w:r>
      <w:r>
        <w:rPr>
          <w:rFonts w:hint="eastAsia" w:ascii="仿宋_GB2312" w:hAnsi="仿宋_GB2312" w:eastAsia="仿宋_GB2312"/>
          <w:b/>
          <w:sz w:val="28"/>
          <w:szCs w:val="28"/>
        </w:rPr>
        <w:t>保安采购服务需求</w:t>
      </w:r>
    </w:p>
    <w:p w14:paraId="27712BF5">
      <w:pPr>
        <w:rPr>
          <w:rFonts w:ascii="仿宋_GB2312" w:hAnsi="仿宋_GB2312" w:eastAsia="仿宋_GB2312"/>
          <w:sz w:val="28"/>
          <w:szCs w:val="28"/>
        </w:rPr>
      </w:pPr>
    </w:p>
    <w:p w14:paraId="4CF5BC2E">
      <w:pPr>
        <w:tabs>
          <w:tab w:val="left" w:pos="567"/>
        </w:tabs>
        <w:spacing w:before="312" w:beforeLines="100" w:after="156" w:afterLines="50" w:line="360" w:lineRule="auto"/>
        <w:ind w:left="426" w:leftChars="203"/>
        <w:jc w:val="left"/>
        <w:outlineLvl w:val="0"/>
        <w:rPr>
          <w:rFonts w:ascii="仿宋_GB2312" w:hAnsi="仿宋_GB2312" w:eastAsia="仿宋_GB2312" w:cs="宋体"/>
          <w:color w:val="000000"/>
          <w:kern w:val="0"/>
          <w:sz w:val="28"/>
          <w:szCs w:val="28"/>
        </w:rPr>
      </w:pPr>
      <w:r>
        <w:rPr>
          <w:rFonts w:hint="eastAsia" w:ascii="仿宋_GB2312" w:hAnsi="仿宋_GB2312" w:eastAsia="仿宋_GB2312"/>
          <w:b/>
          <w:color w:val="000000"/>
          <w:kern w:val="0"/>
          <w:sz w:val="28"/>
          <w:szCs w:val="28"/>
        </w:rPr>
        <w:t>一、项目概况</w:t>
      </w:r>
      <w:r>
        <w:rPr>
          <w:rFonts w:hint="eastAsia" w:ascii="宋体" w:hAnsi="宋体" w:cs="宋体"/>
          <w:b/>
          <w:color w:val="000000"/>
          <w:kern w:val="0"/>
          <w:sz w:val="28"/>
          <w:szCs w:val="28"/>
        </w:rPr>
        <w:t> </w:t>
      </w:r>
      <w:r>
        <w:rPr>
          <w:rFonts w:ascii="仿宋_GB2312" w:hAnsi="仿宋_GB2312" w:eastAsia="仿宋_GB2312"/>
          <w:b/>
          <w:color w:val="000000"/>
          <w:kern w:val="0"/>
          <w:sz w:val="28"/>
          <w:szCs w:val="28"/>
        </w:rPr>
        <w:t xml:space="preserve"> </w:t>
      </w:r>
    </w:p>
    <w:p w14:paraId="57D2A000">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（一）基本情况</w:t>
      </w:r>
    </w:p>
    <w:p w14:paraId="3D149958">
      <w:pPr>
        <w:spacing w:line="360" w:lineRule="auto"/>
        <w:ind w:firstLine="560" w:firstLineChars="200"/>
        <w:rPr>
          <w:rFonts w:ascii="仿宋_GB2312" w:hAnsi="仿宋_GB2312" w:eastAsia="仿宋_GB2312"/>
          <w:sz w:val="28"/>
          <w:szCs w:val="28"/>
          <w:u w:val="single"/>
        </w:rPr>
      </w:pPr>
      <w:r>
        <w:rPr>
          <w:rFonts w:hint="eastAsia" w:ascii="仿宋_GB2312" w:hAnsi="仿宋_GB2312" w:eastAsia="仿宋_GB2312"/>
          <w:sz w:val="28"/>
          <w:szCs w:val="28"/>
        </w:rPr>
        <w:t>项目名称：</w:t>
      </w:r>
      <w:r>
        <w:rPr>
          <w:rFonts w:hint="eastAsia" w:ascii="仿宋_GB2312" w:hAnsi="仿宋_GB2312" w:eastAsia="仿宋_GB2312"/>
          <w:sz w:val="28"/>
          <w:szCs w:val="28"/>
          <w:u w:val="single"/>
        </w:rPr>
        <w:t>上海市疾病预防控制中心</w:t>
      </w:r>
    </w:p>
    <w:p w14:paraId="69097C9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坐落位置：分部一：</w:t>
      </w:r>
      <w:r>
        <w:rPr>
          <w:rFonts w:hint="eastAsia" w:ascii="仿宋_GB2312" w:hAnsi="仿宋_GB2312" w:eastAsia="仿宋_GB2312"/>
          <w:sz w:val="28"/>
          <w:szCs w:val="28"/>
          <w:u w:val="single"/>
        </w:rPr>
        <w:t>上海</w:t>
      </w:r>
      <w:r>
        <w:rPr>
          <w:rFonts w:hint="eastAsia" w:ascii="仿宋_GB2312" w:hAnsi="仿宋_GB2312" w:eastAsia="仿宋_GB2312"/>
          <w:sz w:val="28"/>
          <w:szCs w:val="28"/>
        </w:rPr>
        <w:t>市</w:t>
      </w:r>
      <w:r>
        <w:rPr>
          <w:rFonts w:hint="eastAsia" w:ascii="仿宋_GB2312" w:hAnsi="仿宋_GB2312" w:eastAsia="仿宋_GB2312"/>
          <w:sz w:val="28"/>
          <w:szCs w:val="28"/>
          <w:u w:val="single"/>
        </w:rPr>
        <w:t>静安</w:t>
      </w:r>
      <w:r>
        <w:rPr>
          <w:rFonts w:hint="eastAsia" w:ascii="仿宋_GB2312" w:hAnsi="仿宋_GB2312" w:eastAsia="仿宋_GB2312"/>
          <w:sz w:val="28"/>
          <w:szCs w:val="28"/>
        </w:rPr>
        <w:t>区</w:t>
      </w:r>
      <w:r>
        <w:rPr>
          <w:rFonts w:hint="eastAsia" w:ascii="仿宋_GB2312" w:hAnsi="仿宋_GB2312" w:eastAsia="仿宋_GB2312"/>
          <w:sz w:val="28"/>
          <w:szCs w:val="28"/>
          <w:u w:val="single"/>
        </w:rPr>
        <w:t>中兴路1105</w:t>
      </w:r>
      <w:r>
        <w:rPr>
          <w:rFonts w:hint="eastAsia" w:ascii="仿宋_GB2312" w:hAnsi="仿宋_GB2312" w:eastAsia="仿宋_GB2312"/>
          <w:sz w:val="28"/>
          <w:szCs w:val="28"/>
        </w:rPr>
        <w:t>号</w:t>
      </w:r>
    </w:p>
    <w:p w14:paraId="6BE88434">
      <w:pPr>
        <w:spacing w:line="360" w:lineRule="auto"/>
        <w:ind w:firstLine="1960" w:firstLineChars="700"/>
        <w:rPr>
          <w:rFonts w:ascii="仿宋_GB2312" w:hAnsi="仿宋_GB2312" w:eastAsia="仿宋_GB2312"/>
          <w:sz w:val="28"/>
          <w:szCs w:val="28"/>
        </w:rPr>
      </w:pPr>
      <w:r>
        <w:rPr>
          <w:rFonts w:hint="eastAsia" w:ascii="仿宋_GB2312" w:hAnsi="仿宋_GB2312" w:eastAsia="仿宋_GB2312"/>
          <w:sz w:val="28"/>
          <w:szCs w:val="28"/>
        </w:rPr>
        <w:t>分部二：上海市普陀区去区怒江路曹杨高新技术发展园区c区3幢</w:t>
      </w:r>
    </w:p>
    <w:p w14:paraId="0E16CC6F">
      <w:pPr>
        <w:spacing w:line="360" w:lineRule="auto"/>
        <w:ind w:firstLine="1960" w:firstLineChars="700"/>
        <w:rPr>
          <w:rFonts w:ascii="仿宋_GB2312" w:hAnsi="仿宋_GB2312" w:eastAsia="仿宋_GB2312"/>
          <w:sz w:val="28"/>
          <w:szCs w:val="28"/>
        </w:rPr>
      </w:pPr>
      <w:r>
        <w:rPr>
          <w:rFonts w:hint="eastAsia" w:ascii="仿宋_GB2312" w:hAnsi="仿宋_GB2312" w:eastAsia="仿宋_GB2312"/>
          <w:sz w:val="28"/>
          <w:szCs w:val="28"/>
        </w:rPr>
        <w:t>分部三：上海市浦东新区莲园路311号</w:t>
      </w:r>
    </w:p>
    <w:p w14:paraId="3AB2CE6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项目预算金额（万元）：122.4万元</w:t>
      </w:r>
    </w:p>
    <w:p w14:paraId="76737E30">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（二）项目概况</w:t>
      </w:r>
    </w:p>
    <w:p w14:paraId="4EC8DFD9">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1.</w:t>
      </w:r>
      <w:r>
        <w:rPr>
          <w:rFonts w:hint="eastAsia" w:ascii="仿宋_GB2312" w:hAnsi="仿宋_GB2312" w:eastAsia="仿宋_GB2312"/>
          <w:sz w:val="28"/>
          <w:szCs w:val="28"/>
        </w:rPr>
        <w:tab/>
      </w:r>
      <w:r>
        <w:rPr>
          <w:rFonts w:hint="eastAsia" w:ascii="仿宋_GB2312" w:hAnsi="仿宋_GB2312" w:eastAsia="仿宋_GB2312"/>
          <w:sz w:val="28"/>
          <w:szCs w:val="28"/>
        </w:rPr>
        <w:t>分部一：中兴路1105号， 1楼大厅（设有门卫室），3、4、5、6楼为业务用房，总面积3699平方米。</w:t>
      </w:r>
    </w:p>
    <w:p w14:paraId="6A47C1B2">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2.</w:t>
      </w:r>
      <w:r>
        <w:rPr>
          <w:rFonts w:hint="eastAsia" w:ascii="仿宋_GB2312" w:hAnsi="仿宋_GB2312" w:eastAsia="仿宋_GB2312"/>
          <w:sz w:val="28"/>
          <w:szCs w:val="28"/>
        </w:rPr>
        <w:tab/>
      </w:r>
      <w:r>
        <w:rPr>
          <w:rFonts w:hint="eastAsia" w:ascii="仿宋_GB2312" w:hAnsi="仿宋_GB2312" w:eastAsia="仿宋_GB2312"/>
          <w:sz w:val="28"/>
          <w:szCs w:val="28"/>
        </w:rPr>
        <w:t>分部二：曹杨高新技术经济发展园区C区3幢，设有门卫室，主要承担应急物资存放。独立院落，库房若干间，总面积约3500平方米。</w:t>
      </w:r>
    </w:p>
    <w:p w14:paraId="7255A406">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3.</w:t>
      </w:r>
      <w:r>
        <w:rPr>
          <w:rFonts w:hint="eastAsia" w:ascii="仿宋_GB2312" w:hAnsi="仿宋_GB2312" w:eastAsia="仿宋_GB2312"/>
          <w:sz w:val="28"/>
          <w:szCs w:val="28"/>
        </w:rPr>
        <w:tab/>
      </w:r>
      <w:r>
        <w:rPr>
          <w:rFonts w:hint="eastAsia" w:ascii="仿宋_GB2312" w:hAnsi="仿宋_GB2312" w:eastAsia="仿宋_GB2312"/>
          <w:sz w:val="28"/>
          <w:szCs w:val="28"/>
        </w:rPr>
        <w:t>分部三：北蔡莲园路311号，设有门卫室，等候动迁，独立院落，总面积1451平方米。</w:t>
      </w:r>
    </w:p>
    <w:p w14:paraId="55B81998">
      <w:pPr>
        <w:numPr>
          <w:ilvl w:val="0"/>
          <w:numId w:val="1"/>
        </w:numPr>
        <w:tabs>
          <w:tab w:val="left" w:pos="567"/>
        </w:tabs>
        <w:spacing w:before="312" w:beforeLines="100" w:after="156" w:afterLines="50" w:line="360" w:lineRule="auto"/>
        <w:ind w:left="426" w:leftChars="203"/>
        <w:jc w:val="left"/>
        <w:outlineLvl w:val="0"/>
        <w:rPr>
          <w:rFonts w:ascii="仿宋_GB2312" w:hAnsi="仿宋_GB2312" w:eastAsia="仿宋_GB2312"/>
          <w:b/>
          <w:bCs/>
          <w:color w:val="FF0000"/>
          <w:sz w:val="28"/>
          <w:szCs w:val="28"/>
        </w:rPr>
      </w:pPr>
      <w:r>
        <w:rPr>
          <w:rFonts w:hint="eastAsia" w:ascii="仿宋_GB2312" w:hAnsi="仿宋_GB2312" w:eastAsia="仿宋_GB2312"/>
          <w:b/>
          <w:color w:val="000000"/>
          <w:kern w:val="0"/>
          <w:sz w:val="28"/>
          <w:szCs w:val="28"/>
        </w:rPr>
        <w:t>服务内容及要求</w:t>
      </w:r>
    </w:p>
    <w:p w14:paraId="4F35556C">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（一）秩序维护</w:t>
      </w:r>
    </w:p>
    <w:p w14:paraId="755277E4">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1、门岗值守</w:t>
      </w:r>
    </w:p>
    <w:p w14:paraId="4E4EC06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（1）门卫安保人员必须持有安保人员上岗证，全体24小时在规定位置执勤，问询指引需用语规范、礼貌待人，做好值班记录。</w:t>
      </w:r>
    </w:p>
    <w:p w14:paraId="56C45B0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（2）负责通行管理和安全秩序维护，在上下班高峰时段，立岗指挥、疏导人员，维护大门区域正常秩序，妥善处置各类突发事件。</w:t>
      </w:r>
    </w:p>
    <w:p w14:paraId="2C08386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（4）按照业主方要求，严格执行物品进出登记制度，对大件、贵重、可疑物品运出进行核验、登记。在未经批准，禁止各类人员带入易燃、易爆、剧毒、管制刀具等各类危险、有害物品。</w:t>
      </w:r>
    </w:p>
    <w:p w14:paraId="629A4EB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（5）门卫安保人员须着装整齐、仪容整洁，工作时间不得抽烟、闲聊、接听电话等与执勤无关事情，保持良好的形象，避免与各类人员发生冲突。</w:t>
      </w:r>
    </w:p>
    <w:p w14:paraId="2E5590CC">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2、巡逻检查</w:t>
      </w:r>
    </w:p>
    <w:p w14:paraId="4D68277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（1）根据现场环境和重点部位管理要求，制定相对固定的巡逻路线，巡逻路线设置覆盖率 100%。</w:t>
      </w:r>
    </w:p>
    <w:p w14:paraId="0DFB9797">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（2）严格落实内保制度、规定的巡查频率，发现异常状况和安全隐患及时处置并上报，认真做好巡查记录。</w:t>
      </w:r>
    </w:p>
    <w:p w14:paraId="2C27668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（3）巡逻中发现可疑人员要及时询问或监视，发现闲杂人员、推销人员要及时劝阻离开，发现员工不良行为要及时进行劝阻、纠正，汇报上级主管部门。</w:t>
      </w:r>
    </w:p>
    <w:p w14:paraId="734CF8A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（4）对各类危害安全、影响秩序的人员行为进行劝阻，杜绝发生喧哗、吵闹、打架等不安全情况发生，劝阻无效的及时报告上级主管部门。</w:t>
      </w:r>
    </w:p>
    <w:p w14:paraId="38CFD3A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（5）接到员工报警，须3分钟内赶到出事地点，按照应急预案处置。</w:t>
      </w:r>
    </w:p>
    <w:p w14:paraId="2B5E7F0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（6）协助做好环境及设施设备看护，制止能源浪费、损坏公物、破坏花草树木等现象发生，发现各类问题、隐患及时通知相关部门及人员进行处置。</w:t>
      </w:r>
    </w:p>
    <w:p w14:paraId="627F654F">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（7）根据业主方要求，配合做好防汛防台、灾害性天气期间的巡防和抢险工作。</w:t>
      </w:r>
    </w:p>
    <w:p w14:paraId="16F4CB5C">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3、安防监控</w:t>
      </w:r>
    </w:p>
    <w:p w14:paraId="21D738D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（1）负责安防监控值班，实行24小时值班制，人员不得擅自离开、脱岗等，按要求做好值班工作记录。</w:t>
      </w:r>
    </w:p>
    <w:p w14:paraId="777F283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（2）对各处区域进行全天候技防、安防监控，及时发现报告不安全、不稳定因素，发现可疑人员或接到报警求助后，及时通知安保人员进行处置并汇报上级主管部门。</w:t>
      </w:r>
    </w:p>
    <w:p w14:paraId="5A9C6A0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（3）按要求定期对各类技防、安防设备设施及系统进行检查，发现故障、损坏后及时上报，配合专业维保单位对相关设施设备进行维修、保养，确保功能正常、状态良好。</w:t>
      </w:r>
    </w:p>
    <w:p w14:paraId="1AC77A8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（4）按照业主方要求，做好消防、技防、安防视频监控影像资料、报警记录的留存与查阅。严禁擅自更改和删除消监控室数据资料，确保相关资料的完整性。</w:t>
      </w:r>
    </w:p>
    <w:p w14:paraId="61C1121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（5）监控器内所监视到情况与内容均属保密，严禁外传，不得向无关人员介绍业主方消防、技防、安防监控设备情况。</w:t>
      </w:r>
    </w:p>
    <w:p w14:paraId="433C914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（6）应熟悉各类报警的接警、出警处置流程，并熟知现场消防、监控报警点位。</w:t>
      </w:r>
    </w:p>
    <w:p w14:paraId="439BFAD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（7）值班人员需经过岗前职业技能培训，具备相关资质证书。</w:t>
      </w:r>
    </w:p>
    <w:p w14:paraId="049BC6D3">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4、大型活动秩序维护</w:t>
      </w:r>
    </w:p>
    <w:p w14:paraId="3F84D90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（1）根据业主方活动安排，配合做好会议、接待、庆典等大型活动的现场安保和秩序维护，并制定专项应急预案。</w:t>
      </w:r>
    </w:p>
    <w:p w14:paraId="6C54F97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（2）根据业主方大型活动规模，组织本单位安保人员并抽调周边服务项目的安保力量，配合业主方大型活动开展，确保业主方活动顺利进行。</w:t>
      </w:r>
    </w:p>
    <w:p w14:paraId="0367383A">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5、突发事件应急处置</w:t>
      </w:r>
    </w:p>
    <w:p w14:paraId="378DACDC">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（1）按照业主方关于突发事件、稳定事件、安全生产事故工作要求，制定相应各类事件的预防、响应、处理的工作应急处置预案。</w:t>
      </w:r>
    </w:p>
    <w:p w14:paraId="033E32E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（2）定期组织安保人员开展突发应急事件处置实战培训演练，每年组织1次以上应急综合演练，建立强化各类突发事件快速反应机制。</w:t>
      </w:r>
    </w:p>
    <w:p w14:paraId="4827BF0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（3）针对各类突发事件，储备必需的应急物资及装备，建立储备制度，制定专门储备清单。</w:t>
      </w:r>
    </w:p>
    <w:p w14:paraId="4325E32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（4）通过巡查、技防监控等日常工作实现对突发事件的预兆及隐患的有效监控，确保第一时间获取信息、第一时间组织安保力量赶到现场进行果断有效处置，并及时报送相关信息。</w:t>
      </w:r>
    </w:p>
    <w:p w14:paraId="79956E91">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（三）消防安全管理</w:t>
      </w:r>
    </w:p>
    <w:p w14:paraId="767AA70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1、按照业主方要求，明确消防安全工作职责。</w:t>
      </w:r>
    </w:p>
    <w:p w14:paraId="6CAB095A">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2、遇到火警报警，迅速着装前去救援，并做好记录。</w:t>
      </w:r>
    </w:p>
    <w:p w14:paraId="03A2B47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3、每日落实消防设施设备巡查及组织开展防火检查,发现消防隐患及异常情况应及时消除并上报。每日检查楼宇内消防疏散通道畅通。</w:t>
      </w:r>
    </w:p>
    <w:p w14:paraId="46B62DB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4、按业主方要求，禁止任何部门和个人在楼道内停放电瓶车或</w:t>
      </w:r>
      <w:bookmarkStart w:id="0" w:name="_GoBack"/>
      <w:bookmarkEnd w:id="0"/>
      <w:r>
        <w:rPr>
          <w:rFonts w:hint="eastAsia" w:ascii="仿宋_GB2312" w:hAnsi="仿宋_GB2312" w:eastAsia="仿宋_GB2312"/>
          <w:sz w:val="28"/>
          <w:szCs w:val="28"/>
        </w:rPr>
        <w:t>为电瓶车充电，一经发现，立即收缴充电器，并做好相关工作记录。</w:t>
      </w:r>
    </w:p>
    <w:p w14:paraId="050915C7">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5、定期组织安保队员开展消防知识培训和微型消防站应急演练，并保留演练记录。积极配合业主方开展的各类消防、反恐知识培训和演练活动。</w:t>
      </w:r>
    </w:p>
    <w:p w14:paraId="3CCE87ED">
      <w:pPr>
        <w:numPr>
          <w:ilvl w:val="0"/>
          <w:numId w:val="1"/>
        </w:numPr>
        <w:tabs>
          <w:tab w:val="left" w:pos="567"/>
        </w:tabs>
        <w:spacing w:before="312" w:beforeLines="100" w:after="156" w:afterLines="50" w:line="360" w:lineRule="auto"/>
        <w:ind w:left="426"/>
        <w:jc w:val="left"/>
        <w:outlineLvl w:val="0"/>
        <w:rPr>
          <w:rFonts w:ascii="仿宋_GB2312" w:hAnsi="仿宋_GB2312" w:eastAsia="仿宋_GB2312"/>
          <w:b/>
          <w:color w:val="000000"/>
          <w:kern w:val="0"/>
          <w:sz w:val="28"/>
          <w:szCs w:val="28"/>
        </w:rPr>
      </w:pPr>
      <w:r>
        <w:rPr>
          <w:rFonts w:hint="eastAsia" w:ascii="仿宋_GB2312" w:hAnsi="仿宋_GB2312" w:eastAsia="仿宋_GB2312"/>
          <w:b/>
          <w:color w:val="000000"/>
          <w:kern w:val="0"/>
          <w:sz w:val="28"/>
          <w:szCs w:val="28"/>
        </w:rPr>
        <w:t>保安服务人员设置需求</w:t>
      </w:r>
    </w:p>
    <w:p w14:paraId="7AFA123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中心根据各分部保卫需求设置，岗位配置与现场安保服务人员，具体详见下表</w:t>
      </w:r>
    </w:p>
    <w:p w14:paraId="4803543E">
      <w:pPr>
        <w:spacing w:line="360" w:lineRule="auto"/>
        <w:ind w:firstLine="420" w:firstLineChars="200"/>
        <w:rPr>
          <w:rFonts w:ascii="仿宋_GB2312" w:hAnsi="仿宋_GB2312" w:eastAsia="仿宋_GB2312"/>
          <w:sz w:val="28"/>
          <w:szCs w:val="28"/>
        </w:rPr>
      </w:pPr>
      <w:r>
        <w:drawing>
          <wp:inline distT="0" distB="0" distL="0" distR="0">
            <wp:extent cx="5276850" cy="981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6850" cy="981075"/>
                    </a:xfrm>
                    <a:prstGeom prst="rect">
                      <a:avLst/>
                    </a:prstGeom>
                  </pic:spPr>
                </pic:pic>
              </a:graphicData>
            </a:graphic>
          </wp:inline>
        </w:drawing>
      </w:r>
    </w:p>
    <w:p w14:paraId="4A113331">
      <w:pPr>
        <w:ind w:firstLine="560" w:firstLineChars="200"/>
        <w:jc w:val="left"/>
        <w:rPr>
          <w:rFonts w:hint="eastAsia" w:ascii="仿宋_GB2312" w:hAnsi="仿宋_GB2312" w:eastAsia="仿宋_GB2312"/>
          <w:sz w:val="28"/>
          <w:szCs w:val="28"/>
        </w:rPr>
      </w:pPr>
      <w:r>
        <w:rPr>
          <w:rFonts w:hint="eastAsia" w:ascii="仿宋_GB2312" w:hAnsi="仿宋_GB2312" w:eastAsia="仿宋_GB2312"/>
          <w:sz w:val="28"/>
          <w:szCs w:val="28"/>
        </w:rPr>
        <w:t>★本包件物业管理与服务人员总数不得少于</w:t>
      </w:r>
      <w:r>
        <w:rPr>
          <w:rFonts w:hint="eastAsia" w:ascii="仿宋_GB2312" w:hAnsi="仿宋_GB2312" w:eastAsia="仿宋_GB2312"/>
          <w:sz w:val="28"/>
          <w:szCs w:val="28"/>
          <w:lang w:val="en-US" w:eastAsia="zh-CN"/>
        </w:rPr>
        <w:t>12</w:t>
      </w:r>
      <w:r>
        <w:rPr>
          <w:rFonts w:hint="eastAsia" w:ascii="仿宋_GB2312" w:hAnsi="仿宋_GB2312" w:eastAsia="仿宋_GB2312"/>
          <w:sz w:val="28"/>
          <w:szCs w:val="28"/>
        </w:rPr>
        <w:t>人。</w:t>
      </w:r>
    </w:p>
    <w:p w14:paraId="1B3CE5FB">
      <w:pPr>
        <w:ind w:firstLine="560" w:firstLineChars="200"/>
        <w:jc w:val="left"/>
        <w:rPr>
          <w:rFonts w:ascii="仿宋_GB2312" w:hAnsi="仿宋_GB2312" w:eastAsia="仿宋_GB2312"/>
          <w:sz w:val="28"/>
          <w:szCs w:val="28"/>
        </w:rPr>
      </w:pPr>
      <w:r>
        <w:rPr>
          <w:rFonts w:hint="eastAsia" w:ascii="仿宋_GB2312" w:hAnsi="仿宋_GB2312" w:eastAsia="仿宋_GB2312"/>
          <w:sz w:val="28"/>
          <w:szCs w:val="28"/>
        </w:rPr>
        <w:t>说明：</w:t>
      </w:r>
    </w:p>
    <w:p w14:paraId="787D5C50">
      <w:pPr>
        <w:ind w:firstLine="592" w:firstLineChars="200"/>
        <w:jc w:val="left"/>
        <w:rPr>
          <w:rFonts w:ascii="仿宋_GB2312" w:hAnsi="仿宋_GB2312" w:eastAsia="仿宋_GB2312"/>
          <w:color w:val="595959"/>
          <w:spacing w:val="8"/>
          <w:sz w:val="28"/>
          <w:szCs w:val="28"/>
          <w:shd w:val="clear" w:color="auto" w:fill="FFFFFF"/>
        </w:rPr>
      </w:pPr>
      <w:r>
        <w:rPr>
          <w:rFonts w:hint="eastAsia" w:ascii="仿宋_GB2312" w:hAnsi="仿宋_GB2312" w:eastAsia="仿宋_GB2312"/>
          <w:color w:val="595959"/>
          <w:spacing w:val="8"/>
          <w:sz w:val="28"/>
          <w:szCs w:val="28"/>
          <w:shd w:val="clear" w:color="auto" w:fill="FFFFFF"/>
        </w:rPr>
        <w:t>从事保安服务工作的服务人员均需持有保安员证、提供无犯罪证明。</w:t>
      </w:r>
    </w:p>
    <w:p w14:paraId="396FD490">
      <w:pPr>
        <w:ind w:firstLine="560" w:firstLineChars="200"/>
        <w:jc w:val="left"/>
        <w:rPr>
          <w:rFonts w:ascii="仿宋_GB2312" w:hAnsi="仿宋_GB2312" w:eastAsia="仿宋_GB2312"/>
          <w:sz w:val="28"/>
          <w:szCs w:val="28"/>
        </w:rPr>
      </w:pPr>
      <w:r>
        <w:rPr>
          <w:rFonts w:hint="eastAsia" w:ascii="仿宋_GB2312" w:hAnsi="仿宋_GB2312" w:eastAsia="仿宋_GB2312"/>
          <w:sz w:val="28"/>
          <w:szCs w:val="28"/>
        </w:rPr>
        <w:t>投标人应当根据保安服务岗位的风险程度为保安员投保意外伤害保险。</w:t>
      </w:r>
    </w:p>
    <w:p w14:paraId="1B628E8E">
      <w:pPr>
        <w:ind w:firstLine="560" w:firstLineChars="200"/>
        <w:jc w:val="left"/>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投标人根据以上岗位设置表要求配置现场服务人员。根据岗位职责合理安排工作时间，保持24小时人员在岗，全年无节假日。</w:t>
      </w:r>
    </w:p>
    <w:p w14:paraId="6A866021">
      <w:pPr>
        <w:ind w:firstLine="560" w:firstLineChars="200"/>
        <w:jc w:val="left"/>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超过国家法规规定的标准工时，按加班工时计算（加班费含在合同总标的内）</w:t>
      </w:r>
    </w:p>
    <w:p w14:paraId="3433EECE">
      <w:pPr>
        <w:spacing w:before="156" w:beforeLines="50" w:line="360" w:lineRule="auto"/>
        <w:ind w:left="426" w:leftChars="203"/>
        <w:jc w:val="left"/>
        <w:outlineLvl w:val="1"/>
        <w:rPr>
          <w:rFonts w:ascii="仿宋_GB2312" w:hAnsi="仿宋_GB2312" w:eastAsia="仿宋_GB2312" w:cs="宋体"/>
          <w:b/>
          <w:color w:val="000000"/>
          <w:kern w:val="0"/>
          <w:sz w:val="28"/>
          <w:szCs w:val="28"/>
        </w:rPr>
      </w:pPr>
      <w:r>
        <w:rPr>
          <w:rFonts w:hint="eastAsia" w:ascii="仿宋_GB2312" w:hAnsi="仿宋_GB2312" w:eastAsia="仿宋_GB2312" w:cs="宋体"/>
          <w:b/>
          <w:color w:val="000000"/>
          <w:kern w:val="0"/>
          <w:sz w:val="28"/>
          <w:szCs w:val="28"/>
        </w:rPr>
        <w:t>四、其他要求</w:t>
      </w:r>
    </w:p>
    <w:p w14:paraId="5F2BF483">
      <w:pPr>
        <w:pStyle w:val="22"/>
        <w:numPr>
          <w:ilvl w:val="-1"/>
          <w:numId w:val="0"/>
        </w:numPr>
        <w:tabs>
          <w:tab w:val="left" w:pos="612"/>
        </w:tabs>
        <w:spacing w:before="312"/>
        <w:ind w:left="284" w:right="342" w:rightChars="163" w:firstLine="0"/>
        <w:outlineLvl w:val="9"/>
        <w:rPr>
          <w:rFonts w:ascii="仿宋_GB2312" w:hAnsi="仿宋_GB2312" w:eastAsia="仿宋_GB2312" w:cs="Times New Roman"/>
          <w:b w:val="0"/>
          <w:snapToGrid w:val="0"/>
          <w:color w:val="000000"/>
          <w:spacing w:val="0"/>
          <w:sz w:val="28"/>
          <w:szCs w:val="28"/>
        </w:rPr>
      </w:pPr>
      <w:r>
        <w:rPr>
          <w:rFonts w:hint="eastAsia" w:ascii="仿宋_GB2312" w:hAnsi="仿宋_GB2312" w:eastAsia="仿宋_GB2312" w:cs="Times New Roman"/>
          <w:b w:val="0"/>
          <w:snapToGrid w:val="0"/>
          <w:color w:val="000000"/>
          <w:spacing w:val="0"/>
          <w:sz w:val="28"/>
          <w:szCs w:val="28"/>
          <w:lang w:eastAsia="zh-CN"/>
        </w:rPr>
        <w:t>（一）</w:t>
      </w:r>
      <w:r>
        <w:rPr>
          <w:rFonts w:ascii="仿宋_GB2312" w:hAnsi="仿宋_GB2312" w:eastAsia="仿宋_GB2312" w:cs="Times New Roman"/>
          <w:b w:val="0"/>
          <w:snapToGrid w:val="0"/>
          <w:color w:val="000000"/>
          <w:spacing w:val="0"/>
          <w:sz w:val="28"/>
          <w:szCs w:val="28"/>
        </w:rPr>
        <w:t>企业资质</w:t>
      </w:r>
    </w:p>
    <w:p w14:paraId="5F2BF483">
      <w:pPr>
        <w:pStyle w:val="22"/>
        <w:numPr>
          <w:ilvl w:val="-1"/>
          <w:numId w:val="0"/>
        </w:numPr>
        <w:tabs>
          <w:tab w:val="left" w:pos="612"/>
        </w:tabs>
        <w:spacing w:before="312"/>
        <w:ind w:left="284" w:right="342" w:rightChars="163" w:firstLine="560" w:firstLineChars="200"/>
        <w:outlineLvl w:val="9"/>
        <w:rPr>
          <w:rFonts w:ascii="仿宋_GB2312" w:hAnsi="仿宋_GB2312" w:eastAsia="仿宋_GB2312"/>
          <w:snapToGrid w:val="0"/>
          <w:color w:val="000000"/>
          <w:sz w:val="28"/>
          <w:szCs w:val="28"/>
        </w:rPr>
      </w:pPr>
      <w:r>
        <w:rPr>
          <w:rFonts w:hint="eastAsia" w:ascii="仿宋_GB2312" w:hAnsi="仿宋_GB2312" w:eastAsia="仿宋_GB2312" w:cs="Times New Roman"/>
          <w:b w:val="0"/>
          <w:snapToGrid w:val="0"/>
          <w:color w:val="000000"/>
          <w:spacing w:val="0"/>
          <w:kern w:val="2"/>
          <w:sz w:val="28"/>
          <w:szCs w:val="28"/>
        </w:rPr>
        <w:t>注册与中华人民共和国的具有独立法人资格，具备省、自治区、直辖市人民政府公安机关颁发的《保安服务许可证》</w:t>
      </w:r>
      <w:r>
        <w:rPr>
          <w:rFonts w:hint="eastAsia" w:ascii="仿宋_GB2312" w:hAnsi="仿宋_GB2312" w:eastAsia="仿宋_GB2312" w:cs="Times New Roman"/>
          <w:b w:val="0"/>
          <w:snapToGrid w:val="0"/>
          <w:color w:val="000000"/>
          <w:spacing w:val="0"/>
          <w:kern w:val="2"/>
          <w:sz w:val="28"/>
          <w:szCs w:val="28"/>
          <w:lang w:eastAsia="zh-CN"/>
        </w:rPr>
        <w:t>。</w:t>
      </w:r>
    </w:p>
    <w:p w14:paraId="22091C3A">
      <w:pPr>
        <w:spacing w:line="360" w:lineRule="auto"/>
        <w:ind w:left="42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eastAsia="zh-CN"/>
        </w:rPr>
        <w:t>（二）</w:t>
      </w:r>
      <w:r>
        <w:rPr>
          <w:rFonts w:hint="eastAsia" w:ascii="仿宋_GB2312" w:hAnsi="仿宋_GB2312" w:eastAsia="仿宋_GB2312"/>
          <w:snapToGrid w:val="0"/>
          <w:color w:val="000000"/>
          <w:sz w:val="28"/>
          <w:szCs w:val="28"/>
        </w:rPr>
        <w:t>人员要求</w:t>
      </w:r>
    </w:p>
    <w:p w14:paraId="79F9D767">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1、 所有秩序维护员需获得上海市公安局颁发的保安员上岗证，有部队、特警、消防背景为佳。</w:t>
      </w:r>
    </w:p>
    <w:p w14:paraId="74CA284C">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2、所有人员年龄结构在</w:t>
      </w:r>
      <w:r>
        <w:rPr>
          <w:rFonts w:ascii="仿宋_GB2312" w:hAnsi="仿宋_GB2312" w:eastAsia="仿宋_GB2312"/>
          <w:snapToGrid w:val="0"/>
          <w:color w:val="000000"/>
          <w:sz w:val="28"/>
          <w:szCs w:val="28"/>
        </w:rPr>
        <w:t>2</w:t>
      </w:r>
      <w:r>
        <w:rPr>
          <w:rFonts w:hint="eastAsia" w:ascii="仿宋_GB2312" w:hAnsi="仿宋_GB2312" w:eastAsia="仿宋_GB2312"/>
          <w:snapToGrid w:val="0"/>
          <w:color w:val="000000"/>
          <w:sz w:val="28"/>
          <w:szCs w:val="28"/>
        </w:rPr>
        <w:t>0－60周岁之间，提供现场服务人员无犯罪承若函。</w:t>
      </w:r>
    </w:p>
    <w:p w14:paraId="1616FA16">
      <w:pPr>
        <w:spacing w:line="360" w:lineRule="auto"/>
        <w:ind w:firstLine="560" w:firstLineChars="200"/>
        <w:rPr>
          <w:rFonts w:hint="eastAsia"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3、上岗人员，身体健康，无精神病史，能胜任保安岗位工作。</w:t>
      </w:r>
    </w:p>
    <w:p w14:paraId="157A00C0">
      <w:pPr>
        <w:spacing w:line="360" w:lineRule="auto"/>
        <w:ind w:firstLine="560" w:firstLineChars="200"/>
        <w:rPr>
          <w:rFonts w:hint="eastAsia" w:ascii="仿宋_GB2312" w:hAnsi="仿宋_GB2312" w:eastAsia="仿宋_GB2312"/>
          <w:snapToGrid w:val="0"/>
          <w:color w:val="000000"/>
          <w:sz w:val="28"/>
          <w:szCs w:val="28"/>
          <w:lang w:eastAsia="zh-CN"/>
        </w:rPr>
      </w:pPr>
      <w:r>
        <w:rPr>
          <w:rFonts w:hint="eastAsia" w:ascii="仿宋_GB2312" w:hAnsi="仿宋_GB2312" w:eastAsia="仿宋_GB2312"/>
          <w:snapToGrid w:val="0"/>
          <w:color w:val="000000"/>
          <w:sz w:val="28"/>
          <w:szCs w:val="28"/>
          <w:lang w:eastAsia="zh-CN"/>
        </w:rPr>
        <w:t>（三）其他实力及承诺</w:t>
      </w:r>
    </w:p>
    <w:p w14:paraId="061399C5">
      <w:pPr>
        <w:pStyle w:val="17"/>
        <w:numPr>
          <w:ilvl w:val="-1"/>
          <w:numId w:val="0"/>
        </w:numPr>
        <w:spacing w:line="360" w:lineRule="auto"/>
        <w:ind w:left="0" w:firstLine="638" w:firstLineChars="228"/>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1.</w:t>
      </w:r>
      <w:r>
        <w:rPr>
          <w:rFonts w:hint="eastAsia" w:ascii="仿宋_GB2312" w:hAnsi="仿宋_GB2312" w:eastAsia="仿宋_GB2312"/>
          <w:snapToGrid w:val="0"/>
          <w:color w:val="000000"/>
          <w:sz w:val="28"/>
          <w:szCs w:val="28"/>
        </w:rPr>
        <w:t>企业通过ISO9001质量管理体系、ISO14001环境管理体系和ISO45001职业健康管理体系认证。</w:t>
      </w:r>
    </w:p>
    <w:p w14:paraId="202B22BF">
      <w:pPr>
        <w:pStyle w:val="17"/>
        <w:numPr>
          <w:numId w:val="0"/>
        </w:numPr>
        <w:ind w:left="0" w:firstLine="638" w:firstLineChars="228"/>
        <w:rPr>
          <w:rFonts w:hint="eastAsia"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2.</w:t>
      </w:r>
      <w:r>
        <w:rPr>
          <w:rFonts w:hint="eastAsia" w:ascii="仿宋_GB2312" w:hAnsi="仿宋_GB2312" w:eastAsia="仿宋_GB2312"/>
          <w:snapToGrid w:val="0"/>
          <w:color w:val="000000"/>
          <w:sz w:val="28"/>
          <w:szCs w:val="28"/>
        </w:rPr>
        <w:t>近三年内，具有至少2个及以上与本招标项目类似的安保服务业绩（需要提供委托管理合同复印件或影印件。如果投标人所提供的合同(复印件)无法认定其合同签订时间、合同内容、盖章页、体量等关键信息，则该合同将被认定为无效证明材料）</w:t>
      </w:r>
    </w:p>
    <w:p w14:paraId="1500767F">
      <w:pPr>
        <w:pStyle w:val="17"/>
        <w:numPr>
          <w:numId w:val="0"/>
        </w:numPr>
        <w:ind w:left="0" w:firstLine="638" w:firstLineChars="228"/>
        <w:rPr>
          <w:rFonts w:ascii="仿宋_GB2312" w:hAnsi="仿宋_GB2312" w:eastAsia="仿宋_GB2312" w:cs="宋体"/>
          <w:b/>
          <w:color w:val="000000"/>
          <w:kern w:val="0"/>
          <w:sz w:val="28"/>
          <w:szCs w:val="28"/>
        </w:rPr>
      </w:pPr>
      <w:r>
        <w:rPr>
          <w:rFonts w:hint="eastAsia" w:ascii="仿宋_GB2312" w:hAnsi="仿宋_GB2312" w:eastAsia="仿宋_GB2312"/>
          <w:snapToGrid w:val="0"/>
          <w:color w:val="000000"/>
          <w:sz w:val="28"/>
          <w:szCs w:val="28"/>
          <w:lang w:val="en-US" w:eastAsia="zh-CN"/>
        </w:rPr>
        <w:t>3.</w:t>
      </w:r>
      <w:r>
        <w:rPr>
          <w:rFonts w:hint="eastAsia" w:ascii="仿宋_GB2312" w:hAnsi="仿宋_GB2312" w:eastAsia="仿宋_GB2312"/>
          <w:snapToGrid w:val="0"/>
          <w:color w:val="000000"/>
          <w:sz w:val="28"/>
          <w:szCs w:val="28"/>
        </w:rPr>
        <w:t>中标承诺约定；企业承诺中标后现场服务工作人员信息与投标文件一致。现场主管、消监控成员的调整需经甲方批准。</w:t>
      </w:r>
    </w:p>
    <w:sectPr>
      <w:headerReference r:id="rId3" w:type="default"/>
      <w:headerReference r:id="rId4"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Lucida Sans">
    <w:altName w:val="Noto Naskh Arabic"/>
    <w:panose1 w:val="020B0602040502020204"/>
    <w:charset w:val="00"/>
    <w:family w:val="swiss"/>
    <w:pitch w:val="default"/>
    <w:sig w:usb0="00000000" w:usb1="00000000" w:usb2="00000008" w:usb3="00000000" w:csb0="0000009F" w:csb1="00000000"/>
  </w:font>
  <w:font w:name="Noto Naskh Arabic">
    <w:panose1 w:val="020B0502040504020204"/>
    <w:charset w:val="00"/>
    <w:family w:val="auto"/>
    <w:pitch w:val="default"/>
    <w:sig w:usb0="80002003" w:usb1="80002000" w:usb2="00000008" w:usb3="00000000" w:csb0="00000041" w:csb1="00080000"/>
  </w:font>
  <w:font w:name="方正兰亭黑_GBK">
    <w:altName w:val="方正黑体_GBK"/>
    <w:panose1 w:val="00000000000000000000"/>
    <w:charset w:val="86"/>
    <w:family w:val="script"/>
    <w:pitch w:val="default"/>
    <w:sig w:usb0="00000000" w:usb1="00000000" w:usb2="00080016" w:usb3="00000000" w:csb0="00040001" w:csb1="00000000"/>
  </w:font>
  <w:font w:name="方正黑体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Narrow">
    <w:altName w:val="DejaVu Sans"/>
    <w:panose1 w:val="020B0606020202030204"/>
    <w:charset w:val="00"/>
    <w:family w:val="swiss"/>
    <w:pitch w:val="default"/>
    <w:sig w:usb0="00000000" w:usb1="00000000" w:usb2="00000000" w:usb3="00000000" w:csb0="0000009F"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7A64">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948EC">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6E925D"/>
    <w:multiLevelType w:val="singleLevel"/>
    <w:tmpl w:val="686E925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gutterAtTop/>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0MGM4NDE3YWFlMzA0MWViNTY0Yjg0OThlOTIyYjUifQ=="/>
  </w:docVars>
  <w:rsids>
    <w:rsidRoot w:val="0038620A"/>
    <w:rsid w:val="000C5CD1"/>
    <w:rsid w:val="00101A76"/>
    <w:rsid w:val="001471A7"/>
    <w:rsid w:val="001B5118"/>
    <w:rsid w:val="002204DC"/>
    <w:rsid w:val="0022502D"/>
    <w:rsid w:val="00230CE3"/>
    <w:rsid w:val="0023262E"/>
    <w:rsid w:val="00241AFF"/>
    <w:rsid w:val="00247AB5"/>
    <w:rsid w:val="00255832"/>
    <w:rsid w:val="002A6059"/>
    <w:rsid w:val="002C3D2A"/>
    <w:rsid w:val="0038551C"/>
    <w:rsid w:val="0038620A"/>
    <w:rsid w:val="003A7E81"/>
    <w:rsid w:val="004A6B1D"/>
    <w:rsid w:val="0055576F"/>
    <w:rsid w:val="005745CD"/>
    <w:rsid w:val="00577E0A"/>
    <w:rsid w:val="005A24B8"/>
    <w:rsid w:val="005A2B24"/>
    <w:rsid w:val="005B2484"/>
    <w:rsid w:val="005C739A"/>
    <w:rsid w:val="005E2373"/>
    <w:rsid w:val="006059D7"/>
    <w:rsid w:val="0060630C"/>
    <w:rsid w:val="00640F70"/>
    <w:rsid w:val="006470F4"/>
    <w:rsid w:val="006E3D0C"/>
    <w:rsid w:val="007332B0"/>
    <w:rsid w:val="00763D00"/>
    <w:rsid w:val="007829AE"/>
    <w:rsid w:val="007B149C"/>
    <w:rsid w:val="007C5141"/>
    <w:rsid w:val="007F6853"/>
    <w:rsid w:val="00811144"/>
    <w:rsid w:val="00815142"/>
    <w:rsid w:val="008252CD"/>
    <w:rsid w:val="00832AAB"/>
    <w:rsid w:val="00843023"/>
    <w:rsid w:val="00843596"/>
    <w:rsid w:val="0084608F"/>
    <w:rsid w:val="00855CC1"/>
    <w:rsid w:val="00891A53"/>
    <w:rsid w:val="008A753D"/>
    <w:rsid w:val="008F411F"/>
    <w:rsid w:val="009A1D4D"/>
    <w:rsid w:val="009C68EB"/>
    <w:rsid w:val="00A53422"/>
    <w:rsid w:val="00A57158"/>
    <w:rsid w:val="00A6195F"/>
    <w:rsid w:val="00A86BF3"/>
    <w:rsid w:val="00A937F4"/>
    <w:rsid w:val="00A94FC1"/>
    <w:rsid w:val="00B00227"/>
    <w:rsid w:val="00B14F68"/>
    <w:rsid w:val="00B85DAB"/>
    <w:rsid w:val="00B87165"/>
    <w:rsid w:val="00BB1862"/>
    <w:rsid w:val="00BC64DF"/>
    <w:rsid w:val="00BD03E8"/>
    <w:rsid w:val="00BF52F8"/>
    <w:rsid w:val="00C24B3D"/>
    <w:rsid w:val="00C567C3"/>
    <w:rsid w:val="00C64723"/>
    <w:rsid w:val="00D1280B"/>
    <w:rsid w:val="00D554BA"/>
    <w:rsid w:val="00D61C1C"/>
    <w:rsid w:val="00D92949"/>
    <w:rsid w:val="00DB48F7"/>
    <w:rsid w:val="00E2063F"/>
    <w:rsid w:val="00E231C2"/>
    <w:rsid w:val="00E33D04"/>
    <w:rsid w:val="00EA7B32"/>
    <w:rsid w:val="00EC34B7"/>
    <w:rsid w:val="00F30D7E"/>
    <w:rsid w:val="0FB54D97"/>
    <w:rsid w:val="2BC07713"/>
    <w:rsid w:val="37EFE6D3"/>
    <w:rsid w:val="3F3BA5B9"/>
    <w:rsid w:val="45E867A9"/>
    <w:rsid w:val="46E50C5D"/>
    <w:rsid w:val="4F053EF0"/>
    <w:rsid w:val="50970D9B"/>
    <w:rsid w:val="539FF108"/>
    <w:rsid w:val="594AED9B"/>
    <w:rsid w:val="5E435858"/>
    <w:rsid w:val="5F903BD3"/>
    <w:rsid w:val="7BDB62B9"/>
    <w:rsid w:val="7E5F46E8"/>
    <w:rsid w:val="7E6A104B"/>
    <w:rsid w:val="AA5E244E"/>
    <w:rsid w:val="EFFC7888"/>
    <w:rsid w:val="F7F6D7EA"/>
    <w:rsid w:val="FBB70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semiHidden/>
    <w:unhideWhenUsed/>
    <w:qFormat/>
    <w:uiPriority w:val="9"/>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semiHidden/>
    <w:unhideWhenUsed/>
    <w:qFormat/>
    <w:uiPriority w:val="9"/>
    <w:pPr>
      <w:keepNext/>
      <w:keepLines/>
      <w:spacing w:before="260" w:after="260" w:line="415"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rPr>
      <w:rFonts w:ascii="等线" w:eastAsia="等线" w:cs="Arial"/>
    </w:rPr>
  </w:style>
  <w:style w:type="paragraph" w:styleId="6">
    <w:name w:val="Plain Text"/>
    <w:basedOn w:val="1"/>
    <w:link w:val="18"/>
    <w:autoRedefine/>
    <w:qFormat/>
    <w:uiPriority w:val="0"/>
    <w:rPr>
      <w:rFonts w:ascii="宋体" w:hAnsi="Courier New"/>
      <w:szCs w:val="20"/>
    </w:rPr>
  </w:style>
  <w:style w:type="paragraph" w:styleId="7">
    <w:name w:val="Balloon Text"/>
    <w:basedOn w:val="1"/>
    <w:autoRedefine/>
    <w:qFormat/>
    <w:uiPriority w:val="0"/>
    <w:rPr>
      <w:rFonts w:ascii="等线" w:eastAsia="等线" w:cs="Arial"/>
      <w:sz w:val="18"/>
      <w:szCs w:val="18"/>
    </w:rPr>
  </w:style>
  <w:style w:type="paragraph" w:styleId="8">
    <w:name w:val="footer"/>
    <w:basedOn w:val="1"/>
    <w:autoRedefine/>
    <w:qFormat/>
    <w:uiPriority w:val="0"/>
    <w:pPr>
      <w:tabs>
        <w:tab w:val="center" w:pos="4153"/>
        <w:tab w:val="right" w:pos="8306"/>
      </w:tabs>
      <w:snapToGrid w:val="0"/>
      <w:jc w:val="left"/>
    </w:pPr>
    <w:rPr>
      <w:rFonts w:ascii="等线" w:eastAsia="等线" w:cs="Arial"/>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ascii="等线" w:eastAsia="等线" w:cs="Arial"/>
      <w:sz w:val="18"/>
      <w:szCs w:val="18"/>
    </w:rPr>
  </w:style>
  <w:style w:type="paragraph" w:styleId="10">
    <w:name w:val="List"/>
    <w:basedOn w:val="1"/>
    <w:autoRedefine/>
    <w:qFormat/>
    <w:uiPriority w:val="0"/>
    <w:pPr>
      <w:spacing w:line="360" w:lineRule="auto"/>
      <w:ind w:left="720" w:firstLine="420" w:firstLineChars="200"/>
    </w:pPr>
    <w:rPr>
      <w:rFonts w:ascii="Times New Roman" w:hAnsi="Times New Roman"/>
      <w:szCs w:val="24"/>
    </w:rPr>
  </w:style>
  <w:style w:type="paragraph" w:styleId="11">
    <w:name w:val="annotation subject"/>
    <w:basedOn w:val="5"/>
    <w:next w:val="5"/>
    <w:autoRedefine/>
    <w:qFormat/>
    <w:uiPriority w:val="0"/>
    <w:rPr>
      <w:b/>
      <w:bCs/>
    </w:rPr>
  </w:style>
  <w:style w:type="character" w:styleId="14">
    <w:name w:val="annotation reference"/>
    <w:basedOn w:val="13"/>
    <w:autoRedefine/>
    <w:qFormat/>
    <w:uiPriority w:val="0"/>
    <w:rPr>
      <w:sz w:val="21"/>
      <w:szCs w:val="21"/>
    </w:rPr>
  </w:style>
  <w:style w:type="paragraph" w:customStyle="1" w:styleId="15">
    <w:name w:val="修订1"/>
    <w:autoRedefine/>
    <w:qFormat/>
    <w:uiPriority w:val="0"/>
    <w:pPr>
      <w:jc w:val="both"/>
    </w:pPr>
    <w:rPr>
      <w:rFonts w:ascii="等线" w:hAnsi="Times New Roman" w:eastAsia="等线" w:cs="Arial"/>
      <w:kern w:val="2"/>
      <w:sz w:val="21"/>
      <w:szCs w:val="22"/>
      <w:lang w:val="en-US" w:eastAsia="zh-CN" w:bidi="ar-SA"/>
    </w:rPr>
  </w:style>
  <w:style w:type="paragraph" w:styleId="16">
    <w:name w:val="No Spacing"/>
    <w:autoRedefine/>
    <w:qFormat/>
    <w:uiPriority w:val="0"/>
    <w:pPr>
      <w:widowControl w:val="0"/>
      <w:jc w:val="both"/>
    </w:pPr>
    <w:rPr>
      <w:rFonts w:ascii="等线" w:hAnsi="Times New Roman" w:eastAsia="等线" w:cs="Arial"/>
      <w:kern w:val="2"/>
      <w:sz w:val="21"/>
      <w:szCs w:val="22"/>
      <w:lang w:val="en-US" w:eastAsia="zh-CN" w:bidi="ar-SA"/>
    </w:rPr>
  </w:style>
  <w:style w:type="paragraph" w:styleId="17">
    <w:name w:val="List Paragraph"/>
    <w:basedOn w:val="1"/>
    <w:autoRedefine/>
    <w:qFormat/>
    <w:uiPriority w:val="34"/>
    <w:pPr>
      <w:ind w:firstLine="420" w:firstLineChars="200"/>
    </w:pPr>
  </w:style>
  <w:style w:type="character" w:customStyle="1" w:styleId="18">
    <w:name w:val="纯文本 Char"/>
    <w:basedOn w:val="13"/>
    <w:link w:val="6"/>
    <w:qFormat/>
    <w:uiPriority w:val="0"/>
    <w:rPr>
      <w:rFonts w:ascii="宋体" w:hAnsi="Courier New" w:cs="Times New Roman"/>
      <w:kern w:val="2"/>
      <w:sz w:val="21"/>
    </w:rPr>
  </w:style>
  <w:style w:type="table" w:customStyle="1" w:styleId="19">
    <w:name w:val="Table Normal"/>
    <w:autoRedefine/>
    <w:semiHidden/>
    <w:unhideWhenUsed/>
    <w:qFormat/>
    <w:uiPriority w:val="0"/>
    <w:tblPr>
      <w:tblCellMar>
        <w:top w:w="0" w:type="dxa"/>
        <w:left w:w="0" w:type="dxa"/>
        <w:bottom w:w="0" w:type="dxa"/>
        <w:right w:w="0" w:type="dxa"/>
      </w:tblCellMar>
    </w:tblPr>
  </w:style>
  <w:style w:type="paragraph" w:customStyle="1" w:styleId="20">
    <w:name w:val="Table Text"/>
    <w:basedOn w:val="1"/>
    <w:autoRedefine/>
    <w:semiHidden/>
    <w:qFormat/>
    <w:uiPriority w:val="0"/>
    <w:rPr>
      <w:rFonts w:ascii="仿宋" w:hAnsi="仿宋" w:eastAsia="仿宋" w:cs="仿宋"/>
      <w:sz w:val="22"/>
      <w:lang w:eastAsia="en-US"/>
    </w:rPr>
  </w:style>
  <w:style w:type="character" w:customStyle="1" w:styleId="21">
    <w:name w:val="标1 Char Char"/>
    <w:link w:val="22"/>
    <w:qFormat/>
    <w:uiPriority w:val="0"/>
    <w:rPr>
      <w:rFonts w:ascii="Arial Narrow" w:hAnsi="Arial Narrow" w:eastAsia="仿宋"/>
      <w:b/>
      <w:spacing w:val="20"/>
      <w:sz w:val="24"/>
      <w:szCs w:val="24"/>
    </w:rPr>
  </w:style>
  <w:style w:type="paragraph" w:customStyle="1" w:styleId="22">
    <w:name w:val="标1"/>
    <w:basedOn w:val="1"/>
    <w:link w:val="21"/>
    <w:qFormat/>
    <w:uiPriority w:val="0"/>
    <w:pPr>
      <w:tabs>
        <w:tab w:val="left" w:pos="1140"/>
      </w:tabs>
      <w:adjustRightInd w:val="0"/>
      <w:snapToGrid w:val="0"/>
      <w:spacing w:beforeLines="100" w:line="360" w:lineRule="auto"/>
      <w:ind w:left="1140" w:hanging="720"/>
      <w:jc w:val="left"/>
      <w:outlineLvl w:val="0"/>
    </w:pPr>
    <w:rPr>
      <w:rFonts w:ascii="Arial Narrow" w:hAnsi="Arial Narrow" w:eastAsia="仿宋" w:cs="Lucida Sans"/>
      <w:b/>
      <w:spacing w:val="2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0F1BC289-D31E-4560-A411-934622C1EB9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400</Words>
  <Characters>2285</Characters>
  <Lines>19</Lines>
  <Paragraphs>5</Paragraphs>
  <TotalTime>11</TotalTime>
  <ScaleCrop>false</ScaleCrop>
  <LinksUpToDate>false</LinksUpToDate>
  <CharactersWithSpaces>2680</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2025-05-01T00:38:00Z</dcterms:created>
  <dc:creator>张姝雅</dc:creator>
  <cp:lastModifiedBy>user</cp:lastModifiedBy>
  <dcterms:modified xsi:type="dcterms:W3CDTF">2025-05-12T15:10:52Z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727B4DA8A69C8065F79E216886E2B0C1_43</vt:lpwstr>
  </property>
</Properties>
</file>