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EFAB2">
      <w:pPr>
        <w:jc w:val="center"/>
        <w:rPr>
          <w:rFonts w:ascii="仿宋_GB2312" w:hAnsi="仿宋_GB2312" w:eastAsia="仿宋_GB2312"/>
          <w:b/>
          <w:sz w:val="28"/>
          <w:szCs w:val="28"/>
        </w:rPr>
      </w:pPr>
      <w:bookmarkStart w:id="0" w:name="_GoBack"/>
      <w:bookmarkEnd w:id="0"/>
      <w:r>
        <w:rPr>
          <w:rFonts w:hint="eastAsia" w:ascii="仿宋_GB2312" w:hAnsi="仿宋_GB2312" w:eastAsia="仿宋_GB2312"/>
          <w:b/>
          <w:sz w:val="28"/>
          <w:szCs w:val="28"/>
        </w:rPr>
        <w:t>中心（中山西路</w:t>
      </w:r>
      <w:r>
        <w:rPr>
          <w:rFonts w:ascii="仿宋_GB2312" w:hAnsi="仿宋_GB2312" w:eastAsia="仿宋_GB2312"/>
          <w:b/>
          <w:sz w:val="28"/>
          <w:szCs w:val="28"/>
        </w:rPr>
        <w:t>）</w:t>
      </w:r>
      <w:r>
        <w:rPr>
          <w:rFonts w:hint="eastAsia" w:ascii="仿宋_GB2312" w:hAnsi="仿宋_GB2312" w:eastAsia="仿宋_GB2312"/>
          <w:b/>
          <w:sz w:val="28"/>
          <w:szCs w:val="28"/>
        </w:rPr>
        <w:t>保安采购服务需求</w:t>
      </w:r>
    </w:p>
    <w:p w14:paraId="733E0049">
      <w:pPr>
        <w:rPr>
          <w:rFonts w:ascii="仿宋_GB2312" w:hAnsi="仿宋_GB2312" w:eastAsia="仿宋_GB2312"/>
          <w:sz w:val="28"/>
          <w:szCs w:val="28"/>
        </w:rPr>
      </w:pPr>
    </w:p>
    <w:p w14:paraId="6569949E">
      <w:pPr>
        <w:tabs>
          <w:tab w:val="left" w:pos="567"/>
        </w:tabs>
        <w:spacing w:before="312" w:beforeLines="100" w:after="156" w:afterLines="50" w:line="360" w:lineRule="auto"/>
        <w:ind w:left="426" w:leftChars="203"/>
        <w:jc w:val="left"/>
        <w:outlineLvl w:val="0"/>
        <w:rPr>
          <w:rFonts w:ascii="仿宋_GB2312" w:hAnsi="仿宋_GB2312" w:eastAsia="仿宋_GB2312" w:cs="宋体"/>
          <w:color w:val="000000"/>
          <w:kern w:val="0"/>
          <w:sz w:val="28"/>
          <w:szCs w:val="28"/>
        </w:rPr>
      </w:pPr>
      <w:r>
        <w:rPr>
          <w:rFonts w:hint="eastAsia" w:ascii="仿宋_GB2312" w:hAnsi="仿宋_GB2312" w:eastAsia="仿宋_GB2312"/>
          <w:b/>
          <w:color w:val="000000"/>
          <w:kern w:val="0"/>
          <w:sz w:val="28"/>
          <w:szCs w:val="28"/>
        </w:rPr>
        <w:t>一、项目概况</w:t>
      </w:r>
      <w:r>
        <w:rPr>
          <w:rFonts w:hint="eastAsia" w:ascii="宋体" w:hAnsi="宋体" w:cs="宋体"/>
          <w:b/>
          <w:color w:val="000000"/>
          <w:kern w:val="0"/>
          <w:sz w:val="28"/>
          <w:szCs w:val="28"/>
        </w:rPr>
        <w:t> </w:t>
      </w:r>
      <w:r>
        <w:rPr>
          <w:rFonts w:ascii="仿宋_GB2312" w:hAnsi="仿宋_GB2312" w:eastAsia="仿宋_GB2312"/>
          <w:b/>
          <w:color w:val="000000"/>
          <w:kern w:val="0"/>
          <w:sz w:val="28"/>
          <w:szCs w:val="28"/>
        </w:rPr>
        <w:t xml:space="preserve"> </w:t>
      </w:r>
    </w:p>
    <w:p w14:paraId="36BF3278">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（一）基本情况</w:t>
      </w:r>
    </w:p>
    <w:p w14:paraId="1E00F7FF">
      <w:pPr>
        <w:spacing w:line="360" w:lineRule="auto"/>
        <w:ind w:firstLine="560" w:firstLineChars="200"/>
        <w:rPr>
          <w:rFonts w:ascii="仿宋_GB2312" w:hAnsi="仿宋_GB2312" w:eastAsia="仿宋_GB2312"/>
          <w:sz w:val="28"/>
          <w:szCs w:val="28"/>
          <w:u w:val="single"/>
        </w:rPr>
      </w:pPr>
      <w:r>
        <w:rPr>
          <w:rFonts w:hint="eastAsia" w:ascii="仿宋_GB2312" w:hAnsi="仿宋_GB2312" w:eastAsia="仿宋_GB2312"/>
          <w:sz w:val="28"/>
          <w:szCs w:val="28"/>
        </w:rPr>
        <w:t>项目名称：</w:t>
      </w:r>
      <w:r>
        <w:rPr>
          <w:rFonts w:hint="eastAsia" w:ascii="仿宋_GB2312" w:hAnsi="仿宋_GB2312" w:eastAsia="仿宋_GB2312"/>
          <w:sz w:val="28"/>
          <w:szCs w:val="28"/>
          <w:u w:val="single"/>
        </w:rPr>
        <w:t>上海市疾病预防控制中心</w:t>
      </w:r>
    </w:p>
    <w:p w14:paraId="27D55EB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坐落位置：</w:t>
      </w:r>
      <w:r>
        <w:rPr>
          <w:rFonts w:hint="eastAsia" w:ascii="仿宋_GB2312" w:hAnsi="仿宋_GB2312" w:eastAsia="仿宋_GB2312"/>
          <w:sz w:val="28"/>
          <w:szCs w:val="28"/>
          <w:u w:val="single"/>
        </w:rPr>
        <w:t>上海</w:t>
      </w:r>
      <w:r>
        <w:rPr>
          <w:rFonts w:hint="eastAsia" w:ascii="仿宋_GB2312" w:hAnsi="仿宋_GB2312" w:eastAsia="仿宋_GB2312"/>
          <w:sz w:val="28"/>
          <w:szCs w:val="28"/>
        </w:rPr>
        <w:t>市</w:t>
      </w:r>
      <w:r>
        <w:rPr>
          <w:rFonts w:hint="eastAsia" w:ascii="仿宋_GB2312" w:hAnsi="仿宋_GB2312" w:eastAsia="仿宋_GB2312"/>
          <w:sz w:val="28"/>
          <w:szCs w:val="28"/>
          <w:u w:val="single"/>
        </w:rPr>
        <w:t>长宁</w:t>
      </w:r>
      <w:r>
        <w:rPr>
          <w:rFonts w:hint="eastAsia" w:ascii="仿宋_GB2312" w:hAnsi="仿宋_GB2312" w:eastAsia="仿宋_GB2312"/>
          <w:sz w:val="28"/>
          <w:szCs w:val="28"/>
        </w:rPr>
        <w:t>区</w:t>
      </w:r>
      <w:r>
        <w:rPr>
          <w:rFonts w:hint="eastAsia" w:ascii="仿宋_GB2312" w:hAnsi="仿宋_GB2312" w:eastAsia="仿宋_GB2312"/>
          <w:sz w:val="28"/>
          <w:szCs w:val="28"/>
          <w:u w:val="single"/>
        </w:rPr>
        <w:t>中山西路</w:t>
      </w:r>
      <w:r>
        <w:rPr>
          <w:rFonts w:hint="eastAsia" w:ascii="仿宋_GB2312" w:hAnsi="仿宋_GB2312" w:eastAsia="仿宋_GB2312"/>
          <w:sz w:val="28"/>
          <w:szCs w:val="28"/>
        </w:rPr>
        <w:t>（虹桥街道）</w:t>
      </w:r>
      <w:r>
        <w:rPr>
          <w:rFonts w:hint="eastAsia" w:ascii="仿宋_GB2312" w:hAnsi="仿宋_GB2312" w:eastAsia="仿宋_GB2312"/>
          <w:sz w:val="28"/>
          <w:szCs w:val="28"/>
          <w:u w:val="single"/>
        </w:rPr>
        <w:t>1380</w:t>
      </w:r>
      <w:r>
        <w:rPr>
          <w:rFonts w:hint="eastAsia" w:ascii="仿宋_GB2312" w:hAnsi="仿宋_GB2312" w:eastAsia="仿宋_GB2312"/>
          <w:sz w:val="28"/>
          <w:szCs w:val="28"/>
        </w:rPr>
        <w:t>号</w:t>
      </w:r>
    </w:p>
    <w:p w14:paraId="18ECF84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项目预算金额（万元）：126.9万元</w:t>
      </w:r>
    </w:p>
    <w:p w14:paraId="5432ED97">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（二）项目概况</w:t>
      </w:r>
    </w:p>
    <w:p w14:paraId="71EC0A26">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位于长宁区中山西路1380号，土地总面积为20866㎡，总建筑面积为32194.6㎡。老业务楼（1号楼），地上10层地下1层，建筑面积11067㎡。综合业务楼（2号楼）地下1层、地上10层（含两层裙房），建筑面积15072㎡。行政业务楼（3号楼），总高5层，建筑面积2458.92㎡。二幢2层小洋楼建，筑面积663㎡。应急作业中心（4号楼），3层，建筑面积1598㎡。共有2个门，正门1个、应急消防门1个。监控室与消控室1间。</w:t>
      </w:r>
    </w:p>
    <w:p w14:paraId="7D1227EB">
      <w:pPr>
        <w:numPr>
          <w:ilvl w:val="0"/>
          <w:numId w:val="1"/>
        </w:numPr>
        <w:tabs>
          <w:tab w:val="left" w:pos="567"/>
        </w:tabs>
        <w:spacing w:before="312" w:beforeLines="100" w:after="156" w:afterLines="50" w:line="360" w:lineRule="auto"/>
        <w:ind w:left="426" w:leftChars="203"/>
        <w:jc w:val="left"/>
        <w:outlineLvl w:val="0"/>
        <w:rPr>
          <w:rFonts w:ascii="仿宋_GB2312" w:hAnsi="仿宋_GB2312" w:eastAsia="仿宋_GB2312"/>
          <w:b/>
          <w:bCs/>
          <w:color w:val="FF0000"/>
          <w:sz w:val="28"/>
          <w:szCs w:val="28"/>
        </w:rPr>
      </w:pPr>
      <w:r>
        <w:rPr>
          <w:rFonts w:hint="eastAsia" w:ascii="仿宋_GB2312" w:hAnsi="仿宋_GB2312" w:eastAsia="仿宋_GB2312"/>
          <w:b/>
          <w:color w:val="000000"/>
          <w:kern w:val="0"/>
          <w:sz w:val="28"/>
          <w:szCs w:val="28"/>
        </w:rPr>
        <w:t>服务内容及要求</w:t>
      </w:r>
    </w:p>
    <w:p w14:paraId="2CBEAF53">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（一）秩序维护</w:t>
      </w:r>
    </w:p>
    <w:p w14:paraId="36D9FED5">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1、门岗值守</w:t>
      </w:r>
    </w:p>
    <w:p w14:paraId="279AD36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（1）门卫安保人员必须持有安保人员上岗证，全体24小时在规定位置执勤，问询指引需用语规范、礼貌待人，做好值班记录。</w:t>
      </w:r>
    </w:p>
    <w:p w14:paraId="1E04B38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（2）负责通行管理和安全秩序维护，在上下班高峰时段，立岗指挥，疏导人员、车辆进出，维护大门区域正常秩序，妥善处置各类突发事件。</w:t>
      </w:r>
    </w:p>
    <w:p w14:paraId="785C2F9E">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（3）认真落实车辆进出管理制度，做好外来车辆进出管理、登记等工作。除出入口外，确保地下车库、地面停放车辆有序停放和出入管理。</w:t>
      </w:r>
    </w:p>
    <w:p w14:paraId="1027624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（4）按照业主方要求，严格执行物品进出登记制度，对大件、贵重、可疑物品运出进行核验、登记。在未经批准，禁止各类人员带入易燃、易爆、剧毒、管制刀具等各类危险、有害物品。</w:t>
      </w:r>
    </w:p>
    <w:p w14:paraId="39C5F37D">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（5）门卫安保人员须着装整齐、仪容整洁，工作时间不得抽烟、闲聊、接听电话等与执勤无关事情，保持良好的形象，避免与各类人员发生冲突。</w:t>
      </w:r>
    </w:p>
    <w:p w14:paraId="6D4207B7">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2、巡逻检查</w:t>
      </w:r>
    </w:p>
    <w:p w14:paraId="1852A5F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（1）根据现场环境和重点部位管理要求，制定相对固定的巡逻路线，巡逻路线设置覆盖率 100%。</w:t>
      </w:r>
    </w:p>
    <w:p w14:paraId="44FC2F3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（2）严格落实内保及反恐制度、规定的巡查频率，发现异常状况和安全隐患及时处置并上报，认真做好巡查记录。</w:t>
      </w:r>
    </w:p>
    <w:p w14:paraId="3834D6E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（3）巡逻中发现可疑人员要及时询问或监视，发现闲杂人员、推销人员要及时劝阻离开，发现员工不良行为要及时进行劝阻、纠正，汇报上级主管部门。</w:t>
      </w:r>
    </w:p>
    <w:p w14:paraId="70D8EE7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（4）对各类危害安全、影响秩序的人员行为进行劝阻，杜绝发生喧哗、吵闹、打架等不安全情况发生，劝阻无效的及时报告上级主管部门。</w:t>
      </w:r>
    </w:p>
    <w:p w14:paraId="055B8CF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（5）接到员工报警，须3分钟内赶到出事地点，按照应急预案处置。</w:t>
      </w:r>
    </w:p>
    <w:p w14:paraId="44D48DF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（6）协助做好环境及设施设备看护，制止能源浪费、损坏公物、破坏花草树木等现象发生，发现各类问题、隐患及时通知相关部门及人员进行处置。</w:t>
      </w:r>
    </w:p>
    <w:p w14:paraId="72B2850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（7）根据业主方要求，配合做好防汛防台、灾害性天气期间的巡防和抢险工作。</w:t>
      </w:r>
    </w:p>
    <w:p w14:paraId="7A970B1B">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3、消、安防监控</w:t>
      </w:r>
    </w:p>
    <w:p w14:paraId="19365F6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（1）负责消、安防监控值班，实行双岗24小时值班制，人员不得擅自离开、脱岗等，按要求做好值班工作记录。</w:t>
      </w:r>
    </w:p>
    <w:p w14:paraId="50BA0D5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（2）对各处区域进行全天候技防、安防监控，及时发现报告不安全、不稳定因素，发现可疑人员或接到报警求助后，及时通知安保人员进行处置并汇报上级主管部门。</w:t>
      </w:r>
    </w:p>
    <w:p w14:paraId="37A0863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（3）按要求定期对各类消防、技防、安防设备设施及系统进行检查，发现故障、损坏后及时上报，配合专业维保单位对相关设施设备进行维修、保养，确保功能正常、状态良好。</w:t>
      </w:r>
    </w:p>
    <w:p w14:paraId="54C75C1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（4）按照业主方要求，做好消防、技防、安防视频监控影像资料、报警记录的留存与查阅。严禁擅自更改和删除消监控室数据资料，确保相关资料的完整性。</w:t>
      </w:r>
    </w:p>
    <w:p w14:paraId="58D398CF">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（5）消、监控器内所监视到情况与内容均属保密，严禁外传，不得向无关人员介绍业主方消防、技防、安防监控设备情况。</w:t>
      </w:r>
    </w:p>
    <w:p w14:paraId="69BDFD9E">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（6）应熟悉各类报警的接警、出警处置流程，并熟知现场消防、监控报警点位。</w:t>
      </w:r>
    </w:p>
    <w:p w14:paraId="28A5614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（7）值班人员需经过岗前职业技能培训，具备相关资质证书。</w:t>
      </w:r>
    </w:p>
    <w:p w14:paraId="48D1EEAF">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4、大型活动秩序维护</w:t>
      </w:r>
    </w:p>
    <w:p w14:paraId="4B83611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（1）根据业主方活动安排，配合做好会议、接待、庆典等大型活动的现场安保和秩序维护，并制定专项应急预案。</w:t>
      </w:r>
    </w:p>
    <w:p w14:paraId="21BD8F9D">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（2）根据业主方大型活动规模，组织本单位安保人员并抽调周边服务项目的安保力量，配合业主方大型活动开展，确保业主方活动顺利进行。</w:t>
      </w:r>
    </w:p>
    <w:p w14:paraId="6FB5256F">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5、突发事件应急处置</w:t>
      </w:r>
    </w:p>
    <w:p w14:paraId="4106FB0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（1）按照业主方关于突发事件、稳定事件、安全生产事故工作要求，制定相应各类事件的预防、响应、处理的工作应急处置预案。</w:t>
      </w:r>
    </w:p>
    <w:p w14:paraId="791915B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（2）定期组织安保人员开展突发应急事件处置实战培训演练，每年组织1次以上应急综合演练，建立强化各类突发事件快速反应机制。</w:t>
      </w:r>
    </w:p>
    <w:p w14:paraId="055DC92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（3）针对各类突发事件，储备必需的应急物资及装备，建立储备制度，制定专门储备清单。</w:t>
      </w:r>
    </w:p>
    <w:p w14:paraId="1A773BC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（4）通过巡查、技防监控等日常工作实现对突发事件的预兆及隐患的有效监控，确保第一时间获取信息、第一时间组织安保力量赶到现场进行果断有效处置，并及时报送相关信息。</w:t>
      </w:r>
    </w:p>
    <w:p w14:paraId="31E5DDA9">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（二）车辆管理</w:t>
      </w:r>
    </w:p>
    <w:p w14:paraId="2690EAF6">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l</w:t>
      </w:r>
      <w:r>
        <w:rPr>
          <w:rFonts w:hint="eastAsia" w:ascii="仿宋_GB2312" w:hAnsi="仿宋_GB2312" w:eastAsia="仿宋_GB2312"/>
          <w:sz w:val="28"/>
          <w:szCs w:val="28"/>
        </w:rPr>
        <w:t>、落实业主方停车管理制度，停车管理规定。</w:t>
      </w:r>
    </w:p>
    <w:p w14:paraId="382F01B1">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2</w:t>
      </w:r>
      <w:r>
        <w:rPr>
          <w:rFonts w:hint="eastAsia" w:ascii="仿宋_GB2312" w:hAnsi="仿宋_GB2312" w:eastAsia="仿宋_GB2312"/>
          <w:sz w:val="28"/>
          <w:szCs w:val="28"/>
        </w:rPr>
        <w:t>、外来车辆进出辖区办理登记手续、记录车牌号码、进出时间。</w:t>
      </w:r>
    </w:p>
    <w:p w14:paraId="59EB1532">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3</w:t>
      </w:r>
      <w:r>
        <w:rPr>
          <w:rFonts w:hint="eastAsia" w:ascii="仿宋_GB2312" w:hAnsi="仿宋_GB2312" w:eastAsia="仿宋_GB2312"/>
          <w:sz w:val="28"/>
          <w:szCs w:val="28"/>
        </w:rPr>
        <w:t>、依据业主管理制度，管理进入辖区的非机动车及车辆，非机动车及车辆必须停放在划定的车位、车棚内。严禁车辆停放消防通道及非停车位。</w:t>
      </w:r>
    </w:p>
    <w:p w14:paraId="280B13E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4、保安队员严格执行车辆出入规定。</w:t>
      </w:r>
    </w:p>
    <w:p w14:paraId="46763EE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5、保安队员若发现车辆门、窗没关好，速找车主提醒注意。</w:t>
      </w:r>
    </w:p>
    <w:p w14:paraId="2F978B3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6、确保车辆进出有记录、停放进出井然有序、车道通畅。未经批准装有易燃、易爆、剧毒物品或有污染性物品的车辆及其他来历不明车辆严禁驶入管理区内。</w:t>
      </w:r>
    </w:p>
    <w:p w14:paraId="273C58A1">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（三）消防安全管理</w:t>
      </w:r>
    </w:p>
    <w:p w14:paraId="299DDE9D">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1、按照业主方要求，建立微消应急队伍，明确消防安全工作职责。</w:t>
      </w:r>
    </w:p>
    <w:p w14:paraId="28407BE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2、遇到火警报警，迅速着装前去救援，并做好记录。</w:t>
      </w:r>
    </w:p>
    <w:p w14:paraId="5557F6B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3、每日落实消防设施设备巡查及组织开展防火检查,发现消防隐患及异常情况应及时消除并上报。每日检查楼宇内消防疏散通道，确保消防车通道畅通。</w:t>
      </w:r>
    </w:p>
    <w:p w14:paraId="08B046B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4、按业主方要求，禁止任何部门和个人在楼道内停放电瓶车或为电瓶车充电，一经发现，立即收缴充电器，并做好相关工作记录。</w:t>
      </w:r>
    </w:p>
    <w:p w14:paraId="5E96CCB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5、定期组织安保队员开展消防知识培训和微型消防站应急演练，并保留演练记录。积极配合业主方开展的各类消防、反恐知识培训和演练活动。</w:t>
      </w:r>
    </w:p>
    <w:p w14:paraId="1FA640C6">
      <w:pPr>
        <w:spacing w:line="360" w:lineRule="auto"/>
        <w:ind w:firstLine="700" w:firstLineChars="250"/>
        <w:rPr>
          <w:rFonts w:ascii="仿宋_GB2312" w:hAnsi="仿宋_GB2312" w:eastAsia="仿宋_GB2312"/>
          <w:sz w:val="28"/>
          <w:szCs w:val="28"/>
          <w:highlight w:val="yellow"/>
        </w:rPr>
      </w:pPr>
    </w:p>
    <w:p w14:paraId="377B0B30">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（四）安全生产管理（项目负责人）</w:t>
      </w:r>
    </w:p>
    <w:p w14:paraId="5D440A1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1、全面负责该辖区内的安全协防及秩序维护工作，根据技防和消防维保工作，做好年度管理和监督计划。</w:t>
      </w:r>
    </w:p>
    <w:p w14:paraId="0F11652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2、负责管理、检查消防、技防设施设备的资料存档，秩序维护工作的各项记录，并针对记录进行核实、整理和归档；及时处理记录中反映的各种隐患和问题，并将处理结果反馈归属部门。</w:t>
      </w:r>
    </w:p>
    <w:p w14:paraId="743FDACE">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3、负责项目内的消防工作，相关设施设备的点检，记录项目内的消防器具、器材完好状况，及时调换过期、失效的器材，每年必须组织安排不少于一次消防、反恐防爆等演习（演练）。</w:t>
      </w:r>
    </w:p>
    <w:p w14:paraId="26B93D4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4、安排安保队员工作，不定期检查、审视员工工作质量和工作表现，负责下属员工的日常管理、考核、安全教育管理和指导。</w:t>
      </w:r>
    </w:p>
    <w:p w14:paraId="605D75B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5、组织开展下属秩序维护员的培训工作，培训员工良好的职业道德、娴熟的工作技能和亲切的服务态度。</w:t>
      </w:r>
    </w:p>
    <w:p w14:paraId="5389D27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6、及时协助甲方妥善地处理各项治安和突发性事件，若遇重大或严重事件，应立即赶到现场配合甲方处置。</w:t>
      </w:r>
    </w:p>
    <w:p w14:paraId="498A2BB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7、负责督导、检查、考核本班次秩序维护人员的出勤、仪容仪表及工作表现，发现问题及时纠正，如解决有困难，应及时向上级及归属部门汇报。</w:t>
      </w:r>
    </w:p>
    <w:p w14:paraId="4D36DF5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8、负责维持工作场所良好的环境卫生状况，确保物品按规定使用且摆放整齐有序、环境卫生干净整洁、设施设备状况良好。</w:t>
      </w:r>
    </w:p>
    <w:p w14:paraId="7C5FF19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9、负责做好本职岗位要求的各项记录，负责督导、检查当值期间内秩序维护工作的各项记录，确保记录完整、有效。</w:t>
      </w:r>
    </w:p>
    <w:p w14:paraId="359A904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10严格遵守执行甲方的各项规定，按照标准来完善工作内容、流程和要求，并做好相应的记录。</w:t>
      </w:r>
    </w:p>
    <w:p w14:paraId="5432DED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11、完成不限于以上范围的其他工作和上级交办各项工作。突发自然灾害或突发应急事件时，应按照应急程序 做好现场处置和应急处置工作 。</w:t>
      </w:r>
    </w:p>
    <w:p w14:paraId="12BB4C47">
      <w:pPr>
        <w:numPr>
          <w:ilvl w:val="0"/>
          <w:numId w:val="1"/>
        </w:numPr>
        <w:tabs>
          <w:tab w:val="left" w:pos="567"/>
        </w:tabs>
        <w:spacing w:before="312" w:beforeLines="100" w:after="156" w:afterLines="50" w:line="360" w:lineRule="auto"/>
        <w:ind w:left="426"/>
        <w:jc w:val="left"/>
        <w:outlineLvl w:val="0"/>
        <w:rPr>
          <w:rFonts w:ascii="仿宋_GB2312" w:hAnsi="仿宋_GB2312" w:eastAsia="仿宋_GB2312"/>
          <w:b/>
          <w:color w:val="000000"/>
          <w:kern w:val="0"/>
          <w:sz w:val="28"/>
          <w:szCs w:val="28"/>
        </w:rPr>
      </w:pPr>
      <w:r>
        <w:rPr>
          <w:rFonts w:hint="eastAsia" w:ascii="仿宋_GB2312" w:hAnsi="仿宋_GB2312" w:eastAsia="仿宋_GB2312"/>
          <w:b/>
          <w:color w:val="000000"/>
          <w:kern w:val="0"/>
          <w:sz w:val="28"/>
          <w:szCs w:val="28"/>
        </w:rPr>
        <w:t>保安服务人员设置需求</w:t>
      </w:r>
    </w:p>
    <w:p w14:paraId="202A405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中心根据保卫需求设置，岗位配置与现场安保服务人员，具体详见下表</w:t>
      </w:r>
    </w:p>
    <w:tbl>
      <w:tblPr>
        <w:tblStyle w:val="12"/>
        <w:tblW w:w="5000" w:type="pct"/>
        <w:tblInd w:w="0" w:type="dxa"/>
        <w:tblLayout w:type="autofit"/>
        <w:tblCellMar>
          <w:top w:w="0" w:type="dxa"/>
          <w:left w:w="108" w:type="dxa"/>
          <w:bottom w:w="0" w:type="dxa"/>
          <w:right w:w="108" w:type="dxa"/>
        </w:tblCellMar>
      </w:tblPr>
      <w:tblGrid>
        <w:gridCol w:w="704"/>
        <w:gridCol w:w="2683"/>
        <w:gridCol w:w="923"/>
        <w:gridCol w:w="703"/>
        <w:gridCol w:w="1912"/>
        <w:gridCol w:w="1603"/>
      </w:tblGrid>
      <w:tr w14:paraId="17520B62">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008C0C60">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序号</w:t>
            </w:r>
          </w:p>
        </w:tc>
        <w:tc>
          <w:tcPr>
            <w:tcW w:w="1573"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60C94941">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岗位名称</w:t>
            </w:r>
          </w:p>
        </w:tc>
        <w:tc>
          <w:tcPr>
            <w:tcW w:w="541"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7722044F">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岗位数</w:t>
            </w:r>
          </w:p>
        </w:tc>
        <w:tc>
          <w:tcPr>
            <w:tcW w:w="412"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111179C3">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人数</w:t>
            </w:r>
          </w:p>
        </w:tc>
        <w:tc>
          <w:tcPr>
            <w:tcW w:w="1121"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128180F0">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岗位性质</w:t>
            </w:r>
          </w:p>
        </w:tc>
        <w:tc>
          <w:tcPr>
            <w:tcW w:w="940"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13B4BBA9">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备注</w:t>
            </w:r>
          </w:p>
        </w:tc>
      </w:tr>
      <w:tr w14:paraId="4640E8B1">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0707">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6E0B9">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现场主管</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578C0">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818BA">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11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25B8">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常日班</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0CA0">
            <w:pPr>
              <w:jc w:val="center"/>
              <w:rPr>
                <w:rFonts w:ascii="宋体" w:hAnsi="宋体" w:cs="宋体"/>
                <w:color w:val="000000"/>
                <w:sz w:val="18"/>
                <w:szCs w:val="18"/>
              </w:rPr>
            </w:pPr>
          </w:p>
        </w:tc>
      </w:tr>
      <w:tr w14:paraId="2C1227B3">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DFA8F">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DF93">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消防/监控中心</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1E09D">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80CF6">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7B3F2">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3班2运转</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D543A">
            <w:pPr>
              <w:jc w:val="left"/>
              <w:textAlignment w:val="center"/>
              <w:rPr>
                <w:rFonts w:ascii="宋体" w:hAnsi="宋体" w:cs="宋体"/>
                <w:color w:val="000000"/>
                <w:sz w:val="18"/>
                <w:szCs w:val="18"/>
              </w:rPr>
            </w:pPr>
          </w:p>
        </w:tc>
      </w:tr>
      <w:tr w14:paraId="6CE31FD8">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EBE9">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E051">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秩序维护（门岗）</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7D23">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8185">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w:t>
            </w: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3AFEB">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3班2运转</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BB8C">
            <w:pPr>
              <w:jc w:val="left"/>
              <w:textAlignment w:val="center"/>
              <w:rPr>
                <w:rFonts w:ascii="宋体" w:hAnsi="宋体" w:cs="宋体"/>
                <w:color w:val="000000"/>
                <w:sz w:val="18"/>
                <w:szCs w:val="18"/>
              </w:rPr>
            </w:pPr>
          </w:p>
        </w:tc>
      </w:tr>
      <w:tr w14:paraId="24E30D03">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AAEF">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1AA0">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秩序维护（综合业务楼）</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3162">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A711F">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1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ADC2">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做一休一（12h）</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D3CA">
            <w:pPr>
              <w:jc w:val="center"/>
              <w:rPr>
                <w:rFonts w:ascii="宋体" w:hAnsi="宋体" w:cs="宋体"/>
                <w:color w:val="000000"/>
                <w:sz w:val="18"/>
                <w:szCs w:val="18"/>
              </w:rPr>
            </w:pPr>
          </w:p>
        </w:tc>
      </w:tr>
      <w:tr w14:paraId="6FF0BF4E">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B91C">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090B">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秩序维护（行政楼）</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7EFB">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7F00">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1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4EE64">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做一休一（12h）</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76395">
            <w:pPr>
              <w:jc w:val="center"/>
              <w:rPr>
                <w:rFonts w:ascii="宋体" w:hAnsi="宋体" w:cs="宋体"/>
                <w:color w:val="000000"/>
                <w:sz w:val="18"/>
                <w:szCs w:val="18"/>
              </w:rPr>
            </w:pPr>
          </w:p>
        </w:tc>
      </w:tr>
      <w:tr w14:paraId="7DB38461">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74252">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6</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A47D">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秩序维护（实验楼西）</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93A15">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4602">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1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DB2D">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做一休一（12h）</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9BB1">
            <w:pPr>
              <w:jc w:val="center"/>
              <w:rPr>
                <w:rFonts w:ascii="宋体" w:hAnsi="宋体" w:cs="宋体"/>
                <w:color w:val="000000"/>
                <w:sz w:val="18"/>
                <w:szCs w:val="18"/>
              </w:rPr>
            </w:pPr>
          </w:p>
        </w:tc>
      </w:tr>
      <w:tr w14:paraId="219F8C93">
        <w:tblPrEx>
          <w:tblCellMar>
            <w:top w:w="0" w:type="dxa"/>
            <w:left w:w="108" w:type="dxa"/>
            <w:bottom w:w="0" w:type="dxa"/>
            <w:right w:w="108" w:type="dxa"/>
          </w:tblCellMar>
        </w:tblPrEx>
        <w:trPr>
          <w:trHeight w:val="288" w:hRule="atLeast"/>
        </w:trPr>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5A53">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82D3">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秩序维护（实验楼大厅）</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2BAD">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D7AD2">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11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B7FC">
            <w:pPr>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做一休一（12h）</w:t>
            </w:r>
          </w:p>
        </w:tc>
        <w:tc>
          <w:tcPr>
            <w:tcW w:w="9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4822">
            <w:pPr>
              <w:jc w:val="center"/>
              <w:rPr>
                <w:rFonts w:ascii="宋体" w:hAnsi="宋体" w:cs="宋体"/>
                <w:color w:val="000000"/>
                <w:sz w:val="18"/>
                <w:szCs w:val="18"/>
              </w:rPr>
            </w:pPr>
          </w:p>
        </w:tc>
      </w:tr>
    </w:tbl>
    <w:p w14:paraId="0C154A33">
      <w:pPr>
        <w:spacing w:line="360" w:lineRule="auto"/>
        <w:ind w:firstLine="420" w:firstLineChars="200"/>
        <w:rPr>
          <w:rFonts w:eastAsia="仿宋_GB2312"/>
          <w:snapToGrid w:val="0"/>
          <w:color w:val="000000"/>
          <w:szCs w:val="21"/>
        </w:rPr>
      </w:pPr>
      <w:r>
        <w:rPr>
          <w:rFonts w:hint="eastAsia" w:eastAsia="仿宋_GB2312"/>
          <w:snapToGrid w:val="0"/>
          <w:color w:val="000000"/>
          <w:szCs w:val="21"/>
        </w:rPr>
        <w:t>★本包件物业管理与服务人员总数不得少于20人。</w:t>
      </w:r>
    </w:p>
    <w:p w14:paraId="7DC8C37C">
      <w:pPr>
        <w:ind w:firstLine="560" w:firstLineChars="200"/>
        <w:jc w:val="left"/>
        <w:rPr>
          <w:rFonts w:ascii="仿宋_GB2312" w:hAnsi="仿宋_GB2312" w:eastAsia="仿宋_GB2312"/>
          <w:sz w:val="28"/>
          <w:szCs w:val="28"/>
        </w:rPr>
      </w:pPr>
      <w:r>
        <w:rPr>
          <w:rFonts w:hint="eastAsia" w:ascii="仿宋_GB2312" w:hAnsi="仿宋_GB2312" w:eastAsia="仿宋_GB2312"/>
          <w:sz w:val="28"/>
          <w:szCs w:val="28"/>
        </w:rPr>
        <w:t>说明：</w:t>
      </w:r>
    </w:p>
    <w:p w14:paraId="63DC62A8">
      <w:pPr>
        <w:ind w:firstLine="592" w:firstLineChars="200"/>
        <w:jc w:val="left"/>
        <w:rPr>
          <w:rFonts w:ascii="仿宋_GB2312" w:hAnsi="仿宋_GB2312" w:eastAsia="仿宋_GB2312"/>
          <w:color w:val="595959"/>
          <w:spacing w:val="8"/>
          <w:sz w:val="28"/>
          <w:szCs w:val="28"/>
          <w:shd w:val="clear" w:color="auto" w:fill="FFFFFF"/>
        </w:rPr>
      </w:pPr>
      <w:r>
        <w:rPr>
          <w:rFonts w:hint="eastAsia" w:ascii="仿宋_GB2312" w:hAnsi="仿宋_GB2312" w:eastAsia="仿宋_GB2312"/>
          <w:color w:val="595959"/>
          <w:spacing w:val="8"/>
          <w:sz w:val="28"/>
          <w:szCs w:val="28"/>
          <w:shd w:val="clear" w:color="auto" w:fill="FFFFFF"/>
        </w:rPr>
        <w:t>从事保安服务工作的服务人员均需持有保安员证、提供无犯罪证明。</w:t>
      </w:r>
    </w:p>
    <w:p w14:paraId="7BDCD291">
      <w:pPr>
        <w:ind w:firstLine="560" w:firstLineChars="200"/>
        <w:jc w:val="left"/>
        <w:rPr>
          <w:rFonts w:ascii="仿宋_GB2312" w:hAnsi="仿宋_GB2312" w:eastAsia="仿宋_GB2312"/>
          <w:sz w:val="28"/>
          <w:szCs w:val="28"/>
        </w:rPr>
      </w:pPr>
      <w:r>
        <w:rPr>
          <w:rFonts w:hint="eastAsia" w:ascii="仿宋_GB2312" w:hAnsi="仿宋_GB2312" w:eastAsia="仿宋_GB2312"/>
          <w:sz w:val="28"/>
          <w:szCs w:val="28"/>
        </w:rPr>
        <w:t>投标人应当根据保安服务岗位的风险程度为保安员投保意外伤害保险。</w:t>
      </w:r>
    </w:p>
    <w:p w14:paraId="52FA8502">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投标人根据以上岗位设置表要求配置现场服务人员。根据岗位职责合理安排工作时间，保持24小时人员在岗，全年无节假日。</w:t>
      </w:r>
    </w:p>
    <w:p w14:paraId="59D22E60">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超过国家法规规定的标准工时，按加班工时计算（加班费含在合同总标的内）</w:t>
      </w:r>
    </w:p>
    <w:p w14:paraId="2A5C79EF">
      <w:pPr>
        <w:spacing w:before="156" w:beforeLines="50" w:line="360" w:lineRule="auto"/>
        <w:ind w:left="426" w:leftChars="203"/>
        <w:jc w:val="left"/>
        <w:outlineLvl w:val="1"/>
        <w:rPr>
          <w:rFonts w:ascii="仿宋_GB2312" w:hAnsi="仿宋_GB2312" w:eastAsia="仿宋_GB2312" w:cs="宋体"/>
          <w:b/>
          <w:color w:val="000000"/>
          <w:kern w:val="0"/>
          <w:sz w:val="28"/>
          <w:szCs w:val="28"/>
        </w:rPr>
      </w:pPr>
      <w:r>
        <w:rPr>
          <w:rFonts w:hint="eastAsia" w:ascii="仿宋_GB2312" w:hAnsi="仿宋_GB2312" w:eastAsia="仿宋_GB2312" w:cs="宋体"/>
          <w:b/>
          <w:color w:val="000000"/>
          <w:kern w:val="0"/>
          <w:sz w:val="28"/>
          <w:szCs w:val="28"/>
        </w:rPr>
        <w:t>四、其他要求</w:t>
      </w:r>
    </w:p>
    <w:p w14:paraId="43E3F0C0">
      <w:pPr>
        <w:pStyle w:val="22"/>
        <w:numPr>
          <w:ilvl w:val="-1"/>
          <w:numId w:val="0"/>
        </w:numPr>
        <w:tabs>
          <w:tab w:val="left" w:pos="612"/>
        </w:tabs>
        <w:spacing w:before="312"/>
        <w:ind w:left="284" w:right="342" w:rightChars="163" w:firstLine="0"/>
        <w:outlineLvl w:val="9"/>
        <w:rPr>
          <w:rFonts w:ascii="仿宋_GB2312" w:hAnsi="仿宋_GB2312" w:eastAsia="仿宋_GB2312" w:cs="Times New Roman"/>
          <w:b w:val="0"/>
          <w:snapToGrid w:val="0"/>
          <w:color w:val="000000"/>
          <w:spacing w:val="0"/>
          <w:sz w:val="28"/>
          <w:szCs w:val="28"/>
        </w:rPr>
      </w:pPr>
      <w:r>
        <w:rPr>
          <w:rFonts w:hint="eastAsia" w:ascii="仿宋_GB2312" w:hAnsi="仿宋_GB2312" w:eastAsia="仿宋_GB2312" w:cs="Times New Roman"/>
          <w:b w:val="0"/>
          <w:snapToGrid w:val="0"/>
          <w:color w:val="000000"/>
          <w:spacing w:val="0"/>
          <w:sz w:val="28"/>
          <w:szCs w:val="28"/>
          <w:lang w:eastAsia="zh-CN"/>
        </w:rPr>
        <w:t>（一）</w:t>
      </w:r>
      <w:r>
        <w:rPr>
          <w:rFonts w:ascii="仿宋_GB2312" w:hAnsi="仿宋_GB2312" w:eastAsia="仿宋_GB2312" w:cs="Times New Roman"/>
          <w:b w:val="0"/>
          <w:snapToGrid w:val="0"/>
          <w:color w:val="000000"/>
          <w:spacing w:val="0"/>
          <w:sz w:val="28"/>
          <w:szCs w:val="28"/>
        </w:rPr>
        <w:t>企业资质</w:t>
      </w:r>
    </w:p>
    <w:p w14:paraId="6EFE1BD2">
      <w:pPr>
        <w:pStyle w:val="17"/>
        <w:numPr>
          <w:ilvl w:val="-1"/>
          <w:numId w:val="0"/>
        </w:numPr>
        <w:spacing w:line="360" w:lineRule="auto"/>
        <w:ind w:left="0"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注册与中华人民共和国的具有独立法人资格，具备省、自治区、直辖市人民政府公安机关颁发的《保安服务许可证》</w:t>
      </w:r>
      <w:r>
        <w:rPr>
          <w:rFonts w:hint="eastAsia" w:ascii="仿宋_GB2312" w:hAnsi="仿宋_GB2312" w:eastAsia="仿宋_GB2312"/>
          <w:snapToGrid w:val="0"/>
          <w:color w:val="000000"/>
          <w:sz w:val="28"/>
          <w:szCs w:val="28"/>
          <w:lang w:eastAsia="zh-CN"/>
        </w:rPr>
        <w:t>。</w:t>
      </w:r>
    </w:p>
    <w:p w14:paraId="314B99BA">
      <w:pPr>
        <w:spacing w:line="360" w:lineRule="auto"/>
        <w:ind w:left="42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eastAsia="zh-CN"/>
        </w:rPr>
        <w:t>（二）</w:t>
      </w:r>
      <w:r>
        <w:rPr>
          <w:rFonts w:hint="eastAsia" w:ascii="仿宋_GB2312" w:hAnsi="仿宋_GB2312" w:eastAsia="仿宋_GB2312"/>
          <w:snapToGrid w:val="0"/>
          <w:color w:val="000000"/>
          <w:sz w:val="28"/>
          <w:szCs w:val="28"/>
        </w:rPr>
        <w:t>人员要求</w:t>
      </w:r>
    </w:p>
    <w:p w14:paraId="582B0D91">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1、 所有秩序维护员需获得上海市公安局颁发的保安员上岗证，有部队、特警、消防背景为佳。</w:t>
      </w:r>
    </w:p>
    <w:p w14:paraId="5308841B">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2、现场主管需大专或以上学历并持有及消防设施（四级）操作员证</w:t>
      </w:r>
      <w:r>
        <w:rPr>
          <w:rFonts w:hint="eastAsia" w:ascii="仿宋_GB2312" w:hAnsi="仿宋_GB2312" w:eastAsia="仿宋_GB2312"/>
          <w:snapToGrid w:val="0"/>
          <w:color w:val="000000"/>
          <w:sz w:val="28"/>
          <w:szCs w:val="28"/>
          <w:lang w:eastAsia="zh-CN"/>
        </w:rPr>
        <w:t>。</w:t>
      </w:r>
    </w:p>
    <w:p w14:paraId="1E4682F0">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3、消防/监控员需持有消防设施操作员技术等级中级/四级。</w:t>
      </w:r>
    </w:p>
    <w:p w14:paraId="35ED650E">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4、所有人员年龄结构在</w:t>
      </w:r>
      <w:r>
        <w:rPr>
          <w:rFonts w:ascii="仿宋_GB2312" w:hAnsi="仿宋_GB2312" w:eastAsia="仿宋_GB2312"/>
          <w:snapToGrid w:val="0"/>
          <w:color w:val="000000"/>
          <w:sz w:val="28"/>
          <w:szCs w:val="28"/>
        </w:rPr>
        <w:t>2</w:t>
      </w:r>
      <w:r>
        <w:rPr>
          <w:rFonts w:hint="eastAsia" w:ascii="仿宋_GB2312" w:hAnsi="仿宋_GB2312" w:eastAsia="仿宋_GB2312"/>
          <w:snapToGrid w:val="0"/>
          <w:color w:val="000000"/>
          <w:sz w:val="28"/>
          <w:szCs w:val="28"/>
        </w:rPr>
        <w:t>0－55周岁之间，提供现场服务人员无犯罪承若函。</w:t>
      </w:r>
    </w:p>
    <w:p w14:paraId="39C11CE9">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5、上岗人员，身体健康，无精神病史，能胜任保安岗位工作。</w:t>
      </w:r>
    </w:p>
    <w:p w14:paraId="157A00C0">
      <w:pPr>
        <w:spacing w:line="360" w:lineRule="auto"/>
        <w:ind w:firstLine="280" w:firstLineChars="100"/>
        <w:rPr>
          <w:rFonts w:hint="eastAsia" w:ascii="仿宋_GB2312" w:hAnsi="仿宋_GB2312" w:eastAsia="仿宋_GB2312"/>
          <w:snapToGrid w:val="0"/>
          <w:color w:val="000000"/>
          <w:sz w:val="28"/>
          <w:szCs w:val="28"/>
          <w:lang w:eastAsia="zh-CN"/>
        </w:rPr>
      </w:pPr>
      <w:r>
        <w:rPr>
          <w:rFonts w:hint="eastAsia" w:ascii="仿宋_GB2312" w:hAnsi="仿宋_GB2312" w:eastAsia="仿宋_GB2312"/>
          <w:snapToGrid w:val="0"/>
          <w:color w:val="000000"/>
          <w:sz w:val="28"/>
          <w:szCs w:val="28"/>
          <w:lang w:eastAsia="zh-CN"/>
        </w:rPr>
        <w:t>（三）其他实力及承诺</w:t>
      </w:r>
    </w:p>
    <w:p w14:paraId="4315D5C4">
      <w:pPr>
        <w:pStyle w:val="17"/>
        <w:numPr>
          <w:ilvl w:val="-1"/>
          <w:numId w:val="0"/>
        </w:numPr>
        <w:spacing w:line="360" w:lineRule="auto"/>
        <w:ind w:left="0" w:firstLine="560" w:firstLineChars="200"/>
        <w:rPr>
          <w:rFonts w:hint="eastAsia"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1.</w:t>
      </w:r>
      <w:r>
        <w:rPr>
          <w:rFonts w:hint="eastAsia" w:ascii="仿宋_GB2312" w:hAnsi="仿宋_GB2312" w:eastAsia="仿宋_GB2312"/>
          <w:snapToGrid w:val="0"/>
          <w:color w:val="000000"/>
          <w:sz w:val="28"/>
          <w:szCs w:val="28"/>
        </w:rPr>
        <w:t>企业通过ISO9001质量管理体系、ISO14001环境管理体系和ISO45001职业健康管理体系认证。</w:t>
      </w:r>
    </w:p>
    <w:p w14:paraId="71F627A9">
      <w:pPr>
        <w:pStyle w:val="17"/>
        <w:numPr>
          <w:ilvl w:val="-1"/>
          <w:numId w:val="0"/>
        </w:numPr>
        <w:spacing w:line="360" w:lineRule="auto"/>
        <w:ind w:left="0"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2.</w:t>
      </w:r>
      <w:r>
        <w:rPr>
          <w:rFonts w:hint="eastAsia" w:ascii="仿宋_GB2312" w:hAnsi="仿宋_GB2312" w:eastAsia="仿宋_GB2312"/>
          <w:snapToGrid w:val="0"/>
          <w:color w:val="000000"/>
          <w:sz w:val="28"/>
          <w:szCs w:val="28"/>
        </w:rPr>
        <w:t>近三年内，具有至少2个及以上与本招标项目类似的安保服务业绩（需要提供委托管理合同复印件或影印件。如果投标人所提供的合同(复印件)无法认定其合同签订时间、合同内容、盖章页、体量等关键信息，则该合同将被认定为无效证明材料）</w:t>
      </w:r>
    </w:p>
    <w:p w14:paraId="1656674B">
      <w:pPr>
        <w:pStyle w:val="17"/>
        <w:numPr>
          <w:ilvl w:val="-1"/>
          <w:numId w:val="0"/>
        </w:numPr>
        <w:spacing w:line="360" w:lineRule="auto"/>
        <w:ind w:left="10" w:firstLine="630" w:firstLineChars="225"/>
        <w:rPr>
          <w:rFonts w:hint="eastAsia"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3.</w:t>
      </w:r>
      <w:r>
        <w:rPr>
          <w:rFonts w:hint="eastAsia" w:ascii="仿宋_GB2312" w:hAnsi="仿宋_GB2312" w:eastAsia="仿宋_GB2312"/>
          <w:snapToGrid w:val="0"/>
          <w:color w:val="000000"/>
          <w:sz w:val="28"/>
          <w:szCs w:val="28"/>
        </w:rPr>
        <w:t>中标承诺约定；企业承诺中标后现场服务工作人员信息与投标文件一致。现场主管、消监控成员的调整需经甲方批准。</w:t>
      </w:r>
    </w:p>
    <w:p w14:paraId="5F0FBCBC">
      <w:pPr>
        <w:numPr>
          <w:ilvl w:val="-1"/>
          <w:numId w:val="0"/>
        </w:numPr>
        <w:tabs>
          <w:tab w:val="left" w:pos="567"/>
        </w:tabs>
        <w:spacing w:before="312" w:beforeLines="100" w:after="156" w:afterLines="50" w:line="360" w:lineRule="auto"/>
        <w:ind w:left="0" w:leftChars="0" w:firstLine="0"/>
        <w:jc w:val="left"/>
        <w:outlineLvl w:val="0"/>
        <w:rPr>
          <w:rFonts w:hint="default" w:ascii="仿宋_GB2312" w:hAnsi="仿宋_GB2312" w:eastAsia="仿宋_GB2312" w:cs="宋体"/>
          <w:b/>
          <w:color w:val="000000"/>
          <w:kern w:val="0"/>
          <w:sz w:val="28"/>
          <w:szCs w:val="28"/>
          <w:lang w:val="en-US" w:eastAsia="zh-CN"/>
        </w:rPr>
      </w:pPr>
    </w:p>
    <w:sectPr>
      <w:headerReference r:id="rId3" w:type="default"/>
      <w:headerReference r:id="rId4"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Lucida Sans">
    <w:altName w:val="Noto Naskh Arabic"/>
    <w:panose1 w:val="020B0602040502020204"/>
    <w:charset w:val="00"/>
    <w:family w:val="swiss"/>
    <w:pitch w:val="default"/>
    <w:sig w:usb0="00000000" w:usb1="00000000" w:usb2="00000008" w:usb3="00000000" w:csb0="0000009F" w:csb1="00000000"/>
  </w:font>
  <w:font w:name="Noto Naskh Arabic">
    <w:panose1 w:val="020B0502040504020204"/>
    <w:charset w:val="00"/>
    <w:family w:val="auto"/>
    <w:pitch w:val="default"/>
    <w:sig w:usb0="80002003" w:usb1="80002000" w:usb2="00000008" w:usb3="00000000" w:csb0="00000041" w:csb1="00080000"/>
  </w:font>
  <w:font w:name="方正兰亭黑_GBK">
    <w:altName w:val="方正黑体_GBK"/>
    <w:panose1 w:val="00000000000000000000"/>
    <w:charset w:val="86"/>
    <w:family w:val="script"/>
    <w:pitch w:val="default"/>
    <w:sig w:usb0="00000000" w:usb1="00000000" w:usb2="0008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Narrow">
    <w:altName w:val="DejaVu Sans"/>
    <w:panose1 w:val="020B0606020202030204"/>
    <w:charset w:val="00"/>
    <w:family w:val="swiss"/>
    <w:pitch w:val="default"/>
    <w:sig w:usb0="00000000" w:usb1="00000000" w:usb2="00000000" w:usb3="00000000" w:csb0="0000009F"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2417C">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4DA19">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E925D"/>
    <w:multiLevelType w:val="singleLevel"/>
    <w:tmpl w:val="686E92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0MGM4NDE3YWFlMzA0MWViNTY0Yjg0OThlOTIyYjUifQ=="/>
  </w:docVars>
  <w:rsids>
    <w:rsidRoot w:val="0038620A"/>
    <w:rsid w:val="000C5CD1"/>
    <w:rsid w:val="00101A76"/>
    <w:rsid w:val="001B5118"/>
    <w:rsid w:val="002204DC"/>
    <w:rsid w:val="0022502D"/>
    <w:rsid w:val="0023262E"/>
    <w:rsid w:val="00241AFF"/>
    <w:rsid w:val="00247AB5"/>
    <w:rsid w:val="00255832"/>
    <w:rsid w:val="002A6059"/>
    <w:rsid w:val="002C3D2A"/>
    <w:rsid w:val="0038551C"/>
    <w:rsid w:val="0038620A"/>
    <w:rsid w:val="003A7E81"/>
    <w:rsid w:val="005745CD"/>
    <w:rsid w:val="00577E0A"/>
    <w:rsid w:val="005A24B8"/>
    <w:rsid w:val="005A2B24"/>
    <w:rsid w:val="005B2484"/>
    <w:rsid w:val="005C739A"/>
    <w:rsid w:val="005E2373"/>
    <w:rsid w:val="006059D7"/>
    <w:rsid w:val="0060630C"/>
    <w:rsid w:val="00640F70"/>
    <w:rsid w:val="006470F4"/>
    <w:rsid w:val="00675CED"/>
    <w:rsid w:val="006E3D0C"/>
    <w:rsid w:val="007332B0"/>
    <w:rsid w:val="00763D00"/>
    <w:rsid w:val="007829AE"/>
    <w:rsid w:val="008252CD"/>
    <w:rsid w:val="00832AAB"/>
    <w:rsid w:val="00843023"/>
    <w:rsid w:val="00843596"/>
    <w:rsid w:val="0084608F"/>
    <w:rsid w:val="00855CC1"/>
    <w:rsid w:val="00891A53"/>
    <w:rsid w:val="008A753D"/>
    <w:rsid w:val="009A1D4D"/>
    <w:rsid w:val="009C68EB"/>
    <w:rsid w:val="00A57158"/>
    <w:rsid w:val="00A86BF3"/>
    <w:rsid w:val="00A937F4"/>
    <w:rsid w:val="00B00227"/>
    <w:rsid w:val="00B14F68"/>
    <w:rsid w:val="00B85DAB"/>
    <w:rsid w:val="00B87165"/>
    <w:rsid w:val="00BB1862"/>
    <w:rsid w:val="00BC64DF"/>
    <w:rsid w:val="00BD03E8"/>
    <w:rsid w:val="00BF52F8"/>
    <w:rsid w:val="00C24B3D"/>
    <w:rsid w:val="00C64723"/>
    <w:rsid w:val="00D1280B"/>
    <w:rsid w:val="00D554BA"/>
    <w:rsid w:val="00D61C1C"/>
    <w:rsid w:val="00D92949"/>
    <w:rsid w:val="00DB48F7"/>
    <w:rsid w:val="00E2063F"/>
    <w:rsid w:val="00E231C2"/>
    <w:rsid w:val="00E33D04"/>
    <w:rsid w:val="00E62A39"/>
    <w:rsid w:val="00EA7B32"/>
    <w:rsid w:val="00EC34B7"/>
    <w:rsid w:val="00EF268F"/>
    <w:rsid w:val="00F30D7E"/>
    <w:rsid w:val="0FB54D97"/>
    <w:rsid w:val="2BC07713"/>
    <w:rsid w:val="2FB962FE"/>
    <w:rsid w:val="3EEFDABD"/>
    <w:rsid w:val="3FFD1C1F"/>
    <w:rsid w:val="45E867A9"/>
    <w:rsid w:val="46E50C5D"/>
    <w:rsid w:val="4F053EF0"/>
    <w:rsid w:val="50970D9B"/>
    <w:rsid w:val="5E435858"/>
    <w:rsid w:val="5F903BD3"/>
    <w:rsid w:val="5FEFE28A"/>
    <w:rsid w:val="5FF76A12"/>
    <w:rsid w:val="6DFDB4A5"/>
    <w:rsid w:val="706144AC"/>
    <w:rsid w:val="77F7395E"/>
    <w:rsid w:val="7E5F46E8"/>
    <w:rsid w:val="7E6A104B"/>
    <w:rsid w:val="C9FB0361"/>
    <w:rsid w:val="DEEE5D74"/>
    <w:rsid w:val="F6EB8AD4"/>
    <w:rsid w:val="FF550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9"/>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semiHidden/>
    <w:unhideWhenUsed/>
    <w:qFormat/>
    <w:uiPriority w:val="9"/>
    <w:pPr>
      <w:keepNext/>
      <w:keepLines/>
      <w:spacing w:before="260" w:after="260" w:line="415"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rPr>
      <w:rFonts w:ascii="等线" w:eastAsia="等线" w:cs="Arial"/>
    </w:rPr>
  </w:style>
  <w:style w:type="paragraph" w:styleId="6">
    <w:name w:val="Plain Text"/>
    <w:basedOn w:val="1"/>
    <w:link w:val="18"/>
    <w:autoRedefine/>
    <w:qFormat/>
    <w:uiPriority w:val="0"/>
    <w:rPr>
      <w:rFonts w:ascii="宋体" w:hAnsi="Courier New"/>
      <w:szCs w:val="20"/>
    </w:rPr>
  </w:style>
  <w:style w:type="paragraph" w:styleId="7">
    <w:name w:val="Balloon Text"/>
    <w:basedOn w:val="1"/>
    <w:autoRedefine/>
    <w:qFormat/>
    <w:uiPriority w:val="0"/>
    <w:rPr>
      <w:rFonts w:ascii="等线" w:eastAsia="等线" w:cs="Arial"/>
      <w:sz w:val="18"/>
      <w:szCs w:val="18"/>
    </w:rPr>
  </w:style>
  <w:style w:type="paragraph" w:styleId="8">
    <w:name w:val="footer"/>
    <w:basedOn w:val="1"/>
    <w:autoRedefine/>
    <w:qFormat/>
    <w:uiPriority w:val="0"/>
    <w:pPr>
      <w:tabs>
        <w:tab w:val="center" w:pos="4153"/>
        <w:tab w:val="right" w:pos="8306"/>
      </w:tabs>
      <w:snapToGrid w:val="0"/>
      <w:jc w:val="left"/>
    </w:pPr>
    <w:rPr>
      <w:rFonts w:ascii="等线" w:eastAsia="等线" w:cs="Arial"/>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等线" w:eastAsia="等线" w:cs="Arial"/>
      <w:sz w:val="18"/>
      <w:szCs w:val="18"/>
    </w:rPr>
  </w:style>
  <w:style w:type="paragraph" w:styleId="10">
    <w:name w:val="List"/>
    <w:basedOn w:val="1"/>
    <w:autoRedefine/>
    <w:qFormat/>
    <w:uiPriority w:val="0"/>
    <w:pPr>
      <w:spacing w:line="360" w:lineRule="auto"/>
      <w:ind w:left="720" w:firstLine="420" w:firstLineChars="200"/>
    </w:pPr>
    <w:rPr>
      <w:rFonts w:ascii="Times New Roman" w:hAnsi="Times New Roman"/>
      <w:szCs w:val="24"/>
    </w:rPr>
  </w:style>
  <w:style w:type="paragraph" w:styleId="11">
    <w:name w:val="annotation subject"/>
    <w:basedOn w:val="5"/>
    <w:next w:val="5"/>
    <w:autoRedefine/>
    <w:qFormat/>
    <w:uiPriority w:val="0"/>
    <w:rPr>
      <w:b/>
      <w:bCs/>
    </w:rPr>
  </w:style>
  <w:style w:type="character" w:styleId="14">
    <w:name w:val="annotation reference"/>
    <w:basedOn w:val="13"/>
    <w:autoRedefine/>
    <w:qFormat/>
    <w:uiPriority w:val="0"/>
    <w:rPr>
      <w:sz w:val="21"/>
      <w:szCs w:val="21"/>
    </w:rPr>
  </w:style>
  <w:style w:type="paragraph" w:customStyle="1" w:styleId="15">
    <w:name w:val="修订1"/>
    <w:autoRedefine/>
    <w:qFormat/>
    <w:uiPriority w:val="0"/>
    <w:pPr>
      <w:jc w:val="both"/>
    </w:pPr>
    <w:rPr>
      <w:rFonts w:ascii="等线" w:hAnsi="Times New Roman" w:eastAsia="等线" w:cs="Arial"/>
      <w:kern w:val="2"/>
      <w:sz w:val="21"/>
      <w:szCs w:val="22"/>
      <w:lang w:val="en-US" w:eastAsia="zh-CN" w:bidi="ar-SA"/>
    </w:rPr>
  </w:style>
  <w:style w:type="paragraph" w:styleId="16">
    <w:name w:val="No Spacing"/>
    <w:autoRedefine/>
    <w:qFormat/>
    <w:uiPriority w:val="0"/>
    <w:pPr>
      <w:widowControl w:val="0"/>
      <w:jc w:val="both"/>
    </w:pPr>
    <w:rPr>
      <w:rFonts w:ascii="等线" w:hAnsi="Times New Roman" w:eastAsia="等线" w:cs="Arial"/>
      <w:kern w:val="2"/>
      <w:sz w:val="21"/>
      <w:szCs w:val="22"/>
      <w:lang w:val="en-US" w:eastAsia="zh-CN" w:bidi="ar-SA"/>
    </w:rPr>
  </w:style>
  <w:style w:type="paragraph" w:styleId="17">
    <w:name w:val="List Paragraph"/>
    <w:basedOn w:val="1"/>
    <w:autoRedefine/>
    <w:qFormat/>
    <w:uiPriority w:val="34"/>
    <w:pPr>
      <w:ind w:firstLine="420" w:firstLineChars="200"/>
    </w:pPr>
  </w:style>
  <w:style w:type="character" w:customStyle="1" w:styleId="18">
    <w:name w:val="纯文本 Char"/>
    <w:basedOn w:val="13"/>
    <w:link w:val="6"/>
    <w:qFormat/>
    <w:uiPriority w:val="0"/>
    <w:rPr>
      <w:rFonts w:ascii="宋体" w:hAnsi="Courier New" w:cs="Times New Roman"/>
      <w:kern w:val="2"/>
      <w:sz w:val="21"/>
    </w:rPr>
  </w:style>
  <w:style w:type="table" w:customStyle="1" w:styleId="19">
    <w:name w:val="Table Normal"/>
    <w:autoRedefine/>
    <w:semiHidden/>
    <w:unhideWhenUsed/>
    <w:qFormat/>
    <w:uiPriority w:val="0"/>
    <w:tblPr>
      <w:tblCellMar>
        <w:top w:w="0" w:type="dxa"/>
        <w:left w:w="0" w:type="dxa"/>
        <w:bottom w:w="0" w:type="dxa"/>
        <w:right w:w="0" w:type="dxa"/>
      </w:tblCellMar>
    </w:tblPr>
  </w:style>
  <w:style w:type="paragraph" w:customStyle="1" w:styleId="20">
    <w:name w:val="Table Text"/>
    <w:basedOn w:val="1"/>
    <w:autoRedefine/>
    <w:semiHidden/>
    <w:qFormat/>
    <w:uiPriority w:val="0"/>
    <w:rPr>
      <w:rFonts w:ascii="仿宋" w:hAnsi="仿宋" w:eastAsia="仿宋" w:cs="仿宋"/>
      <w:sz w:val="22"/>
      <w:lang w:eastAsia="en-US"/>
    </w:rPr>
  </w:style>
  <w:style w:type="character" w:customStyle="1" w:styleId="21">
    <w:name w:val="标1 Char Char"/>
    <w:link w:val="22"/>
    <w:qFormat/>
    <w:uiPriority w:val="0"/>
    <w:rPr>
      <w:rFonts w:ascii="Arial Narrow" w:hAnsi="Arial Narrow" w:eastAsia="仿宋"/>
      <w:b/>
      <w:spacing w:val="20"/>
      <w:sz w:val="24"/>
      <w:szCs w:val="24"/>
    </w:rPr>
  </w:style>
  <w:style w:type="paragraph" w:customStyle="1" w:styleId="22">
    <w:name w:val="标1"/>
    <w:basedOn w:val="1"/>
    <w:link w:val="21"/>
    <w:qFormat/>
    <w:uiPriority w:val="0"/>
    <w:pPr>
      <w:tabs>
        <w:tab w:val="left" w:pos="1140"/>
      </w:tabs>
      <w:adjustRightInd w:val="0"/>
      <w:snapToGrid w:val="0"/>
      <w:spacing w:beforeLines="100" w:line="360" w:lineRule="auto"/>
      <w:ind w:left="1140" w:hanging="720"/>
      <w:jc w:val="left"/>
      <w:outlineLvl w:val="0"/>
    </w:pPr>
    <w:rPr>
      <w:rFonts w:ascii="Arial Narrow" w:hAnsi="Arial Narrow" w:eastAsia="仿宋" w:cs="Lucida Sans"/>
      <w:b/>
      <w:spacing w:val="2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0F1BC289-D31E-4560-A411-934622C1EB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594</Words>
  <Characters>3390</Characters>
  <Lines>28</Lines>
  <Paragraphs>7</Paragraphs>
  <TotalTime>16</TotalTime>
  <ScaleCrop>false</ScaleCrop>
  <LinksUpToDate>false</LinksUpToDate>
  <CharactersWithSpaces>3977</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2025-05-01T08:35:00Z</dcterms:created>
  <dc:creator>张姝雅</dc:creator>
  <cp:lastModifiedBy>user</cp:lastModifiedBy>
  <dcterms:modified xsi:type="dcterms:W3CDTF">2025-05-13T16:00:51Z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24D4BB3A59CFAFFBE69E216885F9055B_43</vt:lpwstr>
  </property>
</Properties>
</file>