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4CCDC3">
      <w:pPr>
        <w:jc w:val="center"/>
        <w:rPr>
          <w:rFonts w:ascii="仿宋_GB2312" w:hAnsi="仿宋_GB2312" w:eastAsia="仿宋_GB2312"/>
          <w:b/>
          <w:sz w:val="28"/>
          <w:szCs w:val="28"/>
        </w:rPr>
      </w:pPr>
      <w:r>
        <w:rPr>
          <w:rFonts w:hint="eastAsia" w:ascii="仿宋_GB2312" w:hAnsi="仿宋_GB2312" w:eastAsia="仿宋_GB2312"/>
          <w:b/>
          <w:sz w:val="28"/>
          <w:szCs w:val="28"/>
        </w:rPr>
        <w:t>中心（申虹路</w:t>
      </w:r>
      <w:r>
        <w:rPr>
          <w:rFonts w:ascii="仿宋_GB2312" w:hAnsi="仿宋_GB2312" w:eastAsia="仿宋_GB2312"/>
          <w:b/>
          <w:sz w:val="28"/>
          <w:szCs w:val="28"/>
        </w:rPr>
        <w:t>）</w:t>
      </w:r>
      <w:r>
        <w:rPr>
          <w:rFonts w:hint="eastAsia" w:ascii="仿宋_GB2312" w:hAnsi="仿宋_GB2312" w:eastAsia="仿宋_GB2312"/>
          <w:b/>
          <w:sz w:val="28"/>
          <w:szCs w:val="28"/>
        </w:rPr>
        <w:t>保安采购服务需求</w:t>
      </w:r>
    </w:p>
    <w:p w14:paraId="4DFBA75E">
      <w:pPr>
        <w:rPr>
          <w:rFonts w:ascii="仿宋_GB2312" w:hAnsi="仿宋_GB2312" w:eastAsia="仿宋_GB2312"/>
          <w:sz w:val="28"/>
          <w:szCs w:val="28"/>
        </w:rPr>
      </w:pPr>
    </w:p>
    <w:p w14:paraId="13ED034E">
      <w:pPr>
        <w:tabs>
          <w:tab w:val="left" w:pos="567"/>
        </w:tabs>
        <w:spacing w:before="312" w:beforeLines="100" w:after="156" w:afterLines="50" w:line="360" w:lineRule="auto"/>
        <w:ind w:left="426" w:leftChars="203"/>
        <w:jc w:val="left"/>
        <w:outlineLvl w:val="0"/>
        <w:rPr>
          <w:rFonts w:ascii="仿宋_GB2312" w:hAnsi="仿宋_GB2312" w:eastAsia="仿宋_GB2312" w:cs="宋体"/>
          <w:color w:val="000000"/>
          <w:kern w:val="0"/>
          <w:sz w:val="28"/>
          <w:szCs w:val="28"/>
        </w:rPr>
      </w:pPr>
      <w:r>
        <w:rPr>
          <w:rFonts w:hint="eastAsia" w:ascii="仿宋_GB2312" w:hAnsi="仿宋_GB2312" w:eastAsia="仿宋_GB2312"/>
          <w:b/>
          <w:color w:val="000000"/>
          <w:kern w:val="0"/>
          <w:sz w:val="28"/>
          <w:szCs w:val="28"/>
        </w:rPr>
        <w:t>一、项目概况</w:t>
      </w:r>
      <w:r>
        <w:rPr>
          <w:rFonts w:hint="eastAsia" w:ascii="宋体" w:hAnsi="宋体" w:cs="宋体"/>
          <w:b/>
          <w:color w:val="000000"/>
          <w:kern w:val="0"/>
          <w:sz w:val="28"/>
          <w:szCs w:val="28"/>
        </w:rPr>
        <w:t> </w:t>
      </w:r>
      <w:r>
        <w:rPr>
          <w:rFonts w:ascii="仿宋_GB2312" w:hAnsi="仿宋_GB2312" w:eastAsia="仿宋_GB2312"/>
          <w:b/>
          <w:color w:val="000000"/>
          <w:kern w:val="0"/>
          <w:sz w:val="28"/>
          <w:szCs w:val="28"/>
        </w:rPr>
        <w:t xml:space="preserve"> </w:t>
      </w:r>
    </w:p>
    <w:p w14:paraId="704A69F7">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（一）基本情况</w:t>
      </w:r>
    </w:p>
    <w:p w14:paraId="4DC5289B">
      <w:pPr>
        <w:spacing w:line="360" w:lineRule="auto"/>
        <w:ind w:firstLine="560" w:firstLineChars="200"/>
        <w:rPr>
          <w:rFonts w:ascii="仿宋_GB2312" w:hAnsi="仿宋_GB2312" w:eastAsia="仿宋_GB2312"/>
          <w:sz w:val="28"/>
          <w:szCs w:val="28"/>
          <w:u w:val="single"/>
        </w:rPr>
      </w:pPr>
      <w:r>
        <w:rPr>
          <w:rFonts w:hint="eastAsia" w:ascii="仿宋_GB2312" w:hAnsi="仿宋_GB2312" w:eastAsia="仿宋_GB2312"/>
          <w:sz w:val="28"/>
          <w:szCs w:val="28"/>
        </w:rPr>
        <w:t>项目名称：</w:t>
      </w:r>
      <w:r>
        <w:rPr>
          <w:rFonts w:hint="eastAsia" w:ascii="仿宋_GB2312" w:hAnsi="仿宋_GB2312" w:eastAsia="仿宋_GB2312"/>
          <w:sz w:val="28"/>
          <w:szCs w:val="28"/>
          <w:u w:val="single"/>
        </w:rPr>
        <w:t>上海市疾病预防控制中心</w:t>
      </w:r>
    </w:p>
    <w:p w14:paraId="178F5413">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坐落位置：</w:t>
      </w:r>
      <w:r>
        <w:rPr>
          <w:rFonts w:hint="eastAsia" w:ascii="仿宋_GB2312" w:hAnsi="仿宋_GB2312" w:eastAsia="仿宋_GB2312"/>
          <w:sz w:val="28"/>
          <w:szCs w:val="28"/>
          <w:u w:val="single"/>
        </w:rPr>
        <w:t>上海</w:t>
      </w:r>
      <w:r>
        <w:rPr>
          <w:rFonts w:hint="eastAsia" w:ascii="仿宋_GB2312" w:hAnsi="仿宋_GB2312" w:eastAsia="仿宋_GB2312"/>
          <w:sz w:val="28"/>
          <w:szCs w:val="28"/>
        </w:rPr>
        <w:t>市</w:t>
      </w:r>
      <w:r>
        <w:rPr>
          <w:rFonts w:hint="eastAsia" w:ascii="仿宋_GB2312" w:hAnsi="仿宋_GB2312" w:eastAsia="仿宋_GB2312"/>
          <w:sz w:val="28"/>
          <w:szCs w:val="28"/>
          <w:u w:val="single"/>
        </w:rPr>
        <w:t>闵行</w:t>
      </w:r>
      <w:r>
        <w:rPr>
          <w:rFonts w:hint="eastAsia" w:ascii="仿宋_GB2312" w:hAnsi="仿宋_GB2312" w:eastAsia="仿宋_GB2312"/>
          <w:sz w:val="28"/>
          <w:szCs w:val="28"/>
        </w:rPr>
        <w:t>区</w:t>
      </w:r>
      <w:r>
        <w:rPr>
          <w:rFonts w:hint="eastAsia" w:ascii="仿宋_GB2312" w:hAnsi="仿宋_GB2312" w:eastAsia="仿宋_GB2312"/>
          <w:sz w:val="28"/>
          <w:szCs w:val="28"/>
          <w:u w:val="single"/>
        </w:rPr>
        <w:t>申虹路</w:t>
      </w:r>
      <w:r>
        <w:rPr>
          <w:rFonts w:hint="eastAsia" w:ascii="仿宋_GB2312" w:hAnsi="仿宋_GB2312" w:eastAsia="仿宋_GB2312"/>
          <w:sz w:val="28"/>
          <w:szCs w:val="28"/>
        </w:rPr>
        <w:t>（新虹街道）</w:t>
      </w:r>
      <w:r>
        <w:rPr>
          <w:rFonts w:hint="eastAsia" w:ascii="仿宋_GB2312" w:hAnsi="仿宋_GB2312" w:eastAsia="仿宋_GB2312"/>
          <w:sz w:val="28"/>
          <w:szCs w:val="28"/>
          <w:u w:val="single"/>
        </w:rPr>
        <w:t>1399</w:t>
      </w:r>
      <w:r>
        <w:rPr>
          <w:rFonts w:hint="eastAsia" w:ascii="仿宋_GB2312" w:hAnsi="仿宋_GB2312" w:eastAsia="仿宋_GB2312"/>
          <w:sz w:val="28"/>
          <w:szCs w:val="28"/>
        </w:rPr>
        <w:t>号</w:t>
      </w:r>
    </w:p>
    <w:p w14:paraId="1771B4A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项目预算金额（万元）：619.2万元</w:t>
      </w:r>
    </w:p>
    <w:p w14:paraId="4CC8D149">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（二）项目概况</w:t>
      </w:r>
    </w:p>
    <w:p w14:paraId="5C4DC669">
      <w:pPr>
        <w:spacing w:line="360" w:lineRule="auto"/>
        <w:ind w:firstLine="548" w:firstLineChars="196"/>
        <w:rPr>
          <w:rFonts w:ascii="仿宋_GB2312" w:hAnsi="仿宋_GB2312" w:eastAsia="仿宋_GB2312"/>
          <w:sz w:val="28"/>
          <w:szCs w:val="28"/>
        </w:rPr>
      </w:pPr>
      <w:r>
        <w:rPr>
          <w:rFonts w:hint="eastAsia" w:ascii="仿宋_GB2312" w:hAnsi="仿宋_GB2312" w:eastAsia="仿宋_GB2312"/>
          <w:sz w:val="28"/>
          <w:szCs w:val="28"/>
        </w:rPr>
        <w:t>项目位置位于申虹路1399号，占地面积34153㎡。建设有综合业务楼、理化实验楼、微生物实验楼、P3实验楼及地下室2层，其中地上建筑面积80000㎡，地下建筑面积37420㎡，共计117420㎡。共有4个门，人行门1个、正门1个、物流门1个、应急消防门1个。申虹路园区内实行人车分流管理，人员进出通行实行权限管理，监控室与消控室独立，各1间。</w:t>
      </w:r>
    </w:p>
    <w:p w14:paraId="0F2DAD30">
      <w:pPr>
        <w:numPr>
          <w:ilvl w:val="0"/>
          <w:numId w:val="1"/>
        </w:numPr>
        <w:tabs>
          <w:tab w:val="left" w:pos="567"/>
        </w:tabs>
        <w:spacing w:before="312" w:beforeLines="100" w:after="156" w:afterLines="50" w:line="360" w:lineRule="auto"/>
        <w:ind w:left="426" w:leftChars="203"/>
        <w:jc w:val="left"/>
        <w:outlineLvl w:val="0"/>
        <w:rPr>
          <w:rFonts w:ascii="仿宋_GB2312" w:hAnsi="仿宋_GB2312" w:eastAsia="仿宋_GB2312"/>
          <w:b/>
          <w:bCs/>
          <w:color w:val="FF0000"/>
          <w:sz w:val="28"/>
          <w:szCs w:val="28"/>
        </w:rPr>
      </w:pPr>
      <w:r>
        <w:rPr>
          <w:rFonts w:hint="eastAsia" w:ascii="仿宋_GB2312" w:hAnsi="仿宋_GB2312" w:eastAsia="仿宋_GB2312"/>
          <w:b/>
          <w:color w:val="000000"/>
          <w:kern w:val="0"/>
          <w:sz w:val="28"/>
          <w:szCs w:val="28"/>
        </w:rPr>
        <w:t>服务内容及要求</w:t>
      </w:r>
    </w:p>
    <w:p w14:paraId="0E00F046">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（一）秩序维护</w:t>
      </w:r>
    </w:p>
    <w:p w14:paraId="5557A645">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1、门岗值守</w:t>
      </w:r>
    </w:p>
    <w:p w14:paraId="695F0E1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（1）门卫安保人员必须持有安保人员上岗证，全体24小时在规定位置执勤，问询指引需用语规范、礼貌待人，做好值班记录。</w:t>
      </w:r>
    </w:p>
    <w:p w14:paraId="0171C8A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（2）负责通行管理和安全秩序维护，在上下班高峰时段，立岗指挥，疏导人员、车辆进出，维护大门区域正常秩序，妥善处置各类突发事件。</w:t>
      </w:r>
    </w:p>
    <w:p w14:paraId="7338BBF7">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（3）认真落实车辆进出管理制度，做好外来车辆进出管理、登记等工作。除出入口外，确保地下车库、地面停放车辆有序停放和出入管理。</w:t>
      </w:r>
    </w:p>
    <w:p w14:paraId="65D3245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（4）按照业主方要求，严格执行物品进出登记制度，对大件、贵重、可疑物品运出进行核验、登记。在未经批准，禁止各类人员带入易燃、易爆、剧毒、管制刀具等各类危险、有害物品。</w:t>
      </w:r>
    </w:p>
    <w:p w14:paraId="516D795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（5）门卫安保人员须着装整齐、仪容整洁，工作时间不得抽烟、闲聊、接听电话等与执勤无关事情，保持良好的形象，避免与各类人员发生冲突。</w:t>
      </w:r>
    </w:p>
    <w:p w14:paraId="314A9A9D">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2、巡逻检查</w:t>
      </w:r>
    </w:p>
    <w:p w14:paraId="1EA81F3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（1）根据现场环境和重点部位管理要求，制定相对固定的巡逻路线，巡逻路线设置覆盖率 100%。</w:t>
      </w:r>
    </w:p>
    <w:p w14:paraId="380CCCB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（2）严格落实内保及反恐制度、规定的巡查频率，发现异常状况和安全隐患及时处置并上报，认真做好巡查记录。</w:t>
      </w:r>
    </w:p>
    <w:p w14:paraId="3FBF181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（3）巡逻中发现可疑人员要及时询问或监视，发现闲杂人员、推销人员要及时劝阻离开，发现员工不良行为要及时进行劝阻、纠正，汇报上级主管部门。</w:t>
      </w:r>
    </w:p>
    <w:p w14:paraId="16516127">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（4）对各类危害安全、影响秩序的人员行为进行劝阻，杜绝发生喧哗、吵闹、打架等不安全情况发生，劝阻无效的及时报告上级主管部门。</w:t>
      </w:r>
    </w:p>
    <w:p w14:paraId="3C3FE41F">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（5）接到员工报警，须3分钟内赶到出事地点，按照应急预案处置。</w:t>
      </w:r>
    </w:p>
    <w:p w14:paraId="1FBE874E">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（6）协助做好环境及设施设备看护，制止能源浪费、损坏公物、破坏花草树木等现象发生，发现各类问题、隐患及时通知相关部门及人员进行处置。</w:t>
      </w:r>
    </w:p>
    <w:p w14:paraId="0AE5736F">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（7）根据业主方要求，配合做好防汛防台、灾害性天气期间的巡防和抢险工作。</w:t>
      </w:r>
    </w:p>
    <w:p w14:paraId="5126974E">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3、消、安防监控</w:t>
      </w:r>
    </w:p>
    <w:p w14:paraId="553B867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（1）负责消、安防监控值班，实行双岗24小时值班制，人员不得擅自离开、脱岗等，按要求做好值班工作记录。</w:t>
      </w:r>
    </w:p>
    <w:p w14:paraId="4B988AB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（2）对各处区域进行全天候技防、安防监控，及时发现报告不安全、不稳定因素，发现可疑人员或接到报警求助后，及时通知安保人员进行处置并汇报上级主管部门。</w:t>
      </w:r>
    </w:p>
    <w:p w14:paraId="6D08DAE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（3）按要求定期对各类消防、技防、安防设备设施及系统进行检查，发现故障、损坏后及时上报，配合专业维保单位对相关设施设备进行维修、保养，确保功能正常、状态良好。</w:t>
      </w:r>
    </w:p>
    <w:p w14:paraId="7012374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（4）按照业主方要求，做好消防、技防、安防视频监控影像资料、报警记录的留存与查阅。严禁擅自更改和删除消监控室数据资料，确保相关资料的完整性。</w:t>
      </w:r>
    </w:p>
    <w:p w14:paraId="0E6ECC7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（5）消、监控器内所监视到情况与内容均属保密，严禁外传，不得向无关人员介绍业主方消防、技防、安防监控设备情况。</w:t>
      </w:r>
    </w:p>
    <w:p w14:paraId="1832456E">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（6）应熟悉各类报警的接警、出警处置流程，并熟知现场消防、监控报警点位。</w:t>
      </w:r>
    </w:p>
    <w:p w14:paraId="6CC0A27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（7）值班人员需经过岗前职业技能培训，具备相关资质证书。</w:t>
      </w:r>
    </w:p>
    <w:p w14:paraId="00AC69BD">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4、大型活动秩序维护</w:t>
      </w:r>
    </w:p>
    <w:p w14:paraId="1ED5A65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（1）根据业主方活动安排，配合做好会议、接待、庆典等大型活动的现场安保和秩序维护，并制定专项应急预案。</w:t>
      </w:r>
    </w:p>
    <w:p w14:paraId="1F8FE7B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（2）根据业主方大型活动规模，组织本单位安保人员并抽调周边服务项目的安保力量，配合业主方大型活动开展，确保业主方活动顺利进行。</w:t>
      </w:r>
    </w:p>
    <w:p w14:paraId="030BEDB2">
      <w:pPr>
        <w:spacing w:line="360" w:lineRule="auto"/>
        <w:ind w:firstLine="703" w:firstLineChars="250"/>
        <w:rPr>
          <w:rFonts w:ascii="仿宋_GB2312" w:hAnsi="仿宋_GB2312" w:eastAsia="仿宋_GB2312"/>
          <w:b/>
          <w:bCs/>
          <w:sz w:val="28"/>
          <w:szCs w:val="28"/>
        </w:rPr>
      </w:pPr>
      <w:r>
        <w:rPr>
          <w:rFonts w:hint="eastAsia" w:ascii="仿宋_GB2312" w:hAnsi="仿宋_GB2312" w:eastAsia="仿宋_GB2312"/>
          <w:b/>
          <w:bCs/>
          <w:sz w:val="28"/>
          <w:szCs w:val="28"/>
        </w:rPr>
        <w:t>5、突发事件应急处置</w:t>
      </w:r>
    </w:p>
    <w:p w14:paraId="47C4EDE9">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（1）按照业主方关于突发事件、稳定事件、安全生产事故工作要求，制定相应各类事件的预防、响应、处理的工作应急处置预案。</w:t>
      </w:r>
    </w:p>
    <w:p w14:paraId="198C669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（2）定期组织安保人员开展突发应急事件处置实战培训演练，每年组织1次以上应急综合演练，建立强化各类突发事件快速反应机制。</w:t>
      </w:r>
    </w:p>
    <w:p w14:paraId="47B40108">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（3）针对各类突发事件，储备必需的应急物资及装备，建立储备制度，制定专门储备清单。</w:t>
      </w:r>
    </w:p>
    <w:p w14:paraId="539DB3BC">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（4）通过巡查、技防监控等日常工作实现对突发事件的预兆及隐患的有效监控，确保第一时间获取信息、第一时间组织安保力量赶到现场进行果断有效处置，并及时报送相关信息。</w:t>
      </w:r>
    </w:p>
    <w:p w14:paraId="7797627F">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（二）车辆管理</w:t>
      </w:r>
    </w:p>
    <w:p w14:paraId="2CCC7102">
      <w:pPr>
        <w:spacing w:line="360" w:lineRule="auto"/>
        <w:ind w:firstLine="560" w:firstLineChars="200"/>
        <w:rPr>
          <w:rFonts w:ascii="仿宋_GB2312" w:hAnsi="仿宋_GB2312" w:eastAsia="仿宋_GB2312"/>
          <w:sz w:val="28"/>
          <w:szCs w:val="28"/>
        </w:rPr>
      </w:pPr>
      <w:r>
        <w:rPr>
          <w:rFonts w:ascii="仿宋_GB2312" w:hAnsi="仿宋_GB2312" w:eastAsia="仿宋_GB2312"/>
          <w:sz w:val="28"/>
          <w:szCs w:val="28"/>
        </w:rPr>
        <w:t>l</w:t>
      </w:r>
      <w:r>
        <w:rPr>
          <w:rFonts w:hint="eastAsia" w:ascii="仿宋_GB2312" w:hAnsi="仿宋_GB2312" w:eastAsia="仿宋_GB2312"/>
          <w:sz w:val="28"/>
          <w:szCs w:val="28"/>
        </w:rPr>
        <w:t>、落实业主方停车管理制度，停车管理规定。</w:t>
      </w:r>
    </w:p>
    <w:p w14:paraId="3BC63441">
      <w:pPr>
        <w:spacing w:line="360" w:lineRule="auto"/>
        <w:ind w:firstLine="560" w:firstLineChars="200"/>
        <w:rPr>
          <w:rFonts w:ascii="仿宋_GB2312" w:hAnsi="仿宋_GB2312" w:eastAsia="仿宋_GB2312"/>
          <w:sz w:val="28"/>
          <w:szCs w:val="28"/>
        </w:rPr>
      </w:pPr>
      <w:r>
        <w:rPr>
          <w:rFonts w:ascii="仿宋_GB2312" w:hAnsi="仿宋_GB2312" w:eastAsia="仿宋_GB2312"/>
          <w:sz w:val="28"/>
          <w:szCs w:val="28"/>
        </w:rPr>
        <w:t>2</w:t>
      </w:r>
      <w:r>
        <w:rPr>
          <w:rFonts w:hint="eastAsia" w:ascii="仿宋_GB2312" w:hAnsi="仿宋_GB2312" w:eastAsia="仿宋_GB2312"/>
          <w:sz w:val="28"/>
          <w:szCs w:val="28"/>
        </w:rPr>
        <w:t>、外来车辆进出辖区办理登记手续、记录车牌号码、进出时间。</w:t>
      </w:r>
    </w:p>
    <w:p w14:paraId="195D76A8">
      <w:pPr>
        <w:spacing w:line="360" w:lineRule="auto"/>
        <w:ind w:firstLine="560" w:firstLineChars="200"/>
        <w:rPr>
          <w:rFonts w:ascii="仿宋_GB2312" w:hAnsi="仿宋_GB2312" w:eastAsia="仿宋_GB2312"/>
          <w:sz w:val="28"/>
          <w:szCs w:val="28"/>
        </w:rPr>
      </w:pPr>
      <w:r>
        <w:rPr>
          <w:rFonts w:ascii="仿宋_GB2312" w:hAnsi="仿宋_GB2312" w:eastAsia="仿宋_GB2312"/>
          <w:sz w:val="28"/>
          <w:szCs w:val="28"/>
        </w:rPr>
        <w:t>3</w:t>
      </w:r>
      <w:r>
        <w:rPr>
          <w:rFonts w:hint="eastAsia" w:ascii="仿宋_GB2312" w:hAnsi="仿宋_GB2312" w:eastAsia="仿宋_GB2312"/>
          <w:sz w:val="28"/>
          <w:szCs w:val="28"/>
        </w:rPr>
        <w:t>、依据业主管理制度，管理进入辖区的非机动车及车辆，非机动车及车辆必须停放在划定的车位、车棚内。严禁车辆停放消防通道及非停车位。</w:t>
      </w:r>
    </w:p>
    <w:p w14:paraId="7EFC345B">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4、保安队员严格执行车辆出入规定。</w:t>
      </w:r>
    </w:p>
    <w:p w14:paraId="504F09F5">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5、保安队员若发现车辆门、窗没关好，速找车主提醒注意。</w:t>
      </w:r>
    </w:p>
    <w:p w14:paraId="5B7EE86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6、确保车辆进出有记录、停放进出井然有序、车道通畅。未经批准装有易燃、易爆、剧毒物品或有污染性物品的车辆及其他来历不明车辆严禁驶入管理区内。</w:t>
      </w:r>
    </w:p>
    <w:p w14:paraId="0671CFF8">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（三）消防安全管理</w:t>
      </w:r>
    </w:p>
    <w:p w14:paraId="1E5A5AC1">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1、按照业主方要求，建立微消应急队伍，明确消防安全工作职责。</w:t>
      </w:r>
    </w:p>
    <w:p w14:paraId="6FB0D5AD">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2、遇到火警报警，迅速着装前去救援，并做好记录。</w:t>
      </w:r>
    </w:p>
    <w:p w14:paraId="2FDC203C">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3、每日落实消防设施设备巡查及组织开展防火检查,发现消防隐患及异常情况应及时消除并上报。每日检查楼宇内消防疏散通道，确保消防车通道畅通。</w:t>
      </w:r>
    </w:p>
    <w:p w14:paraId="191DBE9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4、按业主方要求，禁止任何部门和个人在楼道内停放电瓶车或为电瓶车充电，一经发现，立即收缴充电器，并做好相关工作记录。</w:t>
      </w:r>
    </w:p>
    <w:p w14:paraId="3A6F45D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5、定期组织安保队员开展消防知识培训和微型消防站应急演练，并保留演练记录。积极配合业主方开展的各类消防、反恐知识培训和演练活动。</w:t>
      </w:r>
    </w:p>
    <w:p w14:paraId="12342FD0">
      <w:pPr>
        <w:spacing w:line="360" w:lineRule="auto"/>
        <w:ind w:firstLine="700" w:firstLineChars="250"/>
        <w:rPr>
          <w:rFonts w:ascii="仿宋_GB2312" w:hAnsi="仿宋_GB2312" w:eastAsia="仿宋_GB2312"/>
          <w:sz w:val="28"/>
          <w:szCs w:val="28"/>
          <w:highlight w:val="yellow"/>
        </w:rPr>
      </w:pPr>
    </w:p>
    <w:p w14:paraId="6B066A6D">
      <w:pPr>
        <w:spacing w:line="360" w:lineRule="auto"/>
        <w:ind w:firstLine="562" w:firstLineChars="200"/>
        <w:rPr>
          <w:rFonts w:ascii="仿宋_GB2312" w:hAnsi="仿宋_GB2312" w:eastAsia="仿宋_GB2312"/>
          <w:b/>
          <w:bCs/>
          <w:sz w:val="28"/>
          <w:szCs w:val="28"/>
        </w:rPr>
      </w:pPr>
      <w:r>
        <w:rPr>
          <w:rFonts w:hint="eastAsia" w:ascii="仿宋_GB2312" w:hAnsi="仿宋_GB2312" w:eastAsia="仿宋_GB2312"/>
          <w:b/>
          <w:bCs/>
          <w:sz w:val="28"/>
          <w:szCs w:val="28"/>
        </w:rPr>
        <w:t>（四）安全生产管理（项目负责人、安全管理员）</w:t>
      </w:r>
    </w:p>
    <w:p w14:paraId="5E36FC8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1、全面负责该辖区内及各分部的安全协防及秩序维护工作，根据技防和消防维保工作，做好年度管理和监督计划。</w:t>
      </w:r>
    </w:p>
    <w:p w14:paraId="1FCFA7C7">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2、负责管理、检查消防、技防设施设备的资料存档，秩序维护工作的各项记录，并针对记录进行核实、整理和归档；及时处理记录中反映的各种隐患和问题，并将处理结果反馈归属部门。</w:t>
      </w:r>
    </w:p>
    <w:p w14:paraId="18FA9BA2">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3、负责项目内的消防工作，相关设施设备的点检，记录项目内的消防器具、器材完好状况，及时调换过期、失效的器材，每年必须组织安排不少于一次消防、反恐防爆等演习（演练）。</w:t>
      </w:r>
    </w:p>
    <w:p w14:paraId="631B1E6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4、安排安保队员工作，不定期检查、审视员工工作质量和工作表现，负责下属员工的日常管理、考核、安全教育管理和指导。</w:t>
      </w:r>
    </w:p>
    <w:p w14:paraId="33F3718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5、组织开展下属秩序维护员的培训工作，培训员工良好的职业道德、娴熟的工作技能和亲切的服务态度。</w:t>
      </w:r>
    </w:p>
    <w:p w14:paraId="69E361D6">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6、及时协助甲方妥善地处理各项治安和突发性事件，若遇重大或严重事件，应立即赶到现场配合甲方处置。</w:t>
      </w:r>
    </w:p>
    <w:p w14:paraId="2D48B48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7、负责督导、检查、考核本班次秩序维护人员的出勤、仪容仪表及工作表现，发现问题及时纠正，如解决有困难，应及时向上级及归属部门汇报。</w:t>
      </w:r>
    </w:p>
    <w:p w14:paraId="191C3200">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8、负责维持工作场所良好的环境卫生状况，确保物品按规定使用且摆放整齐有序、环境卫生干净整洁、设施设备状况良好。</w:t>
      </w:r>
    </w:p>
    <w:p w14:paraId="45ABDBC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9、负责做好本职岗位要求的各项记录，负责督导、检查当值期间内秩序维护工作的各项记录，确保记录完整、有效。</w:t>
      </w:r>
    </w:p>
    <w:p w14:paraId="77C11774">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10严格遵守执行甲方的各项规定，按照标准来完善工作内容、流程和要求，并做好相应的记录。</w:t>
      </w:r>
    </w:p>
    <w:p w14:paraId="12FA5D0B">
      <w:pPr>
        <w:spacing w:line="360" w:lineRule="auto"/>
        <w:ind w:firstLine="560" w:firstLineChars="200"/>
        <w:rPr>
          <w:rFonts w:ascii="仿宋_GB2312" w:hAnsi="仿宋_GB2312" w:eastAsia="仿宋_GB2312"/>
          <w:sz w:val="28"/>
          <w:szCs w:val="28"/>
        </w:rPr>
      </w:pPr>
      <w:r>
        <w:rPr>
          <w:rFonts w:hint="eastAsia" w:ascii="仿宋_GB2312" w:hAnsi="仿宋_GB2312" w:eastAsia="仿宋_GB2312"/>
          <w:sz w:val="28"/>
          <w:szCs w:val="28"/>
        </w:rPr>
        <w:t>11、完成不限于以上范围的其他工作和上级交办各项工作。突发自然灾害或突发应急事件时，应按照应急程序 做好现场处置和应急处置工作 。</w:t>
      </w:r>
    </w:p>
    <w:p w14:paraId="383EF108">
      <w:pPr>
        <w:pStyle w:val="10"/>
        <w:numPr>
          <w:ilvl w:val="0"/>
          <w:numId w:val="2"/>
        </w:numPr>
        <w:spacing w:line="360" w:lineRule="auto"/>
        <w:ind w:firstLineChars="0"/>
        <w:rPr>
          <w:rFonts w:ascii="仿宋_GB2312" w:hAnsi="仿宋_GB2312" w:eastAsia="仿宋_GB2312" w:cs="宋体"/>
          <w:b/>
          <w:color w:val="000000"/>
          <w:kern w:val="0"/>
          <w:sz w:val="28"/>
          <w:szCs w:val="28"/>
        </w:rPr>
      </w:pPr>
      <w:r>
        <w:rPr>
          <w:rFonts w:hint="eastAsia" w:ascii="仿宋_GB2312" w:hAnsi="仿宋_GB2312" w:eastAsia="仿宋_GB2312" w:cs="宋体"/>
          <w:b/>
          <w:color w:val="000000"/>
          <w:kern w:val="0"/>
          <w:sz w:val="28"/>
          <w:szCs w:val="28"/>
        </w:rPr>
        <w:t>保安服务人员设置需求</w:t>
      </w:r>
    </w:p>
    <w:p w14:paraId="48355111">
      <w:pPr>
        <w:pStyle w:val="10"/>
        <w:spacing w:line="360" w:lineRule="auto"/>
        <w:ind w:left="0" w:firstLine="0" w:firstLineChars="0"/>
        <w:rPr>
          <w:rFonts w:ascii="仿宋_GB2312" w:hAnsi="仿宋_GB2312" w:eastAsia="仿宋_GB2312"/>
          <w:sz w:val="28"/>
          <w:szCs w:val="28"/>
        </w:rPr>
      </w:pPr>
      <w:r>
        <w:rPr>
          <w:rFonts w:hint="eastAsia" w:ascii="仿宋_GB2312" w:hAnsi="仿宋_GB2312" w:eastAsia="仿宋_GB2312"/>
          <w:sz w:val="28"/>
          <w:szCs w:val="28"/>
        </w:rPr>
        <w:t>中心根据保卫需求设置，岗位配置与现场安保服务人员，具体详见下表</w:t>
      </w:r>
    </w:p>
    <w:tbl>
      <w:tblPr>
        <w:tblStyle w:val="12"/>
        <w:tblW w:w="5000" w:type="pct"/>
        <w:tblInd w:w="0" w:type="dxa"/>
        <w:tblLayout w:type="autofit"/>
        <w:tblCellMar>
          <w:top w:w="0" w:type="dxa"/>
          <w:left w:w="108" w:type="dxa"/>
          <w:bottom w:w="0" w:type="dxa"/>
          <w:right w:w="108" w:type="dxa"/>
        </w:tblCellMar>
      </w:tblPr>
      <w:tblGrid>
        <w:gridCol w:w="846"/>
        <w:gridCol w:w="3299"/>
        <w:gridCol w:w="1112"/>
        <w:gridCol w:w="846"/>
        <w:gridCol w:w="1579"/>
        <w:gridCol w:w="846"/>
      </w:tblGrid>
      <w:tr w14:paraId="0347A32C">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56476E8C">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序号</w:t>
            </w:r>
          </w:p>
        </w:tc>
        <w:tc>
          <w:tcPr>
            <w:tcW w:w="1934"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3148AD9A">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岗位名称</w:t>
            </w:r>
          </w:p>
        </w:tc>
        <w:tc>
          <w:tcPr>
            <w:tcW w:w="652"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072DBD69">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岗位数</w:t>
            </w:r>
          </w:p>
        </w:tc>
        <w:tc>
          <w:tcPr>
            <w:tcW w:w="496"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7F2DCD5C">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人数</w:t>
            </w:r>
          </w:p>
        </w:tc>
        <w:tc>
          <w:tcPr>
            <w:tcW w:w="926"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2C3C493D">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岗位性质</w:t>
            </w:r>
          </w:p>
        </w:tc>
        <w:tc>
          <w:tcPr>
            <w:tcW w:w="496" w:type="pct"/>
            <w:tcBorders>
              <w:top w:val="single" w:color="000000" w:sz="4" w:space="0"/>
              <w:left w:val="single" w:color="000000" w:sz="4" w:space="0"/>
              <w:bottom w:val="single" w:color="000000" w:sz="4" w:space="0"/>
              <w:right w:val="single" w:color="000000" w:sz="4" w:space="0"/>
            </w:tcBorders>
            <w:shd w:val="clear" w:color="auto" w:fill="E26B0A"/>
            <w:noWrap/>
            <w:vAlign w:val="center"/>
          </w:tcPr>
          <w:p w14:paraId="795E56AC">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备注</w:t>
            </w:r>
          </w:p>
        </w:tc>
      </w:tr>
      <w:tr w14:paraId="3473B994">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EA4E">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C4933">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现场主管</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A89E3">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D0A2">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A263E">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常日班</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DE9DE">
            <w:pPr>
              <w:rPr>
                <w:rFonts w:ascii="仿宋_GB2312" w:hAnsi="仿宋_GB2312" w:eastAsia="仿宋_GB2312" w:cs="宋体"/>
                <w:color w:val="000000"/>
                <w:sz w:val="28"/>
                <w:szCs w:val="28"/>
              </w:rPr>
            </w:pPr>
          </w:p>
        </w:tc>
      </w:tr>
      <w:tr w14:paraId="5AF43AFF">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EA4C8">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B1373">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安全管理员</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BEAD9">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2AFB1">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3BCB4">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常日班</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C8FA5">
            <w:pPr>
              <w:rPr>
                <w:rFonts w:ascii="仿宋_GB2312" w:hAnsi="仿宋_GB2312" w:eastAsia="仿宋_GB2312" w:cs="宋体"/>
                <w:color w:val="000000"/>
                <w:sz w:val="28"/>
                <w:szCs w:val="28"/>
              </w:rPr>
            </w:pPr>
          </w:p>
        </w:tc>
      </w:tr>
      <w:tr w14:paraId="23EAE2DD">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3F904">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BF91D">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秩序维护员（主出入口）</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BBA3C">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C7BA">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9</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12416">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3班2运转</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A432">
            <w:pPr>
              <w:jc w:val="left"/>
              <w:textAlignment w:val="center"/>
              <w:rPr>
                <w:rFonts w:ascii="仿宋_GB2312" w:hAnsi="仿宋_GB2312" w:eastAsia="仿宋_GB2312" w:cs="宋体"/>
                <w:color w:val="000000"/>
                <w:sz w:val="28"/>
                <w:szCs w:val="28"/>
              </w:rPr>
            </w:pPr>
          </w:p>
        </w:tc>
      </w:tr>
      <w:tr w14:paraId="18CF6795">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F68C">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4</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0B323">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秩序维护员（物流门）</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15905">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B315A">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6</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AC4C6">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3班2运转</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7BBA">
            <w:pPr>
              <w:jc w:val="left"/>
              <w:textAlignment w:val="center"/>
              <w:rPr>
                <w:rFonts w:ascii="仿宋_GB2312" w:hAnsi="仿宋_GB2312" w:eastAsia="仿宋_GB2312" w:cs="宋体"/>
                <w:color w:val="000000"/>
                <w:sz w:val="28"/>
                <w:szCs w:val="28"/>
              </w:rPr>
            </w:pPr>
          </w:p>
        </w:tc>
      </w:tr>
      <w:tr w14:paraId="215AE59A">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4A45">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5</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CFF79">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秩序维护员（人行通道）</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7572C">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00559">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6</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503DD">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3班2运转</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00CBA">
            <w:pPr>
              <w:jc w:val="left"/>
              <w:textAlignment w:val="center"/>
              <w:rPr>
                <w:rFonts w:ascii="仿宋_GB2312" w:hAnsi="仿宋_GB2312" w:eastAsia="仿宋_GB2312" w:cs="宋体"/>
                <w:color w:val="000000"/>
                <w:sz w:val="28"/>
                <w:szCs w:val="28"/>
              </w:rPr>
            </w:pPr>
          </w:p>
        </w:tc>
      </w:tr>
      <w:tr w14:paraId="21167191">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AC000">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6</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A37B3">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巡逻安保（秩序维护员）</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2E6DD">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E3A5B">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9</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6A0C8">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3班2运转</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8C2A">
            <w:pPr>
              <w:jc w:val="left"/>
              <w:textAlignment w:val="center"/>
              <w:rPr>
                <w:rFonts w:ascii="仿宋_GB2312" w:hAnsi="仿宋_GB2312" w:eastAsia="仿宋_GB2312" w:cs="宋体"/>
                <w:color w:val="000000"/>
                <w:sz w:val="28"/>
                <w:szCs w:val="28"/>
              </w:rPr>
            </w:pPr>
          </w:p>
        </w:tc>
      </w:tr>
      <w:tr w14:paraId="65E4A7F5">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A8FC5">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8</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FA43F">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消防中心</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E8876">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CCAAD">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6</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31CE6">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3班2运转</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1D8A5">
            <w:pPr>
              <w:jc w:val="left"/>
              <w:textAlignment w:val="center"/>
              <w:rPr>
                <w:rFonts w:ascii="仿宋_GB2312" w:hAnsi="仿宋_GB2312" w:eastAsia="仿宋_GB2312" w:cs="宋体"/>
                <w:color w:val="000000"/>
                <w:sz w:val="28"/>
                <w:szCs w:val="28"/>
              </w:rPr>
            </w:pPr>
          </w:p>
        </w:tc>
      </w:tr>
      <w:tr w14:paraId="6A128DEB">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40C6F">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9</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3E07E">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监控中心</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2702">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33EEB">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6</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FE5F9">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3班2运转</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DCD2">
            <w:pPr>
              <w:jc w:val="left"/>
              <w:textAlignment w:val="center"/>
              <w:rPr>
                <w:rFonts w:ascii="仿宋_GB2312" w:hAnsi="仿宋_GB2312" w:eastAsia="仿宋_GB2312" w:cs="宋体"/>
                <w:color w:val="000000"/>
                <w:sz w:val="28"/>
                <w:szCs w:val="28"/>
              </w:rPr>
            </w:pPr>
          </w:p>
        </w:tc>
      </w:tr>
      <w:tr w14:paraId="4A82E2A7">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2643E">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7</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B56B">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地下车库（B1/B2）</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414B">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260A0">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6</w:t>
            </w:r>
          </w:p>
        </w:tc>
        <w:tc>
          <w:tcPr>
            <w:tcW w:w="9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3708E">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3班2运转</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489BB">
            <w:pPr>
              <w:jc w:val="left"/>
              <w:textAlignment w:val="center"/>
              <w:rPr>
                <w:rFonts w:ascii="仿宋_GB2312" w:hAnsi="仿宋_GB2312" w:eastAsia="仿宋_GB2312" w:cs="宋体"/>
                <w:color w:val="000000"/>
                <w:sz w:val="28"/>
                <w:szCs w:val="28"/>
              </w:rPr>
            </w:pPr>
          </w:p>
        </w:tc>
      </w:tr>
      <w:tr w14:paraId="52E2AF6D">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8335B">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10</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A647">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综合业务楼</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C744">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8F5DD">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B24F5">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做一休一</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A137">
            <w:pPr>
              <w:rPr>
                <w:rFonts w:ascii="仿宋_GB2312" w:hAnsi="仿宋_GB2312" w:eastAsia="仿宋_GB2312" w:cs="宋体"/>
                <w:color w:val="000000"/>
                <w:sz w:val="28"/>
                <w:szCs w:val="28"/>
              </w:rPr>
            </w:pPr>
          </w:p>
        </w:tc>
      </w:tr>
      <w:tr w14:paraId="3303564B">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F63DC">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11</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816D">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微生物实验楼</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A24D">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15565">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20D07">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做一休一</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7ED11">
            <w:pPr>
              <w:rPr>
                <w:rFonts w:ascii="仿宋_GB2312" w:hAnsi="仿宋_GB2312" w:eastAsia="仿宋_GB2312" w:cs="宋体"/>
                <w:color w:val="000000"/>
                <w:sz w:val="28"/>
                <w:szCs w:val="28"/>
              </w:rPr>
            </w:pPr>
          </w:p>
        </w:tc>
      </w:tr>
      <w:tr w14:paraId="12C021BD">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D9041">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12</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9A4D1">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P3实验楼</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BED5E">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CAA0">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9330">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做一休一</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65509">
            <w:pPr>
              <w:rPr>
                <w:rFonts w:ascii="仿宋_GB2312" w:hAnsi="仿宋_GB2312" w:eastAsia="仿宋_GB2312" w:cs="宋体"/>
                <w:color w:val="000000"/>
                <w:sz w:val="28"/>
                <w:szCs w:val="28"/>
              </w:rPr>
            </w:pPr>
          </w:p>
        </w:tc>
      </w:tr>
      <w:tr w14:paraId="10F1D00D">
        <w:tblPrEx>
          <w:tblCellMar>
            <w:top w:w="0" w:type="dxa"/>
            <w:left w:w="108" w:type="dxa"/>
            <w:bottom w:w="0" w:type="dxa"/>
            <w:right w:w="108" w:type="dxa"/>
          </w:tblCellMar>
        </w:tblPrEx>
        <w:trPr>
          <w:trHeight w:val="288" w:hRule="atLeast"/>
        </w:trPr>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8F3F2">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13</w:t>
            </w:r>
          </w:p>
        </w:tc>
        <w:tc>
          <w:tcPr>
            <w:tcW w:w="19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E4ADD">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理化实验楼</w:t>
            </w:r>
          </w:p>
        </w:tc>
        <w:tc>
          <w:tcPr>
            <w:tcW w:w="6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A686E">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1</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19201">
            <w:pPr>
              <w:jc w:val="center"/>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w:t>
            </w:r>
          </w:p>
        </w:tc>
        <w:tc>
          <w:tcPr>
            <w:tcW w:w="9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42E11">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做一休一</w:t>
            </w:r>
          </w:p>
        </w:tc>
        <w:tc>
          <w:tcPr>
            <w:tcW w:w="49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AC4FB">
            <w:pPr>
              <w:rPr>
                <w:rFonts w:ascii="仿宋_GB2312" w:hAnsi="仿宋_GB2312" w:eastAsia="仿宋_GB2312" w:cs="宋体"/>
                <w:color w:val="000000"/>
                <w:sz w:val="28"/>
                <w:szCs w:val="28"/>
              </w:rPr>
            </w:pPr>
          </w:p>
        </w:tc>
      </w:tr>
      <w:tr w14:paraId="4A6584ED">
        <w:tblPrEx>
          <w:tblCellMar>
            <w:top w:w="0" w:type="dxa"/>
            <w:left w:w="108" w:type="dxa"/>
            <w:bottom w:w="0" w:type="dxa"/>
            <w:right w:w="108" w:type="dxa"/>
          </w:tblCellMar>
        </w:tblPrEx>
        <w:trPr>
          <w:trHeight w:val="288" w:hRule="atLeast"/>
        </w:trPr>
        <w:tc>
          <w:tcPr>
            <w:tcW w:w="496" w:type="pct"/>
            <w:tcBorders>
              <w:top w:val="nil"/>
              <w:left w:val="nil"/>
              <w:bottom w:val="nil"/>
              <w:right w:val="nil"/>
            </w:tcBorders>
            <w:shd w:val="clear" w:color="auto" w:fill="auto"/>
            <w:noWrap/>
            <w:vAlign w:val="center"/>
          </w:tcPr>
          <w:p w14:paraId="23A257E2">
            <w:pPr>
              <w:jc w:val="center"/>
              <w:rPr>
                <w:rFonts w:ascii="仿宋_GB2312" w:hAnsi="仿宋_GB2312" w:eastAsia="仿宋_GB2312" w:cs="宋体"/>
                <w:color w:val="000000"/>
                <w:sz w:val="28"/>
                <w:szCs w:val="28"/>
              </w:rPr>
            </w:pPr>
          </w:p>
        </w:tc>
        <w:tc>
          <w:tcPr>
            <w:tcW w:w="1934" w:type="pct"/>
            <w:tcBorders>
              <w:top w:val="nil"/>
              <w:left w:val="nil"/>
              <w:bottom w:val="nil"/>
              <w:right w:val="nil"/>
            </w:tcBorders>
            <w:shd w:val="clear" w:color="auto" w:fill="auto"/>
            <w:noWrap/>
            <w:vAlign w:val="center"/>
          </w:tcPr>
          <w:p w14:paraId="041900E5">
            <w:pPr>
              <w:rPr>
                <w:rFonts w:ascii="仿宋_GB2312" w:hAnsi="仿宋_GB2312" w:eastAsia="仿宋_GB2312" w:cs="宋体"/>
                <w:color w:val="000000"/>
                <w:sz w:val="28"/>
                <w:szCs w:val="28"/>
              </w:rPr>
            </w:pPr>
          </w:p>
        </w:tc>
        <w:tc>
          <w:tcPr>
            <w:tcW w:w="652" w:type="pct"/>
            <w:tcBorders>
              <w:top w:val="nil"/>
              <w:left w:val="nil"/>
              <w:bottom w:val="nil"/>
              <w:right w:val="nil"/>
            </w:tcBorders>
            <w:shd w:val="clear" w:color="auto" w:fill="auto"/>
            <w:noWrap/>
            <w:vAlign w:val="center"/>
          </w:tcPr>
          <w:p w14:paraId="03C53279">
            <w:pPr>
              <w:jc w:val="center"/>
              <w:rPr>
                <w:rFonts w:ascii="仿宋_GB2312" w:hAnsi="仿宋_GB2312" w:eastAsia="仿宋_GB2312" w:cs="宋体"/>
                <w:color w:val="000000"/>
                <w:sz w:val="28"/>
                <w:szCs w:val="28"/>
              </w:rPr>
            </w:pPr>
          </w:p>
        </w:tc>
        <w:tc>
          <w:tcPr>
            <w:tcW w:w="496" w:type="pct"/>
            <w:tcBorders>
              <w:top w:val="nil"/>
              <w:left w:val="nil"/>
              <w:bottom w:val="nil"/>
              <w:right w:val="nil"/>
            </w:tcBorders>
            <w:shd w:val="clear" w:color="auto" w:fill="auto"/>
            <w:noWrap/>
            <w:vAlign w:val="center"/>
          </w:tcPr>
          <w:p w14:paraId="747CEAB6">
            <w:pPr>
              <w:jc w:val="center"/>
              <w:rPr>
                <w:rFonts w:ascii="仿宋_GB2312" w:hAnsi="仿宋_GB2312" w:eastAsia="仿宋_GB2312" w:cs="宋体"/>
                <w:color w:val="000000"/>
                <w:sz w:val="28"/>
                <w:szCs w:val="28"/>
              </w:rPr>
            </w:pPr>
          </w:p>
        </w:tc>
        <w:tc>
          <w:tcPr>
            <w:tcW w:w="926" w:type="pct"/>
            <w:tcBorders>
              <w:top w:val="nil"/>
              <w:left w:val="nil"/>
              <w:bottom w:val="nil"/>
              <w:right w:val="nil"/>
            </w:tcBorders>
            <w:shd w:val="clear" w:color="auto" w:fill="auto"/>
            <w:noWrap/>
            <w:vAlign w:val="center"/>
          </w:tcPr>
          <w:p w14:paraId="589A05F2">
            <w:pPr>
              <w:jc w:val="left"/>
              <w:rPr>
                <w:rFonts w:ascii="仿宋_GB2312" w:hAnsi="仿宋_GB2312" w:eastAsia="仿宋_GB2312" w:cs="宋体"/>
                <w:color w:val="000000"/>
                <w:sz w:val="28"/>
                <w:szCs w:val="28"/>
              </w:rPr>
            </w:pPr>
          </w:p>
        </w:tc>
        <w:tc>
          <w:tcPr>
            <w:tcW w:w="496" w:type="pct"/>
            <w:tcBorders>
              <w:top w:val="nil"/>
              <w:left w:val="nil"/>
              <w:bottom w:val="nil"/>
              <w:right w:val="nil"/>
            </w:tcBorders>
            <w:shd w:val="clear" w:color="auto" w:fill="auto"/>
            <w:noWrap/>
            <w:vAlign w:val="center"/>
          </w:tcPr>
          <w:p w14:paraId="5056055F">
            <w:pPr>
              <w:rPr>
                <w:rFonts w:ascii="仿宋_GB2312" w:hAnsi="仿宋_GB2312" w:eastAsia="仿宋_GB2312" w:cs="宋体"/>
                <w:color w:val="000000"/>
                <w:sz w:val="28"/>
                <w:szCs w:val="28"/>
              </w:rPr>
            </w:pPr>
          </w:p>
        </w:tc>
      </w:tr>
      <w:tr w14:paraId="0944C893">
        <w:tblPrEx>
          <w:tblCellMar>
            <w:top w:w="0" w:type="dxa"/>
            <w:left w:w="108" w:type="dxa"/>
            <w:bottom w:w="0" w:type="dxa"/>
            <w:right w:w="108" w:type="dxa"/>
          </w:tblCellMar>
        </w:tblPrEx>
        <w:trPr>
          <w:trHeight w:val="288" w:hRule="atLeast"/>
        </w:trPr>
        <w:tc>
          <w:tcPr>
            <w:tcW w:w="496" w:type="pct"/>
            <w:tcBorders>
              <w:top w:val="nil"/>
              <w:left w:val="nil"/>
              <w:bottom w:val="nil"/>
              <w:right w:val="nil"/>
            </w:tcBorders>
            <w:shd w:val="clear" w:color="auto" w:fill="auto"/>
            <w:noWrap/>
            <w:vAlign w:val="center"/>
          </w:tcPr>
          <w:p w14:paraId="14A2AD28">
            <w:pPr>
              <w:rPr>
                <w:rFonts w:ascii="仿宋_GB2312" w:hAnsi="仿宋_GB2312" w:eastAsia="仿宋_GB2312" w:cs="宋体"/>
                <w:color w:val="000000"/>
                <w:sz w:val="28"/>
                <w:szCs w:val="28"/>
              </w:rPr>
            </w:pPr>
          </w:p>
        </w:tc>
        <w:tc>
          <w:tcPr>
            <w:tcW w:w="1934" w:type="pct"/>
            <w:tcBorders>
              <w:top w:val="nil"/>
              <w:left w:val="nil"/>
              <w:bottom w:val="nil"/>
              <w:right w:val="nil"/>
            </w:tcBorders>
            <w:shd w:val="clear" w:color="auto" w:fill="auto"/>
            <w:noWrap/>
            <w:vAlign w:val="center"/>
          </w:tcPr>
          <w:p w14:paraId="40CAE64E">
            <w:pPr>
              <w:jc w:val="lef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合计</w:t>
            </w:r>
          </w:p>
        </w:tc>
        <w:tc>
          <w:tcPr>
            <w:tcW w:w="652" w:type="pct"/>
            <w:tcBorders>
              <w:top w:val="nil"/>
              <w:left w:val="nil"/>
              <w:bottom w:val="nil"/>
              <w:right w:val="nil"/>
            </w:tcBorders>
            <w:shd w:val="clear" w:color="auto" w:fill="auto"/>
            <w:noWrap/>
            <w:vAlign w:val="center"/>
          </w:tcPr>
          <w:p w14:paraId="1576332D">
            <w:pPr>
              <w:jc w:val="righ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22</w:t>
            </w:r>
          </w:p>
        </w:tc>
        <w:tc>
          <w:tcPr>
            <w:tcW w:w="496" w:type="pct"/>
            <w:tcBorders>
              <w:top w:val="nil"/>
              <w:left w:val="nil"/>
              <w:bottom w:val="nil"/>
              <w:right w:val="nil"/>
            </w:tcBorders>
            <w:shd w:val="clear" w:color="auto" w:fill="auto"/>
            <w:noWrap/>
            <w:vAlign w:val="center"/>
          </w:tcPr>
          <w:p w14:paraId="21C09473">
            <w:pPr>
              <w:jc w:val="right"/>
              <w:textAlignment w:val="center"/>
              <w:rPr>
                <w:rFonts w:ascii="仿宋_GB2312" w:hAnsi="仿宋_GB2312" w:eastAsia="仿宋_GB2312" w:cs="宋体"/>
                <w:color w:val="000000"/>
                <w:sz w:val="28"/>
                <w:szCs w:val="28"/>
              </w:rPr>
            </w:pPr>
            <w:r>
              <w:rPr>
                <w:rFonts w:hint="eastAsia" w:ascii="仿宋_GB2312" w:hAnsi="仿宋_GB2312" w:eastAsia="仿宋_GB2312" w:cs="宋体"/>
                <w:color w:val="000000"/>
                <w:kern w:val="0"/>
                <w:sz w:val="28"/>
                <w:szCs w:val="28"/>
                <w:lang w:bidi="ar"/>
              </w:rPr>
              <w:t>58</w:t>
            </w:r>
          </w:p>
        </w:tc>
        <w:tc>
          <w:tcPr>
            <w:tcW w:w="926" w:type="pct"/>
            <w:tcBorders>
              <w:top w:val="nil"/>
              <w:left w:val="nil"/>
              <w:bottom w:val="nil"/>
              <w:right w:val="nil"/>
            </w:tcBorders>
            <w:shd w:val="clear" w:color="auto" w:fill="auto"/>
            <w:noWrap/>
            <w:vAlign w:val="center"/>
          </w:tcPr>
          <w:p w14:paraId="478B064E">
            <w:pPr>
              <w:rPr>
                <w:rFonts w:ascii="仿宋_GB2312" w:hAnsi="仿宋_GB2312" w:eastAsia="仿宋_GB2312" w:cs="宋体"/>
                <w:color w:val="000000"/>
                <w:sz w:val="28"/>
                <w:szCs w:val="28"/>
              </w:rPr>
            </w:pPr>
          </w:p>
        </w:tc>
        <w:tc>
          <w:tcPr>
            <w:tcW w:w="496" w:type="pct"/>
            <w:tcBorders>
              <w:top w:val="nil"/>
              <w:left w:val="nil"/>
              <w:bottom w:val="nil"/>
              <w:right w:val="nil"/>
            </w:tcBorders>
            <w:shd w:val="clear" w:color="auto" w:fill="auto"/>
            <w:noWrap/>
            <w:vAlign w:val="center"/>
          </w:tcPr>
          <w:p w14:paraId="44DFDF9A">
            <w:pPr>
              <w:rPr>
                <w:rFonts w:ascii="仿宋_GB2312" w:hAnsi="仿宋_GB2312" w:eastAsia="仿宋_GB2312" w:cs="宋体"/>
                <w:color w:val="000000"/>
                <w:sz w:val="28"/>
                <w:szCs w:val="28"/>
              </w:rPr>
            </w:pPr>
          </w:p>
        </w:tc>
      </w:tr>
      <w:tr w14:paraId="616867D5">
        <w:tblPrEx>
          <w:tblCellMar>
            <w:top w:w="0" w:type="dxa"/>
            <w:left w:w="108" w:type="dxa"/>
            <w:bottom w:w="0" w:type="dxa"/>
            <w:right w:w="108" w:type="dxa"/>
          </w:tblCellMar>
        </w:tblPrEx>
        <w:trPr>
          <w:trHeight w:val="288" w:hRule="atLeast"/>
        </w:trPr>
        <w:tc>
          <w:tcPr>
            <w:tcW w:w="5000" w:type="pct"/>
            <w:gridSpan w:val="6"/>
            <w:tcBorders>
              <w:top w:val="nil"/>
              <w:left w:val="nil"/>
              <w:bottom w:val="nil"/>
              <w:right w:val="nil"/>
            </w:tcBorders>
            <w:shd w:val="clear" w:color="auto" w:fill="00B050"/>
            <w:noWrap/>
            <w:vAlign w:val="center"/>
          </w:tcPr>
          <w:p w14:paraId="5AB00C82">
            <w:pPr>
              <w:rPr>
                <w:rFonts w:ascii="仿宋_GB2312" w:hAnsi="仿宋_GB2312" w:eastAsia="仿宋_GB2312" w:cs="宋体"/>
                <w:color w:val="000000"/>
                <w:sz w:val="28"/>
                <w:szCs w:val="28"/>
              </w:rPr>
            </w:pPr>
          </w:p>
        </w:tc>
      </w:tr>
    </w:tbl>
    <w:p w14:paraId="444EAC98">
      <w:pPr>
        <w:ind w:firstLine="560" w:firstLineChars="200"/>
        <w:jc w:val="left"/>
        <w:rPr>
          <w:rFonts w:ascii="仿宋_GB2312" w:hAnsi="仿宋_GB2312" w:eastAsia="仿宋_GB2312"/>
          <w:sz w:val="28"/>
          <w:szCs w:val="28"/>
        </w:rPr>
      </w:pPr>
      <w:r>
        <w:rPr>
          <w:rFonts w:hint="eastAsia" w:ascii="仿宋_GB2312" w:hAnsi="仿宋_GB2312" w:eastAsia="仿宋_GB2312"/>
          <w:sz w:val="28"/>
          <w:szCs w:val="28"/>
        </w:rPr>
        <w:t>说明：</w:t>
      </w:r>
    </w:p>
    <w:p w14:paraId="54FEA828">
      <w:pPr>
        <w:ind w:firstLine="592" w:firstLineChars="200"/>
        <w:jc w:val="left"/>
        <w:rPr>
          <w:rFonts w:hint="eastAsia" w:ascii="仿宋_GB2312" w:hAnsi="仿宋_GB2312" w:eastAsia="仿宋_GB2312"/>
          <w:color w:val="595959"/>
          <w:spacing w:val="8"/>
          <w:sz w:val="28"/>
          <w:szCs w:val="28"/>
          <w:shd w:val="clear" w:color="auto" w:fill="FFFFFF"/>
        </w:rPr>
      </w:pPr>
      <w:r>
        <w:rPr>
          <w:rFonts w:hint="eastAsia" w:ascii="仿宋_GB2312" w:hAnsi="仿宋_GB2312" w:eastAsia="仿宋_GB2312"/>
          <w:color w:val="595959"/>
          <w:spacing w:val="8"/>
          <w:sz w:val="28"/>
          <w:szCs w:val="28"/>
          <w:shd w:val="clear" w:color="auto" w:fill="FFFFFF"/>
        </w:rPr>
        <w:t>★本包件物业管理与服务人员总数不得少于</w:t>
      </w:r>
      <w:r>
        <w:rPr>
          <w:rFonts w:hint="eastAsia" w:ascii="仿宋_GB2312" w:hAnsi="仿宋_GB2312" w:eastAsia="仿宋_GB2312"/>
          <w:color w:val="595959"/>
          <w:spacing w:val="8"/>
          <w:sz w:val="28"/>
          <w:szCs w:val="28"/>
          <w:shd w:val="clear" w:color="auto" w:fill="FFFFFF"/>
          <w:lang w:val="en-US" w:eastAsia="zh-CN"/>
        </w:rPr>
        <w:t>58</w:t>
      </w:r>
      <w:r>
        <w:rPr>
          <w:rFonts w:hint="eastAsia" w:ascii="仿宋_GB2312" w:hAnsi="仿宋_GB2312" w:eastAsia="仿宋_GB2312"/>
          <w:color w:val="595959"/>
          <w:spacing w:val="8"/>
          <w:sz w:val="28"/>
          <w:szCs w:val="28"/>
          <w:shd w:val="clear" w:color="auto" w:fill="FFFFFF"/>
        </w:rPr>
        <w:t>人。</w:t>
      </w:r>
    </w:p>
    <w:p w14:paraId="207A3911">
      <w:pPr>
        <w:ind w:firstLine="592" w:firstLineChars="200"/>
        <w:jc w:val="left"/>
        <w:rPr>
          <w:rFonts w:ascii="仿宋_GB2312" w:hAnsi="仿宋_GB2312" w:eastAsia="仿宋_GB2312"/>
          <w:sz w:val="28"/>
          <w:szCs w:val="28"/>
        </w:rPr>
      </w:pPr>
      <w:r>
        <w:rPr>
          <w:rFonts w:hint="eastAsia" w:ascii="仿宋_GB2312" w:hAnsi="仿宋_GB2312" w:eastAsia="仿宋_GB2312"/>
          <w:color w:val="595959"/>
          <w:spacing w:val="8"/>
          <w:sz w:val="28"/>
          <w:szCs w:val="28"/>
          <w:shd w:val="clear" w:color="auto" w:fill="FFFFFF"/>
        </w:rPr>
        <w:t>从事保安服务工作的服务人员均需持有保安员证、提供无犯罪证明。</w:t>
      </w:r>
      <w:r>
        <w:rPr>
          <w:rFonts w:hint="eastAsia" w:ascii="仿宋_GB2312" w:hAnsi="仿宋_GB2312" w:eastAsia="仿宋_GB2312"/>
          <w:sz w:val="28"/>
          <w:szCs w:val="28"/>
        </w:rPr>
        <w:t>投标人应当根据保安服务岗位的风险程度为保安员投保意外伤害保险。</w:t>
      </w:r>
    </w:p>
    <w:p w14:paraId="354413DE">
      <w:pPr>
        <w:ind w:firstLine="560" w:firstLineChars="200"/>
        <w:jc w:val="left"/>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投标人根据以上岗位设置表要求配置现场服务人员。根据岗位职责合理安排工作时间，保持24小时人员在岗，全年无节假日。</w:t>
      </w:r>
    </w:p>
    <w:p w14:paraId="13C50606">
      <w:pPr>
        <w:ind w:firstLine="560" w:firstLineChars="200"/>
        <w:jc w:val="left"/>
        <w:rPr>
          <w:rFonts w:ascii="仿宋_GB2312" w:hAnsi="仿宋_GB2312" w:eastAsia="仿宋_GB2312"/>
          <w:snapToGrid w:val="0"/>
          <w:color w:val="000000"/>
          <w:sz w:val="28"/>
          <w:szCs w:val="28"/>
        </w:rPr>
      </w:pPr>
      <w:r>
        <w:rPr>
          <w:rFonts w:hint="eastAsia" w:ascii="仿宋_GB2312" w:hAnsi="仿宋_GB2312" w:eastAsia="仿宋_GB2312"/>
          <w:sz w:val="28"/>
          <w:szCs w:val="28"/>
        </w:rPr>
        <w:t>超过国家法规规定的标准工时，按加班工时计算（加班费含在合同总标的内）</w:t>
      </w:r>
    </w:p>
    <w:p w14:paraId="3404E422">
      <w:pPr>
        <w:spacing w:before="156" w:beforeLines="50" w:line="360" w:lineRule="auto"/>
        <w:ind w:left="426" w:leftChars="203"/>
        <w:jc w:val="left"/>
        <w:outlineLvl w:val="1"/>
        <w:rPr>
          <w:rFonts w:ascii="仿宋_GB2312" w:hAnsi="仿宋_GB2312" w:eastAsia="仿宋_GB2312" w:cs="宋体"/>
          <w:b/>
          <w:color w:val="000000"/>
          <w:kern w:val="0"/>
          <w:sz w:val="28"/>
          <w:szCs w:val="28"/>
        </w:rPr>
      </w:pPr>
      <w:r>
        <w:rPr>
          <w:rFonts w:hint="eastAsia" w:ascii="仿宋_GB2312" w:hAnsi="仿宋_GB2312" w:eastAsia="仿宋_GB2312" w:cs="宋体"/>
          <w:b/>
          <w:color w:val="000000"/>
          <w:kern w:val="0"/>
          <w:sz w:val="28"/>
          <w:szCs w:val="28"/>
        </w:rPr>
        <w:t>四、其他要求</w:t>
      </w:r>
    </w:p>
    <w:p w14:paraId="0922A792">
      <w:pPr>
        <w:pStyle w:val="22"/>
        <w:numPr>
          <w:ilvl w:val="-1"/>
          <w:numId w:val="0"/>
        </w:numPr>
        <w:tabs>
          <w:tab w:val="left" w:pos="612"/>
        </w:tabs>
        <w:spacing w:before="312"/>
        <w:ind w:left="284" w:right="342" w:rightChars="163" w:firstLine="0"/>
        <w:outlineLvl w:val="9"/>
        <w:rPr>
          <w:rFonts w:ascii="仿宋_GB2312" w:hAnsi="仿宋_GB2312" w:eastAsia="仿宋_GB2312" w:cs="Times New Roman"/>
          <w:b w:val="0"/>
          <w:snapToGrid w:val="0"/>
          <w:color w:val="000000"/>
          <w:spacing w:val="0"/>
          <w:sz w:val="28"/>
          <w:szCs w:val="28"/>
        </w:rPr>
      </w:pPr>
      <w:r>
        <w:rPr>
          <w:rFonts w:hint="eastAsia" w:ascii="仿宋_GB2312" w:hAnsi="仿宋_GB2312" w:eastAsia="仿宋_GB2312" w:cs="Times New Roman"/>
          <w:b w:val="0"/>
          <w:snapToGrid w:val="0"/>
          <w:color w:val="000000"/>
          <w:spacing w:val="0"/>
          <w:sz w:val="28"/>
          <w:szCs w:val="28"/>
          <w:lang w:eastAsia="zh-CN"/>
        </w:rPr>
        <w:t>（一）</w:t>
      </w:r>
      <w:r>
        <w:rPr>
          <w:rFonts w:ascii="仿宋_GB2312" w:hAnsi="仿宋_GB2312" w:eastAsia="仿宋_GB2312" w:cs="Times New Roman"/>
          <w:b w:val="0"/>
          <w:snapToGrid w:val="0"/>
          <w:color w:val="000000"/>
          <w:spacing w:val="0"/>
          <w:sz w:val="28"/>
          <w:szCs w:val="28"/>
        </w:rPr>
        <w:t>企业资质</w:t>
      </w:r>
    </w:p>
    <w:p w14:paraId="7C64F584">
      <w:pPr>
        <w:pStyle w:val="17"/>
        <w:numPr>
          <w:ilvl w:val="-1"/>
          <w:numId w:val="0"/>
        </w:numPr>
        <w:spacing w:line="360" w:lineRule="auto"/>
        <w:ind w:left="0" w:firstLine="560" w:firstLineChars="200"/>
        <w:rPr>
          <w:rFonts w:ascii="仿宋_GB2312" w:hAnsi="仿宋_GB2312" w:eastAsia="仿宋_GB2312"/>
          <w:snapToGrid w:val="0"/>
          <w:color w:val="000000"/>
          <w:sz w:val="28"/>
          <w:szCs w:val="28"/>
        </w:rPr>
      </w:pPr>
      <w:bookmarkStart w:id="0" w:name="_GoBack"/>
      <w:bookmarkEnd w:id="0"/>
      <w:r>
        <w:rPr>
          <w:rFonts w:hint="eastAsia" w:ascii="仿宋_GB2312" w:hAnsi="仿宋_GB2312" w:eastAsia="仿宋_GB2312"/>
          <w:snapToGrid w:val="0"/>
          <w:color w:val="000000"/>
          <w:sz w:val="28"/>
          <w:szCs w:val="28"/>
        </w:rPr>
        <w:t>注册与中华人民共和国的具有独立法人资格，具备省、自治区、直辖市人民政府公安机关颁发的《保安服务许可证》</w:t>
      </w:r>
      <w:r>
        <w:rPr>
          <w:rFonts w:hint="eastAsia" w:ascii="仿宋_GB2312" w:hAnsi="仿宋_GB2312" w:eastAsia="仿宋_GB2312"/>
          <w:snapToGrid w:val="0"/>
          <w:color w:val="000000"/>
          <w:sz w:val="28"/>
          <w:szCs w:val="28"/>
          <w:lang w:eastAsia="zh-CN"/>
        </w:rPr>
        <w:t>。</w:t>
      </w:r>
    </w:p>
    <w:p w14:paraId="1663F88D">
      <w:pPr>
        <w:spacing w:line="360" w:lineRule="auto"/>
        <w:ind w:left="42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eastAsia="zh-CN"/>
        </w:rPr>
        <w:t>（二）</w:t>
      </w:r>
      <w:r>
        <w:rPr>
          <w:rFonts w:hint="eastAsia" w:ascii="仿宋_GB2312" w:hAnsi="仿宋_GB2312" w:eastAsia="仿宋_GB2312"/>
          <w:snapToGrid w:val="0"/>
          <w:color w:val="000000"/>
          <w:sz w:val="28"/>
          <w:szCs w:val="28"/>
        </w:rPr>
        <w:t>人员要求</w:t>
      </w:r>
    </w:p>
    <w:p w14:paraId="23D77AA2">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1、 所有秩序维护员需获得上海市公安局颁发的保安员上岗证，有部队、特警、消防背景为佳。</w:t>
      </w:r>
    </w:p>
    <w:p w14:paraId="1DA76D3B">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2、现场主管需大专或以上学历</w:t>
      </w:r>
      <w:r>
        <w:rPr>
          <w:rFonts w:hint="eastAsia" w:ascii="仿宋_GB2312" w:hAnsi="仿宋_GB2312" w:eastAsia="仿宋_GB2312"/>
          <w:snapToGrid w:val="0"/>
          <w:color w:val="000000"/>
          <w:sz w:val="28"/>
          <w:szCs w:val="28"/>
          <w:lang w:eastAsia="zh-CN"/>
        </w:rPr>
        <w:t>，并持有</w:t>
      </w:r>
      <w:r>
        <w:rPr>
          <w:rFonts w:hint="eastAsia" w:ascii="仿宋_GB2312" w:hAnsi="仿宋_GB2312" w:eastAsia="仿宋_GB2312"/>
          <w:snapToGrid w:val="0"/>
          <w:color w:val="000000"/>
          <w:sz w:val="28"/>
          <w:szCs w:val="28"/>
        </w:rPr>
        <w:t>助理保卫师或以上证书。</w:t>
      </w:r>
    </w:p>
    <w:p w14:paraId="7C209AD3">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3、消防监控员需持有消防设施操作员技术等级中级/四级。</w:t>
      </w:r>
    </w:p>
    <w:p w14:paraId="104CCFC3">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4、安全管理员需大专或以上学历。</w:t>
      </w:r>
    </w:p>
    <w:p w14:paraId="207A03E2">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5、所有人员年龄结构在</w:t>
      </w:r>
      <w:r>
        <w:rPr>
          <w:rFonts w:ascii="仿宋_GB2312" w:hAnsi="仿宋_GB2312" w:eastAsia="仿宋_GB2312"/>
          <w:snapToGrid w:val="0"/>
          <w:color w:val="000000"/>
          <w:sz w:val="28"/>
          <w:szCs w:val="28"/>
        </w:rPr>
        <w:t>2</w:t>
      </w:r>
      <w:r>
        <w:rPr>
          <w:rFonts w:hint="eastAsia" w:ascii="仿宋_GB2312" w:hAnsi="仿宋_GB2312" w:eastAsia="仿宋_GB2312"/>
          <w:snapToGrid w:val="0"/>
          <w:color w:val="000000"/>
          <w:sz w:val="28"/>
          <w:szCs w:val="28"/>
        </w:rPr>
        <w:t>0－55周岁之间，提供现场服务人员无犯罪承若函。</w:t>
      </w:r>
    </w:p>
    <w:p w14:paraId="340345FD">
      <w:pPr>
        <w:spacing w:line="360" w:lineRule="auto"/>
        <w:ind w:firstLine="560" w:firstLineChars="200"/>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rPr>
        <w:t>6、上岗人员，身体健康，无精神病史，能胜任保安岗位工作。</w:t>
      </w:r>
    </w:p>
    <w:p w14:paraId="157A00C0">
      <w:pPr>
        <w:spacing w:line="360" w:lineRule="auto"/>
        <w:ind w:firstLine="560" w:firstLineChars="200"/>
        <w:rPr>
          <w:rFonts w:hint="eastAsia" w:ascii="仿宋_GB2312" w:hAnsi="仿宋_GB2312" w:eastAsia="仿宋_GB2312"/>
          <w:snapToGrid w:val="0"/>
          <w:color w:val="000000"/>
          <w:sz w:val="28"/>
          <w:szCs w:val="28"/>
          <w:lang w:eastAsia="zh-CN"/>
        </w:rPr>
      </w:pPr>
      <w:r>
        <w:rPr>
          <w:rFonts w:hint="eastAsia" w:ascii="仿宋_GB2312" w:hAnsi="仿宋_GB2312" w:eastAsia="仿宋_GB2312"/>
          <w:snapToGrid w:val="0"/>
          <w:color w:val="000000"/>
          <w:sz w:val="28"/>
          <w:szCs w:val="28"/>
          <w:lang w:eastAsia="zh-CN"/>
        </w:rPr>
        <w:t>（三）其他实力及承诺</w:t>
      </w:r>
    </w:p>
    <w:p w14:paraId="344E7551">
      <w:pPr>
        <w:pStyle w:val="17"/>
        <w:numPr>
          <w:ilvl w:val="-1"/>
          <w:numId w:val="0"/>
        </w:numPr>
        <w:spacing w:line="360" w:lineRule="auto"/>
        <w:ind w:left="-17" w:leftChars="-8" w:firstLine="655" w:firstLineChars="234"/>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1.</w:t>
      </w:r>
      <w:r>
        <w:rPr>
          <w:rFonts w:hint="eastAsia" w:ascii="仿宋_GB2312" w:hAnsi="仿宋_GB2312" w:eastAsia="仿宋_GB2312"/>
          <w:snapToGrid w:val="0"/>
          <w:color w:val="000000"/>
          <w:sz w:val="28"/>
          <w:szCs w:val="28"/>
        </w:rPr>
        <w:t>企业通过ISO9001质量管理体系、ISO14001环境管理体系和ISO45001职业健康管理体系认证。</w:t>
      </w:r>
    </w:p>
    <w:p w14:paraId="59FEB621">
      <w:pPr>
        <w:pStyle w:val="17"/>
        <w:numPr>
          <w:ilvl w:val="-1"/>
          <w:numId w:val="0"/>
        </w:numPr>
        <w:spacing w:line="360" w:lineRule="auto"/>
        <w:ind w:left="0" w:leftChars="0" w:firstLine="638" w:firstLineChars="228"/>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2.</w:t>
      </w:r>
      <w:r>
        <w:rPr>
          <w:rFonts w:hint="eastAsia" w:ascii="仿宋_GB2312" w:hAnsi="仿宋_GB2312" w:eastAsia="仿宋_GB2312"/>
          <w:snapToGrid w:val="0"/>
          <w:color w:val="000000"/>
          <w:sz w:val="28"/>
          <w:szCs w:val="28"/>
        </w:rPr>
        <w:t>近三年内，具有至少2个及以上与本招标项目类似的安保服务业绩（需要提供委托管理合同复印件或影印件。如果投标人所提供的合同(复印件)无法认定其合同签订时间、合同内容、盖章页、体量等关键信息，则该合同将被认定为无效证明材料）</w:t>
      </w:r>
    </w:p>
    <w:p w14:paraId="015AFCBD">
      <w:pPr>
        <w:pStyle w:val="17"/>
        <w:numPr>
          <w:ilvl w:val="-1"/>
          <w:numId w:val="0"/>
        </w:numPr>
        <w:spacing w:line="360" w:lineRule="auto"/>
        <w:ind w:left="0" w:leftChars="0" w:firstLine="638" w:firstLineChars="228"/>
        <w:rPr>
          <w:rFonts w:ascii="仿宋_GB2312" w:hAnsi="仿宋_GB2312" w:eastAsia="仿宋_GB2312"/>
          <w:snapToGrid w:val="0"/>
          <w:color w:val="000000"/>
          <w:sz w:val="28"/>
          <w:szCs w:val="28"/>
        </w:rPr>
      </w:pPr>
      <w:r>
        <w:rPr>
          <w:rFonts w:hint="eastAsia" w:ascii="仿宋_GB2312" w:hAnsi="仿宋_GB2312" w:eastAsia="仿宋_GB2312"/>
          <w:snapToGrid w:val="0"/>
          <w:color w:val="000000"/>
          <w:sz w:val="28"/>
          <w:szCs w:val="28"/>
          <w:lang w:val="en-US" w:eastAsia="zh-CN"/>
        </w:rPr>
        <w:t>3.</w:t>
      </w:r>
      <w:r>
        <w:rPr>
          <w:rFonts w:hint="eastAsia" w:ascii="仿宋_GB2312" w:hAnsi="仿宋_GB2312" w:eastAsia="仿宋_GB2312"/>
          <w:snapToGrid w:val="0"/>
          <w:color w:val="000000"/>
          <w:sz w:val="28"/>
          <w:szCs w:val="28"/>
        </w:rPr>
        <w:t>中标承诺约定；企业承诺中标后现场服务工作人员信息与投标文件一致。现场主管及安全专员、消监控成员的调整需经甲方批准。</w:t>
      </w:r>
    </w:p>
    <w:p w14:paraId="4F5CF24B">
      <w:pPr>
        <w:tabs>
          <w:tab w:val="left" w:pos="567"/>
        </w:tabs>
        <w:spacing w:before="312" w:beforeLines="100" w:after="156" w:afterLines="50" w:line="360" w:lineRule="auto"/>
        <w:ind w:left="426" w:leftChars="203"/>
        <w:jc w:val="left"/>
        <w:outlineLvl w:val="0"/>
        <w:rPr>
          <w:rFonts w:ascii="仿宋_GB2312" w:hAnsi="仿宋_GB2312" w:eastAsia="仿宋_GB2312" w:cs="宋体"/>
          <w:b/>
          <w:color w:val="000000"/>
          <w:kern w:val="0"/>
          <w:sz w:val="28"/>
          <w:szCs w:val="28"/>
        </w:rPr>
      </w:pPr>
    </w:p>
    <w:p w14:paraId="5FC841CC">
      <w:pPr>
        <w:tabs>
          <w:tab w:val="left" w:pos="567"/>
        </w:tabs>
        <w:spacing w:before="312" w:beforeLines="100" w:after="156" w:afterLines="50" w:line="360" w:lineRule="auto"/>
        <w:ind w:left="0" w:leftChars="0"/>
        <w:jc w:val="left"/>
        <w:outlineLvl w:val="0"/>
        <w:rPr>
          <w:rFonts w:ascii="仿宋_GB2312" w:hAnsi="仿宋_GB2312" w:eastAsia="仿宋_GB2312" w:cs="宋体"/>
          <w:b/>
          <w:color w:val="000000"/>
          <w:kern w:val="0"/>
          <w:sz w:val="28"/>
          <w:szCs w:val="28"/>
        </w:rPr>
      </w:pPr>
    </w:p>
    <w:sectPr>
      <w:headerReference r:id="rId3" w:type="default"/>
      <w:headerReference r:id="rId4" w:type="even"/>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Lucida Sans">
    <w:altName w:val="Noto Naskh Arabic"/>
    <w:panose1 w:val="020B0602040502020204"/>
    <w:charset w:val="00"/>
    <w:family w:val="swiss"/>
    <w:pitch w:val="default"/>
    <w:sig w:usb0="00000000" w:usb1="00000000" w:usb2="00000008" w:usb3="00000000" w:csb0="0000009F" w:csb1="00000000"/>
  </w:font>
  <w:font w:name="Noto Naskh Arabic">
    <w:panose1 w:val="020B0502040504020204"/>
    <w:charset w:val="00"/>
    <w:family w:val="auto"/>
    <w:pitch w:val="default"/>
    <w:sig w:usb0="80002003" w:usb1="80002000" w:usb2="00000008" w:usb3="00000000" w:csb0="00000041" w:csb1="00080000"/>
  </w:font>
  <w:font w:name="方正兰亭黑_GBK">
    <w:altName w:val="方正黑体_GBK"/>
    <w:panose1 w:val="00000000000000000000"/>
    <w:charset w:val="86"/>
    <w:family w:val="script"/>
    <w:pitch w:val="default"/>
    <w:sig w:usb0="00000000" w:usb1="00000000" w:usb2="00080016" w:usb3="00000000" w:csb0="00040001" w:csb1="00000000"/>
  </w:font>
  <w:font w:name="方正黑体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rial Narrow">
    <w:altName w:val="DejaVu Sans"/>
    <w:panose1 w:val="020B0606020202030204"/>
    <w:charset w:val="00"/>
    <w:family w:val="swiss"/>
    <w:pitch w:val="default"/>
    <w:sig w:usb0="00000000" w:usb1="00000000" w:usb2="00000000" w:usb3="00000000" w:csb0="0000009F" w:csb1="00000000"/>
  </w:font>
  <w:font w:name="方正仿宋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4EDEA8">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03641">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E426C"/>
    <w:multiLevelType w:val="multilevel"/>
    <w:tmpl w:val="0A6E426C"/>
    <w:lvl w:ilvl="0" w:tentative="0">
      <w:start w:val="3"/>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6E925D"/>
    <w:multiLevelType w:val="singleLevel"/>
    <w:tmpl w:val="686E925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gutterAtTop/>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U0MGM4NDE3YWFlMzA0MWViNTY0Yjg0OThlOTIyYjUifQ=="/>
  </w:docVars>
  <w:rsids>
    <w:rsidRoot w:val="0038620A"/>
    <w:rsid w:val="00101A76"/>
    <w:rsid w:val="001B5118"/>
    <w:rsid w:val="002204DC"/>
    <w:rsid w:val="0022502D"/>
    <w:rsid w:val="0023262E"/>
    <w:rsid w:val="00247AB5"/>
    <w:rsid w:val="00255832"/>
    <w:rsid w:val="002A6059"/>
    <w:rsid w:val="003733A9"/>
    <w:rsid w:val="0038551C"/>
    <w:rsid w:val="0038620A"/>
    <w:rsid w:val="0039721C"/>
    <w:rsid w:val="003A7E81"/>
    <w:rsid w:val="003F1749"/>
    <w:rsid w:val="005745CD"/>
    <w:rsid w:val="005A24B8"/>
    <w:rsid w:val="005A2B24"/>
    <w:rsid w:val="005B2484"/>
    <w:rsid w:val="005C739A"/>
    <w:rsid w:val="005E2373"/>
    <w:rsid w:val="006059D7"/>
    <w:rsid w:val="0060630C"/>
    <w:rsid w:val="00640F70"/>
    <w:rsid w:val="006E3D0C"/>
    <w:rsid w:val="007332B0"/>
    <w:rsid w:val="00751913"/>
    <w:rsid w:val="00763D00"/>
    <w:rsid w:val="008252CD"/>
    <w:rsid w:val="00832AAB"/>
    <w:rsid w:val="00843023"/>
    <w:rsid w:val="00843596"/>
    <w:rsid w:val="00847029"/>
    <w:rsid w:val="00855CC1"/>
    <w:rsid w:val="00891A53"/>
    <w:rsid w:val="008A753D"/>
    <w:rsid w:val="008C4357"/>
    <w:rsid w:val="008F20DF"/>
    <w:rsid w:val="009A1D4D"/>
    <w:rsid w:val="009A56FB"/>
    <w:rsid w:val="009C68EB"/>
    <w:rsid w:val="00A57158"/>
    <w:rsid w:val="00A86BF3"/>
    <w:rsid w:val="00A937F4"/>
    <w:rsid w:val="00B00227"/>
    <w:rsid w:val="00B14F68"/>
    <w:rsid w:val="00BC64DF"/>
    <w:rsid w:val="00BD03E8"/>
    <w:rsid w:val="00C24B3D"/>
    <w:rsid w:val="00C365E5"/>
    <w:rsid w:val="00CA60D5"/>
    <w:rsid w:val="00D1280B"/>
    <w:rsid w:val="00D554BA"/>
    <w:rsid w:val="00D61C1C"/>
    <w:rsid w:val="00DB48F7"/>
    <w:rsid w:val="00E2063F"/>
    <w:rsid w:val="00E231C2"/>
    <w:rsid w:val="00E552A0"/>
    <w:rsid w:val="00EA7B32"/>
    <w:rsid w:val="00F30D7E"/>
    <w:rsid w:val="00F916F6"/>
    <w:rsid w:val="0FB54D97"/>
    <w:rsid w:val="2BC07713"/>
    <w:rsid w:val="33EF51EC"/>
    <w:rsid w:val="3AF95CEA"/>
    <w:rsid w:val="45E867A9"/>
    <w:rsid w:val="46E50C5D"/>
    <w:rsid w:val="4BB00241"/>
    <w:rsid w:val="4F053EF0"/>
    <w:rsid w:val="50970D9B"/>
    <w:rsid w:val="5E435858"/>
    <w:rsid w:val="5F903BD3"/>
    <w:rsid w:val="76B34290"/>
    <w:rsid w:val="7BEFD2AD"/>
    <w:rsid w:val="7DDB2E0A"/>
    <w:rsid w:val="7E5F46E8"/>
    <w:rsid w:val="7E6A104B"/>
    <w:rsid w:val="7EE96BBE"/>
    <w:rsid w:val="7FEED217"/>
    <w:rsid w:val="B3D9FB40"/>
    <w:rsid w:val="BF9157CF"/>
    <w:rsid w:val="EEDDF22E"/>
    <w:rsid w:val="F6FFA65D"/>
    <w:rsid w:val="FECFA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Lucida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szCs w:val="22"/>
      <w:lang w:val="en-US" w:eastAsia="zh-CN" w:bidi="ar-SA"/>
    </w:rPr>
  </w:style>
  <w:style w:type="paragraph" w:styleId="2">
    <w:name w:val="heading 1"/>
    <w:basedOn w:val="1"/>
    <w:next w:val="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autoRedefine/>
    <w:semiHidden/>
    <w:unhideWhenUsed/>
    <w:qFormat/>
    <w:uiPriority w:val="9"/>
    <w:pPr>
      <w:keepNext/>
      <w:keepLines/>
      <w:spacing w:before="260" w:after="260" w:line="415" w:lineRule="auto"/>
      <w:outlineLvl w:val="1"/>
    </w:pPr>
    <w:rPr>
      <w:rFonts w:ascii="方正兰亭黑_GBK" w:hAnsi="方正兰亭黑_GBK" w:eastAsia="黑体"/>
      <w:b/>
      <w:bCs/>
      <w:sz w:val="32"/>
      <w:szCs w:val="32"/>
    </w:rPr>
  </w:style>
  <w:style w:type="paragraph" w:styleId="4">
    <w:name w:val="heading 3"/>
    <w:basedOn w:val="1"/>
    <w:next w:val="1"/>
    <w:autoRedefine/>
    <w:semiHidden/>
    <w:unhideWhenUsed/>
    <w:qFormat/>
    <w:uiPriority w:val="9"/>
    <w:pPr>
      <w:keepNext/>
      <w:keepLines/>
      <w:spacing w:before="260" w:after="260" w:line="415"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rPr>
      <w:rFonts w:ascii="等线" w:eastAsia="等线" w:cs="Arial"/>
    </w:rPr>
  </w:style>
  <w:style w:type="paragraph" w:styleId="6">
    <w:name w:val="Plain Text"/>
    <w:basedOn w:val="1"/>
    <w:link w:val="18"/>
    <w:autoRedefine/>
    <w:qFormat/>
    <w:uiPriority w:val="0"/>
    <w:rPr>
      <w:rFonts w:ascii="宋体" w:hAnsi="Courier New"/>
      <w:szCs w:val="20"/>
    </w:rPr>
  </w:style>
  <w:style w:type="paragraph" w:styleId="7">
    <w:name w:val="Balloon Text"/>
    <w:basedOn w:val="1"/>
    <w:autoRedefine/>
    <w:qFormat/>
    <w:uiPriority w:val="0"/>
    <w:rPr>
      <w:rFonts w:ascii="等线" w:eastAsia="等线" w:cs="Arial"/>
      <w:sz w:val="18"/>
      <w:szCs w:val="18"/>
    </w:rPr>
  </w:style>
  <w:style w:type="paragraph" w:styleId="8">
    <w:name w:val="footer"/>
    <w:basedOn w:val="1"/>
    <w:autoRedefine/>
    <w:qFormat/>
    <w:uiPriority w:val="0"/>
    <w:pPr>
      <w:tabs>
        <w:tab w:val="center" w:pos="4153"/>
        <w:tab w:val="right" w:pos="8306"/>
      </w:tabs>
      <w:snapToGrid w:val="0"/>
      <w:jc w:val="left"/>
    </w:pPr>
    <w:rPr>
      <w:rFonts w:ascii="等线" w:eastAsia="等线" w:cs="Arial"/>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rFonts w:ascii="等线" w:eastAsia="等线" w:cs="Arial"/>
      <w:sz w:val="18"/>
      <w:szCs w:val="18"/>
    </w:rPr>
  </w:style>
  <w:style w:type="paragraph" w:styleId="10">
    <w:name w:val="List"/>
    <w:basedOn w:val="1"/>
    <w:autoRedefine/>
    <w:qFormat/>
    <w:uiPriority w:val="0"/>
    <w:pPr>
      <w:ind w:left="200" w:hanging="200" w:hangingChars="200"/>
    </w:pPr>
    <w:rPr>
      <w:rFonts w:ascii="Times New Roman" w:hAnsi="Times New Roman"/>
      <w:szCs w:val="24"/>
    </w:rPr>
  </w:style>
  <w:style w:type="paragraph" w:styleId="11">
    <w:name w:val="annotation subject"/>
    <w:basedOn w:val="5"/>
    <w:next w:val="5"/>
    <w:autoRedefine/>
    <w:qFormat/>
    <w:uiPriority w:val="0"/>
    <w:rPr>
      <w:b/>
      <w:bCs/>
    </w:rPr>
  </w:style>
  <w:style w:type="character" w:styleId="14">
    <w:name w:val="annotation reference"/>
    <w:basedOn w:val="13"/>
    <w:autoRedefine/>
    <w:qFormat/>
    <w:uiPriority w:val="0"/>
    <w:rPr>
      <w:sz w:val="21"/>
      <w:szCs w:val="21"/>
    </w:rPr>
  </w:style>
  <w:style w:type="paragraph" w:customStyle="1" w:styleId="15">
    <w:name w:val="修订1"/>
    <w:autoRedefine/>
    <w:qFormat/>
    <w:uiPriority w:val="0"/>
    <w:pPr>
      <w:jc w:val="both"/>
    </w:pPr>
    <w:rPr>
      <w:rFonts w:ascii="等线" w:hAnsi="Times New Roman" w:eastAsia="等线" w:cs="Arial"/>
      <w:kern w:val="2"/>
      <w:sz w:val="21"/>
      <w:szCs w:val="22"/>
      <w:lang w:val="en-US" w:eastAsia="zh-CN" w:bidi="ar-SA"/>
    </w:rPr>
  </w:style>
  <w:style w:type="paragraph" w:styleId="16">
    <w:name w:val="No Spacing"/>
    <w:autoRedefine/>
    <w:qFormat/>
    <w:uiPriority w:val="0"/>
    <w:pPr>
      <w:widowControl w:val="0"/>
      <w:jc w:val="both"/>
    </w:pPr>
    <w:rPr>
      <w:rFonts w:ascii="等线" w:hAnsi="Times New Roman" w:eastAsia="等线" w:cs="Arial"/>
      <w:kern w:val="2"/>
      <w:sz w:val="21"/>
      <w:szCs w:val="22"/>
      <w:lang w:val="en-US" w:eastAsia="zh-CN" w:bidi="ar-SA"/>
    </w:rPr>
  </w:style>
  <w:style w:type="paragraph" w:styleId="17">
    <w:name w:val="List Paragraph"/>
    <w:basedOn w:val="1"/>
    <w:autoRedefine/>
    <w:qFormat/>
    <w:uiPriority w:val="34"/>
    <w:pPr>
      <w:ind w:firstLine="420" w:firstLineChars="200"/>
    </w:pPr>
  </w:style>
  <w:style w:type="character" w:customStyle="1" w:styleId="18">
    <w:name w:val="纯文本 Char"/>
    <w:basedOn w:val="13"/>
    <w:link w:val="6"/>
    <w:qFormat/>
    <w:uiPriority w:val="0"/>
    <w:rPr>
      <w:rFonts w:ascii="宋体" w:hAnsi="Courier New" w:cs="Times New Roman"/>
      <w:kern w:val="2"/>
      <w:sz w:val="21"/>
    </w:rPr>
  </w:style>
  <w:style w:type="table" w:customStyle="1" w:styleId="19">
    <w:name w:val="Table Normal"/>
    <w:autoRedefine/>
    <w:semiHidden/>
    <w:unhideWhenUsed/>
    <w:qFormat/>
    <w:uiPriority w:val="0"/>
    <w:tblPr>
      <w:tblCellMar>
        <w:top w:w="0" w:type="dxa"/>
        <w:left w:w="0" w:type="dxa"/>
        <w:bottom w:w="0" w:type="dxa"/>
        <w:right w:w="0" w:type="dxa"/>
      </w:tblCellMar>
    </w:tblPr>
  </w:style>
  <w:style w:type="paragraph" w:customStyle="1" w:styleId="20">
    <w:name w:val="Table Text"/>
    <w:basedOn w:val="1"/>
    <w:autoRedefine/>
    <w:semiHidden/>
    <w:qFormat/>
    <w:uiPriority w:val="0"/>
    <w:rPr>
      <w:rFonts w:ascii="仿宋" w:hAnsi="仿宋" w:eastAsia="仿宋" w:cs="仿宋"/>
      <w:sz w:val="22"/>
      <w:lang w:eastAsia="en-US"/>
    </w:rPr>
  </w:style>
  <w:style w:type="character" w:customStyle="1" w:styleId="21">
    <w:name w:val="标1 Char Char"/>
    <w:link w:val="22"/>
    <w:qFormat/>
    <w:uiPriority w:val="0"/>
    <w:rPr>
      <w:rFonts w:ascii="Arial Narrow" w:hAnsi="Arial Narrow" w:eastAsia="仿宋"/>
      <w:b/>
      <w:spacing w:val="20"/>
      <w:sz w:val="24"/>
      <w:szCs w:val="24"/>
    </w:rPr>
  </w:style>
  <w:style w:type="paragraph" w:customStyle="1" w:styleId="22">
    <w:name w:val="标1"/>
    <w:basedOn w:val="1"/>
    <w:link w:val="21"/>
    <w:qFormat/>
    <w:uiPriority w:val="0"/>
    <w:pPr>
      <w:tabs>
        <w:tab w:val="left" w:pos="1140"/>
      </w:tabs>
      <w:adjustRightInd w:val="0"/>
      <w:snapToGrid w:val="0"/>
      <w:spacing w:beforeLines="100" w:line="360" w:lineRule="auto"/>
      <w:ind w:left="1140" w:hanging="720"/>
      <w:jc w:val="left"/>
      <w:outlineLvl w:val="0"/>
    </w:pPr>
    <w:rPr>
      <w:rFonts w:ascii="Arial Narrow" w:hAnsi="Arial Narrow" w:eastAsia="仿宋" w:cs="Lucida Sans"/>
      <w:b/>
      <w:spacing w:val="20"/>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xmlns="http://www.yozosoft.com.cn/officeDocument/2016/customData">
    <docPr xmlns="http://www.yozosoft.com.cn/officeDocument/2016/customData" revisions="3 0 5 0 0 0 1 0 0 0 3000 0 1 1 1 1"/>
    <sectPr xmlns="http://www.yozosoft.com.cn/officeDocument/2016/customData"/>
  </customProps>
</customData>
</file>

<file path=customXml/itemProps1.xml><?xml version="1.0" encoding="utf-8"?>
<ds:datastoreItem xmlns:ds="http://schemas.openxmlformats.org/officeDocument/2006/customXml" ds:itemID="{0F1BC289-D31E-4560-A411-934622C1EB9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611</Words>
  <Characters>3488</Characters>
  <Lines>29</Lines>
  <Paragraphs>8</Paragraphs>
  <TotalTime>15</TotalTime>
  <ScaleCrop>false</ScaleCrop>
  <LinksUpToDate>false</LinksUpToDate>
  <CharactersWithSpaces>4091</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2025-05-01T00:28:00Z</dcterms:created>
  <dc:creator>张姝雅</dc:creator>
  <cp:lastModifiedBy>user</cp:lastModifiedBy>
  <dcterms:modified xsi:type="dcterms:W3CDTF">2025-05-12T15:11:11Z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9B24E8B64ABB7509049F2168546DBD87_43</vt:lpwstr>
  </property>
</Properties>
</file>