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宋体" w:hAnsi="宋体" w:cs="宋体"/>
          <w:sz w:val="36"/>
          <w:szCs w:val="36"/>
        </w:rPr>
      </w:pPr>
      <w:r>
        <w:rPr>
          <w:rFonts w:hint="eastAsia" w:ascii="宋体" w:hAnsi="宋体" w:cs="宋体"/>
          <w:b/>
          <w:sz w:val="36"/>
          <w:szCs w:val="36"/>
        </w:rPr>
        <w:t>中共上海市委党校</w:t>
      </w:r>
      <w:r>
        <w:rPr>
          <w:rFonts w:hint="eastAsia" w:ascii="宋体" w:hAnsi="宋体" w:cs="宋体"/>
          <w:b/>
          <w:sz w:val="36"/>
          <w:szCs w:val="36"/>
        </w:rPr>
        <w:br w:type="textWrapping"/>
      </w:r>
      <w:r>
        <w:rPr>
          <w:rFonts w:hint="eastAsia" w:ascii="宋体" w:hAnsi="宋体" w:cs="宋体"/>
          <w:b/>
          <w:sz w:val="36"/>
          <w:szCs w:val="36"/>
        </w:rPr>
        <w:t>校本部及梅陇校区绿化养护服务需求书</w:t>
      </w:r>
    </w:p>
    <w:p>
      <w:pPr>
        <w:spacing w:line="360" w:lineRule="auto"/>
        <w:ind w:left="343" w:leftChars="7" w:hanging="328" w:hangingChars="137"/>
        <w:jc w:val="center"/>
        <w:rPr>
          <w:rFonts w:ascii="仿宋" w:hAnsi="仿宋" w:eastAsia="仿宋" w:cs="仿宋"/>
          <w:color w:val="000000"/>
          <w:sz w:val="24"/>
          <w:szCs w:val="24"/>
        </w:rPr>
      </w:pPr>
    </w:p>
    <w:p>
      <w:pPr>
        <w:pStyle w:val="2"/>
        <w:spacing w:after="200" w:line="360" w:lineRule="auto"/>
        <w:rPr>
          <w:rFonts w:ascii="黑体" w:hAnsi="黑体" w:eastAsia="黑体" w:cs="黑体"/>
          <w:sz w:val="32"/>
          <w:szCs w:val="32"/>
        </w:rPr>
      </w:pPr>
      <w:r>
        <w:rPr>
          <w:rFonts w:hint="eastAsia" w:ascii="黑体" w:hAnsi="黑体" w:eastAsia="黑体" w:cs="黑体"/>
          <w:sz w:val="32"/>
          <w:szCs w:val="32"/>
        </w:rPr>
        <w:t>一、项目概况</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本项目为中共上海市委党校绿化养护项目，包含校本部（虹漕南路200号、虹漕南路123号）和梅陇校区（天等路501号）绿化养护。</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（一）养护内容（以打√为准）</w:t>
      </w:r>
    </w:p>
    <w:p>
      <w:pPr>
        <w:spacing w:line="360" w:lineRule="auto"/>
        <w:ind w:firstLine="422" w:firstLineChars="175"/>
        <w:rPr>
          <w:rFonts w:ascii="仿宋" w:hAnsi="仿宋" w:eastAsia="仿宋" w:cs="仿宋"/>
          <w:b/>
          <w:sz w:val="24"/>
          <w:szCs w:val="24"/>
        </w:rPr>
      </w:pPr>
      <w:r>
        <w:rPr>
          <w:rFonts w:hint="eastAsia" w:ascii="仿宋" w:hAnsi="仿宋" w:eastAsia="仿宋" w:cs="仿宋"/>
          <w:b/>
          <w:sz w:val="24"/>
          <w:szCs w:val="24"/>
        </w:rPr>
        <w:t>室外绿化养护部分：</w:t>
      </w:r>
    </w:p>
    <w:p>
      <w:pPr>
        <w:spacing w:line="520" w:lineRule="exact"/>
        <w:ind w:left="141" w:leftChars="67" w:firstLine="424" w:firstLineChars="177"/>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去除枯死植株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植物移植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树木扶正</w:t>
      </w:r>
    </w:p>
    <w:p>
      <w:pPr>
        <w:spacing w:line="520" w:lineRule="exact"/>
        <w:ind w:left="3321" w:leftChars="267" w:hanging="2760" w:hangingChars="1150"/>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病虫害防治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浇灌排水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土壤施肥</w:t>
      </w:r>
    </w:p>
    <w:p>
      <w:pPr>
        <w:spacing w:line="520" w:lineRule="exact"/>
        <w:ind w:left="3321" w:leftChars="267" w:hanging="2760" w:hangingChars="1150"/>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中耕除草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花坛布置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地被覆盖</w:t>
      </w:r>
    </w:p>
    <w:p>
      <w:pPr>
        <w:spacing w:line="520" w:lineRule="exact"/>
        <w:ind w:left="540"/>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植物（树木、绿篱、草坪等）修剪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土壤改良</w:t>
      </w:r>
    </w:p>
    <w:p>
      <w:pPr>
        <w:spacing w:line="520" w:lineRule="exact"/>
        <w:ind w:left="561"/>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植物防护(防寒、旱、台、涝、高温等)</w:t>
      </w:r>
    </w:p>
    <w:p>
      <w:pPr>
        <w:spacing w:line="520" w:lineRule="exact"/>
        <w:ind w:left="559" w:leftChars="266"/>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栏杆、园路、桌椅、绿化标牌、喷灌、垂直绿化、花箱容器、灌溉控制设备、驳岸等园林设施的保洁</w:t>
      </w:r>
    </w:p>
    <w:p>
      <w:pPr>
        <w:spacing w:line="520" w:lineRule="exact"/>
        <w:ind w:left="5630" w:leftChars="257" w:hanging="5090" w:hangingChars="2121"/>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绿化保洁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垃圾收集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垃圾清运</w:t>
      </w:r>
    </w:p>
    <w:p>
      <w:pPr>
        <w:spacing w:line="520" w:lineRule="exact"/>
        <w:ind w:left="2558" w:leftChars="257" w:hanging="2018" w:hangingChars="841"/>
        <w:rPr>
          <w:rFonts w:ascii="仿宋" w:hAnsi="仿宋" w:eastAsia="仿宋" w:cs="仿宋"/>
          <w:sz w:val="24"/>
          <w:szCs w:val="24"/>
          <w:u w:val="single"/>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sz w:val="24"/>
          <w:szCs w:val="24"/>
        </w:rPr>
        <w:t xml:space="preserve"> 其它养护内容：</w:t>
      </w:r>
      <w:r>
        <w:rPr>
          <w:rFonts w:hint="eastAsia" w:ascii="仿宋" w:hAnsi="仿宋" w:eastAsia="仿宋" w:cs="仿宋"/>
          <w:sz w:val="24"/>
          <w:szCs w:val="24"/>
          <w:u w:val="single"/>
        </w:rPr>
        <w:t xml:space="preserve"> 水体保洁、水体清淤     </w:t>
      </w:r>
    </w:p>
    <w:p>
      <w:pPr>
        <w:spacing w:line="520" w:lineRule="exact"/>
        <w:ind w:left="2566" w:leftChars="257" w:hanging="2026" w:hangingChars="841"/>
        <w:rPr>
          <w:rFonts w:ascii="仿宋" w:hAnsi="仿宋" w:eastAsia="仿宋" w:cs="仿宋"/>
          <w:b/>
          <w:sz w:val="24"/>
          <w:szCs w:val="24"/>
        </w:rPr>
      </w:pPr>
      <w:r>
        <w:rPr>
          <w:rFonts w:hint="eastAsia" w:ascii="仿宋" w:hAnsi="仿宋" w:eastAsia="仿宋" w:cs="仿宋"/>
          <w:b/>
          <w:sz w:val="24"/>
          <w:szCs w:val="24"/>
        </w:rPr>
        <w:t>公共区域绿化摆放部分：</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保持植物长势良好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植物浇水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清理枯叶、落叶</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病虫害防治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植物修剪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定期施肥</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花盆内不积水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花盆裸土覆盖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保持植物叶面清洁</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季节性更替主要区域的植物        </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保持花盆整洁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鲜花类植物残花及时清理</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定期更换长势不佳的植物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主要区域节日、季节性布置</w:t>
      </w:r>
    </w:p>
    <w:p>
      <w:pPr>
        <w:spacing w:line="520" w:lineRule="exact"/>
        <w:ind w:left="540"/>
        <w:rPr>
          <w:rFonts w:ascii="仿宋" w:hAnsi="仿宋" w:eastAsia="仿宋" w:cs="仿宋"/>
          <w:position w:val="2"/>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绿化保洁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垃圾收集        </w:t>
      </w: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垃圾清运</w:t>
      </w:r>
    </w:p>
    <w:p>
      <w:pPr>
        <w:spacing w:line="520" w:lineRule="exact"/>
        <w:ind w:left="540"/>
        <w:rPr>
          <w:rFonts w:ascii="仿宋" w:hAnsi="仿宋" w:eastAsia="仿宋" w:cs="仿宋"/>
          <w:sz w:val="24"/>
          <w:szCs w:val="24"/>
        </w:rPr>
      </w:pPr>
      <w:r>
        <w:rPr>
          <w:rFonts w:hint="eastAsia" w:ascii="仿宋" w:hAnsi="仿宋" w:eastAsia="仿宋" w:cs="仿宋"/>
          <w:position w:val="2"/>
          <w:sz w:val="24"/>
          <w:szCs w:val="24"/>
        </w:rPr>
        <w:fldChar w:fldCharType="begin"/>
      </w:r>
      <w:r>
        <w:rPr>
          <w:rFonts w:hint="eastAsia" w:ascii="仿宋" w:hAnsi="仿宋" w:eastAsia="仿宋" w:cs="仿宋"/>
          <w:position w:val="2"/>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position w:val="2"/>
          <w:sz w:val="24"/>
          <w:szCs w:val="24"/>
        </w:rPr>
        <w:fldChar w:fldCharType="end"/>
      </w:r>
      <w:r>
        <w:rPr>
          <w:rFonts w:hint="eastAsia" w:ascii="仿宋" w:hAnsi="仿宋" w:eastAsia="仿宋" w:cs="仿宋"/>
          <w:position w:val="2"/>
          <w:sz w:val="24"/>
          <w:szCs w:val="24"/>
        </w:rPr>
        <w:t xml:space="preserve">  其它养护内容：</w:t>
      </w:r>
      <w:r>
        <w:rPr>
          <w:rFonts w:hint="eastAsia" w:ascii="仿宋" w:hAnsi="仿宋" w:eastAsia="仿宋" w:cs="仿宋"/>
          <w:position w:val="2"/>
          <w:sz w:val="24"/>
          <w:szCs w:val="24"/>
          <w:u w:val="single"/>
        </w:rPr>
        <w:t xml:space="preserve"> 根据甲方或甲方委托的物业要求，及时进行植物摆放位置的调整，对绿化设施设备做好日常维护。</w:t>
      </w:r>
    </w:p>
    <w:p>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双方对养护内容有详细约定的，可以另附工作量清单。</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（二）养护工作量</w:t>
      </w:r>
    </w:p>
    <w:p>
      <w:pPr>
        <w:tabs>
          <w:tab w:val="left" w:pos="0"/>
        </w:tabs>
        <w:spacing w:line="360" w:lineRule="auto"/>
        <w:ind w:firstLine="482" w:firstLineChars="200"/>
        <w:rPr>
          <w:rFonts w:ascii="仿宋" w:hAnsi="仿宋" w:eastAsia="仿宋" w:cs="仿宋"/>
          <w:sz w:val="24"/>
          <w:szCs w:val="24"/>
        </w:rPr>
      </w:pPr>
      <w:r>
        <w:rPr>
          <w:rFonts w:hint="eastAsia" w:ascii="仿宋" w:hAnsi="仿宋" w:eastAsia="仿宋" w:cs="仿宋"/>
          <w:b/>
          <w:sz w:val="24"/>
          <w:szCs w:val="24"/>
        </w:rPr>
        <w:t>1、</w:t>
      </w:r>
      <w:r>
        <w:rPr>
          <w:rFonts w:hint="eastAsia" w:ascii="仿宋" w:hAnsi="仿宋" w:eastAsia="仿宋" w:cs="仿宋"/>
          <w:sz w:val="24"/>
          <w:szCs w:val="24"/>
        </w:rPr>
        <w:t>校本部（虹漕南路200号）：室外绿化约99500平方米，其中草地58680平方米、花坛1500平方米，屋顶绿化6858平方米、树木及灌木32021平方米、垂直绿化441平方米，公共区域绿化租摆。</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2、校本部（虹漕南路123号）：室外绿化约1562平方米，其中草地400平方米、树木及灌木1162平方米，公共区域绿化租摆。</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3、梅陇校区（天等路501号）：室外绿化约6016平方米，其中草地3716平方米、树木及灌木2000平方米，花坛300平方米，公共区域绿化租摆。</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4、对养护方超出合同约定范围和因养护方原因造成返工的养护工作，校方不予计量。</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实际养护工作量由校方确定，</w:t>
      </w:r>
      <w:r>
        <w:rPr>
          <w:rFonts w:hint="eastAsia" w:ascii="仿宋" w:hAnsi="仿宋" w:eastAsia="仿宋" w:cs="仿宋"/>
          <w:sz w:val="24"/>
          <w:szCs w:val="24"/>
          <w:shd w:val="clear" w:color="FFFFFF" w:fill="auto"/>
        </w:rPr>
        <w:t>养护方每年须为校方提供绿化咨询、园艺科普服务不少于3次以上</w:t>
      </w:r>
      <w:r>
        <w:rPr>
          <w:rFonts w:hint="eastAsia" w:ascii="仿宋" w:hAnsi="仿宋" w:eastAsia="仿宋" w:cs="仿宋"/>
          <w:sz w:val="24"/>
          <w:szCs w:val="24"/>
        </w:rPr>
        <w:t>。</w:t>
      </w:r>
    </w:p>
    <w:p>
      <w:pPr>
        <w:pStyle w:val="2"/>
        <w:spacing w:after="200" w:line="360" w:lineRule="auto"/>
        <w:rPr>
          <w:rFonts w:ascii="黑体" w:hAnsi="黑体" w:eastAsia="黑体" w:cs="黑体"/>
          <w:sz w:val="32"/>
          <w:szCs w:val="32"/>
        </w:rPr>
      </w:pPr>
      <w:r>
        <w:rPr>
          <w:rFonts w:hint="eastAsia" w:ascii="黑体" w:hAnsi="黑体" w:eastAsia="黑体" w:cs="黑体"/>
          <w:sz w:val="32"/>
          <w:szCs w:val="32"/>
        </w:rPr>
        <w:t>二、项目总体目标</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（一）质量总目标</w:t>
      </w:r>
    </w:p>
    <w:p>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确保“中国共产党上海市委员会党校园林绿化管理服务”的养护质量达到上海市绿地养护一级标准。</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（二）安全施工管理总目标</w:t>
      </w:r>
    </w:p>
    <w:p>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确保工程无重大安全责任事故。</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（三）文明施工管理总目标</w:t>
      </w:r>
    </w:p>
    <w:p>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确保养护区域周围环境的整洁，现场做到规范化、标准化</w:t>
      </w:r>
      <w:r>
        <w:rPr>
          <w:rFonts w:hint="eastAsia" w:ascii="仿宋" w:hAnsi="仿宋" w:eastAsia="仿宋" w:cs="仿宋"/>
          <w:color w:val="FF0000"/>
          <w:sz w:val="24"/>
          <w:szCs w:val="24"/>
        </w:rPr>
        <w:t>、</w:t>
      </w:r>
      <w:r>
        <w:rPr>
          <w:rFonts w:hint="eastAsia" w:ascii="仿宋" w:hAnsi="仿宋" w:eastAsia="仿宋" w:cs="仿宋"/>
          <w:sz w:val="24"/>
          <w:szCs w:val="24"/>
        </w:rPr>
        <w:t>争创文明工地。</w:t>
      </w:r>
    </w:p>
    <w:p>
      <w:pPr>
        <w:pStyle w:val="2"/>
        <w:spacing w:after="200" w:line="360" w:lineRule="auto"/>
        <w:rPr>
          <w:rFonts w:ascii="黑体" w:hAnsi="黑体" w:eastAsia="黑体" w:cs="黑体"/>
          <w:sz w:val="32"/>
          <w:szCs w:val="32"/>
        </w:rPr>
      </w:pPr>
      <w:r>
        <w:rPr>
          <w:rFonts w:hint="eastAsia" w:ascii="黑体" w:hAnsi="黑体" w:eastAsia="黑体" w:cs="黑体"/>
          <w:sz w:val="32"/>
          <w:szCs w:val="32"/>
        </w:rPr>
        <w:t>三、养护的规范、标准和要求</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严格按照以下的养护技术规范、标准及要求作为实施的依据，并结合招标地块的实际情况及特点制定一套完整、科学、全面的养护技术措施和组织措施，与业主积极配合、协调工作，对本工程养护地块适时、适地、适树进行精细、科学的养护管理，保证整体景观效果良好和公共服务功能的发挥。</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（一）相关技术规范与标准</w:t>
      </w:r>
    </w:p>
    <w:p>
      <w:pPr>
        <w:spacing w:line="360" w:lineRule="auto"/>
        <w:rPr>
          <w:rFonts w:ascii="仿宋" w:hAnsi="仿宋" w:eastAsia="仿宋" w:cs="仿宋"/>
          <w:sz w:val="24"/>
          <w:szCs w:val="24"/>
        </w:rPr>
      </w:pPr>
      <w:r>
        <w:rPr>
          <w:rFonts w:hint="eastAsia" w:ascii="仿宋" w:hAnsi="仿宋" w:eastAsia="仿宋" w:cs="仿宋"/>
          <w:sz w:val="24"/>
          <w:szCs w:val="24"/>
        </w:rPr>
        <w:t>《园林绿化植物栽植技术规程》DG/TJ08-18-2011</w:t>
      </w:r>
    </w:p>
    <w:p>
      <w:pPr>
        <w:spacing w:line="360" w:lineRule="auto"/>
        <w:rPr>
          <w:rFonts w:ascii="仿宋" w:hAnsi="仿宋" w:eastAsia="仿宋" w:cs="仿宋"/>
          <w:sz w:val="24"/>
          <w:szCs w:val="24"/>
        </w:rPr>
      </w:pPr>
      <w:r>
        <w:rPr>
          <w:rFonts w:hint="eastAsia" w:ascii="仿宋" w:hAnsi="仿宋" w:eastAsia="仿宋" w:cs="仿宋"/>
          <w:sz w:val="24"/>
          <w:szCs w:val="24"/>
        </w:rPr>
        <w:t>《园林绿化养护技术规程》DG/TJ08-19-2011</w:t>
      </w:r>
    </w:p>
    <w:p>
      <w:pPr>
        <w:spacing w:line="360" w:lineRule="auto"/>
        <w:rPr>
          <w:rFonts w:ascii="仿宋" w:hAnsi="仿宋" w:eastAsia="仿宋" w:cs="仿宋"/>
          <w:sz w:val="24"/>
          <w:szCs w:val="24"/>
        </w:rPr>
      </w:pPr>
      <w:r>
        <w:rPr>
          <w:rFonts w:hint="eastAsia" w:ascii="仿宋" w:hAnsi="仿宋" w:eastAsia="仿宋" w:cs="仿宋"/>
          <w:sz w:val="24"/>
          <w:szCs w:val="24"/>
        </w:rPr>
        <w:t>《园林植物保护技术规程》DBJ08-35-94</w:t>
      </w:r>
    </w:p>
    <w:p>
      <w:pPr>
        <w:spacing w:line="360" w:lineRule="auto"/>
        <w:rPr>
          <w:rFonts w:ascii="仿宋" w:hAnsi="仿宋" w:eastAsia="仿宋" w:cs="仿宋"/>
          <w:sz w:val="24"/>
          <w:szCs w:val="24"/>
        </w:rPr>
      </w:pPr>
      <w:r>
        <w:rPr>
          <w:rFonts w:hint="eastAsia" w:ascii="仿宋" w:hAnsi="仿宋" w:eastAsia="仿宋" w:cs="仿宋"/>
          <w:sz w:val="24"/>
          <w:szCs w:val="24"/>
        </w:rPr>
        <w:t>《大树移植技术规程》DBJ08-53-96</w:t>
      </w:r>
    </w:p>
    <w:p>
      <w:pPr>
        <w:spacing w:line="360" w:lineRule="auto"/>
        <w:rPr>
          <w:rFonts w:ascii="仿宋" w:hAnsi="仿宋" w:eastAsia="仿宋" w:cs="仿宋"/>
          <w:sz w:val="24"/>
          <w:szCs w:val="24"/>
        </w:rPr>
      </w:pPr>
      <w:r>
        <w:rPr>
          <w:rFonts w:hint="eastAsia" w:ascii="仿宋" w:hAnsi="仿宋" w:eastAsia="仿宋" w:cs="仿宋"/>
          <w:sz w:val="24"/>
          <w:szCs w:val="24"/>
        </w:rPr>
        <w:t>《园林栽植土质量标准》DBJ08-231-98</w:t>
      </w:r>
    </w:p>
    <w:p>
      <w:pPr>
        <w:spacing w:line="360" w:lineRule="auto"/>
        <w:rPr>
          <w:rFonts w:ascii="仿宋" w:hAnsi="仿宋" w:eastAsia="仿宋" w:cs="仿宋"/>
          <w:sz w:val="24"/>
          <w:szCs w:val="24"/>
        </w:rPr>
      </w:pPr>
      <w:r>
        <w:rPr>
          <w:rFonts w:hint="eastAsia" w:ascii="仿宋" w:hAnsi="仿宋" w:eastAsia="仿宋" w:cs="仿宋"/>
          <w:sz w:val="24"/>
          <w:szCs w:val="24"/>
        </w:rPr>
        <w:t>《草坪建植和草坪养护管理的技术规程》DBJ08-67-97</w:t>
      </w:r>
    </w:p>
    <w:p>
      <w:pPr>
        <w:spacing w:line="360" w:lineRule="auto"/>
        <w:rPr>
          <w:rFonts w:ascii="仿宋" w:hAnsi="仿宋" w:eastAsia="仿宋" w:cs="仿宋"/>
          <w:sz w:val="24"/>
          <w:szCs w:val="24"/>
        </w:rPr>
      </w:pPr>
      <w:r>
        <w:rPr>
          <w:rFonts w:hint="eastAsia" w:ascii="仿宋" w:hAnsi="仿宋" w:eastAsia="仿宋" w:cs="仿宋"/>
          <w:sz w:val="24"/>
          <w:szCs w:val="24"/>
        </w:rPr>
        <w:t>《上海市园林绿化养护标准（2000.7）》</w:t>
      </w:r>
    </w:p>
    <w:p>
      <w:pPr>
        <w:spacing w:line="360" w:lineRule="auto"/>
        <w:rPr>
          <w:rFonts w:ascii="仿宋" w:hAnsi="仿宋" w:eastAsia="仿宋" w:cs="仿宋"/>
          <w:sz w:val="24"/>
          <w:szCs w:val="24"/>
        </w:rPr>
      </w:pPr>
      <w:r>
        <w:rPr>
          <w:rFonts w:hint="eastAsia" w:ascii="仿宋" w:hAnsi="仿宋" w:eastAsia="仿宋" w:cs="仿宋"/>
          <w:sz w:val="24"/>
          <w:szCs w:val="24"/>
        </w:rPr>
        <w:t>《上海市园林工程预算定额（2000）》</w:t>
      </w:r>
    </w:p>
    <w:p>
      <w:pPr>
        <w:spacing w:line="360" w:lineRule="auto"/>
        <w:rPr>
          <w:rFonts w:ascii="仿宋" w:hAnsi="仿宋" w:eastAsia="仿宋" w:cs="仿宋"/>
          <w:sz w:val="24"/>
          <w:szCs w:val="24"/>
        </w:rPr>
      </w:pPr>
      <w:r>
        <w:rPr>
          <w:rFonts w:hint="eastAsia" w:ascii="仿宋" w:hAnsi="仿宋" w:eastAsia="仿宋" w:cs="仿宋"/>
          <w:sz w:val="24"/>
          <w:szCs w:val="24"/>
        </w:rPr>
        <w:t>《绿化养护工程补充定额（试行）》1999.12</w:t>
      </w:r>
    </w:p>
    <w:p>
      <w:pPr>
        <w:spacing w:line="360" w:lineRule="auto"/>
        <w:rPr>
          <w:rFonts w:ascii="仿宋" w:hAnsi="仿宋" w:eastAsia="仿宋" w:cs="仿宋"/>
          <w:sz w:val="24"/>
          <w:szCs w:val="24"/>
        </w:rPr>
      </w:pPr>
      <w:r>
        <w:rPr>
          <w:rFonts w:hint="eastAsia" w:ascii="仿宋" w:hAnsi="仿宋" w:eastAsia="仿宋" w:cs="仿宋"/>
          <w:sz w:val="24"/>
          <w:szCs w:val="24"/>
        </w:rPr>
        <w:t>《上海市园林绿化养护综合配套定额（试行）》</w:t>
      </w:r>
    </w:p>
    <w:p>
      <w:pPr>
        <w:spacing w:line="360" w:lineRule="auto"/>
        <w:rPr>
          <w:rFonts w:ascii="仿宋" w:hAnsi="仿宋" w:eastAsia="仿宋" w:cs="仿宋"/>
          <w:sz w:val="24"/>
          <w:szCs w:val="24"/>
        </w:rPr>
      </w:pPr>
      <w:r>
        <w:rPr>
          <w:rFonts w:hint="eastAsia" w:ascii="仿宋" w:hAnsi="仿宋" w:eastAsia="仿宋" w:cs="仿宋"/>
          <w:sz w:val="24"/>
          <w:szCs w:val="24"/>
        </w:rPr>
        <w:t>《绿化设计规程》DBJ08-15-89</w:t>
      </w:r>
    </w:p>
    <w:p>
      <w:pPr>
        <w:spacing w:line="360" w:lineRule="auto"/>
        <w:rPr>
          <w:rFonts w:ascii="仿宋" w:hAnsi="仿宋" w:eastAsia="仿宋" w:cs="仿宋"/>
          <w:sz w:val="24"/>
          <w:szCs w:val="24"/>
        </w:rPr>
      </w:pPr>
      <w:r>
        <w:rPr>
          <w:rFonts w:hint="eastAsia" w:ascii="仿宋" w:hAnsi="仿宋" w:eastAsia="仿宋" w:cs="仿宋"/>
          <w:sz w:val="24"/>
          <w:szCs w:val="24"/>
        </w:rPr>
        <w:t>《花坛、花境技术规程》DBJ08-66-92</w:t>
      </w:r>
    </w:p>
    <w:p>
      <w:pPr>
        <w:spacing w:line="360" w:lineRule="auto"/>
        <w:rPr>
          <w:rFonts w:ascii="仿宋" w:hAnsi="仿宋" w:eastAsia="仿宋" w:cs="仿宋"/>
          <w:sz w:val="24"/>
          <w:szCs w:val="24"/>
        </w:rPr>
      </w:pPr>
      <w:r>
        <w:rPr>
          <w:rFonts w:hint="eastAsia" w:ascii="仿宋" w:hAnsi="仿宋" w:eastAsia="仿宋" w:cs="仿宋"/>
          <w:sz w:val="24"/>
          <w:szCs w:val="24"/>
        </w:rPr>
        <w:t>《行道树养护技术规程》（DG/TJ08-2105-2012）</w:t>
      </w:r>
    </w:p>
    <w:p>
      <w:pPr>
        <w:spacing w:line="360" w:lineRule="auto"/>
        <w:rPr>
          <w:rFonts w:ascii="仿宋" w:hAnsi="仿宋" w:eastAsia="仿宋" w:cs="仿宋"/>
          <w:sz w:val="24"/>
          <w:szCs w:val="24"/>
        </w:rPr>
      </w:pPr>
      <w:r>
        <w:rPr>
          <w:rFonts w:hint="eastAsia" w:ascii="仿宋" w:hAnsi="仿宋" w:eastAsia="仿宋" w:cs="仿宋"/>
          <w:sz w:val="24"/>
          <w:szCs w:val="24"/>
        </w:rPr>
        <w:t>《园林栽植土质量标准》（DBJ08-231-98）</w:t>
      </w:r>
    </w:p>
    <w:p>
      <w:pPr>
        <w:spacing w:line="360" w:lineRule="auto"/>
        <w:rPr>
          <w:rFonts w:ascii="仿宋" w:hAnsi="仿宋" w:eastAsia="仿宋" w:cs="仿宋"/>
          <w:sz w:val="24"/>
          <w:szCs w:val="24"/>
        </w:rPr>
      </w:pPr>
      <w:r>
        <w:rPr>
          <w:rFonts w:hint="eastAsia" w:ascii="仿宋" w:hAnsi="仿宋" w:eastAsia="仿宋" w:cs="仿宋"/>
          <w:sz w:val="24"/>
          <w:szCs w:val="24"/>
        </w:rPr>
        <w:t>对养护质量有特殊要求时，双方可以另行约定。</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 xml:space="preserve">（二）绿化养护标准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植物季相分明，色彩丰富，生长茂盛。树木养护成活率99%，若发生死亡由养护方按同等规格无条件补种。</w:t>
      </w:r>
    </w:p>
    <w:p>
      <w:pPr>
        <w:pStyle w:val="4"/>
        <w:rPr>
          <w:rFonts w:ascii="仿宋" w:hAnsi="仿宋" w:eastAsia="仿宋" w:cs="仿宋"/>
          <w:sz w:val="24"/>
          <w:szCs w:val="24"/>
        </w:rPr>
      </w:pPr>
      <w:r>
        <w:rPr>
          <w:rFonts w:hint="eastAsia" w:ascii="仿宋" w:hAnsi="仿宋" w:eastAsia="仿宋" w:cs="仿宋"/>
          <w:sz w:val="24"/>
          <w:szCs w:val="24"/>
        </w:rPr>
        <w:t>1、乔、灌木养管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（a）浇水、排水</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1）浇水前视土壤情况先松土。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2）根据不同树种和不同立地条件对新栽植树进行浇水、保持土壤中的有效水分。</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3）在久旱或立地条件较差的环境中，对已栽植存活的树木，夏季须在早晨10：00以前、下午5：00以后，冬季须在中午前后进行浇水，或适当叶面喷洒。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4）将树木周围雨后积水及时排出。</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（b）施肥除草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1）对于乔、灌木周围（包括树坛）大型野草及时铲除，保证无缠绕性、攀缘性杂草。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2）树坛下黄土不裸露。</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3）林地和树坛冬季进行人工翻土前先进行整理，深度20-25cm，同时不影响根系生长及排水走向等。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4）每年保证对花灌木施肥一次，地被植物不少于2次。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（c）修剪、整形</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1）乔木类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主要修除徒长枝、病虫枝、交叉枝、并生枝、下垂枝、扭伤枝及枯枝烂头。</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针叶树保持明显的顶端优势，适当抑制水平长势。</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要求对校区内大树进行合理修剪、梳枝、抽稀，对大树树穴裸土进行统一覆盖、覆盖物更新每年不得少于1次。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2）花灌木类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保持株形美观，增加分枝，促进花芽形成。</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遵循“先上后下，先内后外，去弱留强，去老留新”的原则。</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掌握不同树种修剪最适宜的时期、部位及正确的方法。</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整形树按观赏要求养护成一定的形态。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3）绿篱、球类（包括片植绿篱）</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修剪一年不少于2次，无明显高差，并随时剪除徒长枝。</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特殊造型绿篱逐步修剪成形。</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4）攀缘植物类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多年生的攀缘植物定期翻蔓，清除枯枝，疏删衰老的藤蔓。</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5）其他</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开花类花灌木：及时修除残花，及时、正确进行冬季修剪。</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剥芽：不损坏树形，无明显萌孽枝、丛生枝、徒长枝等。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宿根类花灌木：冬季地上部分基本枯枝黄后修除并覆土。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树坛、花坛、草坪等交界处边缘清晰。</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道路两边无积水，路面无积泥，地面无低洼、积水现象。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（d）防台防汛</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1）疏枝：</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根据树木立地条件、生长情况，采用不同程度的疏枝和短截，尤其是过密枝。</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2）扶正：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对树身已发生倾斜的树木在风暴侵袭前进行立支柱、绑扎、疏枝等工作，风暴过后做好扶正工作。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（e）高空作业</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1）离开扶梯系好保险带。</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2）及时清场，不影响景观及游览。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4、树木补、种植</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sz w:val="24"/>
          <w:szCs w:val="24"/>
        </w:rPr>
        <w:t>1）养护区域内苗木</w:t>
      </w:r>
      <w:r>
        <w:rPr>
          <w:rFonts w:hint="eastAsia" w:ascii="仿宋" w:hAnsi="仿宋" w:eastAsia="仿宋" w:cs="仿宋"/>
          <w:color w:val="000000"/>
          <w:sz w:val="24"/>
          <w:szCs w:val="24"/>
        </w:rPr>
        <w:t>移植存活率达99%以上；</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2）本地苗木存活率达99%以上；</w:t>
      </w:r>
    </w:p>
    <w:p>
      <w:pPr>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3）外省市树木种植存活率99%以上。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（f）死树淘汰</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1）大树在淘汰前，必须报经业主审批后方可挖出。</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2）淘汰的树木必须有详细的记录。</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3）苗木出现永久性萎痍或死亡的须在10个工作日内更换，要求调换同种、同量、同规格、同品质的苗木；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主要景观树种、代表性树种出现永久性萎痍或死亡现象的，如在规定期限内调换原种植物确实存在困难的，养护方以书面形式提出申请，在征得校方许可后，可采取其他相似展示效果的植物临时性代替，但必须在最多不超过60天的期限内完成同种植物的调换。</w:t>
      </w:r>
    </w:p>
    <w:p>
      <w:pPr>
        <w:pStyle w:val="4"/>
        <w:rPr>
          <w:rFonts w:ascii="仿宋" w:hAnsi="仿宋" w:eastAsia="仿宋" w:cs="仿宋"/>
          <w:sz w:val="24"/>
          <w:szCs w:val="24"/>
        </w:rPr>
      </w:pPr>
      <w:r>
        <w:rPr>
          <w:rFonts w:hint="eastAsia" w:ascii="仿宋" w:hAnsi="仿宋" w:eastAsia="仿宋" w:cs="仿宋"/>
          <w:sz w:val="24"/>
          <w:szCs w:val="24"/>
        </w:rPr>
        <w:t>2、地被和草坪养管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（a）地被养管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1）未覆盖前期，及时除草、人工翻土（防止损失根系和地下茎）。</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2）每年施肥保证不少于二次，采取薄肥勤施的方法。</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3）枯死植物及时进行挖除和补植，及时清除枯枝死花。</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（b）草坪养管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1）草坪无大型野草和面积在1平方米以上的成片杂草。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2）生长季节及时剪轧（夏季每次修剪间隔期不超过15天、冬季30天），草高控制在4-6cm，轧一块、清一块。</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3）集中空秃不超过0.5平方米，中心区域无空秃现象。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4）每年施肥不少于4次（草坪交替期每15天一次）。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5）每年切边不少于3次，路边无污染。</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6）每年打孔梳草不少于1次。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7）加土在草坪休眠期进行，土方无碎石、砖块等杂物，逐步解决低洼积水。</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8）草坪保持整洁，没有果壳、纸屑、砖块及其他垃圾。</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9）大面积、成块的草坪剪轧使用轧草机（收边除外），严禁使用割灌机。</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10）合理安排撒播冬季黑麦草种子（每平方米不少于30克）。</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11）草坪绿期不低于300天，</w:t>
      </w:r>
    </w:p>
    <w:p>
      <w:pPr>
        <w:pStyle w:val="4"/>
        <w:rPr>
          <w:rFonts w:ascii="仿宋" w:hAnsi="仿宋" w:eastAsia="仿宋" w:cs="仿宋"/>
          <w:sz w:val="24"/>
          <w:szCs w:val="24"/>
        </w:rPr>
      </w:pPr>
      <w:r>
        <w:rPr>
          <w:rFonts w:hint="eastAsia" w:ascii="仿宋" w:hAnsi="仿宋" w:eastAsia="仿宋" w:cs="仿宋"/>
          <w:sz w:val="24"/>
          <w:szCs w:val="24"/>
        </w:rPr>
        <w:t>3、花坛及花卉养管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1）做好全年草花计划，选取适时开花、具有整体观赏效果的最佳品种。</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2）及时换花，花卉植株生长健壮，不露底土，株行距适宜。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3）无缺株、倒状、无枯枝残花，修剪适时。</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4）无垃圾、杂草等，保持整洁。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5）木本花卉及时修枝、整形，宿根花卉及时更新。</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6）花坛要求每年更换频率不低于4季，保证全年观赏期不低于340天</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7）每年使用不少于2季的新优花卉品种</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8）冬季种植种球花卉的花坛不少于85%。</w:t>
      </w:r>
    </w:p>
    <w:p>
      <w:pPr>
        <w:pStyle w:val="4"/>
        <w:rPr>
          <w:rFonts w:ascii="仿宋" w:hAnsi="仿宋" w:eastAsia="仿宋" w:cs="仿宋"/>
          <w:sz w:val="24"/>
          <w:szCs w:val="24"/>
        </w:rPr>
      </w:pPr>
      <w:r>
        <w:rPr>
          <w:rFonts w:hint="eastAsia" w:ascii="仿宋" w:hAnsi="仿宋" w:eastAsia="仿宋" w:cs="仿宋"/>
          <w:sz w:val="24"/>
          <w:szCs w:val="24"/>
        </w:rPr>
        <w:t xml:space="preserve">4、病虫害、杂草控制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1）及时做好园林植物病虫害、杂草防治的预报测工作，制定全年病虫害防治计划。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2）病虫害、杂草危害程度控制在不影响观赏效果以下，具体指标参照《园林植物保护技术规程》。</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3）使用药剂不得发生药害，不得发生意外责任事故。</w:t>
      </w:r>
    </w:p>
    <w:p>
      <w:pPr>
        <w:pStyle w:val="4"/>
        <w:rPr>
          <w:rFonts w:ascii="仿宋" w:hAnsi="仿宋" w:eastAsia="仿宋" w:cs="仿宋"/>
          <w:sz w:val="24"/>
          <w:szCs w:val="24"/>
        </w:rPr>
      </w:pPr>
      <w:r>
        <w:rPr>
          <w:rFonts w:hint="eastAsia" w:ascii="仿宋" w:hAnsi="仿宋" w:eastAsia="仿宋" w:cs="仿宋"/>
          <w:sz w:val="24"/>
          <w:szCs w:val="24"/>
        </w:rPr>
        <w:t>5、道路、地坪</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1）基本无纸屑、痰迹，无石块、树枝，无废弃物、无低洼积水；</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2）干道内无杂草、树叶，两侧排口水畅通，支道无积土；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3）养护区域内排水畅通，无堆积物。</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（三）其他</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1、绿化垃圾做到定点堆放，分类处理，垃圾由养护方负责清理外运，做到随产随清。水体保洁频次每天不低于2次，及时清理漂浮物及水藻。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2、配合校方做好蚊虫及有害生物应急防控工作，无公害药剂使用率100%，喷洒药水避开工作日，做好人员防护及区域维护措施。配合做好重点有害生物防控工作，落实相关监测工作及数据收集上报。</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3、做好植物施肥复壮以及树木抢救工作，制定专项方案、使用有机肥料。</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4、垂直绿墙修剪需使用安全型登高机具，在确保安全的前提下每年维护不少于3次，并安全校方要求在非工作日展开、做好相应的区域维护措施。</w:t>
      </w:r>
    </w:p>
    <w:p>
      <w:pPr>
        <w:widowControl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5、针对党校办学特点，适时调整作业计划，增加作业频次，及时清理垃圾，确保清洁。</w:t>
      </w:r>
    </w:p>
    <w:p>
      <w:pPr>
        <w:widowControl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6、认真落实安全生产责任制度，采取必要的安全措施，确保无安全责任事故发生。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7、按要求上报工作周报和月报资料。</w:t>
      </w:r>
    </w:p>
    <w:p>
      <w:pPr>
        <w:spacing w:line="360" w:lineRule="auto"/>
        <w:rPr>
          <w:rFonts w:ascii="仿宋" w:hAnsi="仿宋" w:eastAsia="仿宋" w:cs="仿宋"/>
          <w:sz w:val="24"/>
          <w:szCs w:val="24"/>
        </w:rPr>
      </w:pPr>
      <w:r>
        <w:rPr>
          <w:rFonts w:hint="eastAsia" w:ascii="仿宋" w:hAnsi="仿宋" w:eastAsia="仿宋" w:cs="仿宋"/>
          <w:sz w:val="24"/>
          <w:szCs w:val="24"/>
        </w:rPr>
        <w:t xml:space="preserve">园林植物景观养护技术标准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006"/>
        <w:gridCol w:w="4323"/>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635" w:type="dxa"/>
            <w:vMerge w:val="restart"/>
            <w:tcBorders>
              <w:top w:val="single" w:color="auto" w:sz="4" w:space="0"/>
              <w:left w:val="single" w:color="auto" w:sz="4" w:space="0"/>
              <w:bottom w:val="single" w:color="auto" w:sz="4" w:space="0"/>
              <w:right w:val="single" w:color="auto" w:sz="4" w:space="0"/>
            </w:tcBorders>
          </w:tcPr>
          <w:p>
            <w:pPr>
              <w:spacing w:beforeLines="50" w:afterLines="50"/>
              <w:jc w:val="center"/>
              <w:rPr>
                <w:rFonts w:ascii="仿宋" w:hAnsi="仿宋" w:eastAsia="仿宋" w:cs="仿宋"/>
                <w:sz w:val="24"/>
                <w:szCs w:val="24"/>
              </w:rPr>
            </w:pPr>
            <w:r>
              <w:rPr>
                <w:rFonts w:hint="eastAsia" w:ascii="仿宋" w:hAnsi="仿宋" w:eastAsia="仿宋" w:cs="仿宋"/>
                <w:sz w:val="24"/>
                <w:szCs w:val="24"/>
              </w:rPr>
              <w:t>序</w:t>
            </w:r>
          </w:p>
          <w:p>
            <w:pPr>
              <w:spacing w:beforeLines="50" w:afterLines="50"/>
              <w:jc w:val="center"/>
              <w:rPr>
                <w:rFonts w:ascii="仿宋" w:hAnsi="仿宋" w:eastAsia="仿宋" w:cs="仿宋"/>
                <w:sz w:val="24"/>
                <w:szCs w:val="24"/>
              </w:rPr>
            </w:pPr>
            <w:r>
              <w:rPr>
                <w:rFonts w:hint="eastAsia" w:ascii="仿宋" w:hAnsi="仿宋" w:eastAsia="仿宋" w:cs="仿宋"/>
                <w:sz w:val="24"/>
                <w:szCs w:val="24"/>
              </w:rPr>
              <w:t>号</w:t>
            </w:r>
          </w:p>
        </w:tc>
        <w:tc>
          <w:tcPr>
            <w:tcW w:w="1006" w:type="dxa"/>
            <w:vMerge w:val="restart"/>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景观</w:t>
            </w:r>
          </w:p>
          <w:p>
            <w:pPr>
              <w:spacing w:beforeLines="50" w:afterLines="50"/>
              <w:rPr>
                <w:rFonts w:ascii="仿宋" w:hAnsi="仿宋" w:eastAsia="仿宋" w:cs="仿宋"/>
                <w:sz w:val="24"/>
                <w:szCs w:val="24"/>
              </w:rPr>
            </w:pPr>
            <w:r>
              <w:rPr>
                <w:rFonts w:hint="eastAsia" w:ascii="仿宋" w:hAnsi="仿宋" w:eastAsia="仿宋" w:cs="仿宋"/>
                <w:sz w:val="24"/>
                <w:szCs w:val="24"/>
              </w:rPr>
              <w:t>元素</w:t>
            </w:r>
          </w:p>
        </w:tc>
        <w:tc>
          <w:tcPr>
            <w:tcW w:w="6881" w:type="dxa"/>
            <w:gridSpan w:val="2"/>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r>
              <w:rPr>
                <w:rFonts w:hint="eastAsia" w:ascii="仿宋" w:hAnsi="仿宋" w:eastAsia="仿宋" w:cs="仿宋"/>
                <w:sz w:val="24"/>
                <w:szCs w:val="24"/>
              </w:rPr>
              <w:t>养护技术标准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635" w:type="dxa"/>
            <w:vMerge w:val="continue"/>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r>
              <w:rPr>
                <w:rFonts w:hint="eastAsia" w:ascii="仿宋" w:hAnsi="仿宋" w:eastAsia="仿宋" w:cs="仿宋"/>
                <w:sz w:val="24"/>
                <w:szCs w:val="24"/>
              </w:rPr>
              <w:t>个性标准</w:t>
            </w:r>
          </w:p>
        </w:tc>
        <w:tc>
          <w:tcPr>
            <w:tcW w:w="2558"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r>
              <w:rPr>
                <w:rFonts w:hint="eastAsia" w:ascii="仿宋" w:hAnsi="仿宋" w:eastAsia="仿宋" w:cs="仿宋"/>
                <w:sz w:val="24"/>
                <w:szCs w:val="24"/>
              </w:rPr>
              <w:t>共性标准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 xml:space="preserve">   1</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树林</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（1）群落结构合理、层次分明</w:t>
            </w:r>
          </w:p>
          <w:p>
            <w:pPr>
              <w:spacing w:beforeLines="50" w:afterLines="50"/>
              <w:rPr>
                <w:rFonts w:ascii="仿宋" w:hAnsi="仿宋" w:eastAsia="仿宋" w:cs="仿宋"/>
                <w:sz w:val="24"/>
                <w:szCs w:val="24"/>
              </w:rPr>
            </w:pPr>
            <w:r>
              <w:rPr>
                <w:rFonts w:hint="eastAsia" w:ascii="仿宋" w:hAnsi="仿宋" w:eastAsia="仿宋" w:cs="仿宋"/>
                <w:sz w:val="24"/>
                <w:szCs w:val="24"/>
              </w:rPr>
              <w:t>（2）林缘（冠）线丰富</w:t>
            </w:r>
          </w:p>
          <w:p>
            <w:pPr>
              <w:spacing w:beforeLines="50" w:afterLines="50"/>
              <w:rPr>
                <w:rFonts w:ascii="仿宋" w:hAnsi="仿宋" w:eastAsia="仿宋" w:cs="仿宋"/>
                <w:sz w:val="24"/>
                <w:szCs w:val="24"/>
              </w:rPr>
            </w:pPr>
            <w:r>
              <w:rPr>
                <w:rFonts w:hint="eastAsia" w:ascii="仿宋" w:hAnsi="仿宋" w:eastAsia="仿宋" w:cs="仿宋"/>
                <w:sz w:val="24"/>
                <w:szCs w:val="24"/>
              </w:rPr>
              <w:t>（3）植株保存率99％以上</w:t>
            </w:r>
          </w:p>
          <w:p>
            <w:pPr>
              <w:spacing w:beforeLines="50" w:afterLines="50"/>
              <w:rPr>
                <w:rFonts w:ascii="仿宋" w:hAnsi="仿宋" w:eastAsia="仿宋" w:cs="仿宋"/>
                <w:sz w:val="24"/>
                <w:szCs w:val="24"/>
              </w:rPr>
            </w:pPr>
            <w:r>
              <w:rPr>
                <w:rFonts w:hint="eastAsia" w:ascii="仿宋" w:hAnsi="仿宋" w:eastAsia="仿宋" w:cs="仿宋"/>
                <w:sz w:val="24"/>
                <w:szCs w:val="24"/>
              </w:rPr>
              <w:t>（4）保留落叶层</w:t>
            </w:r>
          </w:p>
        </w:tc>
        <w:tc>
          <w:tcPr>
            <w:tcW w:w="2558" w:type="dxa"/>
            <w:vMerge w:val="restart"/>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（1）植株生长健壮。</w:t>
            </w:r>
          </w:p>
          <w:p>
            <w:pPr>
              <w:spacing w:beforeLines="50" w:afterLines="50"/>
              <w:rPr>
                <w:rFonts w:ascii="仿宋" w:hAnsi="仿宋" w:eastAsia="仿宋" w:cs="仿宋"/>
                <w:sz w:val="24"/>
                <w:szCs w:val="24"/>
              </w:rPr>
            </w:pPr>
            <w:r>
              <w:rPr>
                <w:rFonts w:hint="eastAsia" w:ascii="仿宋" w:hAnsi="仿宋" w:eastAsia="仿宋" w:cs="仿宋"/>
                <w:sz w:val="24"/>
                <w:szCs w:val="24"/>
              </w:rPr>
              <w:t>（2）枝叶生长色泽正常。</w:t>
            </w:r>
          </w:p>
          <w:p>
            <w:pPr>
              <w:spacing w:beforeLines="50" w:afterLines="50"/>
              <w:rPr>
                <w:rFonts w:ascii="仿宋" w:hAnsi="仿宋" w:eastAsia="仿宋" w:cs="仿宋"/>
                <w:sz w:val="24"/>
                <w:szCs w:val="24"/>
              </w:rPr>
            </w:pPr>
            <w:r>
              <w:rPr>
                <w:rFonts w:hint="eastAsia" w:ascii="仿宋" w:hAnsi="仿宋" w:eastAsia="仿宋" w:cs="仿宋"/>
                <w:sz w:val="24"/>
                <w:szCs w:val="24"/>
              </w:rPr>
              <w:t>（3）色叶植物叶色变化明显。</w:t>
            </w:r>
          </w:p>
          <w:p>
            <w:pPr>
              <w:spacing w:beforeLines="50" w:afterLines="50"/>
              <w:rPr>
                <w:rFonts w:ascii="仿宋" w:hAnsi="仿宋" w:eastAsia="仿宋" w:cs="仿宋"/>
                <w:sz w:val="24"/>
                <w:szCs w:val="24"/>
              </w:rPr>
            </w:pPr>
            <w:r>
              <w:rPr>
                <w:rFonts w:hint="eastAsia" w:ascii="仿宋" w:hAnsi="仿宋" w:eastAsia="仿宋" w:cs="仿宋"/>
                <w:sz w:val="24"/>
                <w:szCs w:val="24"/>
              </w:rPr>
              <w:t>（4）观花植物按时茂盛开花。</w:t>
            </w:r>
          </w:p>
          <w:p>
            <w:pPr>
              <w:spacing w:beforeLines="50" w:afterLines="50"/>
              <w:rPr>
                <w:rFonts w:ascii="仿宋" w:hAnsi="仿宋" w:eastAsia="仿宋" w:cs="仿宋"/>
                <w:sz w:val="24"/>
                <w:szCs w:val="24"/>
              </w:rPr>
            </w:pPr>
            <w:r>
              <w:rPr>
                <w:rFonts w:hint="eastAsia" w:ascii="仿宋" w:hAnsi="仿宋" w:eastAsia="仿宋" w:cs="仿宋"/>
                <w:sz w:val="24"/>
                <w:szCs w:val="24"/>
              </w:rPr>
              <w:t>（5）观果植物正常结果。</w:t>
            </w:r>
          </w:p>
          <w:p>
            <w:pPr>
              <w:snapToGrid/>
              <w:spacing w:beforeLines="50" w:afterLines="50"/>
              <w:rPr>
                <w:rFonts w:ascii="仿宋" w:hAnsi="仿宋" w:eastAsia="仿宋" w:cs="仿宋"/>
                <w:sz w:val="24"/>
                <w:szCs w:val="24"/>
              </w:rPr>
            </w:pPr>
            <w:r>
              <w:rPr>
                <w:rFonts w:hint="eastAsia" w:ascii="仿宋" w:hAnsi="仿宋" w:eastAsia="仿宋" w:cs="仿宋"/>
                <w:sz w:val="24"/>
                <w:szCs w:val="24"/>
              </w:rPr>
              <w:t>（6）无枯株和缺植空秃现象。</w:t>
            </w:r>
          </w:p>
          <w:p>
            <w:pPr>
              <w:snapToGrid/>
              <w:spacing w:beforeLines="50" w:afterLines="50"/>
              <w:rPr>
                <w:rFonts w:ascii="仿宋" w:hAnsi="仿宋" w:eastAsia="仿宋" w:cs="仿宋"/>
                <w:sz w:val="24"/>
                <w:szCs w:val="24"/>
              </w:rPr>
            </w:pPr>
            <w:r>
              <w:rPr>
                <w:rFonts w:hint="eastAsia" w:ascii="仿宋" w:hAnsi="仿宋" w:eastAsia="仿宋" w:cs="仿宋"/>
                <w:sz w:val="24"/>
                <w:szCs w:val="24"/>
              </w:rPr>
              <w:t>（7）雨后无积水，排水通畅。</w:t>
            </w:r>
          </w:p>
          <w:p>
            <w:pPr>
              <w:snapToGrid/>
              <w:spacing w:beforeLines="50" w:afterLines="50"/>
              <w:rPr>
                <w:rFonts w:ascii="仿宋" w:hAnsi="仿宋" w:eastAsia="仿宋" w:cs="仿宋"/>
                <w:sz w:val="24"/>
                <w:szCs w:val="24"/>
              </w:rPr>
            </w:pPr>
            <w:r>
              <w:rPr>
                <w:rFonts w:hint="eastAsia" w:ascii="仿宋" w:hAnsi="仿宋" w:eastAsia="仿宋" w:cs="仿宋"/>
                <w:sz w:val="24"/>
                <w:szCs w:val="24"/>
              </w:rPr>
              <w:t>（8）植株不得出现失水（萎蔫）现象。</w:t>
            </w:r>
          </w:p>
          <w:p>
            <w:pPr>
              <w:snapToGrid/>
              <w:spacing w:beforeLines="50" w:afterLines="50"/>
              <w:rPr>
                <w:rFonts w:ascii="仿宋" w:hAnsi="仿宋" w:eastAsia="仿宋" w:cs="仿宋"/>
                <w:sz w:val="24"/>
                <w:szCs w:val="24"/>
              </w:rPr>
            </w:pPr>
            <w:r>
              <w:rPr>
                <w:rFonts w:hint="eastAsia" w:ascii="仿宋" w:hAnsi="仿宋" w:eastAsia="仿宋" w:cs="仿宋"/>
                <w:sz w:val="24"/>
                <w:szCs w:val="24"/>
              </w:rPr>
              <w:t>（9）基本无有害生物危害症状。</w:t>
            </w:r>
          </w:p>
          <w:p>
            <w:pPr>
              <w:snapToGrid/>
              <w:spacing w:beforeLines="50" w:afterLines="50"/>
              <w:rPr>
                <w:rFonts w:ascii="仿宋" w:hAnsi="仿宋" w:eastAsia="仿宋" w:cs="仿宋"/>
                <w:sz w:val="24"/>
                <w:szCs w:val="24"/>
              </w:rPr>
            </w:pPr>
            <w:r>
              <w:rPr>
                <w:rFonts w:hint="eastAsia" w:ascii="仿宋" w:hAnsi="仿宋" w:eastAsia="仿宋" w:cs="仿宋"/>
                <w:sz w:val="24"/>
                <w:szCs w:val="24"/>
              </w:rPr>
              <w:t>（10）无影响景观的任何杂草。</w:t>
            </w:r>
          </w:p>
          <w:p>
            <w:pPr>
              <w:snapToGrid/>
              <w:spacing w:beforeLines="50" w:afterLines="50"/>
              <w:rPr>
                <w:rFonts w:ascii="仿宋" w:hAnsi="仿宋" w:eastAsia="仿宋" w:cs="仿宋"/>
                <w:sz w:val="24"/>
                <w:szCs w:val="24"/>
              </w:rPr>
            </w:pPr>
            <w:r>
              <w:rPr>
                <w:rFonts w:hint="eastAsia" w:ascii="仿宋" w:hAnsi="仿宋" w:eastAsia="仿宋" w:cs="仿宋"/>
                <w:sz w:val="24"/>
                <w:szCs w:val="24"/>
              </w:rPr>
              <w:t>（11）无陈积垃圾。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snapToGrid/>
              <w:spacing w:beforeLines="50" w:afterLines="50"/>
              <w:rPr>
                <w:rFonts w:ascii="仿宋" w:hAnsi="仿宋" w:eastAsia="仿宋" w:cs="仿宋"/>
                <w:sz w:val="24"/>
                <w:szCs w:val="24"/>
              </w:rPr>
            </w:pPr>
            <w:r>
              <w:rPr>
                <w:rFonts w:hint="eastAsia" w:ascii="仿宋" w:hAnsi="仿宋" w:eastAsia="仿宋" w:cs="仿宋"/>
                <w:sz w:val="24"/>
                <w:szCs w:val="24"/>
              </w:rPr>
              <w:t xml:space="preserve">   2</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树丛</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（1）层次结构科学合理</w:t>
            </w:r>
          </w:p>
          <w:p>
            <w:pPr>
              <w:spacing w:beforeLines="50" w:afterLines="50"/>
              <w:rPr>
                <w:rFonts w:ascii="仿宋" w:hAnsi="仿宋" w:eastAsia="仿宋" w:cs="仿宋"/>
                <w:sz w:val="24"/>
                <w:szCs w:val="24"/>
              </w:rPr>
            </w:pPr>
            <w:r>
              <w:rPr>
                <w:rFonts w:hint="eastAsia" w:ascii="仿宋" w:hAnsi="仿宋" w:eastAsia="仿宋" w:cs="仿宋"/>
                <w:sz w:val="24"/>
                <w:szCs w:val="24"/>
              </w:rPr>
              <w:t>（2）体现树丛群体美</w:t>
            </w:r>
          </w:p>
          <w:p>
            <w:pPr>
              <w:spacing w:beforeLines="50" w:afterLines="50"/>
              <w:rPr>
                <w:rFonts w:ascii="仿宋" w:hAnsi="仿宋" w:eastAsia="仿宋" w:cs="仿宋"/>
                <w:sz w:val="24"/>
                <w:szCs w:val="24"/>
              </w:rPr>
            </w:pPr>
            <w:r>
              <w:rPr>
                <w:rFonts w:hint="eastAsia" w:ascii="仿宋" w:hAnsi="仿宋" w:eastAsia="仿宋" w:cs="仿宋"/>
                <w:sz w:val="24"/>
                <w:szCs w:val="24"/>
              </w:rPr>
              <w:t>（3）保留落叶层</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 xml:space="preserve">   3</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孤植树</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（1）树形完美</w:t>
            </w:r>
          </w:p>
          <w:p>
            <w:pPr>
              <w:spacing w:beforeLines="50" w:afterLines="50"/>
              <w:rPr>
                <w:rFonts w:ascii="仿宋" w:hAnsi="仿宋" w:eastAsia="仿宋" w:cs="仿宋"/>
                <w:sz w:val="24"/>
                <w:szCs w:val="24"/>
              </w:rPr>
            </w:pPr>
            <w:r>
              <w:rPr>
                <w:rFonts w:hint="eastAsia" w:ascii="仿宋" w:hAnsi="仿宋" w:eastAsia="仿宋" w:cs="仿宋"/>
                <w:sz w:val="24"/>
                <w:szCs w:val="24"/>
              </w:rPr>
              <w:t>（2）树冠饱满</w:t>
            </w:r>
          </w:p>
          <w:p>
            <w:pPr>
              <w:spacing w:beforeLines="50" w:afterLines="50"/>
              <w:rPr>
                <w:rFonts w:ascii="仿宋" w:hAnsi="仿宋" w:eastAsia="仿宋" w:cs="仿宋"/>
                <w:sz w:val="24"/>
                <w:szCs w:val="24"/>
              </w:rPr>
            </w:pPr>
            <w:r>
              <w:rPr>
                <w:rFonts w:hint="eastAsia" w:ascii="仿宋" w:hAnsi="仿宋" w:eastAsia="仿宋" w:cs="仿宋"/>
                <w:sz w:val="24"/>
                <w:szCs w:val="24"/>
              </w:rPr>
              <w:t>（3）树穴覆盖完整，黄土不裸露</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 xml:space="preserve">   4</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花坛</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（1）图案精美，色彩丰富</w:t>
            </w:r>
          </w:p>
          <w:p>
            <w:pPr>
              <w:spacing w:beforeLines="50" w:afterLines="50"/>
              <w:rPr>
                <w:rFonts w:ascii="仿宋" w:hAnsi="仿宋" w:eastAsia="仿宋" w:cs="仿宋"/>
                <w:sz w:val="24"/>
                <w:szCs w:val="24"/>
              </w:rPr>
            </w:pPr>
            <w:r>
              <w:rPr>
                <w:rFonts w:hint="eastAsia" w:ascii="仿宋" w:hAnsi="仿宋" w:eastAsia="仿宋" w:cs="仿宋"/>
                <w:sz w:val="24"/>
                <w:szCs w:val="24"/>
              </w:rPr>
              <w:t>（2）株高相等，花期一致</w:t>
            </w:r>
          </w:p>
          <w:p>
            <w:pPr>
              <w:spacing w:beforeLines="50" w:afterLines="50"/>
              <w:rPr>
                <w:rFonts w:ascii="仿宋" w:hAnsi="仿宋" w:eastAsia="仿宋" w:cs="仿宋"/>
                <w:sz w:val="24"/>
                <w:szCs w:val="24"/>
              </w:rPr>
            </w:pPr>
            <w:r>
              <w:rPr>
                <w:rFonts w:hint="eastAsia" w:ascii="仿宋" w:hAnsi="仿宋" w:eastAsia="仿宋" w:cs="仿宋"/>
                <w:sz w:val="24"/>
                <w:szCs w:val="24"/>
              </w:rPr>
              <w:t>（3）围护设施完好无损</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 xml:space="preserve">   5</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花境</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（1）植株高低错落有序。</w:t>
            </w:r>
          </w:p>
          <w:p>
            <w:pPr>
              <w:spacing w:beforeLines="50" w:afterLines="50"/>
              <w:rPr>
                <w:rFonts w:ascii="仿宋" w:hAnsi="仿宋" w:eastAsia="仿宋" w:cs="仿宋"/>
                <w:sz w:val="24"/>
                <w:szCs w:val="24"/>
              </w:rPr>
            </w:pPr>
            <w:r>
              <w:rPr>
                <w:rFonts w:hint="eastAsia" w:ascii="仿宋" w:hAnsi="仿宋" w:eastAsia="仿宋" w:cs="仿宋"/>
                <w:sz w:val="24"/>
                <w:szCs w:val="24"/>
              </w:rPr>
              <w:t>（2）花卉色彩鲜艳、观赏期长。</w:t>
            </w:r>
          </w:p>
          <w:p>
            <w:pPr>
              <w:spacing w:beforeLines="50" w:afterLines="50"/>
              <w:rPr>
                <w:rFonts w:ascii="仿宋" w:hAnsi="仿宋" w:eastAsia="仿宋" w:cs="仿宋"/>
                <w:sz w:val="24"/>
                <w:szCs w:val="24"/>
              </w:rPr>
            </w:pPr>
            <w:r>
              <w:rPr>
                <w:rFonts w:hint="eastAsia" w:ascii="仿宋" w:hAnsi="仿宋" w:eastAsia="仿宋" w:cs="仿宋"/>
                <w:sz w:val="24"/>
                <w:szCs w:val="24"/>
              </w:rPr>
              <w:t>（3）围护设施完好无损。</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 xml:space="preserve">   6</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绿篱</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（1）修剪必须保持三面以上平整饱满、直线挺直、曲线柔和。</w:t>
            </w:r>
          </w:p>
          <w:p>
            <w:pPr>
              <w:spacing w:beforeLines="50" w:afterLines="50"/>
              <w:rPr>
                <w:rFonts w:ascii="仿宋" w:hAnsi="仿宋" w:eastAsia="仿宋" w:cs="仿宋"/>
                <w:sz w:val="24"/>
                <w:szCs w:val="24"/>
              </w:rPr>
            </w:pPr>
            <w:r>
              <w:rPr>
                <w:rFonts w:hint="eastAsia" w:ascii="仿宋" w:hAnsi="仿宋" w:eastAsia="仿宋" w:cs="仿宋"/>
                <w:sz w:val="24"/>
                <w:szCs w:val="24"/>
              </w:rPr>
              <w:t>（2）开花植物花期一致。</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7</w:t>
            </w:r>
          </w:p>
        </w:tc>
        <w:tc>
          <w:tcPr>
            <w:tcW w:w="1006"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垂直绿化</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（1）植物枝叶分布均匀，疏密合理。</w:t>
            </w:r>
          </w:p>
          <w:p>
            <w:pPr>
              <w:spacing w:beforeLines="50" w:afterLines="50"/>
              <w:rPr>
                <w:rFonts w:ascii="仿宋" w:hAnsi="仿宋" w:eastAsia="仿宋" w:cs="仿宋"/>
                <w:sz w:val="24"/>
                <w:szCs w:val="24"/>
              </w:rPr>
            </w:pPr>
            <w:r>
              <w:rPr>
                <w:rFonts w:hint="eastAsia" w:ascii="仿宋" w:hAnsi="仿宋" w:eastAsia="仿宋" w:cs="仿宋"/>
                <w:sz w:val="24"/>
                <w:szCs w:val="24"/>
              </w:rPr>
              <w:t>（2）设施安全完好无损。</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spacing w:beforeLines="50" w:afterLines="50"/>
              <w:ind w:firstLine="480" w:firstLineChars="200"/>
              <w:jc w:val="center"/>
              <w:rPr>
                <w:rFonts w:ascii="仿宋" w:hAnsi="仿宋" w:eastAsia="仿宋" w:cs="仿宋"/>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8</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草坪</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（1）成坪高度冷季型0.06－0.07m，暖季型0.04－0.05m，草坪平坦饱满。</w:t>
            </w:r>
          </w:p>
          <w:p>
            <w:pPr>
              <w:spacing w:beforeLines="50" w:afterLines="50"/>
              <w:rPr>
                <w:rFonts w:ascii="仿宋" w:hAnsi="仿宋" w:eastAsia="仿宋" w:cs="仿宋"/>
                <w:sz w:val="24"/>
                <w:szCs w:val="24"/>
              </w:rPr>
            </w:pPr>
            <w:r>
              <w:rPr>
                <w:rFonts w:hint="eastAsia" w:ascii="仿宋" w:hAnsi="仿宋" w:eastAsia="仿宋" w:cs="仿宋"/>
                <w:sz w:val="24"/>
                <w:szCs w:val="24"/>
              </w:rPr>
              <w:t>（2）修剪的剪口无焦口，撕裂现象、无修剪残留草屑。</w:t>
            </w:r>
          </w:p>
          <w:p>
            <w:pPr>
              <w:spacing w:beforeLines="50" w:afterLines="50"/>
              <w:rPr>
                <w:rFonts w:ascii="仿宋" w:hAnsi="仿宋" w:eastAsia="仿宋" w:cs="仿宋"/>
                <w:sz w:val="24"/>
                <w:szCs w:val="24"/>
              </w:rPr>
            </w:pPr>
            <w:r>
              <w:rPr>
                <w:rFonts w:hint="eastAsia" w:ascii="仿宋" w:hAnsi="仿宋" w:eastAsia="仿宋" w:cs="仿宋"/>
                <w:sz w:val="24"/>
                <w:szCs w:val="24"/>
              </w:rPr>
              <w:t>（3）护栏设施完好无损。</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9</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地被</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（1）群体景观效果好。</w:t>
            </w:r>
          </w:p>
          <w:p>
            <w:pPr>
              <w:spacing w:beforeLines="50" w:afterLines="50"/>
              <w:rPr>
                <w:rFonts w:ascii="仿宋" w:hAnsi="仿宋" w:eastAsia="仿宋" w:cs="仿宋"/>
                <w:sz w:val="24"/>
                <w:szCs w:val="24"/>
              </w:rPr>
            </w:pPr>
            <w:r>
              <w:rPr>
                <w:rFonts w:hint="eastAsia" w:ascii="仿宋" w:hAnsi="仿宋" w:eastAsia="仿宋" w:cs="仿宋"/>
                <w:sz w:val="24"/>
                <w:szCs w:val="24"/>
              </w:rPr>
              <w:t>（2）种植密度合理、植株规格整齐。</w:t>
            </w:r>
          </w:p>
          <w:p>
            <w:pPr>
              <w:spacing w:beforeLines="50" w:afterLines="50"/>
              <w:rPr>
                <w:rFonts w:ascii="仿宋" w:hAnsi="仿宋" w:eastAsia="仿宋" w:cs="仿宋"/>
                <w:sz w:val="24"/>
                <w:szCs w:val="24"/>
              </w:rPr>
            </w:pPr>
            <w:r>
              <w:rPr>
                <w:rFonts w:hint="eastAsia" w:ascii="仿宋" w:hAnsi="仿宋" w:eastAsia="仿宋" w:cs="仿宋"/>
                <w:sz w:val="24"/>
                <w:szCs w:val="24"/>
              </w:rPr>
              <w:t>（3）混合种植种类配置合理、叶色、叶型协调。</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35"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p>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10</w:t>
            </w:r>
          </w:p>
        </w:tc>
        <w:tc>
          <w:tcPr>
            <w:tcW w:w="1006" w:type="dxa"/>
            <w:tcBorders>
              <w:top w:val="single" w:color="auto" w:sz="4" w:space="0"/>
              <w:left w:val="single" w:color="auto" w:sz="4" w:space="0"/>
              <w:bottom w:val="single" w:color="auto" w:sz="4" w:space="0"/>
              <w:right w:val="single" w:color="auto" w:sz="4" w:space="0"/>
            </w:tcBorders>
          </w:tcPr>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keepNext w:val="0"/>
              <w:keepLines w:val="0"/>
              <w:spacing w:beforeLines="50" w:afterLines="50" w:line="240" w:lineRule="auto"/>
              <w:ind w:firstLine="482" w:firstLineChars="200"/>
              <w:jc w:val="center"/>
              <w:outlineLvl w:val="9"/>
              <w:rPr>
                <w:rFonts w:ascii="仿宋" w:hAnsi="仿宋" w:eastAsia="仿宋" w:cs="仿宋"/>
                <w:b/>
                <w:sz w:val="24"/>
                <w:szCs w:val="24"/>
              </w:rPr>
            </w:pPr>
          </w:p>
          <w:p>
            <w:pPr>
              <w:spacing w:beforeLines="50" w:afterLines="50"/>
              <w:rPr>
                <w:rFonts w:ascii="仿宋" w:hAnsi="仿宋" w:eastAsia="仿宋" w:cs="仿宋"/>
                <w:sz w:val="24"/>
                <w:szCs w:val="24"/>
              </w:rPr>
            </w:pPr>
            <w:r>
              <w:rPr>
                <w:rFonts w:hint="eastAsia" w:ascii="仿宋" w:hAnsi="仿宋" w:eastAsia="仿宋" w:cs="仿宋"/>
                <w:sz w:val="24"/>
                <w:szCs w:val="24"/>
              </w:rPr>
              <w:t>行道树</w:t>
            </w:r>
          </w:p>
        </w:tc>
        <w:tc>
          <w:tcPr>
            <w:tcW w:w="4323"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（1）群体植株树冠完整、规格整齐。</w:t>
            </w:r>
          </w:p>
          <w:p>
            <w:pPr>
              <w:spacing w:beforeLines="50" w:afterLines="50"/>
              <w:rPr>
                <w:rFonts w:ascii="仿宋" w:hAnsi="仿宋" w:eastAsia="仿宋" w:cs="仿宋"/>
                <w:sz w:val="24"/>
                <w:szCs w:val="24"/>
              </w:rPr>
            </w:pPr>
            <w:r>
              <w:rPr>
                <w:rFonts w:hint="eastAsia" w:ascii="仿宋" w:hAnsi="仿宋" w:eastAsia="仿宋" w:cs="仿宋"/>
                <w:sz w:val="24"/>
                <w:szCs w:val="24"/>
              </w:rPr>
              <w:t>（2）主冠上无萌生的芽条。</w:t>
            </w:r>
          </w:p>
          <w:p>
            <w:pPr>
              <w:spacing w:beforeLines="50" w:afterLines="50"/>
              <w:rPr>
                <w:rFonts w:ascii="仿宋" w:hAnsi="仿宋" w:eastAsia="仿宋" w:cs="仿宋"/>
                <w:sz w:val="24"/>
                <w:szCs w:val="24"/>
              </w:rPr>
            </w:pPr>
            <w:r>
              <w:rPr>
                <w:rFonts w:hint="eastAsia" w:ascii="仿宋" w:hAnsi="仿宋" w:eastAsia="仿宋" w:cs="仿宋"/>
                <w:sz w:val="24"/>
                <w:szCs w:val="24"/>
              </w:rPr>
              <w:t>（3）树干挺直、分叉点高度一致。</w:t>
            </w:r>
          </w:p>
          <w:p>
            <w:pPr>
              <w:spacing w:beforeLines="50" w:afterLines="50"/>
              <w:rPr>
                <w:rFonts w:ascii="仿宋" w:hAnsi="仿宋" w:eastAsia="仿宋" w:cs="仿宋"/>
                <w:sz w:val="24"/>
                <w:szCs w:val="24"/>
              </w:rPr>
            </w:pPr>
            <w:r>
              <w:rPr>
                <w:rFonts w:hint="eastAsia" w:ascii="仿宋" w:hAnsi="仿宋" w:eastAsia="仿宋" w:cs="仿宋"/>
                <w:sz w:val="24"/>
                <w:szCs w:val="24"/>
              </w:rPr>
              <w:t>（4）树穴形式统一、盖板完整。</w:t>
            </w:r>
          </w:p>
        </w:tc>
        <w:tc>
          <w:tcPr>
            <w:tcW w:w="25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pacing w:beforeLines="50" w:afterLines="50" w:line="240" w:lineRule="auto"/>
              <w:ind w:firstLine="482" w:firstLineChars="200"/>
              <w:jc w:val="left"/>
              <w:outlineLvl w:val="9"/>
              <w:rPr>
                <w:rFonts w:ascii="仿宋" w:hAnsi="仿宋" w:eastAsia="仿宋" w:cs="仿宋"/>
                <w:b/>
                <w:sz w:val="24"/>
                <w:szCs w:val="24"/>
              </w:rPr>
            </w:pPr>
          </w:p>
        </w:tc>
      </w:tr>
    </w:tbl>
    <w:p>
      <w:pPr>
        <w:widowControl w:val="0"/>
        <w:spacing w:line="360" w:lineRule="auto"/>
        <w:rPr>
          <w:rFonts w:ascii="仿宋" w:hAnsi="仿宋" w:eastAsia="仿宋" w:cs="仿宋"/>
          <w:sz w:val="24"/>
          <w:szCs w:val="24"/>
        </w:rPr>
      </w:pPr>
    </w:p>
    <w:p>
      <w:pPr>
        <w:widowControl w:val="0"/>
        <w:spacing w:line="360" w:lineRule="auto"/>
        <w:rPr>
          <w:rFonts w:ascii="仿宋" w:hAnsi="仿宋" w:eastAsia="仿宋" w:cs="仿宋"/>
          <w:color w:val="000000"/>
          <w:sz w:val="24"/>
          <w:szCs w:val="24"/>
        </w:rPr>
      </w:pPr>
      <w:r>
        <w:rPr>
          <w:rFonts w:hint="eastAsia" w:ascii="仿宋" w:hAnsi="仿宋" w:eastAsia="仿宋" w:cs="仿宋"/>
          <w:sz w:val="24"/>
          <w:szCs w:val="24"/>
        </w:rPr>
        <w:t>园林硬质景观养护技术标准</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04"/>
        <w:gridCol w:w="5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00"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序号</w:t>
            </w:r>
          </w:p>
        </w:tc>
        <w:tc>
          <w:tcPr>
            <w:tcW w:w="1904"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硬质景观内容</w:t>
            </w:r>
          </w:p>
        </w:tc>
        <w:tc>
          <w:tcPr>
            <w:tcW w:w="5476" w:type="dxa"/>
            <w:tcBorders>
              <w:top w:val="single" w:color="auto" w:sz="4" w:space="0"/>
              <w:left w:val="single" w:color="auto" w:sz="4" w:space="0"/>
              <w:bottom w:val="single" w:color="auto" w:sz="4" w:space="0"/>
              <w:right w:val="single" w:color="auto" w:sz="4" w:space="0"/>
            </w:tcBorders>
          </w:tcPr>
          <w:p>
            <w:pPr>
              <w:spacing w:beforeLines="50" w:afterLines="50"/>
              <w:ind w:firstLine="480" w:firstLineChars="200"/>
              <w:jc w:val="center"/>
              <w:rPr>
                <w:rFonts w:ascii="仿宋" w:hAnsi="仿宋" w:eastAsia="仿宋" w:cs="仿宋"/>
                <w:sz w:val="24"/>
                <w:szCs w:val="24"/>
              </w:rPr>
            </w:pPr>
            <w:r>
              <w:rPr>
                <w:rFonts w:hint="eastAsia" w:ascii="仿宋" w:hAnsi="仿宋" w:eastAsia="仿宋" w:cs="仿宋"/>
                <w:sz w:val="24"/>
                <w:szCs w:val="24"/>
              </w:rPr>
              <w:t>养护技术标准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1</w:t>
            </w:r>
          </w:p>
        </w:tc>
        <w:tc>
          <w:tcPr>
            <w:tcW w:w="1904"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道路地坪</w:t>
            </w:r>
          </w:p>
        </w:tc>
        <w:tc>
          <w:tcPr>
            <w:tcW w:w="5476"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（1）各种铺装面、侧石、台阶、斜坡等保持平整、无损缺、无积水</w:t>
            </w:r>
          </w:p>
          <w:p>
            <w:pPr>
              <w:spacing w:beforeLines="50" w:afterLines="50"/>
              <w:rPr>
                <w:rFonts w:ascii="仿宋" w:hAnsi="仿宋" w:eastAsia="仿宋" w:cs="仿宋"/>
                <w:sz w:val="24"/>
                <w:szCs w:val="24"/>
              </w:rPr>
            </w:pPr>
            <w:r>
              <w:rPr>
                <w:rFonts w:hint="eastAsia" w:ascii="仿宋" w:hAnsi="仿宋" w:eastAsia="仿宋" w:cs="仿宋"/>
                <w:sz w:val="24"/>
                <w:szCs w:val="24"/>
              </w:rPr>
              <w:t>（2）道路地坪保持清洁、无垃圾</w:t>
            </w:r>
          </w:p>
          <w:p>
            <w:pPr>
              <w:spacing w:beforeLines="50" w:afterLines="50"/>
              <w:rPr>
                <w:rFonts w:ascii="仿宋" w:hAnsi="仿宋" w:eastAsia="仿宋" w:cs="仿宋"/>
                <w:sz w:val="24"/>
                <w:szCs w:val="24"/>
              </w:rPr>
            </w:pPr>
            <w:r>
              <w:rPr>
                <w:rFonts w:hint="eastAsia" w:ascii="仿宋" w:hAnsi="仿宋" w:eastAsia="仿宋" w:cs="仿宋"/>
                <w:sz w:val="24"/>
                <w:szCs w:val="24"/>
              </w:rPr>
              <w:t>（3）无障碍设施完好、通畅</w:t>
            </w:r>
          </w:p>
          <w:p>
            <w:pPr>
              <w:spacing w:beforeLines="50" w:afterLines="50"/>
              <w:rPr>
                <w:rFonts w:ascii="仿宋" w:hAnsi="仿宋" w:eastAsia="仿宋" w:cs="仿宋"/>
                <w:sz w:val="24"/>
                <w:szCs w:val="24"/>
              </w:rPr>
            </w:pPr>
            <w:r>
              <w:rPr>
                <w:rFonts w:hint="eastAsia" w:ascii="仿宋" w:hAnsi="仿宋" w:eastAsia="仿宋" w:cs="仿宋"/>
                <w:sz w:val="24"/>
                <w:szCs w:val="24"/>
              </w:rPr>
              <w:t>（4）道路侧石应高出土层0.03－0.05m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2</w:t>
            </w:r>
          </w:p>
        </w:tc>
        <w:tc>
          <w:tcPr>
            <w:tcW w:w="1904"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假山叠石</w:t>
            </w:r>
          </w:p>
        </w:tc>
        <w:tc>
          <w:tcPr>
            <w:tcW w:w="5476"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（1）假山叠石造型完整，结构稳固安全</w:t>
            </w:r>
          </w:p>
          <w:p>
            <w:pPr>
              <w:spacing w:beforeLines="50" w:afterLines="50"/>
              <w:rPr>
                <w:rFonts w:ascii="仿宋" w:hAnsi="仿宋" w:eastAsia="仿宋" w:cs="仿宋"/>
                <w:sz w:val="24"/>
                <w:szCs w:val="24"/>
              </w:rPr>
            </w:pPr>
            <w:r>
              <w:rPr>
                <w:rFonts w:hint="eastAsia" w:ascii="仿宋" w:hAnsi="仿宋" w:eastAsia="仿宋" w:cs="仿宋"/>
                <w:sz w:val="24"/>
                <w:szCs w:val="24"/>
              </w:rPr>
              <w:t>（2）置石稳定安全</w:t>
            </w:r>
          </w:p>
          <w:p>
            <w:pPr>
              <w:spacing w:beforeLines="50" w:afterLines="50"/>
              <w:rPr>
                <w:rFonts w:ascii="仿宋" w:hAnsi="仿宋" w:eastAsia="仿宋" w:cs="仿宋"/>
                <w:sz w:val="24"/>
                <w:szCs w:val="24"/>
              </w:rPr>
            </w:pPr>
            <w:r>
              <w:rPr>
                <w:rFonts w:hint="eastAsia" w:ascii="仿宋" w:hAnsi="仿宋" w:eastAsia="仿宋" w:cs="仿宋"/>
                <w:sz w:val="24"/>
                <w:szCs w:val="24"/>
              </w:rPr>
              <w:t>（3）不适于攀爬的假山叠石、置石必须有醒目警示标志和防护设备</w:t>
            </w:r>
          </w:p>
          <w:p>
            <w:pPr>
              <w:spacing w:beforeLines="50" w:afterLines="50"/>
              <w:rPr>
                <w:rFonts w:ascii="仿宋" w:hAnsi="仿宋" w:eastAsia="仿宋" w:cs="仿宋"/>
                <w:sz w:val="24"/>
                <w:szCs w:val="24"/>
              </w:rPr>
            </w:pPr>
            <w:r>
              <w:rPr>
                <w:rFonts w:hint="eastAsia" w:ascii="仿宋" w:hAnsi="仿宋" w:eastAsia="仿宋" w:cs="仿宋"/>
                <w:sz w:val="24"/>
                <w:szCs w:val="24"/>
              </w:rPr>
              <w:t>（4）假山周围、石缝、置石也不得有影响安全和景观的杂草、杂物</w:t>
            </w:r>
          </w:p>
          <w:p>
            <w:pPr>
              <w:spacing w:beforeLines="50" w:afterLines="50"/>
              <w:rPr>
                <w:rFonts w:ascii="仿宋" w:hAnsi="仿宋" w:eastAsia="仿宋" w:cs="仿宋"/>
                <w:sz w:val="24"/>
                <w:szCs w:val="24"/>
              </w:rPr>
            </w:pPr>
            <w:r>
              <w:rPr>
                <w:rFonts w:hint="eastAsia" w:ascii="仿宋" w:hAnsi="仿宋" w:eastAsia="仿宋" w:cs="仿宋"/>
                <w:sz w:val="24"/>
                <w:szCs w:val="24"/>
              </w:rPr>
              <w:t>（5）假山上的种植穴不得空缺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3</w:t>
            </w:r>
          </w:p>
        </w:tc>
        <w:tc>
          <w:tcPr>
            <w:tcW w:w="1904"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座椅、桌凳</w:t>
            </w:r>
          </w:p>
        </w:tc>
        <w:tc>
          <w:tcPr>
            <w:tcW w:w="5476"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（1）分布设施合理、位置基本固定</w:t>
            </w:r>
          </w:p>
          <w:p>
            <w:pPr>
              <w:spacing w:beforeLines="50" w:afterLines="50"/>
              <w:rPr>
                <w:rFonts w:ascii="仿宋" w:hAnsi="仿宋" w:eastAsia="仿宋" w:cs="仿宋"/>
                <w:sz w:val="24"/>
                <w:szCs w:val="24"/>
              </w:rPr>
            </w:pPr>
            <w:r>
              <w:rPr>
                <w:rFonts w:hint="eastAsia" w:ascii="仿宋" w:hAnsi="仿宋" w:eastAsia="仿宋" w:cs="仿宋"/>
                <w:sz w:val="24"/>
                <w:szCs w:val="24"/>
              </w:rPr>
              <w:t>（2）外观整洁美观、坐靠舒适、无损坏</w:t>
            </w:r>
          </w:p>
          <w:p>
            <w:pPr>
              <w:spacing w:beforeLines="50" w:afterLines="50"/>
              <w:rPr>
                <w:rFonts w:ascii="仿宋" w:hAnsi="仿宋" w:eastAsia="仿宋" w:cs="仿宋"/>
                <w:sz w:val="24"/>
                <w:szCs w:val="24"/>
              </w:rPr>
            </w:pPr>
            <w:r>
              <w:rPr>
                <w:rFonts w:hint="eastAsia" w:ascii="仿宋" w:hAnsi="仿宋" w:eastAsia="仿宋" w:cs="仿宋"/>
                <w:sz w:val="24"/>
                <w:szCs w:val="24"/>
              </w:rPr>
              <w:t>（3）同一场地内材质，形式相对统一</w:t>
            </w:r>
          </w:p>
          <w:p>
            <w:pPr>
              <w:spacing w:beforeLines="50" w:afterLines="50"/>
              <w:rPr>
                <w:rFonts w:ascii="仿宋" w:hAnsi="仿宋" w:eastAsia="仿宋" w:cs="仿宋"/>
                <w:sz w:val="24"/>
                <w:szCs w:val="24"/>
              </w:rPr>
            </w:pPr>
            <w:r>
              <w:rPr>
                <w:rFonts w:hint="eastAsia" w:ascii="仿宋" w:hAnsi="仿宋" w:eastAsia="仿宋" w:cs="仿宋"/>
                <w:sz w:val="24"/>
                <w:szCs w:val="24"/>
              </w:rPr>
              <w:t>（4）维修与油漆未干时，必须有明显标志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4</w:t>
            </w:r>
          </w:p>
        </w:tc>
        <w:tc>
          <w:tcPr>
            <w:tcW w:w="1904"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绿化标识牌</w:t>
            </w:r>
          </w:p>
        </w:tc>
        <w:tc>
          <w:tcPr>
            <w:tcW w:w="5476"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（1）形式美观、构件完整</w:t>
            </w:r>
          </w:p>
          <w:p>
            <w:pPr>
              <w:spacing w:beforeLines="50" w:afterLines="50"/>
              <w:rPr>
                <w:rFonts w:ascii="仿宋" w:hAnsi="仿宋" w:eastAsia="仿宋" w:cs="仿宋"/>
                <w:sz w:val="24"/>
                <w:szCs w:val="24"/>
              </w:rPr>
            </w:pPr>
            <w:r>
              <w:rPr>
                <w:rFonts w:hint="eastAsia" w:ascii="仿宋" w:hAnsi="仿宋" w:eastAsia="仿宋" w:cs="仿宋"/>
                <w:sz w:val="24"/>
                <w:szCs w:val="24"/>
              </w:rPr>
              <w:t>（2）书写端正、字迹清楚</w:t>
            </w:r>
          </w:p>
          <w:p>
            <w:pPr>
              <w:spacing w:beforeLines="50" w:afterLines="50"/>
              <w:rPr>
                <w:rFonts w:ascii="仿宋" w:hAnsi="仿宋" w:eastAsia="仿宋" w:cs="仿宋"/>
                <w:sz w:val="24"/>
                <w:szCs w:val="24"/>
              </w:rPr>
            </w:pPr>
            <w:r>
              <w:rPr>
                <w:rFonts w:hint="eastAsia" w:ascii="仿宋" w:hAnsi="仿宋" w:eastAsia="仿宋" w:cs="仿宋"/>
                <w:sz w:val="24"/>
                <w:szCs w:val="24"/>
              </w:rPr>
              <w:t>（3）材质、色彩与绿地景观、校园环境协调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5</w:t>
            </w:r>
          </w:p>
        </w:tc>
        <w:tc>
          <w:tcPr>
            <w:tcW w:w="1904" w:type="dxa"/>
            <w:tcBorders>
              <w:top w:val="single" w:color="auto" w:sz="4" w:space="0"/>
              <w:left w:val="single" w:color="auto" w:sz="4" w:space="0"/>
              <w:bottom w:val="single" w:color="auto" w:sz="4" w:space="0"/>
              <w:right w:val="single" w:color="auto" w:sz="4" w:space="0"/>
            </w:tcBorders>
            <w:vAlign w:val="center"/>
          </w:tcPr>
          <w:p>
            <w:pPr>
              <w:spacing w:beforeLines="50" w:afterLines="50"/>
              <w:rPr>
                <w:rFonts w:ascii="仿宋" w:hAnsi="仿宋" w:eastAsia="仿宋" w:cs="仿宋"/>
                <w:sz w:val="24"/>
                <w:szCs w:val="24"/>
              </w:rPr>
            </w:pPr>
            <w:r>
              <w:rPr>
                <w:rFonts w:hint="eastAsia" w:ascii="仿宋" w:hAnsi="仿宋" w:eastAsia="仿宋" w:cs="仿宋"/>
                <w:sz w:val="24"/>
                <w:szCs w:val="24"/>
              </w:rPr>
              <w:t>上下水</w:t>
            </w:r>
          </w:p>
        </w:tc>
        <w:tc>
          <w:tcPr>
            <w:tcW w:w="5476" w:type="dxa"/>
            <w:tcBorders>
              <w:top w:val="single" w:color="auto" w:sz="4" w:space="0"/>
              <w:left w:val="single" w:color="auto" w:sz="4" w:space="0"/>
              <w:bottom w:val="single" w:color="auto" w:sz="4" w:space="0"/>
              <w:right w:val="single" w:color="auto" w:sz="4" w:space="0"/>
            </w:tcBorders>
          </w:tcPr>
          <w:p>
            <w:pPr>
              <w:spacing w:beforeLines="50" w:afterLines="50"/>
              <w:rPr>
                <w:rFonts w:ascii="仿宋" w:hAnsi="仿宋" w:eastAsia="仿宋" w:cs="仿宋"/>
                <w:sz w:val="24"/>
                <w:szCs w:val="24"/>
              </w:rPr>
            </w:pPr>
            <w:r>
              <w:rPr>
                <w:rFonts w:hint="eastAsia" w:ascii="仿宋" w:hAnsi="仿宋" w:eastAsia="仿宋" w:cs="仿宋"/>
                <w:sz w:val="24"/>
                <w:szCs w:val="24"/>
              </w:rPr>
              <w:t>（1）保持绿地内管道通畅无污染</w:t>
            </w:r>
          </w:p>
          <w:p>
            <w:pPr>
              <w:spacing w:beforeLines="50" w:afterLines="50"/>
              <w:rPr>
                <w:rFonts w:ascii="仿宋" w:hAnsi="仿宋" w:eastAsia="仿宋" w:cs="仿宋"/>
                <w:sz w:val="24"/>
                <w:szCs w:val="24"/>
              </w:rPr>
            </w:pPr>
            <w:r>
              <w:rPr>
                <w:rFonts w:hint="eastAsia" w:ascii="仿宋" w:hAnsi="仿宋" w:eastAsia="仿宋" w:cs="仿宋"/>
                <w:sz w:val="24"/>
                <w:szCs w:val="24"/>
              </w:rPr>
              <w:t>（2）绿地内外露的窨井、进、排水口等设施随时保持清洁，完整无损，杜绝隐患</w:t>
            </w:r>
          </w:p>
        </w:tc>
      </w:tr>
    </w:tbl>
    <w:p>
      <w:pPr>
        <w:spacing w:line="360" w:lineRule="auto"/>
        <w:rPr>
          <w:rFonts w:ascii="仿宋" w:hAnsi="仿宋" w:eastAsia="仿宋" w:cs="仿宋"/>
          <w:color w:val="000000"/>
          <w:sz w:val="24"/>
          <w:szCs w:val="24"/>
        </w:rPr>
      </w:pPr>
    </w:p>
    <w:p>
      <w:pPr>
        <w:pStyle w:val="2"/>
        <w:spacing w:after="200" w:line="360" w:lineRule="auto"/>
        <w:rPr>
          <w:rFonts w:ascii="黑体" w:hAnsi="黑体" w:eastAsia="黑体" w:cs="黑体"/>
          <w:sz w:val="32"/>
          <w:szCs w:val="32"/>
        </w:rPr>
      </w:pPr>
      <w:r>
        <w:rPr>
          <w:rFonts w:hint="eastAsia" w:ascii="黑体" w:hAnsi="黑体" w:eastAsia="黑体" w:cs="黑体"/>
          <w:sz w:val="32"/>
          <w:szCs w:val="32"/>
        </w:rPr>
        <w:t>四、项目人员及</w:t>
      </w:r>
      <w:r>
        <w:rPr>
          <w:rFonts w:ascii="黑体" w:hAnsi="黑体" w:eastAsia="黑体" w:cs="黑体"/>
          <w:sz w:val="32"/>
          <w:szCs w:val="32"/>
        </w:rPr>
        <w:t>设备</w:t>
      </w:r>
      <w:r>
        <w:rPr>
          <w:rFonts w:hint="eastAsia" w:ascii="黑体" w:hAnsi="黑体" w:eastAsia="黑体" w:cs="黑体"/>
          <w:sz w:val="32"/>
          <w:szCs w:val="32"/>
        </w:rPr>
        <w:t>要求</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（一）人员配置要求</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由于本绿化项目的绿化范围广，植物品种多，苗木养护标准较高，故对养护管理机构及人员的自身素质要求高，投标方需配备具有丰富的植物分类学、植物生态学知识并有多年工作经历和园林养护管理经验的工程师、绿化养护操作技能较强的技师、高级工、中级工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本项目合同期内，养护方应当固定项目负责人（项目经理）。该负责人必须常驻现场，随时听从校方工作安排。该负责人要求具有绿化林业或类似专业本科及以上学历</w:t>
      </w:r>
      <w:r>
        <w:rPr>
          <w:rFonts w:hint="eastAsia" w:ascii="仿宋" w:hAnsi="仿宋" w:eastAsia="仿宋" w:cs="仿宋"/>
          <w:sz w:val="24"/>
          <w:szCs w:val="24"/>
          <w:lang w:eastAsia="zh-CN"/>
        </w:rPr>
        <w:t>，</w:t>
      </w:r>
      <w:r>
        <w:rPr>
          <w:rFonts w:hint="eastAsia" w:ascii="仿宋" w:hAnsi="仿宋" w:eastAsia="仿宋" w:cs="仿宋"/>
          <w:sz w:val="24"/>
          <w:szCs w:val="24"/>
        </w:rPr>
        <w:t>具有园林绿化林业专业工程中级及以上职称，具备具备</w:t>
      </w:r>
      <w:r>
        <w:rPr>
          <w:rFonts w:hint="eastAsia" w:ascii="仿宋" w:hAnsi="仿宋" w:eastAsia="仿宋" w:cs="仿宋"/>
          <w:sz w:val="24"/>
          <w:szCs w:val="24"/>
          <w:lang w:val="en-US" w:eastAsia="zh-CN"/>
        </w:rPr>
        <w:t>10</w:t>
      </w:r>
      <w:bookmarkStart w:id="6" w:name="_GoBack"/>
      <w:bookmarkEnd w:id="6"/>
      <w:r>
        <w:rPr>
          <w:rFonts w:hint="eastAsia" w:ascii="仿宋" w:hAnsi="仿宋" w:eastAsia="仿宋" w:cs="仿宋"/>
          <w:sz w:val="24"/>
          <w:szCs w:val="24"/>
        </w:rPr>
        <w:t>年及以上绿化养护服务经验。该项目负责人可同时兼任梅陇校区绿化日常养护、应急养护及公共区域绿化摆放项目负责人，除此之外兼任其他项目的，一经发现按违约处理。其他</w:t>
      </w:r>
      <w:r>
        <w:rPr>
          <w:rFonts w:hint="eastAsia" w:ascii="仿宋" w:hAnsi="仿宋" w:eastAsia="仿宋" w:cs="仿宋"/>
          <w:color w:val="000000"/>
          <w:sz w:val="24"/>
          <w:szCs w:val="24"/>
        </w:rPr>
        <w:t>人员年龄结构层次要保持合理稳定，领班以上人员更替需征得校方同意。要接受校方对人员的安全教育及考勤等延伸管理。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项目服务范围涉及政府重要部门，参与本项目绿化养护服务的所有工作人员，必须通过校方的政治审查，具体政治审查的标准由校方制定，养护方应当无条件接受。任何来历不明或有刑事犯罪记录的人员均不得参与本项目绿化养护服务工作。同时，养护方应对违反该项要求所可能出现的后果承担一切责任（包括但不限于刑事责任、行政责任及民事责任）。</w:t>
      </w:r>
    </w:p>
    <w:p>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本项目要求</w:t>
      </w:r>
      <w:r>
        <w:rPr>
          <w:rFonts w:hint="eastAsia" w:ascii="仿宋" w:hAnsi="仿宋" w:eastAsia="仿宋" w:cs="仿宋"/>
          <w:sz w:val="24"/>
          <w:szCs w:val="24"/>
        </w:rPr>
        <w:t>养护人员年龄均在60周岁以下且年龄在50岁周岁以下不低于20%；</w:t>
      </w:r>
      <w:r>
        <w:rPr>
          <w:rFonts w:hint="eastAsia" w:ascii="仿宋" w:hAnsi="仿宋" w:eastAsia="仿宋" w:cs="仿宋"/>
          <w:sz w:val="24"/>
          <w:szCs w:val="24"/>
          <w:lang w:val="en-US" w:eastAsia="zh-CN"/>
        </w:rPr>
        <w:t>应确保</w:t>
      </w:r>
      <w:r>
        <w:rPr>
          <w:rFonts w:hint="eastAsia" w:ascii="仿宋" w:hAnsi="仿宋" w:eastAsia="仿宋" w:cs="仿宋"/>
          <w:sz w:val="24"/>
          <w:szCs w:val="24"/>
        </w:rPr>
        <w:t>每年的人员流动不超过30%</w:t>
      </w:r>
      <w:r>
        <w:rPr>
          <w:rFonts w:hint="eastAsia" w:ascii="仿宋" w:hAnsi="仿宋" w:eastAsia="仿宋" w:cs="仿宋"/>
          <w:sz w:val="24"/>
          <w:szCs w:val="24"/>
          <w:lang w:eastAsia="zh-CN"/>
        </w:rPr>
        <w:t>。</w:t>
      </w:r>
    </w:p>
    <w:p>
      <w:pPr>
        <w:spacing w:line="360" w:lineRule="auto"/>
        <w:ind w:firstLine="562" w:firstLineChars="200"/>
        <w:rPr>
          <w:rFonts w:ascii="仿宋" w:hAnsi="仿宋" w:eastAsia="仿宋" w:cs="仿宋"/>
          <w:b/>
          <w:color w:val="FF0000"/>
          <w:sz w:val="28"/>
          <w:szCs w:val="24"/>
        </w:rPr>
      </w:pPr>
      <w:r>
        <w:rPr>
          <w:rFonts w:hint="eastAsia" w:ascii="仿宋" w:hAnsi="仿宋" w:eastAsia="仿宋" w:cs="仿宋"/>
          <w:b/>
          <w:color w:val="FF0000"/>
          <w:sz w:val="28"/>
          <w:szCs w:val="24"/>
        </w:rPr>
        <w:t>★本项目技术管理</w:t>
      </w:r>
      <w:r>
        <w:rPr>
          <w:rFonts w:ascii="仿宋" w:hAnsi="仿宋" w:eastAsia="仿宋" w:cs="仿宋"/>
          <w:b/>
          <w:color w:val="FF0000"/>
          <w:sz w:val="28"/>
          <w:szCs w:val="24"/>
        </w:rPr>
        <w:t>岗位人员配置</w:t>
      </w:r>
      <w:r>
        <w:rPr>
          <w:rFonts w:hint="eastAsia" w:ascii="仿宋" w:hAnsi="仿宋" w:eastAsia="仿宋" w:cs="仿宋"/>
          <w:b/>
          <w:color w:val="FF0000"/>
          <w:sz w:val="28"/>
          <w:szCs w:val="24"/>
        </w:rPr>
        <w:t>不少于</w:t>
      </w:r>
      <w:r>
        <w:rPr>
          <w:rFonts w:ascii="仿宋" w:hAnsi="仿宋" w:eastAsia="仿宋" w:cs="仿宋"/>
          <w:b/>
          <w:color w:val="FF0000"/>
          <w:sz w:val="28"/>
          <w:szCs w:val="24"/>
        </w:rPr>
        <w:t>7</w:t>
      </w:r>
      <w:r>
        <w:rPr>
          <w:rFonts w:hint="eastAsia" w:ascii="仿宋" w:hAnsi="仿宋" w:eastAsia="仿宋" w:cs="仿宋"/>
          <w:b/>
          <w:color w:val="FF0000"/>
          <w:sz w:val="28"/>
          <w:szCs w:val="24"/>
        </w:rPr>
        <w:t>人，绿化养护作业人员配备不少于</w:t>
      </w:r>
      <w:r>
        <w:rPr>
          <w:rFonts w:ascii="仿宋" w:hAnsi="仿宋" w:eastAsia="仿宋" w:cs="仿宋"/>
          <w:b/>
          <w:color w:val="FF0000"/>
          <w:sz w:val="28"/>
          <w:szCs w:val="24"/>
        </w:rPr>
        <w:t>19</w:t>
      </w:r>
      <w:r>
        <w:rPr>
          <w:rFonts w:hint="eastAsia" w:ascii="仿宋" w:hAnsi="仿宋" w:eastAsia="仿宋" w:cs="仿宋"/>
          <w:b/>
          <w:color w:val="FF0000"/>
          <w:sz w:val="28"/>
          <w:szCs w:val="24"/>
        </w:rPr>
        <w:t>人。</w:t>
      </w: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（二）技术管理岗位配备</w:t>
      </w:r>
    </w:p>
    <w:tbl>
      <w:tblPr>
        <w:tblStyle w:val="12"/>
        <w:tblpPr w:leftFromText="180" w:rightFromText="180" w:vertAnchor="text" w:horzAnchor="page" w:tblpX="1612" w:tblpY="233"/>
        <w:tblOverlap w:val="never"/>
        <w:tblW w:w="9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8"/>
        <w:gridCol w:w="960"/>
        <w:gridCol w:w="1439"/>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4488"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岗位</w:t>
            </w:r>
          </w:p>
        </w:tc>
        <w:tc>
          <w:tcPr>
            <w:tcW w:w="960"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数量</w:t>
            </w:r>
          </w:p>
        </w:tc>
        <w:tc>
          <w:tcPr>
            <w:tcW w:w="1439"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学历</w:t>
            </w:r>
          </w:p>
        </w:tc>
        <w:tc>
          <w:tcPr>
            <w:tcW w:w="2204"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488"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项目经理</w:t>
            </w:r>
          </w:p>
        </w:tc>
        <w:tc>
          <w:tcPr>
            <w:tcW w:w="960"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439"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本科</w:t>
            </w:r>
          </w:p>
        </w:tc>
        <w:tc>
          <w:tcPr>
            <w:tcW w:w="2204"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中级工程师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4488"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植保员</w:t>
            </w:r>
          </w:p>
        </w:tc>
        <w:tc>
          <w:tcPr>
            <w:tcW w:w="960"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439"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大专</w:t>
            </w:r>
          </w:p>
        </w:tc>
        <w:tc>
          <w:tcPr>
            <w:tcW w:w="2204"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绿化高级工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4488"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质量员（修剪、草坪、花卉、竹林）</w:t>
            </w:r>
          </w:p>
        </w:tc>
        <w:tc>
          <w:tcPr>
            <w:tcW w:w="960"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1439"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大专</w:t>
            </w:r>
          </w:p>
        </w:tc>
        <w:tc>
          <w:tcPr>
            <w:tcW w:w="2204" w:type="dxa"/>
            <w:vAlign w:val="center"/>
          </w:tcPr>
          <w:p>
            <w:pPr>
              <w:spacing w:line="360" w:lineRule="auto"/>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4488"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安全员</w:t>
            </w:r>
          </w:p>
        </w:tc>
        <w:tc>
          <w:tcPr>
            <w:tcW w:w="960"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439"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本科</w:t>
            </w:r>
          </w:p>
        </w:tc>
        <w:tc>
          <w:tcPr>
            <w:tcW w:w="2204"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4488"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资料员</w:t>
            </w:r>
          </w:p>
        </w:tc>
        <w:tc>
          <w:tcPr>
            <w:tcW w:w="960"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439"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t>本科</w:t>
            </w:r>
          </w:p>
        </w:tc>
        <w:tc>
          <w:tcPr>
            <w:tcW w:w="2204" w:type="dxa"/>
            <w:vAlign w:val="center"/>
          </w:tcPr>
          <w:p>
            <w:pPr>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lang w:val="en-US" w:eastAsia="zh-CN"/>
              </w:rPr>
              <w:t>助理工程师</w:t>
            </w:r>
          </w:p>
        </w:tc>
      </w:tr>
    </w:tbl>
    <w:p>
      <w:pPr>
        <w:rPr>
          <w:rFonts w:ascii="仿宋" w:hAnsi="仿宋" w:eastAsia="仿宋" w:cs="仿宋"/>
          <w:sz w:val="24"/>
          <w:szCs w:val="24"/>
        </w:rPr>
      </w:pPr>
    </w:p>
    <w:p>
      <w:pPr>
        <w:pStyle w:val="3"/>
        <w:spacing w:after="140" w:line="360" w:lineRule="auto"/>
        <w:rPr>
          <w:rFonts w:hint="eastAsia" w:ascii="仿宋" w:hAnsi="仿宋" w:eastAsia="仿宋" w:cs="仿宋"/>
          <w:sz w:val="28"/>
          <w:szCs w:val="28"/>
        </w:rPr>
      </w:pP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（三）养护技术工人配备</w:t>
      </w:r>
    </w:p>
    <w:p>
      <w:pPr>
        <w:pStyle w:val="6"/>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绿化养护作业人员配备</w:t>
      </w:r>
    </w:p>
    <w:tbl>
      <w:tblPr>
        <w:tblStyle w:val="1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0"/>
        <w:gridCol w:w="960"/>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460" w:type="dxa"/>
            <w:vAlign w:val="center"/>
          </w:tcPr>
          <w:p>
            <w:pPr>
              <w:pStyle w:val="6"/>
              <w:spacing w:line="360" w:lineRule="auto"/>
              <w:jc w:val="center"/>
              <w:rPr>
                <w:rFonts w:ascii="仿宋" w:hAnsi="仿宋" w:eastAsia="仿宋" w:cs="仿宋"/>
              </w:rPr>
            </w:pPr>
            <w:r>
              <w:rPr>
                <w:rFonts w:hint="eastAsia" w:ascii="仿宋" w:hAnsi="仿宋" w:eastAsia="仿宋" w:cs="仿宋"/>
              </w:rPr>
              <w:t>岗位</w:t>
            </w:r>
          </w:p>
        </w:tc>
        <w:tc>
          <w:tcPr>
            <w:tcW w:w="960" w:type="dxa"/>
            <w:vAlign w:val="center"/>
          </w:tcPr>
          <w:p>
            <w:pPr>
              <w:pStyle w:val="6"/>
              <w:spacing w:line="360" w:lineRule="auto"/>
              <w:jc w:val="center"/>
              <w:rPr>
                <w:rFonts w:ascii="仿宋" w:hAnsi="仿宋" w:eastAsia="仿宋" w:cs="仿宋"/>
              </w:rPr>
            </w:pPr>
            <w:r>
              <w:rPr>
                <w:rFonts w:hint="eastAsia" w:ascii="仿宋" w:hAnsi="仿宋" w:eastAsia="仿宋" w:cs="仿宋"/>
              </w:rPr>
              <w:t>数量</w:t>
            </w:r>
          </w:p>
        </w:tc>
        <w:tc>
          <w:tcPr>
            <w:tcW w:w="3652" w:type="dxa"/>
            <w:vAlign w:val="center"/>
          </w:tcPr>
          <w:p>
            <w:pPr>
              <w:pStyle w:val="6"/>
              <w:spacing w:line="360" w:lineRule="auto"/>
              <w:jc w:val="center"/>
              <w:rPr>
                <w:rFonts w:ascii="仿宋" w:hAnsi="仿宋" w:eastAsia="仿宋" w:cs="仿宋"/>
              </w:rPr>
            </w:pPr>
            <w:r>
              <w:rPr>
                <w:rFonts w:hint="eastAsia" w:ascii="仿宋" w:hAnsi="仿宋" w:eastAsia="仿宋" w:cs="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60" w:type="dxa"/>
            <w:vAlign w:val="center"/>
          </w:tcPr>
          <w:p>
            <w:pPr>
              <w:pStyle w:val="6"/>
              <w:spacing w:line="360" w:lineRule="auto"/>
              <w:rPr>
                <w:rFonts w:ascii="仿宋" w:hAnsi="仿宋" w:eastAsia="仿宋" w:cs="仿宋"/>
              </w:rPr>
            </w:pPr>
            <w:r>
              <w:rPr>
                <w:rFonts w:hint="eastAsia" w:ascii="仿宋" w:hAnsi="仿宋" w:eastAsia="仿宋" w:cs="仿宋"/>
              </w:rPr>
              <w:t>班组长</w:t>
            </w:r>
          </w:p>
        </w:tc>
        <w:tc>
          <w:tcPr>
            <w:tcW w:w="960" w:type="dxa"/>
            <w:vAlign w:val="center"/>
          </w:tcPr>
          <w:p>
            <w:pPr>
              <w:pStyle w:val="6"/>
              <w:spacing w:line="360" w:lineRule="auto"/>
              <w:jc w:val="center"/>
              <w:rPr>
                <w:rFonts w:ascii="仿宋" w:hAnsi="仿宋" w:eastAsia="仿宋" w:cs="仿宋"/>
              </w:rPr>
            </w:pPr>
            <w:r>
              <w:rPr>
                <w:rFonts w:hint="eastAsia" w:ascii="仿宋" w:hAnsi="仿宋" w:eastAsia="仿宋" w:cs="仿宋"/>
              </w:rPr>
              <w:t>3</w:t>
            </w:r>
          </w:p>
        </w:tc>
        <w:tc>
          <w:tcPr>
            <w:tcW w:w="3652" w:type="dxa"/>
            <w:vAlign w:val="center"/>
          </w:tcPr>
          <w:p>
            <w:pPr>
              <w:pStyle w:val="6"/>
              <w:spacing w:line="360" w:lineRule="auto"/>
              <w:jc w:val="center"/>
              <w:rPr>
                <w:rFonts w:hint="eastAsia" w:ascii="仿宋" w:hAnsi="仿宋" w:eastAsia="仿宋" w:cs="仿宋"/>
                <w:lang w:val="en-US" w:eastAsia="zh-CN"/>
              </w:rPr>
            </w:pPr>
            <w:r>
              <w:rPr>
                <w:rFonts w:hint="eastAsia" w:ascii="仿宋" w:hAnsi="仿宋" w:eastAsia="仿宋" w:cs="仿宋"/>
              </w:rPr>
              <w:t>至少1名</w:t>
            </w:r>
            <w:r>
              <w:rPr>
                <w:rFonts w:hint="eastAsia" w:ascii="仿宋" w:hAnsi="仿宋" w:eastAsia="仿宋" w:cs="仿宋"/>
                <w:lang w:val="en-US" w:eastAsia="zh-CN"/>
              </w:rPr>
              <w:t>具有</w:t>
            </w:r>
            <w:r>
              <w:rPr>
                <w:rFonts w:hint="eastAsia" w:ascii="仿宋" w:hAnsi="仿宋" w:eastAsia="仿宋" w:cs="仿宋"/>
              </w:rPr>
              <w:t>园林绿化高级工</w:t>
            </w:r>
            <w:r>
              <w:rPr>
                <w:rFonts w:hint="eastAsia" w:ascii="仿宋" w:hAnsi="仿宋" w:eastAsia="仿宋" w:cs="仿宋"/>
                <w:lang w:val="en-US" w:eastAsia="zh-CN"/>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60" w:type="dxa"/>
            <w:vAlign w:val="center"/>
          </w:tcPr>
          <w:p>
            <w:pPr>
              <w:pStyle w:val="6"/>
              <w:spacing w:line="360" w:lineRule="auto"/>
              <w:rPr>
                <w:rFonts w:ascii="仿宋" w:hAnsi="仿宋" w:eastAsia="仿宋" w:cs="仿宋"/>
              </w:rPr>
            </w:pPr>
            <w:r>
              <w:rPr>
                <w:rFonts w:hint="eastAsia" w:ascii="仿宋" w:hAnsi="仿宋" w:eastAsia="仿宋" w:cs="仿宋"/>
              </w:rPr>
              <w:t>养护工(上树工、花卉工、草坪工)</w:t>
            </w:r>
          </w:p>
        </w:tc>
        <w:tc>
          <w:tcPr>
            <w:tcW w:w="960" w:type="dxa"/>
            <w:vAlign w:val="center"/>
          </w:tcPr>
          <w:p>
            <w:pPr>
              <w:pStyle w:val="6"/>
              <w:spacing w:line="360" w:lineRule="auto"/>
              <w:jc w:val="center"/>
              <w:rPr>
                <w:rFonts w:ascii="仿宋" w:hAnsi="仿宋" w:eastAsia="仿宋" w:cs="仿宋"/>
              </w:rPr>
            </w:pPr>
            <w:r>
              <w:rPr>
                <w:rFonts w:hint="eastAsia" w:ascii="仿宋" w:hAnsi="仿宋" w:eastAsia="仿宋" w:cs="仿宋"/>
              </w:rPr>
              <w:t>6</w:t>
            </w:r>
          </w:p>
        </w:tc>
        <w:tc>
          <w:tcPr>
            <w:tcW w:w="3652" w:type="dxa"/>
            <w:vAlign w:val="center"/>
          </w:tcPr>
          <w:p>
            <w:pPr>
              <w:pStyle w:val="6"/>
              <w:spacing w:line="360" w:lineRule="auto"/>
              <w:jc w:val="center"/>
              <w:rPr>
                <w:rFonts w:hint="eastAsia" w:ascii="仿宋" w:hAnsi="仿宋" w:eastAsia="仿宋" w:cs="仿宋"/>
                <w:lang w:val="en-US" w:eastAsia="zh-CN"/>
              </w:rPr>
            </w:pPr>
            <w:r>
              <w:rPr>
                <w:rFonts w:hint="eastAsia" w:ascii="仿宋" w:hAnsi="仿宋" w:eastAsia="仿宋" w:cs="仿宋"/>
              </w:rPr>
              <w:t>至少2名</w:t>
            </w:r>
            <w:r>
              <w:rPr>
                <w:rFonts w:hint="eastAsia" w:ascii="仿宋" w:hAnsi="仿宋" w:eastAsia="仿宋" w:cs="仿宋"/>
                <w:lang w:val="en-US" w:eastAsia="zh-CN"/>
              </w:rPr>
              <w:t>具有</w:t>
            </w:r>
            <w:r>
              <w:rPr>
                <w:rFonts w:hint="eastAsia" w:ascii="仿宋" w:hAnsi="仿宋" w:eastAsia="仿宋" w:cs="仿宋"/>
              </w:rPr>
              <w:t>园林绿化中级工</w:t>
            </w:r>
            <w:r>
              <w:rPr>
                <w:rFonts w:hint="eastAsia" w:ascii="仿宋" w:hAnsi="仿宋" w:eastAsia="仿宋" w:cs="仿宋"/>
                <w:lang w:val="en-US" w:eastAsia="zh-CN"/>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60" w:type="dxa"/>
            <w:vAlign w:val="center"/>
          </w:tcPr>
          <w:p>
            <w:pPr>
              <w:pStyle w:val="6"/>
              <w:spacing w:line="360" w:lineRule="auto"/>
              <w:rPr>
                <w:rFonts w:ascii="仿宋" w:hAnsi="仿宋" w:eastAsia="仿宋" w:cs="仿宋"/>
              </w:rPr>
            </w:pPr>
            <w:r>
              <w:rPr>
                <w:rFonts w:hint="eastAsia" w:ascii="仿宋" w:hAnsi="仿宋" w:eastAsia="仿宋" w:cs="仿宋"/>
              </w:rPr>
              <w:t>养护工</w:t>
            </w:r>
          </w:p>
        </w:tc>
        <w:tc>
          <w:tcPr>
            <w:tcW w:w="960" w:type="dxa"/>
            <w:vAlign w:val="center"/>
          </w:tcPr>
          <w:p>
            <w:pPr>
              <w:pStyle w:val="6"/>
              <w:spacing w:line="360" w:lineRule="auto"/>
              <w:jc w:val="center"/>
              <w:rPr>
                <w:rFonts w:ascii="仿宋" w:hAnsi="仿宋" w:eastAsia="仿宋" w:cs="仿宋"/>
              </w:rPr>
            </w:pPr>
            <w:r>
              <w:rPr>
                <w:rFonts w:hint="eastAsia" w:ascii="仿宋" w:hAnsi="仿宋" w:eastAsia="仿宋" w:cs="仿宋"/>
              </w:rPr>
              <w:t>10</w:t>
            </w:r>
          </w:p>
        </w:tc>
        <w:tc>
          <w:tcPr>
            <w:tcW w:w="3652" w:type="dxa"/>
            <w:vAlign w:val="center"/>
          </w:tcPr>
          <w:p>
            <w:pPr>
              <w:pStyle w:val="6"/>
              <w:spacing w:line="360" w:lineRule="auto"/>
              <w:jc w:val="center"/>
              <w:rPr>
                <w:rFonts w:ascii="仿宋" w:hAnsi="仿宋" w:eastAsia="仿宋" w:cs="仿宋"/>
              </w:rPr>
            </w:pPr>
            <w:r>
              <w:rPr>
                <w:rFonts w:hint="eastAsia" w:ascii="仿宋" w:hAnsi="仿宋" w:eastAsia="仿宋" w:cs="仿宋"/>
              </w:rPr>
              <w:t>绿化初级工或普工</w:t>
            </w:r>
          </w:p>
        </w:tc>
      </w:tr>
    </w:tbl>
    <w:p>
      <w:pPr>
        <w:pStyle w:val="2"/>
        <w:numPr>
          <w:ilvl w:val="0"/>
          <w:numId w:val="1"/>
        </w:numPr>
        <w:spacing w:after="200"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供应商需根据本项目内容提供专门的</w:t>
      </w:r>
      <w:r>
        <w:rPr>
          <w:rFonts w:hint="eastAsia" w:ascii="仿宋" w:hAnsi="仿宋" w:eastAsia="仿宋" w:cs="仿宋"/>
          <w:color w:val="auto"/>
          <w:sz w:val="28"/>
          <w:szCs w:val="28"/>
        </w:rPr>
        <w:t>绿化专用机械设备或作业车辆</w:t>
      </w:r>
      <w:r>
        <w:rPr>
          <w:rFonts w:hint="eastAsia" w:ascii="仿宋" w:hAnsi="仿宋" w:eastAsia="仿宋" w:cs="仿宋"/>
          <w:color w:val="auto"/>
          <w:sz w:val="28"/>
          <w:szCs w:val="28"/>
          <w:lang w:val="en-US" w:eastAsia="zh-CN"/>
        </w:rPr>
        <w:t>配置方案，相关设备应当具有使用权，并提供相应证明。</w:t>
      </w:r>
    </w:p>
    <w:p>
      <w:pPr>
        <w:pStyle w:val="2"/>
        <w:numPr>
          <w:ilvl w:val="0"/>
          <w:numId w:val="1"/>
        </w:numPr>
        <w:spacing w:after="200" w:line="360" w:lineRule="auto"/>
        <w:rPr>
          <w:rFonts w:ascii="黑体" w:hAnsi="黑体" w:eastAsia="黑体" w:cs="黑体"/>
          <w:sz w:val="32"/>
          <w:szCs w:val="32"/>
        </w:rPr>
      </w:pPr>
      <w:r>
        <w:rPr>
          <w:rFonts w:hint="eastAsia" w:ascii="黑体" w:hAnsi="黑体" w:eastAsia="黑体" w:cs="黑体"/>
          <w:sz w:val="32"/>
          <w:szCs w:val="32"/>
        </w:rPr>
        <w:t>五、项目费用及有关规定</w:t>
      </w:r>
    </w:p>
    <w:p>
      <w:pPr>
        <w:pStyle w:val="3"/>
        <w:spacing w:after="140" w:line="360" w:lineRule="auto"/>
        <w:rPr>
          <w:rFonts w:ascii="仿宋" w:hAnsi="仿宋" w:eastAsia="仿宋" w:cs="仿宋"/>
          <w:sz w:val="28"/>
          <w:szCs w:val="28"/>
        </w:rPr>
      </w:pPr>
      <w:bookmarkStart w:id="0" w:name="bookmark167"/>
      <w:r>
        <w:rPr>
          <w:rFonts w:hint="eastAsia" w:ascii="仿宋" w:hAnsi="仿宋" w:eastAsia="仿宋" w:cs="仿宋"/>
          <w:sz w:val="28"/>
          <w:szCs w:val="28"/>
        </w:rPr>
        <w:t>（一）项目费用</w:t>
      </w:r>
      <w:bookmarkEnd w:id="0"/>
    </w:p>
    <w:p>
      <w:pPr>
        <w:pStyle w:val="17"/>
        <w:tabs>
          <w:tab w:val="left" w:pos="973"/>
        </w:tabs>
        <w:spacing w:line="574" w:lineRule="exact"/>
        <w:ind w:firstLine="480" w:firstLineChars="200"/>
        <w:jc w:val="left"/>
        <w:rPr>
          <w:rFonts w:ascii="仿宋" w:hAnsi="仿宋" w:eastAsia="仿宋" w:cs="仿宋"/>
          <w:sz w:val="24"/>
          <w:szCs w:val="24"/>
        </w:rPr>
      </w:pPr>
      <w:bookmarkStart w:id="1" w:name="bookmark168"/>
      <w:bookmarkEnd w:id="1"/>
      <w:r>
        <w:rPr>
          <w:rFonts w:hint="eastAsia" w:ascii="仿宋" w:hAnsi="仿宋" w:eastAsia="仿宋" w:cs="仿宋"/>
          <w:color w:val="000000"/>
          <w:sz w:val="24"/>
          <w:szCs w:val="24"/>
          <w:lang w:val="en-US" w:eastAsia="zh-CN"/>
        </w:rPr>
        <w:t>1、校本部（</w:t>
      </w:r>
      <w:r>
        <w:rPr>
          <w:rFonts w:hint="eastAsia" w:ascii="仿宋" w:hAnsi="仿宋" w:eastAsia="仿宋" w:cs="仿宋"/>
          <w:color w:val="000000"/>
          <w:sz w:val="24"/>
          <w:szCs w:val="24"/>
        </w:rPr>
        <w:t>虹漕南路200号</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虹漕南路123号）绿化养护预算235.5</w:t>
      </w:r>
      <w:r>
        <w:rPr>
          <w:rFonts w:hint="eastAsia" w:ascii="仿宋" w:hAnsi="仿宋" w:eastAsia="仿宋" w:cs="仿宋"/>
          <w:color w:val="000000"/>
          <w:sz w:val="24"/>
          <w:szCs w:val="24"/>
        </w:rPr>
        <w:t>万元</w:t>
      </w:r>
    </w:p>
    <w:p>
      <w:pPr>
        <w:pStyle w:val="17"/>
        <w:tabs>
          <w:tab w:val="left" w:pos="973"/>
        </w:tabs>
        <w:spacing w:line="574" w:lineRule="exact"/>
        <w:ind w:firstLine="480" w:firstLineChars="200"/>
        <w:jc w:val="left"/>
        <w:rPr>
          <w:rFonts w:ascii="仿宋" w:hAnsi="仿宋" w:eastAsia="仿宋" w:cs="仿宋"/>
          <w:sz w:val="24"/>
          <w:szCs w:val="24"/>
        </w:rPr>
      </w:pPr>
      <w:bookmarkStart w:id="2" w:name="bookmark169"/>
      <w:bookmarkEnd w:id="2"/>
      <w:r>
        <w:rPr>
          <w:rFonts w:hint="eastAsia" w:ascii="仿宋" w:hAnsi="仿宋" w:eastAsia="仿宋" w:cs="仿宋"/>
          <w:color w:val="000000"/>
          <w:sz w:val="24"/>
          <w:szCs w:val="24"/>
          <w:lang w:val="en-US" w:eastAsia="zh-CN"/>
        </w:rPr>
        <w:t>2、梅陇校区（天等路501号）绿化养护预算30</w:t>
      </w:r>
      <w:r>
        <w:rPr>
          <w:rFonts w:hint="eastAsia" w:ascii="仿宋" w:hAnsi="仿宋" w:eastAsia="仿宋" w:cs="仿宋"/>
          <w:color w:val="000000"/>
          <w:sz w:val="24"/>
          <w:szCs w:val="24"/>
        </w:rPr>
        <w:t>万元。</w:t>
      </w:r>
    </w:p>
    <w:p>
      <w:pPr>
        <w:pStyle w:val="3"/>
        <w:spacing w:after="140" w:line="360" w:lineRule="auto"/>
        <w:rPr>
          <w:rFonts w:ascii="仿宋" w:hAnsi="仿宋" w:eastAsia="仿宋" w:cs="仿宋"/>
          <w:sz w:val="28"/>
          <w:szCs w:val="28"/>
        </w:rPr>
      </w:pPr>
      <w:bookmarkStart w:id="3" w:name="bookmark174"/>
      <w:bookmarkEnd w:id="3"/>
      <w:r>
        <w:rPr>
          <w:rFonts w:hint="eastAsia" w:ascii="仿宋" w:hAnsi="仿宋" w:eastAsia="仿宋" w:cs="仿宋"/>
          <w:sz w:val="28"/>
          <w:szCs w:val="28"/>
          <w:lang w:val="zh-TW"/>
        </w:rPr>
        <w:t>（</w:t>
      </w:r>
      <w:r>
        <w:rPr>
          <w:rFonts w:hint="eastAsia" w:ascii="仿宋" w:hAnsi="仿宋" w:eastAsia="仿宋" w:cs="仿宋"/>
          <w:sz w:val="28"/>
          <w:szCs w:val="28"/>
        </w:rPr>
        <w:t>二</w:t>
      </w:r>
      <w:r>
        <w:rPr>
          <w:rFonts w:hint="eastAsia" w:ascii="仿宋" w:hAnsi="仿宋" w:eastAsia="仿宋" w:cs="仿宋"/>
          <w:sz w:val="28"/>
          <w:szCs w:val="28"/>
          <w:lang w:val="zh-TW"/>
        </w:rPr>
        <w:t>）</w:t>
      </w:r>
      <w:r>
        <w:rPr>
          <w:rFonts w:hint="eastAsia" w:ascii="仿宋" w:hAnsi="仿宋" w:eastAsia="仿宋" w:cs="仿宋"/>
          <w:sz w:val="28"/>
          <w:szCs w:val="28"/>
        </w:rPr>
        <w:t>服务</w:t>
      </w:r>
      <w:r>
        <w:rPr>
          <w:rFonts w:hint="eastAsia" w:ascii="仿宋" w:hAnsi="仿宋" w:eastAsia="仿宋" w:cs="仿宋"/>
          <w:sz w:val="28"/>
          <w:szCs w:val="28"/>
          <w:lang w:val="zh-TW" w:eastAsia="zh-TW"/>
        </w:rPr>
        <w:t>考核</w:t>
      </w:r>
    </w:p>
    <w:p>
      <w:pPr>
        <w:pStyle w:val="17"/>
        <w:tabs>
          <w:tab w:val="left" w:pos="973"/>
        </w:tabs>
        <w:spacing w:line="574" w:lineRule="exact"/>
        <w:ind w:firstLine="480" w:firstLineChars="200"/>
        <w:jc w:val="left"/>
        <w:rPr>
          <w:rFonts w:ascii="仿宋" w:hAnsi="仿宋" w:eastAsia="仿宋" w:cs="仿宋"/>
          <w:color w:val="000000"/>
          <w:sz w:val="24"/>
          <w:szCs w:val="24"/>
        </w:rPr>
      </w:pPr>
      <w:r>
        <w:rPr>
          <w:rFonts w:hint="eastAsia" w:ascii="仿宋" w:hAnsi="仿宋" w:eastAsia="仿宋" w:cs="仿宋"/>
          <w:color w:val="000000"/>
          <w:sz w:val="24"/>
          <w:szCs w:val="24"/>
          <w:lang w:val="en-US" w:eastAsia="zh-CN"/>
        </w:rPr>
        <w:t>1、养护</w:t>
      </w:r>
      <w:r>
        <w:rPr>
          <w:rFonts w:hint="eastAsia" w:ascii="仿宋" w:hAnsi="仿宋" w:eastAsia="仿宋" w:cs="仿宋"/>
          <w:color w:val="000000"/>
          <w:sz w:val="24"/>
          <w:szCs w:val="24"/>
        </w:rPr>
        <w:t>方</w:t>
      </w:r>
      <w:r>
        <w:rPr>
          <w:rFonts w:hint="eastAsia" w:ascii="仿宋" w:hAnsi="仿宋" w:eastAsia="仿宋" w:cs="仿宋"/>
          <w:color w:val="000000"/>
          <w:sz w:val="24"/>
          <w:szCs w:val="24"/>
          <w:lang w:val="en-US" w:eastAsia="zh-CN"/>
        </w:rPr>
        <w:t>严格</w:t>
      </w:r>
      <w:r>
        <w:rPr>
          <w:rFonts w:hint="eastAsia" w:ascii="仿宋" w:hAnsi="仿宋" w:eastAsia="仿宋" w:cs="仿宋"/>
          <w:color w:val="000000"/>
          <w:sz w:val="24"/>
          <w:szCs w:val="24"/>
        </w:rPr>
        <w:t>按照园林绿化行业的标准、规范、本合同的要求以及</w:t>
      </w:r>
      <w:r>
        <w:rPr>
          <w:rFonts w:hint="eastAsia" w:ascii="仿宋" w:hAnsi="仿宋" w:eastAsia="仿宋" w:cs="仿宋"/>
          <w:color w:val="000000"/>
          <w:sz w:val="24"/>
          <w:szCs w:val="24"/>
          <w:lang w:val="en-US" w:eastAsia="zh-CN"/>
        </w:rPr>
        <w:t>校</w:t>
      </w:r>
      <w:r>
        <w:rPr>
          <w:rFonts w:hint="eastAsia" w:ascii="仿宋" w:hAnsi="仿宋" w:eastAsia="仿宋" w:cs="仿宋"/>
          <w:color w:val="000000"/>
          <w:sz w:val="24"/>
          <w:szCs w:val="24"/>
        </w:rPr>
        <w:t>方代表人依据本合同发出的指令进行养护，随时接受</w:t>
      </w:r>
      <w:r>
        <w:rPr>
          <w:rFonts w:hint="eastAsia" w:ascii="仿宋" w:hAnsi="仿宋" w:eastAsia="仿宋" w:cs="仿宋"/>
          <w:color w:val="000000"/>
          <w:sz w:val="24"/>
          <w:szCs w:val="24"/>
          <w:lang w:val="en-US" w:eastAsia="zh-CN"/>
        </w:rPr>
        <w:t>校</w:t>
      </w:r>
      <w:r>
        <w:rPr>
          <w:rFonts w:hint="eastAsia" w:ascii="仿宋" w:hAnsi="仿宋" w:eastAsia="仿宋" w:cs="仿宋"/>
          <w:color w:val="000000"/>
          <w:sz w:val="24"/>
          <w:szCs w:val="24"/>
        </w:rPr>
        <w:t>方</w:t>
      </w:r>
      <w:r>
        <w:rPr>
          <w:rFonts w:hint="eastAsia" w:ascii="仿宋" w:hAnsi="仿宋" w:eastAsia="仿宋" w:cs="仿宋"/>
          <w:color w:val="000000"/>
          <w:sz w:val="24"/>
          <w:szCs w:val="24"/>
          <w:lang w:val="en-US" w:eastAsia="zh-CN"/>
        </w:rPr>
        <w:t>以及校方委托的单位进行</w:t>
      </w:r>
      <w:r>
        <w:rPr>
          <w:rFonts w:hint="eastAsia" w:ascii="仿宋" w:hAnsi="仿宋" w:eastAsia="仿宋" w:cs="仿宋"/>
          <w:color w:val="000000"/>
          <w:sz w:val="24"/>
          <w:szCs w:val="24"/>
        </w:rPr>
        <w:t>检查和考核，</w:t>
      </w:r>
      <w:r>
        <w:rPr>
          <w:rFonts w:hint="eastAsia" w:ascii="仿宋" w:hAnsi="仿宋" w:eastAsia="仿宋" w:cs="仿宋"/>
          <w:color w:val="000000"/>
          <w:sz w:val="24"/>
          <w:szCs w:val="24"/>
          <w:lang w:val="en-US" w:eastAsia="zh-CN"/>
        </w:rPr>
        <w:t>养护方需要</w:t>
      </w:r>
      <w:r>
        <w:rPr>
          <w:rFonts w:hint="eastAsia" w:ascii="仿宋" w:hAnsi="仿宋" w:eastAsia="仿宋" w:cs="仿宋"/>
          <w:color w:val="000000"/>
          <w:sz w:val="24"/>
          <w:szCs w:val="24"/>
        </w:rPr>
        <w:t>为检查、考核提供便利条件。</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校方可按照合同约定的时间、标准进行随机检查和定期考核，发现养护质量达不到约定标准的部分，校方可要求养护方采取补种、更换、重做、修复等一切补救措施，直到符合约定标准。因养护方原因达不到约定标准，由养护方承担由于采取补救措施而产生的一切费用。</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3、人员出勤情况列入考核内容。</w:t>
      </w:r>
    </w:p>
    <w:p>
      <w:pPr>
        <w:pStyle w:val="3"/>
        <w:spacing w:after="140" w:line="360" w:lineRule="auto"/>
        <w:rPr>
          <w:rFonts w:ascii="仿宋" w:hAnsi="仿宋" w:eastAsia="仿宋" w:cs="仿宋"/>
          <w:sz w:val="28"/>
          <w:szCs w:val="28"/>
        </w:rPr>
      </w:pPr>
      <w:r>
        <w:rPr>
          <w:rFonts w:hint="eastAsia" w:ascii="仿宋" w:hAnsi="仿宋" w:eastAsia="仿宋" w:cs="仿宋"/>
          <w:sz w:val="28"/>
          <w:szCs w:val="28"/>
          <w:lang w:val="zh-TW"/>
        </w:rPr>
        <w:t>（</w:t>
      </w:r>
      <w:r>
        <w:rPr>
          <w:rFonts w:hint="eastAsia" w:ascii="仿宋" w:hAnsi="仿宋" w:eastAsia="仿宋" w:cs="仿宋"/>
          <w:sz w:val="28"/>
          <w:szCs w:val="28"/>
        </w:rPr>
        <w:t>四</w:t>
      </w:r>
      <w:r>
        <w:rPr>
          <w:rFonts w:hint="eastAsia" w:ascii="仿宋" w:hAnsi="仿宋" w:eastAsia="仿宋" w:cs="仿宋"/>
          <w:sz w:val="28"/>
          <w:szCs w:val="28"/>
          <w:lang w:val="zh-TW"/>
        </w:rPr>
        <w:t>）</w:t>
      </w:r>
      <w:r>
        <w:rPr>
          <w:rFonts w:hint="eastAsia" w:ascii="仿宋" w:hAnsi="仿宋" w:eastAsia="仿宋" w:cs="仿宋"/>
          <w:sz w:val="28"/>
          <w:szCs w:val="28"/>
        </w:rPr>
        <w:t>供应商要求</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（1）供应商具备近三年类似项目业绩。</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供应商应当根据本项目制定专门的整体响应与服务实施方案，针对项目实际并结合自身服务特色，提供详实、周全并有一定突破与创新的服务方案，制定具有针对性的详细的应急预案细则；相关方案要落实政府节能、环保及健康管理要求，符合节能降耗、垃圾分类管理和回收、危废管理、员工职业健康管理相关要求。</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p>
    <w:p>
      <w:pPr>
        <w:pStyle w:val="3"/>
        <w:spacing w:after="140" w:line="360" w:lineRule="auto"/>
        <w:rPr>
          <w:rFonts w:ascii="仿宋" w:hAnsi="仿宋" w:eastAsia="仿宋" w:cs="仿宋"/>
          <w:sz w:val="28"/>
          <w:szCs w:val="28"/>
        </w:rPr>
      </w:pPr>
      <w:r>
        <w:rPr>
          <w:rFonts w:hint="eastAsia" w:ascii="仿宋" w:hAnsi="仿宋" w:eastAsia="仿宋" w:cs="仿宋"/>
          <w:sz w:val="28"/>
          <w:szCs w:val="28"/>
        </w:rPr>
        <w:t>（五）项目交接</w:t>
      </w:r>
    </w:p>
    <w:p>
      <w:pPr>
        <w:pStyle w:val="17"/>
        <w:tabs>
          <w:tab w:val="left" w:pos="973"/>
        </w:tabs>
        <w:spacing w:line="574" w:lineRule="exact"/>
        <w:ind w:firstLine="480" w:firstLineChars="200"/>
        <w:jc w:val="left"/>
        <w:rPr>
          <w:rFonts w:ascii="仿宋" w:hAnsi="仿宋" w:eastAsia="仿宋" w:cs="仿宋"/>
          <w:sz w:val="24"/>
          <w:szCs w:val="24"/>
          <w:lang w:val="en-US" w:eastAsia="zh-CN"/>
        </w:rPr>
      </w:pPr>
      <w:r>
        <w:rPr>
          <w:rFonts w:hint="eastAsia" w:ascii="仿宋" w:hAnsi="仿宋" w:eastAsia="仿宋" w:cs="仿宋"/>
          <w:sz w:val="24"/>
          <w:szCs w:val="24"/>
          <w:lang w:val="en-US" w:eastAsia="zh-CN"/>
        </w:rPr>
        <w:t>为保证本项目的持续性和稳定性，供应商需在投标文件中对可能产生的与原项目服务单位的交接工作制定专门的方案。。</w:t>
      </w:r>
    </w:p>
    <w:p>
      <w:pPr>
        <w:pStyle w:val="3"/>
        <w:spacing w:after="140" w:line="360" w:lineRule="auto"/>
        <w:rPr>
          <w:rFonts w:ascii="仿宋" w:hAnsi="仿宋" w:eastAsia="仿宋" w:cs="仿宋"/>
          <w:sz w:val="28"/>
          <w:szCs w:val="28"/>
        </w:rPr>
      </w:pPr>
      <w:r>
        <w:rPr>
          <w:rFonts w:hint="eastAsia" w:ascii="仿宋" w:hAnsi="仿宋" w:eastAsia="仿宋" w:cs="仿宋"/>
          <w:sz w:val="28"/>
          <w:szCs w:val="28"/>
          <w:lang w:val="zh-TW"/>
        </w:rPr>
        <w:t>（</w:t>
      </w:r>
      <w:r>
        <w:rPr>
          <w:rFonts w:hint="eastAsia" w:ascii="仿宋" w:hAnsi="仿宋" w:eastAsia="仿宋" w:cs="仿宋"/>
          <w:sz w:val="28"/>
          <w:szCs w:val="28"/>
        </w:rPr>
        <w:t>六</w:t>
      </w:r>
      <w:r>
        <w:rPr>
          <w:rFonts w:hint="eastAsia" w:ascii="仿宋" w:hAnsi="仿宋" w:eastAsia="仿宋" w:cs="仿宋"/>
          <w:sz w:val="28"/>
          <w:szCs w:val="28"/>
          <w:lang w:val="zh-TW"/>
        </w:rPr>
        <w:t>）</w:t>
      </w:r>
      <w:r>
        <w:rPr>
          <w:rFonts w:hint="eastAsia" w:ascii="仿宋" w:hAnsi="仿宋" w:eastAsia="仿宋" w:cs="仿宋"/>
          <w:sz w:val="28"/>
          <w:szCs w:val="28"/>
        </w:rPr>
        <w:t>违约责任</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校方、养护方应认真履行合同，由于某一方的过失使合同不能履行或造成其它后果的，由过失方承担相应责任；如在服务过程中，养护方违约情节严重，招标人有权终止合同，由此造成校方的经济损失由养护方承担。如属双方过失，则根据各自过失的大小，分别承担相应的责任；</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bookmarkStart w:id="4" w:name="bookmark184"/>
      <w:bookmarkEnd w:id="4"/>
      <w:r>
        <w:rPr>
          <w:rFonts w:hint="eastAsia" w:ascii="仿宋" w:hAnsi="仿宋" w:eastAsia="仿宋" w:cs="仿宋"/>
          <w:color w:val="000000"/>
          <w:sz w:val="24"/>
          <w:szCs w:val="24"/>
          <w:lang w:val="en-US" w:eastAsia="zh-CN"/>
        </w:rPr>
        <w:t>由于不可抗力造成合同不能履行时，双方均不承担责任；</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bookmarkStart w:id="5" w:name="bookmark185"/>
      <w:bookmarkEnd w:id="5"/>
      <w:r>
        <w:rPr>
          <w:rFonts w:hint="eastAsia" w:ascii="仿宋" w:hAnsi="仿宋" w:eastAsia="仿宋" w:cs="仿宋"/>
          <w:color w:val="000000"/>
          <w:sz w:val="24"/>
          <w:szCs w:val="24"/>
          <w:lang w:val="en-US" w:eastAsia="zh-CN"/>
        </w:rPr>
        <w:t>双方在执行合同过程中所发生的争议，应先通过友好协商解决，协商不成时，任何一方有权诉诸人民法院。</w:t>
      </w:r>
    </w:p>
    <w:p>
      <w:pPr>
        <w:rPr>
          <w:rFonts w:ascii="仿宋" w:hAnsi="仿宋" w:eastAsia="仿宋" w:cs="仿宋"/>
          <w:color w:val="000000"/>
          <w:sz w:val="24"/>
          <w:szCs w:val="24"/>
        </w:rPr>
      </w:pPr>
      <w:r>
        <w:rPr>
          <w:rFonts w:hint="eastAsia" w:ascii="仿宋" w:hAnsi="仿宋" w:eastAsia="仿宋" w:cs="仿宋"/>
          <w:color w:val="000000"/>
          <w:sz w:val="24"/>
          <w:szCs w:val="24"/>
        </w:rPr>
        <w:br w:type="page"/>
      </w:r>
    </w:p>
    <w:p>
      <w:r>
        <w:rPr>
          <w:rFonts w:hint="eastAsia"/>
        </w:rPr>
        <w:t>附：其他参考需求</w:t>
      </w:r>
    </w:p>
    <w:p/>
    <w:p>
      <w:r>
        <w:rPr>
          <w:rFonts w:hint="eastAsia"/>
        </w:rPr>
        <w:t>（1）所有从业人员须穿着规范、统一的服装。</w:t>
      </w:r>
    </w:p>
    <w:p>
      <w:r>
        <w:rPr>
          <w:rFonts w:hint="eastAsia"/>
        </w:rPr>
        <w:t>（2）熟悉校园内种植的花草树木的名称、生长特性和养护管理程序。</w:t>
      </w:r>
    </w:p>
    <w:p>
      <w:r>
        <w:rPr>
          <w:rFonts w:hint="eastAsia"/>
        </w:rPr>
        <w:t>（3）负责校园内植物的定期浇水、施肥、除草、病虫害防治，及时修枝整型、调整补种并做好草坪的养护管理。</w:t>
      </w:r>
    </w:p>
    <w:p>
      <w:pPr>
        <w:pStyle w:val="17"/>
        <w:tabs>
          <w:tab w:val="left" w:pos="973"/>
        </w:tabs>
        <w:spacing w:line="574" w:lineRule="exact"/>
        <w:ind w:firstLine="480" w:firstLineChars="200"/>
        <w:jc w:val="left"/>
        <w:rPr>
          <w:rFonts w:ascii="仿宋" w:hAnsi="仿宋" w:eastAsia="仿宋" w:cs="仿宋"/>
          <w:color w:val="000000"/>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3655695</wp:posOffset>
              </wp:positionH>
              <wp:positionV relativeFrom="page">
                <wp:posOffset>9893300</wp:posOffset>
              </wp:positionV>
              <wp:extent cx="100330" cy="73025"/>
              <wp:effectExtent l="0" t="0" r="0" b="0"/>
              <wp:wrapNone/>
              <wp:docPr id="17" name="Shape 17"/>
              <wp:cNvGraphicFramePr/>
              <a:graphic xmlns:a="http://schemas.openxmlformats.org/drawingml/2006/main">
                <a:graphicData uri="http://schemas.microsoft.com/office/word/2010/wordprocessingShape">
                  <wps:wsp>
                    <wps:cNvSpPr txBox="1"/>
                    <wps:spPr>
                      <a:xfrm>
                        <a:off x="0" y="0"/>
                        <a:ext cx="100330" cy="73025"/>
                      </a:xfrm>
                      <a:prstGeom prst="rect">
                        <a:avLst/>
                      </a:prstGeom>
                      <a:noFill/>
                      <a:ln>
                        <a:noFill/>
                      </a:ln>
                      <a:effectLst/>
                    </wps:spPr>
                    <wps:txbx>
                      <w:txbxContent>
                        <w:p>
                          <w:pPr>
                            <w:pStyle w:val="18"/>
                            <w:jc w:val="left"/>
                          </w:pPr>
                          <w:r>
                            <w:fldChar w:fldCharType="begin"/>
                          </w:r>
                          <w:r>
                            <w:instrText xml:space="preserve"> PAGE \* MERGEFORMAT </w:instrText>
                          </w:r>
                          <w:r>
                            <w:fldChar w:fldCharType="separate"/>
                          </w:r>
                          <w:r>
                            <w:rPr>
                              <w:rFonts w:ascii="Times New Roman" w:hAnsi="Times New Roman" w:eastAsia="Times New Roman"/>
                              <w:color w:val="000000"/>
                            </w:rPr>
                            <w:t>1</w:t>
                          </w:r>
                          <w:r>
                            <w:rPr>
                              <w:rFonts w:ascii="Times New Roman" w:hAnsi="Times New Roman" w:eastAsia="Times New Roman"/>
                              <w:color w:val="000000"/>
                            </w:rPr>
                            <w:fldChar w:fldCharType="end"/>
                          </w:r>
                        </w:p>
                      </w:txbxContent>
                    </wps:txbx>
                    <wps:bodyPr wrap="none" lIns="0" tIns="0" rIns="0" bIns="0">
                      <a:spAutoFit/>
                    </wps:bodyPr>
                  </wps:wsp>
                </a:graphicData>
              </a:graphic>
            </wp:anchor>
          </w:drawing>
        </mc:Choice>
        <mc:Fallback>
          <w:pict>
            <v:shape id="Shape 17" o:spid="_x0000_s1026" o:spt="202" type="#_x0000_t202" style="position:absolute;left:0pt;margin-left:287.85pt;margin-top:779pt;height:5.75pt;width:7.9pt;mso-position-horizontal-relative:page;mso-position-vertical-relative:page;mso-wrap-style:none;z-index:-251657216;mso-width-relative:page;mso-height-relative:page;" filled="f" stroked="f" coordsize="21600,21600" o:gfxdata="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Pn/8tcAAAANAQAADwAAAAAAAAABACAAAAAiAAAAZHJzL2Rvd25yZXYueG1sUEsBAhQAFAAA&#10;AAgAh07iQIWK7dW3AQAAlgMAAA4AAAAAAAAAAQAgAAAAJgEAAGRycy9lMm9Eb2MueG1sUEsFBgAA&#10;AAAGAAYAWQEAAE8FAAAAAA==&#10;">
              <v:fill on="f" focussize="0,0"/>
              <v:stroke on="f"/>
              <v:imagedata o:title=""/>
              <o:lock v:ext="edit" aspectratio="f"/>
              <v:textbox inset="0mm,0mm,0mm,0mm" style="mso-fit-shape-to-text:t;">
                <w:txbxContent>
                  <w:p>
                    <w:pPr>
                      <w:pStyle w:val="18"/>
                      <w:jc w:val="left"/>
                    </w:pPr>
                    <w:r>
                      <w:fldChar w:fldCharType="begin"/>
                    </w:r>
                    <w:r>
                      <w:instrText xml:space="preserve"> PAGE \* MERGEFORMAT </w:instrText>
                    </w:r>
                    <w:r>
                      <w:fldChar w:fldCharType="separate"/>
                    </w:r>
                    <w:r>
                      <w:rPr>
                        <w:rFonts w:ascii="Times New Roman" w:hAnsi="Times New Roman" w:eastAsia="Times New Roman"/>
                        <w:color w:val="000000"/>
                      </w:rPr>
                      <w:t>1</w:t>
                    </w:r>
                    <w:r>
                      <w:rPr>
                        <w:rFonts w:ascii="Times New Roman" w:hAnsi="Times New Roman" w:eastAsia="Times New Roman"/>
                        <w:color w:val="00000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89D62F"/>
    <w:multiLevelType w:val="singleLevel"/>
    <w:tmpl w:val="3089D62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OWYwNGNkYzA1MTBlYmU3NTY2NGUwNWYzZGRjZjIifQ=="/>
  </w:docVars>
  <w:rsids>
    <w:rsidRoot w:val="00AB77A0"/>
    <w:rsid w:val="000323B8"/>
    <w:rsid w:val="00163F1A"/>
    <w:rsid w:val="002525BD"/>
    <w:rsid w:val="00387E6B"/>
    <w:rsid w:val="003A1E74"/>
    <w:rsid w:val="0050362A"/>
    <w:rsid w:val="00562CD7"/>
    <w:rsid w:val="005656D6"/>
    <w:rsid w:val="005D686E"/>
    <w:rsid w:val="006202B3"/>
    <w:rsid w:val="007A140A"/>
    <w:rsid w:val="00933FCE"/>
    <w:rsid w:val="009B774F"/>
    <w:rsid w:val="00A53961"/>
    <w:rsid w:val="00A572E7"/>
    <w:rsid w:val="00A91BC9"/>
    <w:rsid w:val="00A965C4"/>
    <w:rsid w:val="00AB77A0"/>
    <w:rsid w:val="00AF3E70"/>
    <w:rsid w:val="00BD446F"/>
    <w:rsid w:val="00C7045E"/>
    <w:rsid w:val="00D86A3F"/>
    <w:rsid w:val="00E66980"/>
    <w:rsid w:val="00FA050B"/>
    <w:rsid w:val="0A3D295B"/>
    <w:rsid w:val="0BD31C1D"/>
    <w:rsid w:val="101C06A4"/>
    <w:rsid w:val="135856FD"/>
    <w:rsid w:val="219464CE"/>
    <w:rsid w:val="227E31DB"/>
    <w:rsid w:val="27FF7BCA"/>
    <w:rsid w:val="2D753572"/>
    <w:rsid w:val="2DE71247"/>
    <w:rsid w:val="31151060"/>
    <w:rsid w:val="32B43104"/>
    <w:rsid w:val="35223149"/>
    <w:rsid w:val="37E90D37"/>
    <w:rsid w:val="3D382E33"/>
    <w:rsid w:val="3FE14458"/>
    <w:rsid w:val="52F42970"/>
    <w:rsid w:val="52FB6DC6"/>
    <w:rsid w:val="65147D69"/>
    <w:rsid w:val="66ED0F5A"/>
    <w:rsid w:val="690E575F"/>
    <w:rsid w:val="6BCB47AF"/>
    <w:rsid w:val="6BEA212B"/>
    <w:rsid w:val="71EC5F6D"/>
    <w:rsid w:val="7F7D58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after="260" w:line="413" w:lineRule="auto"/>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qFormat/>
    <w:uiPriority w:val="99"/>
    <w:pPr>
      <w:jc w:val="left"/>
    </w:pPr>
  </w:style>
  <w:style w:type="paragraph" w:styleId="6">
    <w:name w:val="Plain Text"/>
    <w:basedOn w:val="1"/>
    <w:autoRedefine/>
    <w:qFormat/>
    <w:uiPriority w:val="0"/>
    <w:pPr>
      <w:spacing w:before="100" w:beforeAutospacing="1" w:after="100" w:afterAutospacing="1"/>
      <w:jc w:val="left"/>
    </w:pPr>
    <w:rPr>
      <w:rFonts w:ascii="宋体" w:hAnsi="宋体" w:cs="宋体"/>
      <w:kern w:val="0"/>
      <w:sz w:val="24"/>
      <w:szCs w:val="24"/>
    </w:rPr>
  </w:style>
  <w:style w:type="paragraph" w:styleId="7">
    <w:name w:val="Balloon Text"/>
    <w:basedOn w:val="1"/>
    <w:link w:val="21"/>
    <w:qFormat/>
    <w:uiPriority w:val="0"/>
    <w:rPr>
      <w:sz w:val="18"/>
      <w:szCs w:val="18"/>
    </w:rPr>
  </w:style>
  <w:style w:type="paragraph" w:styleId="8">
    <w:name w:val="footer"/>
    <w:basedOn w:val="1"/>
    <w:link w:val="23"/>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2"/>
    <w:basedOn w:val="1"/>
    <w:autoRedefine/>
    <w:qFormat/>
    <w:uiPriority w:val="0"/>
    <w:pPr>
      <w:spacing w:line="400" w:lineRule="atLeast"/>
    </w:pPr>
    <w:rPr>
      <w:spacing w:val="20"/>
      <w:sz w:val="24"/>
    </w:rPr>
  </w:style>
  <w:style w:type="paragraph" w:styleId="11">
    <w:name w:val="annotation subject"/>
    <w:basedOn w:val="5"/>
    <w:next w:val="5"/>
    <w:link w:val="20"/>
    <w:qFormat/>
    <w:uiPriority w:val="0"/>
    <w:rPr>
      <w:b/>
      <w:bCs/>
    </w:rPr>
  </w:style>
  <w:style w:type="table" w:styleId="13">
    <w:name w:val="Table Grid"/>
    <w:basedOn w:val="1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annotation reference"/>
    <w:basedOn w:val="14"/>
    <w:qFormat/>
    <w:uiPriority w:val="0"/>
    <w:rPr>
      <w:sz w:val="21"/>
      <w:szCs w:val="21"/>
    </w:rPr>
  </w:style>
  <w:style w:type="paragraph" w:customStyle="1" w:styleId="16">
    <w:name w:val="Heading #2|1"/>
    <w:basedOn w:val="1"/>
    <w:autoRedefine/>
    <w:qFormat/>
    <w:uiPriority w:val="0"/>
    <w:pPr>
      <w:widowControl w:val="0"/>
      <w:spacing w:after="240" w:line="575" w:lineRule="exact"/>
      <w:ind w:firstLine="140"/>
      <w:outlineLvl w:val="1"/>
    </w:pPr>
    <w:rPr>
      <w:rFonts w:ascii="宋体" w:hAnsi="宋体" w:cs="宋体"/>
      <w:b/>
      <w:bCs/>
      <w:sz w:val="30"/>
      <w:szCs w:val="30"/>
      <w:lang w:val="zh-TW" w:eastAsia="zh-TW" w:bidi="zh-TW"/>
    </w:rPr>
  </w:style>
  <w:style w:type="paragraph" w:customStyle="1" w:styleId="17">
    <w:name w:val="Body text|1"/>
    <w:basedOn w:val="1"/>
    <w:autoRedefine/>
    <w:qFormat/>
    <w:uiPriority w:val="0"/>
    <w:pPr>
      <w:widowControl w:val="0"/>
      <w:spacing w:line="398" w:lineRule="auto"/>
      <w:ind w:firstLine="400"/>
    </w:pPr>
    <w:rPr>
      <w:rFonts w:ascii="宋体" w:hAnsi="宋体" w:cs="宋体"/>
      <w:sz w:val="30"/>
      <w:szCs w:val="30"/>
      <w:lang w:val="zh-TW" w:eastAsia="zh-TW" w:bidi="zh-TW"/>
    </w:rPr>
  </w:style>
  <w:style w:type="paragraph" w:customStyle="1" w:styleId="18">
    <w:name w:val="Header or footer|1"/>
    <w:basedOn w:val="1"/>
    <w:autoRedefine/>
    <w:qFormat/>
    <w:uiPriority w:val="0"/>
    <w:pPr>
      <w:widowControl w:val="0"/>
    </w:pPr>
    <w:rPr>
      <w:sz w:val="17"/>
      <w:szCs w:val="17"/>
      <w:lang w:val="zh-TW" w:eastAsia="zh-TW" w:bidi="zh-TW"/>
    </w:rPr>
  </w:style>
  <w:style w:type="character" w:customStyle="1" w:styleId="19">
    <w:name w:val="批注文字 Char"/>
    <w:basedOn w:val="14"/>
    <w:link w:val="5"/>
    <w:qFormat/>
    <w:uiPriority w:val="99"/>
    <w:rPr>
      <w:rFonts w:ascii="Calibri" w:hAnsi="Calibri" w:eastAsia="宋体" w:cs="Times New Roman"/>
      <w:kern w:val="2"/>
      <w:sz w:val="21"/>
      <w:szCs w:val="22"/>
    </w:rPr>
  </w:style>
  <w:style w:type="character" w:customStyle="1" w:styleId="20">
    <w:name w:val="批注主题 Char"/>
    <w:basedOn w:val="19"/>
    <w:link w:val="11"/>
    <w:qFormat/>
    <w:uiPriority w:val="0"/>
    <w:rPr>
      <w:rFonts w:ascii="Calibri" w:hAnsi="Calibri" w:eastAsia="宋体" w:cs="Times New Roman"/>
      <w:b/>
      <w:bCs/>
      <w:kern w:val="2"/>
      <w:sz w:val="21"/>
      <w:szCs w:val="22"/>
    </w:rPr>
  </w:style>
  <w:style w:type="character" w:customStyle="1" w:styleId="21">
    <w:name w:val="批注框文本 Char"/>
    <w:basedOn w:val="14"/>
    <w:link w:val="7"/>
    <w:qFormat/>
    <w:uiPriority w:val="0"/>
    <w:rPr>
      <w:rFonts w:ascii="Calibri" w:hAnsi="Calibri" w:eastAsia="宋体" w:cs="Times New Roman"/>
      <w:kern w:val="2"/>
      <w:sz w:val="18"/>
      <w:szCs w:val="18"/>
    </w:rPr>
  </w:style>
  <w:style w:type="character" w:customStyle="1" w:styleId="22">
    <w:name w:val="页眉 Char"/>
    <w:basedOn w:val="14"/>
    <w:link w:val="9"/>
    <w:qFormat/>
    <w:uiPriority w:val="0"/>
    <w:rPr>
      <w:rFonts w:ascii="Calibri" w:hAnsi="Calibri" w:eastAsia="宋体" w:cs="Times New Roman"/>
      <w:kern w:val="2"/>
      <w:sz w:val="18"/>
      <w:szCs w:val="18"/>
    </w:rPr>
  </w:style>
  <w:style w:type="character" w:customStyle="1" w:styleId="23">
    <w:name w:val="页脚 Char"/>
    <w:basedOn w:val="14"/>
    <w:link w:val="8"/>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6286</Words>
  <Characters>6552</Characters>
  <Lines>62</Lines>
  <Paragraphs>17</Paragraphs>
  <TotalTime>3</TotalTime>
  <ScaleCrop>false</ScaleCrop>
  <LinksUpToDate>false</LinksUpToDate>
  <CharactersWithSpaces>6815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2024-06-05T08:48:00Z</dcterms:created>
  <dc:creator>sdx</dc:creator>
  <cp:lastModifiedBy>李瑶</cp:lastModifiedBy>
  <cp:lastPrinted>2024-04-26T01:55:00Z</cp:lastPrinted>
  <dcterms:modified xsi:type="dcterms:W3CDTF">2024-06-11T09:13:46Z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34C5D2A128EA41359DA455D1A8B0F6F3_13</vt:lpwstr>
  </property>
</Properties>
</file>